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Default Extension="jpeg" ContentType="image/jpeg"/>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9"/>
        <w:ind w:left="601" w:right="881" w:firstLine="0"/>
        <w:jc w:val="center"/>
        <w:rPr>
          <w:b/>
          <w:sz w:val="28"/>
        </w:rPr>
      </w:pPr>
      <w:r>
        <w:rPr>
          <w:b/>
          <w:smallCaps/>
          <w:w w:val="105"/>
          <w:sz w:val="28"/>
        </w:rPr>
        <w:t>Faculdade</w:t>
      </w:r>
      <w:r>
        <w:rPr>
          <w:b/>
          <w:smallCaps/>
          <w:spacing w:val="34"/>
          <w:w w:val="105"/>
          <w:sz w:val="28"/>
        </w:rPr>
        <w:t> </w:t>
      </w:r>
      <w:r>
        <w:rPr>
          <w:b/>
          <w:smallCaps/>
          <w:w w:val="105"/>
          <w:sz w:val="28"/>
        </w:rPr>
        <w:t>de</w:t>
      </w:r>
      <w:r>
        <w:rPr>
          <w:b/>
          <w:smallCaps/>
          <w:spacing w:val="34"/>
          <w:w w:val="105"/>
          <w:sz w:val="28"/>
        </w:rPr>
        <w:t> </w:t>
      </w:r>
      <w:r>
        <w:rPr>
          <w:b/>
          <w:smallCaps/>
          <w:spacing w:val="12"/>
          <w:w w:val="105"/>
          <w:sz w:val="28"/>
        </w:rPr>
        <w:t>Engenharia</w:t>
      </w:r>
      <w:r>
        <w:rPr>
          <w:b/>
          <w:smallCaps/>
          <w:spacing w:val="35"/>
          <w:w w:val="105"/>
          <w:sz w:val="28"/>
        </w:rPr>
        <w:t> </w:t>
      </w:r>
      <w:r>
        <w:rPr>
          <w:b/>
          <w:smallCaps/>
          <w:w w:val="105"/>
          <w:sz w:val="28"/>
        </w:rPr>
        <w:t>da</w:t>
      </w:r>
      <w:r>
        <w:rPr>
          <w:b/>
          <w:smallCaps/>
          <w:spacing w:val="34"/>
          <w:w w:val="105"/>
          <w:sz w:val="28"/>
        </w:rPr>
        <w:t> </w:t>
      </w:r>
      <w:r>
        <w:rPr>
          <w:b/>
          <w:smallCaps/>
          <w:spacing w:val="12"/>
          <w:w w:val="105"/>
          <w:sz w:val="28"/>
        </w:rPr>
        <w:t>Universidade</w:t>
      </w:r>
      <w:r>
        <w:rPr>
          <w:b/>
          <w:smallCaps/>
          <w:spacing w:val="35"/>
          <w:w w:val="105"/>
          <w:sz w:val="28"/>
        </w:rPr>
        <w:t> </w:t>
      </w:r>
      <w:r>
        <w:rPr>
          <w:b/>
          <w:smallCaps/>
          <w:w w:val="105"/>
          <w:sz w:val="28"/>
        </w:rPr>
        <w:t>do</w:t>
      </w:r>
      <w:r>
        <w:rPr>
          <w:b/>
          <w:smallCaps/>
          <w:spacing w:val="34"/>
          <w:w w:val="105"/>
          <w:sz w:val="28"/>
        </w:rPr>
        <w:t> </w:t>
      </w:r>
      <w:r>
        <w:rPr>
          <w:b/>
          <w:smallCaps/>
          <w:spacing w:val="-2"/>
          <w:w w:val="105"/>
          <w:sz w:val="28"/>
        </w:rPr>
        <w:t>Porto</w:t>
      </w:r>
    </w:p>
    <w:p>
      <w:pPr>
        <w:pStyle w:val="BodyText"/>
        <w:rPr>
          <w:b/>
          <w:sz w:val="23"/>
        </w:rPr>
      </w:pPr>
    </w:p>
    <w:p>
      <w:pPr>
        <w:pStyle w:val="BodyText"/>
        <w:rPr>
          <w:b/>
          <w:sz w:val="23"/>
        </w:rPr>
      </w:pPr>
    </w:p>
    <w:p>
      <w:pPr>
        <w:pStyle w:val="BodyText"/>
        <w:rPr>
          <w:b/>
          <w:sz w:val="23"/>
        </w:rPr>
      </w:pPr>
    </w:p>
    <w:p>
      <w:pPr>
        <w:pStyle w:val="BodyText"/>
        <w:rPr>
          <w:b/>
          <w:sz w:val="23"/>
        </w:rPr>
      </w:pPr>
    </w:p>
    <w:p>
      <w:pPr>
        <w:pStyle w:val="BodyText"/>
        <w:spacing w:before="209"/>
        <w:rPr>
          <w:b/>
          <w:sz w:val="23"/>
        </w:rPr>
      </w:pPr>
    </w:p>
    <w:p>
      <w:pPr>
        <w:spacing w:line="304" w:lineRule="auto" w:before="1"/>
        <w:ind w:left="1188" w:right="1494" w:firstLine="0"/>
        <w:jc w:val="center"/>
        <w:rPr>
          <w:b/>
          <w:sz w:val="49"/>
        </w:rPr>
      </w:pPr>
      <w:bookmarkStart w:name="Front Page" w:id="1"/>
      <w:bookmarkEnd w:id="1"/>
      <w:r>
        <w:rPr/>
      </w:r>
      <w:r>
        <w:rPr>
          <w:b/>
          <w:sz w:val="49"/>
        </w:rPr>
        <w:t>Wine Production Forecasting </w:t>
      </w:r>
      <w:r>
        <w:rPr>
          <w:b/>
          <w:sz w:val="49"/>
        </w:rPr>
        <w:t>Using Rule-Based Machine Learning:</w:t>
      </w:r>
    </w:p>
    <w:p>
      <w:pPr>
        <w:spacing w:line="304" w:lineRule="auto" w:before="3"/>
        <w:ind w:left="601" w:right="883" w:firstLine="0"/>
        <w:jc w:val="center"/>
        <w:rPr>
          <w:b/>
          <w:sz w:val="49"/>
        </w:rPr>
      </w:pPr>
      <w:r>
        <w:rPr>
          <w:b/>
          <w:sz w:val="49"/>
        </w:rPr>
        <w:t>A Distributional Subgroup </w:t>
      </w:r>
      <w:r>
        <w:rPr>
          <w:b/>
          <w:sz w:val="49"/>
        </w:rPr>
        <w:t>Discovery </w:t>
      </w:r>
      <w:r>
        <w:rPr>
          <w:b/>
          <w:spacing w:val="-2"/>
          <w:sz w:val="49"/>
        </w:rPr>
        <w:t>Approach</w:t>
      </w:r>
    </w:p>
    <w:p>
      <w:pPr>
        <w:spacing w:before="4"/>
        <w:ind w:left="601" w:right="882" w:firstLine="0"/>
        <w:jc w:val="center"/>
        <w:rPr>
          <w:b/>
          <w:sz w:val="49"/>
        </w:rPr>
      </w:pPr>
      <w:r>
        <w:rPr>
          <w:b/>
          <w:sz w:val="49"/>
        </w:rPr>
        <w:t>for</w:t>
      </w:r>
      <w:r>
        <w:rPr>
          <w:b/>
          <w:spacing w:val="3"/>
          <w:sz w:val="49"/>
        </w:rPr>
        <w:t> </w:t>
      </w:r>
      <w:r>
        <w:rPr>
          <w:b/>
          <w:sz w:val="49"/>
        </w:rPr>
        <w:t>Portuguese</w:t>
      </w:r>
      <w:r>
        <w:rPr>
          <w:b/>
          <w:spacing w:val="4"/>
          <w:sz w:val="49"/>
        </w:rPr>
        <w:t> </w:t>
      </w:r>
      <w:r>
        <w:rPr>
          <w:b/>
          <w:sz w:val="49"/>
        </w:rPr>
        <w:t>Wine</w:t>
      </w:r>
      <w:r>
        <w:rPr>
          <w:b/>
          <w:spacing w:val="4"/>
          <w:sz w:val="49"/>
        </w:rPr>
        <w:t> </w:t>
      </w:r>
      <w:r>
        <w:rPr>
          <w:b/>
          <w:spacing w:val="-2"/>
          <w:sz w:val="49"/>
        </w:rPr>
        <w:t>Regions</w:t>
      </w:r>
    </w:p>
    <w:p>
      <w:pPr>
        <w:pStyle w:val="BodyText"/>
        <w:spacing w:before="164"/>
        <w:rPr>
          <w:b/>
          <w:sz w:val="49"/>
        </w:rPr>
      </w:pPr>
    </w:p>
    <w:p>
      <w:pPr>
        <w:pStyle w:val="Heading2"/>
        <w:ind w:left="601" w:right="882" w:firstLine="0"/>
        <w:jc w:val="center"/>
      </w:pPr>
      <w:r>
        <w:rPr/>
        <w:t>Hugo</w:t>
      </w:r>
      <w:r>
        <w:rPr>
          <w:spacing w:val="16"/>
        </w:rPr>
        <w:t> </w:t>
      </w:r>
      <w:r>
        <w:rPr/>
        <w:t>Filipe</w:t>
      </w:r>
      <w:r>
        <w:rPr>
          <w:spacing w:val="16"/>
        </w:rPr>
        <w:t> </w:t>
      </w:r>
      <w:r>
        <w:rPr/>
        <w:t>Queiróz</w:t>
      </w:r>
      <w:r>
        <w:rPr>
          <w:spacing w:val="17"/>
        </w:rPr>
        <w:t> </w:t>
      </w:r>
      <w:r>
        <w:rPr>
          <w:spacing w:val="-2"/>
        </w:rPr>
        <w:t>Nogueira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5"/>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2665917</wp:posOffset>
                </wp:positionH>
                <wp:positionV relativeFrom="paragraph">
                  <wp:posOffset>209647</wp:posOffset>
                </wp:positionV>
                <wp:extent cx="592455" cy="53340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592455" cy="533400"/>
                          <a:chExt cx="592455" cy="533400"/>
                        </a:xfrm>
                      </wpg:grpSpPr>
                      <wps:wsp>
                        <wps:cNvPr id="2" name="Graphic 2"/>
                        <wps:cNvSpPr/>
                        <wps:spPr>
                          <a:xfrm>
                            <a:off x="3923" y="3923"/>
                            <a:ext cx="584835" cy="525780"/>
                          </a:xfrm>
                          <a:custGeom>
                            <a:avLst/>
                            <a:gdLst/>
                            <a:ahLst/>
                            <a:cxnLst/>
                            <a:rect l="l" t="t" r="r" b="b"/>
                            <a:pathLst>
                              <a:path w="584835" h="525780">
                                <a:moveTo>
                                  <a:pt x="584371" y="0"/>
                                </a:moveTo>
                                <a:lnTo>
                                  <a:pt x="0" y="0"/>
                                </a:lnTo>
                                <a:lnTo>
                                  <a:pt x="0" y="525229"/>
                                </a:lnTo>
                                <a:lnTo>
                                  <a:pt x="584371" y="525229"/>
                                </a:lnTo>
                                <a:lnTo>
                                  <a:pt x="584371" y="0"/>
                                </a:lnTo>
                                <a:close/>
                              </a:path>
                            </a:pathLst>
                          </a:custGeom>
                          <a:solidFill>
                            <a:srgbClr val="231F20"/>
                          </a:solidFill>
                        </wps:spPr>
                        <wps:bodyPr wrap="square" lIns="0" tIns="0" rIns="0" bIns="0" rtlCol="0">
                          <a:prstTxWarp prst="textNoShape">
                            <a:avLst/>
                          </a:prstTxWarp>
                          <a:noAutofit/>
                        </wps:bodyPr>
                      </wps:wsp>
                      <wps:wsp>
                        <wps:cNvPr id="3" name="Graphic 3"/>
                        <wps:cNvSpPr/>
                        <wps:spPr>
                          <a:xfrm>
                            <a:off x="3923" y="3923"/>
                            <a:ext cx="584835" cy="525780"/>
                          </a:xfrm>
                          <a:custGeom>
                            <a:avLst/>
                            <a:gdLst/>
                            <a:ahLst/>
                            <a:cxnLst/>
                            <a:rect l="l" t="t" r="r" b="b"/>
                            <a:pathLst>
                              <a:path w="584835" h="525780">
                                <a:moveTo>
                                  <a:pt x="0" y="525229"/>
                                </a:moveTo>
                                <a:lnTo>
                                  <a:pt x="584371" y="525229"/>
                                </a:lnTo>
                                <a:lnTo>
                                  <a:pt x="584371" y="0"/>
                                </a:lnTo>
                                <a:lnTo>
                                  <a:pt x="0" y="0"/>
                                </a:lnTo>
                                <a:lnTo>
                                  <a:pt x="0" y="525229"/>
                                </a:lnTo>
                                <a:close/>
                              </a:path>
                            </a:pathLst>
                          </a:custGeom>
                          <a:ln w="7846">
                            <a:solidFill>
                              <a:srgbClr val="231F20"/>
                            </a:solidFill>
                            <a:prstDash val="solid"/>
                          </a:ln>
                        </wps:spPr>
                        <wps:bodyPr wrap="square" lIns="0" tIns="0" rIns="0" bIns="0" rtlCol="0">
                          <a:prstTxWarp prst="textNoShape">
                            <a:avLst/>
                          </a:prstTxWarp>
                          <a:noAutofit/>
                        </wps:bodyPr>
                      </wps:wsp>
                      <wps:wsp>
                        <wps:cNvPr id="4" name="Graphic 4"/>
                        <wps:cNvSpPr/>
                        <wps:spPr>
                          <a:xfrm>
                            <a:off x="87166" y="89651"/>
                            <a:ext cx="347345" cy="361950"/>
                          </a:xfrm>
                          <a:custGeom>
                            <a:avLst/>
                            <a:gdLst/>
                            <a:ahLst/>
                            <a:cxnLst/>
                            <a:rect l="l" t="t" r="r" b="b"/>
                            <a:pathLst>
                              <a:path w="347345" h="361950">
                                <a:moveTo>
                                  <a:pt x="347033" y="0"/>
                                </a:moveTo>
                                <a:lnTo>
                                  <a:pt x="247448" y="0"/>
                                </a:lnTo>
                                <a:lnTo>
                                  <a:pt x="247448" y="9053"/>
                                </a:lnTo>
                                <a:lnTo>
                                  <a:pt x="274778" y="9053"/>
                                </a:lnTo>
                                <a:lnTo>
                                  <a:pt x="278614" y="12321"/>
                                </a:lnTo>
                                <a:lnTo>
                                  <a:pt x="290768" y="51241"/>
                                </a:lnTo>
                                <a:lnTo>
                                  <a:pt x="290768" y="242102"/>
                                </a:lnTo>
                                <a:lnTo>
                                  <a:pt x="284355" y="285550"/>
                                </a:lnTo>
                                <a:lnTo>
                                  <a:pt x="252407" y="328527"/>
                                </a:lnTo>
                                <a:lnTo>
                                  <a:pt x="205706" y="343563"/>
                                </a:lnTo>
                                <a:lnTo>
                                  <a:pt x="182173" y="343055"/>
                                </a:lnTo>
                                <a:lnTo>
                                  <a:pt x="147304" y="327614"/>
                                </a:lnTo>
                                <a:lnTo>
                                  <a:pt x="122280" y="278770"/>
                                </a:lnTo>
                                <a:lnTo>
                                  <a:pt x="117691" y="230051"/>
                                </a:lnTo>
                                <a:lnTo>
                                  <a:pt x="117691" y="9053"/>
                                </a:lnTo>
                                <a:lnTo>
                                  <a:pt x="158429" y="9053"/>
                                </a:lnTo>
                                <a:lnTo>
                                  <a:pt x="158429" y="0"/>
                                </a:lnTo>
                                <a:lnTo>
                                  <a:pt x="0" y="0"/>
                                </a:lnTo>
                                <a:lnTo>
                                  <a:pt x="0" y="9053"/>
                                </a:lnTo>
                                <a:lnTo>
                                  <a:pt x="39230" y="9053"/>
                                </a:lnTo>
                                <a:lnTo>
                                  <a:pt x="39230" y="236601"/>
                                </a:lnTo>
                                <a:lnTo>
                                  <a:pt x="48471" y="288650"/>
                                </a:lnTo>
                                <a:lnTo>
                                  <a:pt x="76195" y="328270"/>
                                </a:lnTo>
                                <a:lnTo>
                                  <a:pt x="119387" y="353323"/>
                                </a:lnTo>
                                <a:lnTo>
                                  <a:pt x="175026" y="361674"/>
                                </a:lnTo>
                                <a:lnTo>
                                  <a:pt x="206350" y="359633"/>
                                </a:lnTo>
                                <a:lnTo>
                                  <a:pt x="256267" y="343307"/>
                                </a:lnTo>
                                <a:lnTo>
                                  <a:pt x="289273" y="311161"/>
                                </a:lnTo>
                                <a:lnTo>
                                  <a:pt x="305744" y="266202"/>
                                </a:lnTo>
                                <a:lnTo>
                                  <a:pt x="307803" y="239107"/>
                                </a:lnTo>
                                <a:lnTo>
                                  <a:pt x="307803" y="51241"/>
                                </a:lnTo>
                                <a:lnTo>
                                  <a:pt x="308196" y="41149"/>
                                </a:lnTo>
                                <a:lnTo>
                                  <a:pt x="324902" y="9053"/>
                                </a:lnTo>
                                <a:lnTo>
                                  <a:pt x="347033" y="9053"/>
                                </a:lnTo>
                                <a:lnTo>
                                  <a:pt x="347033" y="0"/>
                                </a:lnTo>
                                <a:close/>
                              </a:path>
                            </a:pathLst>
                          </a:custGeom>
                          <a:solidFill>
                            <a:srgbClr val="FFFFFF"/>
                          </a:solidFill>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453060" y="377255"/>
                            <a:ext cx="71291" cy="71303"/>
                          </a:xfrm>
                          <a:prstGeom prst="rect">
                            <a:avLst/>
                          </a:prstGeom>
                        </pic:spPr>
                      </pic:pic>
                    </wpg:wgp>
                  </a:graphicData>
                </a:graphic>
              </wp:anchor>
            </w:drawing>
          </mc:Choice>
          <mc:Fallback>
            <w:pict>
              <v:group style="position:absolute;margin-left:209.914764pt;margin-top:16.507713pt;width:46.65pt;height:42pt;mso-position-horizontal-relative:page;mso-position-vertical-relative:paragraph;z-index:-15728640;mso-wrap-distance-left:0;mso-wrap-distance-right:0" id="docshapegroup1" coordorigin="4198,330" coordsize="933,840">
                <v:rect style="position:absolute;left:4204;top:336;width:921;height:828" id="docshape2" filled="true" fillcolor="#231f20" stroked="false">
                  <v:fill type="solid"/>
                </v:rect>
                <v:rect style="position:absolute;left:4204;top:336;width:921;height:828" id="docshape3" filled="false" stroked="true" strokeweight=".617813pt" strokecolor="#231f20">
                  <v:stroke dashstyle="solid"/>
                </v:rect>
                <v:shape style="position:absolute;left:4335;top:471;width:547;height:570" id="docshape4" coordorigin="4336,471" coordsize="547,570" path="m4882,471l4725,471,4725,486,4768,486,4774,491,4793,552,4793,853,4783,921,4733,989,4660,1012,4622,1012,4568,987,4528,910,4521,834,4521,486,4585,486,4585,471,4336,471,4336,486,4397,486,4397,844,4412,926,4456,988,4524,1028,4611,1041,4661,1038,4739,1012,4791,961,4817,891,4820,848,4820,552,4821,536,4847,486,4882,486,4882,471xe" filled="true" fillcolor="#ffffff" stroked="false">
                  <v:path arrowok="t"/>
                  <v:fill type="solid"/>
                </v:shape>
                <v:shape style="position:absolute;left:4911;top:924;width:113;height:113" type="#_x0000_t75" id="docshape5" stroked="false">
                  <v:imagedata r:id="rId6" o:title=""/>
                </v:shape>
                <w10:wrap type="topAndBottom"/>
              </v:group>
            </w:pict>
          </mc:Fallback>
        </mc:AlternateContent>
      </w:r>
      <w:r>
        <w:rPr>
          <w:b/>
          <w:sz w:val="20"/>
        </w:rPr>
        <mc:AlternateContent>
          <mc:Choice Requires="wps">
            <w:drawing>
              <wp:anchor distT="0" distB="0" distL="0" distR="0" allowOverlap="1" layoutInCell="1" locked="0" behindDoc="1" simplePos="0" relativeHeight="487588352">
                <wp:simplePos x="0" y="0"/>
                <wp:positionH relativeFrom="page">
                  <wp:posOffset>3320062</wp:posOffset>
                </wp:positionH>
                <wp:positionV relativeFrom="paragraph">
                  <wp:posOffset>298676</wp:posOffset>
                </wp:positionV>
                <wp:extent cx="276225" cy="35496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276225" cy="354965"/>
                        </a:xfrm>
                        <a:custGeom>
                          <a:avLst/>
                          <a:gdLst/>
                          <a:ahLst/>
                          <a:cxnLst/>
                          <a:rect l="l" t="t" r="r" b="b"/>
                          <a:pathLst>
                            <a:path w="276225" h="354965">
                              <a:moveTo>
                                <a:pt x="152391" y="346583"/>
                              </a:moveTo>
                              <a:lnTo>
                                <a:pt x="0" y="346583"/>
                              </a:lnTo>
                              <a:lnTo>
                                <a:pt x="0" y="354633"/>
                              </a:lnTo>
                              <a:lnTo>
                                <a:pt x="152391" y="354633"/>
                              </a:lnTo>
                              <a:lnTo>
                                <a:pt x="152391" y="346583"/>
                              </a:lnTo>
                              <a:close/>
                            </a:path>
                            <a:path w="276225" h="354965">
                              <a:moveTo>
                                <a:pt x="101094" y="8045"/>
                              </a:moveTo>
                              <a:lnTo>
                                <a:pt x="49791" y="8045"/>
                              </a:lnTo>
                              <a:lnTo>
                                <a:pt x="49791" y="346583"/>
                              </a:lnTo>
                              <a:lnTo>
                                <a:pt x="101094" y="346583"/>
                              </a:lnTo>
                              <a:lnTo>
                                <a:pt x="101094" y="188130"/>
                              </a:lnTo>
                              <a:lnTo>
                                <a:pt x="128745" y="188130"/>
                              </a:lnTo>
                              <a:lnTo>
                                <a:pt x="124817" y="187541"/>
                              </a:lnTo>
                              <a:lnTo>
                                <a:pt x="111068" y="183173"/>
                              </a:lnTo>
                              <a:lnTo>
                                <a:pt x="105450" y="180733"/>
                              </a:lnTo>
                              <a:lnTo>
                                <a:pt x="101094" y="178038"/>
                              </a:lnTo>
                              <a:lnTo>
                                <a:pt x="101094" y="8045"/>
                              </a:lnTo>
                              <a:close/>
                            </a:path>
                            <a:path w="276225" h="354965">
                              <a:moveTo>
                                <a:pt x="128745" y="188130"/>
                              </a:moveTo>
                              <a:lnTo>
                                <a:pt x="101094" y="188130"/>
                              </a:lnTo>
                              <a:lnTo>
                                <a:pt x="110461" y="191872"/>
                              </a:lnTo>
                              <a:lnTo>
                                <a:pt x="121463" y="194545"/>
                              </a:lnTo>
                              <a:lnTo>
                                <a:pt x="134100" y="196149"/>
                              </a:lnTo>
                              <a:lnTo>
                                <a:pt x="148369" y="196684"/>
                              </a:lnTo>
                              <a:lnTo>
                                <a:pt x="173406" y="195155"/>
                              </a:lnTo>
                              <a:lnTo>
                                <a:pt x="196715" y="190568"/>
                              </a:lnTo>
                              <a:lnTo>
                                <a:pt x="202173" y="188634"/>
                              </a:lnTo>
                              <a:lnTo>
                                <a:pt x="132109" y="188634"/>
                              </a:lnTo>
                              <a:lnTo>
                                <a:pt x="128745" y="188130"/>
                              </a:lnTo>
                              <a:close/>
                            </a:path>
                            <a:path w="276225" h="354965">
                              <a:moveTo>
                                <a:pt x="143338" y="0"/>
                              </a:moveTo>
                              <a:lnTo>
                                <a:pt x="0" y="0"/>
                              </a:lnTo>
                              <a:lnTo>
                                <a:pt x="0" y="8045"/>
                              </a:lnTo>
                              <a:lnTo>
                                <a:pt x="131770" y="8045"/>
                              </a:lnTo>
                              <a:lnTo>
                                <a:pt x="152975" y="9480"/>
                              </a:lnTo>
                              <a:lnTo>
                                <a:pt x="199418" y="30997"/>
                              </a:lnTo>
                              <a:lnTo>
                                <a:pt x="220402" y="80040"/>
                              </a:lnTo>
                              <a:lnTo>
                                <a:pt x="221801" y="102883"/>
                              </a:lnTo>
                              <a:lnTo>
                                <a:pt x="220229" y="124210"/>
                              </a:lnTo>
                              <a:lnTo>
                                <a:pt x="196649" y="168708"/>
                              </a:lnTo>
                              <a:lnTo>
                                <a:pt x="155253" y="187389"/>
                              </a:lnTo>
                              <a:lnTo>
                                <a:pt x="139816" y="188634"/>
                              </a:lnTo>
                              <a:lnTo>
                                <a:pt x="202173" y="188634"/>
                              </a:lnTo>
                              <a:lnTo>
                                <a:pt x="238145" y="172220"/>
                              </a:lnTo>
                              <a:lnTo>
                                <a:pt x="266625" y="141521"/>
                              </a:lnTo>
                              <a:lnTo>
                                <a:pt x="276119" y="98337"/>
                              </a:lnTo>
                              <a:lnTo>
                                <a:pt x="273872" y="74163"/>
                              </a:lnTo>
                              <a:lnTo>
                                <a:pt x="255893" y="36594"/>
                              </a:lnTo>
                              <a:lnTo>
                                <a:pt x="220623" y="13047"/>
                              </a:lnTo>
                              <a:lnTo>
                                <a:pt x="172212" y="1449"/>
                              </a:lnTo>
                              <a:lnTo>
                                <a:pt x="143338"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61.422241pt;margin-top:23.517843pt;width:21.75pt;height:27.95pt;mso-position-horizontal-relative:page;mso-position-vertical-relative:paragraph;z-index:-15728128;mso-wrap-distance-left:0;mso-wrap-distance-right:0" id="docshape6" coordorigin="5228,470" coordsize="435,559" path="m5468,1016l5228,1016,5228,1029,5468,1029,5468,1016xm5388,483l5307,483,5307,1016,5388,1016,5388,767,5431,767,5425,766,5403,759,5395,755,5388,751,5388,483xm5431,767l5388,767,5402,773,5420,777,5440,779,5462,780,5502,778,5538,770,5547,767,5436,767,5431,767xm5454,470l5228,470,5228,483,5436,483,5469,485,5498,492,5523,503,5542,519,5558,540,5569,566,5576,596,5578,632,5575,666,5568,694,5555,718,5538,736,5518,750,5496,760,5473,765,5449,767,5547,767,5572,758,5603,742,5630,720,5648,693,5660,662,5663,625,5660,587,5649,555,5631,528,5607,507,5576,491,5540,479,5500,473,5454,470xe" filled="true" fillcolor="#231f20" stroked="false">
                <v:path arrowok="t"/>
                <v:fill type="solid"/>
                <w10:wrap type="topAndBottom"/>
              </v:shape>
            </w:pict>
          </mc:Fallback>
        </mc:AlternateContent>
      </w:r>
      <w:r>
        <w:rPr>
          <w:b/>
          <w:sz w:val="20"/>
        </w:rPr>
        <mc:AlternateContent>
          <mc:Choice Requires="wps">
            <w:drawing>
              <wp:anchor distT="0" distB="0" distL="0" distR="0" allowOverlap="1" layoutInCell="1" locked="0" behindDoc="1" simplePos="0" relativeHeight="487588864">
                <wp:simplePos x="0" y="0"/>
                <wp:positionH relativeFrom="page">
                  <wp:posOffset>3641420</wp:posOffset>
                </wp:positionH>
                <wp:positionV relativeFrom="paragraph">
                  <wp:posOffset>291135</wp:posOffset>
                </wp:positionV>
                <wp:extent cx="1353820" cy="37020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353820" cy="370205"/>
                        </a:xfrm>
                        <a:custGeom>
                          <a:avLst/>
                          <a:gdLst/>
                          <a:ahLst/>
                          <a:cxnLst/>
                          <a:rect l="l" t="t" r="r" b="b"/>
                          <a:pathLst>
                            <a:path w="1353820" h="370205">
                              <a:moveTo>
                                <a:pt x="317868" y="184861"/>
                              </a:moveTo>
                              <a:lnTo>
                                <a:pt x="305981" y="114033"/>
                              </a:lnTo>
                              <a:lnTo>
                                <a:pt x="270344" y="54254"/>
                              </a:lnTo>
                              <a:lnTo>
                                <a:pt x="260540" y="44869"/>
                              </a:lnTo>
                              <a:lnTo>
                                <a:pt x="260540" y="184861"/>
                              </a:lnTo>
                              <a:lnTo>
                                <a:pt x="260045" y="205752"/>
                              </a:lnTo>
                              <a:lnTo>
                                <a:pt x="256146" y="246316"/>
                              </a:lnTo>
                              <a:lnTo>
                                <a:pt x="247916" y="284784"/>
                              </a:lnTo>
                              <a:lnTo>
                                <a:pt x="222313" y="333298"/>
                              </a:lnTo>
                              <a:lnTo>
                                <a:pt x="178181" y="359905"/>
                              </a:lnTo>
                              <a:lnTo>
                                <a:pt x="158940" y="361670"/>
                              </a:lnTo>
                              <a:lnTo>
                                <a:pt x="139255" y="359905"/>
                              </a:lnTo>
                              <a:lnTo>
                                <a:pt x="94564" y="333298"/>
                              </a:lnTo>
                              <a:lnTo>
                                <a:pt x="69240" y="285216"/>
                              </a:lnTo>
                              <a:lnTo>
                                <a:pt x="61442" y="247307"/>
                              </a:lnTo>
                              <a:lnTo>
                                <a:pt x="57797" y="206362"/>
                              </a:lnTo>
                              <a:lnTo>
                                <a:pt x="57340" y="184861"/>
                              </a:lnTo>
                              <a:lnTo>
                                <a:pt x="57835" y="163969"/>
                              </a:lnTo>
                              <a:lnTo>
                                <a:pt x="61734" y="123405"/>
                              </a:lnTo>
                              <a:lnTo>
                                <a:pt x="69964" y="84937"/>
                              </a:lnTo>
                              <a:lnTo>
                                <a:pt x="95567" y="36423"/>
                              </a:lnTo>
                              <a:lnTo>
                                <a:pt x="139700" y="9817"/>
                              </a:lnTo>
                              <a:lnTo>
                                <a:pt x="158940" y="8051"/>
                              </a:lnTo>
                              <a:lnTo>
                                <a:pt x="178612" y="9817"/>
                              </a:lnTo>
                              <a:lnTo>
                                <a:pt x="223316" y="36423"/>
                              </a:lnTo>
                              <a:lnTo>
                                <a:pt x="248640" y="84505"/>
                              </a:lnTo>
                              <a:lnTo>
                                <a:pt x="256438" y="122415"/>
                              </a:lnTo>
                              <a:lnTo>
                                <a:pt x="260083" y="163360"/>
                              </a:lnTo>
                              <a:lnTo>
                                <a:pt x="260540" y="184861"/>
                              </a:lnTo>
                              <a:lnTo>
                                <a:pt x="260540" y="44869"/>
                              </a:lnTo>
                              <a:lnTo>
                                <a:pt x="245554" y="30518"/>
                              </a:lnTo>
                              <a:lnTo>
                                <a:pt x="218732" y="13563"/>
                              </a:lnTo>
                              <a:lnTo>
                                <a:pt x="203073" y="8051"/>
                              </a:lnTo>
                              <a:lnTo>
                                <a:pt x="189852" y="3390"/>
                              </a:lnTo>
                              <a:lnTo>
                                <a:pt x="158940" y="0"/>
                              </a:lnTo>
                              <a:lnTo>
                                <a:pt x="127571" y="3390"/>
                              </a:lnTo>
                              <a:lnTo>
                                <a:pt x="98425" y="13563"/>
                              </a:lnTo>
                              <a:lnTo>
                                <a:pt x="47028" y="54000"/>
                              </a:lnTo>
                              <a:lnTo>
                                <a:pt x="11760" y="113715"/>
                              </a:lnTo>
                              <a:lnTo>
                                <a:pt x="0" y="184861"/>
                              </a:lnTo>
                              <a:lnTo>
                                <a:pt x="2971" y="221653"/>
                              </a:lnTo>
                              <a:lnTo>
                                <a:pt x="26746" y="286969"/>
                              </a:lnTo>
                              <a:lnTo>
                                <a:pt x="72326" y="339204"/>
                              </a:lnTo>
                              <a:lnTo>
                                <a:pt x="128168" y="366344"/>
                              </a:lnTo>
                              <a:lnTo>
                                <a:pt x="158940" y="369722"/>
                              </a:lnTo>
                              <a:lnTo>
                                <a:pt x="190258" y="366344"/>
                              </a:lnTo>
                              <a:lnTo>
                                <a:pt x="246214" y="339344"/>
                              </a:lnTo>
                              <a:lnTo>
                                <a:pt x="291414" y="287299"/>
                              </a:lnTo>
                              <a:lnTo>
                                <a:pt x="314934" y="221869"/>
                              </a:lnTo>
                              <a:lnTo>
                                <a:pt x="317868" y="184861"/>
                              </a:lnTo>
                              <a:close/>
                            </a:path>
                            <a:path w="1353820" h="370205">
                              <a:moveTo>
                                <a:pt x="674027" y="358660"/>
                              </a:moveTo>
                              <a:lnTo>
                                <a:pt x="673341" y="357149"/>
                              </a:lnTo>
                              <a:lnTo>
                                <a:pt x="671017" y="352120"/>
                              </a:lnTo>
                              <a:lnTo>
                                <a:pt x="662635" y="355473"/>
                              </a:lnTo>
                              <a:lnTo>
                                <a:pt x="655751" y="357149"/>
                              </a:lnTo>
                              <a:lnTo>
                                <a:pt x="644359" y="357149"/>
                              </a:lnTo>
                              <a:lnTo>
                                <a:pt x="638911" y="355053"/>
                              </a:lnTo>
                              <a:lnTo>
                                <a:pt x="617194" y="264083"/>
                              </a:lnTo>
                              <a:lnTo>
                                <a:pt x="613448" y="242379"/>
                              </a:lnTo>
                              <a:lnTo>
                                <a:pt x="590296" y="200456"/>
                              </a:lnTo>
                              <a:lnTo>
                                <a:pt x="550760" y="184111"/>
                              </a:lnTo>
                              <a:lnTo>
                                <a:pt x="543369" y="182295"/>
                              </a:lnTo>
                              <a:lnTo>
                                <a:pt x="521131" y="179082"/>
                              </a:lnTo>
                              <a:lnTo>
                                <a:pt x="539292" y="176060"/>
                              </a:lnTo>
                              <a:lnTo>
                                <a:pt x="541248" y="175729"/>
                              </a:lnTo>
                              <a:lnTo>
                                <a:pt x="578472" y="164134"/>
                              </a:lnTo>
                              <a:lnTo>
                                <a:pt x="620471" y="132029"/>
                              </a:lnTo>
                              <a:lnTo>
                                <a:pt x="628764" y="96837"/>
                              </a:lnTo>
                              <a:lnTo>
                                <a:pt x="626681" y="72936"/>
                              </a:lnTo>
                              <a:lnTo>
                                <a:pt x="609955" y="37630"/>
                              </a:lnTo>
                              <a:lnTo>
                                <a:pt x="574446" y="17233"/>
                              </a:lnTo>
                              <a:lnTo>
                                <a:pt x="574446" y="96837"/>
                              </a:lnTo>
                              <a:lnTo>
                                <a:pt x="573024" y="115862"/>
                              </a:lnTo>
                              <a:lnTo>
                                <a:pt x="550811" y="157645"/>
                              </a:lnTo>
                              <a:lnTo>
                                <a:pt x="502335" y="174904"/>
                              </a:lnTo>
                              <a:lnTo>
                                <a:pt x="480402" y="176060"/>
                              </a:lnTo>
                              <a:lnTo>
                                <a:pt x="455244" y="176060"/>
                              </a:lnTo>
                              <a:lnTo>
                                <a:pt x="455244" y="15595"/>
                              </a:lnTo>
                              <a:lnTo>
                                <a:pt x="489458" y="15595"/>
                              </a:lnTo>
                              <a:lnTo>
                                <a:pt x="530567" y="21209"/>
                              </a:lnTo>
                              <a:lnTo>
                                <a:pt x="564261" y="50139"/>
                              </a:lnTo>
                              <a:lnTo>
                                <a:pt x="574446" y="96837"/>
                              </a:lnTo>
                              <a:lnTo>
                                <a:pt x="574446" y="17233"/>
                              </a:lnTo>
                              <a:lnTo>
                                <a:pt x="556780" y="12217"/>
                              </a:lnTo>
                              <a:lnTo>
                                <a:pt x="533692" y="8712"/>
                              </a:lnTo>
                              <a:lnTo>
                                <a:pt x="508063" y="7543"/>
                              </a:lnTo>
                              <a:lnTo>
                                <a:pt x="353656" y="7543"/>
                              </a:lnTo>
                              <a:lnTo>
                                <a:pt x="353656" y="15595"/>
                              </a:lnTo>
                              <a:lnTo>
                                <a:pt x="403948" y="15595"/>
                              </a:lnTo>
                              <a:lnTo>
                                <a:pt x="403948" y="354126"/>
                              </a:lnTo>
                              <a:lnTo>
                                <a:pt x="353656" y="354126"/>
                              </a:lnTo>
                              <a:lnTo>
                                <a:pt x="353656" y="362267"/>
                              </a:lnTo>
                              <a:lnTo>
                                <a:pt x="506552" y="362267"/>
                              </a:lnTo>
                              <a:lnTo>
                                <a:pt x="506552" y="354126"/>
                              </a:lnTo>
                              <a:lnTo>
                                <a:pt x="455244" y="354126"/>
                              </a:lnTo>
                              <a:lnTo>
                                <a:pt x="455244" y="184111"/>
                              </a:lnTo>
                              <a:lnTo>
                                <a:pt x="487934" y="184111"/>
                              </a:lnTo>
                              <a:lnTo>
                                <a:pt x="505752" y="185089"/>
                              </a:lnTo>
                              <a:lnTo>
                                <a:pt x="546735" y="208343"/>
                              </a:lnTo>
                              <a:lnTo>
                                <a:pt x="560870" y="274650"/>
                              </a:lnTo>
                              <a:lnTo>
                                <a:pt x="564464" y="298526"/>
                              </a:lnTo>
                              <a:lnTo>
                                <a:pt x="579221" y="345833"/>
                              </a:lnTo>
                              <a:lnTo>
                                <a:pt x="613791" y="363982"/>
                              </a:lnTo>
                              <a:lnTo>
                                <a:pt x="632790" y="365201"/>
                              </a:lnTo>
                              <a:lnTo>
                                <a:pt x="641845" y="365201"/>
                              </a:lnTo>
                              <a:lnTo>
                                <a:pt x="649643" y="364617"/>
                              </a:lnTo>
                              <a:lnTo>
                                <a:pt x="662711" y="362267"/>
                              </a:lnTo>
                              <a:lnTo>
                                <a:pt x="668667" y="360667"/>
                              </a:lnTo>
                              <a:lnTo>
                                <a:pt x="674027" y="358660"/>
                              </a:lnTo>
                              <a:close/>
                            </a:path>
                            <a:path w="1353820" h="370205">
                              <a:moveTo>
                                <a:pt x="999058" y="7543"/>
                              </a:moveTo>
                              <a:lnTo>
                                <a:pt x="691248" y="7543"/>
                              </a:lnTo>
                              <a:lnTo>
                                <a:pt x="691248" y="111671"/>
                              </a:lnTo>
                              <a:lnTo>
                                <a:pt x="699300" y="111671"/>
                              </a:lnTo>
                              <a:lnTo>
                                <a:pt x="700582" y="83743"/>
                              </a:lnTo>
                              <a:lnTo>
                                <a:pt x="704456" y="61302"/>
                              </a:lnTo>
                              <a:lnTo>
                                <a:pt x="733221" y="25349"/>
                              </a:lnTo>
                              <a:lnTo>
                                <a:pt x="777735" y="16675"/>
                              </a:lnTo>
                              <a:lnTo>
                                <a:pt x="808939" y="15595"/>
                              </a:lnTo>
                              <a:lnTo>
                                <a:pt x="819505" y="15595"/>
                              </a:lnTo>
                              <a:lnTo>
                                <a:pt x="819505" y="354126"/>
                              </a:lnTo>
                              <a:lnTo>
                                <a:pt x="767702" y="354126"/>
                              </a:lnTo>
                              <a:lnTo>
                                <a:pt x="767702" y="362178"/>
                              </a:lnTo>
                              <a:lnTo>
                                <a:pt x="922604" y="362178"/>
                              </a:lnTo>
                              <a:lnTo>
                                <a:pt x="922604" y="354126"/>
                              </a:lnTo>
                              <a:lnTo>
                                <a:pt x="870800" y="354126"/>
                              </a:lnTo>
                              <a:lnTo>
                                <a:pt x="870800" y="15595"/>
                              </a:lnTo>
                              <a:lnTo>
                                <a:pt x="881875" y="15595"/>
                              </a:lnTo>
                              <a:lnTo>
                                <a:pt x="912863" y="16687"/>
                              </a:lnTo>
                              <a:lnTo>
                                <a:pt x="957122" y="25501"/>
                              </a:lnTo>
                              <a:lnTo>
                                <a:pt x="985850" y="61620"/>
                              </a:lnTo>
                              <a:lnTo>
                                <a:pt x="991006" y="111671"/>
                              </a:lnTo>
                              <a:lnTo>
                                <a:pt x="999058" y="111671"/>
                              </a:lnTo>
                              <a:lnTo>
                                <a:pt x="999058" y="7543"/>
                              </a:lnTo>
                              <a:close/>
                            </a:path>
                            <a:path w="1353820" h="370205">
                              <a:moveTo>
                                <a:pt x="1353756" y="184861"/>
                              </a:moveTo>
                              <a:lnTo>
                                <a:pt x="1341869" y="114033"/>
                              </a:lnTo>
                              <a:lnTo>
                                <a:pt x="1306233" y="54254"/>
                              </a:lnTo>
                              <a:lnTo>
                                <a:pt x="1296416" y="44856"/>
                              </a:lnTo>
                              <a:lnTo>
                                <a:pt x="1296416" y="184861"/>
                              </a:lnTo>
                              <a:lnTo>
                                <a:pt x="1295933" y="205752"/>
                              </a:lnTo>
                              <a:lnTo>
                                <a:pt x="1292034" y="246316"/>
                              </a:lnTo>
                              <a:lnTo>
                                <a:pt x="1283804" y="284784"/>
                              </a:lnTo>
                              <a:lnTo>
                                <a:pt x="1258201" y="333298"/>
                              </a:lnTo>
                              <a:lnTo>
                                <a:pt x="1214069" y="359905"/>
                              </a:lnTo>
                              <a:lnTo>
                                <a:pt x="1194828" y="361670"/>
                              </a:lnTo>
                              <a:lnTo>
                                <a:pt x="1175143" y="359905"/>
                              </a:lnTo>
                              <a:lnTo>
                                <a:pt x="1130452" y="333298"/>
                              </a:lnTo>
                              <a:lnTo>
                                <a:pt x="1105128" y="285216"/>
                              </a:lnTo>
                              <a:lnTo>
                                <a:pt x="1097330" y="247307"/>
                              </a:lnTo>
                              <a:lnTo>
                                <a:pt x="1093685" y="206362"/>
                              </a:lnTo>
                              <a:lnTo>
                                <a:pt x="1093228" y="184861"/>
                              </a:lnTo>
                              <a:lnTo>
                                <a:pt x="1093724" y="163969"/>
                              </a:lnTo>
                              <a:lnTo>
                                <a:pt x="1097610" y="123405"/>
                              </a:lnTo>
                              <a:lnTo>
                                <a:pt x="1105852" y="84937"/>
                              </a:lnTo>
                              <a:lnTo>
                                <a:pt x="1131455" y="36423"/>
                              </a:lnTo>
                              <a:lnTo>
                                <a:pt x="1175588" y="9817"/>
                              </a:lnTo>
                              <a:lnTo>
                                <a:pt x="1194828" y="8051"/>
                              </a:lnTo>
                              <a:lnTo>
                                <a:pt x="1214513" y="9817"/>
                              </a:lnTo>
                              <a:lnTo>
                                <a:pt x="1259205" y="36423"/>
                              </a:lnTo>
                              <a:lnTo>
                                <a:pt x="1284528" y="84505"/>
                              </a:lnTo>
                              <a:lnTo>
                                <a:pt x="1292313" y="122415"/>
                              </a:lnTo>
                              <a:lnTo>
                                <a:pt x="1295971" y="163360"/>
                              </a:lnTo>
                              <a:lnTo>
                                <a:pt x="1296416" y="184861"/>
                              </a:lnTo>
                              <a:lnTo>
                                <a:pt x="1296416" y="44856"/>
                              </a:lnTo>
                              <a:lnTo>
                                <a:pt x="1281442" y="30518"/>
                              </a:lnTo>
                              <a:lnTo>
                                <a:pt x="1254620" y="13563"/>
                              </a:lnTo>
                              <a:lnTo>
                                <a:pt x="1238961" y="8051"/>
                              </a:lnTo>
                              <a:lnTo>
                                <a:pt x="1225740" y="3390"/>
                              </a:lnTo>
                              <a:lnTo>
                                <a:pt x="1194828" y="0"/>
                              </a:lnTo>
                              <a:lnTo>
                                <a:pt x="1163459" y="3390"/>
                              </a:lnTo>
                              <a:lnTo>
                                <a:pt x="1134313" y="13563"/>
                              </a:lnTo>
                              <a:lnTo>
                                <a:pt x="1082916" y="54000"/>
                              </a:lnTo>
                              <a:lnTo>
                                <a:pt x="1047648" y="113715"/>
                              </a:lnTo>
                              <a:lnTo>
                                <a:pt x="1035900" y="184861"/>
                              </a:lnTo>
                              <a:lnTo>
                                <a:pt x="1038872" y="221653"/>
                              </a:lnTo>
                              <a:lnTo>
                                <a:pt x="1062634" y="286969"/>
                              </a:lnTo>
                              <a:lnTo>
                                <a:pt x="1108214" y="339204"/>
                              </a:lnTo>
                              <a:lnTo>
                                <a:pt x="1164056" y="366344"/>
                              </a:lnTo>
                              <a:lnTo>
                                <a:pt x="1194828" y="369722"/>
                              </a:lnTo>
                              <a:lnTo>
                                <a:pt x="1226146" y="366344"/>
                              </a:lnTo>
                              <a:lnTo>
                                <a:pt x="1282103" y="339344"/>
                              </a:lnTo>
                              <a:lnTo>
                                <a:pt x="1327302" y="287299"/>
                              </a:lnTo>
                              <a:lnTo>
                                <a:pt x="1350822" y="221869"/>
                              </a:lnTo>
                              <a:lnTo>
                                <a:pt x="1353756" y="184861"/>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86.726013pt;margin-top:22.924086pt;width:106.6pt;height:29.15pt;mso-position-horizontal-relative:page;mso-position-vertical-relative:paragraph;z-index:-15727616;mso-wrap-distance-left:0;mso-wrap-distance-right:0" id="docshape7" coordorigin="5735,458" coordsize="2132,583" path="m6235,750l6230,692,6216,638,6193,589,6160,544,6145,529,6145,750,6144,783,6142,815,6138,846,6133,877,6125,907,6114,935,6101,960,6085,983,6065,1003,6042,1017,6015,1025,5985,1028,5954,1025,5927,1017,5903,1003,5883,983,5867,960,5854,935,5844,908,5836,879,5831,848,5828,816,5826,783,5825,750,5826,717,5828,684,5832,653,5837,622,5845,592,5855,565,5869,539,5885,516,5905,496,5928,482,5955,474,5985,471,6016,474,6043,482,6067,496,6086,516,6103,539,6116,564,6126,592,6133,621,6138,651,6142,683,6144,716,6145,750,6145,529,6121,507,6079,480,6054,471,6034,464,5985,458,5935,464,5890,480,5847,506,5809,544,5776,588,5753,638,5739,691,5735,750,5739,808,5753,861,5777,910,5809,955,5848,993,5887,1017,5891,1019,5936,1035,5985,1041,6034,1035,6055,1028,6080,1019,6122,993,6161,956,6193,911,6217,862,6230,808,6235,750xm6796,1023l6795,1021,6791,1013,6778,1018,6767,1021,6749,1021,6741,1018,6733,1011,6728,1005,6723,996,6720,985,6718,971,6706,874,6701,840,6692,812,6679,790,6664,774,6645,762,6620,753,6602,748,6590,746,6555,741,6584,736,6587,735,6617,727,6646,717,6672,704,6695,687,6712,666,6721,641,6725,611,6721,573,6712,542,6695,518,6672,500,6644,487,6639,486,6639,611,6637,641,6637,642,6630,668,6618,690,6602,707,6581,719,6556,728,6526,734,6491,736,6451,736,6451,483,6505,483,6541,485,6570,492,6593,503,6611,518,6623,537,6632,559,6637,584,6639,611,6639,486,6611,478,6575,472,6535,470,6291,470,6291,483,6371,483,6371,1016,6291,1016,6291,1029,6532,1029,6532,1016,6451,1016,6451,748,6503,748,6531,750,6554,755,6573,762,6586,773,6596,787,6603,803,6609,822,6612,843,6618,891,6623,929,6630,960,6638,985,6647,1003,6659,1016,6677,1026,6701,1032,6731,1034,6745,1034,6758,1033,6778,1029,6788,1026,6796,1023xm7308,470l6823,470,6823,634,6836,634,6838,590,6844,555,6854,528,6868,510,6889,498,6920,490,6959,485,7008,483,7025,483,7025,1016,6944,1016,6944,1029,7187,1029,7187,1016,7106,1016,7106,483,7123,483,7172,485,7212,490,7242,499,7263,511,7277,529,7287,556,7293,591,7295,634,7308,634,7308,470xm7866,750l7862,692,7848,638,7824,589,7792,544,7776,529,7776,750,7775,783,7773,815,7769,846,7764,877,7756,907,7746,935,7732,960,7716,983,7696,1003,7673,1017,7646,1025,7616,1028,7585,1025,7558,1017,7534,1003,7515,983,7498,960,7485,935,7475,908,7468,879,7463,848,7459,816,7457,783,7456,750,7457,717,7459,684,7463,653,7468,622,7476,592,7487,565,7500,539,7516,516,7536,496,7559,482,7586,474,7616,471,7647,474,7674,482,7698,496,7718,516,7734,539,7747,564,7757,592,7765,621,7770,651,7773,683,7775,716,7776,750,7776,529,7753,507,7710,480,7686,471,7665,464,7616,458,7567,464,7521,480,7479,506,7440,544,7408,588,7384,638,7370,691,7366,750,7371,808,7385,861,7408,910,7441,955,7480,993,7518,1017,7522,1019,7568,1035,7616,1041,7665,1035,7687,1028,7711,1019,7754,993,7792,956,7825,911,7848,862,7862,808,7866,750xe" filled="true" fillcolor="#231f20" stroked="false">
                <v:path arrowok="t"/>
                <v:fill type="solid"/>
                <w10:wrap type="topAndBottom"/>
              </v:shape>
            </w:pict>
          </mc:Fallback>
        </mc:AlternateContent>
      </w:r>
      <w:r>
        <w:rPr>
          <w:b/>
          <w:sz w:val="20"/>
        </w:rPr>
        <mc:AlternateContent>
          <mc:Choice Requires="wps">
            <w:drawing>
              <wp:anchor distT="0" distB="0" distL="0" distR="0" allowOverlap="1" layoutInCell="1" locked="0" behindDoc="1" simplePos="0" relativeHeight="487589376">
                <wp:simplePos x="0" y="0"/>
                <wp:positionH relativeFrom="page">
                  <wp:posOffset>2678944</wp:posOffset>
                </wp:positionH>
                <wp:positionV relativeFrom="paragraph">
                  <wp:posOffset>918535</wp:posOffset>
                </wp:positionV>
                <wp:extent cx="592455" cy="20891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92455" cy="208915"/>
                        </a:xfrm>
                        <a:custGeom>
                          <a:avLst/>
                          <a:gdLst/>
                          <a:ahLst/>
                          <a:cxnLst/>
                          <a:rect l="l" t="t" r="r" b="b"/>
                          <a:pathLst>
                            <a:path w="592455" h="208915">
                              <a:moveTo>
                                <a:pt x="527264" y="0"/>
                              </a:moveTo>
                              <a:lnTo>
                                <a:pt x="463649" y="0"/>
                              </a:lnTo>
                              <a:lnTo>
                                <a:pt x="463649" y="202842"/>
                              </a:lnTo>
                              <a:lnTo>
                                <a:pt x="488847" y="202842"/>
                              </a:lnTo>
                              <a:lnTo>
                                <a:pt x="488847" y="126010"/>
                              </a:lnTo>
                              <a:lnTo>
                                <a:pt x="542182" y="126010"/>
                              </a:lnTo>
                              <a:lnTo>
                                <a:pt x="576083" y="106645"/>
                              </a:lnTo>
                              <a:lnTo>
                                <a:pt x="512511" y="106645"/>
                              </a:lnTo>
                              <a:lnTo>
                                <a:pt x="504061" y="106185"/>
                              </a:lnTo>
                              <a:lnTo>
                                <a:pt x="497340" y="105646"/>
                              </a:lnTo>
                              <a:lnTo>
                                <a:pt x="488847" y="104801"/>
                              </a:lnTo>
                              <a:lnTo>
                                <a:pt x="488847" y="21205"/>
                              </a:lnTo>
                              <a:lnTo>
                                <a:pt x="580844" y="21205"/>
                              </a:lnTo>
                              <a:lnTo>
                                <a:pt x="576746" y="15980"/>
                              </a:lnTo>
                              <a:lnTo>
                                <a:pt x="567775" y="8989"/>
                              </a:lnTo>
                              <a:lnTo>
                                <a:pt x="556537" y="3995"/>
                              </a:lnTo>
                              <a:lnTo>
                                <a:pt x="543033" y="998"/>
                              </a:lnTo>
                              <a:lnTo>
                                <a:pt x="527264" y="0"/>
                              </a:lnTo>
                              <a:close/>
                            </a:path>
                            <a:path w="592455" h="208915">
                              <a:moveTo>
                                <a:pt x="542182" y="126010"/>
                              </a:moveTo>
                              <a:lnTo>
                                <a:pt x="488847" y="126010"/>
                              </a:lnTo>
                              <a:lnTo>
                                <a:pt x="496635" y="126827"/>
                              </a:lnTo>
                              <a:lnTo>
                                <a:pt x="503140" y="127443"/>
                              </a:lnTo>
                              <a:lnTo>
                                <a:pt x="513590" y="128264"/>
                              </a:lnTo>
                              <a:lnTo>
                                <a:pt x="517532" y="128467"/>
                              </a:lnTo>
                              <a:lnTo>
                                <a:pt x="520197" y="128467"/>
                              </a:lnTo>
                              <a:lnTo>
                                <a:pt x="525735" y="128264"/>
                              </a:lnTo>
                              <a:lnTo>
                                <a:pt x="527482" y="128264"/>
                              </a:lnTo>
                              <a:lnTo>
                                <a:pt x="535985" y="127276"/>
                              </a:lnTo>
                              <a:lnTo>
                                <a:pt x="542182" y="126010"/>
                              </a:lnTo>
                              <a:close/>
                            </a:path>
                            <a:path w="592455" h="208915">
                              <a:moveTo>
                                <a:pt x="580844" y="21205"/>
                              </a:moveTo>
                              <a:lnTo>
                                <a:pt x="523577" y="21205"/>
                              </a:lnTo>
                              <a:lnTo>
                                <a:pt x="534065" y="21743"/>
                              </a:lnTo>
                              <a:lnTo>
                                <a:pt x="542785" y="23357"/>
                              </a:lnTo>
                              <a:lnTo>
                                <a:pt x="566182" y="59928"/>
                              </a:lnTo>
                              <a:lnTo>
                                <a:pt x="566296" y="61466"/>
                              </a:lnTo>
                              <a:lnTo>
                                <a:pt x="565950" y="67585"/>
                              </a:lnTo>
                              <a:lnTo>
                                <a:pt x="542323" y="102650"/>
                              </a:lnTo>
                              <a:lnTo>
                                <a:pt x="515894" y="106645"/>
                              </a:lnTo>
                              <a:lnTo>
                                <a:pt x="576083" y="106645"/>
                              </a:lnTo>
                              <a:lnTo>
                                <a:pt x="592101" y="67585"/>
                              </a:lnTo>
                              <a:lnTo>
                                <a:pt x="592417" y="59928"/>
                              </a:lnTo>
                              <a:lnTo>
                                <a:pt x="591438" y="46695"/>
                              </a:lnTo>
                              <a:lnTo>
                                <a:pt x="588499" y="34959"/>
                              </a:lnTo>
                              <a:lnTo>
                                <a:pt x="583602" y="24720"/>
                              </a:lnTo>
                              <a:lnTo>
                                <a:pt x="580844" y="21205"/>
                              </a:lnTo>
                              <a:close/>
                            </a:path>
                            <a:path w="592455" h="208915">
                              <a:moveTo>
                                <a:pt x="294178" y="0"/>
                              </a:moveTo>
                              <a:lnTo>
                                <a:pt x="268975" y="0"/>
                              </a:lnTo>
                              <a:lnTo>
                                <a:pt x="269080" y="134652"/>
                              </a:lnTo>
                              <a:lnTo>
                                <a:pt x="282113" y="179082"/>
                              </a:lnTo>
                              <a:lnTo>
                                <a:pt x="318399" y="203996"/>
                              </a:lnTo>
                              <a:lnTo>
                                <a:pt x="318538" y="203996"/>
                              </a:lnTo>
                              <a:lnTo>
                                <a:pt x="332920" y="207511"/>
                              </a:lnTo>
                              <a:lnTo>
                                <a:pt x="333095" y="207511"/>
                              </a:lnTo>
                              <a:lnTo>
                                <a:pt x="348574" y="208683"/>
                              </a:lnTo>
                              <a:lnTo>
                                <a:pt x="364382" y="207511"/>
                              </a:lnTo>
                              <a:lnTo>
                                <a:pt x="378922" y="203996"/>
                              </a:lnTo>
                              <a:lnTo>
                                <a:pt x="392195" y="198137"/>
                              </a:lnTo>
                              <a:lnTo>
                                <a:pt x="404198" y="189934"/>
                              </a:lnTo>
                              <a:lnTo>
                                <a:pt x="407767" y="186245"/>
                              </a:lnTo>
                              <a:lnTo>
                                <a:pt x="348265" y="186245"/>
                              </a:lnTo>
                              <a:lnTo>
                                <a:pt x="335589" y="185150"/>
                              </a:lnTo>
                              <a:lnTo>
                                <a:pt x="301142" y="163810"/>
                              </a:lnTo>
                              <a:lnTo>
                                <a:pt x="294293" y="133386"/>
                              </a:lnTo>
                              <a:lnTo>
                                <a:pt x="294178" y="0"/>
                              </a:lnTo>
                              <a:close/>
                            </a:path>
                            <a:path w="592455" h="208915">
                              <a:moveTo>
                                <a:pt x="427558" y="0"/>
                              </a:moveTo>
                              <a:lnTo>
                                <a:pt x="402356" y="0"/>
                              </a:lnTo>
                              <a:lnTo>
                                <a:pt x="402240" y="133386"/>
                              </a:lnTo>
                              <a:lnTo>
                                <a:pt x="402221" y="134652"/>
                              </a:lnTo>
                              <a:lnTo>
                                <a:pt x="382149" y="176392"/>
                              </a:lnTo>
                              <a:lnTo>
                                <a:pt x="348265" y="186245"/>
                              </a:lnTo>
                              <a:lnTo>
                                <a:pt x="407767" y="186245"/>
                              </a:lnTo>
                              <a:lnTo>
                                <a:pt x="414417" y="179369"/>
                              </a:lnTo>
                              <a:lnTo>
                                <a:pt x="421718" y="166423"/>
                              </a:lnTo>
                              <a:lnTo>
                                <a:pt x="426098" y="151095"/>
                              </a:lnTo>
                              <a:lnTo>
                                <a:pt x="427454" y="134652"/>
                              </a:lnTo>
                              <a:lnTo>
                                <a:pt x="427558" y="0"/>
                              </a:lnTo>
                              <a:close/>
                            </a:path>
                            <a:path w="592455" h="208915">
                              <a:moveTo>
                                <a:pt x="248755" y="0"/>
                              </a:moveTo>
                              <a:lnTo>
                                <a:pt x="134739" y="0"/>
                              </a:lnTo>
                              <a:lnTo>
                                <a:pt x="134739" y="202842"/>
                              </a:lnTo>
                              <a:lnTo>
                                <a:pt x="251522" y="202842"/>
                              </a:lnTo>
                              <a:lnTo>
                                <a:pt x="251522" y="181636"/>
                              </a:lnTo>
                              <a:lnTo>
                                <a:pt x="159937" y="181636"/>
                              </a:lnTo>
                              <a:lnTo>
                                <a:pt x="159937" y="110026"/>
                              </a:lnTo>
                              <a:lnTo>
                                <a:pt x="233389" y="110026"/>
                              </a:lnTo>
                              <a:lnTo>
                                <a:pt x="233389" y="88819"/>
                              </a:lnTo>
                              <a:lnTo>
                                <a:pt x="159937" y="88819"/>
                              </a:lnTo>
                              <a:lnTo>
                                <a:pt x="159937" y="21205"/>
                              </a:lnTo>
                              <a:lnTo>
                                <a:pt x="248755" y="21205"/>
                              </a:lnTo>
                              <a:lnTo>
                                <a:pt x="248755" y="0"/>
                              </a:lnTo>
                              <a:close/>
                            </a:path>
                            <a:path w="592455" h="208915">
                              <a:moveTo>
                                <a:pt x="114019" y="0"/>
                              </a:moveTo>
                              <a:lnTo>
                                <a:pt x="0" y="0"/>
                              </a:lnTo>
                              <a:lnTo>
                                <a:pt x="0" y="202842"/>
                              </a:lnTo>
                              <a:lnTo>
                                <a:pt x="25202" y="202842"/>
                              </a:lnTo>
                              <a:lnTo>
                                <a:pt x="25202" y="112177"/>
                              </a:lnTo>
                              <a:lnTo>
                                <a:pt x="98651" y="112177"/>
                              </a:lnTo>
                              <a:lnTo>
                                <a:pt x="98651" y="90665"/>
                              </a:lnTo>
                              <a:lnTo>
                                <a:pt x="25202" y="90665"/>
                              </a:lnTo>
                              <a:lnTo>
                                <a:pt x="25202" y="21205"/>
                              </a:lnTo>
                              <a:lnTo>
                                <a:pt x="114019" y="21205"/>
                              </a:lnTo>
                              <a:lnTo>
                                <a:pt x="114019" y="0"/>
                              </a:lnTo>
                              <a:close/>
                            </a:path>
                          </a:pathLst>
                        </a:custGeom>
                        <a:solidFill>
                          <a:srgbClr val="A73520"/>
                        </a:solidFill>
                      </wps:spPr>
                      <wps:bodyPr wrap="square" lIns="0" tIns="0" rIns="0" bIns="0" rtlCol="0">
                        <a:prstTxWarp prst="textNoShape">
                          <a:avLst/>
                        </a:prstTxWarp>
                        <a:noAutofit/>
                      </wps:bodyPr>
                    </wps:wsp>
                  </a:graphicData>
                </a:graphic>
              </wp:anchor>
            </w:drawing>
          </mc:Choice>
          <mc:Fallback>
            <w:pict>
              <v:shape style="position:absolute;margin-left:210.940506pt;margin-top:72.325645pt;width:46.65pt;height:16.45pt;mso-position-horizontal-relative:page;mso-position-vertical-relative:paragraph;z-index:-15727104;mso-wrap-distance-left:0;mso-wrap-distance-right:0" id="docshape8" coordorigin="4219,1447" coordsize="933,329" path="m5049,1447l4949,1447,4949,1766,4989,1766,4989,1645,5073,1645,5074,1645,5085,1641,5095,1637,5105,1632,5113,1626,5121,1620,5126,1614,5026,1614,5013,1614,5002,1613,4989,1612,4989,1480,5134,1480,5127,1472,5113,1461,5095,1453,5074,1448,5049,1447xm5073,1645l4989,1645,5001,1646,5011,1647,5028,1649,5034,1649,5038,1649,5047,1649,5049,1649,5063,1647,5073,1645xm5134,1480l5043,1480,5060,1481,5074,1483,5085,1488,5093,1493,5101,1503,5106,1515,5109,1528,5110,1541,5111,1543,5110,1553,5110,1555,5108,1564,5108,1565,5105,1575,5100,1584,5094,1595,5084,1603,5073,1608,5065,1611,5055,1613,5044,1614,5031,1614,5126,1614,5128,1612,5134,1604,5139,1595,5144,1586,5147,1575,5150,1565,5150,1564,5151,1553,5152,1543,5152,1541,5150,1520,5146,1502,5138,1485,5134,1480xm4682,1447l4642,1447,4643,1659,4645,1684,4652,1708,4663,1729,4679,1745,4699,1758,4720,1768,4720,1768,4743,1773,4743,1773,4768,1775,4793,1773,4816,1768,4836,1759,4855,1746,4861,1740,4767,1740,4747,1738,4730,1733,4714,1724,4700,1712,4693,1704,4688,1696,4685,1687,4684,1680,4683,1670,4682,1659,4682,1657,4682,1447xm4892,1447l4852,1447,4852,1657,4852,1659,4852,1670,4851,1680,4849,1687,4846,1696,4841,1704,4834,1712,4821,1724,4805,1733,4787,1738,4767,1740,4861,1740,4871,1729,4883,1709,4890,1684,4892,1659,4892,1447xm4611,1447l4431,1447,4431,1766,4615,1766,4615,1733,4471,1733,4471,1620,4586,1620,4586,1586,4471,1586,4471,1480,4611,1480,4611,1447xm4398,1447l4219,1447,4219,1766,4258,1766,4258,1623,4374,1623,4374,1589,4258,1589,4258,1480,4398,1480,4398,1447xe" filled="true" fillcolor="#a73520" stroked="false">
                <v:path arrowok="t"/>
                <v:fill type="solid"/>
                <w10:wrap type="topAndBottom"/>
              </v:shape>
            </w:pict>
          </mc:Fallback>
        </mc:AlternateContent>
      </w:r>
      <w:r>
        <w:rPr>
          <w:b/>
          <w:sz w:val="20"/>
        </w:rPr>
        <mc:AlternateContent>
          <mc:Choice Requires="wps">
            <w:drawing>
              <wp:anchor distT="0" distB="0" distL="0" distR="0" allowOverlap="1" layoutInCell="1" locked="0" behindDoc="1" simplePos="0" relativeHeight="487589888">
                <wp:simplePos x="0" y="0"/>
                <wp:positionH relativeFrom="page">
                  <wp:posOffset>3371398</wp:posOffset>
                </wp:positionH>
                <wp:positionV relativeFrom="paragraph">
                  <wp:posOffset>904771</wp:posOffset>
                </wp:positionV>
                <wp:extent cx="759460" cy="97790"/>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759460" cy="97790"/>
                          <a:chExt cx="759460" cy="97790"/>
                        </a:xfrm>
                      </wpg:grpSpPr>
                      <pic:pic>
                        <pic:nvPicPr>
                          <pic:cNvPr id="10" name="Image 10"/>
                          <pic:cNvPicPr/>
                        </pic:nvPicPr>
                        <pic:blipFill>
                          <a:blip r:embed="rId7" cstate="print"/>
                          <a:stretch>
                            <a:fillRect/>
                          </a:stretch>
                        </pic:blipFill>
                        <pic:spPr>
                          <a:xfrm>
                            <a:off x="0" y="0"/>
                            <a:ext cx="320467" cy="97191"/>
                          </a:xfrm>
                          <a:prstGeom prst="rect">
                            <a:avLst/>
                          </a:prstGeom>
                        </pic:spPr>
                      </pic:pic>
                      <pic:pic>
                        <pic:nvPicPr>
                          <pic:cNvPr id="11" name="Image 11"/>
                          <pic:cNvPicPr/>
                        </pic:nvPicPr>
                        <pic:blipFill>
                          <a:blip r:embed="rId8" cstate="print"/>
                          <a:stretch>
                            <a:fillRect/>
                          </a:stretch>
                        </pic:blipFill>
                        <pic:spPr>
                          <a:xfrm>
                            <a:off x="343558" y="1700"/>
                            <a:ext cx="415278" cy="93645"/>
                          </a:xfrm>
                          <a:prstGeom prst="rect">
                            <a:avLst/>
                          </a:prstGeom>
                        </pic:spPr>
                      </pic:pic>
                    </wpg:wgp>
                  </a:graphicData>
                </a:graphic>
              </wp:anchor>
            </w:drawing>
          </mc:Choice>
          <mc:Fallback>
            <w:pict>
              <v:group style="position:absolute;margin-left:265.464417pt;margin-top:71.241852pt;width:59.8pt;height:7.7pt;mso-position-horizontal-relative:page;mso-position-vertical-relative:paragraph;z-index:-15726592;mso-wrap-distance-left:0;mso-wrap-distance-right:0" id="docshapegroup9" coordorigin="5309,1425" coordsize="1196,154">
                <v:shape style="position:absolute;left:5309;top:1424;width:505;height:154" type="#_x0000_t75" id="docshape10" stroked="false">
                  <v:imagedata r:id="rId7" o:title=""/>
                </v:shape>
                <v:shape style="position:absolute;left:5850;top:1427;width:654;height:148" type="#_x0000_t75" id="docshape11" stroked="false">
                  <v:imagedata r:id="rId8" o:title=""/>
                </v:shape>
                <w10:wrap type="topAndBottom"/>
              </v:group>
            </w:pict>
          </mc:Fallback>
        </mc:AlternateContent>
      </w:r>
    </w:p>
    <w:p>
      <w:pPr>
        <w:pStyle w:val="BodyText"/>
        <w:spacing w:before="1"/>
        <w:rPr>
          <w:b/>
          <w:sz w:val="20"/>
        </w:rPr>
      </w:pPr>
    </w:p>
    <w:p>
      <w:pPr>
        <w:pStyle w:val="BodyText"/>
        <w:rPr>
          <w:b/>
          <w:sz w:val="24"/>
        </w:rPr>
      </w:pPr>
    </w:p>
    <w:p>
      <w:pPr>
        <w:pStyle w:val="BodyText"/>
        <w:rPr>
          <w:b/>
          <w:sz w:val="24"/>
        </w:rPr>
      </w:pPr>
    </w:p>
    <w:p>
      <w:pPr>
        <w:pStyle w:val="BodyText"/>
        <w:spacing w:before="80"/>
        <w:rPr>
          <w:b/>
          <w:sz w:val="24"/>
        </w:rPr>
      </w:pPr>
    </w:p>
    <w:p>
      <w:pPr>
        <w:spacing w:before="0"/>
        <w:ind w:left="601" w:right="882" w:firstLine="0"/>
        <w:jc w:val="center"/>
        <w:rPr>
          <w:sz w:val="24"/>
        </w:rPr>
      </w:pPr>
      <w:r>
        <w:rPr>
          <w:sz w:val="24"/>
        </w:rPr>
        <mc:AlternateContent>
          <mc:Choice Requires="wps">
            <w:drawing>
              <wp:anchor distT="0" distB="0" distL="0" distR="0" allowOverlap="1" layoutInCell="1" locked="0" behindDoc="0" simplePos="0" relativeHeight="15731200">
                <wp:simplePos x="0" y="0"/>
                <wp:positionH relativeFrom="page">
                  <wp:posOffset>3371683</wp:posOffset>
                </wp:positionH>
                <wp:positionV relativeFrom="paragraph">
                  <wp:posOffset>-632296</wp:posOffset>
                </wp:positionV>
                <wp:extent cx="952500" cy="9906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952500" cy="99060"/>
                          <a:chExt cx="952500" cy="99060"/>
                        </a:xfrm>
                      </wpg:grpSpPr>
                      <pic:pic>
                        <pic:nvPicPr>
                          <pic:cNvPr id="13" name="Image 13"/>
                          <pic:cNvPicPr/>
                        </pic:nvPicPr>
                        <pic:blipFill>
                          <a:blip r:embed="rId9" cstate="print"/>
                          <a:stretch>
                            <a:fillRect/>
                          </a:stretch>
                        </pic:blipFill>
                        <pic:spPr>
                          <a:xfrm>
                            <a:off x="0" y="2695"/>
                            <a:ext cx="73204" cy="96337"/>
                          </a:xfrm>
                          <a:prstGeom prst="rect">
                            <a:avLst/>
                          </a:prstGeom>
                        </pic:spPr>
                      </pic:pic>
                      <pic:pic>
                        <pic:nvPicPr>
                          <pic:cNvPr id="14" name="Image 14"/>
                          <pic:cNvPicPr/>
                        </pic:nvPicPr>
                        <pic:blipFill>
                          <a:blip r:embed="rId10" cstate="print"/>
                          <a:stretch>
                            <a:fillRect/>
                          </a:stretch>
                        </pic:blipFill>
                        <pic:spPr>
                          <a:xfrm>
                            <a:off x="101632" y="2695"/>
                            <a:ext cx="76747" cy="94492"/>
                          </a:xfrm>
                          <a:prstGeom prst="rect">
                            <a:avLst/>
                          </a:prstGeom>
                        </pic:spPr>
                      </pic:pic>
                      <pic:pic>
                        <pic:nvPicPr>
                          <pic:cNvPr id="15" name="Image 15"/>
                          <pic:cNvPicPr/>
                        </pic:nvPicPr>
                        <pic:blipFill>
                          <a:blip r:embed="rId11" cstate="print"/>
                          <a:stretch>
                            <a:fillRect/>
                          </a:stretch>
                        </pic:blipFill>
                        <pic:spPr>
                          <a:xfrm>
                            <a:off x="209192" y="2695"/>
                            <a:ext cx="179399" cy="96055"/>
                          </a:xfrm>
                          <a:prstGeom prst="rect">
                            <a:avLst/>
                          </a:prstGeom>
                        </pic:spPr>
                      </pic:pic>
                      <pic:pic>
                        <pic:nvPicPr>
                          <pic:cNvPr id="16" name="Image 16"/>
                          <pic:cNvPicPr/>
                        </pic:nvPicPr>
                        <pic:blipFill>
                          <a:blip r:embed="rId12" cstate="print"/>
                          <a:stretch>
                            <a:fillRect/>
                          </a:stretch>
                        </pic:blipFill>
                        <pic:spPr>
                          <a:xfrm>
                            <a:off x="411028" y="1136"/>
                            <a:ext cx="135464" cy="97046"/>
                          </a:xfrm>
                          <a:prstGeom prst="rect">
                            <a:avLst/>
                          </a:prstGeom>
                        </pic:spPr>
                      </pic:pic>
                      <wps:wsp>
                        <wps:cNvPr id="17" name="Graphic 17"/>
                        <wps:cNvSpPr/>
                        <wps:spPr>
                          <a:xfrm>
                            <a:off x="569583" y="2695"/>
                            <a:ext cx="12065" cy="93980"/>
                          </a:xfrm>
                          <a:custGeom>
                            <a:avLst/>
                            <a:gdLst/>
                            <a:ahLst/>
                            <a:cxnLst/>
                            <a:rect l="l" t="t" r="r" b="b"/>
                            <a:pathLst>
                              <a:path w="12065" h="93980">
                                <a:moveTo>
                                  <a:pt x="11633" y="0"/>
                                </a:moveTo>
                                <a:lnTo>
                                  <a:pt x="0" y="0"/>
                                </a:lnTo>
                                <a:lnTo>
                                  <a:pt x="0" y="93642"/>
                                </a:lnTo>
                                <a:lnTo>
                                  <a:pt x="11633" y="93642"/>
                                </a:lnTo>
                                <a:lnTo>
                                  <a:pt x="11633" y="0"/>
                                </a:lnTo>
                                <a:close/>
                              </a:path>
                            </a:pathLst>
                          </a:custGeom>
                          <a:solidFill>
                            <a:srgbClr val="231F20"/>
                          </a:solidFill>
                        </wps:spPr>
                        <wps:bodyPr wrap="square" lIns="0" tIns="0" rIns="0" bIns="0" rtlCol="0">
                          <a:prstTxWarp prst="textNoShape">
                            <a:avLst/>
                          </a:prstTxWarp>
                          <a:noAutofit/>
                        </wps:bodyPr>
                      </wps:wsp>
                      <pic:pic>
                        <pic:nvPicPr>
                          <pic:cNvPr id="18" name="Image 18"/>
                          <pic:cNvPicPr/>
                        </pic:nvPicPr>
                        <pic:blipFill>
                          <a:blip r:embed="rId13" cstate="print"/>
                          <a:stretch>
                            <a:fillRect/>
                          </a:stretch>
                        </pic:blipFill>
                        <pic:spPr>
                          <a:xfrm>
                            <a:off x="612241" y="0"/>
                            <a:ext cx="263453" cy="96337"/>
                          </a:xfrm>
                          <a:prstGeom prst="rect">
                            <a:avLst/>
                          </a:prstGeom>
                        </pic:spPr>
                      </pic:pic>
                      <wps:wsp>
                        <wps:cNvPr id="19" name="Graphic 19"/>
                        <wps:cNvSpPr/>
                        <wps:spPr>
                          <a:xfrm>
                            <a:off x="898145" y="3154"/>
                            <a:ext cx="53975" cy="92710"/>
                          </a:xfrm>
                          <a:custGeom>
                            <a:avLst/>
                            <a:gdLst/>
                            <a:ahLst/>
                            <a:cxnLst/>
                            <a:rect l="l" t="t" r="r" b="b"/>
                            <a:pathLst>
                              <a:path w="53975" h="92710">
                                <a:moveTo>
                                  <a:pt x="53911" y="83820"/>
                                </a:moveTo>
                                <a:lnTo>
                                  <a:pt x="11620" y="83820"/>
                                </a:lnTo>
                                <a:lnTo>
                                  <a:pt x="11620" y="50800"/>
                                </a:lnTo>
                                <a:lnTo>
                                  <a:pt x="45529" y="50800"/>
                                </a:lnTo>
                                <a:lnTo>
                                  <a:pt x="45529" y="40640"/>
                                </a:lnTo>
                                <a:lnTo>
                                  <a:pt x="11620" y="40640"/>
                                </a:lnTo>
                                <a:lnTo>
                                  <a:pt x="11620" y="8890"/>
                                </a:lnTo>
                                <a:lnTo>
                                  <a:pt x="52628" y="8890"/>
                                </a:lnTo>
                                <a:lnTo>
                                  <a:pt x="52628" y="0"/>
                                </a:lnTo>
                                <a:lnTo>
                                  <a:pt x="0" y="0"/>
                                </a:lnTo>
                                <a:lnTo>
                                  <a:pt x="0" y="8890"/>
                                </a:lnTo>
                                <a:lnTo>
                                  <a:pt x="0" y="40640"/>
                                </a:lnTo>
                                <a:lnTo>
                                  <a:pt x="0" y="50800"/>
                                </a:lnTo>
                                <a:lnTo>
                                  <a:pt x="0" y="83820"/>
                                </a:lnTo>
                                <a:lnTo>
                                  <a:pt x="0" y="92710"/>
                                </a:lnTo>
                                <a:lnTo>
                                  <a:pt x="53911" y="92710"/>
                                </a:lnTo>
                                <a:lnTo>
                                  <a:pt x="53911" y="8382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65.486877pt;margin-top:-49.787151pt;width:75pt;height:7.8pt;mso-position-horizontal-relative:page;mso-position-vertical-relative:paragraph;z-index:15731200" id="docshapegroup12" coordorigin="5310,-996" coordsize="1500,156">
                <v:shape style="position:absolute;left:5309;top:-992;width:116;height:152" type="#_x0000_t75" id="docshape13" stroked="false">
                  <v:imagedata r:id="rId9" o:title=""/>
                </v:shape>
                <v:shape style="position:absolute;left:5469;top:-992;width:121;height:149" type="#_x0000_t75" id="docshape14" stroked="false">
                  <v:imagedata r:id="rId10" o:title=""/>
                </v:shape>
                <v:shape style="position:absolute;left:5639;top:-992;width:283;height:152" type="#_x0000_t75" id="docshape15" stroked="false">
                  <v:imagedata r:id="rId11" o:title=""/>
                </v:shape>
                <v:shape style="position:absolute;left:5957;top:-994;width:214;height:153" type="#_x0000_t75" id="docshape16" stroked="false">
                  <v:imagedata r:id="rId12" o:title=""/>
                </v:shape>
                <v:rect style="position:absolute;left:6206;top:-992;width:19;height:148" id="docshape17" filled="true" fillcolor="#231f20" stroked="false">
                  <v:fill type="solid"/>
                </v:rect>
                <v:shape style="position:absolute;left:6273;top:-996;width:415;height:152" type="#_x0000_t75" id="docshape18" stroked="false">
                  <v:imagedata r:id="rId13" o:title=""/>
                </v:shape>
                <v:shape style="position:absolute;left:6724;top:-991;width:85;height:146" id="docshape19" coordorigin="6724,-991" coordsize="85,146" path="m6809,-859l6742,-859,6742,-911,6796,-911,6796,-927,6742,-927,6742,-977,6807,-977,6807,-991,6724,-991,6724,-977,6724,-927,6724,-911,6724,-859,6724,-845,6809,-845,6809,-859xe" filled="true" fillcolor="#231f20" stroked="false">
                  <v:path arrowok="t"/>
                  <v:fill type="solid"/>
                </v:shape>
                <w10:wrap type="none"/>
              </v:group>
            </w:pict>
          </mc:Fallback>
        </mc:AlternateContent>
      </w:r>
      <w:r>
        <w:rPr>
          <w:sz w:val="24"/>
        </w:rPr>
        <w:drawing>
          <wp:anchor distT="0" distB="0" distL="0" distR="0" allowOverlap="1" layoutInCell="1" locked="0" behindDoc="0" simplePos="0" relativeHeight="15731712">
            <wp:simplePos x="0" y="0"/>
            <wp:positionH relativeFrom="page">
              <wp:posOffset>4381712</wp:posOffset>
            </wp:positionH>
            <wp:positionV relativeFrom="paragraph">
              <wp:posOffset>-631302</wp:posOffset>
            </wp:positionV>
            <wp:extent cx="186396" cy="97154"/>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14" cstate="print"/>
                    <a:stretch>
                      <a:fillRect/>
                    </a:stretch>
                  </pic:blipFill>
                  <pic:spPr>
                    <a:xfrm>
                      <a:off x="0" y="0"/>
                      <a:ext cx="186396" cy="97154"/>
                    </a:xfrm>
                    <a:prstGeom prst="rect">
                      <a:avLst/>
                    </a:prstGeom>
                  </pic:spPr>
                </pic:pic>
              </a:graphicData>
            </a:graphic>
          </wp:anchor>
        </w:drawing>
      </w:r>
      <w:r>
        <w:rPr>
          <w:sz w:val="24"/>
        </w:rPr>
        <mc:AlternateContent>
          <mc:Choice Requires="wps">
            <w:drawing>
              <wp:anchor distT="0" distB="0" distL="0" distR="0" allowOverlap="1" layoutInCell="1" locked="0" behindDoc="0" simplePos="0" relativeHeight="15732224">
                <wp:simplePos x="0" y="0"/>
                <wp:positionH relativeFrom="page">
                  <wp:posOffset>4626198</wp:posOffset>
                </wp:positionH>
                <wp:positionV relativeFrom="paragraph">
                  <wp:posOffset>-631302</wp:posOffset>
                </wp:positionV>
                <wp:extent cx="432434" cy="9779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432434" cy="97790"/>
                          <a:chExt cx="432434" cy="97790"/>
                        </a:xfrm>
                      </wpg:grpSpPr>
                      <pic:pic>
                        <pic:nvPicPr>
                          <pic:cNvPr id="22" name="Image 22"/>
                          <pic:cNvPicPr/>
                        </pic:nvPicPr>
                        <pic:blipFill>
                          <a:blip r:embed="rId15" cstate="print"/>
                          <a:stretch>
                            <a:fillRect/>
                          </a:stretch>
                        </pic:blipFill>
                        <pic:spPr>
                          <a:xfrm>
                            <a:off x="0" y="0"/>
                            <a:ext cx="164508" cy="97188"/>
                          </a:xfrm>
                          <a:prstGeom prst="rect">
                            <a:avLst/>
                          </a:prstGeom>
                        </pic:spPr>
                      </pic:pic>
                      <pic:pic>
                        <pic:nvPicPr>
                          <pic:cNvPr id="23" name="Image 23"/>
                          <pic:cNvPicPr/>
                        </pic:nvPicPr>
                        <pic:blipFill>
                          <a:blip r:embed="rId16" cstate="print"/>
                          <a:stretch>
                            <a:fillRect/>
                          </a:stretch>
                        </pic:blipFill>
                        <pic:spPr>
                          <a:xfrm>
                            <a:off x="186998" y="0"/>
                            <a:ext cx="244870" cy="97188"/>
                          </a:xfrm>
                          <a:prstGeom prst="rect">
                            <a:avLst/>
                          </a:prstGeom>
                        </pic:spPr>
                      </pic:pic>
                    </wpg:wgp>
                  </a:graphicData>
                </a:graphic>
              </wp:anchor>
            </w:drawing>
          </mc:Choice>
          <mc:Fallback>
            <w:pict>
              <v:group style="position:absolute;margin-left:364.267609pt;margin-top:-49.708839pt;width:34.050pt;height:7.7pt;mso-position-horizontal-relative:page;mso-position-vertical-relative:paragraph;z-index:15732224" id="docshapegroup20" coordorigin="7285,-994" coordsize="681,154">
                <v:shape style="position:absolute;left:7285;top:-995;width:260;height:154" type="#_x0000_t75" id="docshape21" stroked="false">
                  <v:imagedata r:id="rId15" o:title=""/>
                </v:shape>
                <v:shape style="position:absolute;left:7579;top:-995;width:386;height:154" type="#_x0000_t75" id="docshape22" stroked="false">
                  <v:imagedata r:id="rId16" o:title=""/>
                </v:shape>
                <w10:wrap type="none"/>
              </v:group>
            </w:pict>
          </mc:Fallback>
        </mc:AlternateContent>
      </w:r>
      <w:r>
        <w:rPr>
          <w:sz w:val="24"/>
        </w:rPr>
        <w:drawing>
          <wp:anchor distT="0" distB="0" distL="0" distR="0" allowOverlap="1" layoutInCell="1" locked="0" behindDoc="0" simplePos="0" relativeHeight="15732736">
            <wp:simplePos x="0" y="0"/>
            <wp:positionH relativeFrom="page">
              <wp:posOffset>4182314</wp:posOffset>
            </wp:positionH>
            <wp:positionV relativeFrom="paragraph">
              <wp:posOffset>-797282</wp:posOffset>
            </wp:positionV>
            <wp:extent cx="160055" cy="93345"/>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17" cstate="print"/>
                    <a:stretch>
                      <a:fillRect/>
                    </a:stretch>
                  </pic:blipFill>
                  <pic:spPr>
                    <a:xfrm>
                      <a:off x="0" y="0"/>
                      <a:ext cx="160055" cy="93345"/>
                    </a:xfrm>
                    <a:prstGeom prst="rect">
                      <a:avLst/>
                    </a:prstGeom>
                  </pic:spPr>
                </pic:pic>
              </a:graphicData>
            </a:graphic>
          </wp:anchor>
        </w:drawing>
      </w:r>
      <w:r>
        <w:rPr>
          <w:sz w:val="24"/>
        </w:rPr>
        <mc:AlternateContent>
          <mc:Choice Requires="wps">
            <w:drawing>
              <wp:anchor distT="0" distB="0" distL="0" distR="0" allowOverlap="1" layoutInCell="1" locked="0" behindDoc="0" simplePos="0" relativeHeight="15733248">
                <wp:simplePos x="0" y="0"/>
                <wp:positionH relativeFrom="page">
                  <wp:posOffset>4395811</wp:posOffset>
                </wp:positionH>
                <wp:positionV relativeFrom="paragraph">
                  <wp:posOffset>-798841</wp:posOffset>
                </wp:positionV>
                <wp:extent cx="859790" cy="97155"/>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859790" cy="97155"/>
                          <a:chExt cx="859790" cy="97155"/>
                        </a:xfrm>
                      </wpg:grpSpPr>
                      <pic:pic>
                        <pic:nvPicPr>
                          <pic:cNvPr id="26" name="Image 26"/>
                          <pic:cNvPicPr/>
                        </pic:nvPicPr>
                        <pic:blipFill>
                          <a:blip r:embed="rId18" cstate="print"/>
                          <a:stretch>
                            <a:fillRect/>
                          </a:stretch>
                        </pic:blipFill>
                        <pic:spPr>
                          <a:xfrm>
                            <a:off x="0" y="0"/>
                            <a:ext cx="261469" cy="97049"/>
                          </a:xfrm>
                          <a:prstGeom prst="rect">
                            <a:avLst/>
                          </a:prstGeom>
                        </pic:spPr>
                      </pic:pic>
                      <pic:pic>
                        <pic:nvPicPr>
                          <pic:cNvPr id="27" name="Image 27"/>
                          <pic:cNvPicPr/>
                        </pic:nvPicPr>
                        <pic:blipFill>
                          <a:blip r:embed="rId19" cstate="print"/>
                          <a:stretch>
                            <a:fillRect/>
                          </a:stretch>
                        </pic:blipFill>
                        <pic:spPr>
                          <a:xfrm>
                            <a:off x="284674" y="1559"/>
                            <a:ext cx="157570" cy="94496"/>
                          </a:xfrm>
                          <a:prstGeom prst="rect">
                            <a:avLst/>
                          </a:prstGeom>
                        </pic:spPr>
                      </pic:pic>
                      <pic:pic>
                        <pic:nvPicPr>
                          <pic:cNvPr id="28" name="Image 28"/>
                          <pic:cNvPicPr/>
                        </pic:nvPicPr>
                        <pic:blipFill>
                          <a:blip r:embed="rId20" cstate="print"/>
                          <a:stretch>
                            <a:fillRect/>
                          </a:stretch>
                        </pic:blipFill>
                        <pic:spPr>
                          <a:xfrm>
                            <a:off x="468827" y="1559"/>
                            <a:ext cx="390803" cy="93645"/>
                          </a:xfrm>
                          <a:prstGeom prst="rect">
                            <a:avLst/>
                          </a:prstGeom>
                        </pic:spPr>
                      </pic:pic>
                    </wpg:wgp>
                  </a:graphicData>
                </a:graphic>
              </wp:anchor>
            </w:drawing>
          </mc:Choice>
          <mc:Fallback>
            <w:pict>
              <v:group style="position:absolute;margin-left:346.126862pt;margin-top:-62.90089pt;width:67.7pt;height:7.65pt;mso-position-horizontal-relative:page;mso-position-vertical-relative:paragraph;z-index:15733248" id="docshapegroup23" coordorigin="6923,-1258" coordsize="1354,153">
                <v:shape style="position:absolute;left:6922;top:-1259;width:412;height:153" type="#_x0000_t75" id="docshape24" stroked="false">
                  <v:imagedata r:id="rId18" o:title=""/>
                </v:shape>
                <v:shape style="position:absolute;left:7370;top:-1256;width:249;height:149" type="#_x0000_t75" id="docshape25" stroked="false">
                  <v:imagedata r:id="rId19" o:title=""/>
                </v:shape>
                <v:shape style="position:absolute;left:7660;top:-1256;width:616;height:148" type="#_x0000_t75" id="docshape26" stroked="false">
                  <v:imagedata r:id="rId20" o:title=""/>
                </v:shape>
                <w10:wrap type="none"/>
              </v:group>
            </w:pict>
          </mc:Fallback>
        </mc:AlternateContent>
      </w:r>
      <w:r>
        <w:rPr>
          <w:sz w:val="24"/>
        </w:rPr>
        <w:t>Mestrado</w:t>
      </w:r>
      <w:r>
        <w:rPr>
          <w:spacing w:val="-7"/>
          <w:sz w:val="24"/>
        </w:rPr>
        <w:t> </w:t>
      </w:r>
      <w:r>
        <w:rPr>
          <w:sz w:val="24"/>
        </w:rPr>
        <w:t>em</w:t>
      </w:r>
      <w:r>
        <w:rPr>
          <w:spacing w:val="-7"/>
          <w:sz w:val="24"/>
        </w:rPr>
        <w:t> </w:t>
      </w:r>
      <w:r>
        <w:rPr>
          <w:sz w:val="24"/>
        </w:rPr>
        <w:t>Engenharia</w:t>
      </w:r>
      <w:r>
        <w:rPr>
          <w:spacing w:val="-6"/>
          <w:sz w:val="24"/>
        </w:rPr>
        <w:t> </w:t>
      </w:r>
      <w:r>
        <w:rPr>
          <w:sz w:val="24"/>
        </w:rPr>
        <w:t>e</w:t>
      </w:r>
      <w:r>
        <w:rPr>
          <w:spacing w:val="-7"/>
          <w:sz w:val="24"/>
        </w:rPr>
        <w:t> </w:t>
      </w:r>
      <w:r>
        <w:rPr>
          <w:sz w:val="24"/>
        </w:rPr>
        <w:t>Ciência</w:t>
      </w:r>
      <w:r>
        <w:rPr>
          <w:spacing w:val="-6"/>
          <w:sz w:val="24"/>
        </w:rPr>
        <w:t> </w:t>
      </w:r>
      <w:r>
        <w:rPr>
          <w:sz w:val="24"/>
        </w:rPr>
        <w:t>de</w:t>
      </w:r>
      <w:r>
        <w:rPr>
          <w:spacing w:val="-7"/>
          <w:sz w:val="24"/>
        </w:rPr>
        <w:t> </w:t>
      </w:r>
      <w:r>
        <w:rPr>
          <w:spacing w:val="-2"/>
          <w:sz w:val="24"/>
        </w:rPr>
        <w:t>Dados</w:t>
      </w:r>
    </w:p>
    <w:p>
      <w:pPr>
        <w:pStyle w:val="BodyText"/>
        <w:rPr>
          <w:sz w:val="24"/>
        </w:rPr>
      </w:pPr>
    </w:p>
    <w:p>
      <w:pPr>
        <w:pStyle w:val="BodyText"/>
        <w:spacing w:before="28"/>
        <w:rPr>
          <w:sz w:val="24"/>
        </w:rPr>
      </w:pPr>
    </w:p>
    <w:p>
      <w:pPr>
        <w:pStyle w:val="BodyText"/>
        <w:spacing w:line="681" w:lineRule="auto"/>
        <w:ind w:left="2066" w:right="3678" w:firstLine="309"/>
      </w:pPr>
      <w:r>
        <w:rPr>
          <w:w w:val="115"/>
        </w:rPr>
        <w:t>Supervisor:</w:t>
      </w:r>
      <w:r>
        <w:rPr>
          <w:spacing w:val="40"/>
          <w:w w:val="115"/>
        </w:rPr>
        <w:t> </w:t>
      </w:r>
      <w:r>
        <w:rPr>
          <w:w w:val="115"/>
        </w:rPr>
        <w:t>Prof. Joao Paulo Moreira Co-Supervisor:</w:t>
      </w:r>
      <w:r>
        <w:rPr>
          <w:spacing w:val="20"/>
          <w:w w:val="115"/>
        </w:rPr>
        <w:t> </w:t>
      </w:r>
      <w:r>
        <w:rPr>
          <w:w w:val="115"/>
        </w:rPr>
        <w:t>Prof.</w:t>
      </w:r>
      <w:r>
        <w:rPr>
          <w:spacing w:val="-1"/>
          <w:w w:val="115"/>
        </w:rPr>
        <w:t> </w:t>
      </w:r>
      <w:r>
        <w:rPr>
          <w:w w:val="115"/>
        </w:rPr>
        <w:t>Mario</w:t>
      </w:r>
      <w:r>
        <w:rPr>
          <w:spacing w:val="-1"/>
          <w:w w:val="115"/>
        </w:rPr>
        <w:t> </w:t>
      </w:r>
      <w:r>
        <w:rPr>
          <w:w w:val="115"/>
        </w:rPr>
        <w:t>Campos</w:t>
      </w:r>
      <w:r>
        <w:rPr>
          <w:spacing w:val="-1"/>
          <w:w w:val="115"/>
        </w:rPr>
        <w:t> </w:t>
      </w:r>
      <w:r>
        <w:rPr>
          <w:w w:val="115"/>
        </w:rPr>
        <w:t>Cunha</w:t>
      </w:r>
    </w:p>
    <w:p>
      <w:pPr>
        <w:pStyle w:val="BodyText"/>
        <w:spacing w:before="38"/>
        <w:rPr>
          <w:sz w:val="24"/>
        </w:rPr>
      </w:pPr>
    </w:p>
    <w:p>
      <w:pPr>
        <w:pStyle w:val="BodyText"/>
        <w:ind w:left="601" w:right="886"/>
        <w:jc w:val="center"/>
      </w:pPr>
      <w:r>
        <w:rPr/>
        <w:t>June</w:t>
      </w:r>
      <w:r>
        <w:rPr>
          <w:spacing w:val="-6"/>
        </w:rPr>
        <w:t> </w:t>
      </w:r>
      <w:r>
        <w:rPr>
          <w:spacing w:val="-4"/>
        </w:rPr>
        <w:t>2026</w:t>
      </w:r>
    </w:p>
    <w:p>
      <w:pPr>
        <w:pStyle w:val="BodyText"/>
        <w:spacing w:after="0"/>
        <w:jc w:val="center"/>
        <w:sectPr>
          <w:footerReference w:type="default" r:id="rId5"/>
          <w:type w:val="continuous"/>
          <w:pgSz w:w="11910" w:h="16840"/>
          <w:pgMar w:header="0" w:footer="0" w:top="1120" w:bottom="280" w:left="1275" w:right="425"/>
          <w:pgNumType w:start="3"/>
        </w:sectPr>
      </w:pPr>
    </w:p>
    <w:p>
      <w:pPr>
        <w:pStyle w:val="BodyText"/>
        <w:spacing w:before="4"/>
        <w:rPr>
          <w:sz w:val="17"/>
        </w:rPr>
      </w:pPr>
    </w:p>
    <w:p>
      <w:pPr>
        <w:pStyle w:val="BodyText"/>
        <w:spacing w:after="0"/>
        <w:rPr>
          <w:sz w:val="17"/>
        </w:rPr>
        <w:sectPr>
          <w:pgSz w:w="11910" w:h="16840"/>
          <w:pgMar w:header="0" w:footer="0" w:top="1920" w:bottom="280" w:left="1275" w:right="425"/>
        </w:sectPr>
      </w:pPr>
    </w:p>
    <w:p>
      <w:pPr>
        <w:pStyle w:val="BodyText"/>
        <w:rPr>
          <w:sz w:val="34"/>
        </w:rPr>
      </w:pPr>
    </w:p>
    <w:p>
      <w:pPr>
        <w:pStyle w:val="BodyText"/>
        <w:spacing w:before="334"/>
        <w:rPr>
          <w:sz w:val="34"/>
        </w:rPr>
      </w:pPr>
    </w:p>
    <w:p>
      <w:pPr>
        <w:spacing w:line="326" w:lineRule="auto" w:before="1"/>
        <w:ind w:left="601" w:right="883" w:firstLine="0"/>
        <w:jc w:val="center"/>
        <w:rPr>
          <w:b/>
          <w:sz w:val="34"/>
        </w:rPr>
      </w:pPr>
      <w:r>
        <w:rPr>
          <w:b/>
          <w:sz w:val="34"/>
        </w:rPr>
        <w:t>Wine Production Forecasting Using Rule-Based </w:t>
      </w:r>
      <w:r>
        <w:rPr>
          <w:b/>
          <w:sz w:val="34"/>
        </w:rPr>
        <w:t>Machine </w:t>
      </w:r>
      <w:r>
        <w:rPr>
          <w:b/>
          <w:spacing w:val="-2"/>
          <w:sz w:val="34"/>
        </w:rPr>
        <w:t>Learning:</w:t>
      </w:r>
    </w:p>
    <w:p>
      <w:pPr>
        <w:spacing w:line="201" w:lineRule="auto" w:before="50"/>
        <w:ind w:left="1284" w:right="1579" w:firstLine="0"/>
        <w:jc w:val="center"/>
        <w:rPr>
          <w:b/>
          <w:sz w:val="34"/>
        </w:rPr>
      </w:pPr>
      <w:r>
        <w:rPr>
          <w:b/>
          <w:sz w:val="34"/>
        </w:rPr>
        <w:t>A Distributional Subgroup Discovery </w:t>
      </w:r>
      <w:r>
        <w:rPr>
          <w:b/>
          <w:sz w:val="34"/>
        </w:rPr>
        <w:t>Approach for Portuguese Wine Regions</w:t>
      </w:r>
    </w:p>
    <w:p>
      <w:pPr>
        <w:pStyle w:val="BodyText"/>
        <w:rPr>
          <w:b/>
          <w:sz w:val="34"/>
        </w:rPr>
      </w:pPr>
    </w:p>
    <w:p>
      <w:pPr>
        <w:pStyle w:val="BodyText"/>
        <w:spacing w:before="131"/>
        <w:rPr>
          <w:b/>
          <w:sz w:val="34"/>
        </w:rPr>
      </w:pPr>
    </w:p>
    <w:p>
      <w:pPr>
        <w:pStyle w:val="Heading2"/>
        <w:ind w:left="601" w:right="882" w:firstLine="0"/>
        <w:jc w:val="center"/>
      </w:pPr>
      <w:r>
        <w:rPr/>
        <w:t>Hugo</w:t>
      </w:r>
      <w:r>
        <w:rPr>
          <w:spacing w:val="16"/>
        </w:rPr>
        <w:t> </w:t>
      </w:r>
      <w:r>
        <w:rPr/>
        <w:t>Filipe</w:t>
      </w:r>
      <w:r>
        <w:rPr>
          <w:spacing w:val="16"/>
        </w:rPr>
        <w:t> </w:t>
      </w:r>
      <w:r>
        <w:rPr/>
        <w:t>Queiróz</w:t>
      </w:r>
      <w:r>
        <w:rPr>
          <w:spacing w:val="17"/>
        </w:rPr>
        <w:t> </w:t>
      </w:r>
      <w:r>
        <w:rPr>
          <w:spacing w:val="-2"/>
        </w:rPr>
        <w:t>Nogueira</w:t>
      </w:r>
    </w:p>
    <w:p>
      <w:pPr>
        <w:pStyle w:val="BodyText"/>
        <w:rPr>
          <w:b/>
          <w:sz w:val="28"/>
        </w:rPr>
      </w:pPr>
    </w:p>
    <w:p>
      <w:pPr>
        <w:pStyle w:val="BodyText"/>
        <w:spacing w:before="270"/>
        <w:rPr>
          <w:b/>
          <w:sz w:val="28"/>
        </w:rPr>
      </w:pPr>
    </w:p>
    <w:p>
      <w:pPr>
        <w:spacing w:before="0"/>
        <w:ind w:left="601" w:right="882" w:firstLine="0"/>
        <w:jc w:val="center"/>
        <w:rPr>
          <w:sz w:val="28"/>
        </w:rPr>
      </w:pPr>
      <w:r>
        <w:rPr>
          <w:sz w:val="28"/>
        </w:rPr>
        <w:t>Mestrado</w:t>
      </w:r>
      <w:r>
        <w:rPr>
          <w:spacing w:val="14"/>
          <w:sz w:val="28"/>
        </w:rPr>
        <w:t> </w:t>
      </w:r>
      <w:r>
        <w:rPr>
          <w:sz w:val="28"/>
        </w:rPr>
        <w:t>em</w:t>
      </w:r>
      <w:r>
        <w:rPr>
          <w:spacing w:val="14"/>
          <w:sz w:val="28"/>
        </w:rPr>
        <w:t> </w:t>
      </w:r>
      <w:r>
        <w:rPr>
          <w:sz w:val="28"/>
        </w:rPr>
        <w:t>Engenharia</w:t>
      </w:r>
      <w:r>
        <w:rPr>
          <w:spacing w:val="14"/>
          <w:sz w:val="28"/>
        </w:rPr>
        <w:t> </w:t>
      </w:r>
      <w:r>
        <w:rPr>
          <w:sz w:val="28"/>
        </w:rPr>
        <w:t>e</w:t>
      </w:r>
      <w:r>
        <w:rPr>
          <w:spacing w:val="14"/>
          <w:sz w:val="28"/>
        </w:rPr>
        <w:t> </w:t>
      </w:r>
      <w:r>
        <w:rPr>
          <w:sz w:val="28"/>
        </w:rPr>
        <w:t>Ciência</w:t>
      </w:r>
      <w:r>
        <w:rPr>
          <w:spacing w:val="14"/>
          <w:sz w:val="28"/>
        </w:rPr>
        <w:t> </w:t>
      </w:r>
      <w:r>
        <w:rPr>
          <w:sz w:val="28"/>
        </w:rPr>
        <w:t>de</w:t>
      </w:r>
      <w:r>
        <w:rPr>
          <w:spacing w:val="14"/>
          <w:sz w:val="28"/>
        </w:rPr>
        <w:t> </w:t>
      </w:r>
      <w:r>
        <w:rPr>
          <w:spacing w:val="-2"/>
          <w:sz w:val="28"/>
        </w:rPr>
        <w:t>Dados</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09"/>
        <w:rPr>
          <w:sz w:val="28"/>
        </w:rPr>
      </w:pPr>
    </w:p>
    <w:p>
      <w:pPr>
        <w:pStyle w:val="BodyText"/>
        <w:ind w:left="705"/>
      </w:pPr>
      <w:r>
        <w:rPr/>
        <w:t>June</w:t>
      </w:r>
      <w:r>
        <w:rPr>
          <w:spacing w:val="-6"/>
        </w:rPr>
        <w:t> </w:t>
      </w:r>
      <w:r>
        <w:rPr>
          <w:spacing w:val="-4"/>
        </w:rPr>
        <w:t>2026</w:t>
      </w:r>
    </w:p>
    <w:p>
      <w:pPr>
        <w:pStyle w:val="BodyText"/>
        <w:spacing w:after="0"/>
        <w:sectPr>
          <w:pgSz w:w="11910" w:h="16840"/>
          <w:pgMar w:header="0" w:footer="0" w:top="1920" w:bottom="280" w:left="1275" w:right="425"/>
        </w:sectPr>
      </w:pPr>
    </w:p>
    <w:p>
      <w:pPr>
        <w:pStyle w:val="BodyText"/>
        <w:spacing w:before="4"/>
        <w:rPr>
          <w:sz w:val="17"/>
        </w:rPr>
      </w:pPr>
    </w:p>
    <w:p>
      <w:pPr>
        <w:pStyle w:val="BodyText"/>
        <w:spacing w:after="0"/>
        <w:rPr>
          <w:sz w:val="17"/>
        </w:rPr>
        <w:sectPr>
          <w:pgSz w:w="11910" w:h="16840"/>
          <w:pgMar w:header="0" w:footer="0" w:top="1920" w:bottom="280" w:left="1275" w:right="425"/>
        </w:sectPr>
      </w:pPr>
    </w:p>
    <w:p>
      <w:pPr>
        <w:pStyle w:val="BodyText"/>
        <w:rPr>
          <w:sz w:val="49"/>
        </w:rPr>
      </w:pPr>
    </w:p>
    <w:p>
      <w:pPr>
        <w:pStyle w:val="BodyText"/>
        <w:spacing w:before="231"/>
        <w:rPr>
          <w:sz w:val="49"/>
        </w:rPr>
      </w:pPr>
    </w:p>
    <w:p>
      <w:pPr>
        <w:pStyle w:val="Heading1"/>
        <w:spacing w:before="1"/>
        <w:jc w:val="both"/>
      </w:pPr>
      <w:r>
        <w:rPr/>
        <w:t>Declaration</w:t>
      </w:r>
      <w:r>
        <w:rPr>
          <w:spacing w:val="15"/>
        </w:rPr>
        <w:t> </w:t>
      </w:r>
      <w:r>
        <w:rPr/>
        <w:t>of</w:t>
      </w:r>
      <w:r>
        <w:rPr>
          <w:spacing w:val="15"/>
        </w:rPr>
        <w:t> </w:t>
      </w:r>
      <w:r>
        <w:rPr>
          <w:spacing w:val="-2"/>
        </w:rPr>
        <w:t>Honour</w:t>
      </w:r>
    </w:p>
    <w:p>
      <w:pPr>
        <w:pStyle w:val="BodyText"/>
        <w:spacing w:before="193"/>
        <w:rPr>
          <w:b/>
          <w:sz w:val="49"/>
        </w:rPr>
      </w:pPr>
    </w:p>
    <w:p>
      <w:pPr>
        <w:pStyle w:val="BodyText"/>
        <w:spacing w:line="256" w:lineRule="auto"/>
        <w:ind w:left="709" w:right="962"/>
        <w:jc w:val="both"/>
      </w:pPr>
      <w:r>
        <w:rPr/>
        <w:t>I declare that this dissertation is of my own authorship and has not been previously presented</w:t>
      </w:r>
      <w:r>
        <w:rPr>
          <w:spacing w:val="40"/>
        </w:rPr>
        <w:t> </w:t>
      </w:r>
      <w:r>
        <w:rPr/>
        <w:t>and evaluated at this or any other institution.</w:t>
      </w:r>
      <w:r>
        <w:rPr>
          <w:spacing w:val="40"/>
        </w:rPr>
        <w:t> </w:t>
      </w:r>
      <w:r>
        <w:rPr/>
        <w:t>References to other authors (statements, ideas, thoughts),</w:t>
      </w:r>
      <w:r>
        <w:rPr>
          <w:spacing w:val="-1"/>
        </w:rPr>
        <w:t> </w:t>
      </w:r>
      <w:r>
        <w:rPr/>
        <w:t>as</w:t>
      </w:r>
      <w:r>
        <w:rPr>
          <w:spacing w:val="-1"/>
        </w:rPr>
        <w:t> </w:t>
      </w:r>
      <w:r>
        <w:rPr/>
        <w:t>well</w:t>
      </w:r>
      <w:r>
        <w:rPr>
          <w:spacing w:val="-1"/>
        </w:rPr>
        <w:t> </w:t>
      </w:r>
      <w:r>
        <w:rPr/>
        <w:t>as</w:t>
      </w:r>
      <w:r>
        <w:rPr>
          <w:spacing w:val="-1"/>
        </w:rPr>
        <w:t> </w:t>
      </w:r>
      <w:r>
        <w:rPr/>
        <w:t>the</w:t>
      </w:r>
      <w:r>
        <w:rPr>
          <w:spacing w:val="-1"/>
        </w:rPr>
        <w:t> </w:t>
      </w:r>
      <w:r>
        <w:rPr/>
        <w:t>use</w:t>
      </w:r>
      <w:r>
        <w:rPr>
          <w:spacing w:val="-1"/>
        </w:rPr>
        <w:t> </w:t>
      </w:r>
      <w:r>
        <w:rPr/>
        <w:t>of</w:t>
      </w:r>
      <w:r>
        <w:rPr>
          <w:spacing w:val="-1"/>
        </w:rPr>
        <w:t> </w:t>
      </w:r>
      <w:r>
        <w:rPr/>
        <w:t>published</w:t>
      </w:r>
      <w:r>
        <w:rPr>
          <w:spacing w:val="-1"/>
        </w:rPr>
        <w:t> </w:t>
      </w:r>
      <w:r>
        <w:rPr/>
        <w:t>works,</w:t>
      </w:r>
      <w:r>
        <w:rPr>
          <w:spacing w:val="-1"/>
        </w:rPr>
        <w:t> </w:t>
      </w:r>
      <w:r>
        <w:rPr/>
        <w:t>scrupulously</w:t>
      </w:r>
      <w:r>
        <w:rPr>
          <w:spacing w:val="-1"/>
        </w:rPr>
        <w:t> </w:t>
      </w:r>
      <w:r>
        <w:rPr/>
        <w:t>respect</w:t>
      </w:r>
      <w:r>
        <w:rPr>
          <w:spacing w:val="-1"/>
        </w:rPr>
        <w:t> </w:t>
      </w:r>
      <w:r>
        <w:rPr/>
        <w:t>the</w:t>
      </w:r>
      <w:r>
        <w:rPr>
          <w:spacing w:val="-1"/>
        </w:rPr>
        <w:t> </w:t>
      </w:r>
      <w:r>
        <w:rPr/>
        <w:t>rules</w:t>
      </w:r>
      <w:r>
        <w:rPr>
          <w:spacing w:val="-1"/>
        </w:rPr>
        <w:t> </w:t>
      </w:r>
      <w:r>
        <w:rPr/>
        <w:t>of</w:t>
      </w:r>
      <w:r>
        <w:rPr>
          <w:spacing w:val="-1"/>
        </w:rPr>
        <w:t> </w:t>
      </w:r>
      <w:r>
        <w:rPr/>
        <w:t>attribution</w:t>
      </w:r>
      <w:r>
        <w:rPr>
          <w:spacing w:val="-1"/>
        </w:rPr>
        <w:t> </w:t>
      </w:r>
      <w:r>
        <w:rPr/>
        <w:t>and </w:t>
      </w:r>
      <w:r>
        <w:rPr>
          <w:spacing w:val="-2"/>
        </w:rPr>
        <w:t>are</w:t>
      </w:r>
      <w:r>
        <w:rPr>
          <w:spacing w:val="-7"/>
        </w:rPr>
        <w:t> </w:t>
      </w:r>
      <w:r>
        <w:rPr>
          <w:spacing w:val="-2"/>
        </w:rPr>
        <w:t>duly</w:t>
      </w:r>
      <w:r>
        <w:rPr>
          <w:spacing w:val="-7"/>
        </w:rPr>
        <w:t> </w:t>
      </w:r>
      <w:r>
        <w:rPr>
          <w:spacing w:val="-2"/>
        </w:rPr>
        <w:t>indicated</w:t>
      </w:r>
      <w:r>
        <w:rPr>
          <w:spacing w:val="-8"/>
        </w:rPr>
        <w:t> </w:t>
      </w:r>
      <w:r>
        <w:rPr>
          <w:spacing w:val="-2"/>
        </w:rPr>
        <w:t>in</w:t>
      </w:r>
      <w:r>
        <w:rPr>
          <w:spacing w:val="-7"/>
        </w:rPr>
        <w:t> </w:t>
      </w:r>
      <w:r>
        <w:rPr>
          <w:spacing w:val="-2"/>
        </w:rPr>
        <w:t>the</w:t>
      </w:r>
      <w:r>
        <w:rPr>
          <w:spacing w:val="-7"/>
        </w:rPr>
        <w:t> </w:t>
      </w:r>
      <w:r>
        <w:rPr>
          <w:spacing w:val="-2"/>
        </w:rPr>
        <w:t>text</w:t>
      </w:r>
      <w:r>
        <w:rPr>
          <w:spacing w:val="-8"/>
        </w:rPr>
        <w:t> </w:t>
      </w:r>
      <w:r>
        <w:rPr>
          <w:spacing w:val="-2"/>
        </w:rPr>
        <w:t>and</w:t>
      </w:r>
      <w:r>
        <w:rPr>
          <w:spacing w:val="-7"/>
        </w:rPr>
        <w:t> </w:t>
      </w:r>
      <w:r>
        <w:rPr>
          <w:spacing w:val="-2"/>
        </w:rPr>
        <w:t>in</w:t>
      </w:r>
      <w:r>
        <w:rPr>
          <w:spacing w:val="-7"/>
        </w:rPr>
        <w:t> </w:t>
      </w:r>
      <w:r>
        <w:rPr>
          <w:spacing w:val="-2"/>
        </w:rPr>
        <w:t>the</w:t>
      </w:r>
      <w:r>
        <w:rPr>
          <w:spacing w:val="-7"/>
        </w:rPr>
        <w:t> </w:t>
      </w:r>
      <w:r>
        <w:rPr>
          <w:spacing w:val="-2"/>
        </w:rPr>
        <w:t>bibliographic</w:t>
      </w:r>
      <w:r>
        <w:rPr>
          <w:spacing w:val="-7"/>
        </w:rPr>
        <w:t> </w:t>
      </w:r>
      <w:r>
        <w:rPr>
          <w:spacing w:val="-2"/>
        </w:rPr>
        <w:t>references,</w:t>
      </w:r>
      <w:r>
        <w:rPr>
          <w:spacing w:val="-7"/>
        </w:rPr>
        <w:t> </w:t>
      </w:r>
      <w:r>
        <w:rPr>
          <w:spacing w:val="-2"/>
        </w:rPr>
        <w:t>in</w:t>
      </w:r>
      <w:r>
        <w:rPr>
          <w:spacing w:val="-8"/>
        </w:rPr>
        <w:t> </w:t>
      </w:r>
      <w:r>
        <w:rPr>
          <w:spacing w:val="-2"/>
        </w:rPr>
        <w:t>accordance</w:t>
      </w:r>
      <w:r>
        <w:rPr>
          <w:spacing w:val="-7"/>
        </w:rPr>
        <w:t> </w:t>
      </w:r>
      <w:r>
        <w:rPr>
          <w:spacing w:val="-2"/>
        </w:rPr>
        <w:t>with</w:t>
      </w:r>
      <w:r>
        <w:rPr>
          <w:spacing w:val="-7"/>
        </w:rPr>
        <w:t> </w:t>
      </w:r>
      <w:r>
        <w:rPr>
          <w:spacing w:val="-2"/>
        </w:rPr>
        <w:t>the</w:t>
      </w:r>
      <w:r>
        <w:rPr>
          <w:spacing w:val="-7"/>
        </w:rPr>
        <w:t> </w:t>
      </w:r>
      <w:r>
        <w:rPr>
          <w:spacing w:val="-2"/>
        </w:rPr>
        <w:t>referencing </w:t>
      </w:r>
      <w:r>
        <w:rPr/>
        <w:t>standards.</w:t>
      </w:r>
      <w:r>
        <w:rPr>
          <w:spacing w:val="40"/>
        </w:rPr>
        <w:t> </w:t>
      </w:r>
      <w:r>
        <w:rPr/>
        <w:t>The use of Artificial Intelligence is reported in Appendix </w:t>
      </w:r>
      <w:hyperlink w:history="true" w:anchor="_bookmark195">
        <w:r>
          <w:rPr>
            <w:color w:val="8B2C18"/>
          </w:rPr>
          <w:t>E</w:t>
        </w:r>
      </w:hyperlink>
      <w:r>
        <w:rPr>
          <w:color w:val="8B2C18"/>
        </w:rPr>
        <w:t> </w:t>
      </w:r>
      <w:r>
        <w:rPr/>
        <w:t>(AI Use Transparency Statement).</w:t>
      </w:r>
      <w:r>
        <w:rPr>
          <w:spacing w:val="40"/>
        </w:rPr>
        <w:t> </w:t>
      </w:r>
      <w:r>
        <w:rPr/>
        <w:t>I am aware that the practice of plagiarism or self-plagiarism constitutes academic offence, as established in the Code of Ethics of the University of Porto.</w:t>
      </w:r>
    </w:p>
    <w:p>
      <w:pPr>
        <w:pStyle w:val="BodyText"/>
      </w:pPr>
    </w:p>
    <w:p>
      <w:pPr>
        <w:pStyle w:val="BodyText"/>
        <w:spacing w:before="63"/>
      </w:pPr>
    </w:p>
    <w:p>
      <w:pPr>
        <w:pStyle w:val="BodyText"/>
        <w:ind w:left="709"/>
      </w:pPr>
      <w:r>
        <w:rPr/>
        <w:t>Student</w:t>
      </w:r>
      <w:r>
        <w:rPr>
          <w:spacing w:val="-7"/>
        </w:rPr>
        <w:t> </w:t>
      </w:r>
      <w:r>
        <w:rPr/>
        <w:t>Name:</w:t>
      </w:r>
      <w:r>
        <w:rPr>
          <w:spacing w:val="5"/>
        </w:rPr>
        <w:t> </w:t>
      </w:r>
      <w:r>
        <w:rPr/>
        <w:t>Hugo</w:t>
      </w:r>
      <w:r>
        <w:rPr>
          <w:spacing w:val="-7"/>
        </w:rPr>
        <w:t> </w:t>
      </w:r>
      <w:r>
        <w:rPr/>
        <w:t>Filipe</w:t>
      </w:r>
      <w:r>
        <w:rPr>
          <w:spacing w:val="-7"/>
        </w:rPr>
        <w:t> </w:t>
      </w:r>
      <w:r>
        <w:rPr/>
        <w:t>Queiróz</w:t>
      </w:r>
      <w:r>
        <w:rPr>
          <w:spacing w:val="-6"/>
        </w:rPr>
        <w:t> </w:t>
      </w:r>
      <w:r>
        <w:rPr>
          <w:spacing w:val="-2"/>
        </w:rPr>
        <w:t>Nogueira</w:t>
      </w:r>
    </w:p>
    <w:p>
      <w:pPr>
        <w:pStyle w:val="BodyText"/>
        <w:spacing w:line="256" w:lineRule="auto" w:before="18"/>
        <w:ind w:left="709" w:right="2549"/>
      </w:pPr>
      <w:r>
        <w:rPr/>
        <w:t>Course:</w:t>
      </w:r>
      <w:r>
        <w:rPr>
          <w:spacing w:val="-1"/>
        </w:rPr>
        <w:t> </w:t>
      </w:r>
      <w:r>
        <w:rPr/>
        <w:t>Master</w:t>
      </w:r>
      <w:r>
        <w:rPr>
          <w:spacing w:val="-12"/>
        </w:rPr>
        <w:t> </w:t>
      </w:r>
      <w:r>
        <w:rPr/>
        <w:t>in</w:t>
      </w:r>
      <w:r>
        <w:rPr>
          <w:spacing w:val="-12"/>
        </w:rPr>
        <w:t> </w:t>
      </w:r>
      <w:r>
        <w:rPr/>
        <w:t>Informatics</w:t>
      </w:r>
      <w:r>
        <w:rPr>
          <w:spacing w:val="-12"/>
        </w:rPr>
        <w:t> </w:t>
      </w:r>
      <w:r>
        <w:rPr/>
        <w:t>and</w:t>
      </w:r>
      <w:r>
        <w:rPr>
          <w:spacing w:val="-12"/>
        </w:rPr>
        <w:t> </w:t>
      </w:r>
      <w:r>
        <w:rPr/>
        <w:t>Computing</w:t>
      </w:r>
      <w:r>
        <w:rPr>
          <w:spacing w:val="-12"/>
        </w:rPr>
        <w:t> </w:t>
      </w:r>
      <w:r>
        <w:rPr/>
        <w:t>Engineering</w:t>
      </w:r>
      <w:r>
        <w:rPr>
          <w:spacing w:val="-12"/>
        </w:rPr>
        <w:t> </w:t>
      </w:r>
      <w:r>
        <w:rPr/>
        <w:t>(MECD) Supervisor: Prof. João Paulo Moreira (FEUP)</w:t>
      </w:r>
    </w:p>
    <w:p>
      <w:pPr>
        <w:pStyle w:val="BodyText"/>
        <w:ind w:left="709"/>
      </w:pPr>
      <w:r>
        <w:rPr/>
        <w:t>Co-Supervisor:</w:t>
      </w:r>
      <w:r>
        <w:rPr>
          <w:spacing w:val="3"/>
        </w:rPr>
        <w:t> </w:t>
      </w:r>
      <w:r>
        <w:rPr/>
        <w:t>Prof.</w:t>
      </w:r>
      <w:r>
        <w:rPr>
          <w:spacing w:val="-8"/>
        </w:rPr>
        <w:t> </w:t>
      </w:r>
      <w:r>
        <w:rPr/>
        <w:t>Mário</w:t>
      </w:r>
      <w:r>
        <w:rPr>
          <w:spacing w:val="-8"/>
        </w:rPr>
        <w:t> </w:t>
      </w:r>
      <w:r>
        <w:rPr/>
        <w:t>Campos</w:t>
      </w:r>
      <w:r>
        <w:rPr>
          <w:spacing w:val="-8"/>
        </w:rPr>
        <w:t> </w:t>
      </w:r>
      <w:r>
        <w:rPr/>
        <w:t>Cunha</w:t>
      </w:r>
      <w:r>
        <w:rPr>
          <w:spacing w:val="-8"/>
        </w:rPr>
        <w:t> </w:t>
      </w:r>
      <w:r>
        <w:rPr>
          <w:spacing w:val="-2"/>
        </w:rPr>
        <w:t>(FCUP)</w:t>
      </w:r>
    </w:p>
    <w:p>
      <w:pPr>
        <w:pStyle w:val="BodyText"/>
        <w:spacing w:before="219"/>
      </w:pPr>
    </w:p>
    <w:p>
      <w:pPr>
        <w:pStyle w:val="BodyText"/>
        <w:tabs>
          <w:tab w:pos="5124" w:val="left" w:leader="none"/>
        </w:tabs>
        <w:ind w:left="709"/>
      </w:pPr>
      <w:r>
        <w:rPr/>
        <w:t>Signature: </w:t>
      </w:r>
      <w:r>
        <w:rPr>
          <w:u w:val="single"/>
        </w:rPr>
        <w:tab/>
      </w:r>
    </w:p>
    <w:p>
      <w:pPr>
        <w:pStyle w:val="BodyText"/>
        <w:spacing w:line="256" w:lineRule="auto" w:before="18"/>
        <w:ind w:left="709" w:right="7669"/>
      </w:pPr>
      <w:r>
        <w:rPr/>
        <w:t>Location: Porto Date:</w:t>
      </w:r>
      <w:r>
        <w:rPr>
          <w:spacing w:val="7"/>
        </w:rPr>
        <w:t> </w:t>
      </w:r>
      <w:r>
        <w:rPr/>
        <w:t>June</w:t>
      </w:r>
      <w:r>
        <w:rPr>
          <w:spacing w:val="-5"/>
        </w:rPr>
        <w:t> </w:t>
      </w:r>
      <w:r>
        <w:rPr>
          <w:spacing w:val="-4"/>
        </w:rPr>
        <w:t>2026</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pPr>
    </w:p>
    <w:p>
      <w:pPr>
        <w:pStyle w:val="BodyText"/>
        <w:spacing w:before="1"/>
        <w:ind w:left="601" w:right="882"/>
        <w:jc w:val="center"/>
      </w:pPr>
      <w:r>
        <w:rPr>
          <w:spacing w:val="-10"/>
        </w:rPr>
        <w:t>i</w:t>
      </w:r>
    </w:p>
    <w:p>
      <w:pPr>
        <w:pStyle w:val="BodyText"/>
        <w:spacing w:after="0"/>
        <w:jc w:val="center"/>
        <w:sectPr>
          <w:pgSz w:w="11910" w:h="16840"/>
          <w:pgMar w:header="0" w:footer="0" w:top="1920" w:bottom="280" w:left="1275" w:right="425"/>
        </w:sectPr>
      </w:pPr>
    </w:p>
    <w:p>
      <w:pPr>
        <w:pStyle w:val="BodyText"/>
      </w:pPr>
    </w:p>
    <w:p>
      <w:pPr>
        <w:pStyle w:val="BodyText"/>
        <w:spacing w:before="25"/>
      </w:pPr>
    </w:p>
    <w:p>
      <w:pPr>
        <w:pStyle w:val="BodyText"/>
        <w:spacing w:line="256" w:lineRule="auto" w:before="1"/>
        <w:ind w:left="136" w:right="1527" w:firstLine="344"/>
        <w:jc w:val="both"/>
      </w:pPr>
      <w:r>
        <w:rPr/>
        <w:t>This</w:t>
      </w:r>
      <w:r>
        <w:rPr>
          <w:spacing w:val="-10"/>
        </w:rPr>
        <w:t> </w:t>
      </w:r>
      <w:r>
        <w:rPr/>
        <w:t>thesis</w:t>
      </w:r>
      <w:r>
        <w:rPr>
          <w:spacing w:val="-10"/>
        </w:rPr>
        <w:t> </w:t>
      </w:r>
      <w:r>
        <w:rPr/>
        <w:t>evaluates</w:t>
      </w:r>
      <w:r>
        <w:rPr>
          <w:spacing w:val="-10"/>
        </w:rPr>
        <w:t> </w:t>
      </w:r>
      <w:r>
        <w:rPr/>
        <w:t>the</w:t>
      </w:r>
      <w:r>
        <w:rPr>
          <w:spacing w:val="-10"/>
        </w:rPr>
        <w:t> </w:t>
      </w:r>
      <w:r>
        <w:rPr/>
        <w:t>CarenR</w:t>
      </w:r>
      <w:r>
        <w:rPr>
          <w:spacing w:val="-10"/>
        </w:rPr>
        <w:t> </w:t>
      </w:r>
      <w:r>
        <w:rPr/>
        <w:t>distributional</w:t>
      </w:r>
      <w:r>
        <w:rPr>
          <w:spacing w:val="-10"/>
        </w:rPr>
        <w:t> </w:t>
      </w:r>
      <w:r>
        <w:rPr/>
        <w:t>subgroup</w:t>
      </w:r>
      <w:r>
        <w:rPr>
          <w:spacing w:val="-10"/>
        </w:rPr>
        <w:t> </w:t>
      </w:r>
      <w:r>
        <w:rPr/>
        <w:t>discovery</w:t>
      </w:r>
      <w:r>
        <w:rPr>
          <w:spacing w:val="-10"/>
        </w:rPr>
        <w:t> </w:t>
      </w:r>
      <w:r>
        <w:rPr/>
        <w:t>framework</w:t>
      </w:r>
      <w:r>
        <w:rPr>
          <w:spacing w:val="-10"/>
        </w:rPr>
        <w:t> </w:t>
      </w:r>
      <w:r>
        <w:rPr/>
        <w:t>as</w:t>
      </w:r>
      <w:r>
        <w:rPr>
          <w:spacing w:val="-10"/>
        </w:rPr>
        <w:t> </w:t>
      </w:r>
      <w:r>
        <w:rPr/>
        <w:t>a</w:t>
      </w:r>
      <w:r>
        <w:rPr>
          <w:spacing w:val="-10"/>
        </w:rPr>
        <w:t> </w:t>
      </w:r>
      <w:r>
        <w:rPr/>
        <w:t>rule-based machine learning approach for two complementary tasks on real-world agricultural time series: interpretable pattern extraction (Goal 1) and walk-forward prediction (Goal 2).</w:t>
      </w:r>
      <w:r>
        <w:rPr>
          <w:spacing w:val="36"/>
        </w:rPr>
        <w:t> </w:t>
      </w:r>
      <w:r>
        <w:rPr/>
        <w:t>The application domain is annual wine production forecasting for two contrasting Portuguese wine regions, the Douro Demarcated Region (RDD, 89 years, 1934–2022) and the Vinho Verde Region (RVV, 80 years, 1942–2021).</w:t>
      </w:r>
      <w:r>
        <w:rPr>
          <w:spacing w:val="40"/>
        </w:rPr>
        <w:t> </w:t>
      </w:r>
      <w:r>
        <w:rPr/>
        <w:t>The two regions serve as a natural comparative experiment, same pipeline, same</w:t>
      </w:r>
      <w:r>
        <w:rPr>
          <w:spacing w:val="-5"/>
        </w:rPr>
        <w:t> </w:t>
      </w:r>
      <w:r>
        <w:rPr/>
        <w:t>algorithms,</w:t>
      </w:r>
      <w:r>
        <w:rPr>
          <w:spacing w:val="-5"/>
        </w:rPr>
        <w:t> </w:t>
      </w:r>
      <w:r>
        <w:rPr/>
        <w:t>different</w:t>
      </w:r>
      <w:r>
        <w:rPr>
          <w:spacing w:val="-5"/>
        </w:rPr>
        <w:t> </w:t>
      </w:r>
      <w:r>
        <w:rPr/>
        <w:t>structural</w:t>
      </w:r>
      <w:r>
        <w:rPr>
          <w:spacing w:val="-5"/>
        </w:rPr>
        <w:t> </w:t>
      </w:r>
      <w:r>
        <w:rPr/>
        <w:t>histories</w:t>
      </w:r>
      <w:r>
        <w:rPr>
          <w:spacing w:val="-5"/>
        </w:rPr>
        <w:t> </w:t>
      </w:r>
      <w:r>
        <w:rPr/>
        <w:t>and</w:t>
      </w:r>
      <w:r>
        <w:rPr>
          <w:spacing w:val="-5"/>
        </w:rPr>
        <w:t> </w:t>
      </w:r>
      <w:r>
        <w:rPr/>
        <w:t>climate</w:t>
      </w:r>
      <w:r>
        <w:rPr>
          <w:spacing w:val="-5"/>
        </w:rPr>
        <w:t> </w:t>
      </w:r>
      <w:r>
        <w:rPr/>
        <w:t>regimes,</w:t>
      </w:r>
      <w:r>
        <w:rPr>
          <w:spacing w:val="-5"/>
        </w:rPr>
        <w:t> </w:t>
      </w:r>
      <w:r>
        <w:rPr/>
        <w:t>to</w:t>
      </w:r>
      <w:r>
        <w:rPr>
          <w:spacing w:val="-5"/>
        </w:rPr>
        <w:t> </w:t>
      </w:r>
      <w:r>
        <w:rPr/>
        <w:t>evaluate</w:t>
      </w:r>
      <w:r>
        <w:rPr>
          <w:spacing w:val="-5"/>
        </w:rPr>
        <w:t> </w:t>
      </w:r>
      <w:r>
        <w:rPr/>
        <w:t>when</w:t>
      </w:r>
      <w:r>
        <w:rPr>
          <w:spacing w:val="-5"/>
        </w:rPr>
        <w:t> </w:t>
      </w:r>
      <w:r>
        <w:rPr/>
        <w:t>and</w:t>
      </w:r>
      <w:r>
        <w:rPr>
          <w:spacing w:val="-5"/>
        </w:rPr>
        <w:t> </w:t>
      </w:r>
      <w:r>
        <w:rPr/>
        <w:t>why</w:t>
      </w:r>
      <w:r>
        <w:rPr>
          <w:spacing w:val="-5"/>
        </w:rPr>
        <w:t> </w:t>
      </w:r>
      <w:r>
        <w:rPr/>
        <w:t>the method succeeds or fails under different signal conditions.</w:t>
      </w:r>
    </w:p>
    <w:p>
      <w:pPr>
        <w:pStyle w:val="BodyText"/>
        <w:spacing w:line="256" w:lineRule="auto" w:before="2"/>
        <w:ind w:left="125" w:right="1513" w:firstLine="355"/>
        <w:jc w:val="both"/>
      </w:pPr>
      <w:r>
        <w:rPr/>
        <w:t>Two</w:t>
      </w:r>
      <w:r>
        <w:rPr>
          <w:spacing w:val="26"/>
        </w:rPr>
        <w:t> </w:t>
      </w:r>
      <w:r>
        <w:rPr/>
        <w:t>methodological</w:t>
      </w:r>
      <w:r>
        <w:rPr>
          <w:spacing w:val="26"/>
        </w:rPr>
        <w:t> </w:t>
      </w:r>
      <w:r>
        <w:rPr/>
        <w:t>contributions</w:t>
      </w:r>
      <w:r>
        <w:rPr>
          <w:spacing w:val="27"/>
        </w:rPr>
        <w:t> </w:t>
      </w:r>
      <w:r>
        <w:rPr/>
        <w:t>support</w:t>
      </w:r>
      <w:r>
        <w:rPr>
          <w:spacing w:val="27"/>
        </w:rPr>
        <w:t> </w:t>
      </w:r>
      <w:r>
        <w:rPr/>
        <w:t>the</w:t>
      </w:r>
      <w:r>
        <w:rPr>
          <w:spacing w:val="26"/>
        </w:rPr>
        <w:t> </w:t>
      </w:r>
      <w:r>
        <w:rPr/>
        <w:t>dual</w:t>
      </w:r>
      <w:r>
        <w:rPr>
          <w:spacing w:val="26"/>
        </w:rPr>
        <w:t> </w:t>
      </w:r>
      <w:r>
        <w:rPr/>
        <w:t>goals.</w:t>
      </w:r>
      <w:r>
        <w:rPr>
          <w:spacing w:val="80"/>
        </w:rPr>
        <w:t> </w:t>
      </w:r>
      <w:r>
        <w:rPr/>
        <w:t>For</w:t>
      </w:r>
      <w:r>
        <w:rPr>
          <w:spacing w:val="27"/>
        </w:rPr>
        <w:t> </w:t>
      </w:r>
      <w:r>
        <w:rPr/>
        <w:t>Goal</w:t>
      </w:r>
      <w:r>
        <w:rPr>
          <w:spacing w:val="26"/>
        </w:rPr>
        <w:t> </w:t>
      </w:r>
      <w:r>
        <w:rPr/>
        <w:t>1,</w:t>
      </w:r>
      <w:r>
        <w:rPr>
          <w:spacing w:val="33"/>
        </w:rPr>
        <w:t> </w:t>
      </w:r>
      <w:r>
        <w:rPr/>
        <w:t>CarenR</w:t>
      </w:r>
      <w:r>
        <w:rPr>
          <w:spacing w:val="26"/>
        </w:rPr>
        <w:t> </w:t>
      </w:r>
      <w:r>
        <w:rPr/>
        <w:t>is</w:t>
      </w:r>
      <w:r>
        <w:rPr>
          <w:spacing w:val="26"/>
        </w:rPr>
        <w:t> </w:t>
      </w:r>
      <w:r>
        <w:rPr/>
        <w:t>applied to the full linearly detrended production series to extract interpretable agroclimatic rules.</w:t>
      </w:r>
      <w:r>
        <w:rPr>
          <w:spacing w:val="40"/>
        </w:rPr>
        <w:t> </w:t>
      </w:r>
      <w:r>
        <w:rPr/>
        <w:t>Each rule is a conjunction of climate conditions under which the distribution of production residuals shifts significantly, assessed by a two-sample Kolmogorov–Smirnov test. Rule quality is further checked using LOESS-detrended residuals: features selected by CarenR retain 90–92% of their correlation</w:t>
      </w:r>
      <w:r>
        <w:rPr>
          <w:spacing w:val="-14"/>
        </w:rPr>
        <w:t> </w:t>
      </w:r>
      <w:r>
        <w:rPr/>
        <w:t>after</w:t>
      </w:r>
      <w:r>
        <w:rPr>
          <w:spacing w:val="-14"/>
        </w:rPr>
        <w:t> </w:t>
      </w:r>
      <w:r>
        <w:rPr/>
        <w:t>aggressive</w:t>
      </w:r>
      <w:r>
        <w:rPr>
          <w:spacing w:val="-14"/>
        </w:rPr>
        <w:t> </w:t>
      </w:r>
      <w:r>
        <w:rPr/>
        <w:t>era-trend</w:t>
      </w:r>
      <w:r>
        <w:rPr>
          <w:spacing w:val="-13"/>
        </w:rPr>
        <w:t> </w:t>
      </w:r>
      <w:r>
        <w:rPr/>
        <w:t>removal,</w:t>
      </w:r>
      <w:r>
        <w:rPr>
          <w:spacing w:val="-14"/>
        </w:rPr>
        <w:t> </w:t>
      </w:r>
      <w:r>
        <w:rPr/>
        <w:t>confirming</w:t>
      </w:r>
      <w:r>
        <w:rPr>
          <w:spacing w:val="-14"/>
        </w:rPr>
        <w:t> </w:t>
      </w:r>
      <w:r>
        <w:rPr/>
        <w:t>genuine</w:t>
      </w:r>
      <w:r>
        <w:rPr>
          <w:spacing w:val="-14"/>
        </w:rPr>
        <w:t> </w:t>
      </w:r>
      <w:r>
        <w:rPr/>
        <w:t>within-era</w:t>
      </w:r>
      <w:r>
        <w:rPr>
          <w:spacing w:val="-13"/>
        </w:rPr>
        <w:t> </w:t>
      </w:r>
      <w:r>
        <w:rPr/>
        <w:t>climate</w:t>
      </w:r>
      <w:r>
        <w:rPr>
          <w:spacing w:val="-14"/>
        </w:rPr>
        <w:t> </w:t>
      </w:r>
      <w:r>
        <w:rPr/>
        <w:t>signal</w:t>
      </w:r>
      <w:r>
        <w:rPr>
          <w:spacing w:val="-14"/>
        </w:rPr>
        <w:t> </w:t>
      </w:r>
      <w:r>
        <w:rPr/>
        <w:t>rather than era-membership artefacts.</w:t>
      </w:r>
      <w:r>
        <w:rPr>
          <w:spacing w:val="40"/>
        </w:rPr>
        <w:t> </w:t>
      </w:r>
      <w:r>
        <w:rPr/>
        <w:t>For Goal 2, a two-decision decomposition framework separates prediction error into trend quality (Decision 1:</w:t>
      </w:r>
      <w:r>
        <w:rPr>
          <w:spacing w:val="40"/>
        </w:rPr>
        <w:t> </w:t>
      </w:r>
      <w:r>
        <w:rPr/>
        <w:t>how well the training trend extrapolates to test years)</w:t>
      </w:r>
      <w:r>
        <w:rPr>
          <w:spacing w:val="-14"/>
        </w:rPr>
        <w:t> </w:t>
      </w:r>
      <w:r>
        <w:rPr/>
        <w:t>and</w:t>
      </w:r>
      <w:r>
        <w:rPr>
          <w:spacing w:val="-14"/>
        </w:rPr>
        <w:t> </w:t>
      </w:r>
      <w:r>
        <w:rPr/>
        <w:t>climate</w:t>
      </w:r>
      <w:r>
        <w:rPr>
          <w:spacing w:val="-14"/>
        </w:rPr>
        <w:t> </w:t>
      </w:r>
      <w:r>
        <w:rPr/>
        <w:t>signal</w:t>
      </w:r>
      <w:r>
        <w:rPr>
          <w:spacing w:val="-13"/>
        </w:rPr>
        <w:t> </w:t>
      </w:r>
      <w:r>
        <w:rPr/>
        <w:t>extraction</w:t>
      </w:r>
      <w:r>
        <w:rPr>
          <w:spacing w:val="-14"/>
        </w:rPr>
        <w:t> </w:t>
      </w:r>
      <w:r>
        <w:rPr/>
        <w:t>(Decision</w:t>
      </w:r>
      <w:r>
        <w:rPr>
          <w:spacing w:val="-14"/>
        </w:rPr>
        <w:t> </w:t>
      </w:r>
      <w:r>
        <w:rPr/>
        <w:t>2:</w:t>
      </w:r>
      <w:r>
        <w:rPr>
          <w:spacing w:val="-8"/>
        </w:rPr>
        <w:t> </w:t>
      </w:r>
      <w:r>
        <w:rPr/>
        <w:t>whether</w:t>
      </w:r>
      <w:r>
        <w:rPr>
          <w:spacing w:val="-14"/>
        </w:rPr>
        <w:t> </w:t>
      </w:r>
      <w:r>
        <w:rPr/>
        <w:t>a</w:t>
      </w:r>
      <w:r>
        <w:rPr>
          <w:spacing w:val="-13"/>
        </w:rPr>
        <w:t> </w:t>
      </w:r>
      <w:r>
        <w:rPr/>
        <w:t>rule-based</w:t>
      </w:r>
      <w:r>
        <w:rPr>
          <w:spacing w:val="-14"/>
        </w:rPr>
        <w:t> </w:t>
      </w:r>
      <w:r>
        <w:rPr/>
        <w:t>model</w:t>
      </w:r>
      <w:r>
        <w:rPr>
          <w:spacing w:val="-14"/>
        </w:rPr>
        <w:t> </w:t>
      </w:r>
      <w:r>
        <w:rPr/>
        <w:t>can</w:t>
      </w:r>
      <w:r>
        <w:rPr>
          <w:spacing w:val="-14"/>
        </w:rPr>
        <w:t> </w:t>
      </w:r>
      <w:r>
        <w:rPr/>
        <w:t>predict</w:t>
      </w:r>
      <w:r>
        <w:rPr>
          <w:spacing w:val="-13"/>
        </w:rPr>
        <w:t> </w:t>
      </w:r>
      <w:r>
        <w:rPr/>
        <w:t>detrended </w:t>
      </w:r>
      <w:r>
        <w:rPr>
          <w:spacing w:val="-4"/>
        </w:rPr>
        <w:t>residuals better than the training median), identifying which element of the pipeline is the bottleneck. </w:t>
      </w:r>
      <w:r>
        <w:rPr/>
        <w:t>The</w:t>
      </w:r>
      <w:r>
        <w:rPr>
          <w:spacing w:val="-6"/>
        </w:rPr>
        <w:t> </w:t>
      </w:r>
      <w:r>
        <w:rPr/>
        <w:t>evaluation</w:t>
      </w:r>
      <w:r>
        <w:rPr>
          <w:spacing w:val="-6"/>
        </w:rPr>
        <w:t> </w:t>
      </w:r>
      <w:r>
        <w:rPr/>
        <w:t>uses</w:t>
      </w:r>
      <w:r>
        <w:rPr>
          <w:spacing w:val="-6"/>
        </w:rPr>
        <w:t> </w:t>
      </w:r>
      <w:r>
        <w:rPr/>
        <w:t>an</w:t>
      </w:r>
      <w:r>
        <w:rPr>
          <w:spacing w:val="-6"/>
        </w:rPr>
        <w:t> </w:t>
      </w:r>
      <w:r>
        <w:rPr/>
        <w:t>expanding-window</w:t>
      </w:r>
      <w:r>
        <w:rPr>
          <w:spacing w:val="-6"/>
        </w:rPr>
        <w:t> </w:t>
      </w:r>
      <w:r>
        <w:rPr/>
        <w:t>walk-forward</w:t>
      </w:r>
      <w:r>
        <w:rPr>
          <w:spacing w:val="-6"/>
        </w:rPr>
        <w:t> </w:t>
      </w:r>
      <w:r>
        <w:rPr/>
        <w:t>protocol</w:t>
      </w:r>
      <w:r>
        <w:rPr>
          <w:spacing w:val="-6"/>
        </w:rPr>
        <w:t> </w:t>
      </w:r>
      <w:r>
        <w:rPr/>
        <w:t>with</w:t>
      </w:r>
      <w:r>
        <w:rPr>
          <w:spacing w:val="-6"/>
        </w:rPr>
        <w:t> </w:t>
      </w:r>
      <w:r>
        <w:rPr/>
        <w:t>18</w:t>
      </w:r>
      <w:r>
        <w:rPr>
          <w:spacing w:val="-6"/>
        </w:rPr>
        <w:t> </w:t>
      </w:r>
      <w:r>
        <w:rPr/>
        <w:t>scenarios</w:t>
      </w:r>
      <w:r>
        <w:rPr>
          <w:spacing w:val="-6"/>
        </w:rPr>
        <w:t> </w:t>
      </w:r>
      <w:r>
        <w:rPr/>
        <w:t>for</w:t>
      </w:r>
      <w:r>
        <w:rPr>
          <w:spacing w:val="-6"/>
        </w:rPr>
        <w:t> </w:t>
      </w:r>
      <w:r>
        <w:rPr/>
        <w:t>RDD</w:t>
      </w:r>
      <w:r>
        <w:rPr>
          <w:spacing w:val="-6"/>
        </w:rPr>
        <w:t> </w:t>
      </w:r>
      <w:r>
        <w:rPr/>
        <w:t>and 16 for RVV, with all preprocessing — detrending, feature discretisation, and feature selection </w:t>
      </w:r>
      <w:r>
        <w:rPr/>
        <w:t>— performed within each training fold to prevent leakage.</w:t>
      </w:r>
      <w:r>
        <w:rPr>
          <w:spacing w:val="18"/>
        </w:rPr>
        <w:t> </w:t>
      </w:r>
      <w:r>
        <w:rPr/>
        <w:t>Eleven CarenR variants are evaluated as a structured sensitivity analysis of feature selection strategies, alongside RIPPER, M5Rules, a Decision Tree regressor, and naive baselines, totalling 17 models.</w:t>
      </w:r>
    </w:p>
    <w:p>
      <w:pPr>
        <w:pStyle w:val="BodyText"/>
        <w:spacing w:line="256" w:lineRule="auto" w:before="4"/>
        <w:ind w:left="134" w:right="1557" w:firstLine="346"/>
        <w:jc w:val="both"/>
      </w:pPr>
      <w:r>
        <w:rPr/>
        <w:t>Goal 1 (Rule Discovery) is achieved. CarenR’s KS-test-based subgroup induction discovers 48 statistically validated rules for RDD and 20 for RVV. Feature frequency analysis shows that harvest-period soil water appears in 54% of RDD rules, the most consistently selected variable across all 48 rules, while Leaf Area Index (LAI) at harvest dominates the RVV rule set (present in all 20 rules).</w:t>
      </w:r>
      <w:r>
        <w:rPr>
          <w:spacing w:val="35"/>
        </w:rPr>
        <w:t> </w:t>
      </w:r>
      <w:r>
        <w:rPr/>
        <w:t>LOESS detrending validates that the selected features carry genuine within-era signal (correlations drop by</w:t>
      </w:r>
      <w:r>
        <w:rPr>
          <w:spacing w:val="40"/>
        </w:rPr>
        <w:t> </w:t>
      </w:r>
      <w:r>
        <w:rPr/>
        <w:t>8% after era-trend removal), confirming that CarenR extracts real structure</w:t>
      </w:r>
      <w:r>
        <w:rPr>
          <w:spacing w:val="-14"/>
        </w:rPr>
        <w:t> </w:t>
      </w:r>
      <w:r>
        <w:rPr/>
        <w:t>rather</w:t>
      </w:r>
      <w:r>
        <w:rPr>
          <w:spacing w:val="-14"/>
        </w:rPr>
        <w:t> </w:t>
      </w:r>
      <w:r>
        <w:rPr/>
        <w:t>than</w:t>
      </w:r>
      <w:r>
        <w:rPr>
          <w:spacing w:val="-14"/>
        </w:rPr>
        <w:t> </w:t>
      </w:r>
      <w:r>
        <w:rPr/>
        <w:t>era-membership</w:t>
      </w:r>
      <w:r>
        <w:rPr>
          <w:spacing w:val="-13"/>
        </w:rPr>
        <w:t> </w:t>
      </w:r>
      <w:r>
        <w:rPr/>
        <w:t>artefacts.</w:t>
      </w:r>
      <w:r>
        <w:rPr>
          <w:spacing w:val="-14"/>
        </w:rPr>
        <w:t> </w:t>
      </w:r>
      <w:r>
        <w:rPr/>
        <w:t>A</w:t>
      </w:r>
      <w:r>
        <w:rPr>
          <w:spacing w:val="-14"/>
        </w:rPr>
        <w:t> </w:t>
      </w:r>
      <w:r>
        <w:rPr/>
        <w:t>cross-algorithm</w:t>
      </w:r>
      <w:r>
        <w:rPr>
          <w:spacing w:val="-14"/>
        </w:rPr>
        <w:t> </w:t>
      </w:r>
      <w:r>
        <w:rPr/>
        <w:t>comparison</w:t>
      </w:r>
      <w:r>
        <w:rPr>
          <w:spacing w:val="-13"/>
        </w:rPr>
        <w:t> </w:t>
      </w:r>
      <w:r>
        <w:rPr/>
        <w:t>shows</w:t>
      </w:r>
      <w:r>
        <w:rPr>
          <w:spacing w:val="-14"/>
        </w:rPr>
        <w:t> </w:t>
      </w:r>
      <w:r>
        <w:rPr/>
        <w:t>that</w:t>
      </w:r>
      <w:r>
        <w:rPr>
          <w:spacing w:val="-14"/>
        </w:rPr>
        <w:t> </w:t>
      </w:r>
      <w:r>
        <w:rPr/>
        <w:t>RIPPER and</w:t>
      </w:r>
      <w:r>
        <w:rPr>
          <w:spacing w:val="-16"/>
        </w:rPr>
        <w:t> </w:t>
      </w:r>
      <w:r>
        <w:rPr/>
        <w:t>M5Rules</w:t>
      </w:r>
      <w:r>
        <w:rPr>
          <w:spacing w:val="-14"/>
        </w:rPr>
        <w:t> </w:t>
      </w:r>
      <w:r>
        <w:rPr/>
        <w:t>independently</w:t>
      </w:r>
      <w:r>
        <w:rPr>
          <w:spacing w:val="-14"/>
        </w:rPr>
        <w:t> </w:t>
      </w:r>
      <w:r>
        <w:rPr/>
        <w:t>converge</w:t>
      </w:r>
      <w:r>
        <w:rPr>
          <w:spacing w:val="-13"/>
        </w:rPr>
        <w:t> </w:t>
      </w:r>
      <w:r>
        <w:rPr/>
        <w:t>on</w:t>
      </w:r>
      <w:r>
        <w:rPr>
          <w:spacing w:val="-14"/>
        </w:rPr>
        <w:t> </w:t>
      </w:r>
      <w:r>
        <w:rPr/>
        <w:t>the</w:t>
      </w:r>
      <w:r>
        <w:rPr>
          <w:spacing w:val="-14"/>
        </w:rPr>
        <w:t> </w:t>
      </w:r>
      <w:r>
        <w:rPr/>
        <w:t>same</w:t>
      </w:r>
      <w:r>
        <w:rPr>
          <w:spacing w:val="-14"/>
        </w:rPr>
        <w:t> </w:t>
      </w:r>
      <w:r>
        <w:rPr/>
        <w:t>variable</w:t>
      </w:r>
      <w:r>
        <w:rPr>
          <w:spacing w:val="-13"/>
        </w:rPr>
        <w:t> </w:t>
      </w:r>
      <w:r>
        <w:rPr/>
        <w:t>families,</w:t>
      </w:r>
      <w:r>
        <w:rPr>
          <w:spacing w:val="-14"/>
        </w:rPr>
        <w:t> </w:t>
      </w:r>
      <w:r>
        <w:rPr/>
        <w:t>confirming</w:t>
      </w:r>
      <w:r>
        <w:rPr>
          <w:spacing w:val="-14"/>
        </w:rPr>
        <w:t> </w:t>
      </w:r>
      <w:r>
        <w:rPr/>
        <w:t>that</w:t>
      </w:r>
      <w:r>
        <w:rPr>
          <w:spacing w:val="-14"/>
        </w:rPr>
        <w:t> </w:t>
      </w:r>
      <w:r>
        <w:rPr/>
        <w:t>the</w:t>
      </w:r>
      <w:r>
        <w:rPr>
          <w:spacing w:val="-13"/>
        </w:rPr>
        <w:t> </w:t>
      </w:r>
      <w:r>
        <w:rPr/>
        <w:t>identified variables are robust across three different optimisation criteria.</w:t>
      </w:r>
    </w:p>
    <w:p>
      <w:pPr>
        <w:pStyle w:val="BodyText"/>
        <w:spacing w:before="3"/>
        <w:ind w:left="142" w:firstLine="338"/>
        <w:jc w:val="both"/>
      </w:pPr>
      <w:r>
        <w:rPr/>
        <w:t>Goal</w:t>
      </w:r>
      <w:r>
        <w:rPr>
          <w:spacing w:val="27"/>
        </w:rPr>
        <w:t> </w:t>
      </w:r>
      <w:r>
        <w:rPr/>
        <w:t>2</w:t>
      </w:r>
      <w:r>
        <w:rPr>
          <w:spacing w:val="28"/>
        </w:rPr>
        <w:t> </w:t>
      </w:r>
      <w:r>
        <w:rPr/>
        <w:t>(Predictive</w:t>
      </w:r>
      <w:r>
        <w:rPr>
          <w:spacing w:val="28"/>
        </w:rPr>
        <w:t> </w:t>
      </w:r>
      <w:r>
        <w:rPr/>
        <w:t>Validation)</w:t>
      </w:r>
      <w:r>
        <w:rPr>
          <w:spacing w:val="27"/>
        </w:rPr>
        <w:t> </w:t>
      </w:r>
      <w:r>
        <w:rPr/>
        <w:t>is</w:t>
      </w:r>
      <w:r>
        <w:rPr>
          <w:spacing w:val="28"/>
        </w:rPr>
        <w:t> </w:t>
      </w:r>
      <w:r>
        <w:rPr/>
        <w:t>not</w:t>
      </w:r>
      <w:r>
        <w:rPr>
          <w:spacing w:val="28"/>
        </w:rPr>
        <w:t> </w:t>
      </w:r>
      <w:r>
        <w:rPr/>
        <w:t>achieved</w:t>
      </w:r>
      <w:r>
        <w:rPr>
          <w:spacing w:val="26"/>
        </w:rPr>
        <w:t> </w:t>
      </w:r>
      <w:r>
        <w:rPr/>
        <w:t>overall.</w:t>
      </w:r>
      <w:r>
        <w:rPr>
          <w:spacing w:val="69"/>
          <w:w w:val="150"/>
        </w:rPr>
        <w:t> </w:t>
      </w:r>
      <w:r>
        <w:rPr/>
        <w:t>No</w:t>
      </w:r>
      <w:r>
        <w:rPr>
          <w:spacing w:val="28"/>
        </w:rPr>
        <w:t> </w:t>
      </w:r>
      <w:r>
        <w:rPr/>
        <w:t>rule-based</w:t>
      </w:r>
      <w:r>
        <w:rPr>
          <w:spacing w:val="27"/>
        </w:rPr>
        <w:t> </w:t>
      </w:r>
      <w:r>
        <w:rPr/>
        <w:t>model</w:t>
      </w:r>
      <w:r>
        <w:rPr>
          <w:spacing w:val="27"/>
        </w:rPr>
        <w:t> </w:t>
      </w:r>
      <w:r>
        <w:rPr>
          <w:spacing w:val="-2"/>
        </w:rPr>
        <w:t>consistently</w:t>
      </w:r>
    </w:p>
    <w:p>
      <w:pPr>
        <w:pStyle w:val="BodyText"/>
        <w:spacing w:line="208" w:lineRule="auto" w:before="45"/>
        <w:ind w:left="136" w:right="1557" w:firstLine="5"/>
        <w:jc w:val="both"/>
      </w:pPr>
      <w:r>
        <w:rPr/>
        <w:t>outperforms the Naive_Median baseline across the full evaluation sequence.</w:t>
      </w:r>
      <w:r>
        <w:rPr>
          <w:spacing w:val="40"/>
        </w:rPr>
        <w:t> </w:t>
      </w:r>
      <w:r>
        <w:rPr/>
        <w:t>The best </w:t>
      </w:r>
      <w:r>
        <w:rPr/>
        <w:t>CarenR </w:t>
      </w:r>
      <w:r>
        <w:rPr>
          <w:spacing w:val="-2"/>
        </w:rPr>
        <w:t>variant</w:t>
      </w:r>
      <w:r>
        <w:rPr>
          <w:spacing w:val="-12"/>
        </w:rPr>
        <w:t> </w:t>
      </w:r>
      <w:r>
        <w:rPr>
          <w:spacing w:val="-2"/>
        </w:rPr>
        <w:t>falls</w:t>
      </w:r>
      <w:r>
        <w:rPr>
          <w:spacing w:val="-12"/>
        </w:rPr>
        <w:t> </w:t>
      </w:r>
      <w:r>
        <w:rPr>
          <w:spacing w:val="-2"/>
        </w:rPr>
        <w:t>3%</w:t>
      </w:r>
      <w:r>
        <w:rPr>
          <w:spacing w:val="-9"/>
        </w:rPr>
        <w:t> </w:t>
      </w:r>
      <w:r>
        <w:rPr>
          <w:spacing w:val="-2"/>
        </w:rPr>
        <w:t>behind</w:t>
      </w:r>
      <w:r>
        <w:rPr>
          <w:spacing w:val="-7"/>
        </w:rPr>
        <w:t> </w:t>
      </w:r>
      <w:r>
        <w:rPr>
          <w:spacing w:val="-2"/>
        </w:rPr>
        <w:t>the</w:t>
      </w:r>
      <w:r>
        <w:rPr>
          <w:spacing w:val="-7"/>
        </w:rPr>
        <w:t> </w:t>
      </w:r>
      <w:r>
        <w:rPr>
          <w:spacing w:val="-2"/>
        </w:rPr>
        <w:t>baseline</w:t>
      </w:r>
      <w:r>
        <w:rPr>
          <w:spacing w:val="-7"/>
        </w:rPr>
        <w:t> </w:t>
      </w:r>
      <w:r>
        <w:rPr>
          <w:spacing w:val="-2"/>
        </w:rPr>
        <w:t>in</w:t>
      </w:r>
      <w:r>
        <w:rPr>
          <w:spacing w:val="-7"/>
        </w:rPr>
        <w:t> </w:t>
      </w:r>
      <w:r>
        <w:rPr>
          <w:spacing w:val="-2"/>
        </w:rPr>
        <w:t>RDD</w:t>
      </w:r>
      <w:r>
        <w:rPr>
          <w:spacing w:val="-7"/>
        </w:rPr>
        <w:t> </w:t>
      </w:r>
      <w:r>
        <w:rPr>
          <w:spacing w:val="-2"/>
        </w:rPr>
        <w:t>(189</w:t>
      </w:r>
      <w:r>
        <w:rPr>
          <w:spacing w:val="-7"/>
        </w:rPr>
        <w:t> </w:t>
      </w:r>
      <w:r>
        <w:rPr>
          <w:spacing w:val="-2"/>
        </w:rPr>
        <w:t>vs</w:t>
      </w:r>
      <w:r>
        <w:rPr>
          <w:spacing w:val="-7"/>
        </w:rPr>
        <w:t> </w:t>
      </w:r>
      <w:r>
        <w:rPr>
          <w:spacing w:val="-2"/>
        </w:rPr>
        <w:t>184</w:t>
      </w:r>
      <w:r>
        <w:rPr>
          <w:spacing w:val="-7"/>
        </w:rPr>
        <w:t> </w:t>
      </w:r>
      <w:r>
        <w:rPr>
          <w:spacing w:val="-2"/>
        </w:rPr>
        <w:t>mhl</w:t>
      </w:r>
      <w:r>
        <w:rPr>
          <w:spacing w:val="-7"/>
        </w:rPr>
        <w:t> </w:t>
      </w:r>
      <w:r>
        <w:rPr>
          <w:spacing w:val="-2"/>
        </w:rPr>
        <w:t>weighted</w:t>
      </w:r>
      <w:r>
        <w:rPr>
          <w:spacing w:val="-7"/>
        </w:rPr>
        <w:t> </w:t>
      </w:r>
      <w:r>
        <w:rPr>
          <w:spacing w:val="-2"/>
        </w:rPr>
        <w:t>MAE;</w:t>
      </w:r>
      <w:r>
        <w:rPr>
          <w:spacing w:val="-7"/>
        </w:rPr>
        <w:t> </w:t>
      </w:r>
      <w:r>
        <w:rPr>
          <w:spacing w:val="-2"/>
        </w:rPr>
        <w:t>Wilcoxon</w:t>
      </w:r>
      <w:r>
        <w:rPr>
          <w:spacing w:val="7"/>
        </w:rPr>
        <w:t> </w:t>
      </w:r>
      <w:r>
        <w:rPr>
          <w:i/>
          <w:spacing w:val="-2"/>
        </w:rPr>
        <w:t>p</w:t>
      </w:r>
      <w:r>
        <w:rPr>
          <w:i/>
          <w:spacing w:val="-12"/>
        </w:rPr>
        <w:t> </w:t>
      </w:r>
      <w:r>
        <w:rPr>
          <w:rFonts w:ascii="Lucida Sans Unicode"/>
          <w:spacing w:val="-2"/>
        </w:rPr>
        <w:t>=</w:t>
      </w:r>
      <w:r>
        <w:rPr>
          <w:rFonts w:ascii="Lucida Sans Unicode"/>
          <w:spacing w:val="-16"/>
        </w:rPr>
        <w:t> </w:t>
      </w:r>
      <w:r>
        <w:rPr>
          <w:spacing w:val="-2"/>
        </w:rPr>
        <w:t>0</w:t>
      </w:r>
      <w:r>
        <w:rPr>
          <w:rFonts w:ascii="Meiryo UI"/>
          <w:i/>
          <w:spacing w:val="-2"/>
        </w:rPr>
        <w:t>.</w:t>
      </w:r>
      <w:r>
        <w:rPr>
          <w:spacing w:val="-2"/>
        </w:rPr>
        <w:t>468 </w:t>
      </w:r>
      <w:r>
        <w:rPr/>
        <w:t>across</w:t>
      </w:r>
      <w:r>
        <w:rPr>
          <w:spacing w:val="23"/>
        </w:rPr>
        <w:t> </w:t>
      </w:r>
      <w:r>
        <w:rPr/>
        <w:t>all</w:t>
      </w:r>
      <w:r>
        <w:rPr>
          <w:spacing w:val="24"/>
        </w:rPr>
        <w:t> </w:t>
      </w:r>
      <w:r>
        <w:rPr/>
        <w:t>18</w:t>
      </w:r>
      <w:r>
        <w:rPr>
          <w:spacing w:val="24"/>
        </w:rPr>
        <w:t> </w:t>
      </w:r>
      <w:r>
        <w:rPr/>
        <w:t>scenarios,</w:t>
      </w:r>
      <w:r>
        <w:rPr>
          <w:spacing w:val="30"/>
        </w:rPr>
        <w:t> </w:t>
      </w:r>
      <w:r>
        <w:rPr/>
        <w:t>not</w:t>
      </w:r>
      <w:r>
        <w:rPr>
          <w:spacing w:val="23"/>
        </w:rPr>
        <w:t> </w:t>
      </w:r>
      <w:r>
        <w:rPr/>
        <w:t>significant)</w:t>
      </w:r>
      <w:r>
        <w:rPr>
          <w:spacing w:val="24"/>
        </w:rPr>
        <w:t> </w:t>
      </w:r>
      <w:r>
        <w:rPr/>
        <w:t>and</w:t>
      </w:r>
      <w:r>
        <w:rPr>
          <w:spacing w:val="24"/>
        </w:rPr>
        <w:t> </w:t>
      </w:r>
      <w:r>
        <w:rPr/>
        <w:t>22%</w:t>
      </w:r>
      <w:r>
        <w:rPr>
          <w:spacing w:val="24"/>
        </w:rPr>
        <w:t> </w:t>
      </w:r>
      <w:r>
        <w:rPr/>
        <w:t>behind</w:t>
      </w:r>
      <w:r>
        <w:rPr>
          <w:spacing w:val="23"/>
        </w:rPr>
        <w:t> </w:t>
      </w:r>
      <w:r>
        <w:rPr/>
        <w:t>in</w:t>
      </w:r>
      <w:r>
        <w:rPr>
          <w:spacing w:val="24"/>
        </w:rPr>
        <w:t> </w:t>
      </w:r>
      <w:r>
        <w:rPr/>
        <w:t>RVV</w:t>
      </w:r>
      <w:r>
        <w:rPr>
          <w:spacing w:val="24"/>
        </w:rPr>
        <w:t> </w:t>
      </w:r>
      <w:r>
        <w:rPr/>
        <w:t>(172</w:t>
      </w:r>
      <w:r>
        <w:rPr>
          <w:spacing w:val="24"/>
        </w:rPr>
        <w:t> </w:t>
      </w:r>
      <w:r>
        <w:rPr/>
        <w:t>vs</w:t>
      </w:r>
      <w:r>
        <w:rPr>
          <w:spacing w:val="23"/>
        </w:rPr>
        <w:t> </w:t>
      </w:r>
      <w:r>
        <w:rPr/>
        <w:t>140</w:t>
      </w:r>
      <w:r>
        <w:rPr>
          <w:spacing w:val="24"/>
        </w:rPr>
        <w:t> </w:t>
      </w:r>
      <w:r>
        <w:rPr/>
        <w:t>mhl).</w:t>
      </w:r>
      <w:r>
        <w:rPr>
          <w:spacing w:val="58"/>
          <w:w w:val="150"/>
        </w:rPr>
        <w:t> </w:t>
      </w:r>
      <w:r>
        <w:rPr/>
        <w:t>In</w:t>
      </w:r>
      <w:r>
        <w:rPr>
          <w:spacing w:val="23"/>
        </w:rPr>
        <w:t> </w:t>
      </w:r>
      <w:r>
        <w:rPr/>
        <w:t>the</w:t>
      </w:r>
      <w:r>
        <w:rPr>
          <w:spacing w:val="24"/>
        </w:rPr>
        <w:t> </w:t>
      </w:r>
      <w:r>
        <w:rPr>
          <w:spacing w:val="-10"/>
        </w:rPr>
        <w:t>9</w:t>
      </w:r>
    </w:p>
    <w:p>
      <w:pPr>
        <w:pStyle w:val="BodyText"/>
        <w:spacing w:line="208" w:lineRule="auto" w:before="52"/>
        <w:ind w:left="142" w:right="1531"/>
        <w:jc w:val="both"/>
      </w:pPr>
      <w:r>
        <w:rPr/>
        <w:t>RVV scenarios where rules fired,</w:t>
      </w:r>
      <w:r>
        <w:rPr>
          <w:spacing w:val="17"/>
        </w:rPr>
        <w:t> </w:t>
      </w:r>
      <w:r>
        <w:rPr/>
        <w:t>CarenR was significantly worse than the baseline (Wilcoxon</w:t>
      </w:r>
      <w:r>
        <w:rPr>
          <w:spacing w:val="80"/>
        </w:rPr>
        <w:t> </w:t>
      </w:r>
      <w:r>
        <w:rPr>
          <w:i/>
        </w:rPr>
        <w:t>p </w:t>
      </w:r>
      <w:r>
        <w:rPr>
          <w:rFonts w:ascii="Lucida Sans Unicode"/>
        </w:rPr>
        <w:t>=</w:t>
      </w:r>
      <w:r>
        <w:rPr>
          <w:rFonts w:ascii="Lucida Sans Unicode"/>
          <w:spacing w:val="-2"/>
        </w:rPr>
        <w:t> </w:t>
      </w:r>
      <w:r>
        <w:rPr/>
        <w:t>0</w:t>
      </w:r>
      <w:r>
        <w:rPr>
          <w:rFonts w:ascii="Meiryo UI"/>
          <w:i/>
        </w:rPr>
        <w:t>.</w:t>
      </w:r>
      <w:r>
        <w:rPr/>
        <w:t>004).</w:t>
      </w:r>
      <w:r>
        <w:rPr>
          <w:spacing w:val="40"/>
        </w:rPr>
        <w:t> </w:t>
      </w:r>
      <w:r>
        <w:rPr/>
        <w:t>A post-hoc era-composition analysis, conducted after observing the results and </w:t>
      </w:r>
      <w:r>
        <w:rPr>
          <w:spacing w:val="-2"/>
        </w:rPr>
        <w:t>therefore</w:t>
      </w:r>
      <w:r>
        <w:rPr>
          <w:spacing w:val="-12"/>
        </w:rPr>
        <w:t> </w:t>
      </w:r>
      <w:r>
        <w:rPr>
          <w:spacing w:val="-2"/>
        </w:rPr>
        <w:t>exploratory,</w:t>
      </w:r>
      <w:r>
        <w:rPr>
          <w:spacing w:val="-12"/>
        </w:rPr>
        <w:t> </w:t>
      </w:r>
      <w:r>
        <w:rPr>
          <w:spacing w:val="-2"/>
        </w:rPr>
        <w:t>suggests</w:t>
      </w:r>
      <w:r>
        <w:rPr>
          <w:spacing w:val="-12"/>
        </w:rPr>
        <w:t> </w:t>
      </w:r>
      <w:r>
        <w:rPr>
          <w:spacing w:val="-2"/>
        </w:rPr>
        <w:t>CarenR</w:t>
      </w:r>
      <w:r>
        <w:rPr>
          <w:spacing w:val="-11"/>
        </w:rPr>
        <w:t> </w:t>
      </w:r>
      <w:r>
        <w:rPr>
          <w:spacing w:val="-2"/>
        </w:rPr>
        <w:t>consistently</w:t>
      </w:r>
      <w:r>
        <w:rPr>
          <w:spacing w:val="-12"/>
        </w:rPr>
        <w:t> </w:t>
      </w:r>
      <w:r>
        <w:rPr>
          <w:spacing w:val="-2"/>
        </w:rPr>
        <w:t>outperforms</w:t>
      </w:r>
      <w:r>
        <w:rPr>
          <w:spacing w:val="-12"/>
        </w:rPr>
        <w:t> </w:t>
      </w:r>
      <w:r>
        <w:rPr>
          <w:spacing w:val="-2"/>
        </w:rPr>
        <w:t>the</w:t>
      </w:r>
      <w:r>
        <w:rPr>
          <w:spacing w:val="-12"/>
        </w:rPr>
        <w:t> </w:t>
      </w:r>
      <w:r>
        <w:rPr>
          <w:spacing w:val="-2"/>
        </w:rPr>
        <w:t>baseline</w:t>
      </w:r>
      <w:r>
        <w:rPr>
          <w:spacing w:val="-11"/>
        </w:rPr>
        <w:t> </w:t>
      </w:r>
      <w:r>
        <w:rPr>
          <w:spacing w:val="-2"/>
        </w:rPr>
        <w:t>in</w:t>
      </w:r>
      <w:r>
        <w:rPr>
          <w:spacing w:val="-12"/>
        </w:rPr>
        <w:t> </w:t>
      </w:r>
      <w:r>
        <w:rPr>
          <w:spacing w:val="-2"/>
        </w:rPr>
        <w:t>RDD</w:t>
      </w:r>
      <w:r>
        <w:rPr>
          <w:spacing w:val="-12"/>
        </w:rPr>
        <w:t> </w:t>
      </w:r>
      <w:r>
        <w:rPr>
          <w:spacing w:val="-2"/>
        </w:rPr>
        <w:t>when</w:t>
      </w:r>
      <w:r>
        <w:rPr>
          <w:spacing w:val="-12"/>
        </w:rPr>
        <w:t> </w:t>
      </w:r>
      <w:r>
        <w:rPr>
          <w:spacing w:val="-2"/>
        </w:rPr>
        <w:t>training </w:t>
      </w:r>
      <w:r>
        <w:rPr/>
        <w:t>data reaches</w:t>
      </w:r>
      <w:r>
        <w:rPr>
          <w:spacing w:val="40"/>
        </w:rPr>
        <w:t> </w:t>
      </w:r>
      <w:r>
        <w:rPr/>
        <w:t>29% post-1990 representation (5 of 5 consecutive scenarios, binomial </w:t>
      </w:r>
      <w:r>
        <w:rPr>
          <w:i/>
        </w:rPr>
        <w:t>p</w:t>
      </w:r>
      <w:r>
        <w:rPr>
          <w:i/>
          <w:spacing w:val="-4"/>
        </w:rPr>
        <w:t> </w:t>
      </w:r>
      <w:r>
        <w:rPr>
          <w:rFonts w:ascii="Lucida Sans Unicode"/>
        </w:rPr>
        <w:t>=</w:t>
      </w:r>
      <w:r>
        <w:rPr>
          <w:rFonts w:ascii="Lucida Sans Unicode"/>
          <w:spacing w:val="-18"/>
        </w:rPr>
        <w:t> </w:t>
      </w:r>
      <w:r>
        <w:rPr/>
        <w:t>0</w:t>
      </w:r>
      <w:r>
        <w:rPr>
          <w:rFonts w:ascii="Meiryo UI"/>
          <w:i/>
        </w:rPr>
        <w:t>.</w:t>
      </w:r>
      <w:r>
        <w:rPr/>
        <w:t>031), pointing</w:t>
      </w:r>
      <w:r>
        <w:rPr>
          <w:spacing w:val="15"/>
        </w:rPr>
        <w:t> </w:t>
      </w:r>
      <w:r>
        <w:rPr/>
        <w:t>to</w:t>
      </w:r>
      <w:r>
        <w:rPr>
          <w:spacing w:val="15"/>
        </w:rPr>
        <w:t> </w:t>
      </w:r>
      <w:r>
        <w:rPr/>
        <w:t>a</w:t>
      </w:r>
      <w:r>
        <w:rPr>
          <w:spacing w:val="16"/>
        </w:rPr>
        <w:t> </w:t>
      </w:r>
      <w:r>
        <w:rPr/>
        <w:t>conditional</w:t>
      </w:r>
      <w:r>
        <w:rPr>
          <w:spacing w:val="15"/>
        </w:rPr>
        <w:t> </w:t>
      </w:r>
      <w:r>
        <w:rPr/>
        <w:t>regime</w:t>
      </w:r>
      <w:r>
        <w:rPr>
          <w:spacing w:val="16"/>
        </w:rPr>
        <w:t> </w:t>
      </w:r>
      <w:r>
        <w:rPr/>
        <w:t>where</w:t>
      </w:r>
      <w:r>
        <w:rPr>
          <w:spacing w:val="15"/>
        </w:rPr>
        <w:t> </w:t>
      </w:r>
      <w:r>
        <w:rPr/>
        <w:t>rule-based</w:t>
      </w:r>
      <w:r>
        <w:rPr>
          <w:spacing w:val="15"/>
        </w:rPr>
        <w:t> </w:t>
      </w:r>
      <w:r>
        <w:rPr/>
        <w:t>prediction</w:t>
      </w:r>
      <w:r>
        <w:rPr>
          <w:spacing w:val="16"/>
        </w:rPr>
        <w:t> </w:t>
      </w:r>
      <w:r>
        <w:rPr/>
        <w:t>could</w:t>
      </w:r>
      <w:r>
        <w:rPr>
          <w:spacing w:val="15"/>
        </w:rPr>
        <w:t> </w:t>
      </w:r>
      <w:r>
        <w:rPr/>
        <w:t>succeed.</w:t>
      </w:r>
      <w:r>
        <w:rPr>
          <w:spacing w:val="52"/>
        </w:rPr>
        <w:t> </w:t>
      </w:r>
      <w:r>
        <w:rPr/>
        <w:t>The</w:t>
      </w:r>
      <w:r>
        <w:rPr>
          <w:spacing w:val="16"/>
        </w:rPr>
        <w:t> </w:t>
      </w:r>
      <w:r>
        <w:rPr/>
        <w:t>two-</w:t>
      </w:r>
      <w:r>
        <w:rPr>
          <w:spacing w:val="-2"/>
        </w:rPr>
        <w:t>decision</w:t>
      </w:r>
    </w:p>
    <w:p>
      <w:pPr>
        <w:pStyle w:val="BodyText"/>
        <w:spacing w:line="256" w:lineRule="auto" w:before="27"/>
        <w:ind w:left="142" w:right="1557"/>
        <w:jc w:val="both"/>
      </w:pPr>
      <w:r>
        <w:rPr/>
        <w:t>framework explains the failure: the demands of accurate trend modelling and sufficient residual signal for rule induction are in fundamental tension under a time-only detrending covariate.</w:t>
      </w:r>
    </w:p>
    <w:p>
      <w:pPr>
        <w:spacing w:line="256" w:lineRule="auto" w:before="1"/>
        <w:ind w:left="142" w:right="1520" w:firstLine="338"/>
        <w:jc w:val="both"/>
        <w:rPr>
          <w:i/>
          <w:sz w:val="22"/>
        </w:rPr>
      </w:pPr>
      <w:r>
        <w:rPr>
          <w:b/>
          <w:sz w:val="22"/>
        </w:rPr>
        <w:t>Keywords: </w:t>
      </w:r>
      <w:r>
        <w:rPr>
          <w:i/>
          <w:sz w:val="22"/>
        </w:rPr>
        <w:t>distributional subgroup discovery, CarenR, rule-based machine learning, walk-forward validation, time series evaluation, two-decision decomposition, feature selection, wine</w:t>
      </w:r>
      <w:r>
        <w:rPr>
          <w:i/>
          <w:sz w:val="22"/>
        </w:rPr>
        <w:t> production forecasting, non-stationarity, era confound</w:t>
      </w:r>
    </w:p>
    <w:p>
      <w:pPr>
        <w:spacing w:after="0" w:line="256" w:lineRule="auto"/>
        <w:jc w:val="both"/>
        <w:rPr>
          <w:i/>
          <w:sz w:val="22"/>
        </w:rPr>
        <w:sectPr>
          <w:headerReference w:type="even" r:id="rId21"/>
          <w:pgSz w:w="11910" w:h="16840"/>
          <w:pgMar w:header="1160" w:footer="0" w:top="1420" w:bottom="280" w:left="1275" w:right="425"/>
        </w:sectPr>
      </w:pPr>
    </w:p>
    <w:p>
      <w:pPr>
        <w:pStyle w:val="BodyText"/>
        <w:rPr>
          <w:i/>
          <w:sz w:val="49"/>
        </w:rPr>
      </w:pPr>
    </w:p>
    <w:p>
      <w:pPr>
        <w:pStyle w:val="BodyText"/>
        <w:spacing w:before="235"/>
        <w:rPr>
          <w:i/>
          <w:sz w:val="49"/>
        </w:rPr>
      </w:pPr>
    </w:p>
    <w:p>
      <w:pPr>
        <w:pStyle w:val="Heading1"/>
      </w:pPr>
      <w:bookmarkStart w:name="Table of Contents" w:id="2"/>
      <w:bookmarkEnd w:id="2"/>
      <w:r>
        <w:rPr>
          <w:b w:val="0"/>
        </w:rPr>
      </w:r>
      <w:r>
        <w:rPr>
          <w:spacing w:val="-2"/>
        </w:rPr>
        <w:t>Contents</w:t>
      </w:r>
    </w:p>
    <w:p>
      <w:pPr>
        <w:pStyle w:val="Heading1"/>
        <w:spacing w:after="0"/>
        <w:sectPr>
          <w:headerReference w:type="default" r:id="rId22"/>
          <w:pgSz w:w="11910" w:h="16840"/>
          <w:pgMar w:header="0" w:footer="0" w:top="1920" w:bottom="1056" w:left="1275" w:right="425"/>
        </w:sectPr>
      </w:pPr>
    </w:p>
    <w:sdt>
      <w:sdtPr>
        <w:docPartObj>
          <w:docPartGallery w:val="Table of Contents"/>
          <w:docPartUnique/>
        </w:docPartObj>
      </w:sdtPr>
      <w:sdtEndPr/>
      <w:sdtContent>
        <w:p>
          <w:pPr>
            <w:pStyle w:val="TOC4"/>
            <w:numPr>
              <w:ilvl w:val="0"/>
              <w:numId w:val="1"/>
            </w:numPr>
            <w:tabs>
              <w:tab w:pos="1036" w:val="left" w:leader="none"/>
              <w:tab w:pos="9213" w:val="right" w:leader="none"/>
            </w:tabs>
            <w:spacing w:line="240" w:lineRule="auto" w:before="981" w:after="0"/>
            <w:ind w:left="1036" w:right="0" w:hanging="327"/>
            <w:jc w:val="left"/>
          </w:pPr>
          <w:r>
            <w:rPr>
              <w:spacing w:val="-2"/>
            </w:rPr>
            <w:t>Introduction</w:t>
          </w:r>
          <w:r>
            <w:rPr>
              <w:b w:val="0"/>
            </w:rPr>
            <w:tab/>
          </w:r>
          <w:hyperlink w:history="true" w:anchor="_bookmark0">
            <w:r>
              <w:rPr>
                <w:color w:val="8B2C18"/>
                <w:spacing w:val="-10"/>
              </w:rPr>
              <w:t>1</w:t>
            </w:r>
          </w:hyperlink>
        </w:p>
        <w:p>
          <w:pPr>
            <w:pStyle w:val="TOC7"/>
            <w:numPr>
              <w:ilvl w:val="1"/>
              <w:numId w:val="1"/>
            </w:numPr>
            <w:tabs>
              <w:tab w:pos="1538" w:val="left" w:leader="none"/>
              <w:tab w:pos="9213" w:val="right" w:leader="none"/>
            </w:tabs>
            <w:spacing w:line="240" w:lineRule="auto" w:before="22" w:after="0"/>
            <w:ind w:left="1538" w:right="0" w:hanging="502"/>
            <w:jc w:val="left"/>
          </w:pPr>
          <w:r>
            <w:rPr/>
            <w:t>Motivation</w:t>
          </w:r>
          <w:r>
            <w:rPr>
              <w:spacing w:val="10"/>
            </w:rPr>
            <w:t> </w:t>
          </w:r>
          <w:r>
            <w:rPr/>
            <w:t>.</w:t>
          </w:r>
          <w:r>
            <w:rPr>
              <w:spacing w:val="53"/>
            </w:rPr>
            <w:t> </w:t>
          </w:r>
          <w:r>
            <w:rPr/>
            <w:t>.</w:t>
          </w:r>
          <w:r>
            <w:rPr>
              <w:spacing w:val="53"/>
            </w:rPr>
            <w:t> </w:t>
          </w:r>
          <w:r>
            <w:rPr/>
            <w:t>.</w:t>
          </w:r>
          <w:r>
            <w:rPr>
              <w:spacing w:val="52"/>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2"/>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2"/>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2"/>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2"/>
            </w:rPr>
            <w:t> </w:t>
          </w:r>
          <w:r>
            <w:rPr>
              <w:spacing w:val="-10"/>
            </w:rPr>
            <w:t>.</w:t>
          </w:r>
          <w:r>
            <w:rPr/>
            <w:tab/>
          </w:r>
          <w:hyperlink w:history="true" w:anchor="_bookmark1">
            <w:r>
              <w:rPr>
                <w:color w:val="8B2C18"/>
                <w:spacing w:val="-10"/>
              </w:rPr>
              <w:t>1</w:t>
            </w:r>
          </w:hyperlink>
        </w:p>
        <w:p>
          <w:pPr>
            <w:pStyle w:val="TOC7"/>
            <w:numPr>
              <w:ilvl w:val="1"/>
              <w:numId w:val="1"/>
            </w:numPr>
            <w:tabs>
              <w:tab w:pos="1538" w:val="left" w:leader="none"/>
              <w:tab w:pos="9213" w:val="right" w:leader="none"/>
            </w:tabs>
            <w:spacing w:line="240" w:lineRule="auto" w:before="22" w:after="0"/>
            <w:ind w:left="1538" w:right="0" w:hanging="502"/>
            <w:jc w:val="left"/>
          </w:pPr>
          <w:r>
            <w:rPr/>
            <w:t>Research</w:t>
          </w:r>
          <w:r>
            <w:rPr>
              <w:spacing w:val="-2"/>
            </w:rPr>
            <w:t> </w:t>
          </w:r>
          <w:r>
            <w:rPr/>
            <w:t>Goals</w:t>
          </w:r>
          <w:r>
            <w:rPr>
              <w:spacing w:val="-2"/>
            </w:rPr>
            <w:t> </w:t>
          </w:r>
          <w:r>
            <w:rPr/>
            <w:t>and</w:t>
          </w:r>
          <w:r>
            <w:rPr>
              <w:spacing w:val="-2"/>
            </w:rPr>
            <w:t> </w:t>
          </w:r>
          <w:r>
            <w:rPr/>
            <w:t>Questions</w:t>
          </w:r>
          <w:r>
            <w:rPr>
              <w:spacing w:val="26"/>
            </w:rPr>
            <w:t>  </w:t>
          </w:r>
          <w:r>
            <w:rPr/>
            <w:t>.</w:t>
          </w:r>
          <w:r>
            <w:rPr>
              <w:spacing w:val="54"/>
            </w:rPr>
            <w:t> </w:t>
          </w:r>
          <w:r>
            <w:rPr/>
            <w:t>.</w:t>
          </w:r>
          <w:r>
            <w:rPr>
              <w:spacing w:val="53"/>
            </w:rPr>
            <w:t> </w:t>
          </w:r>
          <w:r>
            <w:rPr/>
            <w:t>.</w:t>
          </w:r>
          <w:r>
            <w:rPr>
              <w:spacing w:val="52"/>
            </w:rPr>
            <w:t> </w:t>
          </w:r>
          <w:r>
            <w:rPr/>
            <w:t>.</w:t>
          </w:r>
          <w:r>
            <w:rPr>
              <w:spacing w:val="53"/>
            </w:rPr>
            <w:t> </w:t>
          </w:r>
          <w:r>
            <w:rPr/>
            <w:t>.</w:t>
          </w:r>
          <w:r>
            <w:rPr>
              <w:spacing w:val="53"/>
            </w:rPr>
            <w:t> </w:t>
          </w:r>
          <w:r>
            <w:rPr/>
            <w:t>.</w:t>
          </w:r>
          <w:r>
            <w:rPr>
              <w:spacing w:val="52"/>
            </w:rPr>
            <w:t> </w:t>
          </w:r>
          <w:r>
            <w:rPr/>
            <w:t>.</w:t>
          </w:r>
          <w:r>
            <w:rPr>
              <w:spacing w:val="53"/>
            </w:rPr>
            <w:t> </w:t>
          </w:r>
          <w:r>
            <w:rPr/>
            <w:t>.</w:t>
          </w:r>
          <w:r>
            <w:rPr>
              <w:spacing w:val="53"/>
            </w:rPr>
            <w:t> </w:t>
          </w:r>
          <w:r>
            <w:rPr/>
            <w:t>.</w:t>
          </w:r>
          <w:r>
            <w:rPr>
              <w:spacing w:val="52"/>
            </w:rPr>
            <w:t> </w:t>
          </w:r>
          <w:r>
            <w:rPr/>
            <w:t>.</w:t>
          </w:r>
          <w:r>
            <w:rPr>
              <w:spacing w:val="53"/>
            </w:rPr>
            <w:t> </w:t>
          </w:r>
          <w:r>
            <w:rPr/>
            <w:t>.</w:t>
          </w:r>
          <w:r>
            <w:rPr>
              <w:spacing w:val="52"/>
            </w:rPr>
            <w:t> </w:t>
          </w:r>
          <w:r>
            <w:rPr/>
            <w:t>.</w:t>
          </w:r>
          <w:r>
            <w:rPr>
              <w:spacing w:val="53"/>
            </w:rPr>
            <w:t> </w:t>
          </w:r>
          <w:r>
            <w:rPr/>
            <w:t>.</w:t>
          </w:r>
          <w:r>
            <w:rPr>
              <w:spacing w:val="53"/>
            </w:rPr>
            <w:t> </w:t>
          </w:r>
          <w:r>
            <w:rPr/>
            <w:t>.</w:t>
          </w:r>
          <w:r>
            <w:rPr>
              <w:spacing w:val="52"/>
            </w:rPr>
            <w:t> </w:t>
          </w:r>
          <w:r>
            <w:rPr/>
            <w:t>.</w:t>
          </w:r>
          <w:r>
            <w:rPr>
              <w:spacing w:val="53"/>
            </w:rPr>
            <w:t> </w:t>
          </w:r>
          <w:r>
            <w:rPr/>
            <w:t>.</w:t>
          </w:r>
          <w:r>
            <w:rPr>
              <w:spacing w:val="53"/>
            </w:rPr>
            <w:t> </w:t>
          </w:r>
          <w:r>
            <w:rPr/>
            <w:t>.</w:t>
          </w:r>
          <w:r>
            <w:rPr>
              <w:spacing w:val="52"/>
            </w:rPr>
            <w:t> </w:t>
          </w:r>
          <w:r>
            <w:rPr/>
            <w:t>.</w:t>
          </w:r>
          <w:r>
            <w:rPr>
              <w:spacing w:val="53"/>
            </w:rPr>
            <w:t> </w:t>
          </w:r>
          <w:r>
            <w:rPr/>
            <w:t>.</w:t>
          </w:r>
          <w:r>
            <w:rPr>
              <w:spacing w:val="53"/>
            </w:rPr>
            <w:t> </w:t>
          </w:r>
          <w:r>
            <w:rPr/>
            <w:t>.</w:t>
          </w:r>
          <w:r>
            <w:rPr>
              <w:spacing w:val="52"/>
            </w:rPr>
            <w:t> </w:t>
          </w:r>
          <w:r>
            <w:rPr/>
            <w:t>.</w:t>
          </w:r>
          <w:r>
            <w:rPr>
              <w:spacing w:val="53"/>
            </w:rPr>
            <w:t> </w:t>
          </w:r>
          <w:r>
            <w:rPr/>
            <w:t>.</w:t>
          </w:r>
          <w:r>
            <w:rPr>
              <w:spacing w:val="52"/>
            </w:rPr>
            <w:t> </w:t>
          </w:r>
          <w:r>
            <w:rPr/>
            <w:t>.</w:t>
          </w:r>
          <w:r>
            <w:rPr>
              <w:spacing w:val="53"/>
            </w:rPr>
            <w:t> </w:t>
          </w:r>
          <w:r>
            <w:rPr/>
            <w:t>.</w:t>
          </w:r>
          <w:r>
            <w:rPr>
              <w:spacing w:val="53"/>
            </w:rPr>
            <w:t> </w:t>
          </w:r>
          <w:r>
            <w:rPr/>
            <w:t>.</w:t>
          </w:r>
          <w:r>
            <w:rPr>
              <w:spacing w:val="52"/>
            </w:rPr>
            <w:t> </w:t>
          </w:r>
          <w:r>
            <w:rPr/>
            <w:t>.</w:t>
          </w:r>
          <w:r>
            <w:rPr>
              <w:spacing w:val="53"/>
            </w:rPr>
            <w:t> </w:t>
          </w:r>
          <w:r>
            <w:rPr>
              <w:spacing w:val="-10"/>
            </w:rPr>
            <w:t>.</w:t>
          </w:r>
          <w:r>
            <w:rPr/>
            <w:tab/>
          </w:r>
          <w:hyperlink w:history="true" w:anchor="_bookmark2">
            <w:r>
              <w:rPr>
                <w:color w:val="8B2C18"/>
                <w:spacing w:val="-10"/>
              </w:rPr>
              <w:t>2</w:t>
            </w:r>
          </w:hyperlink>
        </w:p>
        <w:p>
          <w:pPr>
            <w:pStyle w:val="TOC7"/>
            <w:numPr>
              <w:ilvl w:val="1"/>
              <w:numId w:val="1"/>
            </w:numPr>
            <w:tabs>
              <w:tab w:pos="1538" w:val="left" w:leader="none"/>
              <w:tab w:pos="9213" w:val="right" w:leader="none"/>
            </w:tabs>
            <w:spacing w:line="240" w:lineRule="auto" w:before="22" w:after="0"/>
            <w:ind w:left="1538" w:right="0" w:hanging="502"/>
            <w:jc w:val="left"/>
          </w:pPr>
          <w:r>
            <w:rPr/>
            <w:t>Scope</w:t>
          </w:r>
          <w:r>
            <w:rPr>
              <w:spacing w:val="-2"/>
            </w:rPr>
            <w:t> </w:t>
          </w:r>
          <w:r>
            <w:rPr/>
            <w:t>and</w:t>
          </w:r>
          <w:r>
            <w:rPr>
              <w:spacing w:val="-2"/>
            </w:rPr>
            <w:t> </w:t>
          </w:r>
          <w:r>
            <w:rPr/>
            <w:t>Delimitations</w:t>
          </w:r>
          <w:r>
            <w:rPr>
              <w:spacing w:val="38"/>
            </w:rPr>
            <w:t>  </w:t>
          </w:r>
          <w:r>
            <w:rPr/>
            <w:t>.</w:t>
          </w:r>
          <w:r>
            <w:rPr>
              <w:spacing w:val="54"/>
            </w:rPr>
            <w:t> </w:t>
          </w:r>
          <w:r>
            <w:rPr/>
            <w:t>.</w:t>
          </w:r>
          <w:r>
            <w:rPr>
              <w:spacing w:val="53"/>
            </w:rPr>
            <w:t> </w:t>
          </w:r>
          <w:r>
            <w:rPr/>
            <w:t>.</w:t>
          </w:r>
          <w:r>
            <w:rPr>
              <w:spacing w:val="53"/>
            </w:rPr>
            <w:t> </w:t>
          </w:r>
          <w:r>
            <w:rPr/>
            <w:t>.</w:t>
          </w:r>
          <w:r>
            <w:rPr>
              <w:spacing w:val="53"/>
            </w:rPr>
            <w:t> </w:t>
          </w:r>
          <w:r>
            <w:rPr/>
            <w:t>.</w:t>
          </w:r>
          <w:r>
            <w:rPr>
              <w:spacing w:val="53"/>
            </w:rPr>
            <w:t> </w:t>
          </w:r>
          <w:r>
            <w:rPr/>
            <w:t>.</w:t>
          </w:r>
          <w:r>
            <w:rPr>
              <w:spacing w:val="52"/>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2"/>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2"/>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2"/>
            </w:rPr>
            <w:t> </w:t>
          </w:r>
          <w:r>
            <w:rPr/>
            <w:t>.</w:t>
          </w:r>
          <w:r>
            <w:rPr>
              <w:spacing w:val="53"/>
            </w:rPr>
            <w:t> </w:t>
          </w:r>
          <w:r>
            <w:rPr/>
            <w:t>.</w:t>
          </w:r>
          <w:r>
            <w:rPr>
              <w:spacing w:val="53"/>
            </w:rPr>
            <w:t> </w:t>
          </w:r>
          <w:r>
            <w:rPr/>
            <w:t>.</w:t>
          </w:r>
          <w:r>
            <w:rPr>
              <w:spacing w:val="53"/>
            </w:rPr>
            <w:t> </w:t>
          </w:r>
          <w:r>
            <w:rPr>
              <w:spacing w:val="-10"/>
            </w:rPr>
            <w:t>.</w:t>
          </w:r>
          <w:r>
            <w:rPr/>
            <w:tab/>
          </w:r>
          <w:hyperlink w:history="true" w:anchor="_bookmark3">
            <w:r>
              <w:rPr>
                <w:color w:val="8B2C18"/>
                <w:spacing w:val="-10"/>
              </w:rPr>
              <w:t>2</w:t>
            </w:r>
          </w:hyperlink>
        </w:p>
        <w:p>
          <w:pPr>
            <w:pStyle w:val="TOC7"/>
            <w:numPr>
              <w:ilvl w:val="1"/>
              <w:numId w:val="1"/>
            </w:numPr>
            <w:tabs>
              <w:tab w:pos="1531" w:val="left" w:leader="none"/>
              <w:tab w:pos="9213" w:val="right" w:leader="none"/>
            </w:tabs>
            <w:spacing w:line="240" w:lineRule="auto" w:before="22" w:after="0"/>
            <w:ind w:left="1531" w:right="0" w:hanging="495"/>
            <w:jc w:val="left"/>
          </w:pPr>
          <w:r>
            <w:rPr/>
            <w:t>Thesis</w:t>
          </w:r>
          <w:r>
            <w:rPr>
              <w:spacing w:val="-2"/>
            </w:rPr>
            <w:t> </w:t>
          </w:r>
          <w:r>
            <w:rPr/>
            <w:t>Structure</w:t>
          </w:r>
          <w:r>
            <w:rPr>
              <w:spacing w:val="43"/>
            </w:rPr>
            <w:t> </w:t>
          </w:r>
          <w:r>
            <w:rPr/>
            <w:t>.</w:t>
          </w:r>
          <w:r>
            <w:rPr>
              <w:spacing w:val="53"/>
            </w:rPr>
            <w:t> </w:t>
          </w:r>
          <w:r>
            <w:rPr/>
            <w:t>.</w:t>
          </w:r>
          <w:r>
            <w:rPr>
              <w:spacing w:val="53"/>
            </w:rPr>
            <w:t> </w:t>
          </w:r>
          <w:r>
            <w:rPr/>
            <w:t>.</w:t>
          </w:r>
          <w:r>
            <w:rPr>
              <w:spacing w:val="53"/>
            </w:rPr>
            <w:t> </w:t>
          </w:r>
          <w:r>
            <w:rPr/>
            <w:t>.</w:t>
          </w:r>
          <w:r>
            <w:rPr>
              <w:spacing w:val="54"/>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4"/>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4"/>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spacing w:val="-10"/>
            </w:rPr>
            <w:t>.</w:t>
          </w:r>
          <w:r>
            <w:rPr/>
            <w:tab/>
          </w:r>
          <w:hyperlink w:history="true" w:anchor="_bookmark4">
            <w:r>
              <w:rPr>
                <w:color w:val="8B2C18"/>
                <w:spacing w:val="-10"/>
              </w:rPr>
              <w:t>3</w:t>
            </w:r>
          </w:hyperlink>
        </w:p>
        <w:p>
          <w:pPr>
            <w:pStyle w:val="TOC4"/>
            <w:numPr>
              <w:ilvl w:val="0"/>
              <w:numId w:val="1"/>
            </w:numPr>
            <w:tabs>
              <w:tab w:pos="1036" w:val="left" w:leader="none"/>
              <w:tab w:pos="9213" w:val="right" w:leader="none"/>
            </w:tabs>
            <w:spacing w:line="240" w:lineRule="auto" w:before="243" w:after="0"/>
            <w:ind w:left="1036" w:right="0" w:hanging="327"/>
            <w:jc w:val="left"/>
          </w:pPr>
          <w:r>
            <w:rPr>
              <w:spacing w:val="-2"/>
            </w:rPr>
            <w:t>Literature</w:t>
          </w:r>
          <w:r>
            <w:rPr>
              <w:spacing w:val="5"/>
            </w:rPr>
            <w:t> </w:t>
          </w:r>
          <w:r>
            <w:rPr>
              <w:spacing w:val="-2"/>
            </w:rPr>
            <w:t>Review</w:t>
          </w:r>
          <w:r>
            <w:rPr>
              <w:b w:val="0"/>
            </w:rPr>
            <w:tab/>
          </w:r>
          <w:hyperlink w:history="true" w:anchor="_bookmark5">
            <w:r>
              <w:rPr>
                <w:color w:val="8B2C18"/>
                <w:spacing w:val="-10"/>
              </w:rPr>
              <w:t>5</w:t>
            </w:r>
          </w:hyperlink>
        </w:p>
        <w:p>
          <w:pPr>
            <w:pStyle w:val="TOC7"/>
            <w:numPr>
              <w:ilvl w:val="1"/>
              <w:numId w:val="1"/>
            </w:numPr>
            <w:tabs>
              <w:tab w:pos="1538" w:val="left" w:leader="none"/>
              <w:tab w:pos="9213" w:val="right" w:leader="none"/>
            </w:tabs>
            <w:spacing w:line="240" w:lineRule="auto" w:before="22" w:after="0"/>
            <w:ind w:left="1538" w:right="0" w:hanging="502"/>
            <w:jc w:val="left"/>
          </w:pPr>
          <w:r>
            <w:rPr/>
            <w:t>Regional</w:t>
          </w:r>
          <w:r>
            <w:rPr>
              <w:spacing w:val="-3"/>
            </w:rPr>
            <w:t> </w:t>
          </w:r>
          <w:r>
            <w:rPr/>
            <w:t>Wine</w:t>
          </w:r>
          <w:r>
            <w:rPr>
              <w:spacing w:val="-2"/>
            </w:rPr>
            <w:t> </w:t>
          </w:r>
          <w:r>
            <w:rPr/>
            <w:t>Production</w:t>
          </w:r>
          <w:r>
            <w:rPr>
              <w:spacing w:val="-2"/>
            </w:rPr>
            <w:t> </w:t>
          </w:r>
          <w:r>
            <w:rPr/>
            <w:t>in</w:t>
          </w:r>
          <w:r>
            <w:rPr>
              <w:spacing w:val="-2"/>
            </w:rPr>
            <w:t> </w:t>
          </w:r>
          <w:r>
            <w:rPr/>
            <w:t>Portugal</w:t>
          </w:r>
          <w:r>
            <w:rPr>
              <w:spacing w:val="61"/>
              <w:w w:val="150"/>
            </w:rPr>
            <w:t> </w:t>
          </w:r>
          <w:r>
            <w:rPr/>
            <w:t>.</w:t>
          </w:r>
          <w:r>
            <w:rPr>
              <w:spacing w:val="52"/>
            </w:rPr>
            <w:t> </w:t>
          </w:r>
          <w:r>
            <w:rPr/>
            <w:t>.</w:t>
          </w:r>
          <w:r>
            <w:rPr>
              <w:spacing w:val="52"/>
            </w:rPr>
            <w:t> </w:t>
          </w:r>
          <w:r>
            <w:rPr/>
            <w:t>.</w:t>
          </w:r>
          <w:r>
            <w:rPr>
              <w:spacing w:val="51"/>
            </w:rPr>
            <w:t> </w:t>
          </w:r>
          <w:r>
            <w:rPr/>
            <w:t>.</w:t>
          </w:r>
          <w:r>
            <w:rPr>
              <w:spacing w:val="52"/>
            </w:rPr>
            <w:t> </w:t>
          </w:r>
          <w:r>
            <w:rPr/>
            <w:t>.</w:t>
          </w:r>
          <w:r>
            <w:rPr>
              <w:spacing w:val="52"/>
            </w:rPr>
            <w:t> </w:t>
          </w:r>
          <w:r>
            <w:rPr/>
            <w:t>.</w:t>
          </w:r>
          <w:r>
            <w:rPr>
              <w:spacing w:val="51"/>
            </w:rPr>
            <w:t> </w:t>
          </w:r>
          <w:r>
            <w:rPr/>
            <w:t>.</w:t>
          </w:r>
          <w:r>
            <w:rPr>
              <w:spacing w:val="52"/>
            </w:rPr>
            <w:t> </w:t>
          </w:r>
          <w:r>
            <w:rPr/>
            <w:t>.</w:t>
          </w:r>
          <w:r>
            <w:rPr>
              <w:spacing w:val="52"/>
            </w:rPr>
            <w:t> </w:t>
          </w:r>
          <w:r>
            <w:rPr/>
            <w:t>.</w:t>
          </w:r>
          <w:r>
            <w:rPr>
              <w:spacing w:val="51"/>
            </w:rPr>
            <w:t> </w:t>
          </w:r>
          <w:r>
            <w:rPr/>
            <w:t>.</w:t>
          </w:r>
          <w:r>
            <w:rPr>
              <w:spacing w:val="52"/>
            </w:rPr>
            <w:t> </w:t>
          </w:r>
          <w:r>
            <w:rPr/>
            <w:t>.</w:t>
          </w:r>
          <w:r>
            <w:rPr>
              <w:spacing w:val="52"/>
            </w:rPr>
            <w:t> </w:t>
          </w:r>
          <w:r>
            <w:rPr/>
            <w:t>.</w:t>
          </w:r>
          <w:r>
            <w:rPr>
              <w:spacing w:val="52"/>
            </w:rPr>
            <w:t> </w:t>
          </w:r>
          <w:r>
            <w:rPr/>
            <w:t>.</w:t>
          </w:r>
          <w:r>
            <w:rPr>
              <w:spacing w:val="51"/>
            </w:rPr>
            <w:t> </w:t>
          </w:r>
          <w:r>
            <w:rPr/>
            <w:t>.</w:t>
          </w:r>
          <w:r>
            <w:rPr>
              <w:spacing w:val="52"/>
            </w:rPr>
            <w:t> </w:t>
          </w:r>
          <w:r>
            <w:rPr/>
            <w:t>.</w:t>
          </w:r>
          <w:r>
            <w:rPr>
              <w:spacing w:val="52"/>
            </w:rPr>
            <w:t> </w:t>
          </w:r>
          <w:r>
            <w:rPr/>
            <w:t>.</w:t>
          </w:r>
          <w:r>
            <w:rPr>
              <w:spacing w:val="51"/>
            </w:rPr>
            <w:t> </w:t>
          </w:r>
          <w:r>
            <w:rPr/>
            <w:t>.</w:t>
          </w:r>
          <w:r>
            <w:rPr>
              <w:spacing w:val="52"/>
            </w:rPr>
            <w:t> </w:t>
          </w:r>
          <w:r>
            <w:rPr/>
            <w:t>.</w:t>
          </w:r>
          <w:r>
            <w:rPr>
              <w:spacing w:val="52"/>
            </w:rPr>
            <w:t> </w:t>
          </w:r>
          <w:r>
            <w:rPr/>
            <w:t>.</w:t>
          </w:r>
          <w:r>
            <w:rPr>
              <w:spacing w:val="51"/>
            </w:rPr>
            <w:t> </w:t>
          </w:r>
          <w:r>
            <w:rPr/>
            <w:t>.</w:t>
          </w:r>
          <w:r>
            <w:rPr>
              <w:spacing w:val="52"/>
            </w:rPr>
            <w:t> </w:t>
          </w:r>
          <w:r>
            <w:rPr/>
            <w:t>.</w:t>
          </w:r>
          <w:r>
            <w:rPr>
              <w:spacing w:val="52"/>
            </w:rPr>
            <w:t> </w:t>
          </w:r>
          <w:r>
            <w:rPr/>
            <w:t>.</w:t>
          </w:r>
          <w:r>
            <w:rPr>
              <w:spacing w:val="51"/>
            </w:rPr>
            <w:t> </w:t>
          </w:r>
          <w:r>
            <w:rPr>
              <w:spacing w:val="-10"/>
            </w:rPr>
            <w:t>.</w:t>
          </w:r>
          <w:r>
            <w:rPr/>
            <w:tab/>
          </w:r>
          <w:hyperlink w:history="true" w:anchor="_bookmark6">
            <w:r>
              <w:rPr>
                <w:color w:val="8B2C18"/>
                <w:spacing w:val="-10"/>
              </w:rPr>
              <w:t>5</w:t>
            </w:r>
          </w:hyperlink>
        </w:p>
        <w:p>
          <w:pPr>
            <w:pStyle w:val="TOC8"/>
            <w:numPr>
              <w:ilvl w:val="2"/>
              <w:numId w:val="1"/>
            </w:numPr>
            <w:tabs>
              <w:tab w:pos="2236" w:val="left" w:leader="none"/>
              <w:tab w:pos="9213" w:val="right" w:leader="none"/>
            </w:tabs>
            <w:spacing w:line="240" w:lineRule="auto" w:before="22" w:after="0"/>
            <w:ind w:left="2236" w:right="0" w:hanging="698"/>
            <w:jc w:val="left"/>
          </w:pPr>
          <w:r>
            <w:rPr/>
            <w:t>Douro</w:t>
          </w:r>
          <w:r>
            <w:rPr>
              <w:spacing w:val="-2"/>
            </w:rPr>
            <w:t> </w:t>
          </w:r>
          <w:r>
            <w:rPr/>
            <w:t>Region</w:t>
          </w:r>
          <w:r>
            <w:rPr>
              <w:spacing w:val="14"/>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2"/>
            </w:rPr>
            <w:t> </w:t>
          </w:r>
          <w:r>
            <w:rPr>
              <w:spacing w:val="-10"/>
            </w:rPr>
            <w:t>.</w:t>
          </w:r>
          <w:r>
            <w:rPr/>
            <w:tab/>
          </w:r>
          <w:hyperlink w:history="true" w:anchor="_bookmark7">
            <w:r>
              <w:rPr>
                <w:color w:val="8B2C18"/>
                <w:spacing w:val="-10"/>
              </w:rPr>
              <w:t>5</w:t>
            </w:r>
          </w:hyperlink>
        </w:p>
        <w:p>
          <w:pPr>
            <w:pStyle w:val="TOC8"/>
            <w:numPr>
              <w:ilvl w:val="2"/>
              <w:numId w:val="1"/>
            </w:numPr>
            <w:tabs>
              <w:tab w:pos="2228" w:val="left" w:leader="none"/>
              <w:tab w:pos="9213" w:val="right" w:leader="none"/>
            </w:tabs>
            <w:spacing w:line="240" w:lineRule="auto" w:before="22" w:after="0"/>
            <w:ind w:left="2228" w:right="0" w:hanging="690"/>
            <w:jc w:val="left"/>
          </w:pPr>
          <w:r>
            <w:rPr/>
            <w:t>Vinho</w:t>
          </w:r>
          <w:r>
            <w:rPr>
              <w:spacing w:val="-3"/>
            </w:rPr>
            <w:t> </w:t>
          </w:r>
          <w:r>
            <w:rPr/>
            <w:t>Verde</w:t>
          </w:r>
          <w:r>
            <w:rPr>
              <w:spacing w:val="-2"/>
            </w:rPr>
            <w:t> </w:t>
          </w:r>
          <w:r>
            <w:rPr/>
            <w:t>Region</w:t>
          </w:r>
          <w:r>
            <w:rPr>
              <w:spacing w:val="40"/>
            </w:rPr>
            <w:t>  </w:t>
          </w:r>
          <w:r>
            <w:rPr/>
            <w:t>.</w:t>
          </w:r>
          <w:r>
            <w:rPr>
              <w:spacing w:val="51"/>
            </w:rPr>
            <w:t> </w:t>
          </w:r>
          <w:r>
            <w:rPr/>
            <w:t>.</w:t>
          </w:r>
          <w:r>
            <w:rPr>
              <w:spacing w:val="51"/>
            </w:rPr>
            <w:t> </w:t>
          </w:r>
          <w:r>
            <w:rPr/>
            <w:t>.</w:t>
          </w:r>
          <w:r>
            <w:rPr>
              <w:spacing w:val="52"/>
            </w:rPr>
            <w:t> </w:t>
          </w:r>
          <w:r>
            <w:rPr/>
            <w:t>.</w:t>
          </w:r>
          <w:r>
            <w:rPr>
              <w:spacing w:val="51"/>
            </w:rPr>
            <w:t> </w:t>
          </w:r>
          <w:r>
            <w:rPr/>
            <w:t>.</w:t>
          </w:r>
          <w:r>
            <w:rPr>
              <w:spacing w:val="52"/>
            </w:rPr>
            <w:t> </w:t>
          </w:r>
          <w:r>
            <w:rPr/>
            <w:t>.</w:t>
          </w:r>
          <w:r>
            <w:rPr>
              <w:spacing w:val="51"/>
            </w:rPr>
            <w:t> </w:t>
          </w:r>
          <w:r>
            <w:rPr/>
            <w:t>.</w:t>
          </w:r>
          <w:r>
            <w:rPr>
              <w:spacing w:val="52"/>
            </w:rPr>
            <w:t> </w:t>
          </w:r>
          <w:r>
            <w:rPr/>
            <w:t>.</w:t>
          </w:r>
          <w:r>
            <w:rPr>
              <w:spacing w:val="51"/>
            </w:rPr>
            <w:t> </w:t>
          </w:r>
          <w:r>
            <w:rPr/>
            <w:t>.</w:t>
          </w:r>
          <w:r>
            <w:rPr>
              <w:spacing w:val="52"/>
            </w:rPr>
            <w:t> </w:t>
          </w:r>
          <w:r>
            <w:rPr/>
            <w:t>.</w:t>
          </w:r>
          <w:r>
            <w:rPr>
              <w:spacing w:val="51"/>
            </w:rPr>
            <w:t> </w:t>
          </w:r>
          <w:r>
            <w:rPr/>
            <w:t>.</w:t>
          </w:r>
          <w:r>
            <w:rPr>
              <w:spacing w:val="52"/>
            </w:rPr>
            <w:t> </w:t>
          </w:r>
          <w:r>
            <w:rPr/>
            <w:t>.</w:t>
          </w:r>
          <w:r>
            <w:rPr>
              <w:spacing w:val="51"/>
            </w:rPr>
            <w:t> </w:t>
          </w:r>
          <w:r>
            <w:rPr/>
            <w:t>.</w:t>
          </w:r>
          <w:r>
            <w:rPr>
              <w:spacing w:val="52"/>
            </w:rPr>
            <w:t> </w:t>
          </w:r>
          <w:r>
            <w:rPr/>
            <w:t>.</w:t>
          </w:r>
          <w:r>
            <w:rPr>
              <w:spacing w:val="51"/>
            </w:rPr>
            <w:t> </w:t>
          </w:r>
          <w:r>
            <w:rPr/>
            <w:t>.</w:t>
          </w:r>
          <w:r>
            <w:rPr>
              <w:spacing w:val="52"/>
            </w:rPr>
            <w:t> </w:t>
          </w:r>
          <w:r>
            <w:rPr/>
            <w:t>.</w:t>
          </w:r>
          <w:r>
            <w:rPr>
              <w:spacing w:val="51"/>
            </w:rPr>
            <w:t> </w:t>
          </w:r>
          <w:r>
            <w:rPr/>
            <w:t>.</w:t>
          </w:r>
          <w:r>
            <w:rPr>
              <w:spacing w:val="52"/>
            </w:rPr>
            <w:t> </w:t>
          </w:r>
          <w:r>
            <w:rPr/>
            <w:t>.</w:t>
          </w:r>
          <w:r>
            <w:rPr>
              <w:spacing w:val="51"/>
            </w:rPr>
            <w:t> </w:t>
          </w:r>
          <w:r>
            <w:rPr/>
            <w:t>.</w:t>
          </w:r>
          <w:r>
            <w:rPr>
              <w:spacing w:val="52"/>
            </w:rPr>
            <w:t> </w:t>
          </w:r>
          <w:r>
            <w:rPr/>
            <w:t>.</w:t>
          </w:r>
          <w:r>
            <w:rPr>
              <w:spacing w:val="51"/>
            </w:rPr>
            <w:t> </w:t>
          </w:r>
          <w:r>
            <w:rPr/>
            <w:t>.</w:t>
          </w:r>
          <w:r>
            <w:rPr>
              <w:spacing w:val="52"/>
            </w:rPr>
            <w:t> </w:t>
          </w:r>
          <w:r>
            <w:rPr/>
            <w:t>.</w:t>
          </w:r>
          <w:r>
            <w:rPr>
              <w:spacing w:val="51"/>
            </w:rPr>
            <w:t> </w:t>
          </w:r>
          <w:r>
            <w:rPr/>
            <w:t>.</w:t>
          </w:r>
          <w:r>
            <w:rPr>
              <w:spacing w:val="52"/>
            </w:rPr>
            <w:t> </w:t>
          </w:r>
          <w:r>
            <w:rPr/>
            <w:t>.</w:t>
          </w:r>
          <w:r>
            <w:rPr>
              <w:spacing w:val="51"/>
            </w:rPr>
            <w:t> </w:t>
          </w:r>
          <w:r>
            <w:rPr/>
            <w:t>.</w:t>
          </w:r>
          <w:r>
            <w:rPr>
              <w:spacing w:val="51"/>
            </w:rPr>
            <w:t> </w:t>
          </w:r>
          <w:r>
            <w:rPr/>
            <w:t>.</w:t>
          </w:r>
          <w:r>
            <w:rPr>
              <w:spacing w:val="52"/>
            </w:rPr>
            <w:t> </w:t>
          </w:r>
          <w:r>
            <w:rPr/>
            <w:t>.</w:t>
          </w:r>
          <w:r>
            <w:rPr>
              <w:spacing w:val="51"/>
            </w:rPr>
            <w:t> </w:t>
          </w:r>
          <w:r>
            <w:rPr>
              <w:spacing w:val="-10"/>
            </w:rPr>
            <w:t>.</w:t>
          </w:r>
          <w:r>
            <w:rPr/>
            <w:tab/>
          </w:r>
          <w:hyperlink w:history="true" w:anchor="_bookmark8">
            <w:r>
              <w:rPr>
                <w:color w:val="8B2C18"/>
                <w:spacing w:val="-10"/>
              </w:rPr>
              <w:t>6</w:t>
            </w:r>
          </w:hyperlink>
        </w:p>
        <w:p>
          <w:pPr>
            <w:pStyle w:val="TOC7"/>
            <w:numPr>
              <w:ilvl w:val="1"/>
              <w:numId w:val="1"/>
            </w:numPr>
            <w:tabs>
              <w:tab w:pos="1538" w:val="left" w:leader="none"/>
              <w:tab w:pos="9213" w:val="right" w:leader="none"/>
            </w:tabs>
            <w:spacing w:line="240" w:lineRule="auto" w:before="22" w:after="0"/>
            <w:ind w:left="1538" w:right="0" w:hanging="502"/>
            <w:jc w:val="left"/>
          </w:pPr>
          <w:r>
            <w:rPr/>
            <w:t>Grapevine</w:t>
          </w:r>
          <w:r>
            <w:rPr>
              <w:spacing w:val="-2"/>
            </w:rPr>
            <w:t> </w:t>
          </w:r>
          <w:r>
            <w:rPr/>
            <w:t>Yield</w:t>
          </w:r>
          <w:r>
            <w:rPr>
              <w:spacing w:val="-2"/>
            </w:rPr>
            <w:t> </w:t>
          </w:r>
          <w:r>
            <w:rPr/>
            <w:t>Formation</w:t>
          </w:r>
          <w:r>
            <w:rPr>
              <w:spacing w:val="50"/>
            </w:rPr>
            <w:t> </w:t>
          </w:r>
          <w:r>
            <w:rPr/>
            <w:t>.</w:t>
          </w:r>
          <w:r>
            <w:rPr>
              <w:spacing w:val="51"/>
            </w:rPr>
            <w:t> </w:t>
          </w:r>
          <w:r>
            <w:rPr/>
            <w:t>.</w:t>
          </w:r>
          <w:r>
            <w:rPr>
              <w:spacing w:val="52"/>
            </w:rPr>
            <w:t> </w:t>
          </w:r>
          <w:r>
            <w:rPr/>
            <w:t>.</w:t>
          </w:r>
          <w:r>
            <w:rPr>
              <w:spacing w:val="52"/>
            </w:rPr>
            <w:t> </w:t>
          </w:r>
          <w:r>
            <w:rPr/>
            <w:t>.</w:t>
          </w:r>
          <w:r>
            <w:rPr>
              <w:spacing w:val="52"/>
            </w:rPr>
            <w:t> </w:t>
          </w:r>
          <w:r>
            <w:rPr/>
            <w:t>.</w:t>
          </w:r>
          <w:r>
            <w:rPr>
              <w:spacing w:val="52"/>
            </w:rPr>
            <w:t> </w:t>
          </w:r>
          <w:r>
            <w:rPr/>
            <w:t>.</w:t>
          </w:r>
          <w:r>
            <w:rPr>
              <w:spacing w:val="52"/>
            </w:rPr>
            <w:t> </w:t>
          </w:r>
          <w:r>
            <w:rPr/>
            <w:t>.</w:t>
          </w:r>
          <w:r>
            <w:rPr>
              <w:spacing w:val="52"/>
            </w:rPr>
            <w:t> </w:t>
          </w:r>
          <w:r>
            <w:rPr/>
            <w:t>.</w:t>
          </w:r>
          <w:r>
            <w:rPr>
              <w:spacing w:val="52"/>
            </w:rPr>
            <w:t> </w:t>
          </w:r>
          <w:r>
            <w:rPr/>
            <w:t>.</w:t>
          </w:r>
          <w:r>
            <w:rPr>
              <w:spacing w:val="52"/>
            </w:rPr>
            <w:t> </w:t>
          </w:r>
          <w:r>
            <w:rPr/>
            <w:t>.</w:t>
          </w:r>
          <w:r>
            <w:rPr>
              <w:spacing w:val="52"/>
            </w:rPr>
            <w:t> </w:t>
          </w:r>
          <w:r>
            <w:rPr/>
            <w:t>.</w:t>
          </w:r>
          <w:r>
            <w:rPr>
              <w:spacing w:val="52"/>
            </w:rPr>
            <w:t> </w:t>
          </w:r>
          <w:r>
            <w:rPr/>
            <w:t>.</w:t>
          </w:r>
          <w:r>
            <w:rPr>
              <w:spacing w:val="52"/>
            </w:rPr>
            <w:t> </w:t>
          </w:r>
          <w:r>
            <w:rPr/>
            <w:t>.</w:t>
          </w:r>
          <w:r>
            <w:rPr>
              <w:spacing w:val="52"/>
            </w:rPr>
            <w:t> </w:t>
          </w:r>
          <w:r>
            <w:rPr/>
            <w:t>.</w:t>
          </w:r>
          <w:r>
            <w:rPr>
              <w:spacing w:val="52"/>
            </w:rPr>
            <w:t> </w:t>
          </w:r>
          <w:r>
            <w:rPr/>
            <w:t>.</w:t>
          </w:r>
          <w:r>
            <w:rPr>
              <w:spacing w:val="52"/>
            </w:rPr>
            <w:t> </w:t>
          </w:r>
          <w:r>
            <w:rPr/>
            <w:t>.</w:t>
          </w:r>
          <w:r>
            <w:rPr>
              <w:spacing w:val="52"/>
            </w:rPr>
            <w:t> </w:t>
          </w:r>
          <w:r>
            <w:rPr/>
            <w:t>.</w:t>
          </w:r>
          <w:r>
            <w:rPr>
              <w:spacing w:val="52"/>
            </w:rPr>
            <w:t> </w:t>
          </w:r>
          <w:r>
            <w:rPr/>
            <w:t>.</w:t>
          </w:r>
          <w:r>
            <w:rPr>
              <w:spacing w:val="52"/>
            </w:rPr>
            <w:t> </w:t>
          </w:r>
          <w:r>
            <w:rPr/>
            <w:t>.</w:t>
          </w:r>
          <w:r>
            <w:rPr>
              <w:spacing w:val="52"/>
            </w:rPr>
            <w:t> </w:t>
          </w:r>
          <w:r>
            <w:rPr/>
            <w:t>.</w:t>
          </w:r>
          <w:r>
            <w:rPr>
              <w:spacing w:val="52"/>
            </w:rPr>
            <w:t> </w:t>
          </w:r>
          <w:r>
            <w:rPr/>
            <w:t>.</w:t>
          </w:r>
          <w:r>
            <w:rPr>
              <w:spacing w:val="52"/>
            </w:rPr>
            <w:t> </w:t>
          </w:r>
          <w:r>
            <w:rPr/>
            <w:t>.</w:t>
          </w:r>
          <w:r>
            <w:rPr>
              <w:spacing w:val="52"/>
            </w:rPr>
            <w:t> </w:t>
          </w:r>
          <w:r>
            <w:rPr/>
            <w:t>.</w:t>
          </w:r>
          <w:r>
            <w:rPr>
              <w:spacing w:val="52"/>
            </w:rPr>
            <w:t> </w:t>
          </w:r>
          <w:r>
            <w:rPr/>
            <w:t>.</w:t>
          </w:r>
          <w:r>
            <w:rPr>
              <w:spacing w:val="52"/>
            </w:rPr>
            <w:t> </w:t>
          </w:r>
          <w:r>
            <w:rPr/>
            <w:t>.</w:t>
          </w:r>
          <w:r>
            <w:rPr>
              <w:spacing w:val="52"/>
            </w:rPr>
            <w:t> </w:t>
          </w:r>
          <w:r>
            <w:rPr/>
            <w:t>.</w:t>
          </w:r>
          <w:r>
            <w:rPr>
              <w:spacing w:val="52"/>
            </w:rPr>
            <w:t> </w:t>
          </w:r>
          <w:r>
            <w:rPr/>
            <w:t>.</w:t>
          </w:r>
          <w:r>
            <w:rPr>
              <w:spacing w:val="52"/>
            </w:rPr>
            <w:t> </w:t>
          </w:r>
          <w:r>
            <w:rPr/>
            <w:t>.</w:t>
          </w:r>
          <w:r>
            <w:rPr>
              <w:spacing w:val="52"/>
            </w:rPr>
            <w:t> </w:t>
          </w:r>
          <w:r>
            <w:rPr>
              <w:spacing w:val="-10"/>
            </w:rPr>
            <w:t>.</w:t>
          </w:r>
          <w:r>
            <w:rPr/>
            <w:tab/>
          </w:r>
          <w:hyperlink w:history="true" w:anchor="_bookmark9">
            <w:r>
              <w:rPr>
                <w:color w:val="8B2C18"/>
                <w:spacing w:val="-10"/>
              </w:rPr>
              <w:t>6</w:t>
            </w:r>
          </w:hyperlink>
        </w:p>
        <w:p>
          <w:pPr>
            <w:pStyle w:val="TOC8"/>
            <w:numPr>
              <w:ilvl w:val="2"/>
              <w:numId w:val="1"/>
            </w:numPr>
            <w:tabs>
              <w:tab w:pos="2229" w:val="left" w:leader="none"/>
              <w:tab w:pos="9213" w:val="right" w:leader="none"/>
            </w:tabs>
            <w:spacing w:line="240" w:lineRule="auto" w:before="22" w:after="0"/>
            <w:ind w:left="2229" w:right="0" w:hanging="691"/>
            <w:jc w:val="left"/>
          </w:pPr>
          <w:r>
            <w:rPr/>
            <w:t>The</w:t>
          </w:r>
          <w:r>
            <w:rPr>
              <w:spacing w:val="-4"/>
            </w:rPr>
            <w:t> </w:t>
          </w:r>
          <w:r>
            <w:rPr/>
            <w:t>Two-Year</w:t>
          </w:r>
          <w:r>
            <w:rPr>
              <w:spacing w:val="-4"/>
            </w:rPr>
            <w:t> </w:t>
          </w:r>
          <w:r>
            <w:rPr/>
            <w:t>Vine</w:t>
          </w:r>
          <w:r>
            <w:rPr>
              <w:spacing w:val="-4"/>
            </w:rPr>
            <w:t> </w:t>
          </w:r>
          <w:r>
            <w:rPr/>
            <w:t>Development</w:t>
          </w:r>
          <w:r>
            <w:rPr>
              <w:spacing w:val="-3"/>
            </w:rPr>
            <w:t> </w:t>
          </w:r>
          <w:r>
            <w:rPr/>
            <w:t>Cycle</w:t>
          </w:r>
          <w:r>
            <w:rPr>
              <w:spacing w:val="46"/>
            </w:rPr>
            <w:t> </w:t>
          </w:r>
          <w:r>
            <w:rPr/>
            <w:t>.</w:t>
          </w:r>
          <w:r>
            <w:rPr>
              <w:spacing w:val="49"/>
            </w:rPr>
            <w:t> </w:t>
          </w:r>
          <w:r>
            <w:rPr/>
            <w:t>.</w:t>
          </w:r>
          <w:r>
            <w:rPr>
              <w:spacing w:val="48"/>
            </w:rPr>
            <w:t> </w:t>
          </w:r>
          <w:r>
            <w:rPr/>
            <w:t>.</w:t>
          </w:r>
          <w:r>
            <w:rPr>
              <w:spacing w:val="49"/>
            </w:rPr>
            <w:t> </w:t>
          </w:r>
          <w:r>
            <w:rPr/>
            <w:t>.</w:t>
          </w:r>
          <w:r>
            <w:rPr>
              <w:spacing w:val="48"/>
            </w:rPr>
            <w:t> </w:t>
          </w:r>
          <w:r>
            <w:rPr/>
            <w:t>.</w:t>
          </w:r>
          <w:r>
            <w:rPr>
              <w:spacing w:val="49"/>
            </w:rPr>
            <w:t> </w:t>
          </w:r>
          <w:r>
            <w:rPr/>
            <w:t>.</w:t>
          </w:r>
          <w:r>
            <w:rPr>
              <w:spacing w:val="48"/>
            </w:rPr>
            <w:t> </w:t>
          </w:r>
          <w:r>
            <w:rPr/>
            <w:t>.</w:t>
          </w:r>
          <w:r>
            <w:rPr>
              <w:spacing w:val="49"/>
            </w:rPr>
            <w:t> </w:t>
          </w:r>
          <w:r>
            <w:rPr/>
            <w:t>.</w:t>
          </w:r>
          <w:r>
            <w:rPr>
              <w:spacing w:val="48"/>
            </w:rPr>
            <w:t> </w:t>
          </w:r>
          <w:r>
            <w:rPr/>
            <w:t>.</w:t>
          </w:r>
          <w:r>
            <w:rPr>
              <w:spacing w:val="49"/>
            </w:rPr>
            <w:t> </w:t>
          </w:r>
          <w:r>
            <w:rPr/>
            <w:t>.</w:t>
          </w:r>
          <w:r>
            <w:rPr>
              <w:spacing w:val="48"/>
            </w:rPr>
            <w:t> </w:t>
          </w:r>
          <w:r>
            <w:rPr/>
            <w:t>.</w:t>
          </w:r>
          <w:r>
            <w:rPr>
              <w:spacing w:val="49"/>
            </w:rPr>
            <w:t> </w:t>
          </w:r>
          <w:r>
            <w:rPr/>
            <w:t>.</w:t>
          </w:r>
          <w:r>
            <w:rPr>
              <w:spacing w:val="48"/>
            </w:rPr>
            <w:t> </w:t>
          </w:r>
          <w:r>
            <w:rPr/>
            <w:t>.</w:t>
          </w:r>
          <w:r>
            <w:rPr>
              <w:spacing w:val="48"/>
            </w:rPr>
            <w:t> </w:t>
          </w:r>
          <w:r>
            <w:rPr/>
            <w:t>.</w:t>
          </w:r>
          <w:r>
            <w:rPr>
              <w:spacing w:val="49"/>
            </w:rPr>
            <w:t> </w:t>
          </w:r>
          <w:r>
            <w:rPr/>
            <w:t>.</w:t>
          </w:r>
          <w:r>
            <w:rPr>
              <w:spacing w:val="48"/>
            </w:rPr>
            <w:t> </w:t>
          </w:r>
          <w:r>
            <w:rPr/>
            <w:t>.</w:t>
          </w:r>
          <w:r>
            <w:rPr>
              <w:spacing w:val="49"/>
            </w:rPr>
            <w:t> </w:t>
          </w:r>
          <w:r>
            <w:rPr/>
            <w:t>.</w:t>
          </w:r>
          <w:r>
            <w:rPr>
              <w:spacing w:val="48"/>
            </w:rPr>
            <w:t> </w:t>
          </w:r>
          <w:r>
            <w:rPr>
              <w:spacing w:val="-10"/>
            </w:rPr>
            <w:t>.</w:t>
          </w:r>
          <w:r>
            <w:rPr/>
            <w:tab/>
          </w:r>
          <w:hyperlink w:history="true" w:anchor="_bookmark10">
            <w:r>
              <w:rPr>
                <w:color w:val="8B2C18"/>
                <w:spacing w:val="-10"/>
              </w:rPr>
              <w:t>6</w:t>
            </w:r>
          </w:hyperlink>
        </w:p>
        <w:p>
          <w:pPr>
            <w:pStyle w:val="TOC7"/>
            <w:numPr>
              <w:ilvl w:val="1"/>
              <w:numId w:val="1"/>
            </w:numPr>
            <w:tabs>
              <w:tab w:pos="1538" w:val="left" w:leader="none"/>
              <w:tab w:pos="9213" w:val="right" w:leader="none"/>
            </w:tabs>
            <w:spacing w:line="240" w:lineRule="auto" w:before="22" w:after="0"/>
            <w:ind w:left="1538" w:right="0" w:hanging="502"/>
            <w:jc w:val="left"/>
          </w:pPr>
          <w:r>
            <w:rPr/>
            <w:t>Meteorological</w:t>
          </w:r>
          <w:r>
            <w:rPr>
              <w:spacing w:val="-4"/>
            </w:rPr>
            <w:t> </w:t>
          </w:r>
          <w:r>
            <w:rPr/>
            <w:t>Drivers</w:t>
          </w:r>
          <w:r>
            <w:rPr>
              <w:spacing w:val="-4"/>
            </w:rPr>
            <w:t> </w:t>
          </w:r>
          <w:r>
            <w:rPr/>
            <w:t>of</w:t>
          </w:r>
          <w:r>
            <w:rPr>
              <w:spacing w:val="-4"/>
            </w:rPr>
            <w:t> </w:t>
          </w:r>
          <w:r>
            <w:rPr/>
            <w:t>Wine</w:t>
          </w:r>
          <w:r>
            <w:rPr>
              <w:spacing w:val="-4"/>
            </w:rPr>
            <w:t> </w:t>
          </w:r>
          <w:r>
            <w:rPr/>
            <w:t>Production</w:t>
          </w:r>
          <w:r>
            <w:rPr>
              <w:spacing w:val="-4"/>
            </w:rPr>
            <w:t> </w:t>
          </w:r>
          <w:r>
            <w:rPr/>
            <w:t>Variability</w:t>
          </w:r>
          <w:r>
            <w:rPr>
              <w:spacing w:val="28"/>
            </w:rPr>
            <w:t>  </w:t>
          </w:r>
          <w:r>
            <w:rPr/>
            <w:t>.</w:t>
          </w:r>
          <w:r>
            <w:rPr>
              <w:spacing w:val="50"/>
            </w:rPr>
            <w:t> </w:t>
          </w:r>
          <w:r>
            <w:rPr/>
            <w:t>.</w:t>
          </w:r>
          <w:r>
            <w:rPr>
              <w:spacing w:val="48"/>
            </w:rPr>
            <w:t> </w:t>
          </w:r>
          <w:r>
            <w:rPr/>
            <w:t>.</w:t>
          </w:r>
          <w:r>
            <w:rPr>
              <w:spacing w:val="48"/>
            </w:rPr>
            <w:t> </w:t>
          </w:r>
          <w:r>
            <w:rPr/>
            <w:t>.</w:t>
          </w:r>
          <w:r>
            <w:rPr>
              <w:spacing w:val="49"/>
            </w:rPr>
            <w:t> </w:t>
          </w:r>
          <w:r>
            <w:rPr/>
            <w:t>.</w:t>
          </w:r>
          <w:r>
            <w:rPr>
              <w:spacing w:val="48"/>
            </w:rPr>
            <w:t> </w:t>
          </w:r>
          <w:r>
            <w:rPr/>
            <w:t>.</w:t>
          </w:r>
          <w:r>
            <w:rPr>
              <w:spacing w:val="48"/>
            </w:rPr>
            <w:t> </w:t>
          </w:r>
          <w:r>
            <w:rPr/>
            <w:t>.</w:t>
          </w:r>
          <w:r>
            <w:rPr>
              <w:spacing w:val="49"/>
            </w:rPr>
            <w:t> </w:t>
          </w:r>
          <w:r>
            <w:rPr/>
            <w:t>.</w:t>
          </w:r>
          <w:r>
            <w:rPr>
              <w:spacing w:val="48"/>
            </w:rPr>
            <w:t> </w:t>
          </w:r>
          <w:r>
            <w:rPr/>
            <w:t>.</w:t>
          </w:r>
          <w:r>
            <w:rPr>
              <w:spacing w:val="48"/>
            </w:rPr>
            <w:t> </w:t>
          </w:r>
          <w:r>
            <w:rPr/>
            <w:t>.</w:t>
          </w:r>
          <w:r>
            <w:rPr>
              <w:spacing w:val="49"/>
            </w:rPr>
            <w:t> </w:t>
          </w:r>
          <w:r>
            <w:rPr/>
            <w:t>.</w:t>
          </w:r>
          <w:r>
            <w:rPr>
              <w:spacing w:val="48"/>
            </w:rPr>
            <w:t> </w:t>
          </w:r>
          <w:r>
            <w:rPr/>
            <w:t>.</w:t>
          </w:r>
          <w:r>
            <w:rPr>
              <w:spacing w:val="48"/>
            </w:rPr>
            <w:t> </w:t>
          </w:r>
          <w:r>
            <w:rPr/>
            <w:t>.</w:t>
          </w:r>
          <w:r>
            <w:rPr>
              <w:spacing w:val="49"/>
            </w:rPr>
            <w:t> </w:t>
          </w:r>
          <w:r>
            <w:rPr>
              <w:spacing w:val="-10"/>
            </w:rPr>
            <w:t>.</w:t>
          </w:r>
          <w:r>
            <w:rPr/>
            <w:tab/>
          </w:r>
          <w:hyperlink w:history="true" w:anchor="_bookmark11">
            <w:r>
              <w:rPr>
                <w:color w:val="8B2C18"/>
                <w:spacing w:val="-10"/>
              </w:rPr>
              <w:t>7</w:t>
            </w:r>
          </w:hyperlink>
        </w:p>
        <w:p>
          <w:pPr>
            <w:pStyle w:val="TOC7"/>
            <w:numPr>
              <w:ilvl w:val="1"/>
              <w:numId w:val="1"/>
            </w:numPr>
            <w:tabs>
              <w:tab w:pos="1538" w:val="left" w:leader="none"/>
              <w:tab w:pos="9213" w:val="right" w:leader="none"/>
            </w:tabs>
            <w:spacing w:line="240" w:lineRule="auto" w:before="22" w:after="0"/>
            <w:ind w:left="1538" w:right="0" w:hanging="502"/>
            <w:jc w:val="left"/>
          </w:pPr>
          <w:r>
            <w:rPr/>
            <w:t>Quantitative</w:t>
          </w:r>
          <w:r>
            <w:rPr>
              <w:spacing w:val="-4"/>
            </w:rPr>
            <w:t> </w:t>
          </w:r>
          <w:r>
            <w:rPr/>
            <w:t>Approaches</w:t>
          </w:r>
          <w:r>
            <w:rPr>
              <w:spacing w:val="-3"/>
            </w:rPr>
            <w:t> </w:t>
          </w:r>
          <w:r>
            <w:rPr/>
            <w:t>to</w:t>
          </w:r>
          <w:r>
            <w:rPr>
              <w:spacing w:val="-3"/>
            </w:rPr>
            <w:t> </w:t>
          </w:r>
          <w:r>
            <w:rPr/>
            <w:t>Wine</w:t>
          </w:r>
          <w:r>
            <w:rPr>
              <w:spacing w:val="-3"/>
            </w:rPr>
            <w:t> </w:t>
          </w:r>
          <w:r>
            <w:rPr/>
            <w:t>Yield</w:t>
          </w:r>
          <w:r>
            <w:rPr>
              <w:spacing w:val="-3"/>
            </w:rPr>
            <w:t> </w:t>
          </w:r>
          <w:r>
            <w:rPr/>
            <w:t>Prediction</w:t>
          </w:r>
          <w:r>
            <w:rPr>
              <w:spacing w:val="15"/>
            </w:rPr>
            <w:t> </w:t>
          </w:r>
          <w:r>
            <w:rPr/>
            <w:t>.</w:t>
          </w:r>
          <w:r>
            <w:rPr>
              <w:spacing w:val="50"/>
            </w:rPr>
            <w:t> </w:t>
          </w:r>
          <w:r>
            <w:rPr/>
            <w:t>.</w:t>
          </w:r>
          <w:r>
            <w:rPr>
              <w:spacing w:val="50"/>
            </w:rPr>
            <w:t> </w:t>
          </w:r>
          <w:r>
            <w:rPr/>
            <w:t>.</w:t>
          </w:r>
          <w:r>
            <w:rPr>
              <w:spacing w:val="49"/>
            </w:rPr>
            <w:t> </w:t>
          </w:r>
          <w:r>
            <w:rPr/>
            <w:t>.</w:t>
          </w:r>
          <w:r>
            <w:rPr>
              <w:spacing w:val="50"/>
            </w:rPr>
            <w:t> </w:t>
          </w:r>
          <w:r>
            <w:rPr/>
            <w:t>.</w:t>
          </w:r>
          <w:r>
            <w:rPr>
              <w:spacing w:val="50"/>
            </w:rPr>
            <w:t> </w:t>
          </w:r>
          <w:r>
            <w:rPr/>
            <w:t>.</w:t>
          </w:r>
          <w:r>
            <w:rPr>
              <w:spacing w:val="50"/>
            </w:rPr>
            <w:t> </w:t>
          </w:r>
          <w:r>
            <w:rPr/>
            <w:t>.</w:t>
          </w:r>
          <w:r>
            <w:rPr>
              <w:spacing w:val="49"/>
            </w:rPr>
            <w:t> </w:t>
          </w:r>
          <w:r>
            <w:rPr/>
            <w:t>.</w:t>
          </w:r>
          <w:r>
            <w:rPr>
              <w:spacing w:val="50"/>
            </w:rPr>
            <w:t> </w:t>
          </w:r>
          <w:r>
            <w:rPr/>
            <w:t>.</w:t>
          </w:r>
          <w:r>
            <w:rPr>
              <w:spacing w:val="50"/>
            </w:rPr>
            <w:t> </w:t>
          </w:r>
          <w:r>
            <w:rPr/>
            <w:t>.</w:t>
          </w:r>
          <w:r>
            <w:rPr>
              <w:spacing w:val="49"/>
            </w:rPr>
            <w:t> </w:t>
          </w:r>
          <w:r>
            <w:rPr/>
            <w:t>.</w:t>
          </w:r>
          <w:r>
            <w:rPr>
              <w:spacing w:val="50"/>
            </w:rPr>
            <w:t> </w:t>
          </w:r>
          <w:r>
            <w:rPr/>
            <w:t>.</w:t>
          </w:r>
          <w:r>
            <w:rPr>
              <w:spacing w:val="50"/>
            </w:rPr>
            <w:t> </w:t>
          </w:r>
          <w:r>
            <w:rPr/>
            <w:t>.</w:t>
          </w:r>
          <w:r>
            <w:rPr>
              <w:spacing w:val="50"/>
            </w:rPr>
            <w:t> </w:t>
          </w:r>
          <w:r>
            <w:rPr/>
            <w:t>.</w:t>
          </w:r>
          <w:r>
            <w:rPr>
              <w:spacing w:val="49"/>
            </w:rPr>
            <w:t> </w:t>
          </w:r>
          <w:r>
            <w:rPr/>
            <w:t>.</w:t>
          </w:r>
          <w:r>
            <w:rPr>
              <w:spacing w:val="50"/>
            </w:rPr>
            <w:t> </w:t>
          </w:r>
          <w:r>
            <w:rPr/>
            <w:t>.</w:t>
          </w:r>
          <w:r>
            <w:rPr>
              <w:spacing w:val="50"/>
            </w:rPr>
            <w:t> </w:t>
          </w:r>
          <w:r>
            <w:rPr>
              <w:spacing w:val="-10"/>
            </w:rPr>
            <w:t>.</w:t>
          </w:r>
          <w:r>
            <w:rPr/>
            <w:tab/>
          </w:r>
          <w:hyperlink w:history="true" w:anchor="_bookmark12">
            <w:r>
              <w:rPr>
                <w:color w:val="8B2C18"/>
                <w:spacing w:val="-10"/>
              </w:rPr>
              <w:t>7</w:t>
            </w:r>
          </w:hyperlink>
        </w:p>
        <w:p>
          <w:pPr>
            <w:pStyle w:val="TOC8"/>
            <w:numPr>
              <w:ilvl w:val="2"/>
              <w:numId w:val="1"/>
            </w:numPr>
            <w:tabs>
              <w:tab w:pos="2236" w:val="left" w:leader="none"/>
              <w:tab w:pos="9213" w:val="right" w:leader="none"/>
            </w:tabs>
            <w:spacing w:line="240" w:lineRule="auto" w:before="22" w:after="0"/>
            <w:ind w:left="2236" w:right="0" w:hanging="698"/>
            <w:jc w:val="left"/>
          </w:pPr>
          <w:r>
            <w:rPr/>
            <w:t>Statistical</w:t>
          </w:r>
          <w:r>
            <w:rPr>
              <w:spacing w:val="-2"/>
            </w:rPr>
            <w:t> </w:t>
          </w:r>
          <w:r>
            <w:rPr/>
            <w:t>and</w:t>
          </w:r>
          <w:r>
            <w:rPr>
              <w:spacing w:val="-2"/>
            </w:rPr>
            <w:t> </w:t>
          </w:r>
          <w:r>
            <w:rPr/>
            <w:t>Regression</w:t>
          </w:r>
          <w:r>
            <w:rPr>
              <w:spacing w:val="-2"/>
            </w:rPr>
            <w:t> </w:t>
          </w:r>
          <w:r>
            <w:rPr/>
            <w:t>Models</w:t>
          </w:r>
          <w:r>
            <w:rPr>
              <w:spacing w:val="63"/>
              <w:w w:val="150"/>
            </w:rPr>
            <w:t> </w:t>
          </w:r>
          <w:r>
            <w:rPr/>
            <w:t>.</w:t>
          </w:r>
          <w:r>
            <w:rPr>
              <w:spacing w:val="52"/>
            </w:rPr>
            <w:t> </w:t>
          </w:r>
          <w:r>
            <w:rPr/>
            <w:t>.</w:t>
          </w:r>
          <w:r>
            <w:rPr>
              <w:spacing w:val="52"/>
            </w:rPr>
            <w:t> </w:t>
          </w:r>
          <w:r>
            <w:rPr/>
            <w:t>.</w:t>
          </w:r>
          <w:r>
            <w:rPr>
              <w:spacing w:val="52"/>
            </w:rPr>
            <w:t> </w:t>
          </w:r>
          <w:r>
            <w:rPr/>
            <w:t>.</w:t>
          </w:r>
          <w:r>
            <w:rPr>
              <w:spacing w:val="52"/>
            </w:rPr>
            <w:t> </w:t>
          </w:r>
          <w:r>
            <w:rPr/>
            <w:t>.</w:t>
          </w:r>
          <w:r>
            <w:rPr>
              <w:spacing w:val="52"/>
            </w:rPr>
            <w:t> </w:t>
          </w:r>
          <w:r>
            <w:rPr/>
            <w:t>.</w:t>
          </w:r>
          <w:r>
            <w:rPr>
              <w:spacing w:val="52"/>
            </w:rPr>
            <w:t> </w:t>
          </w:r>
          <w:r>
            <w:rPr/>
            <w:t>.</w:t>
          </w:r>
          <w:r>
            <w:rPr>
              <w:spacing w:val="52"/>
            </w:rPr>
            <w:t> </w:t>
          </w:r>
          <w:r>
            <w:rPr/>
            <w:t>.</w:t>
          </w:r>
          <w:r>
            <w:rPr>
              <w:spacing w:val="52"/>
            </w:rPr>
            <w:t> </w:t>
          </w:r>
          <w:r>
            <w:rPr/>
            <w:t>.</w:t>
          </w:r>
          <w:r>
            <w:rPr>
              <w:spacing w:val="53"/>
            </w:rPr>
            <w:t> </w:t>
          </w:r>
          <w:r>
            <w:rPr/>
            <w:t>.</w:t>
          </w:r>
          <w:r>
            <w:rPr>
              <w:spacing w:val="52"/>
            </w:rPr>
            <w:t> </w:t>
          </w:r>
          <w:r>
            <w:rPr/>
            <w:t>.</w:t>
          </w:r>
          <w:r>
            <w:rPr>
              <w:spacing w:val="52"/>
            </w:rPr>
            <w:t> </w:t>
          </w:r>
          <w:r>
            <w:rPr/>
            <w:t>.</w:t>
          </w:r>
          <w:r>
            <w:rPr>
              <w:spacing w:val="52"/>
            </w:rPr>
            <w:t> </w:t>
          </w:r>
          <w:r>
            <w:rPr/>
            <w:t>.</w:t>
          </w:r>
          <w:r>
            <w:rPr>
              <w:spacing w:val="52"/>
            </w:rPr>
            <w:t> </w:t>
          </w:r>
          <w:r>
            <w:rPr/>
            <w:t>.</w:t>
          </w:r>
          <w:r>
            <w:rPr>
              <w:spacing w:val="52"/>
            </w:rPr>
            <w:t> </w:t>
          </w:r>
          <w:r>
            <w:rPr/>
            <w:t>.</w:t>
          </w:r>
          <w:r>
            <w:rPr>
              <w:spacing w:val="52"/>
            </w:rPr>
            <w:t> </w:t>
          </w:r>
          <w:r>
            <w:rPr/>
            <w:t>.</w:t>
          </w:r>
          <w:r>
            <w:rPr>
              <w:spacing w:val="52"/>
            </w:rPr>
            <w:t> </w:t>
          </w:r>
          <w:r>
            <w:rPr/>
            <w:t>.</w:t>
          </w:r>
          <w:r>
            <w:rPr>
              <w:spacing w:val="52"/>
            </w:rPr>
            <w:t> </w:t>
          </w:r>
          <w:r>
            <w:rPr/>
            <w:t>.</w:t>
          </w:r>
          <w:r>
            <w:rPr>
              <w:spacing w:val="53"/>
            </w:rPr>
            <w:t> </w:t>
          </w:r>
          <w:r>
            <w:rPr/>
            <w:t>.</w:t>
          </w:r>
          <w:r>
            <w:rPr>
              <w:spacing w:val="52"/>
            </w:rPr>
            <w:t> </w:t>
          </w:r>
          <w:r>
            <w:rPr/>
            <w:t>.</w:t>
          </w:r>
          <w:r>
            <w:rPr>
              <w:spacing w:val="52"/>
            </w:rPr>
            <w:t> </w:t>
          </w:r>
          <w:r>
            <w:rPr>
              <w:spacing w:val="-10"/>
            </w:rPr>
            <w:t>.</w:t>
          </w:r>
          <w:r>
            <w:rPr/>
            <w:tab/>
          </w:r>
          <w:hyperlink w:history="true" w:anchor="_bookmark13">
            <w:r>
              <w:rPr>
                <w:color w:val="8B2C18"/>
                <w:spacing w:val="-10"/>
              </w:rPr>
              <w:t>7</w:t>
            </w:r>
          </w:hyperlink>
        </w:p>
        <w:p>
          <w:pPr>
            <w:pStyle w:val="TOC8"/>
            <w:numPr>
              <w:ilvl w:val="2"/>
              <w:numId w:val="1"/>
            </w:numPr>
            <w:tabs>
              <w:tab w:pos="2236" w:val="left" w:leader="none"/>
              <w:tab w:pos="9213" w:val="right" w:leader="none"/>
            </w:tabs>
            <w:spacing w:line="240" w:lineRule="auto" w:before="22" w:after="0"/>
            <w:ind w:left="2236" w:right="0" w:hanging="698"/>
            <w:jc w:val="left"/>
          </w:pPr>
          <w:r>
            <w:rPr/>
            <w:t>Machine</w:t>
          </w:r>
          <w:r>
            <w:rPr>
              <w:spacing w:val="-2"/>
            </w:rPr>
            <w:t> </w:t>
          </w:r>
          <w:r>
            <w:rPr/>
            <w:t>Learning</w:t>
          </w:r>
          <w:r>
            <w:rPr>
              <w:spacing w:val="-2"/>
            </w:rPr>
            <w:t> </w:t>
          </w:r>
          <w:r>
            <w:rPr/>
            <w:t>Approaches</w:t>
          </w:r>
          <w:r>
            <w:rPr>
              <w:spacing w:val="23"/>
            </w:rPr>
            <w:t> </w:t>
          </w:r>
          <w:r>
            <w:rPr/>
            <w:t>.</w:t>
          </w:r>
          <w:r>
            <w:rPr>
              <w:spacing w:val="52"/>
            </w:rPr>
            <w:t> </w:t>
          </w:r>
          <w:r>
            <w:rPr/>
            <w:t>.</w:t>
          </w:r>
          <w:r>
            <w:rPr>
              <w:spacing w:val="53"/>
            </w:rPr>
            <w:t> </w:t>
          </w:r>
          <w:r>
            <w:rPr/>
            <w:t>.</w:t>
          </w:r>
          <w:r>
            <w:rPr>
              <w:spacing w:val="52"/>
            </w:rPr>
            <w:t> </w:t>
          </w:r>
          <w:r>
            <w:rPr/>
            <w:t>.</w:t>
          </w:r>
          <w:r>
            <w:rPr>
              <w:spacing w:val="52"/>
            </w:rPr>
            <w:t> </w:t>
          </w:r>
          <w:r>
            <w:rPr/>
            <w:t>.</w:t>
          </w:r>
          <w:r>
            <w:rPr>
              <w:spacing w:val="53"/>
            </w:rPr>
            <w:t> </w:t>
          </w:r>
          <w:r>
            <w:rPr/>
            <w:t>.</w:t>
          </w:r>
          <w:r>
            <w:rPr>
              <w:spacing w:val="52"/>
            </w:rPr>
            <w:t> </w:t>
          </w:r>
          <w:r>
            <w:rPr/>
            <w:t>.</w:t>
          </w:r>
          <w:r>
            <w:rPr>
              <w:spacing w:val="52"/>
            </w:rPr>
            <w:t> </w:t>
          </w:r>
          <w:r>
            <w:rPr/>
            <w:t>.</w:t>
          </w:r>
          <w:r>
            <w:rPr>
              <w:spacing w:val="53"/>
            </w:rPr>
            <w:t> </w:t>
          </w:r>
          <w:r>
            <w:rPr/>
            <w:t>.</w:t>
          </w:r>
          <w:r>
            <w:rPr>
              <w:spacing w:val="52"/>
            </w:rPr>
            <w:t> </w:t>
          </w:r>
          <w:r>
            <w:rPr/>
            <w:t>.</w:t>
          </w:r>
          <w:r>
            <w:rPr>
              <w:spacing w:val="53"/>
            </w:rPr>
            <w:t> </w:t>
          </w:r>
          <w:r>
            <w:rPr/>
            <w:t>.</w:t>
          </w:r>
          <w:r>
            <w:rPr>
              <w:spacing w:val="52"/>
            </w:rPr>
            <w:t> </w:t>
          </w:r>
          <w:r>
            <w:rPr/>
            <w:t>.</w:t>
          </w:r>
          <w:r>
            <w:rPr>
              <w:spacing w:val="52"/>
            </w:rPr>
            <w:t> </w:t>
          </w:r>
          <w:r>
            <w:rPr/>
            <w:t>.</w:t>
          </w:r>
          <w:r>
            <w:rPr>
              <w:spacing w:val="53"/>
            </w:rPr>
            <w:t> </w:t>
          </w:r>
          <w:r>
            <w:rPr/>
            <w:t>.</w:t>
          </w:r>
          <w:r>
            <w:rPr>
              <w:spacing w:val="52"/>
            </w:rPr>
            <w:t> </w:t>
          </w:r>
          <w:r>
            <w:rPr/>
            <w:t>.</w:t>
          </w:r>
          <w:r>
            <w:rPr>
              <w:spacing w:val="53"/>
            </w:rPr>
            <w:t> </w:t>
          </w:r>
          <w:r>
            <w:rPr/>
            <w:t>.</w:t>
          </w:r>
          <w:r>
            <w:rPr>
              <w:spacing w:val="52"/>
            </w:rPr>
            <w:t> </w:t>
          </w:r>
          <w:r>
            <w:rPr/>
            <w:t>.</w:t>
          </w:r>
          <w:r>
            <w:rPr>
              <w:spacing w:val="52"/>
            </w:rPr>
            <w:t> </w:t>
          </w:r>
          <w:r>
            <w:rPr/>
            <w:t>.</w:t>
          </w:r>
          <w:r>
            <w:rPr>
              <w:spacing w:val="53"/>
            </w:rPr>
            <w:t> </w:t>
          </w:r>
          <w:r>
            <w:rPr/>
            <w:t>.</w:t>
          </w:r>
          <w:r>
            <w:rPr>
              <w:spacing w:val="52"/>
            </w:rPr>
            <w:t> </w:t>
          </w:r>
          <w:r>
            <w:rPr/>
            <w:t>.</w:t>
          </w:r>
          <w:r>
            <w:rPr>
              <w:spacing w:val="52"/>
            </w:rPr>
            <w:t> </w:t>
          </w:r>
          <w:r>
            <w:rPr/>
            <w:t>.</w:t>
          </w:r>
          <w:r>
            <w:rPr>
              <w:spacing w:val="53"/>
            </w:rPr>
            <w:t> </w:t>
          </w:r>
          <w:r>
            <w:rPr/>
            <w:t>.</w:t>
          </w:r>
          <w:r>
            <w:rPr>
              <w:spacing w:val="52"/>
            </w:rPr>
            <w:t> </w:t>
          </w:r>
          <w:r>
            <w:rPr>
              <w:spacing w:val="-10"/>
            </w:rPr>
            <w:t>.</w:t>
          </w:r>
          <w:r>
            <w:rPr/>
            <w:tab/>
          </w:r>
          <w:hyperlink w:history="true" w:anchor="_bookmark14">
            <w:r>
              <w:rPr>
                <w:color w:val="8B2C18"/>
                <w:spacing w:val="-10"/>
              </w:rPr>
              <w:t>8</w:t>
            </w:r>
          </w:hyperlink>
        </w:p>
        <w:p>
          <w:pPr>
            <w:pStyle w:val="TOC7"/>
            <w:numPr>
              <w:ilvl w:val="1"/>
              <w:numId w:val="1"/>
            </w:numPr>
            <w:tabs>
              <w:tab w:pos="1538" w:val="left" w:leader="none"/>
              <w:tab w:pos="3545" w:val="left" w:leader="none"/>
              <w:tab w:pos="9213" w:val="right" w:leader="none"/>
            </w:tabs>
            <w:spacing w:line="240" w:lineRule="auto" w:before="22" w:after="0"/>
            <w:ind w:left="1538" w:right="0" w:hanging="502"/>
            <w:jc w:val="left"/>
          </w:pPr>
          <w:r>
            <w:rPr/>
            <w:t>Subgroup</w:t>
          </w:r>
          <w:r>
            <w:rPr>
              <w:spacing w:val="-10"/>
            </w:rPr>
            <w:t> </w:t>
          </w:r>
          <w:r>
            <w:rPr>
              <w:spacing w:val="-2"/>
            </w:rPr>
            <w:t>Discovery</w:t>
          </w:r>
          <w:r>
            <w:rPr/>
            <w:tab/>
            <w:t>.</w:t>
          </w:r>
          <w:r>
            <w:rPr>
              <w:spacing w:val="53"/>
            </w:rPr>
            <w:t> </w:t>
          </w:r>
          <w:r>
            <w:rPr/>
            <w:t>.</w:t>
          </w:r>
          <w:r>
            <w:rPr>
              <w:spacing w:val="53"/>
            </w:rPr>
            <w:t> </w:t>
          </w:r>
          <w:r>
            <w:rPr/>
            <w:t>.</w:t>
          </w:r>
          <w:r>
            <w:rPr>
              <w:spacing w:val="54"/>
            </w:rPr>
            <w:t> </w:t>
          </w:r>
          <w:r>
            <w:rPr/>
            <w:t>.</w:t>
          </w:r>
          <w:r>
            <w:rPr>
              <w:spacing w:val="53"/>
            </w:rPr>
            <w:t> </w:t>
          </w:r>
          <w:r>
            <w:rPr/>
            <w:t>.</w:t>
          </w:r>
          <w:r>
            <w:rPr>
              <w:spacing w:val="54"/>
            </w:rPr>
            <w:t> </w:t>
          </w:r>
          <w:r>
            <w:rPr/>
            <w:t>.</w:t>
          </w:r>
          <w:r>
            <w:rPr>
              <w:spacing w:val="53"/>
            </w:rPr>
            <w:t> </w:t>
          </w:r>
          <w:r>
            <w:rPr/>
            <w:t>.</w:t>
          </w:r>
          <w:r>
            <w:rPr>
              <w:spacing w:val="54"/>
            </w:rPr>
            <w:t> </w:t>
          </w:r>
          <w:r>
            <w:rPr/>
            <w:t>.</w:t>
          </w:r>
          <w:r>
            <w:rPr>
              <w:spacing w:val="53"/>
            </w:rPr>
            <w:t> </w:t>
          </w:r>
          <w:r>
            <w:rPr/>
            <w:t>.</w:t>
          </w:r>
          <w:r>
            <w:rPr>
              <w:spacing w:val="54"/>
            </w:rPr>
            <w:t> </w:t>
          </w:r>
          <w:r>
            <w:rPr/>
            <w:t>.</w:t>
          </w:r>
          <w:r>
            <w:rPr>
              <w:spacing w:val="53"/>
            </w:rPr>
            <w:t> </w:t>
          </w:r>
          <w:r>
            <w:rPr/>
            <w:t>.</w:t>
          </w:r>
          <w:r>
            <w:rPr>
              <w:spacing w:val="53"/>
            </w:rPr>
            <w:t> </w:t>
          </w:r>
          <w:r>
            <w:rPr/>
            <w:t>.</w:t>
          </w:r>
          <w:r>
            <w:rPr>
              <w:spacing w:val="54"/>
            </w:rPr>
            <w:t> </w:t>
          </w:r>
          <w:r>
            <w:rPr/>
            <w:t>.</w:t>
          </w:r>
          <w:r>
            <w:rPr>
              <w:spacing w:val="53"/>
            </w:rPr>
            <w:t> </w:t>
          </w:r>
          <w:r>
            <w:rPr/>
            <w:t>.</w:t>
          </w:r>
          <w:r>
            <w:rPr>
              <w:spacing w:val="54"/>
            </w:rPr>
            <w:t> </w:t>
          </w:r>
          <w:r>
            <w:rPr/>
            <w:t>.</w:t>
          </w:r>
          <w:r>
            <w:rPr>
              <w:spacing w:val="53"/>
            </w:rPr>
            <w:t> </w:t>
          </w:r>
          <w:r>
            <w:rPr/>
            <w:t>.</w:t>
          </w:r>
          <w:r>
            <w:rPr>
              <w:spacing w:val="54"/>
            </w:rPr>
            <w:t> </w:t>
          </w:r>
          <w:r>
            <w:rPr/>
            <w:t>.</w:t>
          </w:r>
          <w:r>
            <w:rPr>
              <w:spacing w:val="53"/>
            </w:rPr>
            <w:t> </w:t>
          </w:r>
          <w:r>
            <w:rPr/>
            <w:t>.</w:t>
          </w:r>
          <w:r>
            <w:rPr>
              <w:spacing w:val="54"/>
            </w:rPr>
            <w:t> </w:t>
          </w:r>
          <w:r>
            <w:rPr/>
            <w:t>.</w:t>
          </w:r>
          <w:r>
            <w:rPr>
              <w:spacing w:val="53"/>
            </w:rPr>
            <w:t> </w:t>
          </w:r>
          <w:r>
            <w:rPr/>
            <w:t>.</w:t>
          </w:r>
          <w:r>
            <w:rPr>
              <w:spacing w:val="54"/>
            </w:rPr>
            <w:t> </w:t>
          </w:r>
          <w:r>
            <w:rPr/>
            <w:t>.</w:t>
          </w:r>
          <w:r>
            <w:rPr>
              <w:spacing w:val="53"/>
            </w:rPr>
            <w:t> </w:t>
          </w:r>
          <w:r>
            <w:rPr/>
            <w:t>.</w:t>
          </w:r>
          <w:r>
            <w:rPr>
              <w:spacing w:val="53"/>
            </w:rPr>
            <w:t> </w:t>
          </w:r>
          <w:r>
            <w:rPr/>
            <w:t>.</w:t>
          </w:r>
          <w:r>
            <w:rPr>
              <w:spacing w:val="54"/>
            </w:rPr>
            <w:t> </w:t>
          </w:r>
          <w:r>
            <w:rPr/>
            <w:t>.</w:t>
          </w:r>
          <w:r>
            <w:rPr>
              <w:spacing w:val="53"/>
            </w:rPr>
            <w:t> </w:t>
          </w:r>
          <w:r>
            <w:rPr/>
            <w:t>.</w:t>
          </w:r>
          <w:r>
            <w:rPr>
              <w:spacing w:val="54"/>
            </w:rPr>
            <w:t> </w:t>
          </w:r>
          <w:r>
            <w:rPr/>
            <w:t>.</w:t>
          </w:r>
          <w:r>
            <w:rPr>
              <w:spacing w:val="53"/>
            </w:rPr>
            <w:t> </w:t>
          </w:r>
          <w:r>
            <w:rPr/>
            <w:t>.</w:t>
          </w:r>
          <w:r>
            <w:rPr>
              <w:spacing w:val="54"/>
            </w:rPr>
            <w:t> </w:t>
          </w:r>
          <w:r>
            <w:rPr/>
            <w:t>.</w:t>
          </w:r>
          <w:r>
            <w:rPr>
              <w:spacing w:val="53"/>
            </w:rPr>
            <w:t> </w:t>
          </w:r>
          <w:r>
            <w:rPr/>
            <w:t>.</w:t>
          </w:r>
          <w:r>
            <w:rPr>
              <w:spacing w:val="54"/>
            </w:rPr>
            <w:t> </w:t>
          </w:r>
          <w:r>
            <w:rPr/>
            <w:t>.</w:t>
          </w:r>
          <w:r>
            <w:rPr>
              <w:spacing w:val="53"/>
            </w:rPr>
            <w:t> </w:t>
          </w:r>
          <w:r>
            <w:rPr/>
            <w:t>.</w:t>
          </w:r>
          <w:r>
            <w:rPr>
              <w:spacing w:val="53"/>
            </w:rPr>
            <w:t> </w:t>
          </w:r>
          <w:r>
            <w:rPr>
              <w:spacing w:val="-10"/>
            </w:rPr>
            <w:t>.</w:t>
          </w:r>
          <w:r>
            <w:rPr/>
            <w:tab/>
          </w:r>
          <w:hyperlink w:history="true" w:anchor="_bookmark15">
            <w:r>
              <w:rPr>
                <w:color w:val="8B2C18"/>
                <w:spacing w:val="-10"/>
              </w:rPr>
              <w:t>8</w:t>
            </w:r>
          </w:hyperlink>
        </w:p>
        <w:p>
          <w:pPr>
            <w:pStyle w:val="TOC7"/>
            <w:numPr>
              <w:ilvl w:val="1"/>
              <w:numId w:val="1"/>
            </w:numPr>
            <w:tabs>
              <w:tab w:pos="1538" w:val="left" w:leader="none"/>
              <w:tab w:pos="9213" w:val="right" w:leader="none"/>
            </w:tabs>
            <w:spacing w:line="240" w:lineRule="auto" w:before="22" w:after="0"/>
            <w:ind w:left="1538" w:right="0" w:hanging="502"/>
            <w:jc w:val="left"/>
          </w:pPr>
          <w:r>
            <w:rPr/>
            <w:t>Distribution</w:t>
          </w:r>
          <w:r>
            <w:rPr>
              <w:spacing w:val="-3"/>
            </w:rPr>
            <w:t> </w:t>
          </w:r>
          <w:r>
            <w:rPr/>
            <w:t>Rules</w:t>
          </w:r>
          <w:r>
            <w:rPr>
              <w:spacing w:val="-2"/>
            </w:rPr>
            <w:t> </w:t>
          </w:r>
          <w:r>
            <w:rPr/>
            <w:t>and</w:t>
          </w:r>
          <w:r>
            <w:rPr>
              <w:spacing w:val="-3"/>
            </w:rPr>
            <w:t> </w:t>
          </w:r>
          <w:r>
            <w:rPr/>
            <w:t>the</w:t>
          </w:r>
          <w:r>
            <w:rPr>
              <w:spacing w:val="-2"/>
            </w:rPr>
            <w:t> </w:t>
          </w:r>
          <w:r>
            <w:rPr/>
            <w:t>CarenR</w:t>
          </w:r>
          <w:r>
            <w:rPr>
              <w:spacing w:val="-3"/>
            </w:rPr>
            <w:t> </w:t>
          </w:r>
          <w:r>
            <w:rPr/>
            <w:t>Framework</w:t>
          </w:r>
          <w:r>
            <w:rPr>
              <w:spacing w:val="11"/>
            </w:rPr>
            <w:t> </w:t>
          </w:r>
          <w:r>
            <w:rPr/>
            <w:t>.</w:t>
          </w:r>
          <w:r>
            <w:rPr>
              <w:spacing w:val="51"/>
            </w:rPr>
            <w:t> </w:t>
          </w:r>
          <w:r>
            <w:rPr/>
            <w:t>.</w:t>
          </w:r>
          <w:r>
            <w:rPr>
              <w:spacing w:val="51"/>
            </w:rPr>
            <w:t> </w:t>
          </w:r>
          <w:r>
            <w:rPr/>
            <w:t>.</w:t>
          </w:r>
          <w:r>
            <w:rPr>
              <w:spacing w:val="52"/>
            </w:rPr>
            <w:t> </w:t>
          </w:r>
          <w:r>
            <w:rPr/>
            <w:t>.</w:t>
          </w:r>
          <w:r>
            <w:rPr>
              <w:spacing w:val="51"/>
            </w:rPr>
            <w:t> </w:t>
          </w:r>
          <w:r>
            <w:rPr/>
            <w:t>.</w:t>
          </w:r>
          <w:r>
            <w:rPr>
              <w:spacing w:val="51"/>
            </w:rPr>
            <w:t> </w:t>
          </w:r>
          <w:r>
            <w:rPr/>
            <w:t>.</w:t>
          </w:r>
          <w:r>
            <w:rPr>
              <w:spacing w:val="51"/>
            </w:rPr>
            <w:t> </w:t>
          </w:r>
          <w:r>
            <w:rPr/>
            <w:t>.</w:t>
          </w:r>
          <w:r>
            <w:rPr>
              <w:spacing w:val="51"/>
            </w:rPr>
            <w:t> </w:t>
          </w:r>
          <w:r>
            <w:rPr/>
            <w:t>.</w:t>
          </w:r>
          <w:r>
            <w:rPr>
              <w:spacing w:val="51"/>
            </w:rPr>
            <w:t> </w:t>
          </w:r>
          <w:r>
            <w:rPr/>
            <w:t>.</w:t>
          </w:r>
          <w:r>
            <w:rPr>
              <w:spacing w:val="51"/>
            </w:rPr>
            <w:t> </w:t>
          </w:r>
          <w:r>
            <w:rPr/>
            <w:t>.</w:t>
          </w:r>
          <w:r>
            <w:rPr>
              <w:spacing w:val="51"/>
            </w:rPr>
            <w:t> </w:t>
          </w:r>
          <w:r>
            <w:rPr/>
            <w:t>.</w:t>
          </w:r>
          <w:r>
            <w:rPr>
              <w:spacing w:val="51"/>
            </w:rPr>
            <w:t> </w:t>
          </w:r>
          <w:r>
            <w:rPr/>
            <w:t>.</w:t>
          </w:r>
          <w:r>
            <w:rPr>
              <w:spacing w:val="51"/>
            </w:rPr>
            <w:t> </w:t>
          </w:r>
          <w:r>
            <w:rPr/>
            <w:t>.</w:t>
          </w:r>
          <w:r>
            <w:rPr>
              <w:spacing w:val="51"/>
            </w:rPr>
            <w:t> </w:t>
          </w:r>
          <w:r>
            <w:rPr/>
            <w:t>.</w:t>
          </w:r>
          <w:r>
            <w:rPr>
              <w:spacing w:val="51"/>
            </w:rPr>
            <w:t> </w:t>
          </w:r>
          <w:r>
            <w:rPr/>
            <w:t>.</w:t>
          </w:r>
          <w:r>
            <w:rPr>
              <w:spacing w:val="51"/>
            </w:rPr>
            <w:t> </w:t>
          </w:r>
          <w:r>
            <w:rPr/>
            <w:t>.</w:t>
          </w:r>
          <w:r>
            <w:rPr>
              <w:spacing w:val="51"/>
            </w:rPr>
            <w:t> </w:t>
          </w:r>
          <w:r>
            <w:rPr/>
            <w:t>.</w:t>
          </w:r>
          <w:r>
            <w:rPr>
              <w:spacing w:val="51"/>
            </w:rPr>
            <w:t> </w:t>
          </w:r>
          <w:r>
            <w:rPr/>
            <w:t>.</w:t>
          </w:r>
          <w:r>
            <w:rPr>
              <w:spacing w:val="51"/>
            </w:rPr>
            <w:t> </w:t>
          </w:r>
          <w:r>
            <w:rPr>
              <w:spacing w:val="-10"/>
            </w:rPr>
            <w:t>.</w:t>
          </w:r>
          <w:r>
            <w:rPr/>
            <w:tab/>
          </w:r>
          <w:hyperlink w:history="true" w:anchor="_bookmark16">
            <w:r>
              <w:rPr>
                <w:color w:val="8B2C18"/>
                <w:spacing w:val="-10"/>
              </w:rPr>
              <w:t>9</w:t>
            </w:r>
          </w:hyperlink>
        </w:p>
        <w:p>
          <w:pPr>
            <w:pStyle w:val="TOC8"/>
            <w:numPr>
              <w:ilvl w:val="2"/>
              <w:numId w:val="1"/>
            </w:numPr>
            <w:tabs>
              <w:tab w:pos="2236" w:val="left" w:leader="none"/>
              <w:tab w:pos="9213" w:val="right" w:leader="none"/>
            </w:tabs>
            <w:spacing w:line="240" w:lineRule="auto" w:before="22" w:after="0"/>
            <w:ind w:left="2236" w:right="0" w:hanging="698"/>
            <w:jc w:val="left"/>
          </w:pPr>
          <w:r>
            <w:rPr/>
            <w:t>Distribution</w:t>
          </w:r>
          <w:r>
            <w:rPr>
              <w:spacing w:val="-2"/>
            </w:rPr>
            <w:t> </w:t>
          </w:r>
          <w:r>
            <w:rPr/>
            <w:t>Rules</w:t>
          </w:r>
          <w:r>
            <w:rPr>
              <w:spacing w:val="43"/>
            </w:rPr>
            <w:t>  </w:t>
          </w:r>
          <w:r>
            <w:rPr/>
            <w:t>.</w:t>
          </w:r>
          <w:r>
            <w:rPr>
              <w:spacing w:val="53"/>
            </w:rPr>
            <w:t> </w:t>
          </w:r>
          <w:r>
            <w:rPr/>
            <w:t>.</w:t>
          </w:r>
          <w:r>
            <w:rPr>
              <w:spacing w:val="52"/>
            </w:rPr>
            <w:t> </w:t>
          </w:r>
          <w:r>
            <w:rPr/>
            <w:t>.</w:t>
          </w:r>
          <w:r>
            <w:rPr>
              <w:spacing w:val="53"/>
            </w:rPr>
            <w:t> </w:t>
          </w:r>
          <w:r>
            <w:rPr/>
            <w:t>.</w:t>
          </w:r>
          <w:r>
            <w:rPr>
              <w:spacing w:val="53"/>
            </w:rPr>
            <w:t> </w:t>
          </w:r>
          <w:r>
            <w:rPr/>
            <w:t>.</w:t>
          </w:r>
          <w:r>
            <w:rPr>
              <w:spacing w:val="53"/>
            </w:rPr>
            <w:t> </w:t>
          </w:r>
          <w:r>
            <w:rPr/>
            <w:t>.</w:t>
          </w:r>
          <w:r>
            <w:rPr>
              <w:spacing w:val="53"/>
            </w:rPr>
            <w:t> </w:t>
          </w:r>
          <w:r>
            <w:rPr/>
            <w:t>.</w:t>
          </w:r>
          <w:r>
            <w:rPr>
              <w:spacing w:val="52"/>
            </w:rPr>
            <w:t> </w:t>
          </w:r>
          <w:r>
            <w:rPr/>
            <w:t>.</w:t>
          </w:r>
          <w:r>
            <w:rPr>
              <w:spacing w:val="53"/>
            </w:rPr>
            <w:t> </w:t>
          </w:r>
          <w:r>
            <w:rPr/>
            <w:t>.</w:t>
          </w:r>
          <w:r>
            <w:rPr>
              <w:spacing w:val="53"/>
            </w:rPr>
            <w:t> </w:t>
          </w:r>
          <w:r>
            <w:rPr/>
            <w:t>.</w:t>
          </w:r>
          <w:r>
            <w:rPr>
              <w:spacing w:val="53"/>
            </w:rPr>
            <w:t> </w:t>
          </w:r>
          <w:r>
            <w:rPr/>
            <w:t>.</w:t>
          </w:r>
          <w:r>
            <w:rPr>
              <w:spacing w:val="53"/>
            </w:rPr>
            <w:t> </w:t>
          </w:r>
          <w:r>
            <w:rPr/>
            <w:t>.</w:t>
          </w:r>
          <w:r>
            <w:rPr>
              <w:spacing w:val="52"/>
            </w:rPr>
            <w:t> </w:t>
          </w:r>
          <w:r>
            <w:rPr/>
            <w:t>.</w:t>
          </w:r>
          <w:r>
            <w:rPr>
              <w:spacing w:val="53"/>
            </w:rPr>
            <w:t> </w:t>
          </w:r>
          <w:r>
            <w:rPr/>
            <w:t>.</w:t>
          </w:r>
          <w:r>
            <w:rPr>
              <w:spacing w:val="53"/>
            </w:rPr>
            <w:t> </w:t>
          </w:r>
          <w:r>
            <w:rPr/>
            <w:t>.</w:t>
          </w:r>
          <w:r>
            <w:rPr>
              <w:spacing w:val="53"/>
            </w:rPr>
            <w:t> </w:t>
          </w:r>
          <w:r>
            <w:rPr/>
            <w:t>.</w:t>
          </w:r>
          <w:r>
            <w:rPr>
              <w:spacing w:val="53"/>
            </w:rPr>
            <w:t> </w:t>
          </w:r>
          <w:r>
            <w:rPr/>
            <w:t>.</w:t>
          </w:r>
          <w:r>
            <w:rPr>
              <w:spacing w:val="53"/>
            </w:rPr>
            <w:t> </w:t>
          </w:r>
          <w:r>
            <w:rPr/>
            <w:t>.</w:t>
          </w:r>
          <w:r>
            <w:rPr>
              <w:spacing w:val="52"/>
            </w:rPr>
            <w:t> </w:t>
          </w:r>
          <w:r>
            <w:rPr/>
            <w:t>.</w:t>
          </w:r>
          <w:r>
            <w:rPr>
              <w:spacing w:val="53"/>
            </w:rPr>
            <w:t> </w:t>
          </w:r>
          <w:r>
            <w:rPr/>
            <w:t>.</w:t>
          </w:r>
          <w:r>
            <w:rPr>
              <w:spacing w:val="53"/>
            </w:rPr>
            <w:t> </w:t>
          </w:r>
          <w:r>
            <w:rPr/>
            <w:t>.</w:t>
          </w:r>
          <w:r>
            <w:rPr>
              <w:spacing w:val="53"/>
            </w:rPr>
            <w:t> </w:t>
          </w:r>
          <w:r>
            <w:rPr/>
            <w:t>.</w:t>
          </w:r>
          <w:r>
            <w:rPr>
              <w:spacing w:val="53"/>
            </w:rPr>
            <w:t> </w:t>
          </w:r>
          <w:r>
            <w:rPr/>
            <w:t>.</w:t>
          </w:r>
          <w:r>
            <w:rPr>
              <w:spacing w:val="52"/>
            </w:rPr>
            <w:t> </w:t>
          </w:r>
          <w:r>
            <w:rPr/>
            <w:t>.</w:t>
          </w:r>
          <w:r>
            <w:rPr>
              <w:spacing w:val="53"/>
            </w:rPr>
            <w:t> </w:t>
          </w:r>
          <w:r>
            <w:rPr/>
            <w:t>.</w:t>
          </w:r>
          <w:r>
            <w:rPr>
              <w:spacing w:val="53"/>
            </w:rPr>
            <w:t> </w:t>
          </w:r>
          <w:r>
            <w:rPr/>
            <w:t>.</w:t>
          </w:r>
          <w:r>
            <w:rPr>
              <w:spacing w:val="53"/>
            </w:rPr>
            <w:t> </w:t>
          </w:r>
          <w:r>
            <w:rPr/>
            <w:t>.</w:t>
          </w:r>
          <w:r>
            <w:rPr>
              <w:spacing w:val="53"/>
            </w:rPr>
            <w:t> </w:t>
          </w:r>
          <w:r>
            <w:rPr/>
            <w:t>.</w:t>
          </w:r>
          <w:r>
            <w:rPr>
              <w:spacing w:val="52"/>
            </w:rPr>
            <w:t> </w:t>
          </w:r>
          <w:r>
            <w:rPr>
              <w:spacing w:val="-10"/>
            </w:rPr>
            <w:t>.</w:t>
          </w:r>
          <w:r>
            <w:rPr/>
            <w:tab/>
          </w:r>
          <w:hyperlink w:history="true" w:anchor="_bookmark17">
            <w:r>
              <w:rPr>
                <w:color w:val="8B2C18"/>
                <w:spacing w:val="-10"/>
              </w:rPr>
              <w:t>9</w:t>
            </w:r>
          </w:hyperlink>
        </w:p>
        <w:p>
          <w:pPr>
            <w:pStyle w:val="TOC8"/>
            <w:numPr>
              <w:ilvl w:val="2"/>
              <w:numId w:val="1"/>
            </w:numPr>
            <w:tabs>
              <w:tab w:pos="2229" w:val="left" w:leader="none"/>
              <w:tab w:pos="9213" w:val="right" w:leader="none"/>
            </w:tabs>
            <w:spacing w:line="240" w:lineRule="auto" w:before="22" w:after="0"/>
            <w:ind w:left="2229" w:right="0" w:hanging="691"/>
            <w:jc w:val="left"/>
          </w:pPr>
          <w:r>
            <w:rPr/>
            <w:t>The</w:t>
          </w:r>
          <w:r>
            <w:rPr>
              <w:spacing w:val="-2"/>
            </w:rPr>
            <w:t> </w:t>
          </w:r>
          <w:r>
            <w:rPr/>
            <w:t>CarenR</w:t>
          </w:r>
          <w:r>
            <w:rPr>
              <w:spacing w:val="-2"/>
            </w:rPr>
            <w:t> </w:t>
          </w:r>
          <w:r>
            <w:rPr/>
            <w:t>Framework</w:t>
          </w:r>
          <w:r>
            <w:rPr>
              <w:spacing w:val="35"/>
            </w:rPr>
            <w:t>  </w:t>
          </w:r>
          <w:r>
            <w:rPr/>
            <w:t>.</w:t>
          </w:r>
          <w:r>
            <w:rPr>
              <w:spacing w:val="54"/>
            </w:rPr>
            <w:t> </w:t>
          </w:r>
          <w:r>
            <w:rPr/>
            <w:t>.</w:t>
          </w:r>
          <w:r>
            <w:rPr>
              <w:spacing w:val="52"/>
            </w:rPr>
            <w:t> </w:t>
          </w:r>
          <w:r>
            <w:rPr/>
            <w:t>.</w:t>
          </w:r>
          <w:r>
            <w:rPr>
              <w:spacing w:val="53"/>
            </w:rPr>
            <w:t> </w:t>
          </w:r>
          <w:r>
            <w:rPr/>
            <w:t>.</w:t>
          </w:r>
          <w:r>
            <w:rPr>
              <w:spacing w:val="52"/>
            </w:rPr>
            <w:t> </w:t>
          </w:r>
          <w:r>
            <w:rPr/>
            <w:t>.</w:t>
          </w:r>
          <w:r>
            <w:rPr>
              <w:spacing w:val="53"/>
            </w:rPr>
            <w:t> </w:t>
          </w:r>
          <w:r>
            <w:rPr/>
            <w:t>.</w:t>
          </w:r>
          <w:r>
            <w:rPr>
              <w:spacing w:val="52"/>
            </w:rPr>
            <w:t> </w:t>
          </w:r>
          <w:r>
            <w:rPr/>
            <w:t>.</w:t>
          </w:r>
          <w:r>
            <w:rPr>
              <w:spacing w:val="52"/>
            </w:rPr>
            <w:t> </w:t>
          </w:r>
          <w:r>
            <w:rPr/>
            <w:t>.</w:t>
          </w:r>
          <w:r>
            <w:rPr>
              <w:spacing w:val="53"/>
            </w:rPr>
            <w:t> </w:t>
          </w:r>
          <w:r>
            <w:rPr/>
            <w:t>.</w:t>
          </w:r>
          <w:r>
            <w:rPr>
              <w:spacing w:val="52"/>
            </w:rPr>
            <w:t> </w:t>
          </w:r>
          <w:r>
            <w:rPr/>
            <w:t>.</w:t>
          </w:r>
          <w:r>
            <w:rPr>
              <w:spacing w:val="53"/>
            </w:rPr>
            <w:t> </w:t>
          </w:r>
          <w:r>
            <w:rPr/>
            <w:t>.</w:t>
          </w:r>
          <w:r>
            <w:rPr>
              <w:spacing w:val="52"/>
            </w:rPr>
            <w:t> </w:t>
          </w:r>
          <w:r>
            <w:rPr/>
            <w:t>.</w:t>
          </w:r>
          <w:r>
            <w:rPr>
              <w:spacing w:val="53"/>
            </w:rPr>
            <w:t> </w:t>
          </w:r>
          <w:r>
            <w:rPr/>
            <w:t>.</w:t>
          </w:r>
          <w:r>
            <w:rPr>
              <w:spacing w:val="52"/>
            </w:rPr>
            <w:t> </w:t>
          </w:r>
          <w:r>
            <w:rPr/>
            <w:t>.</w:t>
          </w:r>
          <w:r>
            <w:rPr>
              <w:spacing w:val="53"/>
            </w:rPr>
            <w:t> </w:t>
          </w:r>
          <w:r>
            <w:rPr/>
            <w:t>.</w:t>
          </w:r>
          <w:r>
            <w:rPr>
              <w:spacing w:val="52"/>
            </w:rPr>
            <w:t> </w:t>
          </w:r>
          <w:r>
            <w:rPr/>
            <w:t>.</w:t>
          </w:r>
          <w:r>
            <w:rPr>
              <w:spacing w:val="52"/>
            </w:rPr>
            <w:t> </w:t>
          </w:r>
          <w:r>
            <w:rPr/>
            <w:t>.</w:t>
          </w:r>
          <w:r>
            <w:rPr>
              <w:spacing w:val="53"/>
            </w:rPr>
            <w:t> </w:t>
          </w:r>
          <w:r>
            <w:rPr/>
            <w:t>.</w:t>
          </w:r>
          <w:r>
            <w:rPr>
              <w:spacing w:val="52"/>
            </w:rPr>
            <w:t> </w:t>
          </w:r>
          <w:r>
            <w:rPr/>
            <w:t>.</w:t>
          </w:r>
          <w:r>
            <w:rPr>
              <w:spacing w:val="53"/>
            </w:rPr>
            <w:t> </w:t>
          </w:r>
          <w:r>
            <w:rPr/>
            <w:t>.</w:t>
          </w:r>
          <w:r>
            <w:rPr>
              <w:spacing w:val="52"/>
            </w:rPr>
            <w:t> </w:t>
          </w:r>
          <w:r>
            <w:rPr/>
            <w:t>.</w:t>
          </w:r>
          <w:r>
            <w:rPr>
              <w:spacing w:val="53"/>
            </w:rPr>
            <w:t> </w:t>
          </w:r>
          <w:r>
            <w:rPr/>
            <w:t>.</w:t>
          </w:r>
          <w:r>
            <w:rPr>
              <w:spacing w:val="52"/>
            </w:rPr>
            <w:t> </w:t>
          </w:r>
          <w:r>
            <w:rPr/>
            <w:t>.</w:t>
          </w:r>
          <w:r>
            <w:rPr>
              <w:spacing w:val="53"/>
            </w:rPr>
            <w:t> </w:t>
          </w:r>
          <w:r>
            <w:rPr/>
            <w:t>.</w:t>
          </w:r>
          <w:r>
            <w:rPr>
              <w:spacing w:val="52"/>
            </w:rPr>
            <w:t> </w:t>
          </w:r>
          <w:r>
            <w:rPr/>
            <w:t>.</w:t>
          </w:r>
          <w:r>
            <w:rPr>
              <w:spacing w:val="52"/>
            </w:rPr>
            <w:t> </w:t>
          </w:r>
          <w:r>
            <w:rPr>
              <w:spacing w:val="-10"/>
            </w:rPr>
            <w:t>.</w:t>
          </w:r>
          <w:r>
            <w:rPr/>
            <w:tab/>
          </w:r>
          <w:hyperlink w:history="true" w:anchor="_bookmark18">
            <w:r>
              <w:rPr>
                <w:color w:val="8B2C18"/>
                <w:spacing w:val="-10"/>
              </w:rPr>
              <w:t>9</w:t>
            </w:r>
          </w:hyperlink>
        </w:p>
        <w:p>
          <w:pPr>
            <w:pStyle w:val="TOC7"/>
            <w:numPr>
              <w:ilvl w:val="1"/>
              <w:numId w:val="1"/>
            </w:numPr>
            <w:tabs>
              <w:tab w:pos="1538" w:val="left" w:leader="none"/>
              <w:tab w:pos="9213" w:val="right" w:leader="dot"/>
            </w:tabs>
            <w:spacing w:line="240" w:lineRule="auto" w:before="22" w:after="0"/>
            <w:ind w:left="1538" w:right="0" w:hanging="502"/>
            <w:jc w:val="left"/>
          </w:pPr>
          <w:r>
            <w:rPr/>
            <w:t>Positioning</w:t>
          </w:r>
          <w:r>
            <w:rPr>
              <w:spacing w:val="-9"/>
            </w:rPr>
            <w:t> </w:t>
          </w:r>
          <w:r>
            <w:rPr/>
            <w:t>and</w:t>
          </w:r>
          <w:r>
            <w:rPr>
              <w:spacing w:val="-8"/>
            </w:rPr>
            <w:t> </w:t>
          </w:r>
          <w:r>
            <w:rPr/>
            <w:t>Research</w:t>
          </w:r>
          <w:r>
            <w:rPr>
              <w:spacing w:val="-8"/>
            </w:rPr>
            <w:t> </w:t>
          </w:r>
          <w:r>
            <w:rPr>
              <w:spacing w:val="-5"/>
            </w:rPr>
            <w:t>Gap</w:t>
          </w:r>
          <w:r>
            <w:rPr/>
            <w:tab/>
          </w:r>
          <w:hyperlink w:history="true" w:anchor="_bookmark19">
            <w:r>
              <w:rPr>
                <w:color w:val="8B2C18"/>
                <w:spacing w:val="-5"/>
              </w:rPr>
              <w:t>10</w:t>
            </w:r>
          </w:hyperlink>
        </w:p>
        <w:p>
          <w:pPr>
            <w:pStyle w:val="TOC7"/>
            <w:numPr>
              <w:ilvl w:val="1"/>
              <w:numId w:val="1"/>
            </w:numPr>
            <w:tabs>
              <w:tab w:pos="1538" w:val="left" w:leader="none"/>
              <w:tab w:pos="9213" w:val="right" w:leader="dot"/>
            </w:tabs>
            <w:spacing w:line="240" w:lineRule="auto" w:before="22" w:after="0"/>
            <w:ind w:left="1538" w:right="0" w:hanging="502"/>
            <w:jc w:val="left"/>
          </w:pPr>
          <w:r>
            <w:rPr/>
            <w:t>Portuguese</w:t>
          </w:r>
          <w:r>
            <w:rPr>
              <w:spacing w:val="-12"/>
            </w:rPr>
            <w:t> </w:t>
          </w:r>
          <w:r>
            <w:rPr/>
            <w:t>Viticulture</w:t>
          </w:r>
          <w:r>
            <w:rPr>
              <w:spacing w:val="-11"/>
            </w:rPr>
            <w:t> </w:t>
          </w:r>
          <w:r>
            <w:rPr/>
            <w:t>Industry</w:t>
          </w:r>
          <w:r>
            <w:rPr>
              <w:spacing w:val="-12"/>
            </w:rPr>
            <w:t> </w:t>
          </w:r>
          <w:r>
            <w:rPr/>
            <w:t>Structure</w:t>
          </w:r>
          <w:r>
            <w:rPr>
              <w:spacing w:val="-11"/>
            </w:rPr>
            <w:t> </w:t>
          </w:r>
          <w:r>
            <w:rPr/>
            <w:t>and</w:t>
          </w:r>
          <w:r>
            <w:rPr>
              <w:spacing w:val="-11"/>
            </w:rPr>
            <w:t> </w:t>
          </w:r>
          <w:r>
            <w:rPr>
              <w:spacing w:val="-2"/>
            </w:rPr>
            <w:t>Policy</w:t>
          </w:r>
          <w:r>
            <w:rPr/>
            <w:tab/>
          </w:r>
          <w:hyperlink w:history="true" w:anchor="_bookmark21">
            <w:r>
              <w:rPr>
                <w:color w:val="8B2C18"/>
                <w:spacing w:val="-5"/>
              </w:rPr>
              <w:t>11</w:t>
            </w:r>
          </w:hyperlink>
        </w:p>
        <w:p>
          <w:pPr>
            <w:pStyle w:val="TOC8"/>
            <w:numPr>
              <w:ilvl w:val="2"/>
              <w:numId w:val="1"/>
            </w:numPr>
            <w:tabs>
              <w:tab w:pos="2236" w:val="left" w:leader="none"/>
              <w:tab w:pos="9213" w:val="right" w:leader="dot"/>
            </w:tabs>
            <w:spacing w:line="240" w:lineRule="auto" w:before="22" w:after="0"/>
            <w:ind w:left="2236" w:right="0" w:hanging="698"/>
            <w:jc w:val="left"/>
          </w:pPr>
          <w:r>
            <w:rPr/>
            <w:t>Douro</w:t>
          </w:r>
          <w:r>
            <w:rPr>
              <w:spacing w:val="-10"/>
            </w:rPr>
            <w:t> </w:t>
          </w:r>
          <w:r>
            <w:rPr/>
            <w:t>Region:</w:t>
          </w:r>
          <w:r>
            <w:rPr>
              <w:spacing w:val="2"/>
            </w:rPr>
            <w:t> </w:t>
          </w:r>
          <w:r>
            <w:rPr/>
            <w:t>Regulatory</w:t>
          </w:r>
          <w:r>
            <w:rPr>
              <w:spacing w:val="-9"/>
            </w:rPr>
            <w:t> </w:t>
          </w:r>
          <w:r>
            <w:rPr/>
            <w:t>and</w:t>
          </w:r>
          <w:r>
            <w:rPr>
              <w:spacing w:val="-9"/>
            </w:rPr>
            <w:t> </w:t>
          </w:r>
          <w:r>
            <w:rPr/>
            <w:t>Market</w:t>
          </w:r>
          <w:r>
            <w:rPr>
              <w:spacing w:val="-9"/>
            </w:rPr>
            <w:t> </w:t>
          </w:r>
          <w:r>
            <w:rPr>
              <w:spacing w:val="-2"/>
            </w:rPr>
            <w:t>Drivers</w:t>
          </w:r>
          <w:r>
            <w:rPr/>
            <w:tab/>
          </w:r>
          <w:hyperlink w:history="true" w:anchor="_bookmark22">
            <w:r>
              <w:rPr>
                <w:color w:val="8B2C18"/>
                <w:spacing w:val="-5"/>
              </w:rPr>
              <w:t>11</w:t>
            </w:r>
          </w:hyperlink>
        </w:p>
        <w:p>
          <w:pPr>
            <w:pStyle w:val="TOC8"/>
            <w:numPr>
              <w:ilvl w:val="2"/>
              <w:numId w:val="1"/>
            </w:numPr>
            <w:tabs>
              <w:tab w:pos="2228" w:val="left" w:leader="none"/>
              <w:tab w:pos="9213" w:val="right" w:leader="dot"/>
            </w:tabs>
            <w:spacing w:line="240" w:lineRule="auto" w:before="22" w:after="0"/>
            <w:ind w:left="2228" w:right="0" w:hanging="690"/>
            <w:jc w:val="left"/>
          </w:pPr>
          <w:r>
            <w:rPr/>
            <w:t>Vinho</w:t>
          </w:r>
          <w:r>
            <w:rPr>
              <w:spacing w:val="-13"/>
            </w:rPr>
            <w:t> </w:t>
          </w:r>
          <w:r>
            <w:rPr/>
            <w:t>Verde</w:t>
          </w:r>
          <w:r>
            <w:rPr>
              <w:spacing w:val="-13"/>
            </w:rPr>
            <w:t> </w:t>
          </w:r>
          <w:r>
            <w:rPr/>
            <w:t>Region:</w:t>
          </w:r>
          <w:r>
            <w:rPr>
              <w:spacing w:val="-3"/>
            </w:rPr>
            <w:t> </w:t>
          </w:r>
          <w:r>
            <w:rPr/>
            <w:t>EU</w:t>
          </w:r>
          <w:r>
            <w:rPr>
              <w:spacing w:val="-12"/>
            </w:rPr>
            <w:t> </w:t>
          </w:r>
          <w:r>
            <w:rPr/>
            <w:t>Policy</w:t>
          </w:r>
          <w:r>
            <w:rPr>
              <w:spacing w:val="-13"/>
            </w:rPr>
            <w:t> </w:t>
          </w:r>
          <w:r>
            <w:rPr/>
            <w:t>and</w:t>
          </w:r>
          <w:r>
            <w:rPr>
              <w:spacing w:val="-13"/>
            </w:rPr>
            <w:t> </w:t>
          </w:r>
          <w:r>
            <w:rPr/>
            <w:t>Structural</w:t>
          </w:r>
          <w:r>
            <w:rPr>
              <w:spacing w:val="-13"/>
            </w:rPr>
            <w:t> </w:t>
          </w:r>
          <w:r>
            <w:rPr>
              <w:spacing w:val="-2"/>
            </w:rPr>
            <w:t>Transformation</w:t>
          </w:r>
          <w:r>
            <w:rPr/>
            <w:tab/>
          </w:r>
          <w:hyperlink w:history="true" w:anchor="_bookmark23">
            <w:r>
              <w:rPr>
                <w:color w:val="8B2C18"/>
                <w:spacing w:val="-5"/>
              </w:rPr>
              <w:t>12</w:t>
            </w:r>
          </w:hyperlink>
        </w:p>
        <w:p>
          <w:pPr>
            <w:pStyle w:val="TOC7"/>
            <w:numPr>
              <w:ilvl w:val="1"/>
              <w:numId w:val="1"/>
            </w:numPr>
            <w:tabs>
              <w:tab w:pos="1531" w:val="left" w:leader="none"/>
              <w:tab w:pos="9213" w:val="right" w:leader="dot"/>
            </w:tabs>
            <w:spacing w:line="240" w:lineRule="auto" w:before="22" w:after="0"/>
            <w:ind w:left="1531" w:right="0" w:hanging="495"/>
            <w:jc w:val="left"/>
          </w:pPr>
          <w:r>
            <w:rPr/>
            <w:t>Time</w:t>
          </w:r>
          <w:r>
            <w:rPr>
              <w:spacing w:val="-11"/>
            </w:rPr>
            <w:t> </w:t>
          </w:r>
          <w:r>
            <w:rPr/>
            <w:t>Series</w:t>
          </w:r>
          <w:r>
            <w:rPr>
              <w:spacing w:val="-10"/>
            </w:rPr>
            <w:t> </w:t>
          </w:r>
          <w:r>
            <w:rPr/>
            <w:t>Properties</w:t>
          </w:r>
          <w:r>
            <w:rPr>
              <w:spacing w:val="-10"/>
            </w:rPr>
            <w:t> </w:t>
          </w:r>
          <w:r>
            <w:rPr/>
            <w:t>and</w:t>
          </w:r>
          <w:r>
            <w:rPr>
              <w:spacing w:val="-10"/>
            </w:rPr>
            <w:t> </w:t>
          </w:r>
          <w:r>
            <w:rPr/>
            <w:t>Evaluation</w:t>
          </w:r>
          <w:r>
            <w:rPr>
              <w:spacing w:val="-10"/>
            </w:rPr>
            <w:t> </w:t>
          </w:r>
          <w:r>
            <w:rPr>
              <w:spacing w:val="-2"/>
            </w:rPr>
            <w:t>Methodology</w:t>
          </w:r>
          <w:r>
            <w:rPr/>
            <w:tab/>
          </w:r>
          <w:hyperlink w:history="true" w:anchor="_bookmark24">
            <w:r>
              <w:rPr>
                <w:color w:val="8B2C18"/>
                <w:spacing w:val="-5"/>
              </w:rPr>
              <w:t>13</w:t>
            </w:r>
          </w:hyperlink>
        </w:p>
        <w:p>
          <w:pPr>
            <w:pStyle w:val="TOC8"/>
            <w:numPr>
              <w:ilvl w:val="2"/>
              <w:numId w:val="1"/>
            </w:numPr>
            <w:tabs>
              <w:tab w:pos="2236" w:val="left" w:leader="none"/>
              <w:tab w:pos="9213" w:val="right" w:leader="dot"/>
            </w:tabs>
            <w:spacing w:line="240" w:lineRule="auto" w:before="22" w:after="0"/>
            <w:ind w:left="2236" w:right="0" w:hanging="698"/>
            <w:jc w:val="left"/>
          </w:pPr>
          <w:r>
            <w:rPr/>
            <w:t>Non-Stationarity</w:t>
          </w:r>
          <w:r>
            <w:rPr>
              <w:spacing w:val="-10"/>
            </w:rPr>
            <w:t> </w:t>
          </w:r>
          <w:r>
            <w:rPr/>
            <w:t>and</w:t>
          </w:r>
          <w:r>
            <w:rPr>
              <w:spacing w:val="-10"/>
            </w:rPr>
            <w:t> </w:t>
          </w:r>
          <w:r>
            <w:rPr/>
            <w:t>Structural</w:t>
          </w:r>
          <w:r>
            <w:rPr>
              <w:spacing w:val="-10"/>
            </w:rPr>
            <w:t> </w:t>
          </w:r>
          <w:r>
            <w:rPr>
              <w:spacing w:val="-2"/>
            </w:rPr>
            <w:t>Breaks</w:t>
          </w:r>
          <w:r>
            <w:rPr/>
            <w:tab/>
          </w:r>
          <w:hyperlink w:history="true" w:anchor="_bookmark25">
            <w:r>
              <w:rPr>
                <w:color w:val="8B2C18"/>
                <w:spacing w:val="-5"/>
              </w:rPr>
              <w:t>13</w:t>
            </w:r>
          </w:hyperlink>
        </w:p>
        <w:p>
          <w:pPr>
            <w:pStyle w:val="TOC8"/>
            <w:numPr>
              <w:ilvl w:val="2"/>
              <w:numId w:val="1"/>
            </w:numPr>
            <w:tabs>
              <w:tab w:pos="2226" w:val="left" w:leader="none"/>
              <w:tab w:pos="9213" w:val="right" w:leader="dot"/>
            </w:tabs>
            <w:spacing w:line="240" w:lineRule="auto" w:before="22" w:after="0"/>
            <w:ind w:left="2226" w:right="0" w:hanging="688"/>
            <w:jc w:val="left"/>
          </w:pPr>
          <w:r>
            <w:rPr>
              <w:spacing w:val="-2"/>
            </w:rPr>
            <w:t>Why</w:t>
          </w:r>
          <w:r>
            <w:rPr>
              <w:spacing w:val="-3"/>
            </w:rPr>
            <w:t> </w:t>
          </w:r>
          <w:r>
            <w:rPr>
              <w:spacing w:val="-2"/>
            </w:rPr>
            <w:t>Random Cross-Validation</w:t>
          </w:r>
          <w:r>
            <w:rPr>
              <w:spacing w:val="-3"/>
            </w:rPr>
            <w:t> </w:t>
          </w:r>
          <w:r>
            <w:rPr>
              <w:spacing w:val="-2"/>
            </w:rPr>
            <w:t>Is Invalid for</w:t>
          </w:r>
          <w:r>
            <w:rPr>
              <w:spacing w:val="-3"/>
            </w:rPr>
            <w:t> </w:t>
          </w:r>
          <w:r>
            <w:rPr>
              <w:spacing w:val="-2"/>
            </w:rPr>
            <w:t>Time Series</w:t>
          </w:r>
          <w:r>
            <w:rPr/>
            <w:tab/>
          </w:r>
          <w:hyperlink w:history="true" w:anchor="_bookmark26">
            <w:r>
              <w:rPr>
                <w:color w:val="8B2C18"/>
                <w:spacing w:val="-5"/>
              </w:rPr>
              <w:t>13</w:t>
            </w:r>
          </w:hyperlink>
        </w:p>
        <w:p>
          <w:pPr>
            <w:pStyle w:val="TOC8"/>
            <w:numPr>
              <w:ilvl w:val="2"/>
              <w:numId w:val="1"/>
            </w:numPr>
            <w:tabs>
              <w:tab w:pos="2229" w:val="left" w:leader="none"/>
              <w:tab w:pos="9213" w:val="right" w:leader="dot"/>
            </w:tabs>
            <w:spacing w:line="240" w:lineRule="auto" w:before="22" w:after="0"/>
            <w:ind w:left="2229" w:right="0" w:hanging="691"/>
            <w:jc w:val="left"/>
          </w:pPr>
          <w:r>
            <w:rPr/>
            <w:t>The</w:t>
          </w:r>
          <w:r>
            <w:rPr>
              <w:spacing w:val="-7"/>
            </w:rPr>
            <w:t> </w:t>
          </w:r>
          <w:r>
            <w:rPr/>
            <w:t>Naive</w:t>
          </w:r>
          <w:r>
            <w:rPr>
              <w:spacing w:val="-7"/>
            </w:rPr>
            <w:t> </w:t>
          </w:r>
          <w:r>
            <w:rPr/>
            <w:t>Baseline</w:t>
          </w:r>
          <w:r>
            <w:rPr>
              <w:spacing w:val="-7"/>
            </w:rPr>
            <w:t> </w:t>
          </w:r>
          <w:r>
            <w:rPr/>
            <w:t>and</w:t>
          </w:r>
          <w:r>
            <w:rPr>
              <w:spacing w:val="-7"/>
            </w:rPr>
            <w:t> </w:t>
          </w:r>
          <w:r>
            <w:rPr/>
            <w:t>What</w:t>
          </w:r>
          <w:r>
            <w:rPr>
              <w:spacing w:val="-7"/>
            </w:rPr>
            <w:t> </w:t>
          </w:r>
          <w:r>
            <w:rPr/>
            <w:t>It</w:t>
          </w:r>
          <w:r>
            <w:rPr>
              <w:spacing w:val="-7"/>
            </w:rPr>
            <w:t> </w:t>
          </w:r>
          <w:r>
            <w:rPr>
              <w:spacing w:val="-2"/>
            </w:rPr>
            <w:t>Measures</w:t>
          </w:r>
          <w:r>
            <w:rPr/>
            <w:tab/>
          </w:r>
          <w:hyperlink w:history="true" w:anchor="_bookmark27">
            <w:r>
              <w:rPr>
                <w:color w:val="8B2C18"/>
                <w:spacing w:val="-5"/>
              </w:rPr>
              <w:t>14</w:t>
            </w:r>
          </w:hyperlink>
        </w:p>
        <w:p>
          <w:pPr>
            <w:pStyle w:val="TOC4"/>
            <w:numPr>
              <w:ilvl w:val="0"/>
              <w:numId w:val="1"/>
            </w:numPr>
            <w:tabs>
              <w:tab w:pos="1036" w:val="left" w:leader="none"/>
              <w:tab w:pos="9213" w:val="right" w:leader="none"/>
            </w:tabs>
            <w:spacing w:line="240" w:lineRule="auto" w:before="243" w:after="0"/>
            <w:ind w:left="1036" w:right="0" w:hanging="327"/>
            <w:jc w:val="left"/>
          </w:pPr>
          <w:r>
            <w:rPr/>
            <w:t>Data</w:t>
          </w:r>
          <w:r>
            <w:rPr>
              <w:spacing w:val="-6"/>
            </w:rPr>
            <w:t> </w:t>
          </w:r>
          <w:r>
            <w:rPr/>
            <w:t>and</w:t>
          </w:r>
          <w:r>
            <w:rPr>
              <w:spacing w:val="-5"/>
            </w:rPr>
            <w:t> </w:t>
          </w:r>
          <w:r>
            <w:rPr>
              <w:spacing w:val="-2"/>
            </w:rPr>
            <w:t>Methodology</w:t>
          </w:r>
          <w:r>
            <w:rPr>
              <w:b w:val="0"/>
            </w:rPr>
            <w:tab/>
          </w:r>
          <w:hyperlink w:history="true" w:anchor="_bookmark28">
            <w:r>
              <w:rPr>
                <w:color w:val="8B2C18"/>
                <w:spacing w:val="-5"/>
              </w:rPr>
              <w:t>15</w:t>
            </w:r>
          </w:hyperlink>
        </w:p>
        <w:p>
          <w:pPr>
            <w:pStyle w:val="TOC7"/>
            <w:numPr>
              <w:ilvl w:val="1"/>
              <w:numId w:val="1"/>
            </w:numPr>
            <w:tabs>
              <w:tab w:pos="1538" w:val="left" w:leader="none"/>
              <w:tab w:pos="9213" w:val="right" w:leader="dot"/>
            </w:tabs>
            <w:spacing w:line="240" w:lineRule="auto" w:before="22" w:after="0"/>
            <w:ind w:left="1538" w:right="0" w:hanging="502"/>
            <w:jc w:val="left"/>
          </w:pPr>
          <w:r>
            <w:rPr/>
            <w:t>Study</w:t>
          </w:r>
          <w:r>
            <w:rPr>
              <w:spacing w:val="-8"/>
            </w:rPr>
            <w:t> </w:t>
          </w:r>
          <w:r>
            <w:rPr/>
            <w:t>Regions</w:t>
          </w:r>
          <w:r>
            <w:rPr>
              <w:spacing w:val="-8"/>
            </w:rPr>
            <w:t> </w:t>
          </w:r>
          <w:r>
            <w:rPr/>
            <w:t>and</w:t>
          </w:r>
          <w:r>
            <w:rPr>
              <w:spacing w:val="-7"/>
            </w:rPr>
            <w:t> </w:t>
          </w:r>
          <w:r>
            <w:rPr>
              <w:spacing w:val="-4"/>
            </w:rPr>
            <w:t>Data</w:t>
          </w:r>
          <w:r>
            <w:rPr/>
            <w:tab/>
          </w:r>
          <w:hyperlink w:history="true" w:anchor="_bookmark29">
            <w:r>
              <w:rPr>
                <w:color w:val="8B2C18"/>
                <w:spacing w:val="-5"/>
              </w:rPr>
              <w:t>15</w:t>
            </w:r>
          </w:hyperlink>
        </w:p>
        <w:p>
          <w:pPr>
            <w:pStyle w:val="TOC7"/>
            <w:numPr>
              <w:ilvl w:val="1"/>
              <w:numId w:val="1"/>
            </w:numPr>
            <w:tabs>
              <w:tab w:pos="1538" w:val="left" w:leader="none"/>
              <w:tab w:pos="9213" w:val="right" w:leader="dot"/>
            </w:tabs>
            <w:spacing w:line="240" w:lineRule="auto" w:before="22" w:after="0"/>
            <w:ind w:left="1538" w:right="0" w:hanging="502"/>
            <w:jc w:val="left"/>
          </w:pPr>
          <w:r>
            <w:rPr/>
            <w:t>Feature</w:t>
          </w:r>
          <w:r>
            <w:rPr>
              <w:spacing w:val="-8"/>
            </w:rPr>
            <w:t> </w:t>
          </w:r>
          <w:r>
            <w:rPr>
              <w:spacing w:val="-2"/>
            </w:rPr>
            <w:t>Engineering</w:t>
          </w:r>
          <w:r>
            <w:rPr/>
            <w:tab/>
          </w:r>
          <w:hyperlink w:history="true" w:anchor="_bookmark33">
            <w:r>
              <w:rPr>
                <w:color w:val="8B2C18"/>
                <w:spacing w:val="-5"/>
              </w:rPr>
              <w:t>17</w:t>
            </w:r>
          </w:hyperlink>
        </w:p>
        <w:p>
          <w:pPr>
            <w:pStyle w:val="TOC8"/>
            <w:numPr>
              <w:ilvl w:val="2"/>
              <w:numId w:val="1"/>
            </w:numPr>
            <w:tabs>
              <w:tab w:pos="2228" w:val="left" w:leader="none"/>
              <w:tab w:pos="9213" w:val="right" w:leader="dot"/>
            </w:tabs>
            <w:spacing w:line="240" w:lineRule="auto" w:before="22" w:after="0"/>
            <w:ind w:left="2228" w:right="0" w:hanging="690"/>
            <w:jc w:val="left"/>
          </w:pPr>
          <w:r>
            <w:rPr/>
            <w:t>Autocorrelation</w:t>
          </w:r>
          <w:r>
            <w:rPr>
              <w:spacing w:val="-8"/>
            </w:rPr>
            <w:t> </w:t>
          </w:r>
          <w:r>
            <w:rPr/>
            <w:t>Structure</w:t>
          </w:r>
          <w:r>
            <w:rPr>
              <w:spacing w:val="-8"/>
            </w:rPr>
            <w:t> </w:t>
          </w:r>
          <w:r>
            <w:rPr/>
            <w:t>of</w:t>
          </w:r>
          <w:r>
            <w:rPr>
              <w:spacing w:val="-7"/>
            </w:rPr>
            <w:t> </w:t>
          </w:r>
          <w:r>
            <w:rPr/>
            <w:t>the</w:t>
          </w:r>
          <w:r>
            <w:rPr>
              <w:spacing w:val="-8"/>
            </w:rPr>
            <w:t> </w:t>
          </w:r>
          <w:r>
            <w:rPr>
              <w:spacing w:val="-2"/>
            </w:rPr>
            <w:t>Residuals</w:t>
          </w:r>
          <w:r>
            <w:rPr/>
            <w:tab/>
          </w:r>
          <w:hyperlink w:history="true" w:anchor="_bookmark34">
            <w:r>
              <w:rPr>
                <w:color w:val="8B2C18"/>
                <w:spacing w:val="-5"/>
              </w:rPr>
              <w:t>17</w:t>
            </w:r>
          </w:hyperlink>
        </w:p>
        <w:p>
          <w:pPr>
            <w:pStyle w:val="TOC7"/>
            <w:numPr>
              <w:ilvl w:val="1"/>
              <w:numId w:val="1"/>
            </w:numPr>
            <w:tabs>
              <w:tab w:pos="1538" w:val="left" w:leader="none"/>
              <w:tab w:pos="9213" w:val="right" w:leader="dot"/>
            </w:tabs>
            <w:spacing w:line="240" w:lineRule="auto" w:before="22" w:after="0"/>
            <w:ind w:left="1538" w:right="0" w:hanging="502"/>
            <w:jc w:val="left"/>
          </w:pPr>
          <w:r>
            <w:rPr/>
            <w:t>Detrending</w:t>
          </w:r>
          <w:r>
            <w:rPr>
              <w:spacing w:val="-14"/>
            </w:rPr>
            <w:t> </w:t>
          </w:r>
          <w:r>
            <w:rPr/>
            <w:t>and</w:t>
          </w:r>
          <w:r>
            <w:rPr>
              <w:spacing w:val="-13"/>
            </w:rPr>
            <w:t> </w:t>
          </w:r>
          <w:r>
            <w:rPr/>
            <w:t>the</w:t>
          </w:r>
          <w:r>
            <w:rPr>
              <w:spacing w:val="-13"/>
            </w:rPr>
            <w:t> </w:t>
          </w:r>
          <w:r>
            <w:rPr/>
            <w:t>Two-Decision</w:t>
          </w:r>
          <w:r>
            <w:rPr>
              <w:spacing w:val="-14"/>
            </w:rPr>
            <w:t> </w:t>
          </w:r>
          <w:r>
            <w:rPr>
              <w:spacing w:val="-2"/>
            </w:rPr>
            <w:t>Decomposition</w:t>
          </w:r>
          <w:r>
            <w:rPr/>
            <w:tab/>
          </w:r>
          <w:hyperlink w:history="true" w:anchor="_bookmark35">
            <w:r>
              <w:rPr>
                <w:color w:val="8B2C18"/>
                <w:spacing w:val="-5"/>
              </w:rPr>
              <w:t>17</w:t>
            </w:r>
          </w:hyperlink>
        </w:p>
        <w:p>
          <w:pPr>
            <w:pStyle w:val="TOC7"/>
            <w:numPr>
              <w:ilvl w:val="1"/>
              <w:numId w:val="1"/>
            </w:numPr>
            <w:tabs>
              <w:tab w:pos="1538" w:val="left" w:leader="none"/>
              <w:tab w:pos="9213" w:val="right" w:leader="dot"/>
            </w:tabs>
            <w:spacing w:line="240" w:lineRule="auto" w:before="22" w:after="0"/>
            <w:ind w:left="1538" w:right="0" w:hanging="502"/>
            <w:jc w:val="left"/>
          </w:pPr>
          <w:r>
            <w:rPr>
              <w:spacing w:val="-2"/>
            </w:rPr>
            <w:t>Rule-Learning</w:t>
          </w:r>
          <w:r>
            <w:rPr>
              <w:spacing w:val="12"/>
            </w:rPr>
            <w:t> </w:t>
          </w:r>
          <w:r>
            <w:rPr>
              <w:spacing w:val="-2"/>
            </w:rPr>
            <w:t>Algorithms</w:t>
          </w:r>
          <w:r>
            <w:rPr/>
            <w:tab/>
          </w:r>
          <w:hyperlink w:history="true" w:anchor="_bookmark36">
            <w:r>
              <w:rPr>
                <w:color w:val="8B2C18"/>
                <w:spacing w:val="-5"/>
              </w:rPr>
              <w:t>18</w:t>
            </w:r>
          </w:hyperlink>
        </w:p>
        <w:p>
          <w:pPr>
            <w:pStyle w:val="TOC8"/>
            <w:numPr>
              <w:ilvl w:val="2"/>
              <w:numId w:val="1"/>
            </w:numPr>
            <w:tabs>
              <w:tab w:pos="2236" w:val="left" w:leader="none"/>
              <w:tab w:pos="9213" w:val="right" w:leader="dot"/>
            </w:tabs>
            <w:spacing w:line="240" w:lineRule="auto" w:before="22" w:after="0"/>
            <w:ind w:left="2236" w:right="0" w:hanging="698"/>
            <w:jc w:val="left"/>
          </w:pPr>
          <w:r>
            <w:rPr/>
            <w:t>CarenR:</w:t>
          </w:r>
          <w:r>
            <w:rPr>
              <w:spacing w:val="-8"/>
            </w:rPr>
            <w:t> </w:t>
          </w:r>
          <w:r>
            <w:rPr/>
            <w:t>Distribution</w:t>
          </w:r>
          <w:r>
            <w:rPr>
              <w:spacing w:val="-8"/>
            </w:rPr>
            <w:t> </w:t>
          </w:r>
          <w:r>
            <w:rPr/>
            <w:t>Rules</w:t>
          </w:r>
          <w:r>
            <w:rPr>
              <w:spacing w:val="-8"/>
            </w:rPr>
            <w:t> </w:t>
          </w:r>
          <w:r>
            <w:rPr/>
            <w:t>via</w:t>
          </w:r>
          <w:r>
            <w:rPr>
              <w:spacing w:val="-8"/>
            </w:rPr>
            <w:t> </w:t>
          </w:r>
          <w:r>
            <w:rPr/>
            <w:t>the</w:t>
          </w:r>
          <w:r>
            <w:rPr>
              <w:spacing w:val="-7"/>
            </w:rPr>
            <w:t> </w:t>
          </w:r>
          <w:r>
            <w:rPr/>
            <w:t>CAREN</w:t>
          </w:r>
          <w:r>
            <w:rPr>
              <w:spacing w:val="-8"/>
            </w:rPr>
            <w:t> </w:t>
          </w:r>
          <w:r>
            <w:rPr>
              <w:spacing w:val="-2"/>
            </w:rPr>
            <w:t>Framework</w:t>
          </w:r>
          <w:r>
            <w:rPr/>
            <w:tab/>
          </w:r>
          <w:hyperlink w:history="true" w:anchor="_bookmark37">
            <w:r>
              <w:rPr>
                <w:color w:val="8B2C18"/>
                <w:spacing w:val="-5"/>
              </w:rPr>
              <w:t>18</w:t>
            </w:r>
          </w:hyperlink>
        </w:p>
        <w:p>
          <w:pPr>
            <w:pStyle w:val="TOC8"/>
            <w:numPr>
              <w:ilvl w:val="2"/>
              <w:numId w:val="1"/>
            </w:numPr>
            <w:tabs>
              <w:tab w:pos="2236" w:val="left" w:leader="none"/>
              <w:tab w:pos="9213" w:val="right" w:leader="dot"/>
            </w:tabs>
            <w:spacing w:line="240" w:lineRule="auto" w:before="22" w:after="0"/>
            <w:ind w:left="2236" w:right="0" w:hanging="698"/>
            <w:jc w:val="left"/>
          </w:pPr>
          <w:r>
            <w:rPr/>
            <w:t>RIPPER:</w:t>
          </w:r>
          <w:r>
            <w:rPr>
              <w:spacing w:val="-8"/>
            </w:rPr>
            <w:t> </w:t>
          </w:r>
          <w:r>
            <w:rPr/>
            <w:t>Repeated</w:t>
          </w:r>
          <w:r>
            <w:rPr>
              <w:spacing w:val="-8"/>
            </w:rPr>
            <w:t> </w:t>
          </w:r>
          <w:r>
            <w:rPr/>
            <w:t>Incremental</w:t>
          </w:r>
          <w:r>
            <w:rPr>
              <w:spacing w:val="-8"/>
            </w:rPr>
            <w:t> </w:t>
          </w:r>
          <w:r>
            <w:rPr/>
            <w:t>Pruning</w:t>
          </w:r>
          <w:r>
            <w:rPr>
              <w:spacing w:val="-8"/>
            </w:rPr>
            <w:t> </w:t>
          </w:r>
          <w:r>
            <w:rPr/>
            <w:t>to</w:t>
          </w:r>
          <w:r>
            <w:rPr>
              <w:spacing w:val="-7"/>
            </w:rPr>
            <w:t> </w:t>
          </w:r>
          <w:r>
            <w:rPr/>
            <w:t>Produce</w:t>
          </w:r>
          <w:r>
            <w:rPr>
              <w:spacing w:val="-8"/>
            </w:rPr>
            <w:t> </w:t>
          </w:r>
          <w:r>
            <w:rPr/>
            <w:t>Error</w:t>
          </w:r>
          <w:r>
            <w:rPr>
              <w:spacing w:val="-8"/>
            </w:rPr>
            <w:t> </w:t>
          </w:r>
          <w:r>
            <w:rPr>
              <w:spacing w:val="-2"/>
            </w:rPr>
            <w:t>Reduction</w:t>
          </w:r>
          <w:r>
            <w:rPr/>
            <w:tab/>
          </w:r>
          <w:hyperlink w:history="true" w:anchor="_bookmark39">
            <w:r>
              <w:rPr>
                <w:color w:val="8B2C18"/>
                <w:spacing w:val="-5"/>
              </w:rPr>
              <w:t>21</w:t>
            </w:r>
          </w:hyperlink>
        </w:p>
        <w:p>
          <w:pPr>
            <w:pStyle w:val="TOC8"/>
            <w:numPr>
              <w:ilvl w:val="2"/>
              <w:numId w:val="1"/>
            </w:numPr>
            <w:tabs>
              <w:tab w:pos="2236" w:val="left" w:leader="none"/>
              <w:tab w:pos="9213" w:val="right" w:leader="dot"/>
            </w:tabs>
            <w:spacing w:line="240" w:lineRule="auto" w:before="22" w:after="0"/>
            <w:ind w:left="2236" w:right="0" w:hanging="698"/>
            <w:jc w:val="left"/>
          </w:pPr>
          <w:r>
            <w:rPr/>
            <w:t>M5Rules:</w:t>
          </w:r>
          <w:r>
            <w:rPr>
              <w:spacing w:val="3"/>
            </w:rPr>
            <w:t> </w:t>
          </w:r>
          <w:r>
            <w:rPr/>
            <w:t>Rule</w:t>
          </w:r>
          <w:r>
            <w:rPr>
              <w:spacing w:val="-9"/>
            </w:rPr>
            <w:t> </w:t>
          </w:r>
          <w:r>
            <w:rPr/>
            <w:t>Induction</w:t>
          </w:r>
          <w:r>
            <w:rPr>
              <w:spacing w:val="-8"/>
            </w:rPr>
            <w:t> </w:t>
          </w:r>
          <w:r>
            <w:rPr/>
            <w:t>with</w:t>
          </w:r>
          <w:r>
            <w:rPr>
              <w:spacing w:val="-8"/>
            </w:rPr>
            <w:t> </w:t>
          </w:r>
          <w:r>
            <w:rPr/>
            <w:t>Linear</w:t>
          </w:r>
          <w:r>
            <w:rPr>
              <w:spacing w:val="-8"/>
            </w:rPr>
            <w:t> </w:t>
          </w:r>
          <w:r>
            <w:rPr/>
            <w:t>Regression</w:t>
          </w:r>
          <w:r>
            <w:rPr>
              <w:spacing w:val="-8"/>
            </w:rPr>
            <w:t> </w:t>
          </w:r>
          <w:r>
            <w:rPr>
              <w:spacing w:val="-2"/>
            </w:rPr>
            <w:t>Consequents</w:t>
          </w:r>
          <w:r>
            <w:rPr/>
            <w:tab/>
          </w:r>
          <w:hyperlink w:history="true" w:anchor="_bookmark41">
            <w:r>
              <w:rPr>
                <w:color w:val="8B2C18"/>
                <w:spacing w:val="-5"/>
              </w:rPr>
              <w:t>24</w:t>
            </w:r>
          </w:hyperlink>
        </w:p>
        <w:p>
          <w:pPr>
            <w:pStyle w:val="TOC3"/>
          </w:pPr>
          <w:r>
            <w:rPr>
              <w:spacing w:val="-5"/>
            </w:rPr>
            <w:t>iii</w:t>
          </w:r>
        </w:p>
        <w:p>
          <w:pPr>
            <w:pStyle w:val="TOC2"/>
            <w:numPr>
              <w:ilvl w:val="1"/>
              <w:numId w:val="1"/>
            </w:numPr>
            <w:tabs>
              <w:tab w:pos="961" w:val="left" w:leader="none"/>
              <w:tab w:pos="8646" w:val="right" w:leader="dot"/>
            </w:tabs>
            <w:spacing w:line="240" w:lineRule="auto" w:before="772" w:after="0"/>
            <w:ind w:left="961" w:right="0" w:hanging="492"/>
            <w:jc w:val="left"/>
          </w:pPr>
          <w:r>
            <w:rPr>
              <w:spacing w:val="-4"/>
            </w:rPr>
            <w:t>Walk-Forward</w:t>
          </w:r>
          <w:r>
            <w:rPr>
              <w:spacing w:val="6"/>
            </w:rPr>
            <w:t> </w:t>
          </w:r>
          <w:r>
            <w:rPr>
              <w:spacing w:val="-4"/>
            </w:rPr>
            <w:t>Validation</w:t>
          </w:r>
          <w:r>
            <w:rPr>
              <w:spacing w:val="7"/>
            </w:rPr>
            <w:t> </w:t>
          </w:r>
          <w:r>
            <w:rPr>
              <w:spacing w:val="-4"/>
            </w:rPr>
            <w:t>Protocol</w:t>
          </w:r>
          <w:r>
            <w:rPr/>
            <w:tab/>
          </w:r>
          <w:hyperlink w:history="true" w:anchor="_bookmark42">
            <w:r>
              <w:rPr>
                <w:color w:val="8B2C18"/>
                <w:spacing w:val="-5"/>
              </w:rPr>
              <w:t>25</w:t>
            </w:r>
          </w:hyperlink>
        </w:p>
        <w:p>
          <w:pPr>
            <w:pStyle w:val="TOC2"/>
            <w:numPr>
              <w:ilvl w:val="1"/>
              <w:numId w:val="1"/>
            </w:numPr>
            <w:tabs>
              <w:tab w:pos="971" w:val="left" w:leader="none"/>
              <w:tab w:pos="8646" w:val="right" w:leader="dot"/>
            </w:tabs>
            <w:spacing w:line="240" w:lineRule="auto" w:before="25" w:after="0"/>
            <w:ind w:left="971" w:right="0" w:hanging="502"/>
            <w:jc w:val="left"/>
          </w:pPr>
          <w:r>
            <w:rPr/>
            <w:t>Baseline</w:t>
          </w:r>
          <w:r>
            <w:rPr>
              <w:spacing w:val="-9"/>
            </w:rPr>
            <w:t> </w:t>
          </w:r>
          <w:r>
            <w:rPr>
              <w:spacing w:val="-2"/>
            </w:rPr>
            <w:t>Models</w:t>
          </w:r>
          <w:r>
            <w:rPr/>
            <w:tab/>
          </w:r>
          <w:hyperlink w:history="true" w:anchor="_bookmark43">
            <w:r>
              <w:rPr>
                <w:color w:val="8B2C18"/>
                <w:spacing w:val="-5"/>
              </w:rPr>
              <w:t>25</w:t>
            </w:r>
          </w:hyperlink>
        </w:p>
        <w:p>
          <w:pPr>
            <w:pStyle w:val="TOC2"/>
            <w:numPr>
              <w:ilvl w:val="1"/>
              <w:numId w:val="1"/>
            </w:numPr>
            <w:tabs>
              <w:tab w:pos="971" w:val="left" w:leader="none"/>
              <w:tab w:pos="8646" w:val="right" w:leader="dot"/>
            </w:tabs>
            <w:spacing w:line="240" w:lineRule="auto" w:before="25" w:after="0"/>
            <w:ind w:left="971" w:right="0" w:hanging="502"/>
            <w:jc w:val="left"/>
          </w:pPr>
          <w:r>
            <w:rPr>
              <w:spacing w:val="-2"/>
            </w:rPr>
            <w:t>Evaluation</w:t>
          </w:r>
          <w:r>
            <w:rPr>
              <w:spacing w:val="3"/>
            </w:rPr>
            <w:t> </w:t>
          </w:r>
          <w:r>
            <w:rPr>
              <w:spacing w:val="-2"/>
            </w:rPr>
            <w:t>Metric</w:t>
          </w:r>
          <w:r>
            <w:rPr/>
            <w:tab/>
          </w:r>
          <w:hyperlink w:history="true" w:anchor="_bookmark45">
            <w:r>
              <w:rPr>
                <w:color w:val="8B2C18"/>
                <w:spacing w:val="-5"/>
              </w:rPr>
              <w:t>27</w:t>
            </w:r>
          </w:hyperlink>
        </w:p>
        <w:p>
          <w:pPr>
            <w:pStyle w:val="TOC2"/>
            <w:numPr>
              <w:ilvl w:val="1"/>
              <w:numId w:val="1"/>
            </w:numPr>
            <w:tabs>
              <w:tab w:pos="971" w:val="left" w:leader="none"/>
              <w:tab w:pos="8646" w:val="right" w:leader="dot"/>
            </w:tabs>
            <w:spacing w:line="240" w:lineRule="auto" w:before="25" w:after="0"/>
            <w:ind w:left="971" w:right="0" w:hanging="502"/>
            <w:jc w:val="left"/>
          </w:pPr>
          <w:r>
            <w:rPr/>
            <w:t>Software</w:t>
          </w:r>
          <w:r>
            <w:rPr>
              <w:spacing w:val="-9"/>
            </w:rPr>
            <w:t> </w:t>
          </w:r>
          <w:r>
            <w:rPr/>
            <w:t>and</w:t>
          </w:r>
          <w:r>
            <w:rPr>
              <w:spacing w:val="-8"/>
            </w:rPr>
            <w:t> </w:t>
          </w:r>
          <w:r>
            <w:rPr>
              <w:spacing w:val="-2"/>
            </w:rPr>
            <w:t>Reproducibility</w:t>
          </w:r>
          <w:r>
            <w:rPr/>
            <w:tab/>
          </w:r>
          <w:hyperlink w:history="true" w:anchor="_bookmark46">
            <w:r>
              <w:rPr>
                <w:color w:val="8B2C18"/>
                <w:spacing w:val="-5"/>
              </w:rPr>
              <w:t>27</w:t>
            </w:r>
          </w:hyperlink>
        </w:p>
        <w:p>
          <w:pPr>
            <w:pStyle w:val="TOC6"/>
            <w:numPr>
              <w:ilvl w:val="2"/>
              <w:numId w:val="1"/>
            </w:numPr>
            <w:tabs>
              <w:tab w:pos="1669" w:val="left" w:leader="none"/>
              <w:tab w:pos="8646" w:val="right" w:leader="dot"/>
            </w:tabs>
            <w:spacing w:line="240" w:lineRule="auto" w:before="25" w:after="0"/>
            <w:ind w:left="1669" w:right="0" w:hanging="698"/>
            <w:jc w:val="left"/>
          </w:pPr>
          <w:r>
            <w:rPr/>
            <w:t>Prediction</w:t>
          </w:r>
          <w:r>
            <w:rPr>
              <w:spacing w:val="-11"/>
            </w:rPr>
            <w:t> </w:t>
          </w:r>
          <w:r>
            <w:rPr/>
            <w:t>Aggregation: Combining</w:t>
          </w:r>
          <w:r>
            <w:rPr>
              <w:spacing w:val="-10"/>
            </w:rPr>
            <w:t> </w:t>
          </w:r>
          <w:r>
            <w:rPr/>
            <w:t>Multiple</w:t>
          </w:r>
          <w:r>
            <w:rPr>
              <w:spacing w:val="-11"/>
            </w:rPr>
            <w:t> </w:t>
          </w:r>
          <w:r>
            <w:rPr/>
            <w:t>Firing</w:t>
          </w:r>
          <w:r>
            <w:rPr>
              <w:spacing w:val="-10"/>
            </w:rPr>
            <w:t> </w:t>
          </w:r>
          <w:r>
            <w:rPr>
              <w:spacing w:val="-2"/>
            </w:rPr>
            <w:t>Rules</w:t>
          </w:r>
          <w:r>
            <w:rPr/>
            <w:tab/>
          </w:r>
          <w:hyperlink w:history="true" w:anchor="_bookmark47">
            <w:r>
              <w:rPr>
                <w:color w:val="8B2C18"/>
                <w:spacing w:val="-5"/>
              </w:rPr>
              <w:t>27</w:t>
            </w:r>
          </w:hyperlink>
        </w:p>
        <w:p>
          <w:pPr>
            <w:pStyle w:val="TOC2"/>
            <w:numPr>
              <w:ilvl w:val="1"/>
              <w:numId w:val="1"/>
            </w:numPr>
            <w:tabs>
              <w:tab w:pos="971" w:val="left" w:leader="none"/>
              <w:tab w:pos="8646" w:val="right" w:leader="dot"/>
            </w:tabs>
            <w:spacing w:line="240" w:lineRule="auto" w:before="25" w:after="0"/>
            <w:ind w:left="971" w:right="0" w:hanging="502"/>
            <w:jc w:val="left"/>
          </w:pPr>
          <w:r>
            <w:rPr/>
            <w:t>Formal</w:t>
          </w:r>
          <w:r>
            <w:rPr>
              <w:spacing w:val="-12"/>
            </w:rPr>
            <w:t> </w:t>
          </w:r>
          <w:r>
            <w:rPr/>
            <w:t>Stationarity</w:t>
          </w:r>
          <w:r>
            <w:rPr>
              <w:spacing w:val="-11"/>
            </w:rPr>
            <w:t> </w:t>
          </w:r>
          <w:r>
            <w:rPr>
              <w:spacing w:val="-2"/>
            </w:rPr>
            <w:t>Testing</w:t>
          </w:r>
          <w:r>
            <w:rPr/>
            <w:tab/>
          </w:r>
          <w:hyperlink w:history="true" w:anchor="_bookmark52">
            <w:r>
              <w:rPr>
                <w:color w:val="8B2C18"/>
                <w:spacing w:val="-5"/>
              </w:rPr>
              <w:t>31</w:t>
            </w:r>
          </w:hyperlink>
        </w:p>
        <w:p>
          <w:pPr>
            <w:pStyle w:val="TOC2"/>
            <w:numPr>
              <w:ilvl w:val="1"/>
              <w:numId w:val="1"/>
            </w:numPr>
            <w:tabs>
              <w:tab w:pos="970" w:val="left" w:leader="none"/>
              <w:tab w:pos="8646" w:val="right" w:leader="dot"/>
            </w:tabs>
            <w:spacing w:line="240" w:lineRule="auto" w:before="25" w:after="0"/>
            <w:ind w:left="970" w:right="0" w:hanging="501"/>
            <w:jc w:val="left"/>
          </w:pPr>
          <w:r>
            <w:rPr/>
            <w:t>Data</w:t>
          </w:r>
          <w:r>
            <w:rPr>
              <w:spacing w:val="-6"/>
            </w:rPr>
            <w:t> </w:t>
          </w:r>
          <w:r>
            <w:rPr>
              <w:spacing w:val="-2"/>
            </w:rPr>
            <w:t>Sources</w:t>
          </w:r>
          <w:r>
            <w:rPr/>
            <w:tab/>
          </w:r>
          <w:hyperlink w:history="true" w:anchor="_bookmark54">
            <w:r>
              <w:rPr>
                <w:color w:val="8B2C18"/>
                <w:spacing w:val="-5"/>
              </w:rPr>
              <w:t>33</w:t>
            </w:r>
          </w:hyperlink>
        </w:p>
        <w:p>
          <w:pPr>
            <w:pStyle w:val="TOC6"/>
            <w:numPr>
              <w:ilvl w:val="2"/>
              <w:numId w:val="1"/>
            </w:numPr>
            <w:tabs>
              <w:tab w:pos="1668" w:val="left" w:leader="none"/>
              <w:tab w:pos="8646" w:val="right" w:leader="dot"/>
            </w:tabs>
            <w:spacing w:line="240" w:lineRule="auto" w:before="25" w:after="0"/>
            <w:ind w:left="1668" w:right="0" w:hanging="697"/>
            <w:jc w:val="left"/>
          </w:pPr>
          <w:r>
            <w:rPr>
              <w:spacing w:val="-2"/>
            </w:rPr>
            <w:t>Meteorological</w:t>
          </w:r>
          <w:r>
            <w:rPr>
              <w:spacing w:val="13"/>
            </w:rPr>
            <w:t> </w:t>
          </w:r>
          <w:r>
            <w:rPr>
              <w:spacing w:val="-4"/>
            </w:rPr>
            <w:t>Data</w:t>
          </w:r>
          <w:r>
            <w:rPr/>
            <w:tab/>
          </w:r>
          <w:hyperlink w:history="true" w:anchor="_bookmark55">
            <w:r>
              <w:rPr>
                <w:color w:val="8B2C18"/>
                <w:spacing w:val="-5"/>
              </w:rPr>
              <w:t>33</w:t>
            </w:r>
          </w:hyperlink>
        </w:p>
        <w:p>
          <w:pPr>
            <w:pStyle w:val="TOC6"/>
            <w:numPr>
              <w:ilvl w:val="2"/>
              <w:numId w:val="1"/>
            </w:numPr>
            <w:tabs>
              <w:tab w:pos="1668" w:val="left" w:leader="none"/>
              <w:tab w:pos="8646" w:val="right" w:leader="dot"/>
            </w:tabs>
            <w:spacing w:line="240" w:lineRule="auto" w:before="25" w:after="0"/>
            <w:ind w:left="1668" w:right="0" w:hanging="697"/>
            <w:jc w:val="left"/>
          </w:pPr>
          <w:r>
            <w:rPr/>
            <w:t>Phenology</w:t>
          </w:r>
          <w:r>
            <w:rPr>
              <w:spacing w:val="-9"/>
            </w:rPr>
            <w:t> </w:t>
          </w:r>
          <w:r>
            <w:rPr/>
            <w:t>and</w:t>
          </w:r>
          <w:r>
            <w:rPr>
              <w:spacing w:val="-8"/>
            </w:rPr>
            <w:t> </w:t>
          </w:r>
          <w:r>
            <w:rPr/>
            <w:t>Production</w:t>
          </w:r>
          <w:r>
            <w:rPr>
              <w:spacing w:val="-9"/>
            </w:rPr>
            <w:t> </w:t>
          </w:r>
          <w:r>
            <w:rPr>
              <w:spacing w:val="-4"/>
            </w:rPr>
            <w:t>Data</w:t>
          </w:r>
          <w:r>
            <w:rPr/>
            <w:tab/>
          </w:r>
          <w:hyperlink w:history="true" w:anchor="_bookmark58">
            <w:r>
              <w:rPr>
                <w:color w:val="8B2C18"/>
                <w:spacing w:val="-5"/>
              </w:rPr>
              <w:t>34</w:t>
            </w:r>
          </w:hyperlink>
        </w:p>
        <w:p>
          <w:pPr>
            <w:pStyle w:val="TOC2"/>
            <w:numPr>
              <w:ilvl w:val="1"/>
              <w:numId w:val="1"/>
            </w:numPr>
            <w:tabs>
              <w:tab w:pos="970" w:val="left" w:leader="none"/>
              <w:tab w:pos="8646" w:val="right" w:leader="dot"/>
            </w:tabs>
            <w:spacing w:line="240" w:lineRule="auto" w:before="25" w:after="0"/>
            <w:ind w:left="970" w:right="0" w:hanging="501"/>
            <w:jc w:val="left"/>
          </w:pPr>
          <w:r>
            <w:rPr/>
            <w:t>Feature</w:t>
          </w:r>
          <w:r>
            <w:rPr>
              <w:spacing w:val="-7"/>
            </w:rPr>
            <w:t> </w:t>
          </w:r>
          <w:r>
            <w:rPr/>
            <w:t>Engineering:</w:t>
          </w:r>
          <w:r>
            <w:rPr>
              <w:spacing w:val="4"/>
            </w:rPr>
            <w:t> </w:t>
          </w:r>
          <w:r>
            <w:rPr/>
            <w:t>From</w:t>
          </w:r>
          <w:r>
            <w:rPr>
              <w:spacing w:val="-7"/>
            </w:rPr>
            <w:t> </w:t>
          </w:r>
          <w:r>
            <w:rPr/>
            <w:t>Daily</w:t>
          </w:r>
          <w:r>
            <w:rPr>
              <w:spacing w:val="-7"/>
            </w:rPr>
            <w:t> </w:t>
          </w:r>
          <w:r>
            <w:rPr/>
            <w:t>Records</w:t>
          </w:r>
          <w:r>
            <w:rPr>
              <w:spacing w:val="-7"/>
            </w:rPr>
            <w:t> </w:t>
          </w:r>
          <w:r>
            <w:rPr/>
            <w:t>to</w:t>
          </w:r>
          <w:r>
            <w:rPr>
              <w:spacing w:val="-7"/>
            </w:rPr>
            <w:t> </w:t>
          </w:r>
          <w:r>
            <w:rPr/>
            <w:t>Annual</w:t>
          </w:r>
          <w:r>
            <w:rPr>
              <w:spacing w:val="-7"/>
            </w:rPr>
            <w:t> </w:t>
          </w:r>
          <w:r>
            <w:rPr>
              <w:spacing w:val="-2"/>
            </w:rPr>
            <w:t>Features</w:t>
          </w:r>
          <w:r>
            <w:rPr/>
            <w:tab/>
          </w:r>
          <w:hyperlink w:history="true" w:anchor="_bookmark60">
            <w:r>
              <w:rPr>
                <w:color w:val="8B2C18"/>
                <w:spacing w:val="-5"/>
              </w:rPr>
              <w:t>35</w:t>
            </w:r>
          </w:hyperlink>
        </w:p>
        <w:p>
          <w:pPr>
            <w:pStyle w:val="TOC6"/>
            <w:numPr>
              <w:ilvl w:val="2"/>
              <w:numId w:val="1"/>
            </w:numPr>
            <w:tabs>
              <w:tab w:pos="1668" w:val="left" w:leader="none"/>
              <w:tab w:pos="8646" w:val="right" w:leader="dot"/>
            </w:tabs>
            <w:spacing w:line="240" w:lineRule="auto" w:before="25" w:after="0"/>
            <w:ind w:left="1668" w:right="0" w:hanging="697"/>
            <w:jc w:val="left"/>
          </w:pPr>
          <w:r>
            <w:rPr/>
            <w:t>Feature</w:t>
          </w:r>
          <w:r>
            <w:rPr>
              <w:spacing w:val="-8"/>
            </w:rPr>
            <w:t> </w:t>
          </w:r>
          <w:r>
            <w:rPr/>
            <w:t>Naming</w:t>
          </w:r>
          <w:r>
            <w:rPr>
              <w:spacing w:val="-8"/>
            </w:rPr>
            <w:t> </w:t>
          </w:r>
          <w:r>
            <w:rPr>
              <w:spacing w:val="-2"/>
            </w:rPr>
            <w:t>Convention</w:t>
          </w:r>
          <w:r>
            <w:rPr/>
            <w:tab/>
          </w:r>
          <w:hyperlink w:history="true" w:anchor="_bookmark61">
            <w:r>
              <w:rPr>
                <w:color w:val="8B2C18"/>
                <w:spacing w:val="-5"/>
              </w:rPr>
              <w:t>35</w:t>
            </w:r>
          </w:hyperlink>
        </w:p>
        <w:p>
          <w:pPr>
            <w:pStyle w:val="TOC6"/>
            <w:numPr>
              <w:ilvl w:val="2"/>
              <w:numId w:val="1"/>
            </w:numPr>
            <w:tabs>
              <w:tab w:pos="1668" w:val="left" w:leader="none"/>
              <w:tab w:pos="8646" w:val="right" w:leader="dot"/>
            </w:tabs>
            <w:spacing w:line="240" w:lineRule="auto" w:before="25" w:after="0"/>
            <w:ind w:left="1668" w:right="0" w:hanging="697"/>
            <w:jc w:val="left"/>
          </w:pPr>
          <w:r>
            <w:rPr/>
            <w:t>Feature</w:t>
          </w:r>
          <w:r>
            <w:rPr>
              <w:spacing w:val="-7"/>
            </w:rPr>
            <w:t> </w:t>
          </w:r>
          <w:r>
            <w:rPr/>
            <w:t>Groups</w:t>
          </w:r>
          <w:r>
            <w:rPr>
              <w:spacing w:val="-6"/>
            </w:rPr>
            <w:t> </w:t>
          </w:r>
          <w:r>
            <w:rPr/>
            <w:t>and</w:t>
          </w:r>
          <w:r>
            <w:rPr>
              <w:spacing w:val="-7"/>
            </w:rPr>
            <w:t> </w:t>
          </w:r>
          <w:r>
            <w:rPr>
              <w:spacing w:val="-2"/>
            </w:rPr>
            <w:t>Counts</w:t>
          </w:r>
          <w:r>
            <w:rPr/>
            <w:tab/>
          </w:r>
          <w:hyperlink w:history="true" w:anchor="_bookmark63">
            <w:r>
              <w:rPr>
                <w:color w:val="8B2C18"/>
                <w:spacing w:val="-5"/>
              </w:rPr>
              <w:t>36</w:t>
            </w:r>
          </w:hyperlink>
        </w:p>
        <w:p>
          <w:pPr>
            <w:pStyle w:val="TOC6"/>
            <w:numPr>
              <w:ilvl w:val="2"/>
              <w:numId w:val="1"/>
            </w:numPr>
            <w:tabs>
              <w:tab w:pos="1668" w:val="left" w:leader="none"/>
              <w:tab w:pos="8646" w:val="right" w:leader="dot"/>
            </w:tabs>
            <w:spacing w:line="240" w:lineRule="auto" w:before="25" w:after="0"/>
            <w:ind w:left="1668" w:right="0" w:hanging="697"/>
            <w:jc w:val="left"/>
          </w:pPr>
          <w:r>
            <w:rPr>
              <w:spacing w:val="-2"/>
            </w:rPr>
            <w:t>Current-Year</w:t>
          </w:r>
          <w:r>
            <w:rPr>
              <w:spacing w:val="-9"/>
            </w:rPr>
            <w:t> </w:t>
          </w:r>
          <w:r>
            <w:rPr>
              <w:spacing w:val="-2"/>
            </w:rPr>
            <w:t>vs</w:t>
          </w:r>
          <w:r>
            <w:rPr>
              <w:spacing w:val="-8"/>
            </w:rPr>
            <w:t> </w:t>
          </w:r>
          <w:r>
            <w:rPr>
              <w:spacing w:val="-2"/>
            </w:rPr>
            <w:t>Previous-Year</w:t>
          </w:r>
          <w:r>
            <w:rPr>
              <w:spacing w:val="-9"/>
            </w:rPr>
            <w:t> </w:t>
          </w:r>
          <w:r>
            <w:rPr>
              <w:spacing w:val="-2"/>
            </w:rPr>
            <w:t>Features</w:t>
          </w:r>
          <w:r>
            <w:rPr/>
            <w:tab/>
          </w:r>
          <w:hyperlink w:history="true" w:anchor="_bookmark65">
            <w:r>
              <w:rPr>
                <w:color w:val="8B2C18"/>
                <w:spacing w:val="-5"/>
              </w:rPr>
              <w:t>36</w:t>
            </w:r>
          </w:hyperlink>
        </w:p>
        <w:p>
          <w:pPr>
            <w:pStyle w:val="TOC6"/>
            <w:numPr>
              <w:ilvl w:val="2"/>
              <w:numId w:val="1"/>
            </w:numPr>
            <w:tabs>
              <w:tab w:pos="1668" w:val="left" w:leader="none"/>
              <w:tab w:pos="8646" w:val="right" w:leader="dot"/>
            </w:tabs>
            <w:spacing w:line="240" w:lineRule="auto" w:before="25" w:after="0"/>
            <w:ind w:left="1668" w:right="0" w:hanging="697"/>
            <w:jc w:val="left"/>
          </w:pPr>
          <w:r>
            <w:rPr/>
            <w:t>Feature</w:t>
          </w:r>
          <w:r>
            <w:rPr>
              <w:spacing w:val="-9"/>
            </w:rPr>
            <w:t> </w:t>
          </w:r>
          <w:r>
            <w:rPr/>
            <w:t>Discretisation</w:t>
          </w:r>
          <w:r>
            <w:rPr>
              <w:spacing w:val="-8"/>
            </w:rPr>
            <w:t> </w:t>
          </w:r>
          <w:r>
            <w:rPr/>
            <w:t>for</w:t>
          </w:r>
          <w:r>
            <w:rPr>
              <w:spacing w:val="-8"/>
            </w:rPr>
            <w:t> </w:t>
          </w:r>
          <w:r>
            <w:rPr>
              <w:spacing w:val="-2"/>
            </w:rPr>
            <w:t>CarenR</w:t>
          </w:r>
          <w:r>
            <w:rPr/>
            <w:tab/>
          </w:r>
          <w:hyperlink w:history="true" w:anchor="_bookmark66">
            <w:r>
              <w:rPr>
                <w:color w:val="8B2C18"/>
                <w:spacing w:val="-5"/>
              </w:rPr>
              <w:t>37</w:t>
            </w:r>
          </w:hyperlink>
        </w:p>
        <w:p>
          <w:pPr>
            <w:pStyle w:val="TOC2"/>
            <w:numPr>
              <w:ilvl w:val="1"/>
              <w:numId w:val="1"/>
            </w:numPr>
            <w:tabs>
              <w:tab w:pos="970" w:val="left" w:leader="none"/>
              <w:tab w:pos="8646" w:val="right" w:leader="dot"/>
            </w:tabs>
            <w:spacing w:line="240" w:lineRule="auto" w:before="25" w:after="0"/>
            <w:ind w:left="970" w:right="0" w:hanging="501"/>
            <w:jc w:val="left"/>
          </w:pPr>
          <w:r>
            <w:rPr/>
            <w:t>Data</w:t>
          </w:r>
          <w:r>
            <w:rPr>
              <w:spacing w:val="-7"/>
            </w:rPr>
            <w:t> </w:t>
          </w:r>
          <w:r>
            <w:rPr/>
            <w:t>Pipeline</w:t>
          </w:r>
          <w:r>
            <w:rPr>
              <w:spacing w:val="-7"/>
            </w:rPr>
            <w:t> </w:t>
          </w:r>
          <w:r>
            <w:rPr>
              <w:spacing w:val="-2"/>
            </w:rPr>
            <w:t>Summary</w:t>
          </w:r>
          <w:r>
            <w:rPr/>
            <w:tab/>
          </w:r>
          <w:hyperlink w:history="true" w:anchor="_bookmark67">
            <w:r>
              <w:rPr>
                <w:color w:val="8B2C18"/>
                <w:spacing w:val="-5"/>
              </w:rPr>
              <w:t>37</w:t>
            </w:r>
          </w:hyperlink>
        </w:p>
        <w:p>
          <w:pPr>
            <w:pStyle w:val="TOC1"/>
            <w:numPr>
              <w:ilvl w:val="0"/>
              <w:numId w:val="1"/>
            </w:numPr>
            <w:tabs>
              <w:tab w:pos="469" w:val="left" w:leader="none"/>
              <w:tab w:pos="8646" w:val="right" w:leader="none"/>
            </w:tabs>
            <w:spacing w:line="240" w:lineRule="auto" w:before="248" w:after="0"/>
            <w:ind w:left="469" w:right="0" w:hanging="327"/>
            <w:jc w:val="left"/>
          </w:pPr>
          <w:r>
            <w:rPr/>
            <w:t>Rule</w:t>
          </w:r>
          <w:r>
            <w:rPr>
              <w:spacing w:val="-9"/>
            </w:rPr>
            <w:t> </w:t>
          </w:r>
          <w:r>
            <w:rPr/>
            <w:t>Discovery</w:t>
          </w:r>
          <w:r>
            <w:rPr>
              <w:spacing w:val="-9"/>
            </w:rPr>
            <w:t> </w:t>
          </w:r>
          <w:r>
            <w:rPr/>
            <w:t>Results</w:t>
          </w:r>
          <w:r>
            <w:rPr>
              <w:spacing w:val="-9"/>
            </w:rPr>
            <w:t> </w:t>
          </w:r>
          <w:r>
            <w:rPr/>
            <w:t>(Goal</w:t>
          </w:r>
          <w:r>
            <w:rPr>
              <w:spacing w:val="-9"/>
            </w:rPr>
            <w:t> </w:t>
          </w:r>
          <w:r>
            <w:rPr>
              <w:spacing w:val="-5"/>
            </w:rPr>
            <w:t>1)</w:t>
          </w:r>
          <w:r>
            <w:rPr>
              <w:b w:val="0"/>
            </w:rPr>
            <w:tab/>
          </w:r>
          <w:hyperlink w:history="true" w:anchor="_bookmark68">
            <w:r>
              <w:rPr>
                <w:color w:val="8B2C18"/>
                <w:spacing w:val="-5"/>
              </w:rPr>
              <w:t>39</w:t>
            </w:r>
          </w:hyperlink>
        </w:p>
        <w:p>
          <w:pPr>
            <w:pStyle w:val="TOC2"/>
            <w:numPr>
              <w:ilvl w:val="1"/>
              <w:numId w:val="1"/>
            </w:numPr>
            <w:tabs>
              <w:tab w:pos="971" w:val="left" w:leader="none"/>
              <w:tab w:pos="8646" w:val="right" w:leader="dot"/>
            </w:tabs>
            <w:spacing w:line="240" w:lineRule="auto" w:before="25" w:after="0"/>
            <w:ind w:left="971" w:right="0" w:hanging="502"/>
            <w:jc w:val="left"/>
          </w:pPr>
          <w:r>
            <w:rPr/>
            <w:t>CarenR:</w:t>
          </w:r>
          <w:r>
            <w:rPr>
              <w:spacing w:val="-14"/>
            </w:rPr>
            <w:t> </w:t>
          </w:r>
          <w:r>
            <w:rPr/>
            <w:t>Distributional</w:t>
          </w:r>
          <w:r>
            <w:rPr>
              <w:spacing w:val="-13"/>
            </w:rPr>
            <w:t> </w:t>
          </w:r>
          <w:r>
            <w:rPr>
              <w:spacing w:val="-2"/>
            </w:rPr>
            <w:t>Rules</w:t>
          </w:r>
          <w:r>
            <w:rPr/>
            <w:tab/>
          </w:r>
          <w:hyperlink w:history="true" w:anchor="_bookmark69">
            <w:r>
              <w:rPr>
                <w:color w:val="8B2C18"/>
                <w:spacing w:val="-5"/>
              </w:rPr>
              <w:t>39</w:t>
            </w:r>
          </w:hyperlink>
        </w:p>
        <w:p>
          <w:pPr>
            <w:pStyle w:val="TOC6"/>
            <w:numPr>
              <w:ilvl w:val="2"/>
              <w:numId w:val="1"/>
            </w:numPr>
            <w:tabs>
              <w:tab w:pos="1669" w:val="left" w:leader="none"/>
              <w:tab w:pos="8646" w:val="right" w:leader="dot"/>
            </w:tabs>
            <w:spacing w:line="240" w:lineRule="auto" w:before="25" w:after="0"/>
            <w:ind w:left="1669" w:right="0" w:hanging="698"/>
            <w:jc w:val="left"/>
          </w:pPr>
          <w:r>
            <w:rPr/>
            <w:t>Douro</w:t>
          </w:r>
          <w:r>
            <w:rPr>
              <w:spacing w:val="-10"/>
            </w:rPr>
            <w:t> </w:t>
          </w:r>
          <w:r>
            <w:rPr/>
            <w:t>(RDD):</w:t>
          </w:r>
          <w:r>
            <w:rPr>
              <w:spacing w:val="-10"/>
            </w:rPr>
            <w:t> </w:t>
          </w:r>
          <w:r>
            <w:rPr/>
            <w:t>Top</w:t>
          </w:r>
          <w:r>
            <w:rPr>
              <w:spacing w:val="-10"/>
            </w:rPr>
            <w:t> </w:t>
          </w:r>
          <w:r>
            <w:rPr/>
            <w:t>5</w:t>
          </w:r>
          <w:r>
            <w:rPr>
              <w:spacing w:val="-9"/>
            </w:rPr>
            <w:t> </w:t>
          </w:r>
          <w:r>
            <w:rPr>
              <w:spacing w:val="-2"/>
            </w:rPr>
            <w:t>Rules</w:t>
          </w:r>
          <w:r>
            <w:rPr/>
            <w:tab/>
          </w:r>
          <w:hyperlink w:history="true" w:anchor="_bookmark70">
            <w:r>
              <w:rPr>
                <w:color w:val="8B2C18"/>
                <w:spacing w:val="-5"/>
              </w:rPr>
              <w:t>39</w:t>
            </w:r>
          </w:hyperlink>
        </w:p>
        <w:p>
          <w:pPr>
            <w:pStyle w:val="TOC6"/>
            <w:numPr>
              <w:ilvl w:val="2"/>
              <w:numId w:val="1"/>
            </w:numPr>
            <w:tabs>
              <w:tab w:pos="1661" w:val="left" w:leader="none"/>
              <w:tab w:pos="8646" w:val="right" w:leader="dot"/>
            </w:tabs>
            <w:spacing w:line="240" w:lineRule="auto" w:before="25" w:after="0"/>
            <w:ind w:left="1661" w:right="0" w:hanging="690"/>
            <w:jc w:val="left"/>
          </w:pPr>
          <w:r>
            <w:rPr>
              <w:spacing w:val="-4"/>
            </w:rPr>
            <w:t>Vinho</w:t>
          </w:r>
          <w:r>
            <w:rPr>
              <w:spacing w:val="-5"/>
            </w:rPr>
            <w:t> </w:t>
          </w:r>
          <w:r>
            <w:rPr>
              <w:spacing w:val="-4"/>
            </w:rPr>
            <w:t>Verde (RVV):</w:t>
          </w:r>
          <w:r>
            <w:rPr>
              <w:spacing w:val="-5"/>
            </w:rPr>
            <w:t> </w:t>
          </w:r>
          <w:r>
            <w:rPr>
              <w:spacing w:val="-4"/>
            </w:rPr>
            <w:t>Top 5</w:t>
          </w:r>
          <w:r>
            <w:rPr>
              <w:spacing w:val="-5"/>
            </w:rPr>
            <w:t> </w:t>
          </w:r>
          <w:r>
            <w:rPr>
              <w:spacing w:val="-4"/>
            </w:rPr>
            <w:t>Rules</w:t>
          </w:r>
          <w:r>
            <w:rPr/>
            <w:tab/>
          </w:r>
          <w:hyperlink w:history="true" w:anchor="_bookmark72">
            <w:r>
              <w:rPr>
                <w:color w:val="8B2C18"/>
                <w:spacing w:val="-5"/>
              </w:rPr>
              <w:t>40</w:t>
            </w:r>
          </w:hyperlink>
        </w:p>
        <w:p>
          <w:pPr>
            <w:pStyle w:val="TOC6"/>
            <w:numPr>
              <w:ilvl w:val="2"/>
              <w:numId w:val="1"/>
            </w:numPr>
            <w:tabs>
              <w:tab w:pos="1662" w:val="left" w:leader="none"/>
              <w:tab w:pos="8646" w:val="right" w:leader="dot"/>
            </w:tabs>
            <w:spacing w:line="240" w:lineRule="auto" w:before="25" w:after="0"/>
            <w:ind w:left="1662" w:right="0" w:hanging="691"/>
            <w:jc w:val="left"/>
          </w:pPr>
          <w:r>
            <w:rPr/>
            <w:t>The</w:t>
          </w:r>
          <w:r>
            <w:rPr>
              <w:spacing w:val="-14"/>
            </w:rPr>
            <w:t> </w:t>
          </w:r>
          <w:r>
            <w:rPr/>
            <w:t>Directional</w:t>
          </w:r>
          <w:r>
            <w:rPr>
              <w:spacing w:val="-13"/>
            </w:rPr>
            <w:t> </w:t>
          </w:r>
          <w:r>
            <w:rPr/>
            <w:t>Inversion:</w:t>
          </w:r>
          <w:r>
            <w:rPr>
              <w:spacing w:val="-4"/>
            </w:rPr>
            <w:t> </w:t>
          </w:r>
          <w:r>
            <w:rPr/>
            <w:t>A</w:t>
          </w:r>
          <w:r>
            <w:rPr>
              <w:spacing w:val="-13"/>
            </w:rPr>
            <w:t> </w:t>
          </w:r>
          <w:r>
            <w:rPr/>
            <w:t>Method</w:t>
          </w:r>
          <w:r>
            <w:rPr>
              <w:spacing w:val="-14"/>
            </w:rPr>
            <w:t> </w:t>
          </w:r>
          <w:r>
            <w:rPr/>
            <w:t>Validation</w:t>
          </w:r>
          <w:r>
            <w:rPr>
              <w:spacing w:val="-13"/>
            </w:rPr>
            <w:t> </w:t>
          </w:r>
          <w:r>
            <w:rPr>
              <w:spacing w:val="-2"/>
            </w:rPr>
            <w:t>Point</w:t>
          </w:r>
          <w:r>
            <w:rPr/>
            <w:tab/>
          </w:r>
          <w:hyperlink w:history="true" w:anchor="_bookmark74">
            <w:r>
              <w:rPr>
                <w:color w:val="8B2C18"/>
                <w:spacing w:val="-5"/>
              </w:rPr>
              <w:t>41</w:t>
            </w:r>
          </w:hyperlink>
        </w:p>
        <w:p>
          <w:pPr>
            <w:pStyle w:val="TOC2"/>
            <w:numPr>
              <w:ilvl w:val="1"/>
              <w:numId w:val="1"/>
            </w:numPr>
            <w:tabs>
              <w:tab w:pos="971" w:val="left" w:leader="none"/>
              <w:tab w:pos="8646" w:val="right" w:leader="dot"/>
            </w:tabs>
            <w:spacing w:line="240" w:lineRule="auto" w:before="25" w:after="0"/>
            <w:ind w:left="971" w:right="0" w:hanging="502"/>
            <w:jc w:val="left"/>
          </w:pPr>
          <w:r>
            <w:rPr/>
            <w:t>LOESS</w:t>
          </w:r>
          <w:r>
            <w:rPr>
              <w:spacing w:val="-12"/>
            </w:rPr>
            <w:t> </w:t>
          </w:r>
          <w:r>
            <w:rPr/>
            <w:t>Validation:</w:t>
          </w:r>
          <w:r>
            <w:rPr>
              <w:spacing w:val="-2"/>
            </w:rPr>
            <w:t> </w:t>
          </w:r>
          <w:r>
            <w:rPr/>
            <w:t>Distinguishing</w:t>
          </w:r>
          <w:r>
            <w:rPr>
              <w:spacing w:val="-12"/>
            </w:rPr>
            <w:t> </w:t>
          </w:r>
          <w:r>
            <w:rPr/>
            <w:t>Signal</w:t>
          </w:r>
          <w:r>
            <w:rPr>
              <w:spacing w:val="-11"/>
            </w:rPr>
            <w:t> </w:t>
          </w:r>
          <w:r>
            <w:rPr/>
            <w:t>from</w:t>
          </w:r>
          <w:r>
            <w:rPr>
              <w:spacing w:val="-12"/>
            </w:rPr>
            <w:t> </w:t>
          </w:r>
          <w:r>
            <w:rPr/>
            <w:t>Era</w:t>
          </w:r>
          <w:r>
            <w:rPr>
              <w:spacing w:val="-12"/>
            </w:rPr>
            <w:t> </w:t>
          </w:r>
          <w:r>
            <w:rPr>
              <w:spacing w:val="-2"/>
            </w:rPr>
            <w:t>Artefact</w:t>
          </w:r>
          <w:r>
            <w:rPr/>
            <w:tab/>
          </w:r>
          <w:hyperlink w:history="true" w:anchor="_bookmark76">
            <w:r>
              <w:rPr>
                <w:color w:val="8B2C18"/>
                <w:spacing w:val="-5"/>
              </w:rPr>
              <w:t>42</w:t>
            </w:r>
          </w:hyperlink>
        </w:p>
        <w:p>
          <w:pPr>
            <w:pStyle w:val="TOC2"/>
            <w:numPr>
              <w:ilvl w:val="1"/>
              <w:numId w:val="1"/>
            </w:numPr>
            <w:tabs>
              <w:tab w:pos="971" w:val="left" w:leader="none"/>
              <w:tab w:pos="8646" w:val="right" w:leader="dot"/>
            </w:tabs>
            <w:spacing w:line="240" w:lineRule="auto" w:before="25" w:after="0"/>
            <w:ind w:left="971" w:right="0" w:hanging="502"/>
            <w:jc w:val="left"/>
          </w:pPr>
          <w:r>
            <w:rPr>
              <w:spacing w:val="-2"/>
            </w:rPr>
            <w:t>RIPPER</w:t>
          </w:r>
          <w:r>
            <w:rPr>
              <w:spacing w:val="3"/>
            </w:rPr>
            <w:t> </w:t>
          </w:r>
          <w:r>
            <w:rPr>
              <w:spacing w:val="-2"/>
            </w:rPr>
            <w:t>Classification</w:t>
          </w:r>
          <w:r>
            <w:rPr>
              <w:spacing w:val="3"/>
            </w:rPr>
            <w:t> </w:t>
          </w:r>
          <w:r>
            <w:rPr>
              <w:spacing w:val="-2"/>
            </w:rPr>
            <w:t>Rules</w:t>
          </w:r>
          <w:r>
            <w:rPr/>
            <w:tab/>
          </w:r>
          <w:hyperlink w:history="true" w:anchor="_bookmark78">
            <w:r>
              <w:rPr>
                <w:color w:val="8B2C18"/>
                <w:spacing w:val="-5"/>
              </w:rPr>
              <w:t>43</w:t>
            </w:r>
          </w:hyperlink>
        </w:p>
        <w:p>
          <w:pPr>
            <w:pStyle w:val="TOC2"/>
            <w:numPr>
              <w:ilvl w:val="1"/>
              <w:numId w:val="1"/>
            </w:numPr>
            <w:tabs>
              <w:tab w:pos="971" w:val="left" w:leader="none"/>
              <w:tab w:pos="8646" w:val="right" w:leader="dot"/>
            </w:tabs>
            <w:spacing w:line="240" w:lineRule="auto" w:before="25" w:after="0"/>
            <w:ind w:left="971" w:right="0" w:hanging="502"/>
            <w:jc w:val="left"/>
          </w:pPr>
          <w:r>
            <w:rPr/>
            <w:t>M5Rules:</w:t>
          </w:r>
          <w:r>
            <w:rPr>
              <w:spacing w:val="-2"/>
            </w:rPr>
            <w:t> </w:t>
          </w:r>
          <w:r>
            <w:rPr/>
            <w:t>Piecewise</w:t>
          </w:r>
          <w:r>
            <w:rPr>
              <w:spacing w:val="-11"/>
            </w:rPr>
            <w:t> </w:t>
          </w:r>
          <w:r>
            <w:rPr/>
            <w:t>Linear</w:t>
          </w:r>
          <w:r>
            <w:rPr>
              <w:spacing w:val="-12"/>
            </w:rPr>
            <w:t> </w:t>
          </w:r>
          <w:r>
            <w:rPr/>
            <w:t>Models</w:t>
          </w:r>
          <w:r>
            <w:rPr>
              <w:spacing w:val="-11"/>
            </w:rPr>
            <w:t> </w:t>
          </w:r>
          <w:r>
            <w:rPr/>
            <w:t>and</w:t>
          </w:r>
          <w:r>
            <w:rPr>
              <w:spacing w:val="-12"/>
            </w:rPr>
            <w:t> </w:t>
          </w:r>
          <w:r>
            <w:rPr/>
            <w:t>Coefficient</w:t>
          </w:r>
          <w:r>
            <w:rPr>
              <w:spacing w:val="-12"/>
            </w:rPr>
            <w:t> </w:t>
          </w:r>
          <w:r>
            <w:rPr>
              <w:spacing w:val="-2"/>
            </w:rPr>
            <w:t>Interpretation</w:t>
          </w:r>
          <w:r>
            <w:rPr/>
            <w:tab/>
          </w:r>
          <w:hyperlink w:history="true" w:anchor="_bookmark81">
            <w:r>
              <w:rPr>
                <w:color w:val="8B2C18"/>
                <w:spacing w:val="-5"/>
              </w:rPr>
              <w:t>44</w:t>
            </w:r>
          </w:hyperlink>
        </w:p>
        <w:p>
          <w:pPr>
            <w:pStyle w:val="TOC2"/>
            <w:numPr>
              <w:ilvl w:val="1"/>
              <w:numId w:val="1"/>
            </w:numPr>
            <w:tabs>
              <w:tab w:pos="971" w:val="left" w:leader="none"/>
              <w:tab w:pos="8646" w:val="right" w:leader="dot"/>
            </w:tabs>
            <w:spacing w:line="240" w:lineRule="auto" w:before="25" w:after="0"/>
            <w:ind w:left="971" w:right="0" w:hanging="502"/>
            <w:jc w:val="left"/>
          </w:pPr>
          <w:r>
            <w:rPr/>
            <w:t>Cross-Algorithm</w:t>
          </w:r>
          <w:r>
            <w:rPr>
              <w:spacing w:val="-12"/>
            </w:rPr>
            <w:t> </w:t>
          </w:r>
          <w:r>
            <w:rPr/>
            <w:t>Feature</w:t>
          </w:r>
          <w:r>
            <w:rPr>
              <w:spacing w:val="-12"/>
            </w:rPr>
            <w:t> </w:t>
          </w:r>
          <w:r>
            <w:rPr>
              <w:spacing w:val="-2"/>
            </w:rPr>
            <w:t>Agreement</w:t>
          </w:r>
          <w:r>
            <w:rPr/>
            <w:tab/>
          </w:r>
          <w:hyperlink w:history="true" w:anchor="_bookmark84">
            <w:r>
              <w:rPr>
                <w:color w:val="8B2C18"/>
                <w:spacing w:val="-5"/>
              </w:rPr>
              <w:t>46</w:t>
            </w:r>
          </w:hyperlink>
        </w:p>
        <w:p>
          <w:pPr>
            <w:pStyle w:val="TOC2"/>
            <w:numPr>
              <w:ilvl w:val="1"/>
              <w:numId w:val="1"/>
            </w:numPr>
            <w:tabs>
              <w:tab w:pos="971" w:val="left" w:leader="none"/>
              <w:tab w:pos="8646" w:val="right" w:leader="dot"/>
            </w:tabs>
            <w:spacing w:line="240" w:lineRule="auto" w:before="25" w:after="0"/>
            <w:ind w:left="971" w:right="0" w:hanging="502"/>
            <w:jc w:val="left"/>
          </w:pPr>
          <w:r>
            <w:rPr/>
            <w:t>Feature</w:t>
          </w:r>
          <w:r>
            <w:rPr>
              <w:spacing w:val="-8"/>
            </w:rPr>
            <w:t> </w:t>
          </w:r>
          <w:r>
            <w:rPr/>
            <w:t>Frequency</w:t>
          </w:r>
          <w:r>
            <w:rPr>
              <w:spacing w:val="-8"/>
            </w:rPr>
            <w:t> </w:t>
          </w:r>
          <w:r>
            <w:rPr/>
            <w:t>Analysis:</w:t>
          </w:r>
          <w:r>
            <w:rPr>
              <w:spacing w:val="3"/>
            </w:rPr>
            <w:t> </w:t>
          </w:r>
          <w:r>
            <w:rPr/>
            <w:t>What</w:t>
          </w:r>
          <w:r>
            <w:rPr>
              <w:spacing w:val="-8"/>
            </w:rPr>
            <w:t> </w:t>
          </w:r>
          <w:r>
            <w:rPr/>
            <w:t>CarenR</w:t>
          </w:r>
          <w:r>
            <w:rPr>
              <w:spacing w:val="-8"/>
            </w:rPr>
            <w:t> </w:t>
          </w:r>
          <w:r>
            <w:rPr/>
            <w:t>Selects</w:t>
          </w:r>
          <w:r>
            <w:rPr>
              <w:spacing w:val="-8"/>
            </w:rPr>
            <w:t> </w:t>
          </w:r>
          <w:r>
            <w:rPr/>
            <w:t>Most</w:t>
          </w:r>
          <w:r>
            <w:rPr>
              <w:spacing w:val="-8"/>
            </w:rPr>
            <w:t> </w:t>
          </w:r>
          <w:r>
            <w:rPr>
              <w:spacing w:val="-2"/>
            </w:rPr>
            <w:t>Often</w:t>
          </w:r>
          <w:r>
            <w:rPr/>
            <w:tab/>
          </w:r>
          <w:hyperlink w:history="true" w:anchor="_bookmark86">
            <w:r>
              <w:rPr>
                <w:color w:val="8B2C18"/>
                <w:spacing w:val="-5"/>
              </w:rPr>
              <w:t>47</w:t>
            </w:r>
          </w:hyperlink>
        </w:p>
        <w:p>
          <w:pPr>
            <w:pStyle w:val="TOC6"/>
            <w:numPr>
              <w:ilvl w:val="2"/>
              <w:numId w:val="1"/>
            </w:numPr>
            <w:tabs>
              <w:tab w:pos="1669" w:val="left" w:leader="none"/>
              <w:tab w:pos="8646" w:val="right" w:leader="dot"/>
            </w:tabs>
            <w:spacing w:line="240" w:lineRule="auto" w:before="25" w:after="0"/>
            <w:ind w:left="1669" w:right="0" w:hanging="698"/>
            <w:jc w:val="left"/>
          </w:pPr>
          <w:r>
            <w:rPr/>
            <w:t>Douro</w:t>
          </w:r>
          <w:r>
            <w:rPr>
              <w:spacing w:val="-8"/>
            </w:rPr>
            <w:t> </w:t>
          </w:r>
          <w:r>
            <w:rPr/>
            <w:t>(RDD):</w:t>
          </w:r>
          <w:r>
            <w:rPr>
              <w:spacing w:val="-7"/>
            </w:rPr>
            <w:t> </w:t>
          </w:r>
          <w:r>
            <w:rPr/>
            <w:t>Feature</w:t>
          </w:r>
          <w:r>
            <w:rPr>
              <w:spacing w:val="-7"/>
            </w:rPr>
            <w:t> </w:t>
          </w:r>
          <w:r>
            <w:rPr>
              <w:spacing w:val="-2"/>
            </w:rPr>
            <w:t>Frequency</w:t>
          </w:r>
          <w:r>
            <w:rPr/>
            <w:tab/>
          </w:r>
          <w:hyperlink w:history="true" w:anchor="_bookmark87">
            <w:r>
              <w:rPr>
                <w:color w:val="8B2C18"/>
                <w:spacing w:val="-5"/>
              </w:rPr>
              <w:t>47</w:t>
            </w:r>
          </w:hyperlink>
        </w:p>
        <w:p>
          <w:pPr>
            <w:pStyle w:val="TOC6"/>
            <w:numPr>
              <w:ilvl w:val="2"/>
              <w:numId w:val="1"/>
            </w:numPr>
            <w:tabs>
              <w:tab w:pos="1661" w:val="left" w:leader="none"/>
              <w:tab w:pos="8646" w:val="right" w:leader="dot"/>
            </w:tabs>
            <w:spacing w:line="240" w:lineRule="auto" w:before="25" w:after="0"/>
            <w:ind w:left="1661" w:right="0" w:hanging="690"/>
            <w:jc w:val="left"/>
          </w:pPr>
          <w:r>
            <w:rPr>
              <w:spacing w:val="-2"/>
            </w:rPr>
            <w:t>Vinho</w:t>
          </w:r>
          <w:r>
            <w:rPr>
              <w:spacing w:val="-10"/>
            </w:rPr>
            <w:t> </w:t>
          </w:r>
          <w:r>
            <w:rPr>
              <w:spacing w:val="-2"/>
            </w:rPr>
            <w:t>Verde</w:t>
          </w:r>
          <w:r>
            <w:rPr>
              <w:spacing w:val="-10"/>
            </w:rPr>
            <w:t> </w:t>
          </w:r>
          <w:r>
            <w:rPr>
              <w:spacing w:val="-2"/>
            </w:rPr>
            <w:t>(RVV):</w:t>
          </w:r>
          <w:r>
            <w:rPr>
              <w:spacing w:val="-10"/>
            </w:rPr>
            <w:t> </w:t>
          </w:r>
          <w:r>
            <w:rPr>
              <w:spacing w:val="-2"/>
            </w:rPr>
            <w:t>Feature</w:t>
          </w:r>
          <w:r>
            <w:rPr>
              <w:spacing w:val="-10"/>
            </w:rPr>
            <w:t> </w:t>
          </w:r>
          <w:r>
            <w:rPr>
              <w:spacing w:val="-2"/>
            </w:rPr>
            <w:t>Frequency</w:t>
          </w:r>
          <w:r>
            <w:rPr/>
            <w:tab/>
          </w:r>
          <w:hyperlink w:history="true" w:anchor="_bookmark89">
            <w:r>
              <w:rPr>
                <w:color w:val="8B2C18"/>
                <w:spacing w:val="-5"/>
              </w:rPr>
              <w:t>48</w:t>
            </w:r>
          </w:hyperlink>
        </w:p>
        <w:p>
          <w:pPr>
            <w:pStyle w:val="TOC2"/>
            <w:numPr>
              <w:ilvl w:val="1"/>
              <w:numId w:val="1"/>
            </w:numPr>
            <w:tabs>
              <w:tab w:pos="971" w:val="left" w:leader="none"/>
              <w:tab w:pos="8646" w:val="right" w:leader="dot"/>
            </w:tabs>
            <w:spacing w:line="240" w:lineRule="auto" w:before="25" w:after="0"/>
            <w:ind w:left="971" w:right="0" w:hanging="502"/>
            <w:jc w:val="left"/>
          </w:pPr>
          <w:r>
            <w:rPr/>
            <w:t>Rule</w:t>
          </w:r>
          <w:r>
            <w:rPr>
              <w:spacing w:val="-7"/>
            </w:rPr>
            <w:t> </w:t>
          </w:r>
          <w:r>
            <w:rPr/>
            <w:t>Set</w:t>
          </w:r>
          <w:r>
            <w:rPr>
              <w:spacing w:val="-7"/>
            </w:rPr>
            <w:t> </w:t>
          </w:r>
          <w:r>
            <w:rPr/>
            <w:t>Overlap</w:t>
          </w:r>
          <w:r>
            <w:rPr>
              <w:spacing w:val="-6"/>
            </w:rPr>
            <w:t> </w:t>
          </w:r>
          <w:r>
            <w:rPr/>
            <w:t>and</w:t>
          </w:r>
          <w:r>
            <w:rPr>
              <w:spacing w:val="-7"/>
            </w:rPr>
            <w:t> </w:t>
          </w:r>
          <w:r>
            <w:rPr/>
            <w:t>Internal</w:t>
          </w:r>
          <w:r>
            <w:rPr>
              <w:spacing w:val="-7"/>
            </w:rPr>
            <w:t> </w:t>
          </w:r>
          <w:r>
            <w:rPr>
              <w:spacing w:val="-2"/>
            </w:rPr>
            <w:t>Coherence</w:t>
          </w:r>
          <w:r>
            <w:rPr/>
            <w:tab/>
          </w:r>
          <w:hyperlink w:history="true" w:anchor="_bookmark91">
            <w:r>
              <w:rPr>
                <w:color w:val="8B2C18"/>
                <w:spacing w:val="-5"/>
              </w:rPr>
              <w:t>49</w:t>
            </w:r>
          </w:hyperlink>
        </w:p>
        <w:p>
          <w:pPr>
            <w:pStyle w:val="TOC6"/>
            <w:numPr>
              <w:ilvl w:val="2"/>
              <w:numId w:val="1"/>
            </w:numPr>
            <w:tabs>
              <w:tab w:pos="1669" w:val="left" w:leader="none"/>
              <w:tab w:pos="8646" w:val="right" w:leader="dot"/>
            </w:tabs>
            <w:spacing w:line="240" w:lineRule="auto" w:before="25" w:after="0"/>
            <w:ind w:left="1669" w:right="0" w:hanging="698"/>
            <w:jc w:val="left"/>
          </w:pPr>
          <w:r>
            <w:rPr/>
            <w:t>Pairwise</w:t>
          </w:r>
          <w:r>
            <w:rPr>
              <w:spacing w:val="-11"/>
            </w:rPr>
            <w:t> </w:t>
          </w:r>
          <w:r>
            <w:rPr/>
            <w:t>Feature</w:t>
          </w:r>
          <w:r>
            <w:rPr>
              <w:spacing w:val="-10"/>
            </w:rPr>
            <w:t> </w:t>
          </w:r>
          <w:r>
            <w:rPr>
              <w:spacing w:val="-2"/>
            </w:rPr>
            <w:t>Overlap</w:t>
          </w:r>
          <w:r>
            <w:rPr/>
            <w:tab/>
          </w:r>
          <w:hyperlink w:history="true" w:anchor="_bookmark92">
            <w:r>
              <w:rPr>
                <w:color w:val="8B2C18"/>
                <w:spacing w:val="-5"/>
              </w:rPr>
              <w:t>49</w:t>
            </w:r>
          </w:hyperlink>
        </w:p>
        <w:p>
          <w:pPr>
            <w:pStyle w:val="TOC6"/>
            <w:numPr>
              <w:ilvl w:val="2"/>
              <w:numId w:val="1"/>
            </w:numPr>
            <w:tabs>
              <w:tab w:pos="1669" w:val="left" w:leader="none"/>
              <w:tab w:pos="8646" w:val="right" w:leader="dot"/>
            </w:tabs>
            <w:spacing w:line="240" w:lineRule="auto" w:before="25" w:after="0"/>
            <w:ind w:left="1669" w:right="0" w:hanging="698"/>
            <w:jc w:val="left"/>
          </w:pPr>
          <w:r>
            <w:rPr/>
            <w:t>Unique</w:t>
          </w:r>
          <w:r>
            <w:rPr>
              <w:spacing w:val="-7"/>
            </w:rPr>
            <w:t> </w:t>
          </w:r>
          <w:r>
            <w:rPr/>
            <w:t>vs</w:t>
          </w:r>
          <w:r>
            <w:rPr>
              <w:spacing w:val="-7"/>
            </w:rPr>
            <w:t> </w:t>
          </w:r>
          <w:r>
            <w:rPr/>
            <w:t>Redundant</w:t>
          </w:r>
          <w:r>
            <w:rPr>
              <w:spacing w:val="-7"/>
            </w:rPr>
            <w:t> </w:t>
          </w:r>
          <w:r>
            <w:rPr>
              <w:spacing w:val="-4"/>
            </w:rPr>
            <w:t>Rules</w:t>
          </w:r>
          <w:r>
            <w:rPr/>
            <w:tab/>
          </w:r>
          <w:hyperlink w:history="true" w:anchor="_bookmark93">
            <w:r>
              <w:rPr>
                <w:color w:val="8B2C18"/>
                <w:spacing w:val="-5"/>
              </w:rPr>
              <w:t>50</w:t>
            </w:r>
          </w:hyperlink>
        </w:p>
        <w:p>
          <w:pPr>
            <w:pStyle w:val="TOC2"/>
            <w:numPr>
              <w:ilvl w:val="1"/>
              <w:numId w:val="1"/>
            </w:numPr>
            <w:tabs>
              <w:tab w:pos="971" w:val="left" w:leader="none"/>
              <w:tab w:pos="8646" w:val="right" w:leader="dot"/>
            </w:tabs>
            <w:spacing w:line="240" w:lineRule="auto" w:before="25" w:after="0"/>
            <w:ind w:left="971" w:right="0" w:hanging="502"/>
            <w:jc w:val="left"/>
          </w:pPr>
          <w:r>
            <w:rPr/>
            <w:t>Summary:</w:t>
          </w:r>
          <w:r>
            <w:rPr>
              <w:spacing w:val="1"/>
            </w:rPr>
            <w:t> </w:t>
          </w:r>
          <w:r>
            <w:rPr/>
            <w:t>Rule</w:t>
          </w:r>
          <w:r>
            <w:rPr>
              <w:spacing w:val="-10"/>
            </w:rPr>
            <w:t> </w:t>
          </w:r>
          <w:r>
            <w:rPr/>
            <w:t>Discovery</w:t>
          </w:r>
          <w:r>
            <w:rPr>
              <w:spacing w:val="-10"/>
            </w:rPr>
            <w:t> </w:t>
          </w:r>
          <w:r>
            <w:rPr/>
            <w:t>Assessment</w:t>
          </w:r>
          <w:r>
            <w:rPr>
              <w:spacing w:val="-10"/>
            </w:rPr>
            <w:t> </w:t>
          </w:r>
          <w:r>
            <w:rPr/>
            <w:t>(Goal</w:t>
          </w:r>
          <w:r>
            <w:rPr>
              <w:spacing w:val="-9"/>
            </w:rPr>
            <w:t> </w:t>
          </w:r>
          <w:r>
            <w:rPr>
              <w:spacing w:val="-5"/>
            </w:rPr>
            <w:t>1)</w:t>
          </w:r>
          <w:r>
            <w:rPr/>
            <w:tab/>
          </w:r>
          <w:hyperlink w:history="true" w:anchor="_bookmark94">
            <w:r>
              <w:rPr>
                <w:color w:val="8B2C18"/>
                <w:spacing w:val="-5"/>
              </w:rPr>
              <w:t>50</w:t>
            </w:r>
          </w:hyperlink>
        </w:p>
        <w:p>
          <w:pPr>
            <w:pStyle w:val="TOC1"/>
            <w:numPr>
              <w:ilvl w:val="0"/>
              <w:numId w:val="1"/>
            </w:numPr>
            <w:tabs>
              <w:tab w:pos="469" w:val="left" w:leader="none"/>
              <w:tab w:pos="8646" w:val="right" w:leader="none"/>
            </w:tabs>
            <w:spacing w:line="240" w:lineRule="auto" w:before="248" w:after="0"/>
            <w:ind w:left="469" w:right="0" w:hanging="327"/>
            <w:jc w:val="left"/>
          </w:pPr>
          <w:r>
            <w:rPr>
              <w:spacing w:val="-2"/>
            </w:rPr>
            <w:t>Predictive</w:t>
          </w:r>
          <w:r>
            <w:rPr>
              <w:spacing w:val="-3"/>
            </w:rPr>
            <w:t> </w:t>
          </w:r>
          <w:r>
            <w:rPr>
              <w:spacing w:val="-2"/>
            </w:rPr>
            <w:t>Validation</w:t>
          </w:r>
          <w:r>
            <w:rPr>
              <w:spacing w:val="-3"/>
            </w:rPr>
            <w:t> </w:t>
          </w:r>
          <w:r>
            <w:rPr>
              <w:spacing w:val="-2"/>
            </w:rPr>
            <w:t>(Goal</w:t>
          </w:r>
          <w:r>
            <w:rPr>
              <w:spacing w:val="-3"/>
            </w:rPr>
            <w:t> </w:t>
          </w:r>
          <w:r>
            <w:rPr>
              <w:spacing w:val="-5"/>
            </w:rPr>
            <w:t>2)</w:t>
          </w:r>
          <w:r>
            <w:rPr>
              <w:b w:val="0"/>
            </w:rPr>
            <w:tab/>
          </w:r>
          <w:hyperlink w:history="true" w:anchor="_bookmark96">
            <w:r>
              <w:rPr>
                <w:color w:val="8B2C18"/>
                <w:spacing w:val="-5"/>
              </w:rPr>
              <w:t>53</w:t>
            </w:r>
          </w:hyperlink>
        </w:p>
        <w:p>
          <w:pPr>
            <w:pStyle w:val="TOC2"/>
            <w:numPr>
              <w:ilvl w:val="1"/>
              <w:numId w:val="1"/>
            </w:numPr>
            <w:tabs>
              <w:tab w:pos="963" w:val="left" w:leader="none"/>
              <w:tab w:pos="8646" w:val="right" w:leader="dot"/>
            </w:tabs>
            <w:spacing w:line="240" w:lineRule="auto" w:before="25" w:after="0"/>
            <w:ind w:left="963" w:right="0" w:hanging="494"/>
            <w:jc w:val="left"/>
          </w:pPr>
          <w:r>
            <w:rPr>
              <w:spacing w:val="-2"/>
            </w:rPr>
            <w:t>Aggregate</w:t>
          </w:r>
          <w:r>
            <w:rPr>
              <w:spacing w:val="-7"/>
            </w:rPr>
            <w:t> </w:t>
          </w:r>
          <w:r>
            <w:rPr>
              <w:spacing w:val="-2"/>
            </w:rPr>
            <w:t>Walk-Forward</w:t>
          </w:r>
          <w:r>
            <w:rPr>
              <w:spacing w:val="-7"/>
            </w:rPr>
            <w:t> </w:t>
          </w:r>
          <w:r>
            <w:rPr>
              <w:spacing w:val="-2"/>
            </w:rPr>
            <w:t>Results</w:t>
          </w:r>
          <w:r>
            <w:rPr/>
            <w:tab/>
          </w:r>
          <w:hyperlink w:history="true" w:anchor="_bookmark97">
            <w:r>
              <w:rPr>
                <w:color w:val="8B2C18"/>
                <w:spacing w:val="-5"/>
              </w:rPr>
              <w:t>53</w:t>
            </w:r>
          </w:hyperlink>
        </w:p>
        <w:p>
          <w:pPr>
            <w:pStyle w:val="TOC6"/>
            <w:numPr>
              <w:ilvl w:val="2"/>
              <w:numId w:val="1"/>
            </w:numPr>
            <w:tabs>
              <w:tab w:pos="1669" w:val="left" w:leader="none"/>
              <w:tab w:pos="8646" w:val="right" w:leader="dot"/>
            </w:tabs>
            <w:spacing w:line="240" w:lineRule="auto" w:before="25" w:after="0"/>
            <w:ind w:left="1669" w:right="0" w:hanging="698"/>
            <w:jc w:val="left"/>
          </w:pPr>
          <w:r>
            <w:rPr/>
            <w:t>Douro</w:t>
          </w:r>
          <w:r>
            <w:rPr>
              <w:spacing w:val="-7"/>
            </w:rPr>
            <w:t> </w:t>
          </w:r>
          <w:r>
            <w:rPr>
              <w:spacing w:val="-2"/>
            </w:rPr>
            <w:t>(RDD)</w:t>
          </w:r>
          <w:r>
            <w:rPr/>
            <w:tab/>
          </w:r>
          <w:hyperlink w:history="true" w:anchor="_bookmark98">
            <w:r>
              <w:rPr>
                <w:color w:val="8B2C18"/>
                <w:spacing w:val="-5"/>
              </w:rPr>
              <w:t>53</w:t>
            </w:r>
          </w:hyperlink>
        </w:p>
        <w:p>
          <w:pPr>
            <w:pStyle w:val="TOC6"/>
            <w:numPr>
              <w:ilvl w:val="2"/>
              <w:numId w:val="1"/>
            </w:numPr>
            <w:tabs>
              <w:tab w:pos="1661" w:val="left" w:leader="none"/>
              <w:tab w:pos="8646" w:val="right" w:leader="dot"/>
            </w:tabs>
            <w:spacing w:line="240" w:lineRule="auto" w:before="25" w:after="0"/>
            <w:ind w:left="1661" w:right="0" w:hanging="690"/>
            <w:jc w:val="left"/>
          </w:pPr>
          <w:r>
            <w:rPr>
              <w:spacing w:val="-4"/>
            </w:rPr>
            <w:t>Vinho</w:t>
          </w:r>
          <w:r>
            <w:rPr>
              <w:spacing w:val="-6"/>
            </w:rPr>
            <w:t> </w:t>
          </w:r>
          <w:r>
            <w:rPr>
              <w:spacing w:val="-4"/>
            </w:rPr>
            <w:t>Verde</w:t>
          </w:r>
          <w:r>
            <w:rPr>
              <w:spacing w:val="-6"/>
            </w:rPr>
            <w:t> </w:t>
          </w:r>
          <w:r>
            <w:rPr>
              <w:spacing w:val="-4"/>
            </w:rPr>
            <w:t>(RVV)</w:t>
          </w:r>
          <w:r>
            <w:rPr/>
            <w:tab/>
          </w:r>
          <w:hyperlink w:history="true" w:anchor="_bookmark99">
            <w:r>
              <w:rPr>
                <w:color w:val="8B2C18"/>
                <w:spacing w:val="-5"/>
              </w:rPr>
              <w:t>53</w:t>
            </w:r>
          </w:hyperlink>
        </w:p>
        <w:p>
          <w:pPr>
            <w:pStyle w:val="TOC2"/>
            <w:numPr>
              <w:ilvl w:val="1"/>
              <w:numId w:val="1"/>
            </w:numPr>
            <w:tabs>
              <w:tab w:pos="971" w:val="left" w:leader="none"/>
              <w:tab w:pos="8646" w:val="right" w:leader="dot"/>
            </w:tabs>
            <w:spacing w:line="240" w:lineRule="auto" w:before="25" w:after="0"/>
            <w:ind w:left="971" w:right="0" w:hanging="502"/>
            <w:jc w:val="left"/>
          </w:pPr>
          <w:r>
            <w:rPr/>
            <w:t>Era</w:t>
          </w:r>
          <w:r>
            <w:rPr>
              <w:spacing w:val="-10"/>
            </w:rPr>
            <w:t> </w:t>
          </w:r>
          <w:r>
            <w:rPr/>
            <w:t>Composition</w:t>
          </w:r>
          <w:r>
            <w:rPr>
              <w:spacing w:val="-9"/>
            </w:rPr>
            <w:t> </w:t>
          </w:r>
          <w:r>
            <w:rPr/>
            <w:t>and</w:t>
          </w:r>
          <w:r>
            <w:rPr>
              <w:spacing w:val="-9"/>
            </w:rPr>
            <w:t> </w:t>
          </w:r>
          <w:r>
            <w:rPr/>
            <w:t>Per-Scenario</w:t>
          </w:r>
          <w:r>
            <w:rPr>
              <w:spacing w:val="-10"/>
            </w:rPr>
            <w:t> </w:t>
          </w:r>
          <w:r>
            <w:rPr/>
            <w:t>Analysis</w:t>
          </w:r>
          <w:r>
            <w:rPr>
              <w:spacing w:val="-9"/>
            </w:rPr>
            <w:t> </w:t>
          </w:r>
          <w:r>
            <w:rPr>
              <w:spacing w:val="-2"/>
            </w:rPr>
            <w:t>(RDD)</w:t>
          </w:r>
          <w:r>
            <w:rPr/>
            <w:tab/>
          </w:r>
          <w:hyperlink w:history="true" w:anchor="_bookmark103">
            <w:r>
              <w:rPr>
                <w:color w:val="8B2C18"/>
                <w:spacing w:val="-5"/>
              </w:rPr>
              <w:t>55</w:t>
            </w:r>
          </w:hyperlink>
        </w:p>
        <w:p>
          <w:pPr>
            <w:pStyle w:val="TOC2"/>
            <w:numPr>
              <w:ilvl w:val="1"/>
              <w:numId w:val="1"/>
            </w:numPr>
            <w:tabs>
              <w:tab w:pos="971" w:val="left" w:leader="none"/>
              <w:tab w:pos="8646" w:val="right" w:leader="dot"/>
            </w:tabs>
            <w:spacing w:line="240" w:lineRule="auto" w:before="25" w:after="0"/>
            <w:ind w:left="971" w:right="0" w:hanging="502"/>
            <w:jc w:val="left"/>
          </w:pPr>
          <w:r>
            <w:rPr/>
            <w:t>Era</w:t>
          </w:r>
          <w:r>
            <w:rPr>
              <w:spacing w:val="-10"/>
            </w:rPr>
            <w:t> </w:t>
          </w:r>
          <w:r>
            <w:rPr/>
            <w:t>Composition</w:t>
          </w:r>
          <w:r>
            <w:rPr>
              <w:spacing w:val="-9"/>
            </w:rPr>
            <w:t> </w:t>
          </w:r>
          <w:r>
            <w:rPr/>
            <w:t>and</w:t>
          </w:r>
          <w:r>
            <w:rPr>
              <w:spacing w:val="-9"/>
            </w:rPr>
            <w:t> </w:t>
          </w:r>
          <w:r>
            <w:rPr/>
            <w:t>Per-Scenario</w:t>
          </w:r>
          <w:r>
            <w:rPr>
              <w:spacing w:val="-10"/>
            </w:rPr>
            <w:t> </w:t>
          </w:r>
          <w:r>
            <w:rPr/>
            <w:t>Analysis</w:t>
          </w:r>
          <w:r>
            <w:rPr>
              <w:spacing w:val="-9"/>
            </w:rPr>
            <w:t> </w:t>
          </w:r>
          <w:r>
            <w:rPr>
              <w:spacing w:val="-2"/>
            </w:rPr>
            <w:t>(RVV)</w:t>
          </w:r>
          <w:r>
            <w:rPr/>
            <w:tab/>
          </w:r>
          <w:hyperlink w:history="true" w:anchor="_bookmark107">
            <w:r>
              <w:rPr>
                <w:color w:val="8B2C18"/>
                <w:spacing w:val="-5"/>
              </w:rPr>
              <w:t>57</w:t>
            </w:r>
          </w:hyperlink>
        </w:p>
        <w:p>
          <w:pPr>
            <w:pStyle w:val="TOC2"/>
            <w:numPr>
              <w:ilvl w:val="1"/>
              <w:numId w:val="1"/>
            </w:numPr>
            <w:tabs>
              <w:tab w:pos="971" w:val="left" w:leader="none"/>
              <w:tab w:pos="8646" w:val="right" w:leader="dot"/>
            </w:tabs>
            <w:spacing w:line="240" w:lineRule="auto" w:before="25" w:after="0"/>
            <w:ind w:left="971" w:right="0" w:hanging="502"/>
            <w:jc w:val="left"/>
          </w:pPr>
          <w:r>
            <w:rPr/>
            <w:t>Statistical</w:t>
          </w:r>
          <w:r>
            <w:rPr>
              <w:spacing w:val="-10"/>
            </w:rPr>
            <w:t> </w:t>
          </w:r>
          <w:r>
            <w:rPr>
              <w:spacing w:val="-2"/>
            </w:rPr>
            <w:t>Tests</w:t>
          </w:r>
          <w:r>
            <w:rPr/>
            <w:tab/>
          </w:r>
          <w:hyperlink w:history="true" w:anchor="_bookmark110">
            <w:r>
              <w:rPr>
                <w:color w:val="8B2C18"/>
                <w:spacing w:val="-5"/>
              </w:rPr>
              <w:t>57</w:t>
            </w:r>
          </w:hyperlink>
        </w:p>
        <w:p>
          <w:pPr>
            <w:pStyle w:val="TOC2"/>
            <w:numPr>
              <w:ilvl w:val="1"/>
              <w:numId w:val="1"/>
            </w:numPr>
            <w:tabs>
              <w:tab w:pos="971" w:val="left" w:leader="none"/>
              <w:tab w:pos="8646" w:val="right" w:leader="dot"/>
            </w:tabs>
            <w:spacing w:line="240" w:lineRule="auto" w:before="25" w:after="0"/>
            <w:ind w:left="971" w:right="0" w:hanging="502"/>
            <w:jc w:val="left"/>
          </w:pPr>
          <w:r>
            <w:rPr/>
            <w:t>Detrend</w:t>
          </w:r>
          <w:r>
            <w:rPr>
              <w:spacing w:val="-12"/>
            </w:rPr>
            <w:t> </w:t>
          </w:r>
          <w:r>
            <w:rPr/>
            <w:t>Sensitivity</w:t>
          </w:r>
          <w:r>
            <w:rPr>
              <w:spacing w:val="-11"/>
            </w:rPr>
            <w:t> </w:t>
          </w:r>
          <w:r>
            <w:rPr/>
            <w:t>Analysis</w:t>
          </w:r>
          <w:r>
            <w:rPr>
              <w:spacing w:val="-11"/>
            </w:rPr>
            <w:t> </w:t>
          </w:r>
          <w:r>
            <w:rPr>
              <w:spacing w:val="-2"/>
            </w:rPr>
            <w:t>(LOESS)</w:t>
          </w:r>
          <w:r>
            <w:rPr/>
            <w:tab/>
          </w:r>
          <w:hyperlink w:history="true" w:anchor="_bookmark113">
            <w:r>
              <w:rPr>
                <w:color w:val="8B2C18"/>
                <w:spacing w:val="-5"/>
              </w:rPr>
              <w:t>59</w:t>
            </w:r>
          </w:hyperlink>
        </w:p>
        <w:p>
          <w:pPr>
            <w:pStyle w:val="TOC2"/>
            <w:numPr>
              <w:ilvl w:val="1"/>
              <w:numId w:val="1"/>
            </w:numPr>
            <w:tabs>
              <w:tab w:pos="971" w:val="left" w:leader="none"/>
              <w:tab w:pos="8646" w:val="right" w:leader="dot"/>
            </w:tabs>
            <w:spacing w:line="240" w:lineRule="auto" w:before="26" w:after="0"/>
            <w:ind w:left="971" w:right="0" w:hanging="502"/>
            <w:jc w:val="left"/>
          </w:pPr>
          <w:r>
            <w:rPr/>
            <w:t>Negative</w:t>
          </w:r>
          <w:r>
            <w:rPr>
              <w:spacing w:val="-14"/>
            </w:rPr>
            <w:t> </w:t>
          </w:r>
          <w:r>
            <w:rPr/>
            <w:t>Results:</w:t>
          </w:r>
          <w:r>
            <w:rPr>
              <w:spacing w:val="-4"/>
            </w:rPr>
            <w:t> </w:t>
          </w:r>
          <w:r>
            <w:rPr/>
            <w:t>Supervised</w:t>
          </w:r>
          <w:r>
            <w:rPr>
              <w:spacing w:val="-13"/>
            </w:rPr>
            <w:t> </w:t>
          </w:r>
          <w:r>
            <w:rPr>
              <w:spacing w:val="-2"/>
            </w:rPr>
            <w:t>Discretisation</w:t>
          </w:r>
          <w:r>
            <w:rPr/>
            <w:tab/>
          </w:r>
          <w:hyperlink w:history="true" w:anchor="_bookmark116">
            <w:r>
              <w:rPr>
                <w:color w:val="8B2C18"/>
                <w:spacing w:val="-5"/>
              </w:rPr>
              <w:t>59</w:t>
            </w:r>
          </w:hyperlink>
        </w:p>
        <w:p>
          <w:pPr>
            <w:pStyle w:val="TOC2"/>
            <w:numPr>
              <w:ilvl w:val="1"/>
              <w:numId w:val="1"/>
            </w:numPr>
            <w:tabs>
              <w:tab w:pos="971" w:val="left" w:leader="none"/>
              <w:tab w:pos="8646" w:val="right" w:leader="dot"/>
            </w:tabs>
            <w:spacing w:line="240" w:lineRule="auto" w:before="25" w:after="0"/>
            <w:ind w:left="971" w:right="0" w:hanging="502"/>
            <w:jc w:val="left"/>
          </w:pPr>
          <w:r>
            <w:rPr>
              <w:spacing w:val="-2"/>
            </w:rPr>
            <w:t>Summary:</w:t>
          </w:r>
          <w:r>
            <w:rPr>
              <w:spacing w:val="13"/>
            </w:rPr>
            <w:t> </w:t>
          </w:r>
          <w:r>
            <w:rPr>
              <w:spacing w:val="-2"/>
            </w:rPr>
            <w:t>Predictive</w:t>
          </w:r>
          <w:r>
            <w:rPr>
              <w:spacing w:val="1"/>
            </w:rPr>
            <w:t> </w:t>
          </w:r>
          <w:r>
            <w:rPr>
              <w:spacing w:val="-2"/>
            </w:rPr>
            <w:t>Validation</w:t>
          </w:r>
          <w:r>
            <w:rPr>
              <w:spacing w:val="1"/>
            </w:rPr>
            <w:t> </w:t>
          </w:r>
          <w:r>
            <w:rPr>
              <w:spacing w:val="-2"/>
            </w:rPr>
            <w:t>Assessment</w:t>
          </w:r>
          <w:r>
            <w:rPr/>
            <w:t> </w:t>
          </w:r>
          <w:r>
            <w:rPr>
              <w:spacing w:val="-2"/>
            </w:rPr>
            <w:t>(Goal</w:t>
          </w:r>
          <w:r>
            <w:rPr>
              <w:spacing w:val="1"/>
            </w:rPr>
            <w:t> </w:t>
          </w:r>
          <w:r>
            <w:rPr>
              <w:spacing w:val="-5"/>
            </w:rPr>
            <w:t>2)</w:t>
          </w:r>
          <w:r>
            <w:rPr/>
            <w:tab/>
          </w:r>
          <w:hyperlink w:history="true" w:anchor="_bookmark118">
            <w:r>
              <w:rPr>
                <w:color w:val="8B2C18"/>
                <w:spacing w:val="-5"/>
              </w:rPr>
              <w:t>60</w:t>
            </w:r>
          </w:hyperlink>
        </w:p>
        <w:p>
          <w:pPr>
            <w:pStyle w:val="TOC2"/>
            <w:numPr>
              <w:ilvl w:val="1"/>
              <w:numId w:val="1"/>
            </w:numPr>
            <w:tabs>
              <w:tab w:pos="971" w:val="left" w:leader="none"/>
              <w:tab w:pos="8646" w:val="right" w:leader="dot"/>
            </w:tabs>
            <w:spacing w:line="240" w:lineRule="auto" w:before="25" w:after="0"/>
            <w:ind w:left="971" w:right="0" w:hanging="502"/>
            <w:jc w:val="left"/>
          </w:pPr>
          <w:r>
            <w:rPr/>
            <w:t>Per-Scenario</w:t>
          </w:r>
          <w:r>
            <w:rPr>
              <w:spacing w:val="-11"/>
            </w:rPr>
            <w:t> </w:t>
          </w:r>
          <w:r>
            <w:rPr/>
            <w:t>MAE:</w:t>
          </w:r>
          <w:r>
            <w:rPr>
              <w:spacing w:val="-10"/>
            </w:rPr>
            <w:t> </w:t>
          </w:r>
          <w:r>
            <w:rPr/>
            <w:t>Douro</w:t>
          </w:r>
          <w:r>
            <w:rPr>
              <w:spacing w:val="-10"/>
            </w:rPr>
            <w:t> </w:t>
          </w:r>
          <w:r>
            <w:rPr>
              <w:spacing w:val="-2"/>
            </w:rPr>
            <w:t>(RDD)</w:t>
          </w:r>
          <w:r>
            <w:rPr/>
            <w:tab/>
          </w:r>
          <w:hyperlink w:history="true" w:anchor="_bookmark119">
            <w:r>
              <w:rPr>
                <w:color w:val="8B2C18"/>
                <w:spacing w:val="-5"/>
              </w:rPr>
              <w:t>60</w:t>
            </w:r>
          </w:hyperlink>
        </w:p>
        <w:p>
          <w:pPr>
            <w:pStyle w:val="TOC2"/>
            <w:numPr>
              <w:ilvl w:val="1"/>
              <w:numId w:val="1"/>
            </w:numPr>
            <w:tabs>
              <w:tab w:pos="971" w:val="left" w:leader="none"/>
              <w:tab w:pos="8646" w:val="right" w:leader="dot"/>
            </w:tabs>
            <w:spacing w:line="240" w:lineRule="auto" w:before="25" w:after="0"/>
            <w:ind w:left="971" w:right="0" w:hanging="502"/>
            <w:jc w:val="left"/>
          </w:pPr>
          <w:r>
            <w:rPr>
              <w:spacing w:val="-2"/>
            </w:rPr>
            <w:t>Per-Scenario</w:t>
          </w:r>
          <w:r>
            <w:rPr>
              <w:spacing w:val="-6"/>
            </w:rPr>
            <w:t> </w:t>
          </w:r>
          <w:r>
            <w:rPr>
              <w:spacing w:val="-2"/>
            </w:rPr>
            <w:t>MAE:</w:t>
          </w:r>
          <w:r>
            <w:rPr>
              <w:spacing w:val="-6"/>
            </w:rPr>
            <w:t> </w:t>
          </w:r>
          <w:r>
            <w:rPr>
              <w:spacing w:val="-2"/>
            </w:rPr>
            <w:t>Vinho</w:t>
          </w:r>
          <w:r>
            <w:rPr>
              <w:spacing w:val="-6"/>
            </w:rPr>
            <w:t> </w:t>
          </w:r>
          <w:r>
            <w:rPr>
              <w:spacing w:val="-2"/>
            </w:rPr>
            <w:t>Verde</w:t>
          </w:r>
          <w:r>
            <w:rPr>
              <w:spacing w:val="-6"/>
            </w:rPr>
            <w:t> </w:t>
          </w:r>
          <w:r>
            <w:rPr>
              <w:spacing w:val="-2"/>
            </w:rPr>
            <w:t>(RVV)</w:t>
          </w:r>
          <w:r>
            <w:rPr/>
            <w:tab/>
          </w:r>
          <w:hyperlink w:history="true" w:anchor="_bookmark122">
            <w:r>
              <w:rPr>
                <w:color w:val="8B2C18"/>
                <w:spacing w:val="-5"/>
              </w:rPr>
              <w:t>62</w:t>
            </w:r>
          </w:hyperlink>
        </w:p>
        <w:p>
          <w:pPr>
            <w:pStyle w:val="TOC2"/>
            <w:numPr>
              <w:ilvl w:val="1"/>
              <w:numId w:val="1"/>
            </w:numPr>
            <w:tabs>
              <w:tab w:pos="970" w:val="left" w:leader="none"/>
              <w:tab w:pos="8646" w:val="right" w:leader="dot"/>
            </w:tabs>
            <w:spacing w:line="240" w:lineRule="auto" w:before="25" w:after="0"/>
            <w:ind w:left="970" w:right="0" w:hanging="501"/>
            <w:jc w:val="left"/>
          </w:pPr>
          <w:r>
            <w:rPr/>
            <w:t>Feature</w:t>
          </w:r>
          <w:r>
            <w:rPr>
              <w:spacing w:val="-7"/>
            </w:rPr>
            <w:t> </w:t>
          </w:r>
          <w:r>
            <w:rPr/>
            <w:t>Selector</w:t>
          </w:r>
          <w:r>
            <w:rPr>
              <w:spacing w:val="-7"/>
            </w:rPr>
            <w:t> </w:t>
          </w:r>
          <w:r>
            <w:rPr/>
            <w:t>Comparison:</w:t>
          </w:r>
          <w:r>
            <w:rPr>
              <w:spacing w:val="4"/>
            </w:rPr>
            <w:t> </w:t>
          </w:r>
          <w:r>
            <w:rPr/>
            <w:t>Why</w:t>
          </w:r>
          <w:r>
            <w:rPr>
              <w:spacing w:val="-7"/>
            </w:rPr>
            <w:t> </w:t>
          </w:r>
          <w:r>
            <w:rPr/>
            <w:t>Eta2</w:t>
          </w:r>
          <w:r>
            <w:rPr>
              <w:spacing w:val="-7"/>
            </w:rPr>
            <w:t> </w:t>
          </w:r>
          <w:r>
            <w:rPr/>
            <w:t>Wins</w:t>
          </w:r>
          <w:r>
            <w:rPr>
              <w:spacing w:val="-7"/>
            </w:rPr>
            <w:t> </w:t>
          </w:r>
          <w:r>
            <w:rPr/>
            <w:t>in</w:t>
          </w:r>
          <w:r>
            <w:rPr>
              <w:spacing w:val="-7"/>
            </w:rPr>
            <w:t> </w:t>
          </w:r>
          <w:r>
            <w:rPr/>
            <w:t>RDD</w:t>
          </w:r>
          <w:r>
            <w:rPr>
              <w:spacing w:val="-7"/>
            </w:rPr>
            <w:t> </w:t>
          </w:r>
          <w:r>
            <w:rPr/>
            <w:t>and</w:t>
          </w:r>
          <w:r>
            <w:rPr>
              <w:spacing w:val="-7"/>
            </w:rPr>
            <w:t> </w:t>
          </w:r>
          <w:r>
            <w:rPr/>
            <w:t>Sup_FS</w:t>
          </w:r>
          <w:r>
            <w:rPr>
              <w:spacing w:val="-7"/>
            </w:rPr>
            <w:t> </w:t>
          </w:r>
          <w:r>
            <w:rPr/>
            <w:t>in</w:t>
          </w:r>
          <w:r>
            <w:rPr>
              <w:spacing w:val="-7"/>
            </w:rPr>
            <w:t> </w:t>
          </w:r>
          <w:r>
            <w:rPr>
              <w:spacing w:val="-5"/>
            </w:rPr>
            <w:t>RVV</w:t>
          </w:r>
          <w:r>
            <w:rPr/>
            <w:tab/>
          </w:r>
          <w:hyperlink w:history="true" w:anchor="_bookmark125">
            <w:r>
              <w:rPr>
                <w:color w:val="8B2C18"/>
                <w:spacing w:val="-5"/>
              </w:rPr>
              <w:t>65</w:t>
            </w:r>
          </w:hyperlink>
        </w:p>
        <w:p>
          <w:pPr>
            <w:pStyle w:val="TOC2"/>
            <w:numPr>
              <w:ilvl w:val="1"/>
              <w:numId w:val="1"/>
            </w:numPr>
            <w:tabs>
              <w:tab w:pos="959" w:val="left" w:leader="none"/>
              <w:tab w:pos="8646" w:val="right" w:leader="dot"/>
            </w:tabs>
            <w:spacing w:line="240" w:lineRule="auto" w:before="25" w:after="0"/>
            <w:ind w:left="959" w:right="0" w:hanging="490"/>
            <w:jc w:val="left"/>
          </w:pPr>
          <w:r>
            <w:rPr/>
            <w:t>What</w:t>
          </w:r>
          <w:r>
            <w:rPr>
              <w:spacing w:val="-9"/>
            </w:rPr>
            <w:t> </w:t>
          </w:r>
          <w:r>
            <w:rPr/>
            <w:t>Happened</w:t>
          </w:r>
          <w:r>
            <w:rPr>
              <w:spacing w:val="-9"/>
            </w:rPr>
            <w:t> </w:t>
          </w:r>
          <w:r>
            <w:rPr/>
            <w:t>in</w:t>
          </w:r>
          <w:r>
            <w:rPr>
              <w:spacing w:val="-9"/>
            </w:rPr>
            <w:t> </w:t>
          </w:r>
          <w:r>
            <w:rPr/>
            <w:t>the</w:t>
          </w:r>
          <w:r>
            <w:rPr>
              <w:spacing w:val="-9"/>
            </w:rPr>
            <w:t> </w:t>
          </w:r>
          <w:r>
            <w:rPr/>
            <w:t>Era-Balanced</w:t>
          </w:r>
          <w:r>
            <w:rPr>
              <w:spacing w:val="-8"/>
            </w:rPr>
            <w:t> </w:t>
          </w:r>
          <w:r>
            <w:rPr/>
            <w:t>Winning</w:t>
          </w:r>
          <w:r>
            <w:rPr>
              <w:spacing w:val="-9"/>
            </w:rPr>
            <w:t> </w:t>
          </w:r>
          <w:r>
            <w:rPr>
              <w:spacing w:val="-2"/>
            </w:rPr>
            <w:t>Years?</w:t>
          </w:r>
          <w:r>
            <w:rPr/>
            <w:tab/>
          </w:r>
          <w:hyperlink w:history="true" w:anchor="_bookmark127">
            <w:r>
              <w:rPr>
                <w:color w:val="8B2C18"/>
                <w:spacing w:val="-5"/>
              </w:rPr>
              <w:t>66</w:t>
            </w:r>
          </w:hyperlink>
        </w:p>
        <w:p>
          <w:pPr>
            <w:pStyle w:val="TOC2"/>
            <w:numPr>
              <w:ilvl w:val="1"/>
              <w:numId w:val="1"/>
            </w:numPr>
            <w:tabs>
              <w:tab w:pos="963" w:val="left" w:leader="none"/>
              <w:tab w:pos="8646" w:val="right" w:leader="dot"/>
            </w:tabs>
            <w:spacing w:line="240" w:lineRule="auto" w:before="25" w:after="240"/>
            <w:ind w:left="963" w:right="0" w:hanging="494"/>
            <w:jc w:val="left"/>
          </w:pPr>
          <w:r>
            <w:rPr/>
            <w:t>The</w:t>
          </w:r>
          <w:r>
            <w:rPr>
              <w:spacing w:val="-8"/>
            </w:rPr>
            <w:t> </w:t>
          </w:r>
          <w:r>
            <w:rPr/>
            <w:t>Fallback</w:t>
          </w:r>
          <w:r>
            <w:rPr>
              <w:spacing w:val="-7"/>
            </w:rPr>
            <w:t> </w:t>
          </w:r>
          <w:r>
            <w:rPr/>
            <w:t>Mechanism:</w:t>
          </w:r>
          <w:r>
            <w:rPr>
              <w:spacing w:val="4"/>
            </w:rPr>
            <w:t> </w:t>
          </w:r>
          <w:r>
            <w:rPr/>
            <w:t>When</w:t>
          </w:r>
          <w:r>
            <w:rPr>
              <w:spacing w:val="-8"/>
            </w:rPr>
            <w:t> </w:t>
          </w:r>
          <w:r>
            <w:rPr/>
            <w:t>CarenR</w:t>
          </w:r>
          <w:r>
            <w:rPr>
              <w:spacing w:val="-7"/>
            </w:rPr>
            <w:t> </w:t>
          </w:r>
          <w:r>
            <w:rPr/>
            <w:t>Says</w:t>
          </w:r>
          <w:r>
            <w:rPr>
              <w:spacing w:val="-8"/>
            </w:rPr>
            <w:t> </w:t>
          </w:r>
          <w:r>
            <w:rPr/>
            <w:t>“I</w:t>
          </w:r>
          <w:r>
            <w:rPr>
              <w:spacing w:val="-7"/>
            </w:rPr>
            <w:t> </w:t>
          </w:r>
          <w:r>
            <w:rPr/>
            <w:t>Don’t</w:t>
          </w:r>
          <w:r>
            <w:rPr>
              <w:spacing w:val="-7"/>
            </w:rPr>
            <w:t> </w:t>
          </w:r>
          <w:r>
            <w:rPr>
              <w:spacing w:val="-2"/>
            </w:rPr>
            <w:t>Know”</w:t>
          </w:r>
          <w:r>
            <w:rPr/>
            <w:tab/>
          </w:r>
          <w:hyperlink w:history="true" w:anchor="_bookmark128">
            <w:r>
              <w:rPr>
                <w:color w:val="8B2C18"/>
                <w:spacing w:val="-5"/>
              </w:rPr>
              <w:t>67</w:t>
            </w:r>
          </w:hyperlink>
        </w:p>
        <w:p>
          <w:pPr>
            <w:pStyle w:val="TOC5"/>
            <w:tabs>
              <w:tab w:pos="9104" w:val="left" w:leader="none"/>
            </w:tabs>
            <w:rPr>
              <w:rFonts w:ascii="Times New Roman"/>
              <w:i w:val="0"/>
            </w:rPr>
          </w:pPr>
          <w:r>
            <w:rPr>
              <w:i/>
              <w:spacing w:val="-2"/>
              <w:w w:val="105"/>
            </w:rPr>
            <w:t>CONTENTS</w:t>
          </w:r>
          <w:r>
            <w:rPr>
              <w:rFonts w:ascii="Times New Roman"/>
              <w:i w:val="0"/>
            </w:rPr>
            <w:tab/>
          </w:r>
          <w:r>
            <w:rPr>
              <w:rFonts w:ascii="Times New Roman"/>
              <w:i w:val="0"/>
              <w:spacing w:val="-10"/>
              <w:w w:val="105"/>
            </w:rPr>
            <w:t>v</w:t>
          </w:r>
        </w:p>
        <w:p>
          <w:pPr>
            <w:pStyle w:val="TOC4"/>
            <w:numPr>
              <w:ilvl w:val="0"/>
              <w:numId w:val="1"/>
            </w:numPr>
            <w:tabs>
              <w:tab w:pos="1036" w:val="left" w:leader="none"/>
              <w:tab w:pos="8994" w:val="left" w:leader="none"/>
            </w:tabs>
            <w:spacing w:line="240" w:lineRule="auto" w:before="545" w:after="0"/>
            <w:ind w:left="1036" w:right="0" w:hanging="327"/>
            <w:jc w:val="left"/>
          </w:pPr>
          <w:r>
            <w:rPr>
              <w:spacing w:val="-2"/>
            </w:rPr>
            <w:t>Discussion</w:t>
          </w:r>
          <w:r>
            <w:rPr>
              <w:b w:val="0"/>
            </w:rPr>
            <w:tab/>
          </w:r>
          <w:hyperlink w:history="true" w:anchor="_bookmark130">
            <w:r>
              <w:rPr>
                <w:color w:val="8B2C18"/>
                <w:spacing w:val="-5"/>
              </w:rPr>
              <w:t>69</w:t>
            </w:r>
          </w:hyperlink>
        </w:p>
        <w:p>
          <w:pPr>
            <w:pStyle w:val="TOC7"/>
            <w:numPr>
              <w:ilvl w:val="1"/>
              <w:numId w:val="1"/>
            </w:numPr>
            <w:tabs>
              <w:tab w:pos="1531" w:val="left" w:leader="none"/>
              <w:tab w:pos="8994" w:val="left" w:leader="dot"/>
            </w:tabs>
            <w:spacing w:line="240" w:lineRule="auto" w:before="28" w:after="0"/>
            <w:ind w:left="1531" w:right="0" w:hanging="495"/>
            <w:jc w:val="left"/>
          </w:pPr>
          <w:r>
            <w:rPr/>
            <w:t>The</w:t>
          </w:r>
          <w:r>
            <w:rPr>
              <w:spacing w:val="-10"/>
            </w:rPr>
            <w:t> </w:t>
          </w:r>
          <w:r>
            <w:rPr/>
            <w:t>Asymmetry</w:t>
          </w:r>
          <w:r>
            <w:rPr>
              <w:spacing w:val="-9"/>
            </w:rPr>
            <w:t> </w:t>
          </w:r>
          <w:r>
            <w:rPr/>
            <w:t>Between</w:t>
          </w:r>
          <w:r>
            <w:rPr>
              <w:spacing w:val="-10"/>
            </w:rPr>
            <w:t> </w:t>
          </w:r>
          <w:r>
            <w:rPr/>
            <w:t>Discovery</w:t>
          </w:r>
          <w:r>
            <w:rPr>
              <w:spacing w:val="-9"/>
            </w:rPr>
            <w:t> </w:t>
          </w:r>
          <w:r>
            <w:rPr/>
            <w:t>and</w:t>
          </w:r>
          <w:r>
            <w:rPr>
              <w:spacing w:val="-9"/>
            </w:rPr>
            <w:t> </w:t>
          </w:r>
          <w:r>
            <w:rPr>
              <w:spacing w:val="-2"/>
            </w:rPr>
            <w:t>Prediction</w:t>
          </w:r>
          <w:r>
            <w:rPr/>
            <w:tab/>
          </w:r>
          <w:hyperlink w:history="true" w:anchor="_bookmark131">
            <w:r>
              <w:rPr>
                <w:color w:val="8B2C18"/>
                <w:spacing w:val="-5"/>
              </w:rPr>
              <w:t>69</w:t>
            </w:r>
          </w:hyperlink>
        </w:p>
        <w:p>
          <w:pPr>
            <w:pStyle w:val="TOC7"/>
            <w:numPr>
              <w:ilvl w:val="1"/>
              <w:numId w:val="1"/>
            </w:numPr>
            <w:tabs>
              <w:tab w:pos="1531" w:val="left" w:leader="none"/>
              <w:tab w:pos="8994" w:val="left" w:leader="dot"/>
            </w:tabs>
            <w:spacing w:line="240" w:lineRule="auto" w:before="29" w:after="0"/>
            <w:ind w:left="1531" w:right="0" w:hanging="495"/>
            <w:jc w:val="left"/>
          </w:pPr>
          <w:r>
            <w:rPr>
              <w:spacing w:val="-2"/>
            </w:rPr>
            <w:t>The</w:t>
          </w:r>
          <w:r>
            <w:rPr>
              <w:spacing w:val="-6"/>
            </w:rPr>
            <w:t> </w:t>
          </w:r>
          <w:r>
            <w:rPr>
              <w:spacing w:val="-2"/>
            </w:rPr>
            <w:t>Two-Decision</w:t>
          </w:r>
          <w:r>
            <w:rPr>
              <w:spacing w:val="-5"/>
            </w:rPr>
            <w:t> </w:t>
          </w:r>
          <w:r>
            <w:rPr>
              <w:spacing w:val="-2"/>
            </w:rPr>
            <w:t>Trade-</w:t>
          </w:r>
          <w:r>
            <w:rPr>
              <w:spacing w:val="-5"/>
            </w:rPr>
            <w:t>off</w:t>
          </w:r>
          <w:r>
            <w:rPr/>
            <w:tab/>
          </w:r>
          <w:hyperlink w:history="true" w:anchor="_bookmark132">
            <w:r>
              <w:rPr>
                <w:color w:val="8B2C18"/>
                <w:spacing w:val="-5"/>
              </w:rPr>
              <w:t>70</w:t>
            </w:r>
          </w:hyperlink>
        </w:p>
        <w:p>
          <w:pPr>
            <w:pStyle w:val="TOC7"/>
            <w:numPr>
              <w:ilvl w:val="1"/>
              <w:numId w:val="1"/>
            </w:numPr>
            <w:tabs>
              <w:tab w:pos="1527" w:val="left" w:leader="none"/>
              <w:tab w:pos="8994" w:val="left" w:leader="dot"/>
            </w:tabs>
            <w:spacing w:line="240" w:lineRule="auto" w:before="29" w:after="0"/>
            <w:ind w:left="1527" w:right="0" w:hanging="491"/>
            <w:jc w:val="left"/>
          </w:pPr>
          <w:r>
            <w:rPr/>
            <w:t>Why</w:t>
          </w:r>
          <w:r>
            <w:rPr>
              <w:spacing w:val="-13"/>
            </w:rPr>
            <w:t> </w:t>
          </w:r>
          <w:r>
            <w:rPr/>
            <w:t>the</w:t>
          </w:r>
          <w:r>
            <w:rPr>
              <w:spacing w:val="-12"/>
            </w:rPr>
            <w:t> </w:t>
          </w:r>
          <w:r>
            <w:rPr/>
            <w:t>Two</w:t>
          </w:r>
          <w:r>
            <w:rPr>
              <w:spacing w:val="-12"/>
            </w:rPr>
            <w:t> </w:t>
          </w:r>
          <w:r>
            <w:rPr/>
            <w:t>Regions</w:t>
          </w:r>
          <w:r>
            <w:rPr>
              <w:spacing w:val="-13"/>
            </w:rPr>
            <w:t> </w:t>
          </w:r>
          <w:r>
            <w:rPr>
              <w:spacing w:val="-2"/>
            </w:rPr>
            <w:t>Diverge</w:t>
          </w:r>
          <w:r>
            <w:rPr/>
            <w:tab/>
          </w:r>
          <w:hyperlink w:history="true" w:anchor="_bookmark133">
            <w:r>
              <w:rPr>
                <w:color w:val="8B2C18"/>
                <w:spacing w:val="-5"/>
              </w:rPr>
              <w:t>70</w:t>
            </w:r>
          </w:hyperlink>
        </w:p>
        <w:p>
          <w:pPr>
            <w:pStyle w:val="TOC7"/>
            <w:numPr>
              <w:ilvl w:val="1"/>
              <w:numId w:val="1"/>
            </w:numPr>
            <w:tabs>
              <w:tab w:pos="1527" w:val="left" w:leader="none"/>
              <w:tab w:pos="8994" w:val="left" w:leader="dot"/>
            </w:tabs>
            <w:spacing w:line="240" w:lineRule="auto" w:before="28" w:after="0"/>
            <w:ind w:left="1527" w:right="0" w:hanging="491"/>
            <w:jc w:val="left"/>
          </w:pPr>
          <w:r>
            <w:rPr/>
            <w:t>Why</w:t>
          </w:r>
          <w:r>
            <w:rPr>
              <w:spacing w:val="-14"/>
            </w:rPr>
            <w:t> </w:t>
          </w:r>
          <w:r>
            <w:rPr/>
            <w:t>the</w:t>
          </w:r>
          <w:r>
            <w:rPr>
              <w:spacing w:val="-13"/>
            </w:rPr>
            <w:t> </w:t>
          </w:r>
          <w:r>
            <w:rPr/>
            <w:t>Walk-Forward</w:t>
          </w:r>
          <w:r>
            <w:rPr>
              <w:spacing w:val="-13"/>
            </w:rPr>
            <w:t> </w:t>
          </w:r>
          <w:r>
            <w:rPr/>
            <w:t>Metric</w:t>
          </w:r>
          <w:r>
            <w:rPr>
              <w:spacing w:val="-13"/>
            </w:rPr>
            <w:t> </w:t>
          </w:r>
          <w:r>
            <w:rPr/>
            <w:t>Penalises</w:t>
          </w:r>
          <w:r>
            <w:rPr>
              <w:spacing w:val="-13"/>
            </w:rPr>
            <w:t> </w:t>
          </w:r>
          <w:r>
            <w:rPr>
              <w:spacing w:val="-2"/>
            </w:rPr>
            <w:t>CarenR</w:t>
          </w:r>
          <w:r>
            <w:rPr/>
            <w:tab/>
          </w:r>
          <w:hyperlink w:history="true" w:anchor="_bookmark135">
            <w:r>
              <w:rPr>
                <w:color w:val="8B2C18"/>
                <w:spacing w:val="-5"/>
              </w:rPr>
              <w:t>71</w:t>
            </w:r>
          </w:hyperlink>
        </w:p>
        <w:p>
          <w:pPr>
            <w:pStyle w:val="TOC7"/>
            <w:numPr>
              <w:ilvl w:val="1"/>
              <w:numId w:val="1"/>
            </w:numPr>
            <w:tabs>
              <w:tab w:pos="1538" w:val="left" w:leader="none"/>
              <w:tab w:pos="8994" w:val="left" w:leader="dot"/>
            </w:tabs>
            <w:spacing w:line="240" w:lineRule="auto" w:before="29" w:after="0"/>
            <w:ind w:left="1538" w:right="0" w:hanging="502"/>
            <w:jc w:val="left"/>
          </w:pPr>
          <w:r>
            <w:rPr/>
            <w:t>Structural</w:t>
          </w:r>
          <w:r>
            <w:rPr>
              <w:spacing w:val="-9"/>
            </w:rPr>
            <w:t> </w:t>
          </w:r>
          <w:r>
            <w:rPr/>
            <w:t>Covariates</w:t>
          </w:r>
          <w:r>
            <w:rPr>
              <w:spacing w:val="-9"/>
            </w:rPr>
            <w:t> </w:t>
          </w:r>
          <w:r>
            <w:rPr/>
            <w:t>as</w:t>
          </w:r>
          <w:r>
            <w:rPr>
              <w:spacing w:val="-9"/>
            </w:rPr>
            <w:t> </w:t>
          </w:r>
          <w:r>
            <w:rPr/>
            <w:t>a</w:t>
          </w:r>
          <w:r>
            <w:rPr>
              <w:spacing w:val="-9"/>
            </w:rPr>
            <w:t> </w:t>
          </w:r>
          <w:r>
            <w:rPr/>
            <w:t>Path</w:t>
          </w:r>
          <w:r>
            <w:rPr>
              <w:spacing w:val="-8"/>
            </w:rPr>
            <w:t> </w:t>
          </w:r>
          <w:r>
            <w:rPr>
              <w:spacing w:val="-2"/>
            </w:rPr>
            <w:t>Forward</w:t>
          </w:r>
          <w:r>
            <w:rPr/>
            <w:tab/>
          </w:r>
          <w:hyperlink w:history="true" w:anchor="_bookmark136">
            <w:r>
              <w:rPr>
                <w:color w:val="8B2C18"/>
                <w:spacing w:val="-5"/>
              </w:rPr>
              <w:t>72</w:t>
            </w:r>
          </w:hyperlink>
        </w:p>
        <w:p>
          <w:pPr>
            <w:pStyle w:val="TOC7"/>
            <w:numPr>
              <w:ilvl w:val="1"/>
              <w:numId w:val="1"/>
            </w:numPr>
            <w:tabs>
              <w:tab w:pos="1538" w:val="left" w:leader="none"/>
              <w:tab w:pos="8994" w:val="left" w:leader="dot"/>
            </w:tabs>
            <w:spacing w:line="240" w:lineRule="auto" w:before="29" w:after="0"/>
            <w:ind w:left="1538" w:right="0" w:hanging="502"/>
            <w:jc w:val="left"/>
          </w:pPr>
          <w:r>
            <w:rPr/>
            <w:t>Relation</w:t>
          </w:r>
          <w:r>
            <w:rPr>
              <w:spacing w:val="-6"/>
            </w:rPr>
            <w:t> </w:t>
          </w:r>
          <w:r>
            <w:rPr/>
            <w:t>to</w:t>
          </w:r>
          <w:r>
            <w:rPr>
              <w:spacing w:val="-6"/>
            </w:rPr>
            <w:t> </w:t>
          </w:r>
          <w:r>
            <w:rPr/>
            <w:t>Prior</w:t>
          </w:r>
          <w:r>
            <w:rPr>
              <w:spacing w:val="-5"/>
            </w:rPr>
            <w:t> </w:t>
          </w:r>
          <w:r>
            <w:rPr>
              <w:spacing w:val="-4"/>
            </w:rPr>
            <w:t>Work</w:t>
          </w:r>
          <w:r>
            <w:rPr/>
            <w:tab/>
          </w:r>
          <w:hyperlink w:history="true" w:anchor="_bookmark137">
            <w:r>
              <w:rPr>
                <w:color w:val="8B2C18"/>
                <w:spacing w:val="-5"/>
              </w:rPr>
              <w:t>72</w:t>
            </w:r>
          </w:hyperlink>
        </w:p>
        <w:p>
          <w:pPr>
            <w:pStyle w:val="TOC7"/>
            <w:numPr>
              <w:ilvl w:val="1"/>
              <w:numId w:val="1"/>
            </w:numPr>
            <w:tabs>
              <w:tab w:pos="1538" w:val="left" w:leader="none"/>
              <w:tab w:pos="8994" w:val="left" w:leader="dot"/>
            </w:tabs>
            <w:spacing w:line="240" w:lineRule="auto" w:before="28" w:after="0"/>
            <w:ind w:left="1538" w:right="0" w:hanging="502"/>
            <w:jc w:val="left"/>
          </w:pPr>
          <w:r>
            <w:rPr/>
            <w:t>Experimental</w:t>
          </w:r>
          <w:r>
            <w:rPr>
              <w:spacing w:val="-10"/>
            </w:rPr>
            <w:t> </w:t>
          </w:r>
          <w:r>
            <w:rPr/>
            <w:t>Design</w:t>
          </w:r>
          <w:r>
            <w:rPr>
              <w:spacing w:val="-10"/>
            </w:rPr>
            <w:t> </w:t>
          </w:r>
          <w:r>
            <w:rPr/>
            <w:t>Decisions</w:t>
          </w:r>
          <w:r>
            <w:rPr>
              <w:spacing w:val="-10"/>
            </w:rPr>
            <w:t> </w:t>
          </w:r>
          <w:r>
            <w:rPr/>
            <w:t>and</w:t>
          </w:r>
          <w:r>
            <w:rPr>
              <w:spacing w:val="-10"/>
            </w:rPr>
            <w:t> </w:t>
          </w:r>
          <w:r>
            <w:rPr/>
            <w:t>Methodological</w:t>
          </w:r>
          <w:r>
            <w:rPr>
              <w:spacing w:val="-9"/>
            </w:rPr>
            <w:t> </w:t>
          </w:r>
          <w:r>
            <w:rPr>
              <w:spacing w:val="-2"/>
            </w:rPr>
            <w:t>Evolution</w:t>
          </w:r>
          <w:r>
            <w:rPr/>
            <w:tab/>
          </w:r>
          <w:hyperlink w:history="true" w:anchor="_bookmark138">
            <w:r>
              <w:rPr>
                <w:color w:val="8B2C18"/>
                <w:spacing w:val="-5"/>
              </w:rPr>
              <w:t>73</w:t>
            </w:r>
          </w:hyperlink>
        </w:p>
        <w:p>
          <w:pPr>
            <w:pStyle w:val="TOC8"/>
            <w:numPr>
              <w:ilvl w:val="2"/>
              <w:numId w:val="1"/>
            </w:numPr>
            <w:tabs>
              <w:tab w:pos="2229" w:val="left" w:leader="none"/>
              <w:tab w:pos="8994" w:val="left" w:leader="dot"/>
            </w:tabs>
            <w:spacing w:line="240" w:lineRule="auto" w:before="29" w:after="0"/>
            <w:ind w:left="2229" w:right="0" w:hanging="691"/>
            <w:jc w:val="left"/>
          </w:pPr>
          <w:r>
            <w:rPr/>
            <w:t>The</w:t>
          </w:r>
          <w:r>
            <w:rPr>
              <w:spacing w:val="-6"/>
            </w:rPr>
            <w:t> </w:t>
          </w:r>
          <w:r>
            <w:rPr/>
            <w:t>Uptrend</w:t>
          </w:r>
          <w:r>
            <w:rPr>
              <w:spacing w:val="-6"/>
            </w:rPr>
            <w:t> </w:t>
          </w:r>
          <w:r>
            <w:rPr/>
            <w:t>Problem</w:t>
          </w:r>
          <w:r>
            <w:rPr>
              <w:spacing w:val="-6"/>
            </w:rPr>
            <w:t> </w:t>
          </w:r>
          <w:r>
            <w:rPr/>
            <w:t>and</w:t>
          </w:r>
          <w:r>
            <w:rPr>
              <w:spacing w:val="-6"/>
            </w:rPr>
            <w:t> </w:t>
          </w:r>
          <w:r>
            <w:rPr/>
            <w:t>the</w:t>
          </w:r>
          <w:r>
            <w:rPr>
              <w:spacing w:val="-5"/>
            </w:rPr>
            <w:t> </w:t>
          </w:r>
          <w:r>
            <w:rPr/>
            <w:t>Decision</w:t>
          </w:r>
          <w:r>
            <w:rPr>
              <w:spacing w:val="-6"/>
            </w:rPr>
            <w:t> </w:t>
          </w:r>
          <w:r>
            <w:rPr/>
            <w:t>to</w:t>
          </w:r>
          <w:r>
            <w:rPr>
              <w:spacing w:val="-6"/>
            </w:rPr>
            <w:t> </w:t>
          </w:r>
          <w:r>
            <w:rPr>
              <w:spacing w:val="-2"/>
            </w:rPr>
            <w:t>Detrend</w:t>
          </w:r>
          <w:r>
            <w:rPr/>
            <w:tab/>
          </w:r>
          <w:hyperlink w:history="true" w:anchor="_bookmark139">
            <w:r>
              <w:rPr>
                <w:color w:val="8B2C18"/>
                <w:spacing w:val="-5"/>
              </w:rPr>
              <w:t>73</w:t>
            </w:r>
          </w:hyperlink>
        </w:p>
        <w:p>
          <w:pPr>
            <w:pStyle w:val="TOC8"/>
            <w:numPr>
              <w:ilvl w:val="2"/>
              <w:numId w:val="1"/>
            </w:numPr>
            <w:tabs>
              <w:tab w:pos="2236" w:val="left" w:leader="none"/>
              <w:tab w:pos="8994" w:val="left" w:leader="dot"/>
            </w:tabs>
            <w:spacing w:line="240" w:lineRule="auto" w:before="29" w:after="0"/>
            <w:ind w:left="2236" w:right="0" w:hanging="698"/>
            <w:jc w:val="left"/>
          </w:pPr>
          <w:r>
            <w:rPr/>
            <w:t>LOESS</w:t>
          </w:r>
          <w:r>
            <w:rPr>
              <w:spacing w:val="-7"/>
            </w:rPr>
            <w:t> </w:t>
          </w:r>
          <w:r>
            <w:rPr/>
            <w:t>Detrending:</w:t>
          </w:r>
          <w:r>
            <w:rPr>
              <w:spacing w:val="6"/>
            </w:rPr>
            <w:t> </w:t>
          </w:r>
          <w:r>
            <w:rPr/>
            <w:t>A</w:t>
          </w:r>
          <w:r>
            <w:rPr>
              <w:spacing w:val="-7"/>
            </w:rPr>
            <w:t> </w:t>
          </w:r>
          <w:r>
            <w:rPr/>
            <w:t>Promising</w:t>
          </w:r>
          <w:r>
            <w:rPr>
              <w:spacing w:val="-6"/>
            </w:rPr>
            <w:t> </w:t>
          </w:r>
          <w:r>
            <w:rPr/>
            <w:t>Idea</w:t>
          </w:r>
          <w:r>
            <w:rPr>
              <w:spacing w:val="-6"/>
            </w:rPr>
            <w:t> </w:t>
          </w:r>
          <w:r>
            <w:rPr/>
            <w:t>That</w:t>
          </w:r>
          <w:r>
            <w:rPr>
              <w:spacing w:val="-7"/>
            </w:rPr>
            <w:t> </w:t>
          </w:r>
          <w:r>
            <w:rPr/>
            <w:t>Killed</w:t>
          </w:r>
          <w:r>
            <w:rPr>
              <w:spacing w:val="-6"/>
            </w:rPr>
            <w:t> </w:t>
          </w:r>
          <w:r>
            <w:rPr/>
            <w:t>the</w:t>
          </w:r>
          <w:r>
            <w:rPr>
              <w:spacing w:val="-6"/>
            </w:rPr>
            <w:t> </w:t>
          </w:r>
          <w:r>
            <w:rPr>
              <w:spacing w:val="-2"/>
            </w:rPr>
            <w:t>Signal</w:t>
          </w:r>
          <w:r>
            <w:rPr/>
            <w:tab/>
          </w:r>
          <w:hyperlink w:history="true" w:anchor="_bookmark140">
            <w:r>
              <w:rPr>
                <w:color w:val="8B2C18"/>
                <w:spacing w:val="-5"/>
              </w:rPr>
              <w:t>73</w:t>
            </w:r>
          </w:hyperlink>
        </w:p>
        <w:p>
          <w:pPr>
            <w:pStyle w:val="TOC8"/>
            <w:numPr>
              <w:ilvl w:val="2"/>
              <w:numId w:val="1"/>
            </w:numPr>
            <w:tabs>
              <w:tab w:pos="2229" w:val="left" w:leader="none"/>
              <w:tab w:pos="8994" w:val="left" w:leader="dot"/>
            </w:tabs>
            <w:spacing w:line="240" w:lineRule="auto" w:before="28" w:after="0"/>
            <w:ind w:left="2229" w:right="0" w:hanging="691"/>
            <w:jc w:val="left"/>
          </w:pPr>
          <w:r>
            <w:rPr>
              <w:spacing w:val="-2"/>
            </w:rPr>
            <w:t>The</w:t>
          </w:r>
          <w:r>
            <w:rPr>
              <w:spacing w:val="4"/>
            </w:rPr>
            <w:t> </w:t>
          </w:r>
          <w:r>
            <w:rPr>
              <w:spacing w:val="-2"/>
            </w:rPr>
            <w:t>Classification-to-Regression</w:t>
          </w:r>
          <w:r>
            <w:rPr>
              <w:spacing w:val="5"/>
            </w:rPr>
            <w:t> </w:t>
          </w:r>
          <w:r>
            <w:rPr>
              <w:spacing w:val="-2"/>
            </w:rPr>
            <w:t>Transition</w:t>
          </w:r>
          <w:r>
            <w:rPr/>
            <w:tab/>
          </w:r>
          <w:hyperlink w:history="true" w:anchor="_bookmark141">
            <w:r>
              <w:rPr>
                <w:color w:val="8B2C18"/>
                <w:spacing w:val="-5"/>
              </w:rPr>
              <w:t>74</w:t>
            </w:r>
          </w:hyperlink>
        </w:p>
        <w:p>
          <w:pPr>
            <w:pStyle w:val="TOC8"/>
            <w:numPr>
              <w:ilvl w:val="2"/>
              <w:numId w:val="1"/>
            </w:numPr>
            <w:tabs>
              <w:tab w:pos="2236" w:val="left" w:leader="none"/>
              <w:tab w:pos="8994" w:val="left" w:leader="dot"/>
            </w:tabs>
            <w:spacing w:line="240" w:lineRule="auto" w:before="29" w:after="0"/>
            <w:ind w:left="2236" w:right="0" w:hanging="698"/>
            <w:jc w:val="left"/>
          </w:pPr>
          <w:r>
            <w:rPr/>
            <w:t>CarenR</w:t>
          </w:r>
          <w:r>
            <w:rPr>
              <w:spacing w:val="-13"/>
            </w:rPr>
            <w:t> </w:t>
          </w:r>
          <w:r>
            <w:rPr/>
            <w:t>Variant</w:t>
          </w:r>
          <w:r>
            <w:rPr>
              <w:spacing w:val="-12"/>
            </w:rPr>
            <w:t> </w:t>
          </w:r>
          <w:r>
            <w:rPr/>
            <w:t>Proliferation:</w:t>
          </w:r>
          <w:r>
            <w:rPr>
              <w:spacing w:val="-2"/>
            </w:rPr>
            <w:t> </w:t>
          </w:r>
          <w:r>
            <w:rPr/>
            <w:t>Why</w:t>
          </w:r>
          <w:r>
            <w:rPr>
              <w:spacing w:val="-12"/>
            </w:rPr>
            <w:t> </w:t>
          </w:r>
          <w:r>
            <w:rPr/>
            <w:t>11</w:t>
          </w:r>
          <w:r>
            <w:rPr>
              <w:spacing w:val="-12"/>
            </w:rPr>
            <w:t> </w:t>
          </w:r>
          <w:r>
            <w:rPr>
              <w:spacing w:val="-2"/>
            </w:rPr>
            <w:t>Variants?</w:t>
          </w:r>
          <w:r>
            <w:rPr/>
            <w:tab/>
          </w:r>
          <w:hyperlink w:history="true" w:anchor="_bookmark142">
            <w:r>
              <w:rPr>
                <w:color w:val="8B2C18"/>
                <w:spacing w:val="-5"/>
              </w:rPr>
              <w:t>75</w:t>
            </w:r>
          </w:hyperlink>
        </w:p>
        <w:p>
          <w:pPr>
            <w:pStyle w:val="TOC8"/>
            <w:numPr>
              <w:ilvl w:val="2"/>
              <w:numId w:val="1"/>
            </w:numPr>
            <w:tabs>
              <w:tab w:pos="2236" w:val="left" w:leader="none"/>
              <w:tab w:pos="8994" w:val="left" w:leader="dot"/>
            </w:tabs>
            <w:spacing w:line="240" w:lineRule="auto" w:before="29" w:after="0"/>
            <w:ind w:left="2236" w:right="0" w:hanging="698"/>
            <w:jc w:val="left"/>
          </w:pPr>
          <w:r>
            <w:rPr/>
            <w:t>Limitations</w:t>
          </w:r>
          <w:r>
            <w:rPr>
              <w:spacing w:val="-13"/>
            </w:rPr>
            <w:t> </w:t>
          </w:r>
          <w:r>
            <w:rPr/>
            <w:t>Acknowledged</w:t>
          </w:r>
          <w:r>
            <w:rPr>
              <w:spacing w:val="-13"/>
            </w:rPr>
            <w:t> </w:t>
          </w:r>
          <w:r>
            <w:rPr/>
            <w:t>During</w:t>
          </w:r>
          <w:r>
            <w:rPr>
              <w:spacing w:val="-13"/>
            </w:rPr>
            <w:t> </w:t>
          </w:r>
          <w:r>
            <w:rPr>
              <w:spacing w:val="-2"/>
            </w:rPr>
            <w:t>Development</w:t>
          </w:r>
          <w:r>
            <w:rPr/>
            <w:tab/>
          </w:r>
          <w:hyperlink w:history="true" w:anchor="_bookmark143">
            <w:r>
              <w:rPr>
                <w:color w:val="8B2C18"/>
                <w:spacing w:val="-5"/>
              </w:rPr>
              <w:t>75</w:t>
            </w:r>
          </w:hyperlink>
        </w:p>
        <w:p>
          <w:pPr>
            <w:pStyle w:val="TOC4"/>
            <w:numPr>
              <w:ilvl w:val="0"/>
              <w:numId w:val="1"/>
            </w:numPr>
            <w:tabs>
              <w:tab w:pos="1036" w:val="left" w:leader="none"/>
              <w:tab w:pos="8994" w:val="left" w:leader="none"/>
            </w:tabs>
            <w:spacing w:line="240" w:lineRule="auto" w:before="254" w:after="0"/>
            <w:ind w:left="1036" w:right="0" w:hanging="327"/>
            <w:jc w:val="left"/>
          </w:pPr>
          <w:r>
            <w:rPr>
              <w:spacing w:val="-2"/>
            </w:rPr>
            <w:t>Conclusions</w:t>
          </w:r>
          <w:r>
            <w:rPr>
              <w:b w:val="0"/>
            </w:rPr>
            <w:tab/>
          </w:r>
          <w:hyperlink w:history="true" w:anchor="_bookmark144">
            <w:r>
              <w:rPr>
                <w:color w:val="8B2C18"/>
                <w:spacing w:val="-5"/>
              </w:rPr>
              <w:t>77</w:t>
            </w:r>
          </w:hyperlink>
        </w:p>
        <w:p>
          <w:pPr>
            <w:pStyle w:val="TOC7"/>
            <w:numPr>
              <w:ilvl w:val="1"/>
              <w:numId w:val="1"/>
            </w:numPr>
            <w:tabs>
              <w:tab w:pos="1538" w:val="left" w:leader="none"/>
              <w:tab w:pos="8994" w:val="left" w:leader="dot"/>
            </w:tabs>
            <w:spacing w:line="240" w:lineRule="auto" w:before="28" w:after="0"/>
            <w:ind w:left="1538" w:right="0" w:hanging="502"/>
            <w:jc w:val="left"/>
          </w:pPr>
          <w:r>
            <w:rPr/>
            <w:t>Summary</w:t>
          </w:r>
          <w:r>
            <w:rPr>
              <w:spacing w:val="-7"/>
            </w:rPr>
            <w:t> </w:t>
          </w:r>
          <w:r>
            <w:rPr/>
            <w:t>of</w:t>
          </w:r>
          <w:r>
            <w:rPr>
              <w:spacing w:val="-6"/>
            </w:rPr>
            <w:t> </w:t>
          </w:r>
          <w:r>
            <w:rPr>
              <w:spacing w:val="-2"/>
            </w:rPr>
            <w:t>Findings</w:t>
          </w:r>
          <w:r>
            <w:rPr/>
            <w:tab/>
          </w:r>
          <w:hyperlink w:history="true" w:anchor="_bookmark145">
            <w:r>
              <w:rPr>
                <w:color w:val="8B2C18"/>
                <w:spacing w:val="-5"/>
              </w:rPr>
              <w:t>77</w:t>
            </w:r>
          </w:hyperlink>
        </w:p>
        <w:p>
          <w:pPr>
            <w:pStyle w:val="TOC7"/>
            <w:numPr>
              <w:ilvl w:val="1"/>
              <w:numId w:val="1"/>
            </w:numPr>
            <w:tabs>
              <w:tab w:pos="1538" w:val="left" w:leader="none"/>
              <w:tab w:pos="8994" w:val="left" w:leader="dot"/>
            </w:tabs>
            <w:spacing w:line="240" w:lineRule="auto" w:before="29" w:after="0"/>
            <w:ind w:left="1538" w:right="0" w:hanging="502"/>
            <w:jc w:val="left"/>
          </w:pPr>
          <w:r>
            <w:rPr>
              <w:spacing w:val="-2"/>
            </w:rPr>
            <w:t>Contributions</w:t>
          </w:r>
          <w:r>
            <w:rPr/>
            <w:tab/>
          </w:r>
          <w:hyperlink w:history="true" w:anchor="_bookmark146">
            <w:r>
              <w:rPr>
                <w:color w:val="8B2C18"/>
                <w:spacing w:val="-5"/>
              </w:rPr>
              <w:t>78</w:t>
            </w:r>
          </w:hyperlink>
        </w:p>
        <w:p>
          <w:pPr>
            <w:pStyle w:val="TOC7"/>
            <w:numPr>
              <w:ilvl w:val="1"/>
              <w:numId w:val="1"/>
            </w:numPr>
            <w:tabs>
              <w:tab w:pos="1538" w:val="left" w:leader="none"/>
              <w:tab w:pos="8994" w:val="left" w:leader="dot"/>
            </w:tabs>
            <w:spacing w:line="240" w:lineRule="auto" w:before="29" w:after="0"/>
            <w:ind w:left="1538" w:right="0" w:hanging="502"/>
            <w:jc w:val="left"/>
          </w:pPr>
          <w:r>
            <w:rPr>
              <w:spacing w:val="-2"/>
            </w:rPr>
            <w:t>Limitations</w:t>
          </w:r>
          <w:r>
            <w:rPr/>
            <w:tab/>
          </w:r>
          <w:hyperlink w:history="true" w:anchor="_bookmark147">
            <w:r>
              <w:rPr>
                <w:color w:val="8B2C18"/>
                <w:spacing w:val="-5"/>
              </w:rPr>
              <w:t>78</w:t>
            </w:r>
          </w:hyperlink>
        </w:p>
        <w:p>
          <w:pPr>
            <w:pStyle w:val="TOC7"/>
            <w:numPr>
              <w:ilvl w:val="1"/>
              <w:numId w:val="1"/>
            </w:numPr>
            <w:tabs>
              <w:tab w:pos="1538" w:val="left" w:leader="none"/>
              <w:tab w:pos="8994" w:val="left" w:leader="dot"/>
            </w:tabs>
            <w:spacing w:line="240" w:lineRule="auto" w:before="28" w:after="0"/>
            <w:ind w:left="1538" w:right="0" w:hanging="502"/>
            <w:jc w:val="left"/>
          </w:pPr>
          <w:r>
            <w:rPr/>
            <w:t>Future</w:t>
          </w:r>
          <w:r>
            <w:rPr>
              <w:spacing w:val="-7"/>
            </w:rPr>
            <w:t> </w:t>
          </w:r>
          <w:r>
            <w:rPr>
              <w:spacing w:val="-4"/>
            </w:rPr>
            <w:t>Work</w:t>
          </w:r>
          <w:r>
            <w:rPr/>
            <w:tab/>
          </w:r>
          <w:hyperlink w:history="true" w:anchor="_bookmark148">
            <w:r>
              <w:rPr>
                <w:color w:val="8B2C18"/>
                <w:spacing w:val="-5"/>
              </w:rPr>
              <w:t>79</w:t>
            </w:r>
          </w:hyperlink>
        </w:p>
        <w:p>
          <w:pPr>
            <w:pStyle w:val="TOC7"/>
            <w:numPr>
              <w:ilvl w:val="1"/>
              <w:numId w:val="1"/>
            </w:numPr>
            <w:tabs>
              <w:tab w:pos="1538" w:val="left" w:leader="none"/>
              <w:tab w:pos="8994" w:val="left" w:leader="dot"/>
            </w:tabs>
            <w:spacing w:line="240" w:lineRule="auto" w:before="29" w:after="0"/>
            <w:ind w:left="1538" w:right="0" w:hanging="502"/>
            <w:jc w:val="left"/>
          </w:pPr>
          <w:r>
            <w:rPr/>
            <w:t>Closing</w:t>
          </w:r>
          <w:r>
            <w:rPr>
              <w:spacing w:val="-8"/>
            </w:rPr>
            <w:t> </w:t>
          </w:r>
          <w:r>
            <w:rPr>
              <w:spacing w:val="-2"/>
            </w:rPr>
            <w:t>Statement</w:t>
          </w:r>
          <w:r>
            <w:rPr/>
            <w:tab/>
          </w:r>
          <w:hyperlink w:history="true" w:anchor="_bookmark149">
            <w:r>
              <w:rPr>
                <w:color w:val="8B2C18"/>
                <w:spacing w:val="-5"/>
              </w:rPr>
              <w:t>79</w:t>
            </w:r>
          </w:hyperlink>
        </w:p>
        <w:p>
          <w:pPr>
            <w:pStyle w:val="TOC4"/>
            <w:numPr>
              <w:ilvl w:val="0"/>
              <w:numId w:val="2"/>
            </w:numPr>
            <w:tabs>
              <w:tab w:pos="1035" w:val="left" w:leader="none"/>
              <w:tab w:pos="8994" w:val="left" w:leader="none"/>
            </w:tabs>
            <w:spacing w:line="240" w:lineRule="auto" w:before="254" w:after="0"/>
            <w:ind w:left="1035" w:right="0" w:hanging="326"/>
            <w:jc w:val="left"/>
          </w:pPr>
          <w:r>
            <w:rPr/>
            <w:t>Complete</w:t>
          </w:r>
          <w:r>
            <w:rPr>
              <w:spacing w:val="-8"/>
            </w:rPr>
            <w:t> </w:t>
          </w:r>
          <w:r>
            <w:rPr/>
            <w:t>Rule</w:t>
          </w:r>
          <w:r>
            <w:rPr>
              <w:spacing w:val="-8"/>
            </w:rPr>
            <w:t> </w:t>
          </w:r>
          <w:r>
            <w:rPr>
              <w:spacing w:val="-2"/>
            </w:rPr>
            <w:t>Listings</w:t>
          </w:r>
          <w:r>
            <w:rPr>
              <w:b w:val="0"/>
            </w:rPr>
            <w:tab/>
          </w:r>
          <w:hyperlink w:history="true" w:anchor="_bookmark150">
            <w:r>
              <w:rPr>
                <w:color w:val="8B2C18"/>
                <w:spacing w:val="-5"/>
              </w:rPr>
              <w:t>81</w:t>
            </w:r>
          </w:hyperlink>
        </w:p>
        <w:p>
          <w:pPr>
            <w:pStyle w:val="TOC7"/>
            <w:numPr>
              <w:ilvl w:val="1"/>
              <w:numId w:val="2"/>
            </w:numPr>
            <w:tabs>
              <w:tab w:pos="1530" w:val="left" w:leader="none"/>
              <w:tab w:pos="8994" w:val="left" w:leader="dot"/>
            </w:tabs>
            <w:spacing w:line="240" w:lineRule="auto" w:before="29" w:after="0"/>
            <w:ind w:left="1530" w:right="0" w:hanging="494"/>
            <w:jc w:val="left"/>
          </w:pPr>
          <w:r>
            <w:rPr/>
            <w:t>Top</w:t>
          </w:r>
          <w:r>
            <w:rPr>
              <w:spacing w:val="-9"/>
            </w:rPr>
            <w:t> </w:t>
          </w:r>
          <w:r>
            <w:rPr/>
            <w:t>10</w:t>
          </w:r>
          <w:r>
            <w:rPr>
              <w:spacing w:val="-9"/>
            </w:rPr>
            <w:t> </w:t>
          </w:r>
          <w:r>
            <w:rPr/>
            <w:t>CarenR</w:t>
          </w:r>
          <w:r>
            <w:rPr>
              <w:spacing w:val="-8"/>
            </w:rPr>
            <w:t> </w:t>
          </w:r>
          <w:r>
            <w:rPr/>
            <w:t>Rules</w:t>
          </w:r>
          <w:r>
            <w:rPr>
              <w:spacing w:val="-9"/>
            </w:rPr>
            <w:t> </w:t>
          </w:r>
          <w:r>
            <w:rPr/>
            <w:t>per</w:t>
          </w:r>
          <w:r>
            <w:rPr>
              <w:spacing w:val="-9"/>
            </w:rPr>
            <w:t> </w:t>
          </w:r>
          <w:r>
            <w:rPr>
              <w:spacing w:val="-2"/>
            </w:rPr>
            <w:t>Region</w:t>
          </w:r>
          <w:r>
            <w:rPr/>
            <w:tab/>
          </w:r>
          <w:hyperlink w:history="true" w:anchor="_bookmark151">
            <w:r>
              <w:rPr>
                <w:color w:val="8B2C18"/>
                <w:spacing w:val="-5"/>
              </w:rPr>
              <w:t>81</w:t>
            </w:r>
          </w:hyperlink>
        </w:p>
        <w:p>
          <w:pPr>
            <w:pStyle w:val="TOC7"/>
            <w:numPr>
              <w:ilvl w:val="1"/>
              <w:numId w:val="2"/>
            </w:numPr>
            <w:tabs>
              <w:tab w:pos="1537" w:val="left" w:leader="none"/>
              <w:tab w:pos="8994" w:val="left" w:leader="dot"/>
            </w:tabs>
            <w:spacing w:line="240" w:lineRule="auto" w:before="28" w:after="0"/>
            <w:ind w:left="1537" w:right="0" w:hanging="501"/>
            <w:jc w:val="left"/>
          </w:pPr>
          <w:r>
            <w:rPr/>
            <w:t>CarenR</w:t>
          </w:r>
          <w:r>
            <w:rPr>
              <w:spacing w:val="-7"/>
            </w:rPr>
            <w:t> </w:t>
          </w:r>
          <w:r>
            <w:rPr/>
            <w:t>—</w:t>
          </w:r>
          <w:r>
            <w:rPr>
              <w:spacing w:val="-7"/>
            </w:rPr>
            <w:t> </w:t>
          </w:r>
          <w:r>
            <w:rPr/>
            <w:t>Douro</w:t>
          </w:r>
          <w:r>
            <w:rPr>
              <w:spacing w:val="-6"/>
            </w:rPr>
            <w:t> </w:t>
          </w:r>
          <w:r>
            <w:rPr/>
            <w:t>Region</w:t>
          </w:r>
          <w:r>
            <w:rPr>
              <w:spacing w:val="-7"/>
            </w:rPr>
            <w:t> </w:t>
          </w:r>
          <w:r>
            <w:rPr/>
            <w:t>(RDD):</w:t>
          </w:r>
          <w:r>
            <w:rPr>
              <w:spacing w:val="-7"/>
            </w:rPr>
            <w:t> </w:t>
          </w:r>
          <w:r>
            <w:rPr/>
            <w:t>48</w:t>
          </w:r>
          <w:r>
            <w:rPr>
              <w:spacing w:val="-6"/>
            </w:rPr>
            <w:t> </w:t>
          </w:r>
          <w:r>
            <w:rPr>
              <w:spacing w:val="-2"/>
            </w:rPr>
            <w:t>Rules</w:t>
          </w:r>
          <w:r>
            <w:rPr/>
            <w:tab/>
          </w:r>
          <w:hyperlink w:history="true" w:anchor="_bookmark153">
            <w:r>
              <w:rPr>
                <w:color w:val="8B2C18"/>
                <w:spacing w:val="-5"/>
              </w:rPr>
              <w:t>83</w:t>
            </w:r>
          </w:hyperlink>
        </w:p>
        <w:p>
          <w:pPr>
            <w:pStyle w:val="TOC7"/>
            <w:numPr>
              <w:ilvl w:val="1"/>
              <w:numId w:val="2"/>
            </w:numPr>
            <w:tabs>
              <w:tab w:pos="1537" w:val="left" w:leader="none"/>
              <w:tab w:pos="8994" w:val="left" w:leader="dot"/>
            </w:tabs>
            <w:spacing w:line="240" w:lineRule="auto" w:before="29" w:after="0"/>
            <w:ind w:left="1537" w:right="0" w:hanging="501"/>
            <w:jc w:val="left"/>
          </w:pPr>
          <w:r>
            <w:rPr>
              <w:spacing w:val="-2"/>
            </w:rPr>
            <w:t>CarenR</w:t>
          </w:r>
          <w:r>
            <w:rPr>
              <w:spacing w:val="-6"/>
            </w:rPr>
            <w:t> </w:t>
          </w:r>
          <w:r>
            <w:rPr>
              <w:spacing w:val="-2"/>
            </w:rPr>
            <w:t>—</w:t>
          </w:r>
          <w:r>
            <w:rPr>
              <w:spacing w:val="-6"/>
            </w:rPr>
            <w:t> </w:t>
          </w:r>
          <w:r>
            <w:rPr>
              <w:spacing w:val="-2"/>
            </w:rPr>
            <w:t>Vinho</w:t>
          </w:r>
          <w:r>
            <w:rPr>
              <w:spacing w:val="-6"/>
            </w:rPr>
            <w:t> </w:t>
          </w:r>
          <w:r>
            <w:rPr>
              <w:spacing w:val="-2"/>
            </w:rPr>
            <w:t>Verde</w:t>
          </w:r>
          <w:r>
            <w:rPr>
              <w:spacing w:val="-6"/>
            </w:rPr>
            <w:t> </w:t>
          </w:r>
          <w:r>
            <w:rPr>
              <w:spacing w:val="-2"/>
            </w:rPr>
            <w:t>Region</w:t>
          </w:r>
          <w:r>
            <w:rPr>
              <w:spacing w:val="-6"/>
            </w:rPr>
            <w:t> </w:t>
          </w:r>
          <w:r>
            <w:rPr>
              <w:spacing w:val="-2"/>
            </w:rPr>
            <w:t>(RVV):</w:t>
          </w:r>
          <w:r>
            <w:rPr>
              <w:spacing w:val="-6"/>
            </w:rPr>
            <w:t> </w:t>
          </w:r>
          <w:r>
            <w:rPr>
              <w:spacing w:val="-2"/>
            </w:rPr>
            <w:t>20</w:t>
          </w:r>
          <w:r>
            <w:rPr>
              <w:spacing w:val="-6"/>
            </w:rPr>
            <w:t> </w:t>
          </w:r>
          <w:r>
            <w:rPr>
              <w:spacing w:val="-2"/>
            </w:rPr>
            <w:t>Rules</w:t>
          </w:r>
          <w:r>
            <w:rPr/>
            <w:tab/>
          </w:r>
          <w:hyperlink w:history="true" w:anchor="_bookmark155">
            <w:r>
              <w:rPr>
                <w:color w:val="8B2C18"/>
                <w:spacing w:val="-5"/>
              </w:rPr>
              <w:t>86</w:t>
            </w:r>
          </w:hyperlink>
        </w:p>
        <w:p>
          <w:pPr>
            <w:pStyle w:val="TOC7"/>
            <w:numPr>
              <w:ilvl w:val="1"/>
              <w:numId w:val="2"/>
            </w:numPr>
            <w:tabs>
              <w:tab w:pos="1537" w:val="left" w:leader="none"/>
              <w:tab w:pos="8994" w:val="left" w:leader="dot"/>
            </w:tabs>
            <w:spacing w:line="240" w:lineRule="auto" w:before="29" w:after="0"/>
            <w:ind w:left="1537" w:right="0" w:hanging="501"/>
            <w:jc w:val="left"/>
          </w:pPr>
          <w:r>
            <w:rPr/>
            <w:t>RIPPER</w:t>
          </w:r>
          <w:r>
            <w:rPr>
              <w:spacing w:val="-11"/>
            </w:rPr>
            <w:t> </w:t>
          </w:r>
          <w:r>
            <w:rPr/>
            <w:t>Classification</w:t>
          </w:r>
          <w:r>
            <w:rPr>
              <w:spacing w:val="-11"/>
            </w:rPr>
            <w:t> </w:t>
          </w:r>
          <w:r>
            <w:rPr/>
            <w:t>Rules: Both</w:t>
          </w:r>
          <w:r>
            <w:rPr>
              <w:spacing w:val="-11"/>
            </w:rPr>
            <w:t> </w:t>
          </w:r>
          <w:r>
            <w:rPr>
              <w:spacing w:val="-2"/>
            </w:rPr>
            <w:t>Regions</w:t>
          </w:r>
          <w:r>
            <w:rPr/>
            <w:tab/>
          </w:r>
          <w:hyperlink w:history="true" w:anchor="_bookmark158">
            <w:r>
              <w:rPr>
                <w:color w:val="8B2C18"/>
                <w:spacing w:val="-5"/>
              </w:rPr>
              <w:t>89</w:t>
            </w:r>
          </w:hyperlink>
        </w:p>
        <w:p>
          <w:pPr>
            <w:pStyle w:val="TOC7"/>
            <w:numPr>
              <w:ilvl w:val="1"/>
              <w:numId w:val="2"/>
            </w:numPr>
            <w:tabs>
              <w:tab w:pos="1537" w:val="left" w:leader="none"/>
              <w:tab w:pos="8994" w:val="left" w:leader="dot"/>
            </w:tabs>
            <w:spacing w:line="240" w:lineRule="auto" w:before="29" w:after="0"/>
            <w:ind w:left="1537" w:right="0" w:hanging="501"/>
            <w:jc w:val="left"/>
          </w:pPr>
          <w:r>
            <w:rPr/>
            <w:t>M5Rules</w:t>
          </w:r>
          <w:r>
            <w:rPr>
              <w:spacing w:val="-9"/>
            </w:rPr>
            <w:t> </w:t>
          </w:r>
          <w:r>
            <w:rPr/>
            <w:t>Piecewise</w:t>
          </w:r>
          <w:r>
            <w:rPr>
              <w:spacing w:val="-8"/>
            </w:rPr>
            <w:t> </w:t>
          </w:r>
          <w:r>
            <w:rPr/>
            <w:t>Linear</w:t>
          </w:r>
          <w:r>
            <w:rPr>
              <w:spacing w:val="-9"/>
            </w:rPr>
            <w:t> </w:t>
          </w:r>
          <w:r>
            <w:rPr/>
            <w:t>Rules:</w:t>
          </w:r>
          <w:r>
            <w:rPr>
              <w:spacing w:val="3"/>
            </w:rPr>
            <w:t> </w:t>
          </w:r>
          <w:r>
            <w:rPr/>
            <w:t>Both</w:t>
          </w:r>
          <w:r>
            <w:rPr>
              <w:spacing w:val="-8"/>
            </w:rPr>
            <w:t> </w:t>
          </w:r>
          <w:r>
            <w:rPr>
              <w:spacing w:val="-2"/>
            </w:rPr>
            <w:t>Regions</w:t>
          </w:r>
          <w:r>
            <w:rPr/>
            <w:tab/>
          </w:r>
          <w:hyperlink w:history="true" w:anchor="_bookmark160">
            <w:r>
              <w:rPr>
                <w:color w:val="8B2C18"/>
                <w:spacing w:val="-5"/>
              </w:rPr>
              <w:t>89</w:t>
            </w:r>
          </w:hyperlink>
        </w:p>
        <w:p>
          <w:pPr>
            <w:pStyle w:val="TOC8"/>
            <w:numPr>
              <w:ilvl w:val="2"/>
              <w:numId w:val="2"/>
            </w:numPr>
            <w:tabs>
              <w:tab w:pos="2236" w:val="left" w:leader="none"/>
              <w:tab w:pos="8994" w:val="left" w:leader="dot"/>
            </w:tabs>
            <w:spacing w:line="240" w:lineRule="auto" w:before="28" w:after="0"/>
            <w:ind w:left="2236" w:right="0" w:hanging="698"/>
            <w:jc w:val="left"/>
          </w:pPr>
          <w:r>
            <w:rPr/>
            <w:t>RDD:</w:t>
          </w:r>
          <w:r>
            <w:rPr>
              <w:spacing w:val="-5"/>
            </w:rPr>
            <w:t> </w:t>
          </w:r>
          <w:r>
            <w:rPr/>
            <w:t>2</w:t>
          </w:r>
          <w:r>
            <w:rPr>
              <w:spacing w:val="-4"/>
            </w:rPr>
            <w:t> </w:t>
          </w:r>
          <w:r>
            <w:rPr>
              <w:spacing w:val="-2"/>
            </w:rPr>
            <w:t>Rules</w:t>
          </w:r>
          <w:r>
            <w:rPr/>
            <w:tab/>
          </w:r>
          <w:hyperlink w:history="true" w:anchor="_bookmark161">
            <w:r>
              <w:rPr>
                <w:color w:val="8B2C18"/>
                <w:spacing w:val="-5"/>
              </w:rPr>
              <w:t>90</w:t>
            </w:r>
          </w:hyperlink>
        </w:p>
        <w:p>
          <w:pPr>
            <w:pStyle w:val="TOC8"/>
            <w:numPr>
              <w:ilvl w:val="2"/>
              <w:numId w:val="2"/>
            </w:numPr>
            <w:tabs>
              <w:tab w:pos="2236" w:val="left" w:leader="none"/>
              <w:tab w:pos="8994" w:val="left" w:leader="dot"/>
            </w:tabs>
            <w:spacing w:line="240" w:lineRule="auto" w:before="29" w:after="0"/>
            <w:ind w:left="2236" w:right="0" w:hanging="698"/>
            <w:jc w:val="left"/>
          </w:pPr>
          <w:r>
            <w:rPr>
              <w:spacing w:val="-6"/>
            </w:rPr>
            <w:t>RVV:</w:t>
          </w:r>
          <w:r>
            <w:rPr>
              <w:spacing w:val="-7"/>
            </w:rPr>
            <w:t> </w:t>
          </w:r>
          <w:r>
            <w:rPr>
              <w:spacing w:val="-6"/>
            </w:rPr>
            <w:t>3</w:t>
          </w:r>
          <w:r>
            <w:rPr>
              <w:spacing w:val="-7"/>
            </w:rPr>
            <w:t> </w:t>
          </w:r>
          <w:r>
            <w:rPr>
              <w:spacing w:val="-6"/>
            </w:rPr>
            <w:t>Rules</w:t>
          </w:r>
          <w:r>
            <w:rPr/>
            <w:tab/>
          </w:r>
          <w:hyperlink w:history="true" w:anchor="_bookmark162">
            <w:r>
              <w:rPr>
                <w:color w:val="8B2C18"/>
                <w:spacing w:val="-5"/>
              </w:rPr>
              <w:t>90</w:t>
            </w:r>
          </w:hyperlink>
        </w:p>
        <w:p>
          <w:pPr>
            <w:pStyle w:val="TOC4"/>
            <w:numPr>
              <w:ilvl w:val="0"/>
              <w:numId w:val="2"/>
            </w:numPr>
            <w:tabs>
              <w:tab w:pos="1035" w:val="left" w:leader="none"/>
              <w:tab w:pos="8994" w:val="left" w:leader="none"/>
            </w:tabs>
            <w:spacing w:line="240" w:lineRule="auto" w:before="254" w:after="0"/>
            <w:ind w:left="1035" w:right="0" w:hanging="326"/>
            <w:jc w:val="left"/>
          </w:pPr>
          <w:r>
            <w:rPr/>
            <w:t>Exploratory</w:t>
          </w:r>
          <w:r>
            <w:rPr>
              <w:spacing w:val="-11"/>
            </w:rPr>
            <w:t> </w:t>
          </w:r>
          <w:r>
            <w:rPr/>
            <w:t>Data</w:t>
          </w:r>
          <w:r>
            <w:rPr>
              <w:spacing w:val="-9"/>
            </w:rPr>
            <w:t> </w:t>
          </w:r>
          <w:r>
            <w:rPr>
              <w:spacing w:val="-2"/>
            </w:rPr>
            <w:t>Analysis</w:t>
          </w:r>
          <w:r>
            <w:rPr>
              <w:b w:val="0"/>
            </w:rPr>
            <w:tab/>
          </w:r>
          <w:hyperlink w:history="true" w:anchor="_bookmark163">
            <w:r>
              <w:rPr>
                <w:color w:val="8B2C18"/>
                <w:spacing w:val="-5"/>
              </w:rPr>
              <w:t>91</w:t>
            </w:r>
          </w:hyperlink>
        </w:p>
        <w:p>
          <w:pPr>
            <w:pStyle w:val="TOC7"/>
            <w:numPr>
              <w:ilvl w:val="1"/>
              <w:numId w:val="2"/>
            </w:numPr>
            <w:tabs>
              <w:tab w:pos="1527" w:val="left" w:leader="none"/>
              <w:tab w:pos="8994" w:val="left" w:leader="dot"/>
            </w:tabs>
            <w:spacing w:line="240" w:lineRule="auto" w:before="29" w:after="0"/>
            <w:ind w:left="1527" w:right="0" w:hanging="491"/>
            <w:jc w:val="left"/>
          </w:pPr>
          <w:r>
            <w:rPr/>
            <w:t>Wine</w:t>
          </w:r>
          <w:r>
            <w:rPr>
              <w:spacing w:val="-12"/>
            </w:rPr>
            <w:t> </w:t>
          </w:r>
          <w:r>
            <w:rPr/>
            <w:t>Production:</w:t>
          </w:r>
          <w:r>
            <w:rPr>
              <w:spacing w:val="-1"/>
            </w:rPr>
            <w:t> </w:t>
          </w:r>
          <w:r>
            <w:rPr/>
            <w:t>Descriptive</w:t>
          </w:r>
          <w:r>
            <w:rPr>
              <w:spacing w:val="-12"/>
            </w:rPr>
            <w:t> </w:t>
          </w:r>
          <w:r>
            <w:rPr/>
            <w:t>Statistics</w:t>
          </w:r>
          <w:r>
            <w:rPr>
              <w:spacing w:val="-11"/>
            </w:rPr>
            <w:t> </w:t>
          </w:r>
          <w:r>
            <w:rPr/>
            <w:t>and</w:t>
          </w:r>
          <w:r>
            <w:rPr>
              <w:spacing w:val="-12"/>
            </w:rPr>
            <w:t> </w:t>
          </w:r>
          <w:r>
            <w:rPr>
              <w:spacing w:val="-2"/>
            </w:rPr>
            <w:t>Trends</w:t>
          </w:r>
          <w:r>
            <w:rPr/>
            <w:tab/>
          </w:r>
          <w:hyperlink w:history="true" w:anchor="_bookmark164">
            <w:r>
              <w:rPr>
                <w:color w:val="8B2C18"/>
                <w:spacing w:val="-5"/>
              </w:rPr>
              <w:t>91</w:t>
            </w:r>
          </w:hyperlink>
        </w:p>
        <w:p>
          <w:pPr>
            <w:pStyle w:val="TOC8"/>
            <w:numPr>
              <w:ilvl w:val="2"/>
              <w:numId w:val="2"/>
            </w:numPr>
            <w:tabs>
              <w:tab w:pos="2236" w:val="left" w:leader="none"/>
              <w:tab w:pos="8994" w:val="left" w:leader="dot"/>
            </w:tabs>
            <w:spacing w:line="240" w:lineRule="auto" w:before="28" w:after="0"/>
            <w:ind w:left="2236" w:right="0" w:hanging="698"/>
            <w:jc w:val="left"/>
          </w:pPr>
          <w:r>
            <w:rPr>
              <w:spacing w:val="-2"/>
            </w:rPr>
            <w:t>Decade-Level</w:t>
          </w:r>
          <w:r>
            <w:rPr>
              <w:spacing w:val="5"/>
            </w:rPr>
            <w:t> </w:t>
          </w:r>
          <w:r>
            <w:rPr>
              <w:spacing w:val="-2"/>
            </w:rPr>
            <w:t>Production</w:t>
          </w:r>
          <w:r>
            <w:rPr>
              <w:spacing w:val="5"/>
            </w:rPr>
            <w:t> </w:t>
          </w:r>
          <w:r>
            <w:rPr>
              <w:spacing w:val="-2"/>
            </w:rPr>
            <w:t>Averages</w:t>
          </w:r>
          <w:r>
            <w:rPr/>
            <w:tab/>
          </w:r>
          <w:hyperlink w:history="true" w:anchor="_bookmark166">
            <w:r>
              <w:rPr>
                <w:color w:val="8B2C18"/>
                <w:spacing w:val="-5"/>
              </w:rPr>
              <w:t>92</w:t>
            </w:r>
          </w:hyperlink>
        </w:p>
        <w:p>
          <w:pPr>
            <w:pStyle w:val="TOC7"/>
            <w:numPr>
              <w:ilvl w:val="1"/>
              <w:numId w:val="2"/>
            </w:numPr>
            <w:tabs>
              <w:tab w:pos="1537" w:val="left" w:leader="none"/>
              <w:tab w:pos="8994" w:val="left" w:leader="dot"/>
            </w:tabs>
            <w:spacing w:line="240" w:lineRule="auto" w:before="29" w:after="0"/>
            <w:ind w:left="1537" w:right="0" w:hanging="501"/>
            <w:jc w:val="left"/>
          </w:pPr>
          <w:r>
            <w:rPr/>
            <w:t>Phenological</w:t>
          </w:r>
          <w:r>
            <w:rPr>
              <w:spacing w:val="-12"/>
            </w:rPr>
            <w:t> </w:t>
          </w:r>
          <w:r>
            <w:rPr/>
            <w:t>Timing:</w:t>
          </w:r>
          <w:r>
            <w:rPr>
              <w:spacing w:val="-1"/>
            </w:rPr>
            <w:t> </w:t>
          </w:r>
          <w:r>
            <w:rPr/>
            <w:t>Trends</w:t>
          </w:r>
          <w:r>
            <w:rPr>
              <w:spacing w:val="-11"/>
            </w:rPr>
            <w:t> </w:t>
          </w:r>
          <w:r>
            <w:rPr/>
            <w:t>and</w:t>
          </w:r>
          <w:r>
            <w:rPr>
              <w:spacing w:val="-11"/>
            </w:rPr>
            <w:t> </w:t>
          </w:r>
          <w:r>
            <w:rPr>
              <w:spacing w:val="-2"/>
            </w:rPr>
            <w:t>Variability</w:t>
          </w:r>
          <w:r>
            <w:rPr/>
            <w:tab/>
          </w:r>
          <w:hyperlink w:history="true" w:anchor="_bookmark168">
            <w:r>
              <w:rPr>
                <w:color w:val="8B2C18"/>
                <w:spacing w:val="-5"/>
              </w:rPr>
              <w:t>92</w:t>
            </w:r>
          </w:hyperlink>
        </w:p>
        <w:p>
          <w:pPr>
            <w:pStyle w:val="TOC8"/>
            <w:numPr>
              <w:ilvl w:val="2"/>
              <w:numId w:val="2"/>
            </w:numPr>
            <w:tabs>
              <w:tab w:pos="2236" w:val="left" w:leader="none"/>
              <w:tab w:pos="8994" w:val="left" w:leader="dot"/>
            </w:tabs>
            <w:spacing w:line="240" w:lineRule="auto" w:before="29" w:after="0"/>
            <w:ind w:left="2236" w:right="0" w:hanging="698"/>
            <w:jc w:val="left"/>
          </w:pPr>
          <w:r>
            <w:rPr/>
            <w:t>Growing</w:t>
          </w:r>
          <w:r>
            <w:rPr>
              <w:spacing w:val="-12"/>
            </w:rPr>
            <w:t> </w:t>
          </w:r>
          <w:r>
            <w:rPr/>
            <w:t>Season</w:t>
          </w:r>
          <w:r>
            <w:rPr>
              <w:spacing w:val="-11"/>
            </w:rPr>
            <w:t> </w:t>
          </w:r>
          <w:r>
            <w:rPr>
              <w:spacing w:val="-2"/>
            </w:rPr>
            <w:t>Duration</w:t>
          </w:r>
          <w:r>
            <w:rPr/>
            <w:tab/>
          </w:r>
          <w:hyperlink w:history="true" w:anchor="_bookmark170">
            <w:r>
              <w:rPr>
                <w:color w:val="8B2C18"/>
                <w:spacing w:val="-5"/>
              </w:rPr>
              <w:t>93</w:t>
            </w:r>
          </w:hyperlink>
        </w:p>
        <w:p>
          <w:pPr>
            <w:pStyle w:val="TOC7"/>
            <w:numPr>
              <w:ilvl w:val="1"/>
              <w:numId w:val="2"/>
            </w:numPr>
            <w:tabs>
              <w:tab w:pos="1537" w:val="left" w:leader="none"/>
              <w:tab w:pos="8994" w:val="left" w:leader="dot"/>
            </w:tabs>
            <w:spacing w:line="240" w:lineRule="auto" w:before="28" w:after="0"/>
            <w:ind w:left="1537" w:right="0" w:hanging="501"/>
            <w:jc w:val="left"/>
          </w:pPr>
          <w:r>
            <w:rPr/>
            <w:t>Feature</w:t>
          </w:r>
          <w:r>
            <w:rPr>
              <w:spacing w:val="-9"/>
            </w:rPr>
            <w:t> </w:t>
          </w:r>
          <w:r>
            <w:rPr/>
            <w:t>Correlations</w:t>
          </w:r>
          <w:r>
            <w:rPr>
              <w:spacing w:val="-8"/>
            </w:rPr>
            <w:t> </w:t>
          </w:r>
          <w:r>
            <w:rPr/>
            <w:t>with</w:t>
          </w:r>
          <w:r>
            <w:rPr>
              <w:spacing w:val="-8"/>
            </w:rPr>
            <w:t> </w:t>
          </w:r>
          <w:r>
            <w:rPr>
              <w:spacing w:val="-2"/>
            </w:rPr>
            <w:t>Production</w:t>
          </w:r>
          <w:r>
            <w:rPr/>
            <w:tab/>
          </w:r>
          <w:hyperlink w:history="true" w:anchor="_bookmark172">
            <w:r>
              <w:rPr>
                <w:color w:val="8B2C18"/>
                <w:spacing w:val="-5"/>
              </w:rPr>
              <w:t>94</w:t>
            </w:r>
          </w:hyperlink>
        </w:p>
        <w:p>
          <w:pPr>
            <w:pStyle w:val="TOC7"/>
            <w:numPr>
              <w:ilvl w:val="1"/>
              <w:numId w:val="2"/>
            </w:numPr>
            <w:tabs>
              <w:tab w:pos="1537" w:val="left" w:leader="none"/>
              <w:tab w:pos="8994" w:val="left" w:leader="dot"/>
            </w:tabs>
            <w:spacing w:line="240" w:lineRule="auto" w:before="29" w:after="0"/>
            <w:ind w:left="1537" w:right="0" w:hanging="501"/>
            <w:jc w:val="left"/>
          </w:pPr>
          <w:r>
            <w:rPr/>
            <w:t>Feature</w:t>
          </w:r>
          <w:r>
            <w:rPr>
              <w:spacing w:val="-7"/>
            </w:rPr>
            <w:t> </w:t>
          </w:r>
          <w:r>
            <w:rPr/>
            <w:t>Drift:</w:t>
          </w:r>
          <w:r>
            <w:rPr>
              <w:spacing w:val="6"/>
            </w:rPr>
            <w:t> </w:t>
          </w:r>
          <w:r>
            <w:rPr/>
            <w:t>The</w:t>
          </w:r>
          <w:r>
            <w:rPr>
              <w:spacing w:val="-6"/>
            </w:rPr>
            <w:t> </w:t>
          </w:r>
          <w:r>
            <w:rPr/>
            <w:t>Era</w:t>
          </w:r>
          <w:r>
            <w:rPr>
              <w:spacing w:val="-6"/>
            </w:rPr>
            <w:t> </w:t>
          </w:r>
          <w:r>
            <w:rPr/>
            <w:t>Confound</w:t>
          </w:r>
          <w:r>
            <w:rPr>
              <w:spacing w:val="-6"/>
            </w:rPr>
            <w:t> </w:t>
          </w:r>
          <w:r>
            <w:rPr>
              <w:spacing w:val="-2"/>
            </w:rPr>
            <w:t>Quantified</w:t>
          </w:r>
          <w:r>
            <w:rPr/>
            <w:tab/>
          </w:r>
          <w:hyperlink w:history="true" w:anchor="_bookmark173">
            <w:r>
              <w:rPr>
                <w:color w:val="8B2C18"/>
                <w:spacing w:val="-5"/>
              </w:rPr>
              <w:t>94</w:t>
            </w:r>
          </w:hyperlink>
        </w:p>
        <w:p>
          <w:pPr>
            <w:pStyle w:val="TOC7"/>
            <w:numPr>
              <w:ilvl w:val="1"/>
              <w:numId w:val="2"/>
            </w:numPr>
            <w:tabs>
              <w:tab w:pos="1537" w:val="left" w:leader="none"/>
              <w:tab w:pos="8994" w:val="left" w:leader="dot"/>
            </w:tabs>
            <w:spacing w:line="240" w:lineRule="auto" w:before="29" w:after="0"/>
            <w:ind w:left="1537" w:right="0" w:hanging="501"/>
            <w:jc w:val="left"/>
          </w:pPr>
          <w:r>
            <w:rPr/>
            <w:t>Experiment</w:t>
          </w:r>
          <w:r>
            <w:rPr>
              <w:spacing w:val="-12"/>
            </w:rPr>
            <w:t> </w:t>
          </w:r>
          <w:r>
            <w:rPr>
              <w:spacing w:val="-2"/>
            </w:rPr>
            <w:t>Pipeline</w:t>
          </w:r>
          <w:r>
            <w:rPr/>
            <w:tab/>
          </w:r>
          <w:hyperlink w:history="true" w:anchor="_bookmark176">
            <w:r>
              <w:rPr>
                <w:color w:val="8B2C18"/>
                <w:spacing w:val="-5"/>
              </w:rPr>
              <w:t>96</w:t>
            </w:r>
          </w:hyperlink>
        </w:p>
        <w:p>
          <w:pPr>
            <w:pStyle w:val="TOC4"/>
            <w:numPr>
              <w:ilvl w:val="0"/>
              <w:numId w:val="2"/>
            </w:numPr>
            <w:tabs>
              <w:tab w:pos="1035" w:val="left" w:leader="none"/>
              <w:tab w:pos="8994" w:val="left" w:leader="none"/>
            </w:tabs>
            <w:spacing w:line="240" w:lineRule="auto" w:before="254" w:after="0"/>
            <w:ind w:left="1035" w:right="0" w:hanging="326"/>
            <w:jc w:val="left"/>
          </w:pPr>
          <w:r>
            <w:rPr>
              <w:spacing w:val="-2"/>
            </w:rPr>
            <w:t>Complete</w:t>
          </w:r>
          <w:r>
            <w:rPr/>
            <w:t> </w:t>
          </w:r>
          <w:r>
            <w:rPr>
              <w:spacing w:val="-2"/>
            </w:rPr>
            <w:t>Feature</w:t>
          </w:r>
          <w:r>
            <w:rPr>
              <w:spacing w:val="1"/>
            </w:rPr>
            <w:t> </w:t>
          </w:r>
          <w:r>
            <w:rPr>
              <w:spacing w:val="-2"/>
            </w:rPr>
            <w:t>Reference</w:t>
          </w:r>
          <w:r>
            <w:rPr>
              <w:b w:val="0"/>
            </w:rPr>
            <w:tab/>
          </w:r>
          <w:hyperlink w:history="true" w:anchor="_bookmark180">
            <w:r>
              <w:rPr>
                <w:color w:val="8B2C18"/>
                <w:spacing w:val="-5"/>
              </w:rPr>
              <w:t>99</w:t>
            </w:r>
          </w:hyperlink>
        </w:p>
        <w:p>
          <w:pPr>
            <w:pStyle w:val="TOC7"/>
            <w:numPr>
              <w:ilvl w:val="1"/>
              <w:numId w:val="2"/>
            </w:numPr>
            <w:tabs>
              <w:tab w:pos="1530" w:val="left" w:leader="none"/>
              <w:tab w:pos="8994" w:val="left" w:leader="dot"/>
            </w:tabs>
            <w:spacing w:line="240" w:lineRule="auto" w:before="28" w:after="0"/>
            <w:ind w:left="1530" w:right="0" w:hanging="494"/>
            <w:jc w:val="left"/>
          </w:pPr>
          <w:r>
            <w:rPr/>
            <w:t>Temperature</w:t>
          </w:r>
          <w:r>
            <w:rPr>
              <w:spacing w:val="-14"/>
            </w:rPr>
            <w:t> </w:t>
          </w:r>
          <w:r>
            <w:rPr/>
            <w:t>Features</w:t>
          </w:r>
          <w:r>
            <w:rPr>
              <w:spacing w:val="-14"/>
            </w:rPr>
            <w:t> </w:t>
          </w:r>
          <w:r>
            <w:rPr/>
            <w:t>(13</w:t>
          </w:r>
          <w:r>
            <w:rPr>
              <w:spacing w:val="-13"/>
            </w:rPr>
            <w:t> </w:t>
          </w:r>
          <w:r>
            <w:rPr>
              <w:spacing w:val="-2"/>
            </w:rPr>
            <w:t>features)</w:t>
          </w:r>
          <w:r>
            <w:rPr/>
            <w:tab/>
          </w:r>
          <w:hyperlink w:history="true" w:anchor="_bookmark181">
            <w:r>
              <w:rPr>
                <w:color w:val="8B2C18"/>
                <w:spacing w:val="-5"/>
              </w:rPr>
              <w:t>99</w:t>
            </w:r>
          </w:hyperlink>
        </w:p>
        <w:p>
          <w:pPr>
            <w:pStyle w:val="TOC7"/>
            <w:numPr>
              <w:ilvl w:val="1"/>
              <w:numId w:val="2"/>
            </w:numPr>
            <w:tabs>
              <w:tab w:pos="1537" w:val="left" w:leader="none"/>
              <w:tab w:pos="8885" w:val="left" w:leader="dot"/>
            </w:tabs>
            <w:spacing w:line="240" w:lineRule="auto" w:before="29" w:after="0"/>
            <w:ind w:left="1537" w:right="0" w:hanging="501"/>
            <w:jc w:val="left"/>
          </w:pPr>
          <w:r>
            <w:rPr/>
            <w:t>Cold</w:t>
          </w:r>
          <w:r>
            <w:rPr>
              <w:spacing w:val="-6"/>
            </w:rPr>
            <w:t> </w:t>
          </w:r>
          <w:r>
            <w:rPr/>
            <w:t>and</w:t>
          </w:r>
          <w:r>
            <w:rPr>
              <w:spacing w:val="-5"/>
            </w:rPr>
            <w:t> </w:t>
          </w:r>
          <w:r>
            <w:rPr/>
            <w:t>Frost</w:t>
          </w:r>
          <w:r>
            <w:rPr>
              <w:spacing w:val="-5"/>
            </w:rPr>
            <w:t> </w:t>
          </w:r>
          <w:r>
            <w:rPr/>
            <w:t>Day</w:t>
          </w:r>
          <w:r>
            <w:rPr>
              <w:spacing w:val="-5"/>
            </w:rPr>
            <w:t> </w:t>
          </w:r>
          <w:r>
            <w:rPr/>
            <w:t>Features</w:t>
          </w:r>
          <w:r>
            <w:rPr>
              <w:spacing w:val="-5"/>
            </w:rPr>
            <w:t> </w:t>
          </w:r>
          <w:r>
            <w:rPr/>
            <w:t>(5</w:t>
          </w:r>
          <w:r>
            <w:rPr>
              <w:spacing w:val="-5"/>
            </w:rPr>
            <w:t> </w:t>
          </w:r>
          <w:r>
            <w:rPr>
              <w:spacing w:val="-2"/>
            </w:rPr>
            <w:t>features)</w:t>
          </w:r>
          <w:r>
            <w:rPr/>
            <w:tab/>
          </w:r>
          <w:hyperlink w:history="true" w:anchor="_bookmark183">
            <w:r>
              <w:rPr>
                <w:color w:val="8B2C18"/>
                <w:spacing w:val="-5"/>
              </w:rPr>
              <w:t>100</w:t>
            </w:r>
          </w:hyperlink>
        </w:p>
        <w:p>
          <w:pPr>
            <w:pStyle w:val="TOC7"/>
            <w:numPr>
              <w:ilvl w:val="1"/>
              <w:numId w:val="2"/>
            </w:numPr>
            <w:tabs>
              <w:tab w:pos="1537" w:val="left" w:leader="none"/>
              <w:tab w:pos="8885" w:val="left" w:leader="dot"/>
            </w:tabs>
            <w:spacing w:line="240" w:lineRule="auto" w:before="29" w:after="0"/>
            <w:ind w:left="1537" w:right="0" w:hanging="501"/>
            <w:jc w:val="left"/>
          </w:pPr>
          <w:r>
            <w:rPr/>
            <w:t>Heat</w:t>
          </w:r>
          <w:r>
            <w:rPr>
              <w:spacing w:val="-6"/>
            </w:rPr>
            <w:t> </w:t>
          </w:r>
          <w:r>
            <w:rPr/>
            <w:t>Stress</w:t>
          </w:r>
          <w:r>
            <w:rPr>
              <w:spacing w:val="-5"/>
            </w:rPr>
            <w:t> </w:t>
          </w:r>
          <w:r>
            <w:rPr/>
            <w:t>Day</w:t>
          </w:r>
          <w:r>
            <w:rPr>
              <w:spacing w:val="-6"/>
            </w:rPr>
            <w:t> </w:t>
          </w:r>
          <w:r>
            <w:rPr/>
            <w:t>Features</w:t>
          </w:r>
          <w:r>
            <w:rPr>
              <w:spacing w:val="-5"/>
            </w:rPr>
            <w:t> </w:t>
          </w:r>
          <w:r>
            <w:rPr/>
            <w:t>(4</w:t>
          </w:r>
          <w:r>
            <w:rPr>
              <w:spacing w:val="-6"/>
            </w:rPr>
            <w:t> </w:t>
          </w:r>
          <w:r>
            <w:rPr>
              <w:spacing w:val="-2"/>
            </w:rPr>
            <w:t>features)</w:t>
          </w:r>
          <w:r>
            <w:rPr/>
            <w:tab/>
          </w:r>
          <w:hyperlink w:history="true" w:anchor="_bookmark184">
            <w:r>
              <w:rPr>
                <w:color w:val="8B2C18"/>
                <w:spacing w:val="-5"/>
              </w:rPr>
              <w:t>100</w:t>
            </w:r>
          </w:hyperlink>
        </w:p>
        <w:p>
          <w:pPr>
            <w:pStyle w:val="TOC7"/>
            <w:numPr>
              <w:ilvl w:val="1"/>
              <w:numId w:val="2"/>
            </w:numPr>
            <w:tabs>
              <w:tab w:pos="1537" w:val="left" w:leader="none"/>
              <w:tab w:pos="8885" w:val="left" w:leader="dot"/>
            </w:tabs>
            <w:spacing w:line="240" w:lineRule="auto" w:before="28" w:after="0"/>
            <w:ind w:left="1537" w:right="0" w:hanging="501"/>
            <w:jc w:val="left"/>
          </w:pPr>
          <w:r>
            <w:rPr/>
            <w:t>Rainfall</w:t>
          </w:r>
          <w:r>
            <w:rPr>
              <w:spacing w:val="-8"/>
            </w:rPr>
            <w:t> </w:t>
          </w:r>
          <w:r>
            <w:rPr/>
            <w:t>Features</w:t>
          </w:r>
          <w:r>
            <w:rPr>
              <w:spacing w:val="-7"/>
            </w:rPr>
            <w:t> </w:t>
          </w:r>
          <w:r>
            <w:rPr/>
            <w:t>(8</w:t>
          </w:r>
          <w:r>
            <w:rPr>
              <w:spacing w:val="-8"/>
            </w:rPr>
            <w:t> </w:t>
          </w:r>
          <w:r>
            <w:rPr>
              <w:spacing w:val="-2"/>
            </w:rPr>
            <w:t>features)</w:t>
          </w:r>
          <w:r>
            <w:rPr/>
            <w:tab/>
          </w:r>
          <w:hyperlink w:history="true" w:anchor="_bookmark185">
            <w:r>
              <w:rPr>
                <w:color w:val="8B2C18"/>
                <w:spacing w:val="-5"/>
              </w:rPr>
              <w:t>100</w:t>
            </w:r>
          </w:hyperlink>
        </w:p>
        <w:p>
          <w:pPr>
            <w:pStyle w:val="TOC7"/>
            <w:numPr>
              <w:ilvl w:val="1"/>
              <w:numId w:val="2"/>
            </w:numPr>
            <w:tabs>
              <w:tab w:pos="1537" w:val="left" w:leader="none"/>
              <w:tab w:pos="8885" w:val="left" w:leader="dot"/>
            </w:tabs>
            <w:spacing w:line="240" w:lineRule="auto" w:before="29" w:after="0"/>
            <w:ind w:left="1537" w:right="0" w:hanging="501"/>
            <w:jc w:val="left"/>
          </w:pPr>
          <w:r>
            <w:rPr/>
            <w:t>Leaf</w:t>
          </w:r>
          <w:r>
            <w:rPr>
              <w:spacing w:val="-7"/>
            </w:rPr>
            <w:t> </w:t>
          </w:r>
          <w:r>
            <w:rPr/>
            <w:t>Area</w:t>
          </w:r>
          <w:r>
            <w:rPr>
              <w:spacing w:val="-6"/>
            </w:rPr>
            <w:t> </w:t>
          </w:r>
          <w:r>
            <w:rPr/>
            <w:t>Index</w:t>
          </w:r>
          <w:r>
            <w:rPr>
              <w:spacing w:val="-7"/>
            </w:rPr>
            <w:t> </w:t>
          </w:r>
          <w:r>
            <w:rPr/>
            <w:t>(LAI)</w:t>
          </w:r>
          <w:r>
            <w:rPr>
              <w:spacing w:val="-6"/>
            </w:rPr>
            <w:t> </w:t>
          </w:r>
          <w:r>
            <w:rPr/>
            <w:t>Features</w:t>
          </w:r>
          <w:r>
            <w:rPr>
              <w:spacing w:val="-7"/>
            </w:rPr>
            <w:t> </w:t>
          </w:r>
          <w:r>
            <w:rPr/>
            <w:t>(10</w:t>
          </w:r>
          <w:r>
            <w:rPr>
              <w:spacing w:val="-6"/>
            </w:rPr>
            <w:t> </w:t>
          </w:r>
          <w:r>
            <w:rPr>
              <w:spacing w:val="-2"/>
            </w:rPr>
            <w:t>features)</w:t>
          </w:r>
          <w:r>
            <w:rPr/>
            <w:tab/>
          </w:r>
          <w:hyperlink w:history="true" w:anchor="_bookmark188">
            <w:r>
              <w:rPr>
                <w:color w:val="8B2C18"/>
                <w:spacing w:val="-5"/>
              </w:rPr>
              <w:t>102</w:t>
            </w:r>
          </w:hyperlink>
        </w:p>
        <w:p>
          <w:pPr>
            <w:pStyle w:val="TOC7"/>
            <w:numPr>
              <w:ilvl w:val="1"/>
              <w:numId w:val="2"/>
            </w:numPr>
            <w:tabs>
              <w:tab w:pos="1537" w:val="left" w:leader="none"/>
              <w:tab w:pos="8885" w:val="left" w:leader="dot"/>
            </w:tabs>
            <w:spacing w:line="240" w:lineRule="auto" w:before="29" w:after="0"/>
            <w:ind w:left="1537" w:right="0" w:hanging="501"/>
            <w:jc w:val="left"/>
          </w:pPr>
          <w:r>
            <w:rPr/>
            <w:t>Soil</w:t>
          </w:r>
          <w:r>
            <w:rPr>
              <w:spacing w:val="-11"/>
            </w:rPr>
            <w:t> </w:t>
          </w:r>
          <w:r>
            <w:rPr/>
            <w:t>Water</w:t>
          </w:r>
          <w:r>
            <w:rPr>
              <w:spacing w:val="-10"/>
            </w:rPr>
            <w:t> </w:t>
          </w:r>
          <w:r>
            <w:rPr/>
            <w:t>Features</w:t>
          </w:r>
          <w:r>
            <w:rPr>
              <w:spacing w:val="-10"/>
            </w:rPr>
            <w:t> </w:t>
          </w:r>
          <w:r>
            <w:rPr/>
            <w:t>(18</w:t>
          </w:r>
          <w:r>
            <w:rPr>
              <w:spacing w:val="-11"/>
            </w:rPr>
            <w:t> </w:t>
          </w:r>
          <w:r>
            <w:rPr>
              <w:spacing w:val="-2"/>
            </w:rPr>
            <w:t>features)</w:t>
          </w:r>
          <w:r>
            <w:rPr/>
            <w:tab/>
          </w:r>
          <w:hyperlink w:history="true" w:anchor="_bookmark190">
            <w:r>
              <w:rPr>
                <w:color w:val="8B2C18"/>
                <w:spacing w:val="-5"/>
              </w:rPr>
              <w:t>103</w:t>
            </w:r>
          </w:hyperlink>
        </w:p>
        <w:p>
          <w:pPr>
            <w:pStyle w:val="TOC4"/>
            <w:numPr>
              <w:ilvl w:val="0"/>
              <w:numId w:val="2"/>
            </w:numPr>
            <w:tabs>
              <w:tab w:pos="1035" w:val="left" w:leader="none"/>
              <w:tab w:pos="8885" w:val="left" w:leader="none"/>
            </w:tabs>
            <w:spacing w:line="240" w:lineRule="auto" w:before="254" w:after="240"/>
            <w:ind w:left="1035" w:right="0" w:hanging="326"/>
            <w:jc w:val="left"/>
          </w:pPr>
          <w:r>
            <w:rPr>
              <w:spacing w:val="-2"/>
            </w:rPr>
            <w:t>Feature</w:t>
          </w:r>
          <w:r>
            <w:rPr>
              <w:spacing w:val="-3"/>
            </w:rPr>
            <w:t> </w:t>
          </w:r>
          <w:r>
            <w:rPr>
              <w:spacing w:val="-2"/>
            </w:rPr>
            <w:t>Coverage </w:t>
          </w:r>
          <w:r>
            <w:rPr>
              <w:spacing w:val="-5"/>
            </w:rPr>
            <w:t>Map</w:t>
          </w:r>
          <w:r>
            <w:rPr>
              <w:b w:val="0"/>
            </w:rPr>
            <w:tab/>
          </w:r>
          <w:hyperlink w:history="true" w:anchor="_bookmark193">
            <w:r>
              <w:rPr>
                <w:color w:val="8B2C18"/>
                <w:spacing w:val="-5"/>
              </w:rPr>
              <w:t>107</w:t>
            </w:r>
          </w:hyperlink>
        </w:p>
        <w:p>
          <w:pPr>
            <w:pStyle w:val="TOC1"/>
            <w:numPr>
              <w:ilvl w:val="0"/>
              <w:numId w:val="2"/>
            </w:numPr>
            <w:tabs>
              <w:tab w:pos="460" w:val="left" w:leader="none"/>
              <w:tab w:pos="8646" w:val="right" w:leader="none"/>
            </w:tabs>
            <w:spacing w:line="240" w:lineRule="auto" w:before="772" w:after="0"/>
            <w:ind w:left="460" w:right="0" w:hanging="318"/>
            <w:jc w:val="left"/>
          </w:pPr>
          <w:r>
            <w:rPr>
              <w:spacing w:val="-2"/>
            </w:rPr>
            <w:t>AI</w:t>
          </w:r>
          <w:r>
            <w:rPr>
              <w:spacing w:val="-4"/>
            </w:rPr>
            <w:t> </w:t>
          </w:r>
          <w:r>
            <w:rPr>
              <w:spacing w:val="-2"/>
            </w:rPr>
            <w:t>Use</w:t>
          </w:r>
          <w:r>
            <w:rPr>
              <w:spacing w:val="-3"/>
            </w:rPr>
            <w:t> </w:t>
          </w:r>
          <w:r>
            <w:rPr>
              <w:spacing w:val="-2"/>
            </w:rPr>
            <w:t>Transparency</w:t>
          </w:r>
          <w:r>
            <w:rPr>
              <w:spacing w:val="-3"/>
            </w:rPr>
            <w:t> </w:t>
          </w:r>
          <w:r>
            <w:rPr>
              <w:spacing w:val="-2"/>
            </w:rPr>
            <w:t>Statement</w:t>
          </w:r>
          <w:r>
            <w:rPr>
              <w:b w:val="0"/>
            </w:rPr>
            <w:tab/>
          </w:r>
          <w:hyperlink w:history="true" w:anchor="_bookmark195">
            <w:r>
              <w:rPr>
                <w:color w:val="8B2C18"/>
                <w:spacing w:val="-5"/>
              </w:rPr>
              <w:t>111</w:t>
            </w:r>
          </w:hyperlink>
        </w:p>
        <w:p>
          <w:pPr>
            <w:pStyle w:val="TOC2"/>
            <w:numPr>
              <w:ilvl w:val="1"/>
              <w:numId w:val="2"/>
            </w:numPr>
            <w:tabs>
              <w:tab w:pos="971" w:val="left" w:leader="none"/>
              <w:tab w:pos="8646" w:val="right" w:leader="dot"/>
            </w:tabs>
            <w:spacing w:line="240" w:lineRule="auto" w:before="18" w:after="0"/>
            <w:ind w:left="971" w:right="0" w:hanging="502"/>
            <w:jc w:val="left"/>
          </w:pPr>
          <w:r>
            <w:rPr/>
            <w:t>Overview</w:t>
          </w:r>
          <w:r>
            <w:rPr>
              <w:spacing w:val="-9"/>
            </w:rPr>
            <w:t> </w:t>
          </w:r>
          <w:r>
            <w:rPr/>
            <w:t>of</w:t>
          </w:r>
          <w:r>
            <w:rPr>
              <w:spacing w:val="-9"/>
            </w:rPr>
            <w:t> </w:t>
          </w:r>
          <w:r>
            <w:rPr/>
            <w:t>AI</w:t>
          </w:r>
          <w:r>
            <w:rPr>
              <w:spacing w:val="-8"/>
            </w:rPr>
            <w:t> </w:t>
          </w:r>
          <w:r>
            <w:rPr>
              <w:spacing w:val="-5"/>
            </w:rPr>
            <w:t>Use</w:t>
          </w:r>
          <w:r>
            <w:rPr/>
            <w:tab/>
          </w:r>
          <w:hyperlink w:history="true" w:anchor="_bookmark196">
            <w:r>
              <w:rPr>
                <w:color w:val="8B2C18"/>
                <w:spacing w:val="-5"/>
              </w:rPr>
              <w:t>111</w:t>
            </w:r>
          </w:hyperlink>
        </w:p>
        <w:p>
          <w:pPr>
            <w:pStyle w:val="TOC2"/>
            <w:numPr>
              <w:ilvl w:val="1"/>
              <w:numId w:val="2"/>
            </w:numPr>
            <w:tabs>
              <w:tab w:pos="959" w:val="left" w:leader="none"/>
              <w:tab w:pos="8646" w:val="right" w:leader="dot"/>
            </w:tabs>
            <w:spacing w:line="240" w:lineRule="auto" w:before="18" w:after="0"/>
            <w:ind w:left="959" w:right="0" w:hanging="490"/>
            <w:jc w:val="left"/>
          </w:pPr>
          <w:r>
            <w:rPr/>
            <w:t>Writing</w:t>
          </w:r>
          <w:r>
            <w:rPr>
              <w:spacing w:val="-6"/>
            </w:rPr>
            <w:t> </w:t>
          </w:r>
          <w:r>
            <w:rPr/>
            <w:t>Support</w:t>
          </w:r>
          <w:r>
            <w:rPr>
              <w:spacing w:val="-6"/>
            </w:rPr>
            <w:t> </w:t>
          </w:r>
          <w:r>
            <w:rPr/>
            <w:t>—</w:t>
          </w:r>
          <w:r>
            <w:rPr>
              <w:spacing w:val="-6"/>
            </w:rPr>
            <w:t> </w:t>
          </w:r>
          <w:r>
            <w:rPr/>
            <w:t>All</w:t>
          </w:r>
          <w:r>
            <w:rPr>
              <w:spacing w:val="-5"/>
            </w:rPr>
            <w:t> </w:t>
          </w:r>
          <w:r>
            <w:rPr>
              <w:spacing w:val="-2"/>
            </w:rPr>
            <w:t>Chapters</w:t>
          </w:r>
          <w:r>
            <w:rPr/>
            <w:tab/>
          </w:r>
          <w:hyperlink w:history="true" w:anchor="_bookmark197">
            <w:r>
              <w:rPr>
                <w:color w:val="8B2C18"/>
                <w:spacing w:val="-5"/>
              </w:rPr>
              <w:t>111</w:t>
            </w:r>
          </w:hyperlink>
        </w:p>
        <w:p>
          <w:pPr>
            <w:pStyle w:val="TOC2"/>
            <w:numPr>
              <w:ilvl w:val="1"/>
              <w:numId w:val="2"/>
            </w:numPr>
            <w:tabs>
              <w:tab w:pos="971" w:val="left" w:leader="none"/>
              <w:tab w:pos="8646" w:val="right" w:leader="dot"/>
            </w:tabs>
            <w:spacing w:line="240" w:lineRule="auto" w:before="18" w:after="0"/>
            <w:ind w:left="971" w:right="0" w:hanging="502"/>
            <w:jc w:val="left"/>
          </w:pPr>
          <w:r>
            <w:rPr>
              <w:spacing w:val="-2"/>
            </w:rPr>
            <w:t>Substantive</w:t>
          </w:r>
          <w:r>
            <w:rPr>
              <w:spacing w:val="3"/>
            </w:rPr>
            <w:t> </w:t>
          </w:r>
          <w:r>
            <w:rPr>
              <w:spacing w:val="-2"/>
            </w:rPr>
            <w:t>Content</w:t>
          </w:r>
          <w:r>
            <w:rPr>
              <w:spacing w:val="3"/>
            </w:rPr>
            <w:t> </w:t>
          </w:r>
          <w:r>
            <w:rPr>
              <w:spacing w:val="-2"/>
            </w:rPr>
            <w:t>Revision</w:t>
          </w:r>
          <w:r>
            <w:rPr/>
            <w:tab/>
          </w:r>
          <w:hyperlink w:history="true" w:anchor="_bookmark199">
            <w:r>
              <w:rPr>
                <w:color w:val="8B2C18"/>
                <w:spacing w:val="-5"/>
              </w:rPr>
              <w:t>112</w:t>
            </w:r>
          </w:hyperlink>
        </w:p>
        <w:p>
          <w:pPr>
            <w:pStyle w:val="TOC6"/>
            <w:numPr>
              <w:ilvl w:val="2"/>
              <w:numId w:val="2"/>
            </w:numPr>
            <w:tabs>
              <w:tab w:pos="1669" w:val="left" w:leader="none"/>
              <w:tab w:pos="8646" w:val="right" w:leader="dot"/>
            </w:tabs>
            <w:spacing w:line="240" w:lineRule="auto" w:before="18" w:after="0"/>
            <w:ind w:left="1669" w:right="0" w:hanging="698"/>
            <w:jc w:val="left"/>
          </w:pPr>
          <w:r>
            <w:rPr/>
            <w:t>Chapter</w:t>
          </w:r>
          <w:r>
            <w:rPr>
              <w:spacing w:val="-8"/>
            </w:rPr>
            <w:t> </w:t>
          </w:r>
          <w:r>
            <w:rPr/>
            <w:t>3</w:t>
          </w:r>
          <w:r>
            <w:rPr>
              <w:spacing w:val="-8"/>
            </w:rPr>
            <w:t> </w:t>
          </w:r>
          <w:r>
            <w:rPr/>
            <w:t>—</w:t>
          </w:r>
          <w:r>
            <w:rPr>
              <w:spacing w:val="-8"/>
            </w:rPr>
            <w:t> </w:t>
          </w:r>
          <w:r>
            <w:rPr/>
            <w:t>Methods:</w:t>
          </w:r>
          <w:r>
            <w:rPr>
              <w:spacing w:val="3"/>
            </w:rPr>
            <w:t> </w:t>
          </w:r>
          <w:r>
            <w:rPr/>
            <w:t>CarenR_Supervised</w:t>
          </w:r>
          <w:r>
            <w:rPr>
              <w:spacing w:val="-8"/>
            </w:rPr>
            <w:t> </w:t>
          </w:r>
          <w:r>
            <w:rPr>
              <w:spacing w:val="-2"/>
            </w:rPr>
            <w:t>Description</w:t>
          </w:r>
          <w:r>
            <w:rPr/>
            <w:tab/>
          </w:r>
          <w:hyperlink w:history="true" w:anchor="_bookmark200">
            <w:r>
              <w:rPr>
                <w:color w:val="8B2C18"/>
                <w:spacing w:val="-5"/>
              </w:rPr>
              <w:t>112</w:t>
            </w:r>
          </w:hyperlink>
        </w:p>
        <w:p>
          <w:pPr>
            <w:pStyle w:val="TOC6"/>
            <w:numPr>
              <w:ilvl w:val="2"/>
              <w:numId w:val="2"/>
            </w:numPr>
            <w:tabs>
              <w:tab w:pos="1669" w:val="left" w:leader="none"/>
              <w:tab w:pos="8646" w:val="right" w:leader="dot"/>
            </w:tabs>
            <w:spacing w:line="240" w:lineRule="auto" w:before="18" w:after="0"/>
            <w:ind w:left="1669" w:right="0" w:hanging="698"/>
            <w:jc w:val="left"/>
          </w:pPr>
          <w:r>
            <w:rPr/>
            <w:t>Chapter</w:t>
          </w:r>
          <w:r>
            <w:rPr>
              <w:spacing w:val="-9"/>
            </w:rPr>
            <w:t> </w:t>
          </w:r>
          <w:r>
            <w:rPr/>
            <w:t>3</w:t>
          </w:r>
          <w:r>
            <w:rPr>
              <w:spacing w:val="-9"/>
            </w:rPr>
            <w:t> </w:t>
          </w:r>
          <w:r>
            <w:rPr/>
            <w:t>—</w:t>
          </w:r>
          <w:r>
            <w:rPr>
              <w:spacing w:val="-8"/>
            </w:rPr>
            <w:t> </w:t>
          </w:r>
          <w:r>
            <w:rPr/>
            <w:t>Methods:</w:t>
          </w:r>
          <w:r>
            <w:rPr>
              <w:spacing w:val="3"/>
            </w:rPr>
            <w:t> </w:t>
          </w:r>
          <w:r>
            <w:rPr/>
            <w:t>Table</w:t>
          </w:r>
          <w:r>
            <w:rPr>
              <w:spacing w:val="-9"/>
            </w:rPr>
            <w:t> </w:t>
          </w:r>
          <w:hyperlink w:history="true" w:anchor="_bookmark48">
            <w:r>
              <w:rPr>
                <w:color w:val="8B2C18"/>
              </w:rPr>
              <w:t>3.3</w:t>
            </w:r>
          </w:hyperlink>
          <w:r>
            <w:rPr>
              <w:color w:val="8B2C18"/>
              <w:spacing w:val="-8"/>
            </w:rPr>
            <w:t> </w:t>
          </w:r>
          <w:r>
            <w:rPr/>
            <w:t>New</w:t>
          </w:r>
          <w:r>
            <w:rPr>
              <w:spacing w:val="-9"/>
            </w:rPr>
            <w:t> </w:t>
          </w:r>
          <w:r>
            <w:rPr>
              <w:spacing w:val="-5"/>
            </w:rPr>
            <w:t>Row</w:t>
          </w:r>
          <w:r>
            <w:rPr/>
            <w:tab/>
          </w:r>
          <w:hyperlink w:history="true" w:anchor="_bookmark202">
            <w:r>
              <w:rPr>
                <w:color w:val="8B2C18"/>
                <w:spacing w:val="-5"/>
              </w:rPr>
              <w:t>112</w:t>
            </w:r>
          </w:hyperlink>
        </w:p>
        <w:p>
          <w:pPr>
            <w:pStyle w:val="TOC6"/>
            <w:numPr>
              <w:ilvl w:val="2"/>
              <w:numId w:val="2"/>
            </w:numPr>
            <w:tabs>
              <w:tab w:pos="1669" w:val="left" w:leader="none"/>
              <w:tab w:pos="8646" w:val="right" w:leader="dot"/>
            </w:tabs>
            <w:spacing w:line="240" w:lineRule="auto" w:before="18" w:after="0"/>
            <w:ind w:left="1669" w:right="0" w:hanging="698"/>
            <w:jc w:val="left"/>
          </w:pPr>
          <w:r>
            <w:rPr/>
            <w:t>Chapter</w:t>
          </w:r>
          <w:r>
            <w:rPr>
              <w:spacing w:val="-11"/>
            </w:rPr>
            <w:t> </w:t>
          </w:r>
          <w:r>
            <w:rPr/>
            <w:t>5</w:t>
          </w:r>
          <w:r>
            <w:rPr>
              <w:spacing w:val="-10"/>
            </w:rPr>
            <w:t> </w:t>
          </w:r>
          <w:r>
            <w:rPr/>
            <w:t>—</w:t>
          </w:r>
          <w:r>
            <w:rPr>
              <w:spacing w:val="-11"/>
            </w:rPr>
            <w:t> </w:t>
          </w:r>
          <w:r>
            <w:rPr/>
            <w:t>Prediction: Test</w:t>
          </w:r>
          <w:r>
            <w:rPr>
              <w:spacing w:val="-10"/>
            </w:rPr>
            <w:t> </w:t>
          </w:r>
          <w:r>
            <w:rPr/>
            <w:t>Period</w:t>
          </w:r>
          <w:r>
            <w:rPr>
              <w:spacing w:val="-10"/>
            </w:rPr>
            <w:t> </w:t>
          </w:r>
          <w:r>
            <w:rPr/>
            <w:t>Table</w:t>
          </w:r>
          <w:r>
            <w:rPr>
              <w:spacing w:val="-11"/>
            </w:rPr>
            <w:t> </w:t>
          </w:r>
          <w:r>
            <w:rPr>
              <w:spacing w:val="-2"/>
            </w:rPr>
            <w:t>Corrections</w:t>
          </w:r>
          <w:r>
            <w:rPr/>
            <w:tab/>
          </w:r>
          <w:hyperlink w:history="true" w:anchor="_bookmark203">
            <w:r>
              <w:rPr>
                <w:color w:val="8B2C18"/>
                <w:spacing w:val="-5"/>
              </w:rPr>
              <w:t>113</w:t>
            </w:r>
          </w:hyperlink>
        </w:p>
        <w:p>
          <w:pPr>
            <w:pStyle w:val="TOC6"/>
            <w:numPr>
              <w:ilvl w:val="2"/>
              <w:numId w:val="2"/>
            </w:numPr>
            <w:tabs>
              <w:tab w:pos="1669" w:val="left" w:leader="none"/>
              <w:tab w:pos="8646" w:val="right" w:leader="dot"/>
            </w:tabs>
            <w:spacing w:line="240" w:lineRule="auto" w:before="18" w:after="0"/>
            <w:ind w:left="1669" w:right="0" w:hanging="698"/>
            <w:jc w:val="left"/>
          </w:pPr>
          <w:r>
            <w:rPr/>
            <w:t>Chapter</w:t>
          </w:r>
          <w:r>
            <w:rPr>
              <w:spacing w:val="-6"/>
            </w:rPr>
            <w:t> </w:t>
          </w:r>
          <w:r>
            <w:rPr/>
            <w:t>5</w:t>
          </w:r>
          <w:r>
            <w:rPr>
              <w:spacing w:val="-6"/>
            </w:rPr>
            <w:t> </w:t>
          </w:r>
          <w:r>
            <w:rPr/>
            <w:t>—</w:t>
          </w:r>
          <w:r>
            <w:rPr>
              <w:spacing w:val="-6"/>
            </w:rPr>
            <w:t> </w:t>
          </w:r>
          <w:r>
            <w:rPr/>
            <w:t>Prediction:</w:t>
          </w:r>
          <w:r>
            <w:rPr>
              <w:spacing w:val="7"/>
            </w:rPr>
            <w:t> </w:t>
          </w:r>
          <w:r>
            <w:rPr/>
            <w:t>Bold</w:t>
          </w:r>
          <w:r>
            <w:rPr>
              <w:spacing w:val="-6"/>
            </w:rPr>
            <w:t> </w:t>
          </w:r>
          <w:r>
            <w:rPr/>
            <w:t>Label</w:t>
          </w:r>
          <w:r>
            <w:rPr>
              <w:spacing w:val="-6"/>
            </w:rPr>
            <w:t> </w:t>
          </w:r>
          <w:r>
            <w:rPr>
              <w:spacing w:val="-2"/>
            </w:rPr>
            <w:t>Paragraphs</w:t>
          </w:r>
          <w:r>
            <w:rPr/>
            <w:tab/>
          </w:r>
          <w:hyperlink w:history="true" w:anchor="_bookmark205">
            <w:r>
              <w:rPr>
                <w:color w:val="8B2C18"/>
                <w:spacing w:val="-5"/>
              </w:rPr>
              <w:t>113</w:t>
            </w:r>
          </w:hyperlink>
        </w:p>
        <w:p>
          <w:pPr>
            <w:pStyle w:val="TOC2"/>
            <w:numPr>
              <w:ilvl w:val="1"/>
              <w:numId w:val="2"/>
            </w:numPr>
            <w:tabs>
              <w:tab w:pos="971" w:val="left" w:leader="none"/>
              <w:tab w:pos="8646" w:val="right" w:leader="dot"/>
            </w:tabs>
            <w:spacing w:line="240" w:lineRule="auto" w:before="18" w:after="0"/>
            <w:ind w:left="971" w:right="0" w:hanging="502"/>
            <w:jc w:val="left"/>
          </w:pPr>
          <w:r>
            <w:rPr/>
            <w:t>Code</w:t>
          </w:r>
          <w:r>
            <w:rPr>
              <w:spacing w:val="-6"/>
            </w:rPr>
            <w:t> </w:t>
          </w:r>
          <w:r>
            <w:rPr>
              <w:spacing w:val="-2"/>
            </w:rPr>
            <w:t>Generation</w:t>
          </w:r>
          <w:r>
            <w:rPr/>
            <w:tab/>
          </w:r>
          <w:hyperlink w:history="true" w:anchor="_bookmark207">
            <w:r>
              <w:rPr>
                <w:color w:val="8B2C18"/>
                <w:spacing w:val="-5"/>
              </w:rPr>
              <w:t>114</w:t>
            </w:r>
          </w:hyperlink>
        </w:p>
        <w:p>
          <w:pPr>
            <w:pStyle w:val="TOC2"/>
            <w:numPr>
              <w:ilvl w:val="1"/>
              <w:numId w:val="2"/>
            </w:numPr>
            <w:tabs>
              <w:tab w:pos="971" w:val="left" w:leader="none"/>
              <w:tab w:pos="8646" w:val="right" w:leader="dot"/>
            </w:tabs>
            <w:spacing w:line="240" w:lineRule="auto" w:before="18" w:after="0"/>
            <w:ind w:left="971" w:right="0" w:hanging="502"/>
            <w:jc w:val="left"/>
          </w:pPr>
          <w:r>
            <w:rPr>
              <w:spacing w:val="-2"/>
            </w:rPr>
            <w:t>Numerical</w:t>
          </w:r>
          <w:r>
            <w:rPr>
              <w:spacing w:val="-11"/>
            </w:rPr>
            <w:t> </w:t>
          </w:r>
          <w:r>
            <w:rPr>
              <w:spacing w:val="-2"/>
            </w:rPr>
            <w:t>Verification</w:t>
          </w:r>
          <w:r>
            <w:rPr>
              <w:spacing w:val="-11"/>
            </w:rPr>
            <w:t> </w:t>
          </w:r>
          <w:r>
            <w:rPr>
              <w:spacing w:val="-2"/>
            </w:rPr>
            <w:t>Process</w:t>
          </w:r>
          <w:r>
            <w:rPr/>
            <w:tab/>
          </w:r>
          <w:hyperlink w:history="true" w:anchor="_bookmark209">
            <w:r>
              <w:rPr>
                <w:color w:val="8B2C18"/>
                <w:spacing w:val="-5"/>
              </w:rPr>
              <w:t>114</w:t>
            </w:r>
          </w:hyperlink>
        </w:p>
        <w:p>
          <w:pPr>
            <w:pStyle w:val="TOC2"/>
            <w:numPr>
              <w:ilvl w:val="1"/>
              <w:numId w:val="2"/>
            </w:numPr>
            <w:tabs>
              <w:tab w:pos="971" w:val="left" w:leader="none"/>
              <w:tab w:pos="8646" w:val="right" w:leader="dot"/>
            </w:tabs>
            <w:spacing w:line="240" w:lineRule="auto" w:before="18" w:after="0"/>
            <w:ind w:left="971" w:right="0" w:hanging="502"/>
            <w:jc w:val="left"/>
          </w:pPr>
          <w:r>
            <w:rPr/>
            <w:t>Student</w:t>
          </w:r>
          <w:r>
            <w:rPr>
              <w:spacing w:val="-11"/>
            </w:rPr>
            <w:t> </w:t>
          </w:r>
          <w:r>
            <w:rPr/>
            <w:t>Responsibility</w:t>
          </w:r>
          <w:r>
            <w:rPr>
              <w:spacing w:val="-11"/>
            </w:rPr>
            <w:t> </w:t>
          </w:r>
          <w:r>
            <w:rPr>
              <w:spacing w:val="-2"/>
            </w:rPr>
            <w:t>Declaration</w:t>
          </w:r>
          <w:r>
            <w:rPr/>
            <w:tab/>
          </w:r>
          <w:hyperlink w:history="true" w:anchor="_bookmark211">
            <w:r>
              <w:rPr>
                <w:color w:val="8B2C18"/>
                <w:spacing w:val="-5"/>
              </w:rPr>
              <w:t>115</w:t>
            </w:r>
          </w:hyperlink>
        </w:p>
        <w:p>
          <w:pPr>
            <w:pStyle w:val="TOC1"/>
            <w:tabs>
              <w:tab w:pos="8646" w:val="right" w:leader="none"/>
            </w:tabs>
            <w:spacing w:before="236"/>
            <w:ind w:left="142" w:firstLine="0"/>
          </w:pPr>
          <w:r>
            <w:rPr>
              <w:spacing w:val="-2"/>
            </w:rPr>
            <w:t>References</w:t>
          </w:r>
          <w:r>
            <w:rPr>
              <w:b w:val="0"/>
            </w:rPr>
            <w:tab/>
          </w:r>
          <w:hyperlink w:history="true" w:anchor="_bookmark212">
            <w:r>
              <w:rPr>
                <w:color w:val="8B2C18"/>
                <w:spacing w:val="-5"/>
              </w:rPr>
              <w:t>117</w:t>
            </w:r>
          </w:hyperlink>
        </w:p>
      </w:sdtContent>
    </w:sdt>
    <w:p>
      <w:pPr>
        <w:pStyle w:val="TOC1"/>
        <w:spacing w:after="0"/>
        <w:sectPr>
          <w:type w:val="continuous"/>
          <w:pgSz w:w="11910" w:h="16840"/>
          <w:pgMar w:header="0" w:footer="0" w:top="1078" w:bottom="1056" w:left="1275" w:right="425"/>
        </w:sectPr>
      </w:pPr>
    </w:p>
    <w:p>
      <w:pPr>
        <w:pStyle w:val="BodyText"/>
        <w:rPr>
          <w:b/>
          <w:sz w:val="49"/>
        </w:rPr>
      </w:pPr>
    </w:p>
    <w:p>
      <w:pPr>
        <w:pStyle w:val="BodyText"/>
        <w:spacing w:before="231"/>
        <w:rPr>
          <w:b/>
          <w:sz w:val="49"/>
        </w:rPr>
      </w:pPr>
    </w:p>
    <w:p>
      <w:pPr>
        <w:spacing w:before="1"/>
        <w:ind w:left="709" w:right="0" w:firstLine="0"/>
        <w:jc w:val="left"/>
        <w:rPr>
          <w:b/>
          <w:sz w:val="49"/>
        </w:rPr>
      </w:pPr>
      <w:bookmarkStart w:name="List of Figures" w:id="3"/>
      <w:bookmarkEnd w:id="3"/>
      <w:r>
        <w:rPr/>
      </w:r>
      <w:r>
        <w:rPr>
          <w:b/>
          <w:sz w:val="49"/>
        </w:rPr>
        <w:t>List</w:t>
      </w:r>
      <w:r>
        <w:rPr>
          <w:b/>
          <w:spacing w:val="7"/>
          <w:sz w:val="49"/>
        </w:rPr>
        <w:t> </w:t>
      </w:r>
      <w:r>
        <w:rPr>
          <w:b/>
          <w:sz w:val="49"/>
        </w:rPr>
        <w:t>of</w:t>
      </w:r>
      <w:r>
        <w:rPr>
          <w:b/>
          <w:spacing w:val="7"/>
          <w:sz w:val="49"/>
        </w:rPr>
        <w:t> </w:t>
      </w:r>
      <w:r>
        <w:rPr>
          <w:b/>
          <w:spacing w:val="-2"/>
          <w:sz w:val="49"/>
        </w:rPr>
        <w:t>Figures</w:t>
      </w:r>
    </w:p>
    <w:p>
      <w:pPr>
        <w:pStyle w:val="BodyText"/>
        <w:rPr>
          <w:b/>
          <w:sz w:val="20"/>
        </w:rPr>
      </w:pPr>
    </w:p>
    <w:p>
      <w:pPr>
        <w:pStyle w:val="BodyText"/>
        <w:rPr>
          <w:b/>
          <w:sz w:val="20"/>
        </w:rPr>
      </w:pPr>
    </w:p>
    <w:p>
      <w:pPr>
        <w:pStyle w:val="BodyText"/>
        <w:rPr>
          <w:b/>
          <w:sz w:val="20"/>
        </w:rPr>
      </w:pPr>
    </w:p>
    <w:p>
      <w:pPr>
        <w:pStyle w:val="BodyText"/>
        <w:spacing w:before="39"/>
        <w:rPr>
          <w:b/>
          <w:sz w:val="20"/>
        </w:rPr>
      </w:pPr>
    </w:p>
    <w:tbl>
      <w:tblPr>
        <w:tblW w:w="0" w:type="auto"/>
        <w:jc w:val="left"/>
        <w:tblInd w:w="9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6"/>
        <w:gridCol w:w="7436"/>
        <w:gridCol w:w="384"/>
      </w:tblGrid>
      <w:tr>
        <w:trPr>
          <w:trHeight w:val="266" w:hRule="atLeast"/>
        </w:trPr>
        <w:tc>
          <w:tcPr>
            <w:tcW w:w="456" w:type="dxa"/>
          </w:tcPr>
          <w:p>
            <w:pPr>
              <w:pStyle w:val="TableParagraph"/>
              <w:spacing w:line="247" w:lineRule="exact" w:before="0"/>
              <w:ind w:right="81"/>
              <w:jc w:val="center"/>
              <w:rPr>
                <w:sz w:val="22"/>
              </w:rPr>
            </w:pPr>
            <w:r>
              <w:rPr>
                <w:spacing w:val="-5"/>
                <w:sz w:val="22"/>
              </w:rPr>
              <w:t>3.1</w:t>
            </w:r>
          </w:p>
        </w:tc>
        <w:tc>
          <w:tcPr>
            <w:tcW w:w="7436" w:type="dxa"/>
          </w:tcPr>
          <w:p>
            <w:pPr>
              <w:pStyle w:val="TableParagraph"/>
              <w:spacing w:line="247" w:lineRule="exact" w:before="0"/>
              <w:ind w:left="95"/>
              <w:rPr>
                <w:sz w:val="22"/>
              </w:rPr>
            </w:pPr>
            <w:r>
              <w:rPr>
                <w:sz w:val="22"/>
              </w:rPr>
              <w:t>Production</w:t>
            </w:r>
            <w:r>
              <w:rPr>
                <w:spacing w:val="-4"/>
                <w:sz w:val="22"/>
              </w:rPr>
              <w:t> </w:t>
            </w:r>
            <w:r>
              <w:rPr>
                <w:sz w:val="22"/>
              </w:rPr>
              <w:t>time</w:t>
            </w:r>
            <w:r>
              <w:rPr>
                <w:spacing w:val="-3"/>
                <w:sz w:val="22"/>
              </w:rPr>
              <w:t> </w:t>
            </w:r>
            <w:r>
              <w:rPr>
                <w:sz w:val="22"/>
              </w:rPr>
              <w:t>series</w:t>
            </w:r>
            <w:r>
              <w:rPr>
                <w:spacing w:val="-3"/>
                <w:sz w:val="22"/>
              </w:rPr>
              <w:t> </w:t>
            </w:r>
            <w:r>
              <w:rPr>
                <w:sz w:val="22"/>
              </w:rPr>
              <w:t>for</w:t>
            </w:r>
            <w:r>
              <w:rPr>
                <w:spacing w:val="-3"/>
                <w:sz w:val="22"/>
              </w:rPr>
              <w:t> </w:t>
            </w:r>
            <w:r>
              <w:rPr>
                <w:sz w:val="22"/>
              </w:rPr>
              <w:t>the</w:t>
            </w:r>
            <w:r>
              <w:rPr>
                <w:spacing w:val="-4"/>
                <w:sz w:val="22"/>
              </w:rPr>
              <w:t> </w:t>
            </w:r>
            <w:r>
              <w:rPr>
                <w:sz w:val="22"/>
              </w:rPr>
              <w:t>Douro</w:t>
            </w:r>
            <w:r>
              <w:rPr>
                <w:spacing w:val="-3"/>
                <w:sz w:val="22"/>
              </w:rPr>
              <w:t> </w:t>
            </w:r>
            <w:r>
              <w:rPr>
                <w:sz w:val="22"/>
              </w:rPr>
              <w:t>(RDD)</w:t>
            </w:r>
            <w:r>
              <w:rPr>
                <w:spacing w:val="-3"/>
                <w:sz w:val="22"/>
              </w:rPr>
              <w:t> </w:t>
            </w:r>
            <w:r>
              <w:rPr>
                <w:sz w:val="22"/>
              </w:rPr>
              <w:t>region,</w:t>
            </w:r>
            <w:r>
              <w:rPr>
                <w:spacing w:val="-3"/>
                <w:sz w:val="22"/>
              </w:rPr>
              <w:t> </w:t>
            </w:r>
            <w:r>
              <w:rPr>
                <w:sz w:val="22"/>
              </w:rPr>
              <w:t>1934–2022.</w:t>
            </w:r>
            <w:r>
              <w:rPr>
                <w:spacing w:val="72"/>
                <w:w w:val="150"/>
                <w:sz w:val="22"/>
              </w:rPr>
              <w:t> </w:t>
            </w:r>
            <w:r>
              <w:rPr>
                <w:sz w:val="22"/>
              </w:rPr>
              <w:t>.</w:t>
            </w:r>
            <w:r>
              <w:rPr>
                <w:spacing w:val="50"/>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50"/>
                <w:sz w:val="22"/>
              </w:rPr>
              <w:t> </w:t>
            </w:r>
            <w:r>
              <w:rPr>
                <w:sz w:val="22"/>
              </w:rPr>
              <w:t>.</w:t>
            </w:r>
            <w:r>
              <w:rPr>
                <w:spacing w:val="49"/>
                <w:sz w:val="22"/>
              </w:rPr>
              <w:t> </w:t>
            </w:r>
            <w:r>
              <w:rPr>
                <w:sz w:val="22"/>
              </w:rPr>
              <w:t>.</w:t>
            </w:r>
            <w:r>
              <w:rPr>
                <w:spacing w:val="50"/>
                <w:sz w:val="22"/>
              </w:rPr>
              <w:t> </w:t>
            </w:r>
            <w:r>
              <w:rPr>
                <w:sz w:val="22"/>
              </w:rPr>
              <w:t>.</w:t>
            </w:r>
            <w:r>
              <w:rPr>
                <w:spacing w:val="49"/>
                <w:sz w:val="22"/>
              </w:rPr>
              <w:t> </w:t>
            </w:r>
            <w:r>
              <w:rPr>
                <w:spacing w:val="-10"/>
                <w:sz w:val="22"/>
              </w:rPr>
              <w:t>.</w:t>
            </w:r>
          </w:p>
        </w:tc>
        <w:tc>
          <w:tcPr>
            <w:tcW w:w="384" w:type="dxa"/>
          </w:tcPr>
          <w:p>
            <w:pPr>
              <w:pStyle w:val="TableParagraph"/>
              <w:spacing w:line="247" w:lineRule="exact" w:before="0"/>
              <w:ind w:left="67" w:right="1"/>
              <w:jc w:val="center"/>
              <w:rPr>
                <w:sz w:val="22"/>
              </w:rPr>
            </w:pPr>
            <w:hyperlink w:history="true" w:anchor="_bookmark31">
              <w:r>
                <w:rPr>
                  <w:color w:val="8B2C18"/>
                  <w:spacing w:val="-5"/>
                  <w:sz w:val="22"/>
                </w:rPr>
                <w:t>16</w:t>
              </w:r>
            </w:hyperlink>
          </w:p>
        </w:tc>
      </w:tr>
      <w:tr>
        <w:trPr>
          <w:trHeight w:val="270" w:hRule="atLeast"/>
        </w:trPr>
        <w:tc>
          <w:tcPr>
            <w:tcW w:w="456" w:type="dxa"/>
          </w:tcPr>
          <w:p>
            <w:pPr>
              <w:pStyle w:val="TableParagraph"/>
              <w:spacing w:line="251" w:lineRule="exact" w:before="0"/>
              <w:ind w:right="81"/>
              <w:jc w:val="center"/>
              <w:rPr>
                <w:sz w:val="22"/>
              </w:rPr>
            </w:pPr>
            <w:r>
              <w:rPr>
                <w:spacing w:val="-5"/>
                <w:sz w:val="22"/>
              </w:rPr>
              <w:t>3.2</w:t>
            </w:r>
          </w:p>
        </w:tc>
        <w:tc>
          <w:tcPr>
            <w:tcW w:w="7436" w:type="dxa"/>
          </w:tcPr>
          <w:p>
            <w:pPr>
              <w:pStyle w:val="TableParagraph"/>
              <w:spacing w:line="251" w:lineRule="exact" w:before="0"/>
              <w:ind w:left="95"/>
              <w:rPr>
                <w:sz w:val="22"/>
              </w:rPr>
            </w:pPr>
            <w:r>
              <w:rPr>
                <w:sz w:val="22"/>
              </w:rPr>
              <w:t>Production</w:t>
            </w:r>
            <w:r>
              <w:rPr>
                <w:spacing w:val="-7"/>
                <w:sz w:val="22"/>
              </w:rPr>
              <w:t> </w:t>
            </w:r>
            <w:r>
              <w:rPr>
                <w:sz w:val="22"/>
              </w:rPr>
              <w:t>time</w:t>
            </w:r>
            <w:r>
              <w:rPr>
                <w:spacing w:val="-7"/>
                <w:sz w:val="22"/>
              </w:rPr>
              <w:t> </w:t>
            </w:r>
            <w:r>
              <w:rPr>
                <w:sz w:val="22"/>
              </w:rPr>
              <w:t>series</w:t>
            </w:r>
            <w:r>
              <w:rPr>
                <w:spacing w:val="-6"/>
                <w:sz w:val="22"/>
              </w:rPr>
              <w:t> </w:t>
            </w:r>
            <w:r>
              <w:rPr>
                <w:sz w:val="22"/>
              </w:rPr>
              <w:t>for</w:t>
            </w:r>
            <w:r>
              <w:rPr>
                <w:spacing w:val="-7"/>
                <w:sz w:val="22"/>
              </w:rPr>
              <w:t> </w:t>
            </w:r>
            <w:r>
              <w:rPr>
                <w:sz w:val="22"/>
              </w:rPr>
              <w:t>the</w:t>
            </w:r>
            <w:r>
              <w:rPr>
                <w:spacing w:val="-7"/>
                <w:sz w:val="22"/>
              </w:rPr>
              <w:t> </w:t>
            </w:r>
            <w:r>
              <w:rPr>
                <w:sz w:val="22"/>
              </w:rPr>
              <w:t>Vinho</w:t>
            </w:r>
            <w:r>
              <w:rPr>
                <w:spacing w:val="-6"/>
                <w:sz w:val="22"/>
              </w:rPr>
              <w:t> </w:t>
            </w:r>
            <w:r>
              <w:rPr>
                <w:sz w:val="22"/>
              </w:rPr>
              <w:t>Verde</w:t>
            </w:r>
            <w:r>
              <w:rPr>
                <w:spacing w:val="-7"/>
                <w:sz w:val="22"/>
              </w:rPr>
              <w:t> </w:t>
            </w:r>
            <w:r>
              <w:rPr>
                <w:sz w:val="22"/>
              </w:rPr>
              <w:t>(RVV)</w:t>
            </w:r>
            <w:r>
              <w:rPr>
                <w:spacing w:val="-7"/>
                <w:sz w:val="22"/>
              </w:rPr>
              <w:t> </w:t>
            </w:r>
            <w:r>
              <w:rPr>
                <w:sz w:val="22"/>
              </w:rPr>
              <w:t>region,</w:t>
            </w:r>
            <w:r>
              <w:rPr>
                <w:spacing w:val="-6"/>
                <w:sz w:val="22"/>
              </w:rPr>
              <w:t> </w:t>
            </w:r>
            <w:r>
              <w:rPr>
                <w:sz w:val="22"/>
              </w:rPr>
              <w:t>1942–2021.</w:t>
            </w:r>
            <w:r>
              <w:rPr>
                <w:spacing w:val="63"/>
                <w:sz w:val="22"/>
              </w:rPr>
              <w:t> </w:t>
            </w:r>
            <w:r>
              <w:rPr>
                <w:sz w:val="22"/>
              </w:rPr>
              <w:t>.</w:t>
            </w:r>
            <w:r>
              <w:rPr>
                <w:spacing w:val="43"/>
                <w:sz w:val="22"/>
              </w:rPr>
              <w:t> </w:t>
            </w:r>
            <w:r>
              <w:rPr>
                <w:sz w:val="22"/>
              </w:rPr>
              <w:t>.</w:t>
            </w:r>
            <w:r>
              <w:rPr>
                <w:spacing w:val="42"/>
                <w:sz w:val="22"/>
              </w:rPr>
              <w:t> </w:t>
            </w:r>
            <w:r>
              <w:rPr>
                <w:sz w:val="22"/>
              </w:rPr>
              <w:t>.</w:t>
            </w:r>
            <w:r>
              <w:rPr>
                <w:spacing w:val="43"/>
                <w:sz w:val="22"/>
              </w:rPr>
              <w:t> </w:t>
            </w:r>
            <w:r>
              <w:rPr>
                <w:sz w:val="22"/>
              </w:rPr>
              <w:t>.</w:t>
            </w:r>
            <w:r>
              <w:rPr>
                <w:spacing w:val="43"/>
                <w:sz w:val="22"/>
              </w:rPr>
              <w:t> </w:t>
            </w:r>
            <w:r>
              <w:rPr>
                <w:sz w:val="22"/>
              </w:rPr>
              <w:t>.</w:t>
            </w:r>
            <w:r>
              <w:rPr>
                <w:spacing w:val="42"/>
                <w:sz w:val="22"/>
              </w:rPr>
              <w:t> </w:t>
            </w:r>
            <w:r>
              <w:rPr>
                <w:spacing w:val="-10"/>
                <w:sz w:val="22"/>
              </w:rPr>
              <w:t>.</w:t>
            </w:r>
          </w:p>
        </w:tc>
        <w:tc>
          <w:tcPr>
            <w:tcW w:w="384" w:type="dxa"/>
          </w:tcPr>
          <w:p>
            <w:pPr>
              <w:pStyle w:val="TableParagraph"/>
              <w:spacing w:line="251" w:lineRule="exact" w:before="0"/>
              <w:ind w:left="67" w:right="1"/>
              <w:jc w:val="center"/>
              <w:rPr>
                <w:sz w:val="22"/>
              </w:rPr>
            </w:pPr>
            <w:hyperlink w:history="true" w:anchor="_bookmark32">
              <w:r>
                <w:rPr>
                  <w:color w:val="8B2C18"/>
                  <w:spacing w:val="-5"/>
                  <w:sz w:val="22"/>
                </w:rPr>
                <w:t>16</w:t>
              </w:r>
            </w:hyperlink>
          </w:p>
        </w:tc>
      </w:tr>
      <w:tr>
        <w:trPr>
          <w:trHeight w:val="1083" w:hRule="atLeast"/>
        </w:trPr>
        <w:tc>
          <w:tcPr>
            <w:tcW w:w="456" w:type="dxa"/>
          </w:tcPr>
          <w:p>
            <w:pPr>
              <w:pStyle w:val="TableParagraph"/>
              <w:spacing w:before="0"/>
              <w:ind w:right="81"/>
              <w:jc w:val="center"/>
              <w:rPr>
                <w:sz w:val="22"/>
              </w:rPr>
            </w:pPr>
            <w:r>
              <w:rPr>
                <w:spacing w:val="-5"/>
                <w:sz w:val="22"/>
              </w:rPr>
              <w:t>3.3</w:t>
            </w:r>
          </w:p>
        </w:tc>
        <w:tc>
          <w:tcPr>
            <w:tcW w:w="7436" w:type="dxa"/>
          </w:tcPr>
          <w:p>
            <w:pPr>
              <w:pStyle w:val="TableParagraph"/>
              <w:spacing w:line="256" w:lineRule="auto" w:before="0"/>
              <w:ind w:left="95" w:right="219"/>
              <w:jc w:val="both"/>
              <w:rPr>
                <w:sz w:val="22"/>
              </w:rPr>
            </w:pPr>
            <w:r>
              <w:rPr>
                <w:sz w:val="22"/>
              </w:rPr>
              <w:t>Rule-learning framework methodology: CarenR algorithm steps (blue, left) </w:t>
            </w:r>
            <w:r>
              <w:rPr>
                <w:sz w:val="22"/>
              </w:rPr>
              <w:t>and thesis framework decisions (green, right).</w:t>
            </w:r>
            <w:r>
              <w:rPr>
                <w:spacing w:val="40"/>
                <w:sz w:val="22"/>
              </w:rPr>
              <w:t> </w:t>
            </w:r>
            <w:r>
              <w:rPr>
                <w:sz w:val="22"/>
              </w:rPr>
              <w:t>The significance threshold, support </w:t>
            </w:r>
            <w:r>
              <w:rPr>
                <w:spacing w:val="-2"/>
                <w:sz w:val="22"/>
              </w:rPr>
              <w:t>filter,</w:t>
            </w:r>
            <w:r>
              <w:rPr>
                <w:spacing w:val="-7"/>
                <w:sz w:val="22"/>
              </w:rPr>
              <w:t> </w:t>
            </w:r>
            <w:r>
              <w:rPr>
                <w:spacing w:val="-2"/>
                <w:sz w:val="22"/>
              </w:rPr>
              <w:t>prediction</w:t>
            </w:r>
            <w:r>
              <w:rPr>
                <w:spacing w:val="-7"/>
                <w:sz w:val="22"/>
              </w:rPr>
              <w:t> </w:t>
            </w:r>
            <w:r>
              <w:rPr>
                <w:spacing w:val="-2"/>
                <w:sz w:val="22"/>
              </w:rPr>
              <w:t>logic,</w:t>
            </w:r>
            <w:r>
              <w:rPr>
                <w:spacing w:val="-7"/>
                <w:sz w:val="22"/>
              </w:rPr>
              <w:t> </w:t>
            </w:r>
            <w:r>
              <w:rPr>
                <w:spacing w:val="-2"/>
                <w:sz w:val="22"/>
              </w:rPr>
              <w:t>and</w:t>
            </w:r>
            <w:r>
              <w:rPr>
                <w:spacing w:val="-7"/>
                <w:sz w:val="22"/>
              </w:rPr>
              <w:t> </w:t>
            </w:r>
            <w:r>
              <w:rPr>
                <w:spacing w:val="-2"/>
                <w:sz w:val="22"/>
              </w:rPr>
              <w:t>fallback</w:t>
            </w:r>
            <w:r>
              <w:rPr>
                <w:spacing w:val="-7"/>
                <w:sz w:val="22"/>
              </w:rPr>
              <w:t> </w:t>
            </w:r>
            <w:r>
              <w:rPr>
                <w:spacing w:val="-2"/>
                <w:sz w:val="22"/>
              </w:rPr>
              <w:t>are</w:t>
            </w:r>
            <w:r>
              <w:rPr>
                <w:spacing w:val="-7"/>
                <w:sz w:val="22"/>
              </w:rPr>
              <w:t> </w:t>
            </w:r>
            <w:r>
              <w:rPr>
                <w:spacing w:val="-2"/>
                <w:sz w:val="22"/>
              </w:rPr>
              <w:t>thesis</w:t>
            </w:r>
            <w:r>
              <w:rPr>
                <w:spacing w:val="-7"/>
                <w:sz w:val="22"/>
              </w:rPr>
              <w:t> </w:t>
            </w:r>
            <w:r>
              <w:rPr>
                <w:spacing w:val="-2"/>
                <w:sz w:val="22"/>
              </w:rPr>
              <w:t>design</w:t>
            </w:r>
            <w:r>
              <w:rPr>
                <w:spacing w:val="-7"/>
                <w:sz w:val="22"/>
              </w:rPr>
              <w:t> </w:t>
            </w:r>
            <w:r>
              <w:rPr>
                <w:spacing w:val="-2"/>
                <w:sz w:val="22"/>
              </w:rPr>
              <w:t>choices,</w:t>
            </w:r>
            <w:r>
              <w:rPr>
                <w:spacing w:val="-7"/>
                <w:sz w:val="22"/>
              </w:rPr>
              <w:t> </w:t>
            </w:r>
            <w:r>
              <w:rPr>
                <w:spacing w:val="-2"/>
                <w:sz w:val="22"/>
              </w:rPr>
              <w:t>not</w:t>
            </w:r>
            <w:r>
              <w:rPr>
                <w:spacing w:val="-7"/>
                <w:sz w:val="22"/>
              </w:rPr>
              <w:t> </w:t>
            </w:r>
            <w:r>
              <w:rPr>
                <w:spacing w:val="-2"/>
                <w:sz w:val="22"/>
              </w:rPr>
              <w:t>prescribed</w:t>
            </w:r>
            <w:r>
              <w:rPr>
                <w:spacing w:val="-7"/>
                <w:sz w:val="22"/>
              </w:rPr>
              <w:t> </w:t>
            </w:r>
            <w:r>
              <w:rPr>
                <w:spacing w:val="-2"/>
                <w:sz w:val="22"/>
              </w:rPr>
              <w:t>by</w:t>
            </w:r>
            <w:r>
              <w:rPr>
                <w:spacing w:val="-7"/>
                <w:sz w:val="22"/>
              </w:rPr>
              <w:t> </w:t>
            </w:r>
            <w:r>
              <w:rPr>
                <w:spacing w:val="-5"/>
                <w:sz w:val="22"/>
              </w:rPr>
              <w:t>the</w:t>
            </w:r>
          </w:p>
          <w:p>
            <w:pPr>
              <w:pStyle w:val="TableParagraph"/>
              <w:spacing w:line="251" w:lineRule="exact" w:before="1"/>
              <w:ind w:left="95"/>
              <w:jc w:val="both"/>
              <w:rPr>
                <w:sz w:val="22"/>
              </w:rPr>
            </w:pPr>
            <w:r>
              <w:rPr>
                <w:sz w:val="22"/>
              </w:rPr>
              <w:t>CarenR</w:t>
            </w:r>
            <w:r>
              <w:rPr>
                <w:spacing w:val="-2"/>
                <w:sz w:val="22"/>
              </w:rPr>
              <w:t> </w:t>
            </w:r>
            <w:r>
              <w:rPr>
                <w:sz w:val="22"/>
              </w:rPr>
              <w:t>algorithm. .</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pacing w:val="-10"/>
                <w:sz w:val="22"/>
              </w:rPr>
              <w:t>.</w:t>
            </w:r>
          </w:p>
        </w:tc>
        <w:tc>
          <w:tcPr>
            <w:tcW w:w="384" w:type="dxa"/>
          </w:tcPr>
          <w:p>
            <w:pPr>
              <w:pStyle w:val="TableParagraph"/>
              <w:spacing w:before="0"/>
              <w:rPr>
                <w:b/>
                <w:sz w:val="22"/>
              </w:rPr>
            </w:pPr>
          </w:p>
          <w:p>
            <w:pPr>
              <w:pStyle w:val="TableParagraph"/>
              <w:spacing w:before="0"/>
              <w:rPr>
                <w:b/>
                <w:sz w:val="22"/>
              </w:rPr>
            </w:pPr>
          </w:p>
          <w:p>
            <w:pPr>
              <w:pStyle w:val="TableParagraph"/>
              <w:spacing w:before="54"/>
              <w:rPr>
                <w:b/>
                <w:sz w:val="22"/>
              </w:rPr>
            </w:pPr>
          </w:p>
          <w:p>
            <w:pPr>
              <w:pStyle w:val="TableParagraph"/>
              <w:spacing w:line="251" w:lineRule="exact" w:before="0"/>
              <w:ind w:left="67" w:right="1"/>
              <w:jc w:val="center"/>
              <w:rPr>
                <w:sz w:val="22"/>
              </w:rPr>
            </w:pPr>
            <w:hyperlink w:history="true" w:anchor="_bookmark40">
              <w:r>
                <w:rPr>
                  <w:color w:val="8B2C18"/>
                  <w:spacing w:val="-5"/>
                  <w:sz w:val="22"/>
                </w:rPr>
                <w:t>22</w:t>
              </w:r>
            </w:hyperlink>
          </w:p>
        </w:tc>
      </w:tr>
      <w:tr>
        <w:trPr>
          <w:trHeight w:val="641" w:hRule="atLeast"/>
        </w:trPr>
        <w:tc>
          <w:tcPr>
            <w:tcW w:w="456" w:type="dxa"/>
          </w:tcPr>
          <w:p>
            <w:pPr>
              <w:pStyle w:val="TableParagraph"/>
              <w:spacing w:before="0"/>
              <w:ind w:right="81"/>
              <w:jc w:val="center"/>
              <w:rPr>
                <w:sz w:val="22"/>
              </w:rPr>
            </w:pPr>
            <w:r>
              <w:rPr>
                <w:spacing w:val="-5"/>
                <w:sz w:val="22"/>
              </w:rPr>
              <w:t>3.4</w:t>
            </w:r>
          </w:p>
        </w:tc>
        <w:tc>
          <w:tcPr>
            <w:tcW w:w="7436" w:type="dxa"/>
          </w:tcPr>
          <w:p>
            <w:pPr>
              <w:pStyle w:val="TableParagraph"/>
              <w:spacing w:line="256" w:lineRule="auto" w:before="0"/>
              <w:ind w:left="88" w:hanging="4"/>
              <w:rPr>
                <w:sz w:val="22"/>
              </w:rPr>
            </w:pPr>
            <w:r>
              <w:rPr>
                <w:spacing w:val="-2"/>
                <w:sz w:val="22"/>
              </w:rPr>
              <w:t>Walk-forward</w:t>
            </w:r>
            <w:r>
              <w:rPr>
                <w:spacing w:val="-12"/>
                <w:sz w:val="22"/>
              </w:rPr>
              <w:t> </w:t>
            </w:r>
            <w:r>
              <w:rPr>
                <w:spacing w:val="-2"/>
                <w:sz w:val="22"/>
              </w:rPr>
              <w:t>expanding-window</w:t>
            </w:r>
            <w:r>
              <w:rPr>
                <w:spacing w:val="-11"/>
                <w:sz w:val="22"/>
              </w:rPr>
              <w:t> </w:t>
            </w:r>
            <w:r>
              <w:rPr>
                <w:spacing w:val="-2"/>
                <w:sz w:val="22"/>
              </w:rPr>
              <w:t>validation</w:t>
            </w:r>
            <w:r>
              <w:rPr>
                <w:spacing w:val="-12"/>
                <w:sz w:val="22"/>
              </w:rPr>
              <w:t> </w:t>
            </w:r>
            <w:r>
              <w:rPr>
                <w:spacing w:val="-2"/>
                <w:sz w:val="22"/>
              </w:rPr>
              <w:t>for</w:t>
            </w:r>
            <w:r>
              <w:rPr>
                <w:spacing w:val="-11"/>
                <w:sz w:val="22"/>
              </w:rPr>
              <w:t> </w:t>
            </w:r>
            <w:r>
              <w:rPr>
                <w:spacing w:val="-2"/>
                <w:sz w:val="22"/>
              </w:rPr>
              <w:t>RDD</w:t>
            </w:r>
            <w:r>
              <w:rPr>
                <w:spacing w:val="-12"/>
                <w:sz w:val="22"/>
              </w:rPr>
              <w:t> </w:t>
            </w:r>
            <w:r>
              <w:rPr>
                <w:spacing w:val="-2"/>
                <w:sz w:val="22"/>
              </w:rPr>
              <w:t>(18</w:t>
            </w:r>
            <w:r>
              <w:rPr>
                <w:spacing w:val="-11"/>
                <w:sz w:val="22"/>
              </w:rPr>
              <w:t> </w:t>
            </w:r>
            <w:r>
              <w:rPr>
                <w:spacing w:val="-2"/>
                <w:sz w:val="22"/>
              </w:rPr>
              <w:t>scenarios,</w:t>
            </w:r>
            <w:r>
              <w:rPr>
                <w:spacing w:val="-12"/>
                <w:sz w:val="22"/>
              </w:rPr>
              <w:t> </w:t>
            </w:r>
            <w:r>
              <w:rPr>
                <w:spacing w:val="-2"/>
                <w:sz w:val="22"/>
              </w:rPr>
              <w:t>top)</w:t>
            </w:r>
            <w:r>
              <w:rPr>
                <w:spacing w:val="-11"/>
                <w:sz w:val="22"/>
              </w:rPr>
              <w:t> </w:t>
            </w:r>
            <w:r>
              <w:rPr>
                <w:spacing w:val="-2"/>
                <w:sz w:val="22"/>
              </w:rPr>
              <w:t>and</w:t>
            </w:r>
            <w:r>
              <w:rPr>
                <w:spacing w:val="-12"/>
                <w:sz w:val="22"/>
              </w:rPr>
              <w:t> </w:t>
            </w:r>
            <w:r>
              <w:rPr>
                <w:spacing w:val="-2"/>
                <w:sz w:val="22"/>
              </w:rPr>
              <w:t>RVV </w:t>
            </w:r>
            <w:r>
              <w:rPr>
                <w:sz w:val="22"/>
              </w:rPr>
              <w:t>(16</w:t>
            </w:r>
            <w:r>
              <w:rPr>
                <w:spacing w:val="-2"/>
                <w:sz w:val="22"/>
              </w:rPr>
              <w:t> </w:t>
            </w:r>
            <w:r>
              <w:rPr>
                <w:sz w:val="22"/>
              </w:rPr>
              <w:t>scenarios,</w:t>
            </w:r>
            <w:r>
              <w:rPr>
                <w:spacing w:val="-2"/>
                <w:sz w:val="22"/>
              </w:rPr>
              <w:t> </w:t>
            </w:r>
            <w:r>
              <w:rPr>
                <w:sz w:val="22"/>
              </w:rPr>
              <w:t>bottom).</w:t>
            </w:r>
            <w:r>
              <w:rPr>
                <w:spacing w:val="27"/>
                <w:sz w:val="22"/>
              </w:rPr>
              <w:t>  </w:t>
            </w:r>
            <w:r>
              <w:rPr>
                <w:sz w:val="22"/>
              </w:rPr>
              <w:t>.</w:t>
            </w:r>
            <w:r>
              <w:rPr>
                <w:spacing w:val="54"/>
                <w:sz w:val="22"/>
              </w:rPr>
              <w:t> </w:t>
            </w:r>
            <w:r>
              <w:rPr>
                <w:sz w:val="22"/>
              </w:rPr>
              <w:t>.</w:t>
            </w:r>
            <w:r>
              <w:rPr>
                <w:spacing w:val="53"/>
                <w:sz w:val="22"/>
              </w:rPr>
              <w:t> </w:t>
            </w:r>
            <w:r>
              <w:rPr>
                <w:sz w:val="22"/>
              </w:rPr>
              <w:t>.</w:t>
            </w:r>
            <w:r>
              <w:rPr>
                <w:spacing w:val="52"/>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2"/>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2"/>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pacing w:val="-10"/>
                <w:sz w:val="22"/>
              </w:rPr>
              <w:t>.</w:t>
            </w:r>
          </w:p>
        </w:tc>
        <w:tc>
          <w:tcPr>
            <w:tcW w:w="384" w:type="dxa"/>
          </w:tcPr>
          <w:p>
            <w:pPr>
              <w:pStyle w:val="TableParagraph"/>
              <w:spacing w:before="18"/>
              <w:rPr>
                <w:b/>
                <w:sz w:val="22"/>
              </w:rPr>
            </w:pPr>
          </w:p>
          <w:p>
            <w:pPr>
              <w:pStyle w:val="TableParagraph"/>
              <w:spacing w:before="0"/>
              <w:ind w:left="67" w:right="1"/>
              <w:jc w:val="center"/>
              <w:rPr>
                <w:sz w:val="22"/>
              </w:rPr>
            </w:pPr>
            <w:hyperlink w:history="true" w:anchor="_bookmark44">
              <w:r>
                <w:rPr>
                  <w:color w:val="8B2C18"/>
                  <w:spacing w:val="-5"/>
                  <w:sz w:val="22"/>
                </w:rPr>
                <w:t>26</w:t>
              </w:r>
            </w:hyperlink>
          </w:p>
        </w:tc>
      </w:tr>
      <w:tr>
        <w:trPr>
          <w:trHeight w:val="641" w:hRule="atLeast"/>
        </w:trPr>
        <w:tc>
          <w:tcPr>
            <w:tcW w:w="456" w:type="dxa"/>
          </w:tcPr>
          <w:p>
            <w:pPr>
              <w:pStyle w:val="TableParagraph"/>
              <w:spacing w:before="100"/>
              <w:ind w:right="81"/>
              <w:jc w:val="center"/>
              <w:rPr>
                <w:sz w:val="22"/>
              </w:rPr>
            </w:pPr>
            <w:r>
              <w:rPr>
                <w:spacing w:val="-5"/>
                <w:sz w:val="22"/>
              </w:rPr>
              <w:t>5.1</w:t>
            </w:r>
          </w:p>
        </w:tc>
        <w:tc>
          <w:tcPr>
            <w:tcW w:w="7436" w:type="dxa"/>
          </w:tcPr>
          <w:p>
            <w:pPr>
              <w:pStyle w:val="TableParagraph"/>
              <w:spacing w:line="270" w:lineRule="atLeast" w:before="81"/>
              <w:ind w:left="95" w:right="122" w:hanging="11"/>
              <w:rPr>
                <w:sz w:val="22"/>
              </w:rPr>
            </w:pPr>
            <w:r>
              <w:rPr>
                <w:sz w:val="22"/>
              </w:rPr>
              <w:t>Weighted</w:t>
            </w:r>
            <w:r>
              <w:rPr>
                <w:spacing w:val="-8"/>
                <w:sz w:val="22"/>
              </w:rPr>
              <w:t> </w:t>
            </w:r>
            <w:r>
              <w:rPr>
                <w:sz w:val="22"/>
              </w:rPr>
              <w:t>MAE</w:t>
            </w:r>
            <w:r>
              <w:rPr>
                <w:spacing w:val="-8"/>
                <w:sz w:val="22"/>
              </w:rPr>
              <w:t> </w:t>
            </w:r>
            <w:r>
              <w:rPr>
                <w:sz w:val="22"/>
              </w:rPr>
              <w:t>ranking</w:t>
            </w:r>
            <w:r>
              <w:rPr>
                <w:spacing w:val="-8"/>
                <w:sz w:val="22"/>
              </w:rPr>
              <w:t> </w:t>
            </w:r>
            <w:r>
              <w:rPr>
                <w:sz w:val="22"/>
              </w:rPr>
              <w:t>across</w:t>
            </w:r>
            <w:r>
              <w:rPr>
                <w:spacing w:val="-8"/>
                <w:sz w:val="22"/>
              </w:rPr>
              <w:t> </w:t>
            </w:r>
            <w:r>
              <w:rPr>
                <w:sz w:val="22"/>
              </w:rPr>
              <w:t>all</w:t>
            </w:r>
            <w:r>
              <w:rPr>
                <w:spacing w:val="-8"/>
                <w:sz w:val="22"/>
              </w:rPr>
              <w:t> </w:t>
            </w:r>
            <w:r>
              <w:rPr>
                <w:sz w:val="22"/>
              </w:rPr>
              <w:t>17</w:t>
            </w:r>
            <w:r>
              <w:rPr>
                <w:spacing w:val="-8"/>
                <w:sz w:val="22"/>
              </w:rPr>
              <w:t> </w:t>
            </w:r>
            <w:r>
              <w:rPr>
                <w:sz w:val="22"/>
              </w:rPr>
              <w:t>models</w:t>
            </w:r>
            <w:r>
              <w:rPr>
                <w:spacing w:val="-8"/>
                <w:sz w:val="22"/>
              </w:rPr>
              <w:t> </w:t>
            </w:r>
            <w:r>
              <w:rPr>
                <w:sz w:val="22"/>
              </w:rPr>
              <w:t>for</w:t>
            </w:r>
            <w:r>
              <w:rPr>
                <w:spacing w:val="-8"/>
                <w:sz w:val="22"/>
              </w:rPr>
              <w:t> </w:t>
            </w:r>
            <w:r>
              <w:rPr>
                <w:sz w:val="22"/>
              </w:rPr>
              <w:t>the</w:t>
            </w:r>
            <w:r>
              <w:rPr>
                <w:spacing w:val="-8"/>
                <w:sz w:val="22"/>
              </w:rPr>
              <w:t> </w:t>
            </w:r>
            <w:r>
              <w:rPr>
                <w:sz w:val="22"/>
              </w:rPr>
              <w:t>Douro</w:t>
            </w:r>
            <w:r>
              <w:rPr>
                <w:spacing w:val="-8"/>
                <w:sz w:val="22"/>
              </w:rPr>
              <w:t> </w:t>
            </w:r>
            <w:r>
              <w:rPr>
                <w:sz w:val="22"/>
              </w:rPr>
              <w:t>(RDD)</w:t>
            </w:r>
            <w:r>
              <w:rPr>
                <w:spacing w:val="-8"/>
                <w:sz w:val="22"/>
              </w:rPr>
              <w:t> </w:t>
            </w:r>
            <w:r>
              <w:rPr>
                <w:sz w:val="22"/>
              </w:rPr>
              <w:t>region. Lower is</w:t>
            </w:r>
            <w:r>
              <w:rPr>
                <w:spacing w:val="-2"/>
                <w:sz w:val="22"/>
              </w:rPr>
              <w:t> </w:t>
            </w:r>
            <w:r>
              <w:rPr>
                <w:sz w:val="22"/>
              </w:rPr>
              <w:t>better.</w:t>
            </w:r>
            <w:r>
              <w:rPr>
                <w:spacing w:val="66"/>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pacing w:val="-10"/>
                <w:sz w:val="22"/>
              </w:rPr>
              <w:t>.</w:t>
            </w:r>
          </w:p>
        </w:tc>
        <w:tc>
          <w:tcPr>
            <w:tcW w:w="384" w:type="dxa"/>
          </w:tcPr>
          <w:p>
            <w:pPr>
              <w:pStyle w:val="TableParagraph"/>
              <w:spacing w:before="117"/>
              <w:rPr>
                <w:b/>
                <w:sz w:val="22"/>
              </w:rPr>
            </w:pPr>
          </w:p>
          <w:p>
            <w:pPr>
              <w:pStyle w:val="TableParagraph"/>
              <w:spacing w:line="251" w:lineRule="exact" w:before="1"/>
              <w:ind w:left="67" w:right="1"/>
              <w:jc w:val="center"/>
              <w:rPr>
                <w:sz w:val="22"/>
              </w:rPr>
            </w:pPr>
            <w:hyperlink w:history="true" w:anchor="_bookmark101">
              <w:r>
                <w:rPr>
                  <w:color w:val="8B2C18"/>
                  <w:spacing w:val="-5"/>
                  <w:sz w:val="22"/>
                </w:rPr>
                <w:t>54</w:t>
              </w:r>
            </w:hyperlink>
          </w:p>
        </w:tc>
      </w:tr>
      <w:tr>
        <w:trPr>
          <w:trHeight w:val="270" w:hRule="atLeast"/>
        </w:trPr>
        <w:tc>
          <w:tcPr>
            <w:tcW w:w="456" w:type="dxa"/>
          </w:tcPr>
          <w:p>
            <w:pPr>
              <w:pStyle w:val="TableParagraph"/>
              <w:spacing w:line="251" w:lineRule="exact" w:before="0"/>
              <w:ind w:right="81"/>
              <w:jc w:val="center"/>
              <w:rPr>
                <w:sz w:val="22"/>
              </w:rPr>
            </w:pPr>
            <w:r>
              <w:rPr>
                <w:spacing w:val="-5"/>
                <w:sz w:val="22"/>
              </w:rPr>
              <w:t>5.2</w:t>
            </w:r>
          </w:p>
        </w:tc>
        <w:tc>
          <w:tcPr>
            <w:tcW w:w="7436" w:type="dxa"/>
          </w:tcPr>
          <w:p>
            <w:pPr>
              <w:pStyle w:val="TableParagraph"/>
              <w:spacing w:line="251" w:lineRule="exact" w:before="0"/>
              <w:ind w:left="85"/>
              <w:rPr>
                <w:sz w:val="22"/>
              </w:rPr>
            </w:pPr>
            <w:r>
              <w:rPr>
                <w:sz w:val="22"/>
              </w:rPr>
              <w:t>Weighted</w:t>
            </w:r>
            <w:r>
              <w:rPr>
                <w:spacing w:val="-12"/>
                <w:sz w:val="22"/>
              </w:rPr>
              <w:t> </w:t>
            </w:r>
            <w:r>
              <w:rPr>
                <w:sz w:val="22"/>
              </w:rPr>
              <w:t>MAE</w:t>
            </w:r>
            <w:r>
              <w:rPr>
                <w:spacing w:val="-12"/>
                <w:sz w:val="22"/>
              </w:rPr>
              <w:t> </w:t>
            </w:r>
            <w:r>
              <w:rPr>
                <w:sz w:val="22"/>
              </w:rPr>
              <w:t>ranking</w:t>
            </w:r>
            <w:r>
              <w:rPr>
                <w:spacing w:val="-11"/>
                <w:sz w:val="22"/>
              </w:rPr>
              <w:t> </w:t>
            </w:r>
            <w:r>
              <w:rPr>
                <w:sz w:val="22"/>
              </w:rPr>
              <w:t>across</w:t>
            </w:r>
            <w:r>
              <w:rPr>
                <w:spacing w:val="-12"/>
                <w:sz w:val="22"/>
              </w:rPr>
              <w:t> </w:t>
            </w:r>
            <w:r>
              <w:rPr>
                <w:sz w:val="22"/>
              </w:rPr>
              <w:t>all</w:t>
            </w:r>
            <w:r>
              <w:rPr>
                <w:spacing w:val="-12"/>
                <w:sz w:val="22"/>
              </w:rPr>
              <w:t> </w:t>
            </w:r>
            <w:r>
              <w:rPr>
                <w:sz w:val="22"/>
              </w:rPr>
              <w:t>17</w:t>
            </w:r>
            <w:r>
              <w:rPr>
                <w:spacing w:val="-11"/>
                <w:sz w:val="22"/>
              </w:rPr>
              <w:t> </w:t>
            </w:r>
            <w:r>
              <w:rPr>
                <w:sz w:val="22"/>
              </w:rPr>
              <w:t>models</w:t>
            </w:r>
            <w:r>
              <w:rPr>
                <w:spacing w:val="-12"/>
                <w:sz w:val="22"/>
              </w:rPr>
              <w:t> </w:t>
            </w:r>
            <w:r>
              <w:rPr>
                <w:sz w:val="22"/>
              </w:rPr>
              <w:t>for</w:t>
            </w:r>
            <w:r>
              <w:rPr>
                <w:spacing w:val="-12"/>
                <w:sz w:val="22"/>
              </w:rPr>
              <w:t> </w:t>
            </w:r>
            <w:r>
              <w:rPr>
                <w:sz w:val="22"/>
              </w:rPr>
              <w:t>the</w:t>
            </w:r>
            <w:r>
              <w:rPr>
                <w:spacing w:val="-11"/>
                <w:sz w:val="22"/>
              </w:rPr>
              <w:t> </w:t>
            </w:r>
            <w:r>
              <w:rPr>
                <w:sz w:val="22"/>
              </w:rPr>
              <w:t>Vinho</w:t>
            </w:r>
            <w:r>
              <w:rPr>
                <w:spacing w:val="-12"/>
                <w:sz w:val="22"/>
              </w:rPr>
              <w:t> </w:t>
            </w:r>
            <w:r>
              <w:rPr>
                <w:sz w:val="22"/>
              </w:rPr>
              <w:t>Verde</w:t>
            </w:r>
            <w:r>
              <w:rPr>
                <w:spacing w:val="-12"/>
                <w:sz w:val="22"/>
              </w:rPr>
              <w:t> </w:t>
            </w:r>
            <w:r>
              <w:rPr>
                <w:sz w:val="22"/>
              </w:rPr>
              <w:t>(RVV)</w:t>
            </w:r>
            <w:r>
              <w:rPr>
                <w:spacing w:val="-11"/>
                <w:sz w:val="22"/>
              </w:rPr>
              <w:t> </w:t>
            </w:r>
            <w:r>
              <w:rPr>
                <w:sz w:val="22"/>
              </w:rPr>
              <w:t>region.</w:t>
            </w:r>
            <w:r>
              <w:rPr>
                <w:spacing w:val="11"/>
                <w:sz w:val="22"/>
              </w:rPr>
              <w:t> </w:t>
            </w:r>
            <w:r>
              <w:rPr>
                <w:spacing w:val="-10"/>
                <w:sz w:val="22"/>
              </w:rPr>
              <w:t>.</w:t>
            </w:r>
          </w:p>
        </w:tc>
        <w:tc>
          <w:tcPr>
            <w:tcW w:w="384" w:type="dxa"/>
          </w:tcPr>
          <w:p>
            <w:pPr>
              <w:pStyle w:val="TableParagraph"/>
              <w:spacing w:line="251" w:lineRule="exact" w:before="0"/>
              <w:ind w:left="67" w:right="1"/>
              <w:jc w:val="center"/>
              <w:rPr>
                <w:sz w:val="22"/>
              </w:rPr>
            </w:pPr>
            <w:hyperlink w:history="true" w:anchor="_bookmark105">
              <w:r>
                <w:rPr>
                  <w:color w:val="8B2C18"/>
                  <w:spacing w:val="-5"/>
                  <w:sz w:val="22"/>
                </w:rPr>
                <w:t>56</w:t>
              </w:r>
            </w:hyperlink>
          </w:p>
        </w:tc>
      </w:tr>
      <w:tr>
        <w:trPr>
          <w:trHeight w:val="270" w:hRule="atLeast"/>
        </w:trPr>
        <w:tc>
          <w:tcPr>
            <w:tcW w:w="456" w:type="dxa"/>
          </w:tcPr>
          <w:p>
            <w:pPr>
              <w:pStyle w:val="TableParagraph"/>
              <w:spacing w:line="251" w:lineRule="exact" w:before="0"/>
              <w:ind w:right="81"/>
              <w:jc w:val="center"/>
              <w:rPr>
                <w:sz w:val="22"/>
              </w:rPr>
            </w:pPr>
            <w:r>
              <w:rPr>
                <w:spacing w:val="-5"/>
                <w:sz w:val="22"/>
              </w:rPr>
              <w:t>5.3</w:t>
            </w:r>
          </w:p>
        </w:tc>
        <w:tc>
          <w:tcPr>
            <w:tcW w:w="7436" w:type="dxa"/>
          </w:tcPr>
          <w:p>
            <w:pPr>
              <w:pStyle w:val="TableParagraph"/>
              <w:spacing w:line="251" w:lineRule="exact" w:before="0"/>
              <w:ind w:left="95"/>
              <w:rPr>
                <w:sz w:val="22"/>
              </w:rPr>
            </w:pPr>
            <w:r>
              <w:rPr>
                <w:sz w:val="22"/>
              </w:rPr>
              <w:t>Per-scenario</w:t>
            </w:r>
            <w:r>
              <w:rPr>
                <w:spacing w:val="-14"/>
                <w:sz w:val="22"/>
              </w:rPr>
              <w:t> </w:t>
            </w:r>
            <w:r>
              <w:rPr>
                <w:sz w:val="22"/>
              </w:rPr>
              <w:t>MAE</w:t>
            </w:r>
            <w:r>
              <w:rPr>
                <w:spacing w:val="-13"/>
                <w:sz w:val="22"/>
              </w:rPr>
              <w:t> </w:t>
            </w:r>
            <w:r>
              <w:rPr>
                <w:sz w:val="22"/>
              </w:rPr>
              <w:t>for</w:t>
            </w:r>
            <w:r>
              <w:rPr>
                <w:spacing w:val="-7"/>
                <w:sz w:val="22"/>
              </w:rPr>
              <w:t> </w:t>
            </w:r>
            <w:r>
              <w:rPr>
                <w:rFonts w:ascii="Courier New"/>
                <w:sz w:val="22"/>
              </w:rPr>
              <w:t>CarenR_Dist_Eta2</w:t>
            </w:r>
            <w:r>
              <w:rPr>
                <w:rFonts w:ascii="Courier New"/>
                <w:spacing w:val="-78"/>
                <w:sz w:val="22"/>
              </w:rPr>
              <w:t> </w:t>
            </w:r>
            <w:r>
              <w:rPr>
                <w:sz w:val="22"/>
              </w:rPr>
              <w:t>vs</w:t>
            </w:r>
            <w:r>
              <w:rPr>
                <w:spacing w:val="-7"/>
                <w:sz w:val="22"/>
              </w:rPr>
              <w:t> </w:t>
            </w:r>
            <w:r>
              <w:rPr>
                <w:rFonts w:ascii="Courier New"/>
                <w:sz w:val="22"/>
              </w:rPr>
              <w:t>Naive_Median</w:t>
            </w:r>
            <w:r>
              <w:rPr>
                <w:rFonts w:ascii="Courier New"/>
                <w:spacing w:val="-78"/>
                <w:sz w:val="22"/>
              </w:rPr>
              <w:t> </w:t>
            </w:r>
            <w:r>
              <w:rPr>
                <w:sz w:val="22"/>
              </w:rPr>
              <w:t>(RDD).</w:t>
            </w:r>
            <w:r>
              <w:rPr>
                <w:spacing w:val="16"/>
                <w:sz w:val="22"/>
              </w:rPr>
              <w:t> </w:t>
            </w:r>
            <w:r>
              <w:rPr>
                <w:sz w:val="22"/>
              </w:rPr>
              <w:t>.</w:t>
            </w:r>
            <w:r>
              <w:rPr>
                <w:spacing w:val="42"/>
                <w:sz w:val="22"/>
              </w:rPr>
              <w:t> </w:t>
            </w:r>
            <w:r>
              <w:rPr>
                <w:sz w:val="22"/>
              </w:rPr>
              <w:t>.</w:t>
            </w:r>
            <w:r>
              <w:rPr>
                <w:spacing w:val="41"/>
                <w:sz w:val="22"/>
              </w:rPr>
              <w:t> </w:t>
            </w:r>
            <w:r>
              <w:rPr>
                <w:spacing w:val="-10"/>
                <w:sz w:val="22"/>
              </w:rPr>
              <w:t>.</w:t>
            </w:r>
          </w:p>
        </w:tc>
        <w:tc>
          <w:tcPr>
            <w:tcW w:w="384" w:type="dxa"/>
          </w:tcPr>
          <w:p>
            <w:pPr>
              <w:pStyle w:val="TableParagraph"/>
              <w:spacing w:line="251" w:lineRule="exact" w:before="0"/>
              <w:ind w:left="67" w:right="1"/>
              <w:jc w:val="center"/>
              <w:rPr>
                <w:sz w:val="22"/>
              </w:rPr>
            </w:pPr>
            <w:hyperlink w:history="true" w:anchor="_bookmark106">
              <w:r>
                <w:rPr>
                  <w:color w:val="8B2C18"/>
                  <w:spacing w:val="-5"/>
                  <w:sz w:val="22"/>
                </w:rPr>
                <w:t>56</w:t>
              </w:r>
            </w:hyperlink>
          </w:p>
        </w:tc>
      </w:tr>
      <w:tr>
        <w:trPr>
          <w:trHeight w:val="270" w:hRule="atLeast"/>
        </w:trPr>
        <w:tc>
          <w:tcPr>
            <w:tcW w:w="456" w:type="dxa"/>
          </w:tcPr>
          <w:p>
            <w:pPr>
              <w:pStyle w:val="TableParagraph"/>
              <w:spacing w:line="251" w:lineRule="exact" w:before="0"/>
              <w:ind w:right="81"/>
              <w:jc w:val="center"/>
              <w:rPr>
                <w:sz w:val="22"/>
              </w:rPr>
            </w:pPr>
            <w:r>
              <w:rPr>
                <w:spacing w:val="-5"/>
                <w:sz w:val="22"/>
              </w:rPr>
              <w:t>5.4</w:t>
            </w:r>
          </w:p>
        </w:tc>
        <w:tc>
          <w:tcPr>
            <w:tcW w:w="7436" w:type="dxa"/>
          </w:tcPr>
          <w:p>
            <w:pPr>
              <w:pStyle w:val="TableParagraph"/>
              <w:spacing w:line="251" w:lineRule="exact" w:before="0"/>
              <w:ind w:left="95"/>
              <w:rPr>
                <w:sz w:val="22"/>
              </w:rPr>
            </w:pPr>
            <w:r>
              <w:rPr>
                <w:sz w:val="22"/>
              </w:rPr>
              <w:t>Per-scenario</w:t>
            </w:r>
            <w:r>
              <w:rPr>
                <w:spacing w:val="-14"/>
                <w:sz w:val="22"/>
              </w:rPr>
              <w:t> </w:t>
            </w:r>
            <w:r>
              <w:rPr>
                <w:sz w:val="22"/>
              </w:rPr>
              <w:t>MAE</w:t>
            </w:r>
            <w:r>
              <w:rPr>
                <w:spacing w:val="-14"/>
                <w:sz w:val="22"/>
              </w:rPr>
              <w:t> </w:t>
            </w:r>
            <w:r>
              <w:rPr>
                <w:sz w:val="22"/>
              </w:rPr>
              <w:t>for</w:t>
            </w:r>
            <w:r>
              <w:rPr>
                <w:spacing w:val="-14"/>
                <w:sz w:val="22"/>
              </w:rPr>
              <w:t> </w:t>
            </w:r>
            <w:r>
              <w:rPr>
                <w:rFonts w:ascii="Courier New"/>
                <w:sz w:val="22"/>
              </w:rPr>
              <w:t>CarenR_Dist_Sup_FS</w:t>
            </w:r>
            <w:r>
              <w:rPr>
                <w:rFonts w:ascii="Courier New"/>
                <w:spacing w:val="-78"/>
                <w:sz w:val="22"/>
              </w:rPr>
              <w:t> </w:t>
            </w:r>
            <w:r>
              <w:rPr>
                <w:sz w:val="22"/>
              </w:rPr>
              <w:t>vs</w:t>
            </w:r>
            <w:r>
              <w:rPr>
                <w:spacing w:val="-13"/>
                <w:sz w:val="22"/>
              </w:rPr>
              <w:t> </w:t>
            </w:r>
            <w:r>
              <w:rPr>
                <w:rFonts w:ascii="Courier New"/>
                <w:sz w:val="22"/>
              </w:rPr>
              <w:t>Naive_Median</w:t>
            </w:r>
            <w:r>
              <w:rPr>
                <w:rFonts w:ascii="Courier New"/>
                <w:spacing w:val="-78"/>
                <w:sz w:val="22"/>
              </w:rPr>
              <w:t> </w:t>
            </w:r>
            <w:r>
              <w:rPr>
                <w:sz w:val="22"/>
              </w:rPr>
              <w:t>(RVV).</w:t>
            </w:r>
            <w:r>
              <w:rPr>
                <w:spacing w:val="69"/>
                <w:sz w:val="22"/>
              </w:rPr>
              <w:t> </w:t>
            </w:r>
            <w:r>
              <w:rPr>
                <w:spacing w:val="-10"/>
                <w:sz w:val="22"/>
              </w:rPr>
              <w:t>.</w:t>
            </w:r>
          </w:p>
        </w:tc>
        <w:tc>
          <w:tcPr>
            <w:tcW w:w="384" w:type="dxa"/>
          </w:tcPr>
          <w:p>
            <w:pPr>
              <w:pStyle w:val="TableParagraph"/>
              <w:spacing w:line="251" w:lineRule="exact" w:before="0"/>
              <w:ind w:left="67" w:right="1"/>
              <w:jc w:val="center"/>
              <w:rPr>
                <w:sz w:val="22"/>
              </w:rPr>
            </w:pPr>
            <w:hyperlink w:history="true" w:anchor="_bookmark109">
              <w:r>
                <w:rPr>
                  <w:color w:val="8B2C18"/>
                  <w:spacing w:val="-5"/>
                  <w:sz w:val="22"/>
                </w:rPr>
                <w:t>57</w:t>
              </w:r>
            </w:hyperlink>
          </w:p>
        </w:tc>
      </w:tr>
      <w:tr>
        <w:trPr>
          <w:trHeight w:val="270" w:hRule="atLeast"/>
        </w:trPr>
        <w:tc>
          <w:tcPr>
            <w:tcW w:w="456" w:type="dxa"/>
          </w:tcPr>
          <w:p>
            <w:pPr>
              <w:pStyle w:val="TableParagraph"/>
              <w:spacing w:line="251" w:lineRule="exact" w:before="0"/>
              <w:ind w:right="81"/>
              <w:jc w:val="center"/>
              <w:rPr>
                <w:sz w:val="22"/>
              </w:rPr>
            </w:pPr>
            <w:r>
              <w:rPr>
                <w:spacing w:val="-5"/>
                <w:sz w:val="22"/>
              </w:rPr>
              <w:t>5.5</w:t>
            </w:r>
          </w:p>
        </w:tc>
        <w:tc>
          <w:tcPr>
            <w:tcW w:w="7436" w:type="dxa"/>
          </w:tcPr>
          <w:p>
            <w:pPr>
              <w:pStyle w:val="TableParagraph"/>
              <w:spacing w:line="251" w:lineRule="exact" w:before="0"/>
              <w:ind w:left="85"/>
              <w:rPr>
                <w:sz w:val="22"/>
              </w:rPr>
            </w:pPr>
            <w:r>
              <w:rPr>
                <w:sz w:val="22"/>
              </w:rPr>
              <w:t>Weighted</w:t>
            </w:r>
            <w:r>
              <w:rPr>
                <w:spacing w:val="-8"/>
                <w:sz w:val="22"/>
              </w:rPr>
              <w:t> </w:t>
            </w:r>
            <w:r>
              <w:rPr>
                <w:sz w:val="22"/>
              </w:rPr>
              <w:t>MAE</w:t>
            </w:r>
            <w:r>
              <w:rPr>
                <w:spacing w:val="-8"/>
                <w:sz w:val="22"/>
              </w:rPr>
              <w:t> </w:t>
            </w:r>
            <w:r>
              <w:rPr>
                <w:sz w:val="22"/>
              </w:rPr>
              <w:t>under</w:t>
            </w:r>
            <w:r>
              <w:rPr>
                <w:spacing w:val="-7"/>
                <w:sz w:val="22"/>
              </w:rPr>
              <w:t> </w:t>
            </w:r>
            <w:r>
              <w:rPr>
                <w:sz w:val="22"/>
              </w:rPr>
              <w:t>linear</w:t>
            </w:r>
            <w:r>
              <w:rPr>
                <w:spacing w:val="-8"/>
                <w:sz w:val="22"/>
              </w:rPr>
              <w:t> </w:t>
            </w:r>
            <w:r>
              <w:rPr>
                <w:sz w:val="22"/>
              </w:rPr>
              <w:t>vs</w:t>
            </w:r>
            <w:r>
              <w:rPr>
                <w:spacing w:val="-7"/>
                <w:sz w:val="22"/>
              </w:rPr>
              <w:t> </w:t>
            </w:r>
            <w:r>
              <w:rPr>
                <w:sz w:val="22"/>
              </w:rPr>
              <w:t>LOESS</w:t>
            </w:r>
            <w:r>
              <w:rPr>
                <w:spacing w:val="-8"/>
                <w:sz w:val="22"/>
              </w:rPr>
              <w:t> </w:t>
            </w:r>
            <w:r>
              <w:rPr>
                <w:sz w:val="22"/>
              </w:rPr>
              <w:t>detrending</w:t>
            </w:r>
            <w:r>
              <w:rPr>
                <w:spacing w:val="-8"/>
                <w:sz w:val="22"/>
              </w:rPr>
              <w:t> </w:t>
            </w:r>
            <w:r>
              <w:rPr>
                <w:sz w:val="22"/>
              </w:rPr>
              <w:t>for</w:t>
            </w:r>
            <w:r>
              <w:rPr>
                <w:spacing w:val="-7"/>
                <w:sz w:val="22"/>
              </w:rPr>
              <w:t> </w:t>
            </w:r>
            <w:r>
              <w:rPr>
                <w:sz w:val="22"/>
              </w:rPr>
              <w:t>all</w:t>
            </w:r>
            <w:r>
              <w:rPr>
                <w:spacing w:val="-8"/>
                <w:sz w:val="22"/>
              </w:rPr>
              <w:t> </w:t>
            </w:r>
            <w:r>
              <w:rPr>
                <w:sz w:val="22"/>
              </w:rPr>
              <w:t>17</w:t>
            </w:r>
            <w:r>
              <w:rPr>
                <w:spacing w:val="-7"/>
                <w:sz w:val="22"/>
              </w:rPr>
              <w:t> </w:t>
            </w:r>
            <w:r>
              <w:rPr>
                <w:sz w:val="22"/>
              </w:rPr>
              <w:t>models,</w:t>
            </w:r>
            <w:r>
              <w:rPr>
                <w:spacing w:val="-8"/>
                <w:sz w:val="22"/>
              </w:rPr>
              <w:t> </w:t>
            </w:r>
            <w:r>
              <w:rPr>
                <w:sz w:val="22"/>
              </w:rPr>
              <w:t>Douro</w:t>
            </w:r>
            <w:r>
              <w:rPr>
                <w:spacing w:val="-8"/>
                <w:sz w:val="22"/>
              </w:rPr>
              <w:t> </w:t>
            </w:r>
            <w:r>
              <w:rPr>
                <w:spacing w:val="-2"/>
                <w:sz w:val="22"/>
              </w:rPr>
              <w:t>(RDD).</w:t>
            </w:r>
          </w:p>
        </w:tc>
        <w:tc>
          <w:tcPr>
            <w:tcW w:w="384" w:type="dxa"/>
          </w:tcPr>
          <w:p>
            <w:pPr>
              <w:pStyle w:val="TableParagraph"/>
              <w:spacing w:line="251" w:lineRule="exact" w:before="0"/>
              <w:ind w:left="67"/>
              <w:jc w:val="center"/>
              <w:rPr>
                <w:sz w:val="22"/>
              </w:rPr>
            </w:pPr>
            <w:hyperlink w:history="true" w:anchor="_bookmark114">
              <w:r>
                <w:rPr>
                  <w:color w:val="8B2C18"/>
                  <w:spacing w:val="-5"/>
                  <w:sz w:val="22"/>
                </w:rPr>
                <w:t>59</w:t>
              </w:r>
            </w:hyperlink>
          </w:p>
        </w:tc>
      </w:tr>
      <w:tr>
        <w:trPr>
          <w:trHeight w:val="1725" w:hRule="atLeast"/>
        </w:trPr>
        <w:tc>
          <w:tcPr>
            <w:tcW w:w="456" w:type="dxa"/>
          </w:tcPr>
          <w:p>
            <w:pPr>
              <w:pStyle w:val="TableParagraph"/>
              <w:spacing w:before="0"/>
              <w:ind w:left="50"/>
              <w:rPr>
                <w:sz w:val="22"/>
              </w:rPr>
            </w:pPr>
            <w:r>
              <w:rPr>
                <w:spacing w:val="-5"/>
                <w:sz w:val="22"/>
              </w:rPr>
              <w:t>5.6</w:t>
            </w:r>
          </w:p>
          <w:p>
            <w:pPr>
              <w:pStyle w:val="TableParagraph"/>
              <w:spacing w:before="36"/>
              <w:rPr>
                <w:b/>
                <w:sz w:val="22"/>
              </w:rPr>
            </w:pPr>
          </w:p>
          <w:p>
            <w:pPr>
              <w:pStyle w:val="TableParagraph"/>
              <w:spacing w:before="0"/>
              <w:ind w:left="50"/>
              <w:rPr>
                <w:sz w:val="22"/>
              </w:rPr>
            </w:pPr>
            <w:r>
              <w:rPr>
                <w:spacing w:val="-5"/>
                <w:sz w:val="22"/>
              </w:rPr>
              <w:t>5.7</w:t>
            </w:r>
          </w:p>
          <w:p>
            <w:pPr>
              <w:pStyle w:val="TableParagraph"/>
              <w:spacing w:before="36"/>
              <w:rPr>
                <w:b/>
                <w:sz w:val="22"/>
              </w:rPr>
            </w:pPr>
          </w:p>
          <w:p>
            <w:pPr>
              <w:pStyle w:val="TableParagraph"/>
              <w:spacing w:before="0"/>
              <w:ind w:left="50"/>
              <w:rPr>
                <w:sz w:val="22"/>
              </w:rPr>
            </w:pPr>
            <w:r>
              <w:rPr>
                <w:spacing w:val="-5"/>
                <w:sz w:val="22"/>
              </w:rPr>
              <w:t>5.8</w:t>
            </w:r>
          </w:p>
        </w:tc>
        <w:tc>
          <w:tcPr>
            <w:tcW w:w="7436" w:type="dxa"/>
          </w:tcPr>
          <w:p>
            <w:pPr>
              <w:pStyle w:val="TableParagraph"/>
              <w:spacing w:line="256" w:lineRule="auto" w:before="0"/>
              <w:ind w:left="88" w:hanging="4"/>
              <w:rPr>
                <w:sz w:val="22"/>
              </w:rPr>
            </w:pPr>
            <w:r>
              <w:rPr>
                <w:sz w:val="22"/>
              </w:rPr>
              <w:t>Weighted</w:t>
            </w:r>
            <w:r>
              <w:rPr>
                <w:spacing w:val="-16"/>
                <w:sz w:val="22"/>
              </w:rPr>
              <w:t> </w:t>
            </w:r>
            <w:r>
              <w:rPr>
                <w:sz w:val="22"/>
              </w:rPr>
              <w:t>MAE</w:t>
            </w:r>
            <w:r>
              <w:rPr>
                <w:spacing w:val="-14"/>
                <w:sz w:val="22"/>
              </w:rPr>
              <w:t> </w:t>
            </w:r>
            <w:r>
              <w:rPr>
                <w:sz w:val="22"/>
              </w:rPr>
              <w:t>under</w:t>
            </w:r>
            <w:r>
              <w:rPr>
                <w:spacing w:val="-14"/>
                <w:sz w:val="22"/>
              </w:rPr>
              <w:t> </w:t>
            </w:r>
            <w:r>
              <w:rPr>
                <w:sz w:val="22"/>
              </w:rPr>
              <w:t>linear</w:t>
            </w:r>
            <w:r>
              <w:rPr>
                <w:spacing w:val="-13"/>
                <w:sz w:val="22"/>
              </w:rPr>
              <w:t> </w:t>
            </w:r>
            <w:r>
              <w:rPr>
                <w:sz w:val="22"/>
              </w:rPr>
              <w:t>vs</w:t>
            </w:r>
            <w:r>
              <w:rPr>
                <w:spacing w:val="-14"/>
                <w:sz w:val="22"/>
              </w:rPr>
              <w:t> </w:t>
            </w:r>
            <w:r>
              <w:rPr>
                <w:sz w:val="22"/>
              </w:rPr>
              <w:t>LOESS</w:t>
            </w:r>
            <w:r>
              <w:rPr>
                <w:spacing w:val="-14"/>
                <w:sz w:val="22"/>
              </w:rPr>
              <w:t> </w:t>
            </w:r>
            <w:r>
              <w:rPr>
                <w:sz w:val="22"/>
              </w:rPr>
              <w:t>detrending</w:t>
            </w:r>
            <w:r>
              <w:rPr>
                <w:spacing w:val="-14"/>
                <w:sz w:val="22"/>
              </w:rPr>
              <w:t> </w:t>
            </w:r>
            <w:r>
              <w:rPr>
                <w:sz w:val="22"/>
              </w:rPr>
              <w:t>for</w:t>
            </w:r>
            <w:r>
              <w:rPr>
                <w:spacing w:val="-13"/>
                <w:sz w:val="22"/>
              </w:rPr>
              <w:t> </w:t>
            </w:r>
            <w:r>
              <w:rPr>
                <w:sz w:val="22"/>
              </w:rPr>
              <w:t>all</w:t>
            </w:r>
            <w:r>
              <w:rPr>
                <w:spacing w:val="-14"/>
                <w:sz w:val="22"/>
              </w:rPr>
              <w:t> </w:t>
            </w:r>
            <w:r>
              <w:rPr>
                <w:sz w:val="22"/>
              </w:rPr>
              <w:t>17</w:t>
            </w:r>
            <w:r>
              <w:rPr>
                <w:spacing w:val="-14"/>
                <w:sz w:val="22"/>
              </w:rPr>
              <w:t> </w:t>
            </w:r>
            <w:r>
              <w:rPr>
                <w:sz w:val="22"/>
              </w:rPr>
              <w:t>models,</w:t>
            </w:r>
            <w:r>
              <w:rPr>
                <w:spacing w:val="-14"/>
                <w:sz w:val="22"/>
              </w:rPr>
              <w:t> </w:t>
            </w:r>
            <w:r>
              <w:rPr>
                <w:sz w:val="22"/>
              </w:rPr>
              <w:t>Vinho</w:t>
            </w:r>
            <w:r>
              <w:rPr>
                <w:spacing w:val="-13"/>
                <w:sz w:val="22"/>
              </w:rPr>
              <w:t> </w:t>
            </w:r>
            <w:r>
              <w:rPr>
                <w:sz w:val="22"/>
              </w:rPr>
              <w:t>Verde (RVV).</w:t>
            </w:r>
            <w:r>
              <w:rPr>
                <w:spacing w:val="6"/>
                <w:sz w:val="22"/>
              </w:rPr>
              <w:t> </w:t>
            </w:r>
            <w:r>
              <w:rPr>
                <w:sz w:val="22"/>
              </w:rPr>
              <w:t>.</w:t>
            </w:r>
            <w:r>
              <w:rPr>
                <w:spacing w:val="53"/>
                <w:sz w:val="22"/>
              </w:rPr>
              <w:t> </w:t>
            </w:r>
            <w:r>
              <w:rPr>
                <w:sz w:val="22"/>
              </w:rPr>
              <w:t>.</w:t>
            </w:r>
            <w:r>
              <w:rPr>
                <w:spacing w:val="53"/>
                <w:sz w:val="22"/>
              </w:rPr>
              <w:t> </w:t>
            </w:r>
            <w:r>
              <w:rPr>
                <w:sz w:val="22"/>
              </w:rPr>
              <w:t>.</w:t>
            </w:r>
            <w:r>
              <w:rPr>
                <w:spacing w:val="52"/>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2"/>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2"/>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2"/>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2"/>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2"/>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2"/>
                <w:sz w:val="22"/>
              </w:rPr>
              <w:t> </w:t>
            </w:r>
            <w:r>
              <w:rPr>
                <w:spacing w:val="-10"/>
                <w:sz w:val="22"/>
              </w:rPr>
              <w:t>.</w:t>
            </w:r>
          </w:p>
          <w:p>
            <w:pPr>
              <w:pStyle w:val="TableParagraph"/>
              <w:spacing w:line="256" w:lineRule="auto" w:before="1"/>
              <w:ind w:left="95"/>
              <w:rPr>
                <w:sz w:val="22"/>
              </w:rPr>
            </w:pPr>
            <w:r>
              <w:rPr>
                <w:spacing w:val="-4"/>
                <w:sz w:val="22"/>
              </w:rPr>
              <w:t>MAE</w:t>
            </w:r>
            <w:r>
              <w:rPr>
                <w:spacing w:val="-6"/>
                <w:sz w:val="22"/>
              </w:rPr>
              <w:t> </w:t>
            </w:r>
            <w:r>
              <w:rPr>
                <w:spacing w:val="-4"/>
                <w:sz w:val="22"/>
              </w:rPr>
              <w:t>learning</w:t>
            </w:r>
            <w:r>
              <w:rPr>
                <w:spacing w:val="-5"/>
                <w:sz w:val="22"/>
              </w:rPr>
              <w:t> </w:t>
            </w:r>
            <w:r>
              <w:rPr>
                <w:spacing w:val="-4"/>
                <w:sz w:val="22"/>
              </w:rPr>
              <w:t>curve</w:t>
            </w:r>
            <w:r>
              <w:rPr>
                <w:spacing w:val="-5"/>
                <w:sz w:val="22"/>
              </w:rPr>
              <w:t> </w:t>
            </w:r>
            <w:r>
              <w:rPr>
                <w:spacing w:val="-4"/>
                <w:sz w:val="22"/>
              </w:rPr>
              <w:t>for</w:t>
            </w:r>
            <w:r>
              <w:rPr>
                <w:spacing w:val="-6"/>
                <w:sz w:val="22"/>
              </w:rPr>
              <w:t> </w:t>
            </w:r>
            <w:r>
              <w:rPr>
                <w:spacing w:val="-4"/>
                <w:sz w:val="22"/>
              </w:rPr>
              <w:t>all</w:t>
            </w:r>
            <w:r>
              <w:rPr>
                <w:spacing w:val="-5"/>
                <w:sz w:val="22"/>
              </w:rPr>
              <w:t> </w:t>
            </w:r>
            <w:r>
              <w:rPr>
                <w:spacing w:val="-4"/>
                <w:sz w:val="22"/>
              </w:rPr>
              <w:t>17</w:t>
            </w:r>
            <w:r>
              <w:rPr>
                <w:spacing w:val="-6"/>
                <w:sz w:val="22"/>
              </w:rPr>
              <w:t> </w:t>
            </w:r>
            <w:r>
              <w:rPr>
                <w:spacing w:val="-4"/>
                <w:sz w:val="22"/>
              </w:rPr>
              <w:t>models</w:t>
            </w:r>
            <w:r>
              <w:rPr>
                <w:spacing w:val="-5"/>
                <w:sz w:val="22"/>
              </w:rPr>
              <w:t> </w:t>
            </w:r>
            <w:r>
              <w:rPr>
                <w:spacing w:val="-4"/>
                <w:sz w:val="22"/>
              </w:rPr>
              <w:t>across</w:t>
            </w:r>
            <w:r>
              <w:rPr>
                <w:spacing w:val="-6"/>
                <w:sz w:val="22"/>
              </w:rPr>
              <w:t> </w:t>
            </w:r>
            <w:r>
              <w:rPr>
                <w:spacing w:val="-4"/>
                <w:sz w:val="22"/>
              </w:rPr>
              <w:t>18</w:t>
            </w:r>
            <w:r>
              <w:rPr>
                <w:spacing w:val="-6"/>
                <w:sz w:val="22"/>
              </w:rPr>
              <w:t> </w:t>
            </w:r>
            <w:r>
              <w:rPr>
                <w:spacing w:val="-4"/>
                <w:sz w:val="22"/>
              </w:rPr>
              <w:t>RDD</w:t>
            </w:r>
            <w:r>
              <w:rPr>
                <w:spacing w:val="-5"/>
                <w:sz w:val="22"/>
              </w:rPr>
              <w:t> </w:t>
            </w:r>
            <w:r>
              <w:rPr>
                <w:spacing w:val="-4"/>
                <w:sz w:val="22"/>
              </w:rPr>
              <w:t>scenarios.</w:t>
            </w:r>
            <w:r>
              <w:rPr>
                <w:spacing w:val="15"/>
                <w:sz w:val="22"/>
              </w:rPr>
              <w:t> </w:t>
            </w:r>
            <w:r>
              <w:rPr>
                <w:spacing w:val="-4"/>
                <w:sz w:val="22"/>
              </w:rPr>
              <w:t>LOESS</w:t>
            </w:r>
            <w:r>
              <w:rPr>
                <w:spacing w:val="-6"/>
                <w:sz w:val="22"/>
              </w:rPr>
              <w:t> </w:t>
            </w:r>
            <w:r>
              <w:rPr>
                <w:spacing w:val="-4"/>
                <w:sz w:val="22"/>
              </w:rPr>
              <w:t>smoothing </w:t>
            </w:r>
            <w:r>
              <w:rPr>
                <w:sz w:val="22"/>
              </w:rPr>
              <w:t>applied.</w:t>
            </w:r>
            <w:r>
              <w:rPr>
                <w:spacing w:val="26"/>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pacing w:val="-10"/>
                <w:sz w:val="22"/>
              </w:rPr>
              <w:t>.</w:t>
            </w:r>
          </w:p>
          <w:p>
            <w:pPr>
              <w:pStyle w:val="TableParagraph"/>
              <w:spacing w:line="256" w:lineRule="auto" w:before="0"/>
              <w:ind w:left="95"/>
              <w:rPr>
                <w:sz w:val="22"/>
              </w:rPr>
            </w:pPr>
            <w:r>
              <w:rPr>
                <w:spacing w:val="-4"/>
                <w:sz w:val="22"/>
              </w:rPr>
              <w:t>MAE</w:t>
            </w:r>
            <w:r>
              <w:rPr>
                <w:spacing w:val="-6"/>
                <w:sz w:val="22"/>
              </w:rPr>
              <w:t> </w:t>
            </w:r>
            <w:r>
              <w:rPr>
                <w:spacing w:val="-4"/>
                <w:sz w:val="22"/>
              </w:rPr>
              <w:t>learning</w:t>
            </w:r>
            <w:r>
              <w:rPr>
                <w:spacing w:val="-6"/>
                <w:sz w:val="22"/>
              </w:rPr>
              <w:t> </w:t>
            </w:r>
            <w:r>
              <w:rPr>
                <w:spacing w:val="-4"/>
                <w:sz w:val="22"/>
              </w:rPr>
              <w:t>curve</w:t>
            </w:r>
            <w:r>
              <w:rPr>
                <w:spacing w:val="-6"/>
                <w:sz w:val="22"/>
              </w:rPr>
              <w:t> </w:t>
            </w:r>
            <w:r>
              <w:rPr>
                <w:spacing w:val="-4"/>
                <w:sz w:val="22"/>
              </w:rPr>
              <w:t>for</w:t>
            </w:r>
            <w:r>
              <w:rPr>
                <w:spacing w:val="-6"/>
                <w:sz w:val="22"/>
              </w:rPr>
              <w:t> </w:t>
            </w:r>
            <w:r>
              <w:rPr>
                <w:spacing w:val="-4"/>
                <w:sz w:val="22"/>
              </w:rPr>
              <w:t>all</w:t>
            </w:r>
            <w:r>
              <w:rPr>
                <w:spacing w:val="-6"/>
                <w:sz w:val="22"/>
              </w:rPr>
              <w:t> </w:t>
            </w:r>
            <w:r>
              <w:rPr>
                <w:spacing w:val="-4"/>
                <w:sz w:val="22"/>
              </w:rPr>
              <w:t>17</w:t>
            </w:r>
            <w:r>
              <w:rPr>
                <w:spacing w:val="-6"/>
                <w:sz w:val="22"/>
              </w:rPr>
              <w:t> </w:t>
            </w:r>
            <w:r>
              <w:rPr>
                <w:spacing w:val="-4"/>
                <w:sz w:val="22"/>
              </w:rPr>
              <w:t>models</w:t>
            </w:r>
            <w:r>
              <w:rPr>
                <w:spacing w:val="-6"/>
                <w:sz w:val="22"/>
              </w:rPr>
              <w:t> </w:t>
            </w:r>
            <w:r>
              <w:rPr>
                <w:spacing w:val="-4"/>
                <w:sz w:val="22"/>
              </w:rPr>
              <w:t>across</w:t>
            </w:r>
            <w:r>
              <w:rPr>
                <w:spacing w:val="-6"/>
                <w:sz w:val="22"/>
              </w:rPr>
              <w:t> </w:t>
            </w:r>
            <w:r>
              <w:rPr>
                <w:spacing w:val="-4"/>
                <w:sz w:val="22"/>
              </w:rPr>
              <w:t>16</w:t>
            </w:r>
            <w:r>
              <w:rPr>
                <w:spacing w:val="-6"/>
                <w:sz w:val="22"/>
              </w:rPr>
              <w:t> </w:t>
            </w:r>
            <w:r>
              <w:rPr>
                <w:spacing w:val="-4"/>
                <w:sz w:val="22"/>
              </w:rPr>
              <w:t>RVV</w:t>
            </w:r>
            <w:r>
              <w:rPr>
                <w:spacing w:val="-6"/>
                <w:sz w:val="22"/>
              </w:rPr>
              <w:t> </w:t>
            </w:r>
            <w:r>
              <w:rPr>
                <w:spacing w:val="-4"/>
                <w:sz w:val="22"/>
              </w:rPr>
              <w:t>scenarios.</w:t>
            </w:r>
            <w:r>
              <w:rPr>
                <w:spacing w:val="14"/>
                <w:sz w:val="22"/>
              </w:rPr>
              <w:t> </w:t>
            </w:r>
            <w:r>
              <w:rPr>
                <w:spacing w:val="-4"/>
                <w:sz w:val="22"/>
              </w:rPr>
              <w:t>LOESS</w:t>
            </w:r>
            <w:r>
              <w:rPr>
                <w:spacing w:val="-6"/>
                <w:sz w:val="22"/>
              </w:rPr>
              <w:t> </w:t>
            </w:r>
            <w:r>
              <w:rPr>
                <w:spacing w:val="-4"/>
                <w:sz w:val="22"/>
              </w:rPr>
              <w:t>smoothing </w:t>
            </w:r>
            <w:r>
              <w:rPr>
                <w:sz w:val="22"/>
              </w:rPr>
              <w:t>applied.</w:t>
            </w:r>
            <w:r>
              <w:rPr>
                <w:spacing w:val="26"/>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pacing w:val="-10"/>
                <w:sz w:val="22"/>
              </w:rPr>
              <w:t>.</w:t>
            </w:r>
          </w:p>
        </w:tc>
        <w:tc>
          <w:tcPr>
            <w:tcW w:w="384" w:type="dxa"/>
          </w:tcPr>
          <w:p>
            <w:pPr>
              <w:pStyle w:val="TableParagraph"/>
              <w:spacing w:before="18"/>
              <w:rPr>
                <w:b/>
                <w:sz w:val="22"/>
              </w:rPr>
            </w:pPr>
          </w:p>
          <w:p>
            <w:pPr>
              <w:pStyle w:val="TableParagraph"/>
              <w:spacing w:before="0"/>
              <w:ind w:left="116"/>
              <w:rPr>
                <w:sz w:val="22"/>
              </w:rPr>
            </w:pPr>
            <w:hyperlink w:history="true" w:anchor="_bookmark117">
              <w:r>
                <w:rPr>
                  <w:color w:val="8B2C18"/>
                  <w:spacing w:val="-5"/>
                  <w:sz w:val="22"/>
                </w:rPr>
                <w:t>60</w:t>
              </w:r>
            </w:hyperlink>
          </w:p>
          <w:p>
            <w:pPr>
              <w:pStyle w:val="TableParagraph"/>
              <w:spacing w:before="36"/>
              <w:rPr>
                <w:b/>
                <w:sz w:val="22"/>
              </w:rPr>
            </w:pPr>
          </w:p>
          <w:p>
            <w:pPr>
              <w:pStyle w:val="TableParagraph"/>
              <w:spacing w:before="0"/>
              <w:ind w:left="116"/>
              <w:rPr>
                <w:sz w:val="22"/>
              </w:rPr>
            </w:pPr>
            <w:hyperlink w:history="true" w:anchor="_bookmark121">
              <w:r>
                <w:rPr>
                  <w:color w:val="8B2C18"/>
                  <w:spacing w:val="-5"/>
                  <w:sz w:val="22"/>
                </w:rPr>
                <w:t>62</w:t>
              </w:r>
            </w:hyperlink>
          </w:p>
          <w:p>
            <w:pPr>
              <w:pStyle w:val="TableParagraph"/>
              <w:spacing w:before="36"/>
              <w:rPr>
                <w:b/>
                <w:sz w:val="22"/>
              </w:rPr>
            </w:pPr>
          </w:p>
          <w:p>
            <w:pPr>
              <w:pStyle w:val="TableParagraph"/>
              <w:spacing w:before="0"/>
              <w:ind w:left="116"/>
              <w:rPr>
                <w:sz w:val="22"/>
              </w:rPr>
            </w:pPr>
            <w:hyperlink w:history="true" w:anchor="_bookmark124">
              <w:r>
                <w:rPr>
                  <w:color w:val="8B2C18"/>
                  <w:spacing w:val="-5"/>
                  <w:sz w:val="22"/>
                </w:rPr>
                <w:t>64</w:t>
              </w:r>
            </w:hyperlink>
          </w:p>
        </w:tc>
      </w:tr>
      <w:tr>
        <w:trPr>
          <w:trHeight w:val="741" w:hRule="atLeast"/>
        </w:trPr>
        <w:tc>
          <w:tcPr>
            <w:tcW w:w="456" w:type="dxa"/>
          </w:tcPr>
          <w:p>
            <w:pPr>
              <w:pStyle w:val="TableParagraph"/>
              <w:spacing w:before="100"/>
              <w:ind w:left="37" w:right="81"/>
              <w:jc w:val="center"/>
              <w:rPr>
                <w:sz w:val="22"/>
              </w:rPr>
            </w:pPr>
            <w:r>
              <w:rPr>
                <w:spacing w:val="-5"/>
                <w:sz w:val="22"/>
              </w:rPr>
              <w:t>B.1</w:t>
            </w:r>
          </w:p>
        </w:tc>
        <w:tc>
          <w:tcPr>
            <w:tcW w:w="7436" w:type="dxa"/>
          </w:tcPr>
          <w:p>
            <w:pPr>
              <w:pStyle w:val="TableParagraph"/>
              <w:spacing w:line="256" w:lineRule="auto" w:before="100"/>
              <w:ind w:left="95"/>
              <w:rPr>
                <w:sz w:val="22"/>
              </w:rPr>
            </w:pPr>
            <w:r>
              <w:rPr>
                <w:spacing w:val="-4"/>
                <w:sz w:val="22"/>
              </w:rPr>
              <w:t>Experiment pipeline:</w:t>
            </w:r>
            <w:r>
              <w:rPr>
                <w:spacing w:val="16"/>
                <w:sz w:val="22"/>
              </w:rPr>
              <w:t> </w:t>
            </w:r>
            <w:r>
              <w:rPr>
                <w:spacing w:val="-4"/>
                <w:sz w:val="22"/>
              </w:rPr>
              <w:t>data preparation, rule discovery (CarenR, RIPPER, </w:t>
            </w:r>
            <w:r>
              <w:rPr>
                <w:spacing w:val="-4"/>
                <w:sz w:val="22"/>
              </w:rPr>
              <w:t>M5Rules), </w:t>
            </w:r>
            <w:r>
              <w:rPr>
                <w:sz w:val="22"/>
              </w:rPr>
              <w:t>and</w:t>
            </w:r>
            <w:r>
              <w:rPr>
                <w:spacing w:val="-2"/>
                <w:sz w:val="22"/>
              </w:rPr>
              <w:t> </w:t>
            </w:r>
            <w:r>
              <w:rPr>
                <w:sz w:val="22"/>
              </w:rPr>
              <w:t>walk-forward</w:t>
            </w:r>
            <w:r>
              <w:rPr>
                <w:spacing w:val="-2"/>
                <w:sz w:val="22"/>
              </w:rPr>
              <w:t> </w:t>
            </w:r>
            <w:r>
              <w:rPr>
                <w:sz w:val="22"/>
              </w:rPr>
              <w:t>validation.</w:t>
            </w:r>
            <w:r>
              <w:rPr>
                <w:spacing w:val="75"/>
                <w:sz w:val="22"/>
              </w:rPr>
              <w:t> </w:t>
            </w:r>
            <w:r>
              <w:rPr>
                <w:sz w:val="22"/>
              </w:rPr>
              <w:t>.</w:t>
            </w:r>
            <w:r>
              <w:rPr>
                <w:spacing w:val="52"/>
                <w:sz w:val="22"/>
              </w:rPr>
              <w:t> </w:t>
            </w:r>
            <w:r>
              <w:rPr>
                <w:sz w:val="22"/>
              </w:rPr>
              <w:t>.</w:t>
            </w:r>
            <w:r>
              <w:rPr>
                <w:spacing w:val="52"/>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2"/>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2"/>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2"/>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2"/>
                <w:sz w:val="22"/>
              </w:rPr>
              <w:t> </w:t>
            </w:r>
            <w:r>
              <w:rPr>
                <w:sz w:val="22"/>
              </w:rPr>
              <w:t>.</w:t>
            </w:r>
            <w:r>
              <w:rPr>
                <w:spacing w:val="52"/>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2"/>
                <w:sz w:val="22"/>
              </w:rPr>
              <w:t> </w:t>
            </w:r>
            <w:r>
              <w:rPr>
                <w:sz w:val="22"/>
              </w:rPr>
              <w:t>.</w:t>
            </w:r>
            <w:r>
              <w:rPr>
                <w:spacing w:val="52"/>
                <w:sz w:val="22"/>
              </w:rPr>
              <w:t> </w:t>
            </w:r>
            <w:r>
              <w:rPr>
                <w:sz w:val="22"/>
              </w:rPr>
              <w:t>.</w:t>
            </w:r>
            <w:r>
              <w:rPr>
                <w:spacing w:val="53"/>
                <w:sz w:val="22"/>
              </w:rPr>
              <w:t> </w:t>
            </w:r>
            <w:r>
              <w:rPr>
                <w:sz w:val="22"/>
              </w:rPr>
              <w:t>.</w:t>
            </w:r>
            <w:r>
              <w:rPr>
                <w:spacing w:val="52"/>
                <w:sz w:val="22"/>
              </w:rPr>
              <w:t> </w:t>
            </w:r>
            <w:r>
              <w:rPr>
                <w:sz w:val="22"/>
              </w:rPr>
              <w:t>.</w:t>
            </w:r>
            <w:r>
              <w:rPr>
                <w:spacing w:val="52"/>
                <w:sz w:val="22"/>
              </w:rPr>
              <w:t> </w:t>
            </w:r>
            <w:r>
              <w:rPr>
                <w:spacing w:val="-10"/>
                <w:sz w:val="22"/>
              </w:rPr>
              <w:t>.</w:t>
            </w:r>
          </w:p>
        </w:tc>
        <w:tc>
          <w:tcPr>
            <w:tcW w:w="384" w:type="dxa"/>
          </w:tcPr>
          <w:p>
            <w:pPr>
              <w:pStyle w:val="TableParagraph"/>
              <w:spacing w:before="117"/>
              <w:rPr>
                <w:b/>
                <w:sz w:val="22"/>
              </w:rPr>
            </w:pPr>
          </w:p>
          <w:p>
            <w:pPr>
              <w:pStyle w:val="TableParagraph"/>
              <w:spacing w:before="1"/>
              <w:ind w:left="67" w:right="1"/>
              <w:jc w:val="center"/>
              <w:rPr>
                <w:sz w:val="22"/>
              </w:rPr>
            </w:pPr>
            <w:hyperlink w:history="true" w:anchor="_bookmark177">
              <w:r>
                <w:rPr>
                  <w:color w:val="8B2C18"/>
                  <w:spacing w:val="-5"/>
                  <w:sz w:val="22"/>
                </w:rPr>
                <w:t>97</w:t>
              </w:r>
            </w:hyperlink>
          </w:p>
        </w:tc>
      </w:tr>
      <w:tr>
        <w:trPr>
          <w:trHeight w:val="637" w:hRule="atLeast"/>
        </w:trPr>
        <w:tc>
          <w:tcPr>
            <w:tcW w:w="456" w:type="dxa"/>
          </w:tcPr>
          <w:p>
            <w:pPr>
              <w:pStyle w:val="TableParagraph"/>
              <w:spacing w:before="100"/>
              <w:ind w:right="32"/>
              <w:jc w:val="center"/>
              <w:rPr>
                <w:sz w:val="22"/>
              </w:rPr>
            </w:pPr>
            <w:r>
              <w:rPr>
                <w:spacing w:val="-5"/>
                <w:sz w:val="22"/>
              </w:rPr>
              <w:t>D.1</w:t>
            </w:r>
          </w:p>
        </w:tc>
        <w:tc>
          <w:tcPr>
            <w:tcW w:w="7436" w:type="dxa"/>
          </w:tcPr>
          <w:p>
            <w:pPr>
              <w:pStyle w:val="TableParagraph"/>
              <w:spacing w:line="270" w:lineRule="atLeast" w:before="77"/>
              <w:ind w:left="95"/>
              <w:rPr>
                <w:sz w:val="22"/>
              </w:rPr>
            </w:pPr>
            <w:r>
              <w:rPr>
                <w:spacing w:val="-2"/>
                <w:sz w:val="22"/>
              </w:rPr>
              <w:t>Feature</w:t>
            </w:r>
            <w:r>
              <w:rPr>
                <w:spacing w:val="-7"/>
                <w:sz w:val="22"/>
              </w:rPr>
              <w:t> </w:t>
            </w:r>
            <w:r>
              <w:rPr>
                <w:spacing w:val="-2"/>
                <w:sz w:val="22"/>
              </w:rPr>
              <w:t>coverage</w:t>
            </w:r>
            <w:r>
              <w:rPr>
                <w:spacing w:val="-7"/>
                <w:sz w:val="22"/>
              </w:rPr>
              <w:t> </w:t>
            </w:r>
            <w:r>
              <w:rPr>
                <w:spacing w:val="-2"/>
                <w:sz w:val="22"/>
              </w:rPr>
              <w:t>map: 59</w:t>
            </w:r>
            <w:r>
              <w:rPr>
                <w:spacing w:val="-7"/>
                <w:sz w:val="22"/>
              </w:rPr>
              <w:t> </w:t>
            </w:r>
            <w:r>
              <w:rPr>
                <w:spacing w:val="-2"/>
                <w:sz w:val="22"/>
              </w:rPr>
              <w:t>agroclimatic</w:t>
            </w:r>
            <w:r>
              <w:rPr>
                <w:spacing w:val="-7"/>
                <w:sz w:val="22"/>
              </w:rPr>
              <w:t> </w:t>
            </w:r>
            <w:r>
              <w:rPr>
                <w:spacing w:val="-2"/>
                <w:sz w:val="22"/>
              </w:rPr>
              <w:t>features</w:t>
            </w:r>
            <w:r>
              <w:rPr>
                <w:spacing w:val="-7"/>
                <w:sz w:val="22"/>
              </w:rPr>
              <w:t> </w:t>
            </w:r>
            <w:r>
              <w:rPr>
                <w:spacing w:val="-2"/>
                <w:sz w:val="22"/>
              </w:rPr>
              <w:t>by</w:t>
            </w:r>
            <w:r>
              <w:rPr>
                <w:spacing w:val="-7"/>
                <w:sz w:val="22"/>
              </w:rPr>
              <w:t> </w:t>
            </w:r>
            <w:r>
              <w:rPr>
                <w:spacing w:val="-2"/>
                <w:sz w:val="22"/>
              </w:rPr>
              <w:t>phenological</w:t>
            </w:r>
            <w:r>
              <w:rPr>
                <w:spacing w:val="-7"/>
                <w:sz w:val="22"/>
              </w:rPr>
              <w:t> </w:t>
            </w:r>
            <w:r>
              <w:rPr>
                <w:spacing w:val="-2"/>
                <w:sz w:val="22"/>
              </w:rPr>
              <w:t>stage</w:t>
            </w:r>
            <w:r>
              <w:rPr>
                <w:spacing w:val="-7"/>
                <w:sz w:val="22"/>
              </w:rPr>
              <w:t> </w:t>
            </w:r>
            <w:r>
              <w:rPr>
                <w:spacing w:val="-2"/>
                <w:sz w:val="22"/>
              </w:rPr>
              <w:t>and</w:t>
            </w:r>
            <w:r>
              <w:rPr>
                <w:spacing w:val="-7"/>
                <w:sz w:val="22"/>
              </w:rPr>
              <w:t> </w:t>
            </w:r>
            <w:r>
              <w:rPr>
                <w:spacing w:val="-2"/>
                <w:sz w:val="22"/>
              </w:rPr>
              <w:t>window </w:t>
            </w:r>
            <w:r>
              <w:rPr>
                <w:sz w:val="22"/>
              </w:rPr>
              <w:t>position.</w:t>
            </w:r>
            <w:r>
              <w:rPr>
                <w:spacing w:val="48"/>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pacing w:val="-10"/>
                <w:sz w:val="22"/>
              </w:rPr>
              <w:t>.</w:t>
            </w:r>
          </w:p>
        </w:tc>
        <w:tc>
          <w:tcPr>
            <w:tcW w:w="384" w:type="dxa"/>
          </w:tcPr>
          <w:p>
            <w:pPr>
              <w:pStyle w:val="TableParagraph"/>
              <w:spacing w:before="117"/>
              <w:rPr>
                <w:b/>
                <w:sz w:val="22"/>
              </w:rPr>
            </w:pPr>
          </w:p>
          <w:p>
            <w:pPr>
              <w:pStyle w:val="TableParagraph"/>
              <w:spacing w:line="247" w:lineRule="exact" w:before="1"/>
              <w:ind w:right="40"/>
              <w:jc w:val="center"/>
              <w:rPr>
                <w:sz w:val="22"/>
              </w:rPr>
            </w:pPr>
            <w:hyperlink w:history="true" w:anchor="_bookmark194">
              <w:r>
                <w:rPr>
                  <w:color w:val="8B2C18"/>
                  <w:spacing w:val="-5"/>
                  <w:sz w:val="22"/>
                </w:rPr>
                <w:t>108</w:t>
              </w:r>
            </w:hyperlink>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63"/>
        <w:rPr>
          <w:b/>
        </w:rPr>
      </w:pPr>
    </w:p>
    <w:p>
      <w:pPr>
        <w:pStyle w:val="BodyText"/>
        <w:ind w:left="601" w:right="882"/>
        <w:jc w:val="center"/>
      </w:pPr>
      <w:r>
        <w:rPr>
          <w:spacing w:val="-5"/>
        </w:rPr>
        <w:t>vii</w:t>
      </w:r>
    </w:p>
    <w:p>
      <w:pPr>
        <w:pStyle w:val="BodyText"/>
        <w:spacing w:after="0"/>
        <w:jc w:val="center"/>
        <w:sectPr>
          <w:headerReference w:type="default" r:id="rId23"/>
          <w:pgSz w:w="11910" w:h="16840"/>
          <w:pgMar w:header="0" w:footer="0" w:top="1920" w:bottom="280" w:left="1275" w:right="425"/>
        </w:sectPr>
      </w:pPr>
    </w:p>
    <w:p>
      <w:pPr>
        <w:pStyle w:val="BodyText"/>
        <w:spacing w:before="4"/>
        <w:rPr>
          <w:sz w:val="17"/>
        </w:rPr>
      </w:pPr>
    </w:p>
    <w:p>
      <w:pPr>
        <w:pStyle w:val="BodyText"/>
        <w:spacing w:after="0"/>
        <w:rPr>
          <w:sz w:val="17"/>
        </w:rPr>
        <w:sectPr>
          <w:headerReference w:type="even" r:id="rId24"/>
          <w:pgSz w:w="11910" w:h="16840"/>
          <w:pgMar w:header="1160" w:footer="0" w:top="1420" w:bottom="280" w:left="1275" w:right="425"/>
        </w:sectPr>
      </w:pPr>
    </w:p>
    <w:p>
      <w:pPr>
        <w:pStyle w:val="BodyText"/>
        <w:rPr>
          <w:sz w:val="49"/>
        </w:rPr>
      </w:pPr>
    </w:p>
    <w:p>
      <w:pPr>
        <w:pStyle w:val="BodyText"/>
        <w:spacing w:before="232"/>
        <w:rPr>
          <w:sz w:val="49"/>
        </w:rPr>
      </w:pPr>
    </w:p>
    <w:p>
      <w:pPr>
        <w:pStyle w:val="Heading1"/>
      </w:pPr>
      <w:bookmarkStart w:name="List of Tables" w:id="4"/>
      <w:bookmarkEnd w:id="4"/>
      <w:r>
        <w:rPr>
          <w:b w:val="0"/>
        </w:rPr>
      </w:r>
      <w:r>
        <w:rPr/>
        <w:t>List</w:t>
      </w:r>
      <w:r>
        <w:rPr>
          <w:spacing w:val="7"/>
        </w:rPr>
        <w:t> </w:t>
      </w:r>
      <w:r>
        <w:rPr/>
        <w:t>of</w:t>
      </w:r>
      <w:r>
        <w:rPr>
          <w:spacing w:val="7"/>
        </w:rPr>
        <w:t> </w:t>
      </w:r>
      <w:r>
        <w:rPr>
          <w:spacing w:val="-2"/>
        </w:rPr>
        <w:t>Tables</w:t>
      </w:r>
    </w:p>
    <w:p>
      <w:pPr>
        <w:pStyle w:val="ListParagraph"/>
        <w:numPr>
          <w:ilvl w:val="1"/>
          <w:numId w:val="3"/>
        </w:numPr>
        <w:tabs>
          <w:tab w:pos="1538" w:val="left" w:leader="none"/>
          <w:tab w:pos="9213" w:val="right" w:leader="dot"/>
        </w:tabs>
        <w:spacing w:line="240" w:lineRule="auto" w:before="956" w:after="0"/>
        <w:ind w:left="1538" w:right="0" w:hanging="502"/>
        <w:jc w:val="left"/>
        <w:rPr>
          <w:sz w:val="22"/>
        </w:rPr>
      </w:pPr>
      <w:r>
        <w:rPr>
          <w:sz w:val="22"/>
        </w:rPr>
        <w:t>Literature</w:t>
      </w:r>
      <w:r>
        <w:rPr>
          <w:spacing w:val="-9"/>
          <w:sz w:val="22"/>
        </w:rPr>
        <w:t> </w:t>
      </w:r>
      <w:r>
        <w:rPr>
          <w:sz w:val="22"/>
        </w:rPr>
        <w:t>map</w:t>
      </w:r>
      <w:r>
        <w:rPr>
          <w:spacing w:val="-8"/>
          <w:sz w:val="22"/>
        </w:rPr>
        <w:t> </w:t>
      </w:r>
      <w:r>
        <w:rPr>
          <w:sz w:val="22"/>
        </w:rPr>
        <w:t>positioning</w:t>
      </w:r>
      <w:r>
        <w:rPr>
          <w:spacing w:val="-9"/>
          <w:sz w:val="22"/>
        </w:rPr>
        <w:t> </w:t>
      </w:r>
      <w:r>
        <w:rPr>
          <w:sz w:val="22"/>
        </w:rPr>
        <w:t>this</w:t>
      </w:r>
      <w:r>
        <w:rPr>
          <w:spacing w:val="-8"/>
          <w:sz w:val="22"/>
        </w:rPr>
        <w:t> </w:t>
      </w:r>
      <w:r>
        <w:rPr>
          <w:sz w:val="22"/>
        </w:rPr>
        <w:t>thesis</w:t>
      </w:r>
      <w:r>
        <w:rPr>
          <w:spacing w:val="-9"/>
          <w:sz w:val="22"/>
        </w:rPr>
        <w:t> </w:t>
      </w:r>
      <w:r>
        <w:rPr>
          <w:sz w:val="22"/>
        </w:rPr>
        <w:t>relative</w:t>
      </w:r>
      <w:r>
        <w:rPr>
          <w:spacing w:val="-8"/>
          <w:sz w:val="22"/>
        </w:rPr>
        <w:t> </w:t>
      </w:r>
      <w:r>
        <w:rPr>
          <w:sz w:val="22"/>
        </w:rPr>
        <w:t>to</w:t>
      </w:r>
      <w:r>
        <w:rPr>
          <w:spacing w:val="-9"/>
          <w:sz w:val="22"/>
        </w:rPr>
        <w:t> </w:t>
      </w:r>
      <w:r>
        <w:rPr>
          <w:sz w:val="22"/>
        </w:rPr>
        <w:t>existing</w:t>
      </w:r>
      <w:r>
        <w:rPr>
          <w:spacing w:val="-8"/>
          <w:sz w:val="22"/>
        </w:rPr>
        <w:t> </w:t>
      </w:r>
      <w:r>
        <w:rPr>
          <w:sz w:val="22"/>
        </w:rPr>
        <w:t>research</w:t>
      </w:r>
      <w:r>
        <w:rPr>
          <w:spacing w:val="-9"/>
          <w:sz w:val="22"/>
        </w:rPr>
        <w:t> </w:t>
      </w:r>
      <w:r>
        <w:rPr>
          <w:spacing w:val="-2"/>
          <w:sz w:val="22"/>
        </w:rPr>
        <w:t>streams.</w:t>
      </w:r>
      <w:r>
        <w:rPr>
          <w:sz w:val="22"/>
        </w:rPr>
        <w:tab/>
      </w:r>
      <w:hyperlink w:history="true" w:anchor="_bookmark20">
        <w:r>
          <w:rPr>
            <w:color w:val="8B2C18"/>
            <w:spacing w:val="-5"/>
            <w:sz w:val="22"/>
          </w:rPr>
          <w:t>10</w:t>
        </w:r>
      </w:hyperlink>
    </w:p>
    <w:p>
      <w:pPr>
        <w:pStyle w:val="ListParagraph"/>
        <w:numPr>
          <w:ilvl w:val="1"/>
          <w:numId w:val="4"/>
        </w:numPr>
        <w:tabs>
          <w:tab w:pos="1538" w:val="left" w:leader="none"/>
        </w:tabs>
        <w:spacing w:line="240" w:lineRule="auto" w:before="218" w:after="0"/>
        <w:ind w:left="1538" w:right="0" w:hanging="502"/>
        <w:jc w:val="left"/>
        <w:rPr>
          <w:sz w:val="22"/>
        </w:rPr>
      </w:pPr>
      <w:r>
        <w:rPr>
          <w:sz w:val="22"/>
        </w:rPr>
        <w:t>Dataset</w:t>
      </w:r>
      <w:r>
        <w:rPr>
          <w:spacing w:val="-11"/>
          <w:sz w:val="22"/>
        </w:rPr>
        <w:t> </w:t>
      </w:r>
      <w:r>
        <w:rPr>
          <w:sz w:val="22"/>
        </w:rPr>
        <w:t>characteristics</w:t>
      </w:r>
      <w:r>
        <w:rPr>
          <w:spacing w:val="-10"/>
          <w:sz w:val="22"/>
        </w:rPr>
        <w:t> </w:t>
      </w:r>
      <w:r>
        <w:rPr>
          <w:sz w:val="22"/>
        </w:rPr>
        <w:t>for</w:t>
      </w:r>
      <w:r>
        <w:rPr>
          <w:spacing w:val="-10"/>
          <w:sz w:val="22"/>
        </w:rPr>
        <w:t> </w:t>
      </w:r>
      <w:r>
        <w:rPr>
          <w:sz w:val="22"/>
        </w:rPr>
        <w:t>the</w:t>
      </w:r>
      <w:r>
        <w:rPr>
          <w:spacing w:val="-11"/>
          <w:sz w:val="22"/>
        </w:rPr>
        <w:t> </w:t>
      </w:r>
      <w:r>
        <w:rPr>
          <w:sz w:val="22"/>
        </w:rPr>
        <w:t>Douro</w:t>
      </w:r>
      <w:r>
        <w:rPr>
          <w:spacing w:val="-10"/>
          <w:sz w:val="22"/>
        </w:rPr>
        <w:t> </w:t>
      </w:r>
      <w:r>
        <w:rPr>
          <w:sz w:val="22"/>
        </w:rPr>
        <w:t>(RDD)</w:t>
      </w:r>
      <w:r>
        <w:rPr>
          <w:spacing w:val="-10"/>
          <w:sz w:val="22"/>
        </w:rPr>
        <w:t> </w:t>
      </w:r>
      <w:r>
        <w:rPr>
          <w:sz w:val="22"/>
        </w:rPr>
        <w:t>and</w:t>
      </w:r>
      <w:r>
        <w:rPr>
          <w:spacing w:val="-10"/>
          <w:sz w:val="22"/>
        </w:rPr>
        <w:t> </w:t>
      </w:r>
      <w:r>
        <w:rPr>
          <w:sz w:val="22"/>
        </w:rPr>
        <w:t>Vinho</w:t>
      </w:r>
      <w:r>
        <w:rPr>
          <w:spacing w:val="-11"/>
          <w:sz w:val="22"/>
        </w:rPr>
        <w:t> </w:t>
      </w:r>
      <w:r>
        <w:rPr>
          <w:sz w:val="22"/>
        </w:rPr>
        <w:t>Verde</w:t>
      </w:r>
      <w:r>
        <w:rPr>
          <w:spacing w:val="-10"/>
          <w:sz w:val="22"/>
        </w:rPr>
        <w:t> </w:t>
      </w:r>
      <w:r>
        <w:rPr>
          <w:sz w:val="22"/>
        </w:rPr>
        <w:t>(RVV)</w:t>
      </w:r>
      <w:r>
        <w:rPr>
          <w:spacing w:val="-10"/>
          <w:sz w:val="22"/>
        </w:rPr>
        <w:t> </w:t>
      </w:r>
      <w:r>
        <w:rPr>
          <w:sz w:val="22"/>
        </w:rPr>
        <w:t>study</w:t>
      </w:r>
      <w:r>
        <w:rPr>
          <w:spacing w:val="-10"/>
          <w:sz w:val="22"/>
        </w:rPr>
        <w:t> </w:t>
      </w:r>
      <w:r>
        <w:rPr>
          <w:sz w:val="22"/>
        </w:rPr>
        <w:t>regions.</w:t>
      </w:r>
      <w:r>
        <w:rPr>
          <w:spacing w:val="75"/>
          <w:sz w:val="22"/>
        </w:rPr>
        <w:t> </w:t>
      </w:r>
      <w:hyperlink w:history="true" w:anchor="_bookmark30">
        <w:r>
          <w:rPr>
            <w:color w:val="8B2C18"/>
            <w:spacing w:val="-5"/>
            <w:sz w:val="22"/>
          </w:rPr>
          <w:t>15</w:t>
        </w:r>
      </w:hyperlink>
    </w:p>
    <w:p>
      <w:pPr>
        <w:pStyle w:val="ListParagraph"/>
        <w:numPr>
          <w:ilvl w:val="1"/>
          <w:numId w:val="4"/>
        </w:numPr>
        <w:tabs>
          <w:tab w:pos="1538" w:val="left" w:leader="none"/>
        </w:tabs>
        <w:spacing w:line="240" w:lineRule="auto" w:before="18" w:after="0"/>
        <w:ind w:left="1538" w:right="0" w:hanging="502"/>
        <w:jc w:val="left"/>
        <w:rPr>
          <w:sz w:val="22"/>
        </w:rPr>
      </w:pPr>
      <w:r>
        <w:rPr>
          <w:sz w:val="22"/>
        </w:rPr>
        <w:t>Comparison</w:t>
      </w:r>
      <w:r>
        <w:rPr>
          <w:spacing w:val="-7"/>
          <w:sz w:val="22"/>
        </w:rPr>
        <w:t> </w:t>
      </w:r>
      <w:r>
        <w:rPr>
          <w:sz w:val="22"/>
        </w:rPr>
        <w:t>of</w:t>
      </w:r>
      <w:r>
        <w:rPr>
          <w:spacing w:val="-6"/>
          <w:sz w:val="22"/>
        </w:rPr>
        <w:t> </w:t>
      </w:r>
      <w:r>
        <w:rPr>
          <w:sz w:val="22"/>
        </w:rPr>
        <w:t>the</w:t>
      </w:r>
      <w:r>
        <w:rPr>
          <w:spacing w:val="-6"/>
          <w:sz w:val="22"/>
        </w:rPr>
        <w:t> </w:t>
      </w:r>
      <w:r>
        <w:rPr>
          <w:sz w:val="22"/>
        </w:rPr>
        <w:t>three</w:t>
      </w:r>
      <w:r>
        <w:rPr>
          <w:spacing w:val="-7"/>
          <w:sz w:val="22"/>
        </w:rPr>
        <w:t> </w:t>
      </w:r>
      <w:r>
        <w:rPr>
          <w:sz w:val="22"/>
        </w:rPr>
        <w:t>rule-learning</w:t>
      </w:r>
      <w:r>
        <w:rPr>
          <w:spacing w:val="-6"/>
          <w:sz w:val="22"/>
        </w:rPr>
        <w:t> </w:t>
      </w:r>
      <w:r>
        <w:rPr>
          <w:sz w:val="22"/>
        </w:rPr>
        <w:t>algorithms:</w:t>
      </w:r>
      <w:r>
        <w:rPr>
          <w:spacing w:val="5"/>
          <w:sz w:val="22"/>
        </w:rPr>
        <w:t> </w:t>
      </w:r>
      <w:r>
        <w:rPr>
          <w:sz w:val="22"/>
        </w:rPr>
        <w:t>CarenR,</w:t>
      </w:r>
      <w:r>
        <w:rPr>
          <w:spacing w:val="-6"/>
          <w:sz w:val="22"/>
        </w:rPr>
        <w:t> </w:t>
      </w:r>
      <w:r>
        <w:rPr>
          <w:sz w:val="22"/>
        </w:rPr>
        <w:t>RIPPER,</w:t>
      </w:r>
      <w:r>
        <w:rPr>
          <w:spacing w:val="-6"/>
          <w:sz w:val="22"/>
        </w:rPr>
        <w:t> </w:t>
      </w:r>
      <w:r>
        <w:rPr>
          <w:sz w:val="22"/>
        </w:rPr>
        <w:t>and</w:t>
      </w:r>
      <w:r>
        <w:rPr>
          <w:spacing w:val="-6"/>
          <w:sz w:val="22"/>
        </w:rPr>
        <w:t> </w:t>
      </w:r>
      <w:r>
        <w:rPr>
          <w:sz w:val="22"/>
        </w:rPr>
        <w:t>M5Rules.</w:t>
      </w:r>
      <w:r>
        <w:rPr>
          <w:spacing w:val="32"/>
          <w:sz w:val="22"/>
        </w:rPr>
        <w:t>  </w:t>
      </w:r>
      <w:hyperlink w:history="true" w:anchor="_bookmark38">
        <w:r>
          <w:rPr>
            <w:color w:val="8B2C18"/>
            <w:spacing w:val="-5"/>
            <w:sz w:val="22"/>
          </w:rPr>
          <w:t>19</w:t>
        </w:r>
      </w:hyperlink>
    </w:p>
    <w:p>
      <w:pPr>
        <w:pStyle w:val="ListParagraph"/>
        <w:numPr>
          <w:ilvl w:val="1"/>
          <w:numId w:val="4"/>
        </w:numPr>
        <w:tabs>
          <w:tab w:pos="1538" w:val="left" w:leader="none"/>
          <w:tab w:pos="9213" w:val="right" w:leader="dot"/>
        </w:tabs>
        <w:spacing w:line="240" w:lineRule="auto" w:before="19" w:after="0"/>
        <w:ind w:left="1538" w:right="0" w:hanging="502"/>
        <w:jc w:val="left"/>
        <w:rPr>
          <w:sz w:val="22"/>
        </w:rPr>
      </w:pPr>
      <w:r>
        <w:rPr>
          <w:sz w:val="22"/>
        </w:rPr>
        <w:t>Complete</w:t>
      </w:r>
      <w:r>
        <w:rPr>
          <w:spacing w:val="-9"/>
          <w:sz w:val="22"/>
        </w:rPr>
        <w:t> </w:t>
      </w:r>
      <w:r>
        <w:rPr>
          <w:sz w:val="22"/>
        </w:rPr>
        <w:t>set</w:t>
      </w:r>
      <w:r>
        <w:rPr>
          <w:spacing w:val="-8"/>
          <w:sz w:val="22"/>
        </w:rPr>
        <w:t> </w:t>
      </w:r>
      <w:r>
        <w:rPr>
          <w:sz w:val="22"/>
        </w:rPr>
        <w:t>of</w:t>
      </w:r>
      <w:r>
        <w:rPr>
          <w:spacing w:val="-8"/>
          <w:sz w:val="22"/>
        </w:rPr>
        <w:t> </w:t>
      </w:r>
      <w:r>
        <w:rPr>
          <w:sz w:val="22"/>
        </w:rPr>
        <w:t>17</w:t>
      </w:r>
      <w:r>
        <w:rPr>
          <w:spacing w:val="-8"/>
          <w:sz w:val="22"/>
        </w:rPr>
        <w:t> </w:t>
      </w:r>
      <w:r>
        <w:rPr>
          <w:sz w:val="22"/>
        </w:rPr>
        <w:t>models</w:t>
      </w:r>
      <w:r>
        <w:rPr>
          <w:spacing w:val="-8"/>
          <w:sz w:val="22"/>
        </w:rPr>
        <w:t> </w:t>
      </w:r>
      <w:r>
        <w:rPr>
          <w:sz w:val="22"/>
        </w:rPr>
        <w:t>evaluated</w:t>
      </w:r>
      <w:r>
        <w:rPr>
          <w:spacing w:val="-8"/>
          <w:sz w:val="22"/>
        </w:rPr>
        <w:t> </w:t>
      </w:r>
      <w:r>
        <w:rPr>
          <w:sz w:val="22"/>
        </w:rPr>
        <w:t>in</w:t>
      </w:r>
      <w:r>
        <w:rPr>
          <w:spacing w:val="-8"/>
          <w:sz w:val="22"/>
        </w:rPr>
        <w:t> </w:t>
      </w:r>
      <w:r>
        <w:rPr>
          <w:sz w:val="22"/>
        </w:rPr>
        <w:t>the</w:t>
      </w:r>
      <w:r>
        <w:rPr>
          <w:spacing w:val="-9"/>
          <w:sz w:val="22"/>
        </w:rPr>
        <w:t> </w:t>
      </w:r>
      <w:r>
        <w:rPr>
          <w:sz w:val="22"/>
        </w:rPr>
        <w:t>walk-forward</w:t>
      </w:r>
      <w:r>
        <w:rPr>
          <w:spacing w:val="-8"/>
          <w:sz w:val="22"/>
        </w:rPr>
        <w:t> </w:t>
      </w:r>
      <w:r>
        <w:rPr>
          <w:spacing w:val="-2"/>
          <w:sz w:val="22"/>
        </w:rPr>
        <w:t>validation.</w:t>
      </w:r>
      <w:r>
        <w:rPr>
          <w:sz w:val="22"/>
        </w:rPr>
        <w:tab/>
      </w:r>
      <w:hyperlink w:history="true" w:anchor="_bookmark48">
        <w:r>
          <w:rPr>
            <w:color w:val="8B2C18"/>
            <w:spacing w:val="-5"/>
            <w:sz w:val="22"/>
          </w:rPr>
          <w:t>28</w:t>
        </w:r>
      </w:hyperlink>
    </w:p>
    <w:p>
      <w:pPr>
        <w:pStyle w:val="ListParagraph"/>
        <w:numPr>
          <w:ilvl w:val="1"/>
          <w:numId w:val="4"/>
        </w:numPr>
        <w:tabs>
          <w:tab w:pos="1538" w:val="left" w:leader="none"/>
          <w:tab w:pos="9213" w:val="right" w:leader="dot"/>
        </w:tabs>
        <w:spacing w:line="240" w:lineRule="auto" w:before="18" w:after="0"/>
        <w:ind w:left="1538" w:right="0" w:hanging="502"/>
        <w:jc w:val="left"/>
        <w:rPr>
          <w:sz w:val="22"/>
        </w:rPr>
      </w:pPr>
      <w:r>
        <w:rPr>
          <w:sz w:val="22"/>
        </w:rPr>
        <w:t>CarenR</w:t>
      </w:r>
      <w:r>
        <w:rPr>
          <w:spacing w:val="-9"/>
          <w:sz w:val="22"/>
        </w:rPr>
        <w:t> </w:t>
      </w:r>
      <w:r>
        <w:rPr>
          <w:sz w:val="22"/>
        </w:rPr>
        <w:t>variant</w:t>
      </w:r>
      <w:r>
        <w:rPr>
          <w:spacing w:val="-8"/>
          <w:sz w:val="22"/>
        </w:rPr>
        <w:t> </w:t>
      </w:r>
      <w:r>
        <w:rPr>
          <w:sz w:val="22"/>
        </w:rPr>
        <w:t>families</w:t>
      </w:r>
      <w:r>
        <w:rPr>
          <w:spacing w:val="-8"/>
          <w:sz w:val="22"/>
        </w:rPr>
        <w:t> </w:t>
      </w:r>
      <w:r>
        <w:rPr>
          <w:sz w:val="22"/>
        </w:rPr>
        <w:t>and</w:t>
      </w:r>
      <w:r>
        <w:rPr>
          <w:spacing w:val="-8"/>
          <w:sz w:val="22"/>
        </w:rPr>
        <w:t> </w:t>
      </w:r>
      <w:r>
        <w:rPr>
          <w:sz w:val="22"/>
        </w:rPr>
        <w:t>their</w:t>
      </w:r>
      <w:r>
        <w:rPr>
          <w:spacing w:val="-8"/>
          <w:sz w:val="22"/>
        </w:rPr>
        <w:t> </w:t>
      </w:r>
      <w:r>
        <w:rPr>
          <w:sz w:val="22"/>
        </w:rPr>
        <w:t>feature</w:t>
      </w:r>
      <w:r>
        <w:rPr>
          <w:spacing w:val="-8"/>
          <w:sz w:val="22"/>
        </w:rPr>
        <w:t> </w:t>
      </w:r>
      <w:r>
        <w:rPr>
          <w:sz w:val="22"/>
        </w:rPr>
        <w:t>selection</w:t>
      </w:r>
      <w:r>
        <w:rPr>
          <w:spacing w:val="-9"/>
          <w:sz w:val="22"/>
        </w:rPr>
        <w:t> </w:t>
      </w:r>
      <w:r>
        <w:rPr>
          <w:spacing w:val="-2"/>
          <w:sz w:val="22"/>
        </w:rPr>
        <w:t>strategies.</w:t>
      </w:r>
      <w:r>
        <w:rPr>
          <w:sz w:val="22"/>
        </w:rPr>
        <w:tab/>
      </w:r>
      <w:hyperlink w:history="true" w:anchor="_bookmark49">
        <w:r>
          <w:rPr>
            <w:color w:val="8B2C18"/>
            <w:spacing w:val="-5"/>
            <w:sz w:val="22"/>
          </w:rPr>
          <w:t>29</w:t>
        </w:r>
      </w:hyperlink>
    </w:p>
    <w:p>
      <w:pPr>
        <w:pStyle w:val="ListParagraph"/>
        <w:numPr>
          <w:ilvl w:val="1"/>
          <w:numId w:val="4"/>
        </w:numPr>
        <w:tabs>
          <w:tab w:pos="1538" w:val="left" w:leader="none"/>
          <w:tab w:pos="9213" w:val="right" w:leader="dot"/>
        </w:tabs>
        <w:spacing w:line="240" w:lineRule="auto" w:before="18" w:after="0"/>
        <w:ind w:left="1538" w:right="0" w:hanging="502"/>
        <w:jc w:val="left"/>
        <w:rPr>
          <w:sz w:val="22"/>
        </w:rPr>
      </w:pPr>
      <w:r>
        <w:rPr>
          <w:sz w:val="22"/>
        </w:rPr>
        <w:t>Prediction</w:t>
      </w:r>
      <w:r>
        <w:rPr>
          <w:spacing w:val="-9"/>
          <w:sz w:val="22"/>
        </w:rPr>
        <w:t> </w:t>
      </w:r>
      <w:r>
        <w:rPr>
          <w:sz w:val="22"/>
        </w:rPr>
        <w:t>aggregation</w:t>
      </w:r>
      <w:r>
        <w:rPr>
          <w:spacing w:val="-9"/>
          <w:sz w:val="22"/>
        </w:rPr>
        <w:t> </w:t>
      </w:r>
      <w:r>
        <w:rPr>
          <w:sz w:val="22"/>
        </w:rPr>
        <w:t>formulas</w:t>
      </w:r>
      <w:r>
        <w:rPr>
          <w:spacing w:val="-9"/>
          <w:sz w:val="22"/>
        </w:rPr>
        <w:t> </w:t>
      </w:r>
      <w:r>
        <w:rPr>
          <w:sz w:val="22"/>
        </w:rPr>
        <w:t>for</w:t>
      </w:r>
      <w:r>
        <w:rPr>
          <w:spacing w:val="-8"/>
          <w:sz w:val="22"/>
        </w:rPr>
        <w:t> </w:t>
      </w:r>
      <w:r>
        <w:rPr>
          <w:sz w:val="22"/>
        </w:rPr>
        <w:t>the</w:t>
      </w:r>
      <w:r>
        <w:rPr>
          <w:spacing w:val="-9"/>
          <w:sz w:val="22"/>
        </w:rPr>
        <w:t> </w:t>
      </w:r>
      <w:r>
        <w:rPr>
          <w:sz w:val="22"/>
        </w:rPr>
        <w:t>three</w:t>
      </w:r>
      <w:r>
        <w:rPr>
          <w:spacing w:val="-9"/>
          <w:sz w:val="22"/>
        </w:rPr>
        <w:t> </w:t>
      </w:r>
      <w:r>
        <w:rPr>
          <w:sz w:val="22"/>
        </w:rPr>
        <w:t>CarenR</w:t>
      </w:r>
      <w:r>
        <w:rPr>
          <w:spacing w:val="-8"/>
          <w:sz w:val="22"/>
        </w:rPr>
        <w:t> </w:t>
      </w:r>
      <w:r>
        <w:rPr>
          <w:sz w:val="22"/>
        </w:rPr>
        <w:t>variant</w:t>
      </w:r>
      <w:r>
        <w:rPr>
          <w:spacing w:val="-9"/>
          <w:sz w:val="22"/>
        </w:rPr>
        <w:t> </w:t>
      </w:r>
      <w:r>
        <w:rPr>
          <w:spacing w:val="-2"/>
          <w:sz w:val="22"/>
        </w:rPr>
        <w:t>families.</w:t>
      </w:r>
      <w:r>
        <w:rPr>
          <w:sz w:val="22"/>
        </w:rPr>
        <w:tab/>
      </w:r>
      <w:hyperlink w:history="true" w:anchor="_bookmark50">
        <w:r>
          <w:rPr>
            <w:color w:val="8B2C18"/>
            <w:spacing w:val="-5"/>
            <w:sz w:val="22"/>
          </w:rPr>
          <w:t>30</w:t>
        </w:r>
      </w:hyperlink>
    </w:p>
    <w:p>
      <w:pPr>
        <w:pStyle w:val="ListParagraph"/>
        <w:numPr>
          <w:ilvl w:val="1"/>
          <w:numId w:val="4"/>
        </w:numPr>
        <w:tabs>
          <w:tab w:pos="1527" w:val="left" w:leader="none"/>
          <w:tab w:pos="9213" w:val="right" w:leader="dot"/>
        </w:tabs>
        <w:spacing w:line="240" w:lineRule="auto" w:before="19" w:after="0"/>
        <w:ind w:left="1527" w:right="0" w:hanging="491"/>
        <w:jc w:val="left"/>
        <w:rPr>
          <w:sz w:val="22"/>
        </w:rPr>
      </w:pPr>
      <w:r>
        <w:rPr>
          <w:sz w:val="22"/>
        </w:rPr>
        <w:t>Worked</w:t>
      </w:r>
      <w:r>
        <w:rPr>
          <w:spacing w:val="-13"/>
          <w:sz w:val="22"/>
        </w:rPr>
        <w:t> </w:t>
      </w:r>
      <w:r>
        <w:rPr>
          <w:sz w:val="22"/>
        </w:rPr>
        <w:t>example</w:t>
      </w:r>
      <w:r>
        <w:rPr>
          <w:spacing w:val="-12"/>
          <w:sz w:val="22"/>
        </w:rPr>
        <w:t> </w:t>
      </w:r>
      <w:r>
        <w:rPr>
          <w:sz w:val="22"/>
        </w:rPr>
        <w:t>of</w:t>
      </w:r>
      <w:r>
        <w:rPr>
          <w:spacing w:val="-13"/>
          <w:sz w:val="22"/>
        </w:rPr>
        <w:t> </w:t>
      </w:r>
      <w:r>
        <w:rPr>
          <w:sz w:val="22"/>
        </w:rPr>
        <w:t>the</w:t>
      </w:r>
      <w:r>
        <w:rPr>
          <w:spacing w:val="-12"/>
          <w:sz w:val="22"/>
        </w:rPr>
        <w:t> </w:t>
      </w:r>
      <w:r>
        <w:rPr>
          <w:sz w:val="22"/>
        </w:rPr>
        <w:t>support-weighted</w:t>
      </w:r>
      <w:r>
        <w:rPr>
          <w:spacing w:val="-12"/>
          <w:sz w:val="22"/>
        </w:rPr>
        <w:t> </w:t>
      </w:r>
      <w:r>
        <w:rPr>
          <w:sz w:val="22"/>
        </w:rPr>
        <w:t>prediction</w:t>
      </w:r>
      <w:r>
        <w:rPr>
          <w:spacing w:val="-13"/>
          <w:sz w:val="22"/>
        </w:rPr>
        <w:t> </w:t>
      </w:r>
      <w:r>
        <w:rPr>
          <w:spacing w:val="-2"/>
          <w:sz w:val="22"/>
        </w:rPr>
        <w:t>formula.</w:t>
      </w:r>
      <w:r>
        <w:rPr>
          <w:sz w:val="22"/>
        </w:rPr>
        <w:tab/>
      </w:r>
      <w:hyperlink w:history="true" w:anchor="_bookmark51">
        <w:r>
          <w:rPr>
            <w:color w:val="8B2C18"/>
            <w:spacing w:val="-5"/>
            <w:sz w:val="22"/>
          </w:rPr>
          <w:t>31</w:t>
        </w:r>
      </w:hyperlink>
    </w:p>
    <w:p>
      <w:pPr>
        <w:pStyle w:val="ListParagraph"/>
        <w:numPr>
          <w:ilvl w:val="1"/>
          <w:numId w:val="4"/>
        </w:numPr>
        <w:tabs>
          <w:tab w:pos="1538" w:val="left" w:leader="none"/>
          <w:tab w:pos="9213" w:val="right" w:leader="dot"/>
        </w:tabs>
        <w:spacing w:line="240" w:lineRule="auto" w:before="18" w:after="0"/>
        <w:ind w:left="1538" w:right="0" w:hanging="502"/>
        <w:jc w:val="left"/>
        <w:rPr>
          <w:sz w:val="22"/>
        </w:rPr>
      </w:pPr>
      <w:r>
        <w:rPr>
          <w:sz w:val="22"/>
        </w:rPr>
        <w:t>Stationarity</w:t>
      </w:r>
      <w:r>
        <w:rPr>
          <w:spacing w:val="-4"/>
          <w:sz w:val="22"/>
        </w:rPr>
        <w:t> </w:t>
      </w:r>
      <w:r>
        <w:rPr>
          <w:sz w:val="22"/>
        </w:rPr>
        <w:t>test</w:t>
      </w:r>
      <w:r>
        <w:rPr>
          <w:spacing w:val="-3"/>
          <w:sz w:val="22"/>
        </w:rPr>
        <w:t> </w:t>
      </w:r>
      <w:r>
        <w:rPr>
          <w:sz w:val="22"/>
        </w:rPr>
        <w:t>results.</w:t>
      </w:r>
      <w:r>
        <w:rPr>
          <w:spacing w:val="10"/>
          <w:sz w:val="22"/>
        </w:rPr>
        <w:t> </w:t>
      </w:r>
      <w:r>
        <w:rPr>
          <w:sz w:val="22"/>
        </w:rPr>
        <w:t>ADF</w:t>
      </w:r>
      <w:r>
        <w:rPr>
          <w:spacing w:val="-4"/>
          <w:sz w:val="22"/>
        </w:rPr>
        <w:t> </w:t>
      </w:r>
      <w:r>
        <w:rPr>
          <w:sz w:val="22"/>
        </w:rPr>
        <w:t>H</w:t>
      </w:r>
      <w:r>
        <w:rPr>
          <w:sz w:val="22"/>
          <w:vertAlign w:val="subscript"/>
        </w:rPr>
        <w:t>0</w:t>
      </w:r>
      <w:r>
        <w:rPr>
          <w:sz w:val="22"/>
          <w:vertAlign w:val="baseline"/>
        </w:rPr>
        <w:t>:</w:t>
      </w:r>
      <w:r>
        <w:rPr>
          <w:spacing w:val="10"/>
          <w:sz w:val="22"/>
          <w:vertAlign w:val="baseline"/>
        </w:rPr>
        <w:t> </w:t>
      </w:r>
      <w:r>
        <w:rPr>
          <w:sz w:val="22"/>
          <w:vertAlign w:val="baseline"/>
        </w:rPr>
        <w:t>unit</w:t>
      </w:r>
      <w:r>
        <w:rPr>
          <w:spacing w:val="-3"/>
          <w:sz w:val="22"/>
          <w:vertAlign w:val="baseline"/>
        </w:rPr>
        <w:t> </w:t>
      </w:r>
      <w:r>
        <w:rPr>
          <w:sz w:val="22"/>
          <w:vertAlign w:val="baseline"/>
        </w:rPr>
        <w:t>root</w:t>
      </w:r>
      <w:r>
        <w:rPr>
          <w:spacing w:val="-4"/>
          <w:sz w:val="22"/>
          <w:vertAlign w:val="baseline"/>
        </w:rPr>
        <w:t> </w:t>
      </w:r>
      <w:r>
        <w:rPr>
          <w:spacing w:val="-2"/>
          <w:sz w:val="22"/>
          <w:vertAlign w:val="baseline"/>
        </w:rPr>
        <w:t>present.</w:t>
      </w:r>
      <w:r>
        <w:rPr>
          <w:sz w:val="22"/>
          <w:vertAlign w:val="baseline"/>
        </w:rPr>
        <w:tab/>
      </w:r>
      <w:hyperlink w:history="true" w:anchor="_bookmark53">
        <w:r>
          <w:rPr>
            <w:color w:val="8B2C18"/>
            <w:spacing w:val="-5"/>
            <w:sz w:val="22"/>
            <w:vertAlign w:val="baseline"/>
          </w:rPr>
          <w:t>32</w:t>
        </w:r>
      </w:hyperlink>
    </w:p>
    <w:p>
      <w:pPr>
        <w:pStyle w:val="ListParagraph"/>
        <w:numPr>
          <w:ilvl w:val="1"/>
          <w:numId w:val="4"/>
        </w:numPr>
        <w:tabs>
          <w:tab w:pos="1538" w:val="left" w:leader="none"/>
          <w:tab w:pos="9213" w:val="right" w:leader="dot"/>
        </w:tabs>
        <w:spacing w:line="240" w:lineRule="auto" w:before="19" w:after="0"/>
        <w:ind w:left="1538" w:right="0" w:hanging="502"/>
        <w:jc w:val="left"/>
        <w:rPr>
          <w:sz w:val="22"/>
        </w:rPr>
      </w:pPr>
      <w:r>
        <w:rPr>
          <w:sz w:val="22"/>
        </w:rPr>
        <w:t>Primary</w:t>
      </w:r>
      <w:r>
        <w:rPr>
          <w:spacing w:val="-8"/>
          <w:sz w:val="22"/>
        </w:rPr>
        <w:t> </w:t>
      </w:r>
      <w:r>
        <w:rPr>
          <w:sz w:val="22"/>
        </w:rPr>
        <w:t>daily</w:t>
      </w:r>
      <w:r>
        <w:rPr>
          <w:spacing w:val="-9"/>
          <w:sz w:val="22"/>
        </w:rPr>
        <w:t> </w:t>
      </w:r>
      <w:r>
        <w:rPr>
          <w:sz w:val="22"/>
        </w:rPr>
        <w:t>meteorological</w:t>
      </w:r>
      <w:r>
        <w:rPr>
          <w:spacing w:val="-8"/>
          <w:sz w:val="22"/>
        </w:rPr>
        <w:t> </w:t>
      </w:r>
      <w:r>
        <w:rPr>
          <w:sz w:val="22"/>
        </w:rPr>
        <w:t>variables</w:t>
      </w:r>
      <w:r>
        <w:rPr>
          <w:spacing w:val="-8"/>
          <w:sz w:val="22"/>
        </w:rPr>
        <w:t> </w:t>
      </w:r>
      <w:r>
        <w:rPr>
          <w:sz w:val="22"/>
        </w:rPr>
        <w:t>in</w:t>
      </w:r>
      <w:r>
        <w:rPr>
          <w:spacing w:val="-8"/>
          <w:sz w:val="22"/>
        </w:rPr>
        <w:t> </w:t>
      </w:r>
      <w:r>
        <w:rPr>
          <w:sz w:val="22"/>
        </w:rPr>
        <w:t>the</w:t>
      </w:r>
      <w:r>
        <w:rPr>
          <w:spacing w:val="-8"/>
          <w:sz w:val="22"/>
        </w:rPr>
        <w:t> </w:t>
      </w:r>
      <w:r>
        <w:rPr>
          <w:sz w:val="22"/>
        </w:rPr>
        <w:t>raw</w:t>
      </w:r>
      <w:r>
        <w:rPr>
          <w:spacing w:val="-8"/>
          <w:sz w:val="22"/>
        </w:rPr>
        <w:t> </w:t>
      </w:r>
      <w:r>
        <w:rPr>
          <w:sz w:val="22"/>
        </w:rPr>
        <w:t>source</w:t>
      </w:r>
      <w:r>
        <w:rPr>
          <w:spacing w:val="-8"/>
          <w:sz w:val="22"/>
        </w:rPr>
        <w:t> </w:t>
      </w:r>
      <w:r>
        <w:rPr>
          <w:spacing w:val="-2"/>
          <w:sz w:val="22"/>
        </w:rPr>
        <w:t>files.</w:t>
      </w:r>
      <w:r>
        <w:rPr>
          <w:sz w:val="22"/>
        </w:rPr>
        <w:tab/>
      </w:r>
      <w:hyperlink w:history="true" w:anchor="_bookmark56">
        <w:r>
          <w:rPr>
            <w:color w:val="8B2C18"/>
            <w:spacing w:val="-5"/>
            <w:sz w:val="22"/>
          </w:rPr>
          <w:t>33</w:t>
        </w:r>
      </w:hyperlink>
    </w:p>
    <w:p>
      <w:pPr>
        <w:pStyle w:val="ListParagraph"/>
        <w:numPr>
          <w:ilvl w:val="1"/>
          <w:numId w:val="4"/>
        </w:numPr>
        <w:tabs>
          <w:tab w:pos="1538" w:val="left" w:leader="none"/>
          <w:tab w:pos="9213" w:val="right" w:leader="dot"/>
        </w:tabs>
        <w:spacing w:line="240" w:lineRule="auto" w:before="18" w:after="0"/>
        <w:ind w:left="1538" w:right="0" w:hanging="502"/>
        <w:jc w:val="left"/>
        <w:rPr>
          <w:sz w:val="22"/>
        </w:rPr>
      </w:pPr>
      <w:r>
        <w:rPr>
          <w:sz w:val="22"/>
        </w:rPr>
        <w:t>Binary</w:t>
      </w:r>
      <w:r>
        <w:rPr>
          <w:spacing w:val="-10"/>
          <w:sz w:val="22"/>
        </w:rPr>
        <w:t> </w:t>
      </w:r>
      <w:r>
        <w:rPr>
          <w:sz w:val="22"/>
        </w:rPr>
        <w:t>threshold</w:t>
      </w:r>
      <w:r>
        <w:rPr>
          <w:spacing w:val="-10"/>
          <w:sz w:val="22"/>
        </w:rPr>
        <w:t> </w:t>
      </w:r>
      <w:r>
        <w:rPr>
          <w:sz w:val="22"/>
        </w:rPr>
        <w:t>indicators</w:t>
      </w:r>
      <w:r>
        <w:rPr>
          <w:spacing w:val="-9"/>
          <w:sz w:val="22"/>
        </w:rPr>
        <w:t> </w:t>
      </w:r>
      <w:r>
        <w:rPr>
          <w:sz w:val="22"/>
        </w:rPr>
        <w:t>derived</w:t>
      </w:r>
      <w:r>
        <w:rPr>
          <w:spacing w:val="-10"/>
          <w:sz w:val="22"/>
        </w:rPr>
        <w:t> </w:t>
      </w:r>
      <w:r>
        <w:rPr>
          <w:sz w:val="22"/>
        </w:rPr>
        <w:t>from</w:t>
      </w:r>
      <w:r>
        <w:rPr>
          <w:spacing w:val="-9"/>
          <w:sz w:val="22"/>
        </w:rPr>
        <w:t> </w:t>
      </w:r>
      <w:r>
        <w:rPr>
          <w:sz w:val="22"/>
        </w:rPr>
        <w:t>raw</w:t>
      </w:r>
      <w:r>
        <w:rPr>
          <w:spacing w:val="-10"/>
          <w:sz w:val="22"/>
        </w:rPr>
        <w:t> </w:t>
      </w:r>
      <w:r>
        <w:rPr>
          <w:sz w:val="22"/>
        </w:rPr>
        <w:t>daily</w:t>
      </w:r>
      <w:r>
        <w:rPr>
          <w:spacing w:val="-10"/>
          <w:sz w:val="22"/>
        </w:rPr>
        <w:t> </w:t>
      </w:r>
      <w:r>
        <w:rPr>
          <w:sz w:val="22"/>
        </w:rPr>
        <w:t>meteorological</w:t>
      </w:r>
      <w:r>
        <w:rPr>
          <w:spacing w:val="-9"/>
          <w:sz w:val="22"/>
        </w:rPr>
        <w:t> </w:t>
      </w:r>
      <w:r>
        <w:rPr>
          <w:spacing w:val="-2"/>
          <w:sz w:val="22"/>
        </w:rPr>
        <w:t>variables.</w:t>
      </w:r>
      <w:r>
        <w:rPr>
          <w:sz w:val="22"/>
        </w:rPr>
        <w:tab/>
      </w:r>
      <w:hyperlink w:history="true" w:anchor="_bookmark57">
        <w:r>
          <w:rPr>
            <w:color w:val="8B2C18"/>
            <w:spacing w:val="-5"/>
            <w:sz w:val="22"/>
          </w:rPr>
          <w:t>34</w:t>
        </w:r>
      </w:hyperlink>
    </w:p>
    <w:p>
      <w:pPr>
        <w:pStyle w:val="ListParagraph"/>
        <w:numPr>
          <w:ilvl w:val="1"/>
          <w:numId w:val="4"/>
        </w:numPr>
        <w:tabs>
          <w:tab w:pos="1529" w:val="left" w:leader="none"/>
          <w:tab w:pos="9213" w:val="right" w:leader="dot"/>
        </w:tabs>
        <w:spacing w:line="240" w:lineRule="auto" w:before="18" w:after="0"/>
        <w:ind w:left="1529" w:right="0" w:hanging="493"/>
        <w:jc w:val="left"/>
        <w:rPr>
          <w:sz w:val="22"/>
        </w:rPr>
      </w:pPr>
      <w:r>
        <w:rPr>
          <w:sz w:val="22"/>
        </w:rPr>
        <w:t>Annual</w:t>
      </w:r>
      <w:r>
        <w:rPr>
          <w:spacing w:val="-9"/>
          <w:sz w:val="22"/>
        </w:rPr>
        <w:t> </w:t>
      </w:r>
      <w:r>
        <w:rPr>
          <w:sz w:val="22"/>
        </w:rPr>
        <w:t>phenology</w:t>
      </w:r>
      <w:r>
        <w:rPr>
          <w:spacing w:val="-8"/>
          <w:sz w:val="22"/>
        </w:rPr>
        <w:t> </w:t>
      </w:r>
      <w:r>
        <w:rPr>
          <w:sz w:val="22"/>
        </w:rPr>
        <w:t>and</w:t>
      </w:r>
      <w:r>
        <w:rPr>
          <w:spacing w:val="-8"/>
          <w:sz w:val="22"/>
        </w:rPr>
        <w:t> </w:t>
      </w:r>
      <w:r>
        <w:rPr>
          <w:sz w:val="22"/>
        </w:rPr>
        <w:t>production</w:t>
      </w:r>
      <w:r>
        <w:rPr>
          <w:spacing w:val="-8"/>
          <w:sz w:val="22"/>
        </w:rPr>
        <w:t> </w:t>
      </w:r>
      <w:r>
        <w:rPr>
          <w:spacing w:val="-2"/>
          <w:sz w:val="22"/>
        </w:rPr>
        <w:t>variables.</w:t>
      </w:r>
      <w:r>
        <w:rPr>
          <w:sz w:val="22"/>
        </w:rPr>
        <w:tab/>
      </w:r>
      <w:hyperlink w:history="true" w:anchor="_bookmark59">
        <w:r>
          <w:rPr>
            <w:color w:val="8B2C18"/>
            <w:spacing w:val="-5"/>
            <w:sz w:val="22"/>
          </w:rPr>
          <w:t>34</w:t>
        </w:r>
      </w:hyperlink>
    </w:p>
    <w:p>
      <w:pPr>
        <w:pStyle w:val="ListParagraph"/>
        <w:numPr>
          <w:ilvl w:val="1"/>
          <w:numId w:val="4"/>
        </w:numPr>
        <w:tabs>
          <w:tab w:pos="1537" w:val="left" w:leader="none"/>
          <w:tab w:pos="9213" w:val="right" w:leader="dot"/>
        </w:tabs>
        <w:spacing w:line="240" w:lineRule="auto" w:before="19" w:after="0"/>
        <w:ind w:left="1537" w:right="0" w:hanging="501"/>
        <w:jc w:val="left"/>
        <w:rPr>
          <w:sz w:val="22"/>
        </w:rPr>
      </w:pPr>
      <w:r>
        <w:rPr>
          <w:sz w:val="22"/>
        </w:rPr>
        <w:t>Feature</w:t>
      </w:r>
      <w:r>
        <w:rPr>
          <w:spacing w:val="-13"/>
          <w:sz w:val="22"/>
        </w:rPr>
        <w:t> </w:t>
      </w:r>
      <w:r>
        <w:rPr>
          <w:sz w:val="22"/>
        </w:rPr>
        <w:t>naming</w:t>
      </w:r>
      <w:r>
        <w:rPr>
          <w:spacing w:val="-13"/>
          <w:sz w:val="22"/>
        </w:rPr>
        <w:t> </w:t>
      </w:r>
      <w:r>
        <w:rPr>
          <w:sz w:val="22"/>
        </w:rPr>
        <w:t>convention</w:t>
      </w:r>
      <w:r>
        <w:rPr>
          <w:spacing w:val="-13"/>
          <w:sz w:val="22"/>
        </w:rPr>
        <w:t> </w:t>
      </w:r>
      <w:r>
        <w:rPr>
          <w:spacing w:val="-2"/>
          <w:sz w:val="22"/>
        </w:rPr>
        <w:t>components.</w:t>
      </w:r>
      <w:r>
        <w:rPr>
          <w:sz w:val="22"/>
        </w:rPr>
        <w:tab/>
      </w:r>
      <w:hyperlink w:history="true" w:anchor="_bookmark62">
        <w:r>
          <w:rPr>
            <w:color w:val="8B2C18"/>
            <w:spacing w:val="-5"/>
            <w:sz w:val="22"/>
          </w:rPr>
          <w:t>35</w:t>
        </w:r>
      </w:hyperlink>
    </w:p>
    <w:p>
      <w:pPr>
        <w:pStyle w:val="ListParagraph"/>
        <w:numPr>
          <w:ilvl w:val="1"/>
          <w:numId w:val="4"/>
        </w:numPr>
        <w:tabs>
          <w:tab w:pos="1537" w:val="left" w:leader="none"/>
          <w:tab w:pos="9213" w:val="right" w:leader="dot"/>
        </w:tabs>
        <w:spacing w:line="240" w:lineRule="auto" w:before="18" w:after="0"/>
        <w:ind w:left="1537" w:right="0" w:hanging="501"/>
        <w:jc w:val="left"/>
        <w:rPr>
          <w:sz w:val="22"/>
        </w:rPr>
      </w:pPr>
      <w:r>
        <w:rPr>
          <w:sz w:val="22"/>
        </w:rPr>
        <w:t>Feature</w:t>
      </w:r>
      <w:r>
        <w:rPr>
          <w:spacing w:val="-9"/>
          <w:sz w:val="22"/>
        </w:rPr>
        <w:t> </w:t>
      </w:r>
      <w:r>
        <w:rPr>
          <w:sz w:val="22"/>
        </w:rPr>
        <w:t>groups,</w:t>
      </w:r>
      <w:r>
        <w:rPr>
          <w:spacing w:val="-8"/>
          <w:sz w:val="22"/>
        </w:rPr>
        <w:t> </w:t>
      </w:r>
      <w:r>
        <w:rPr>
          <w:sz w:val="22"/>
        </w:rPr>
        <w:t>counts,</w:t>
      </w:r>
      <w:r>
        <w:rPr>
          <w:spacing w:val="-8"/>
          <w:sz w:val="22"/>
        </w:rPr>
        <w:t> </w:t>
      </w:r>
      <w:r>
        <w:rPr>
          <w:sz w:val="22"/>
        </w:rPr>
        <w:t>and</w:t>
      </w:r>
      <w:r>
        <w:rPr>
          <w:spacing w:val="-9"/>
          <w:sz w:val="22"/>
        </w:rPr>
        <w:t> </w:t>
      </w:r>
      <w:r>
        <w:rPr>
          <w:sz w:val="22"/>
        </w:rPr>
        <w:t>agronomic</w:t>
      </w:r>
      <w:r>
        <w:rPr>
          <w:spacing w:val="-8"/>
          <w:sz w:val="22"/>
        </w:rPr>
        <w:t> </w:t>
      </w:r>
      <w:r>
        <w:rPr>
          <w:sz w:val="22"/>
        </w:rPr>
        <w:t>meanings.</w:t>
      </w:r>
      <w:r>
        <w:rPr>
          <w:spacing w:val="3"/>
          <w:sz w:val="22"/>
        </w:rPr>
        <w:t> </w:t>
      </w:r>
      <w:r>
        <w:rPr>
          <w:sz w:val="22"/>
        </w:rPr>
        <w:t>Total:</w:t>
      </w:r>
      <w:r>
        <w:rPr>
          <w:spacing w:val="3"/>
          <w:sz w:val="22"/>
        </w:rPr>
        <w:t> </w:t>
      </w:r>
      <w:r>
        <w:rPr>
          <w:sz w:val="22"/>
        </w:rPr>
        <w:t>59</w:t>
      </w:r>
      <w:r>
        <w:rPr>
          <w:spacing w:val="-8"/>
          <w:sz w:val="22"/>
        </w:rPr>
        <w:t> </w:t>
      </w:r>
      <w:r>
        <w:rPr>
          <w:sz w:val="22"/>
        </w:rPr>
        <w:t>features</w:t>
      </w:r>
      <w:r>
        <w:rPr>
          <w:spacing w:val="-8"/>
          <w:sz w:val="22"/>
        </w:rPr>
        <w:t> </w:t>
      </w:r>
      <w:r>
        <w:rPr>
          <w:sz w:val="22"/>
        </w:rPr>
        <w:t>per</w:t>
      </w:r>
      <w:r>
        <w:rPr>
          <w:spacing w:val="-9"/>
          <w:sz w:val="22"/>
        </w:rPr>
        <w:t> </w:t>
      </w:r>
      <w:r>
        <w:rPr>
          <w:spacing w:val="-2"/>
          <w:sz w:val="22"/>
        </w:rPr>
        <w:t>region.</w:t>
      </w:r>
      <w:r>
        <w:rPr>
          <w:sz w:val="22"/>
        </w:rPr>
        <w:tab/>
      </w:r>
      <w:hyperlink w:history="true" w:anchor="_bookmark64">
        <w:r>
          <w:rPr>
            <w:color w:val="8B2C18"/>
            <w:spacing w:val="-5"/>
            <w:sz w:val="22"/>
          </w:rPr>
          <w:t>36</w:t>
        </w:r>
      </w:hyperlink>
    </w:p>
    <w:p>
      <w:pPr>
        <w:pStyle w:val="ListParagraph"/>
        <w:numPr>
          <w:ilvl w:val="1"/>
          <w:numId w:val="5"/>
        </w:numPr>
        <w:tabs>
          <w:tab w:pos="1531" w:val="left" w:leader="none"/>
        </w:tabs>
        <w:spacing w:line="240" w:lineRule="auto" w:before="218" w:after="0"/>
        <w:ind w:left="1531" w:right="0" w:hanging="495"/>
        <w:jc w:val="left"/>
        <w:rPr>
          <w:sz w:val="22"/>
        </w:rPr>
      </w:pPr>
      <w:r>
        <w:rPr>
          <w:sz w:val="22"/>
        </w:rPr>
        <w:t>Top</w:t>
      </w:r>
      <w:r>
        <w:rPr>
          <w:spacing w:val="8"/>
          <w:sz w:val="22"/>
        </w:rPr>
        <w:t> </w:t>
      </w:r>
      <w:r>
        <w:rPr>
          <w:sz w:val="22"/>
        </w:rPr>
        <w:t>5</w:t>
      </w:r>
      <w:r>
        <w:rPr>
          <w:spacing w:val="8"/>
          <w:sz w:val="22"/>
        </w:rPr>
        <w:t> </w:t>
      </w:r>
      <w:r>
        <w:rPr>
          <w:sz w:val="22"/>
        </w:rPr>
        <w:t>CarenR</w:t>
      </w:r>
      <w:r>
        <w:rPr>
          <w:spacing w:val="8"/>
          <w:sz w:val="22"/>
        </w:rPr>
        <w:t> </w:t>
      </w:r>
      <w:r>
        <w:rPr>
          <w:sz w:val="22"/>
        </w:rPr>
        <w:t>rules</w:t>
      </w:r>
      <w:r>
        <w:rPr>
          <w:spacing w:val="9"/>
          <w:sz w:val="22"/>
        </w:rPr>
        <w:t> </w:t>
      </w:r>
      <w:r>
        <w:rPr>
          <w:sz w:val="22"/>
        </w:rPr>
        <w:t>for</w:t>
      </w:r>
      <w:r>
        <w:rPr>
          <w:spacing w:val="8"/>
          <w:sz w:val="22"/>
        </w:rPr>
        <w:t> </w:t>
      </w:r>
      <w:r>
        <w:rPr>
          <w:sz w:val="22"/>
        </w:rPr>
        <w:t>the</w:t>
      </w:r>
      <w:r>
        <w:rPr>
          <w:spacing w:val="8"/>
          <w:sz w:val="22"/>
        </w:rPr>
        <w:t> </w:t>
      </w:r>
      <w:r>
        <w:rPr>
          <w:sz w:val="22"/>
        </w:rPr>
        <w:t>Douro</w:t>
      </w:r>
      <w:r>
        <w:rPr>
          <w:spacing w:val="9"/>
          <w:sz w:val="22"/>
        </w:rPr>
        <w:t> </w:t>
      </w:r>
      <w:r>
        <w:rPr>
          <w:sz w:val="22"/>
        </w:rPr>
        <w:t>(RDD),</w:t>
      </w:r>
      <w:r>
        <w:rPr>
          <w:spacing w:val="8"/>
          <w:sz w:val="22"/>
        </w:rPr>
        <w:t> </w:t>
      </w:r>
      <w:r>
        <w:rPr>
          <w:sz w:val="22"/>
        </w:rPr>
        <w:t>sorted</w:t>
      </w:r>
      <w:r>
        <w:rPr>
          <w:spacing w:val="8"/>
          <w:sz w:val="22"/>
        </w:rPr>
        <w:t> </w:t>
      </w:r>
      <w:r>
        <w:rPr>
          <w:sz w:val="22"/>
        </w:rPr>
        <w:t>by</w:t>
      </w:r>
      <w:r>
        <w:rPr>
          <w:spacing w:val="8"/>
          <w:sz w:val="22"/>
        </w:rPr>
        <w:t> </w:t>
      </w:r>
      <w:r>
        <w:rPr>
          <w:sz w:val="22"/>
        </w:rPr>
        <w:t>KS</w:t>
      </w:r>
      <w:r>
        <w:rPr>
          <w:spacing w:val="26"/>
          <w:sz w:val="22"/>
        </w:rPr>
        <w:t> </w:t>
      </w:r>
      <w:r>
        <w:rPr>
          <w:i/>
          <w:sz w:val="22"/>
        </w:rPr>
        <w:t>p</w:t>
      </w:r>
      <w:r>
        <w:rPr>
          <w:sz w:val="22"/>
        </w:rPr>
        <w:t>-value.</w:t>
      </w:r>
      <w:r>
        <w:rPr>
          <w:spacing w:val="38"/>
          <w:sz w:val="22"/>
        </w:rPr>
        <w:t> </w:t>
      </w:r>
      <w:r>
        <w:rPr>
          <w:sz w:val="22"/>
        </w:rPr>
        <w:t>Full</w:t>
      </w:r>
      <w:r>
        <w:rPr>
          <w:spacing w:val="8"/>
          <w:sz w:val="22"/>
        </w:rPr>
        <w:t> </w:t>
      </w:r>
      <w:r>
        <w:rPr>
          <w:sz w:val="22"/>
        </w:rPr>
        <w:t>top-10</w:t>
      </w:r>
      <w:r>
        <w:rPr>
          <w:spacing w:val="8"/>
          <w:sz w:val="22"/>
        </w:rPr>
        <w:t> </w:t>
      </w:r>
      <w:r>
        <w:rPr>
          <w:spacing w:val="-5"/>
          <w:sz w:val="22"/>
        </w:rPr>
        <w:t>in</w:t>
      </w:r>
    </w:p>
    <w:p>
      <w:pPr>
        <w:pStyle w:val="BodyText"/>
        <w:tabs>
          <w:tab w:pos="9213" w:val="right" w:leader="dot"/>
        </w:tabs>
        <w:spacing w:before="18"/>
        <w:ind w:left="1531"/>
      </w:pPr>
      <w:r>
        <w:rPr>
          <w:spacing w:val="-4"/>
        </w:rPr>
        <w:t>Table</w:t>
      </w:r>
      <w:r>
        <w:rPr>
          <w:spacing w:val="-6"/>
        </w:rPr>
        <w:t> </w:t>
      </w:r>
      <w:hyperlink w:history="true" w:anchor="_bookmark157">
        <w:r>
          <w:rPr>
            <w:color w:val="8B2C18"/>
            <w:spacing w:val="-5"/>
          </w:rPr>
          <w:t>A.1</w:t>
        </w:r>
      </w:hyperlink>
      <w:r>
        <w:rPr>
          <w:color w:val="8B2C18"/>
        </w:rPr>
        <w:tab/>
      </w:r>
      <w:hyperlink w:history="true" w:anchor="_bookmark71">
        <w:r>
          <w:rPr>
            <w:color w:val="8B2C18"/>
            <w:spacing w:val="-5"/>
          </w:rPr>
          <w:t>40</w:t>
        </w:r>
      </w:hyperlink>
    </w:p>
    <w:p>
      <w:pPr>
        <w:pStyle w:val="ListParagraph"/>
        <w:numPr>
          <w:ilvl w:val="1"/>
          <w:numId w:val="5"/>
        </w:numPr>
        <w:tabs>
          <w:tab w:pos="1531" w:val="left" w:leader="none"/>
        </w:tabs>
        <w:spacing w:line="240" w:lineRule="auto" w:before="18" w:after="0"/>
        <w:ind w:left="1531" w:right="0" w:hanging="495"/>
        <w:jc w:val="left"/>
        <w:rPr>
          <w:sz w:val="22"/>
        </w:rPr>
      </w:pPr>
      <w:r>
        <w:rPr>
          <w:spacing w:val="-4"/>
          <w:sz w:val="22"/>
        </w:rPr>
        <w:t>Top 5 CarenR</w:t>
      </w:r>
      <w:r>
        <w:rPr>
          <w:spacing w:val="-3"/>
          <w:sz w:val="22"/>
        </w:rPr>
        <w:t> </w:t>
      </w:r>
      <w:r>
        <w:rPr>
          <w:spacing w:val="-4"/>
          <w:sz w:val="22"/>
        </w:rPr>
        <w:t>rules for</w:t>
      </w:r>
      <w:r>
        <w:rPr>
          <w:spacing w:val="-3"/>
          <w:sz w:val="22"/>
        </w:rPr>
        <w:t> </w:t>
      </w:r>
      <w:r>
        <w:rPr>
          <w:spacing w:val="-4"/>
          <w:sz w:val="22"/>
        </w:rPr>
        <w:t>the Vinho</w:t>
      </w:r>
      <w:r>
        <w:rPr>
          <w:spacing w:val="-3"/>
          <w:sz w:val="22"/>
        </w:rPr>
        <w:t> </w:t>
      </w:r>
      <w:r>
        <w:rPr>
          <w:spacing w:val="-4"/>
          <w:sz w:val="22"/>
        </w:rPr>
        <w:t>Verde (RVV).</w:t>
      </w:r>
      <w:r>
        <w:rPr>
          <w:spacing w:val="-3"/>
          <w:sz w:val="22"/>
        </w:rPr>
        <w:t> </w:t>
      </w:r>
      <w:r>
        <w:rPr>
          <w:spacing w:val="-4"/>
          <w:sz w:val="22"/>
        </w:rPr>
        <w:t>Rule 4</w:t>
      </w:r>
      <w:r>
        <w:rPr>
          <w:spacing w:val="-3"/>
          <w:sz w:val="22"/>
        </w:rPr>
        <w:t> </w:t>
      </w:r>
      <w:r>
        <w:rPr>
          <w:spacing w:val="-4"/>
          <w:sz w:val="22"/>
        </w:rPr>
        <w:t>is the</w:t>
      </w:r>
      <w:r>
        <w:rPr>
          <w:spacing w:val="-3"/>
          <w:sz w:val="22"/>
        </w:rPr>
        <w:t> </w:t>
      </w:r>
      <w:r>
        <w:rPr>
          <w:spacing w:val="-4"/>
          <w:sz w:val="22"/>
        </w:rPr>
        <w:t>only above-trend</w:t>
      </w:r>
      <w:r>
        <w:rPr>
          <w:spacing w:val="-3"/>
          <w:sz w:val="22"/>
        </w:rPr>
        <w:t> </w:t>
      </w:r>
      <w:r>
        <w:rPr>
          <w:spacing w:val="-4"/>
          <w:sz w:val="22"/>
        </w:rPr>
        <w:t>rule.</w:t>
      </w:r>
    </w:p>
    <w:p>
      <w:pPr>
        <w:pStyle w:val="BodyText"/>
        <w:tabs>
          <w:tab w:pos="9213" w:val="right" w:leader="dot"/>
        </w:tabs>
        <w:spacing w:before="18"/>
        <w:ind w:left="1538"/>
      </w:pPr>
      <w:r>
        <w:rPr/>
        <w:t>Full</w:t>
      </w:r>
      <w:r>
        <w:rPr>
          <w:spacing w:val="-12"/>
        </w:rPr>
        <w:t> </w:t>
      </w:r>
      <w:r>
        <w:rPr/>
        <w:t>top-10</w:t>
      </w:r>
      <w:r>
        <w:rPr>
          <w:spacing w:val="-9"/>
        </w:rPr>
        <w:t> </w:t>
      </w:r>
      <w:r>
        <w:rPr/>
        <w:t>in</w:t>
      </w:r>
      <w:r>
        <w:rPr>
          <w:spacing w:val="-10"/>
        </w:rPr>
        <w:t> </w:t>
      </w:r>
      <w:r>
        <w:rPr/>
        <w:t>Table</w:t>
      </w:r>
      <w:r>
        <w:rPr>
          <w:spacing w:val="-9"/>
        </w:rPr>
        <w:t> </w:t>
      </w:r>
      <w:hyperlink w:history="true" w:anchor="_bookmark152">
        <w:r>
          <w:rPr>
            <w:color w:val="8B2C18"/>
            <w:spacing w:val="-5"/>
          </w:rPr>
          <w:t>A.2</w:t>
        </w:r>
      </w:hyperlink>
      <w:r>
        <w:rPr>
          <w:color w:val="8B2C18"/>
        </w:rPr>
        <w:tab/>
      </w:r>
      <w:hyperlink w:history="true" w:anchor="_bookmark73">
        <w:r>
          <w:rPr>
            <w:color w:val="8B2C18"/>
            <w:spacing w:val="-5"/>
          </w:rPr>
          <w:t>41</w:t>
        </w:r>
      </w:hyperlink>
    </w:p>
    <w:p>
      <w:pPr>
        <w:pStyle w:val="ListParagraph"/>
        <w:numPr>
          <w:ilvl w:val="1"/>
          <w:numId w:val="5"/>
        </w:numPr>
        <w:tabs>
          <w:tab w:pos="1538" w:val="left" w:leader="none"/>
          <w:tab w:pos="9213" w:val="right" w:leader="dot"/>
        </w:tabs>
        <w:spacing w:line="229" w:lineRule="exact" w:before="19" w:after="0"/>
        <w:ind w:left="1538" w:right="0" w:hanging="502"/>
        <w:jc w:val="left"/>
        <w:rPr>
          <w:sz w:val="22"/>
        </w:rPr>
      </w:pPr>
      <w:r>
        <w:rPr>
          <w:sz w:val="22"/>
        </w:rPr>
        <w:t>Cross-regional</w:t>
      </w:r>
      <w:r>
        <w:rPr>
          <w:spacing w:val="-10"/>
          <w:sz w:val="22"/>
        </w:rPr>
        <w:t> </w:t>
      </w:r>
      <w:r>
        <w:rPr>
          <w:sz w:val="22"/>
        </w:rPr>
        <w:t>feature</w:t>
      </w:r>
      <w:r>
        <w:rPr>
          <w:spacing w:val="-10"/>
          <w:sz w:val="22"/>
        </w:rPr>
        <w:t> </w:t>
      </w:r>
      <w:r>
        <w:rPr>
          <w:sz w:val="22"/>
        </w:rPr>
        <w:t>direction</w:t>
      </w:r>
      <w:r>
        <w:rPr>
          <w:spacing w:val="-10"/>
          <w:sz w:val="22"/>
        </w:rPr>
        <w:t> </w:t>
      </w:r>
      <w:r>
        <w:rPr>
          <w:sz w:val="22"/>
        </w:rPr>
        <w:t>comparison</w:t>
      </w:r>
      <w:r>
        <w:rPr>
          <w:spacing w:val="-9"/>
          <w:sz w:val="22"/>
        </w:rPr>
        <w:t> </w:t>
      </w:r>
      <w:r>
        <w:rPr>
          <w:sz w:val="22"/>
        </w:rPr>
        <w:t>for</w:t>
      </w:r>
      <w:r>
        <w:rPr>
          <w:spacing w:val="-10"/>
          <w:sz w:val="22"/>
        </w:rPr>
        <w:t> </w:t>
      </w:r>
      <w:r>
        <w:rPr>
          <w:spacing w:val="-2"/>
          <w:sz w:val="22"/>
        </w:rPr>
        <w:t>swa_hv_y1_b20.</w:t>
      </w:r>
      <w:r>
        <w:rPr>
          <w:sz w:val="22"/>
        </w:rPr>
        <w:tab/>
      </w:r>
      <w:hyperlink w:history="true" w:anchor="_bookmark75">
        <w:r>
          <w:rPr>
            <w:color w:val="8B2C18"/>
            <w:spacing w:val="-5"/>
            <w:sz w:val="22"/>
          </w:rPr>
          <w:t>42</w:t>
        </w:r>
      </w:hyperlink>
    </w:p>
    <w:p>
      <w:pPr>
        <w:pStyle w:val="ListParagraph"/>
        <w:numPr>
          <w:ilvl w:val="1"/>
          <w:numId w:val="5"/>
        </w:numPr>
        <w:tabs>
          <w:tab w:pos="1538" w:val="left" w:leader="none"/>
        </w:tabs>
        <w:spacing w:line="326" w:lineRule="exact" w:before="0" w:after="0"/>
        <w:ind w:left="1538" w:right="0" w:hanging="502"/>
        <w:jc w:val="left"/>
        <w:rPr>
          <w:sz w:val="22"/>
        </w:rPr>
      </w:pPr>
      <w:r>
        <w:rPr>
          <w:spacing w:val="-2"/>
          <w:sz w:val="22"/>
        </w:rPr>
        <w:t>LOESS</w:t>
      </w:r>
      <w:r>
        <w:rPr>
          <w:spacing w:val="-10"/>
          <w:sz w:val="22"/>
        </w:rPr>
        <w:t> </w:t>
      </w:r>
      <w:r>
        <w:rPr>
          <w:spacing w:val="-2"/>
          <w:sz w:val="22"/>
        </w:rPr>
        <w:t>validation</w:t>
      </w:r>
      <w:r>
        <w:rPr>
          <w:spacing w:val="-5"/>
          <w:sz w:val="22"/>
        </w:rPr>
        <w:t> </w:t>
      </w:r>
      <w:r>
        <w:rPr>
          <w:spacing w:val="-2"/>
          <w:sz w:val="22"/>
        </w:rPr>
        <w:t>of</w:t>
      </w:r>
      <w:r>
        <w:rPr>
          <w:spacing w:val="-5"/>
          <w:sz w:val="22"/>
        </w:rPr>
        <w:t> </w:t>
      </w:r>
      <w:r>
        <w:rPr>
          <w:spacing w:val="-2"/>
          <w:sz w:val="22"/>
        </w:rPr>
        <w:t>top</w:t>
      </w:r>
      <w:r>
        <w:rPr>
          <w:spacing w:val="-5"/>
          <w:sz w:val="22"/>
        </w:rPr>
        <w:t> </w:t>
      </w:r>
      <w:r>
        <w:rPr>
          <w:spacing w:val="-2"/>
          <w:sz w:val="22"/>
        </w:rPr>
        <w:t>CarenR</w:t>
      </w:r>
      <w:r>
        <w:rPr>
          <w:spacing w:val="-6"/>
          <w:sz w:val="22"/>
        </w:rPr>
        <w:t> </w:t>
      </w:r>
      <w:r>
        <w:rPr>
          <w:spacing w:val="-2"/>
          <w:sz w:val="22"/>
        </w:rPr>
        <w:t>features</w:t>
      </w:r>
      <w:r>
        <w:rPr>
          <w:spacing w:val="-5"/>
          <w:sz w:val="22"/>
        </w:rPr>
        <w:t> </w:t>
      </w:r>
      <w:r>
        <w:rPr>
          <w:spacing w:val="-2"/>
          <w:sz w:val="22"/>
        </w:rPr>
        <w:t>(span</w:t>
      </w:r>
      <w:r>
        <w:rPr>
          <w:spacing w:val="-5"/>
          <w:sz w:val="22"/>
        </w:rPr>
        <w:t> </w:t>
      </w:r>
      <w:r>
        <w:rPr>
          <w:spacing w:val="-2"/>
          <w:sz w:val="22"/>
        </w:rPr>
        <w:t>=</w:t>
      </w:r>
      <w:r>
        <w:rPr>
          <w:spacing w:val="-6"/>
          <w:sz w:val="22"/>
        </w:rPr>
        <w:t> </w:t>
      </w:r>
      <w:r>
        <w:rPr>
          <w:spacing w:val="-2"/>
          <w:sz w:val="22"/>
        </w:rPr>
        <w:t>0.40).</w:t>
      </w:r>
      <w:r>
        <w:rPr>
          <w:spacing w:val="7"/>
          <w:sz w:val="22"/>
        </w:rPr>
        <w:t> </w:t>
      </w:r>
      <w:r>
        <w:rPr>
          <w:spacing w:val="-2"/>
          <w:sz w:val="22"/>
        </w:rPr>
        <w:t>Features</w:t>
      </w:r>
      <w:r>
        <w:rPr>
          <w:spacing w:val="-5"/>
          <w:sz w:val="22"/>
        </w:rPr>
        <w:t> </w:t>
      </w:r>
      <w:r>
        <w:rPr>
          <w:spacing w:val="-2"/>
          <w:sz w:val="22"/>
        </w:rPr>
        <w:t>retaining</w:t>
      </w:r>
      <w:r>
        <w:rPr>
          <w:spacing w:val="-6"/>
          <w:sz w:val="22"/>
        </w:rPr>
        <w:t> </w:t>
      </w:r>
      <w:r>
        <w:rPr>
          <w:rFonts w:ascii="Meiryo UI"/>
          <w:i/>
          <w:spacing w:val="-2"/>
          <w:sz w:val="22"/>
        </w:rPr>
        <w:t>&gt;</w:t>
      </w:r>
      <w:r>
        <w:rPr>
          <w:rFonts w:ascii="Meiryo UI"/>
          <w:i/>
          <w:spacing w:val="-27"/>
          <w:sz w:val="22"/>
        </w:rPr>
        <w:t> </w:t>
      </w:r>
      <w:r>
        <w:rPr>
          <w:spacing w:val="-5"/>
          <w:sz w:val="22"/>
        </w:rPr>
        <w:t>85%</w:t>
      </w:r>
    </w:p>
    <w:p>
      <w:pPr>
        <w:pStyle w:val="BodyText"/>
        <w:tabs>
          <w:tab w:pos="9213" w:val="right" w:leader="dot"/>
        </w:tabs>
        <w:spacing w:line="240" w:lineRule="exact"/>
        <w:ind w:left="1538"/>
      </w:pPr>
      <w:r>
        <w:rPr/>
        <w:t>of</w:t>
      </w:r>
      <w:r>
        <w:rPr>
          <w:spacing w:val="-8"/>
        </w:rPr>
        <w:t> </w:t>
      </w:r>
      <w:r>
        <w:rPr/>
        <w:t>linear</w:t>
      </w:r>
      <w:r>
        <w:rPr>
          <w:spacing w:val="-7"/>
        </w:rPr>
        <w:t> </w:t>
      </w:r>
      <w:r>
        <w:rPr/>
        <w:t>correlation</w:t>
      </w:r>
      <w:r>
        <w:rPr>
          <w:spacing w:val="-7"/>
        </w:rPr>
        <w:t> </w:t>
      </w:r>
      <w:r>
        <w:rPr/>
        <w:t>carry</w:t>
      </w:r>
      <w:r>
        <w:rPr>
          <w:spacing w:val="-7"/>
        </w:rPr>
        <w:t> </w:t>
      </w:r>
      <w:r>
        <w:rPr/>
        <w:t>genuine</w:t>
      </w:r>
      <w:r>
        <w:rPr>
          <w:spacing w:val="-7"/>
        </w:rPr>
        <w:t> </w:t>
      </w:r>
      <w:r>
        <w:rPr/>
        <w:t>within-era</w:t>
      </w:r>
      <w:r>
        <w:rPr>
          <w:spacing w:val="-7"/>
        </w:rPr>
        <w:t> </w:t>
      </w:r>
      <w:r>
        <w:rPr>
          <w:spacing w:val="-2"/>
        </w:rPr>
        <w:t>signal.</w:t>
      </w:r>
      <w:r>
        <w:rPr/>
        <w:tab/>
      </w:r>
      <w:hyperlink w:history="true" w:anchor="_bookmark77">
        <w:r>
          <w:rPr>
            <w:color w:val="8B2C18"/>
            <w:spacing w:val="-5"/>
          </w:rPr>
          <w:t>43</w:t>
        </w:r>
      </w:hyperlink>
    </w:p>
    <w:p>
      <w:pPr>
        <w:pStyle w:val="ListParagraph"/>
        <w:numPr>
          <w:ilvl w:val="1"/>
          <w:numId w:val="5"/>
        </w:numPr>
        <w:tabs>
          <w:tab w:pos="1538" w:val="left" w:leader="none"/>
          <w:tab w:pos="9213" w:val="right" w:leader="dot"/>
        </w:tabs>
        <w:spacing w:line="240" w:lineRule="auto" w:before="18" w:after="0"/>
        <w:ind w:left="1538" w:right="0" w:hanging="502"/>
        <w:jc w:val="left"/>
        <w:rPr>
          <w:sz w:val="22"/>
        </w:rPr>
      </w:pPr>
      <w:r>
        <w:rPr>
          <w:sz w:val="22"/>
        </w:rPr>
        <w:t>RIPPER</w:t>
      </w:r>
      <w:r>
        <w:rPr>
          <w:spacing w:val="-7"/>
          <w:sz w:val="22"/>
        </w:rPr>
        <w:t> </w:t>
      </w:r>
      <w:r>
        <w:rPr>
          <w:sz w:val="22"/>
        </w:rPr>
        <w:t>rules</w:t>
      </w:r>
      <w:r>
        <w:rPr>
          <w:spacing w:val="-7"/>
          <w:sz w:val="22"/>
        </w:rPr>
        <w:t> </w:t>
      </w:r>
      <w:r>
        <w:rPr>
          <w:sz w:val="22"/>
        </w:rPr>
        <w:t>for</w:t>
      </w:r>
      <w:r>
        <w:rPr>
          <w:spacing w:val="-7"/>
          <w:sz w:val="22"/>
        </w:rPr>
        <w:t> </w:t>
      </w:r>
      <w:r>
        <w:rPr>
          <w:sz w:val="22"/>
        </w:rPr>
        <w:t>RDD.</w:t>
      </w:r>
      <w:r>
        <w:rPr>
          <w:spacing w:val="-6"/>
          <w:sz w:val="22"/>
        </w:rPr>
        <w:t> </w:t>
      </w:r>
      <w:r>
        <w:rPr>
          <w:sz w:val="22"/>
        </w:rPr>
        <w:t>CV</w:t>
      </w:r>
      <w:r>
        <w:rPr>
          <w:spacing w:val="-7"/>
          <w:sz w:val="22"/>
        </w:rPr>
        <w:t> </w:t>
      </w:r>
      <w:r>
        <w:rPr>
          <w:sz w:val="22"/>
        </w:rPr>
        <w:t>accuracy</w:t>
      </w:r>
      <w:r>
        <w:rPr>
          <w:spacing w:val="-7"/>
          <w:sz w:val="22"/>
        </w:rPr>
        <w:t> </w:t>
      </w:r>
      <w:r>
        <w:rPr>
          <w:spacing w:val="-4"/>
          <w:sz w:val="22"/>
        </w:rPr>
        <w:t>42%.</w:t>
      </w:r>
      <w:r>
        <w:rPr>
          <w:sz w:val="22"/>
        </w:rPr>
        <w:tab/>
      </w:r>
      <w:hyperlink w:history="true" w:anchor="_bookmark79">
        <w:r>
          <w:rPr>
            <w:color w:val="8B2C18"/>
            <w:spacing w:val="-5"/>
            <w:sz w:val="22"/>
          </w:rPr>
          <w:t>43</w:t>
        </w:r>
      </w:hyperlink>
    </w:p>
    <w:p>
      <w:pPr>
        <w:pStyle w:val="ListParagraph"/>
        <w:numPr>
          <w:ilvl w:val="1"/>
          <w:numId w:val="5"/>
        </w:numPr>
        <w:tabs>
          <w:tab w:pos="1538" w:val="left" w:leader="none"/>
          <w:tab w:pos="9213" w:val="right" w:leader="dot"/>
        </w:tabs>
        <w:spacing w:line="240" w:lineRule="auto" w:before="18" w:after="0"/>
        <w:ind w:left="1538" w:right="0" w:hanging="502"/>
        <w:jc w:val="left"/>
        <w:rPr>
          <w:sz w:val="22"/>
        </w:rPr>
      </w:pPr>
      <w:r>
        <w:rPr>
          <w:spacing w:val="-2"/>
          <w:sz w:val="22"/>
        </w:rPr>
        <w:t>RIPPER</w:t>
      </w:r>
      <w:r>
        <w:rPr>
          <w:spacing w:val="-6"/>
          <w:sz w:val="22"/>
        </w:rPr>
        <w:t> </w:t>
      </w:r>
      <w:r>
        <w:rPr>
          <w:spacing w:val="-2"/>
          <w:sz w:val="22"/>
        </w:rPr>
        <w:t>rules</w:t>
      </w:r>
      <w:r>
        <w:rPr>
          <w:spacing w:val="-5"/>
          <w:sz w:val="22"/>
        </w:rPr>
        <w:t> </w:t>
      </w:r>
      <w:r>
        <w:rPr>
          <w:spacing w:val="-2"/>
          <w:sz w:val="22"/>
        </w:rPr>
        <w:t>for</w:t>
      </w:r>
      <w:r>
        <w:rPr>
          <w:spacing w:val="-5"/>
          <w:sz w:val="22"/>
        </w:rPr>
        <w:t> </w:t>
      </w:r>
      <w:r>
        <w:rPr>
          <w:spacing w:val="-2"/>
          <w:sz w:val="22"/>
        </w:rPr>
        <w:t>RVV.</w:t>
      </w:r>
      <w:r>
        <w:rPr>
          <w:spacing w:val="-5"/>
          <w:sz w:val="22"/>
        </w:rPr>
        <w:t> </w:t>
      </w:r>
      <w:r>
        <w:rPr>
          <w:spacing w:val="-2"/>
          <w:sz w:val="22"/>
        </w:rPr>
        <w:t>CV</w:t>
      </w:r>
      <w:r>
        <w:rPr>
          <w:spacing w:val="-6"/>
          <w:sz w:val="22"/>
        </w:rPr>
        <w:t> </w:t>
      </w:r>
      <w:r>
        <w:rPr>
          <w:spacing w:val="-2"/>
          <w:sz w:val="22"/>
        </w:rPr>
        <w:t>accuracy</w:t>
      </w:r>
      <w:r>
        <w:rPr>
          <w:spacing w:val="-5"/>
          <w:sz w:val="22"/>
        </w:rPr>
        <w:t> </w:t>
      </w:r>
      <w:r>
        <w:rPr>
          <w:spacing w:val="-4"/>
          <w:sz w:val="22"/>
        </w:rPr>
        <w:t>28%.</w:t>
      </w:r>
      <w:r>
        <w:rPr>
          <w:sz w:val="22"/>
        </w:rPr>
        <w:tab/>
      </w:r>
      <w:hyperlink w:history="true" w:anchor="_bookmark80">
        <w:r>
          <w:rPr>
            <w:color w:val="8B2C18"/>
            <w:spacing w:val="-5"/>
            <w:sz w:val="22"/>
          </w:rPr>
          <w:t>44</w:t>
        </w:r>
      </w:hyperlink>
    </w:p>
    <w:p>
      <w:pPr>
        <w:pStyle w:val="ListParagraph"/>
        <w:numPr>
          <w:ilvl w:val="1"/>
          <w:numId w:val="5"/>
        </w:numPr>
        <w:tabs>
          <w:tab w:pos="1538" w:val="left" w:leader="none"/>
          <w:tab w:pos="9213" w:val="right" w:leader="dot"/>
        </w:tabs>
        <w:spacing w:line="240" w:lineRule="auto" w:before="19" w:after="0"/>
        <w:ind w:left="1538" w:right="0" w:hanging="502"/>
        <w:jc w:val="left"/>
        <w:rPr>
          <w:sz w:val="22"/>
        </w:rPr>
      </w:pPr>
      <w:r>
        <w:rPr>
          <w:sz w:val="22"/>
        </w:rPr>
        <w:t>M5Rules</w:t>
      </w:r>
      <w:r>
        <w:rPr>
          <w:spacing w:val="-10"/>
          <w:sz w:val="22"/>
        </w:rPr>
        <w:t> </w:t>
      </w:r>
      <w:r>
        <w:rPr>
          <w:sz w:val="22"/>
        </w:rPr>
        <w:t>RDD</w:t>
      </w:r>
      <w:r>
        <w:rPr>
          <w:spacing w:val="-10"/>
          <w:sz w:val="22"/>
        </w:rPr>
        <w:t> </w:t>
      </w:r>
      <w:r>
        <w:rPr>
          <w:sz w:val="22"/>
        </w:rPr>
        <w:t>dominant</w:t>
      </w:r>
      <w:r>
        <w:rPr>
          <w:spacing w:val="-10"/>
          <w:sz w:val="22"/>
        </w:rPr>
        <w:t> </w:t>
      </w:r>
      <w:r>
        <w:rPr>
          <w:sz w:val="22"/>
        </w:rPr>
        <w:t>model</w:t>
      </w:r>
      <w:r>
        <w:rPr>
          <w:spacing w:val="-10"/>
          <w:sz w:val="22"/>
        </w:rPr>
        <w:t> </w:t>
      </w:r>
      <w:r>
        <w:rPr>
          <w:sz w:val="22"/>
        </w:rPr>
        <w:t>coefficients</w:t>
      </w:r>
      <w:r>
        <w:rPr>
          <w:spacing w:val="-10"/>
          <w:sz w:val="22"/>
        </w:rPr>
        <w:t> </w:t>
      </w:r>
      <w:r>
        <w:rPr>
          <w:sz w:val="22"/>
        </w:rPr>
        <w:t>mapped</w:t>
      </w:r>
      <w:r>
        <w:rPr>
          <w:spacing w:val="-10"/>
          <w:sz w:val="22"/>
        </w:rPr>
        <w:t> </w:t>
      </w:r>
      <w:r>
        <w:rPr>
          <w:sz w:val="22"/>
        </w:rPr>
        <w:t>to</w:t>
      </w:r>
      <w:r>
        <w:rPr>
          <w:spacing w:val="-10"/>
          <w:sz w:val="22"/>
        </w:rPr>
        <w:t> </w:t>
      </w:r>
      <w:r>
        <w:rPr>
          <w:sz w:val="22"/>
        </w:rPr>
        <w:t>CarenR</w:t>
      </w:r>
      <w:r>
        <w:rPr>
          <w:spacing w:val="-10"/>
          <w:sz w:val="22"/>
        </w:rPr>
        <w:t> </w:t>
      </w:r>
      <w:r>
        <w:rPr>
          <w:spacing w:val="-2"/>
          <w:sz w:val="22"/>
        </w:rPr>
        <w:t>findings.</w:t>
      </w:r>
      <w:r>
        <w:rPr>
          <w:sz w:val="22"/>
        </w:rPr>
        <w:tab/>
      </w:r>
      <w:hyperlink w:history="true" w:anchor="_bookmark82">
        <w:r>
          <w:rPr>
            <w:color w:val="8B2C18"/>
            <w:spacing w:val="-5"/>
            <w:sz w:val="22"/>
          </w:rPr>
          <w:t>45</w:t>
        </w:r>
      </w:hyperlink>
    </w:p>
    <w:p>
      <w:pPr>
        <w:pStyle w:val="ListParagraph"/>
        <w:numPr>
          <w:ilvl w:val="1"/>
          <w:numId w:val="5"/>
        </w:numPr>
        <w:tabs>
          <w:tab w:pos="1538" w:val="left" w:leader="none"/>
          <w:tab w:pos="9213" w:val="right" w:leader="dot"/>
        </w:tabs>
        <w:spacing w:line="240" w:lineRule="auto" w:before="18" w:after="0"/>
        <w:ind w:left="1538" w:right="0" w:hanging="502"/>
        <w:jc w:val="left"/>
        <w:rPr>
          <w:sz w:val="22"/>
        </w:rPr>
      </w:pPr>
      <w:r>
        <w:rPr>
          <w:sz w:val="22"/>
        </w:rPr>
        <w:t>M5Rules</w:t>
      </w:r>
      <w:r>
        <w:rPr>
          <w:spacing w:val="-12"/>
          <w:sz w:val="22"/>
        </w:rPr>
        <w:t> </w:t>
      </w:r>
      <w:r>
        <w:rPr>
          <w:sz w:val="22"/>
        </w:rPr>
        <w:t>RVV</w:t>
      </w:r>
      <w:r>
        <w:rPr>
          <w:spacing w:val="-11"/>
          <w:sz w:val="22"/>
        </w:rPr>
        <w:t> </w:t>
      </w:r>
      <w:r>
        <w:rPr>
          <w:sz w:val="22"/>
        </w:rPr>
        <w:t>Rule</w:t>
      </w:r>
      <w:r>
        <w:rPr>
          <w:spacing w:val="-11"/>
          <w:sz w:val="22"/>
        </w:rPr>
        <w:t> </w:t>
      </w:r>
      <w:r>
        <w:rPr>
          <w:sz w:val="22"/>
        </w:rPr>
        <w:t>1</w:t>
      </w:r>
      <w:r>
        <w:rPr>
          <w:spacing w:val="-11"/>
          <w:sz w:val="22"/>
        </w:rPr>
        <w:t> </w:t>
      </w:r>
      <w:r>
        <w:rPr>
          <w:sz w:val="22"/>
        </w:rPr>
        <w:t>coefficients</w:t>
      </w:r>
      <w:r>
        <w:rPr>
          <w:spacing w:val="-11"/>
          <w:sz w:val="22"/>
        </w:rPr>
        <w:t> </w:t>
      </w:r>
      <w:r>
        <w:rPr>
          <w:sz w:val="22"/>
        </w:rPr>
        <w:t>mapped</w:t>
      </w:r>
      <w:r>
        <w:rPr>
          <w:spacing w:val="-11"/>
          <w:sz w:val="22"/>
        </w:rPr>
        <w:t> </w:t>
      </w:r>
      <w:r>
        <w:rPr>
          <w:sz w:val="22"/>
        </w:rPr>
        <w:t>to</w:t>
      </w:r>
      <w:r>
        <w:rPr>
          <w:spacing w:val="-11"/>
          <w:sz w:val="22"/>
        </w:rPr>
        <w:t> </w:t>
      </w:r>
      <w:r>
        <w:rPr>
          <w:sz w:val="22"/>
        </w:rPr>
        <w:t>CarenR</w:t>
      </w:r>
      <w:r>
        <w:rPr>
          <w:spacing w:val="-11"/>
          <w:sz w:val="22"/>
        </w:rPr>
        <w:t> </w:t>
      </w:r>
      <w:r>
        <w:rPr>
          <w:spacing w:val="-2"/>
          <w:sz w:val="22"/>
        </w:rPr>
        <w:t>findings.</w:t>
      </w:r>
      <w:r>
        <w:rPr>
          <w:sz w:val="22"/>
        </w:rPr>
        <w:tab/>
      </w:r>
      <w:hyperlink w:history="true" w:anchor="_bookmark83">
        <w:r>
          <w:rPr>
            <w:color w:val="8B2C18"/>
            <w:spacing w:val="-5"/>
            <w:sz w:val="22"/>
          </w:rPr>
          <w:t>45</w:t>
        </w:r>
      </w:hyperlink>
    </w:p>
    <w:p>
      <w:pPr>
        <w:pStyle w:val="ListParagraph"/>
        <w:numPr>
          <w:ilvl w:val="1"/>
          <w:numId w:val="5"/>
        </w:numPr>
        <w:tabs>
          <w:tab w:pos="1538" w:val="left" w:leader="none"/>
          <w:tab w:pos="9213" w:val="right" w:leader="dot"/>
        </w:tabs>
        <w:spacing w:line="240" w:lineRule="auto" w:before="19" w:after="0"/>
        <w:ind w:left="1538" w:right="0" w:hanging="502"/>
        <w:jc w:val="left"/>
        <w:rPr>
          <w:sz w:val="22"/>
        </w:rPr>
      </w:pPr>
      <w:r>
        <w:rPr>
          <w:sz w:val="22"/>
        </w:rPr>
        <w:t>Feature</w:t>
      </w:r>
      <w:r>
        <w:rPr>
          <w:spacing w:val="-8"/>
          <w:sz w:val="22"/>
        </w:rPr>
        <w:t> </w:t>
      </w:r>
      <w:r>
        <w:rPr>
          <w:sz w:val="22"/>
        </w:rPr>
        <w:t>agreement</w:t>
      </w:r>
      <w:r>
        <w:rPr>
          <w:spacing w:val="-7"/>
          <w:sz w:val="22"/>
        </w:rPr>
        <w:t> </w:t>
      </w:r>
      <w:r>
        <w:rPr>
          <w:sz w:val="22"/>
        </w:rPr>
        <w:t>across</w:t>
      </w:r>
      <w:r>
        <w:rPr>
          <w:spacing w:val="-7"/>
          <w:sz w:val="22"/>
        </w:rPr>
        <w:t> </w:t>
      </w:r>
      <w:r>
        <w:rPr>
          <w:sz w:val="22"/>
        </w:rPr>
        <w:t>CarenR,</w:t>
      </w:r>
      <w:r>
        <w:rPr>
          <w:spacing w:val="-7"/>
          <w:sz w:val="22"/>
        </w:rPr>
        <w:t> </w:t>
      </w:r>
      <w:r>
        <w:rPr>
          <w:sz w:val="22"/>
        </w:rPr>
        <w:t>RIPPER,</w:t>
      </w:r>
      <w:r>
        <w:rPr>
          <w:spacing w:val="-7"/>
          <w:sz w:val="22"/>
        </w:rPr>
        <w:t> </w:t>
      </w:r>
      <w:r>
        <w:rPr>
          <w:sz w:val="22"/>
        </w:rPr>
        <w:t>and</w:t>
      </w:r>
      <w:r>
        <w:rPr>
          <w:spacing w:val="-7"/>
          <w:sz w:val="22"/>
        </w:rPr>
        <w:t> </w:t>
      </w:r>
      <w:r>
        <w:rPr>
          <w:sz w:val="22"/>
        </w:rPr>
        <w:t>M5Rules</w:t>
      </w:r>
      <w:r>
        <w:rPr>
          <w:spacing w:val="-7"/>
          <w:sz w:val="22"/>
        </w:rPr>
        <w:t> </w:t>
      </w:r>
      <w:r>
        <w:rPr>
          <w:sz w:val="22"/>
        </w:rPr>
        <w:t>for</w:t>
      </w:r>
      <w:r>
        <w:rPr>
          <w:spacing w:val="-7"/>
          <w:sz w:val="22"/>
        </w:rPr>
        <w:t> </w:t>
      </w:r>
      <w:r>
        <w:rPr>
          <w:sz w:val="22"/>
        </w:rPr>
        <w:t>both</w:t>
      </w:r>
      <w:r>
        <w:rPr>
          <w:spacing w:val="-7"/>
          <w:sz w:val="22"/>
        </w:rPr>
        <w:t> </w:t>
      </w:r>
      <w:r>
        <w:rPr>
          <w:spacing w:val="-2"/>
          <w:sz w:val="22"/>
        </w:rPr>
        <w:t>regions.</w:t>
      </w:r>
      <w:r>
        <w:rPr>
          <w:sz w:val="22"/>
        </w:rPr>
        <w:tab/>
      </w:r>
      <w:hyperlink w:history="true" w:anchor="_bookmark85">
        <w:r>
          <w:rPr>
            <w:color w:val="8B2C18"/>
            <w:spacing w:val="-5"/>
            <w:sz w:val="22"/>
          </w:rPr>
          <w:t>46</w:t>
        </w:r>
      </w:hyperlink>
    </w:p>
    <w:p>
      <w:pPr>
        <w:pStyle w:val="ListParagraph"/>
        <w:numPr>
          <w:ilvl w:val="1"/>
          <w:numId w:val="5"/>
        </w:numPr>
        <w:tabs>
          <w:tab w:pos="1537" w:val="left" w:leader="none"/>
          <w:tab w:pos="9213" w:val="right" w:leader="dot"/>
        </w:tabs>
        <w:spacing w:line="240" w:lineRule="auto" w:before="18" w:after="0"/>
        <w:ind w:left="1537" w:right="0" w:hanging="501"/>
        <w:jc w:val="left"/>
        <w:rPr>
          <w:sz w:val="22"/>
        </w:rPr>
      </w:pPr>
      <w:r>
        <w:rPr>
          <w:sz w:val="22"/>
        </w:rPr>
        <w:t>Feature</w:t>
      </w:r>
      <w:r>
        <w:rPr>
          <w:spacing w:val="-7"/>
          <w:sz w:val="22"/>
        </w:rPr>
        <w:t> </w:t>
      </w:r>
      <w:r>
        <w:rPr>
          <w:sz w:val="22"/>
        </w:rPr>
        <w:t>frequency</w:t>
      </w:r>
      <w:r>
        <w:rPr>
          <w:spacing w:val="-7"/>
          <w:sz w:val="22"/>
        </w:rPr>
        <w:t> </w:t>
      </w:r>
      <w:r>
        <w:rPr>
          <w:sz w:val="22"/>
        </w:rPr>
        <w:t>across</w:t>
      </w:r>
      <w:r>
        <w:rPr>
          <w:spacing w:val="-7"/>
          <w:sz w:val="22"/>
        </w:rPr>
        <w:t> </w:t>
      </w:r>
      <w:r>
        <w:rPr>
          <w:sz w:val="22"/>
        </w:rPr>
        <w:t>all</w:t>
      </w:r>
      <w:r>
        <w:rPr>
          <w:spacing w:val="-7"/>
          <w:sz w:val="22"/>
        </w:rPr>
        <w:t> </w:t>
      </w:r>
      <w:r>
        <w:rPr>
          <w:sz w:val="22"/>
        </w:rPr>
        <w:t>48</w:t>
      </w:r>
      <w:r>
        <w:rPr>
          <w:spacing w:val="-7"/>
          <w:sz w:val="22"/>
        </w:rPr>
        <w:t> </w:t>
      </w:r>
      <w:r>
        <w:rPr>
          <w:sz w:val="22"/>
        </w:rPr>
        <w:t>RDD</w:t>
      </w:r>
      <w:r>
        <w:rPr>
          <w:spacing w:val="-6"/>
          <w:sz w:val="22"/>
        </w:rPr>
        <w:t> </w:t>
      </w:r>
      <w:r>
        <w:rPr>
          <w:sz w:val="22"/>
        </w:rPr>
        <w:t>CarenR</w:t>
      </w:r>
      <w:r>
        <w:rPr>
          <w:spacing w:val="-7"/>
          <w:sz w:val="22"/>
        </w:rPr>
        <w:t> </w:t>
      </w:r>
      <w:r>
        <w:rPr>
          <w:spacing w:val="-2"/>
          <w:sz w:val="22"/>
        </w:rPr>
        <w:t>rules.</w:t>
      </w:r>
      <w:r>
        <w:rPr>
          <w:sz w:val="22"/>
        </w:rPr>
        <w:tab/>
      </w:r>
      <w:hyperlink w:history="true" w:anchor="_bookmark88">
        <w:r>
          <w:rPr>
            <w:color w:val="8B2C18"/>
            <w:spacing w:val="-5"/>
            <w:sz w:val="22"/>
          </w:rPr>
          <w:t>48</w:t>
        </w:r>
      </w:hyperlink>
    </w:p>
    <w:p>
      <w:pPr>
        <w:pStyle w:val="ListParagraph"/>
        <w:numPr>
          <w:ilvl w:val="1"/>
          <w:numId w:val="5"/>
        </w:numPr>
        <w:tabs>
          <w:tab w:pos="1537" w:val="left" w:leader="none"/>
          <w:tab w:pos="9213" w:val="right" w:leader="dot"/>
        </w:tabs>
        <w:spacing w:line="240" w:lineRule="auto" w:before="18" w:after="0"/>
        <w:ind w:left="1537" w:right="0" w:hanging="501"/>
        <w:jc w:val="left"/>
        <w:rPr>
          <w:sz w:val="22"/>
        </w:rPr>
      </w:pPr>
      <w:r>
        <w:rPr>
          <w:sz w:val="22"/>
        </w:rPr>
        <w:t>Feature</w:t>
      </w:r>
      <w:r>
        <w:rPr>
          <w:spacing w:val="-10"/>
          <w:sz w:val="22"/>
        </w:rPr>
        <w:t> </w:t>
      </w:r>
      <w:r>
        <w:rPr>
          <w:sz w:val="22"/>
        </w:rPr>
        <w:t>frequency</w:t>
      </w:r>
      <w:r>
        <w:rPr>
          <w:spacing w:val="-9"/>
          <w:sz w:val="22"/>
        </w:rPr>
        <w:t> </w:t>
      </w:r>
      <w:r>
        <w:rPr>
          <w:sz w:val="22"/>
        </w:rPr>
        <w:t>across</w:t>
      </w:r>
      <w:r>
        <w:rPr>
          <w:spacing w:val="-10"/>
          <w:sz w:val="22"/>
        </w:rPr>
        <w:t> </w:t>
      </w:r>
      <w:r>
        <w:rPr>
          <w:sz w:val="22"/>
        </w:rPr>
        <w:t>all</w:t>
      </w:r>
      <w:r>
        <w:rPr>
          <w:spacing w:val="-9"/>
          <w:sz w:val="22"/>
        </w:rPr>
        <w:t> </w:t>
      </w:r>
      <w:r>
        <w:rPr>
          <w:sz w:val="22"/>
        </w:rPr>
        <w:t>20</w:t>
      </w:r>
      <w:r>
        <w:rPr>
          <w:spacing w:val="-9"/>
          <w:sz w:val="22"/>
        </w:rPr>
        <w:t> </w:t>
      </w:r>
      <w:r>
        <w:rPr>
          <w:sz w:val="22"/>
        </w:rPr>
        <w:t>RVV</w:t>
      </w:r>
      <w:r>
        <w:rPr>
          <w:spacing w:val="-10"/>
          <w:sz w:val="22"/>
        </w:rPr>
        <w:t> </w:t>
      </w:r>
      <w:r>
        <w:rPr>
          <w:sz w:val="22"/>
        </w:rPr>
        <w:t>CarenR</w:t>
      </w:r>
      <w:r>
        <w:rPr>
          <w:spacing w:val="-9"/>
          <w:sz w:val="22"/>
        </w:rPr>
        <w:t> </w:t>
      </w:r>
      <w:r>
        <w:rPr>
          <w:spacing w:val="-2"/>
          <w:sz w:val="22"/>
        </w:rPr>
        <w:t>rules.</w:t>
      </w:r>
      <w:r>
        <w:rPr>
          <w:sz w:val="22"/>
        </w:rPr>
        <w:tab/>
      </w:r>
      <w:hyperlink w:history="true" w:anchor="_bookmark90">
        <w:r>
          <w:rPr>
            <w:color w:val="8B2C18"/>
            <w:spacing w:val="-5"/>
            <w:sz w:val="22"/>
          </w:rPr>
          <w:t>49</w:t>
        </w:r>
      </w:hyperlink>
    </w:p>
    <w:p>
      <w:pPr>
        <w:pStyle w:val="ListParagraph"/>
        <w:numPr>
          <w:ilvl w:val="1"/>
          <w:numId w:val="5"/>
        </w:numPr>
        <w:tabs>
          <w:tab w:pos="1537" w:val="left" w:leader="none"/>
          <w:tab w:pos="9213" w:val="right" w:leader="dot"/>
        </w:tabs>
        <w:spacing w:line="240" w:lineRule="auto" w:before="19" w:after="0"/>
        <w:ind w:left="1537" w:right="0" w:hanging="501"/>
        <w:jc w:val="left"/>
        <w:rPr>
          <w:sz w:val="22"/>
        </w:rPr>
      </w:pPr>
      <w:r>
        <w:rPr>
          <w:sz w:val="22"/>
        </w:rPr>
        <w:t>Rule</w:t>
      </w:r>
      <w:r>
        <w:rPr>
          <w:spacing w:val="-7"/>
          <w:sz w:val="22"/>
        </w:rPr>
        <w:t> </w:t>
      </w:r>
      <w:r>
        <w:rPr>
          <w:sz w:val="22"/>
        </w:rPr>
        <w:t>set</w:t>
      </w:r>
      <w:r>
        <w:rPr>
          <w:spacing w:val="-7"/>
          <w:sz w:val="22"/>
        </w:rPr>
        <w:t> </w:t>
      </w:r>
      <w:r>
        <w:rPr>
          <w:sz w:val="22"/>
        </w:rPr>
        <w:t>overlap</w:t>
      </w:r>
      <w:r>
        <w:rPr>
          <w:spacing w:val="-6"/>
          <w:sz w:val="22"/>
        </w:rPr>
        <w:t> </w:t>
      </w:r>
      <w:r>
        <w:rPr>
          <w:sz w:val="22"/>
        </w:rPr>
        <w:t>and</w:t>
      </w:r>
      <w:r>
        <w:rPr>
          <w:spacing w:val="-7"/>
          <w:sz w:val="22"/>
        </w:rPr>
        <w:t> </w:t>
      </w:r>
      <w:r>
        <w:rPr>
          <w:sz w:val="22"/>
        </w:rPr>
        <w:t>coherence</w:t>
      </w:r>
      <w:r>
        <w:rPr>
          <w:spacing w:val="-6"/>
          <w:sz w:val="22"/>
        </w:rPr>
        <w:t> </w:t>
      </w:r>
      <w:r>
        <w:rPr>
          <w:sz w:val="22"/>
        </w:rPr>
        <w:t>metrics</w:t>
      </w:r>
      <w:r>
        <w:rPr>
          <w:spacing w:val="-7"/>
          <w:sz w:val="22"/>
        </w:rPr>
        <w:t> </w:t>
      </w:r>
      <w:r>
        <w:rPr>
          <w:sz w:val="22"/>
        </w:rPr>
        <w:t>for</w:t>
      </w:r>
      <w:r>
        <w:rPr>
          <w:spacing w:val="-6"/>
          <w:sz w:val="22"/>
        </w:rPr>
        <w:t> </w:t>
      </w:r>
      <w:r>
        <w:rPr>
          <w:sz w:val="22"/>
        </w:rPr>
        <w:t>RDD</w:t>
      </w:r>
      <w:r>
        <w:rPr>
          <w:spacing w:val="-7"/>
          <w:sz w:val="22"/>
        </w:rPr>
        <w:t> </w:t>
      </w:r>
      <w:r>
        <w:rPr>
          <w:sz w:val="22"/>
        </w:rPr>
        <w:t>and</w:t>
      </w:r>
      <w:r>
        <w:rPr>
          <w:spacing w:val="-7"/>
          <w:sz w:val="22"/>
        </w:rPr>
        <w:t> </w:t>
      </w:r>
      <w:r>
        <w:rPr>
          <w:spacing w:val="-5"/>
          <w:sz w:val="22"/>
        </w:rPr>
        <w:t>RVV</w:t>
      </w:r>
      <w:r>
        <w:rPr>
          <w:sz w:val="22"/>
        </w:rPr>
        <w:tab/>
      </w:r>
      <w:hyperlink w:history="true" w:anchor="_bookmark95">
        <w:r>
          <w:rPr>
            <w:color w:val="8B2C18"/>
            <w:spacing w:val="-5"/>
            <w:sz w:val="22"/>
          </w:rPr>
          <w:t>51</w:t>
        </w:r>
      </w:hyperlink>
    </w:p>
    <w:p>
      <w:pPr>
        <w:pStyle w:val="ListParagraph"/>
        <w:numPr>
          <w:ilvl w:val="1"/>
          <w:numId w:val="6"/>
        </w:numPr>
        <w:tabs>
          <w:tab w:pos="1538" w:val="left" w:leader="none"/>
        </w:tabs>
        <w:spacing w:line="240" w:lineRule="auto" w:before="217" w:after="0"/>
        <w:ind w:left="1538" w:right="0" w:hanging="502"/>
        <w:jc w:val="left"/>
        <w:rPr>
          <w:sz w:val="22"/>
        </w:rPr>
      </w:pPr>
      <w:r>
        <w:rPr>
          <w:sz w:val="22"/>
        </w:rPr>
        <w:t>RDD</w:t>
      </w:r>
      <w:r>
        <w:rPr>
          <w:spacing w:val="17"/>
          <w:sz w:val="22"/>
        </w:rPr>
        <w:t> </w:t>
      </w:r>
      <w:r>
        <w:rPr>
          <w:sz w:val="22"/>
        </w:rPr>
        <w:t>walk-forward</w:t>
      </w:r>
      <w:r>
        <w:rPr>
          <w:spacing w:val="18"/>
          <w:sz w:val="22"/>
        </w:rPr>
        <w:t> </w:t>
      </w:r>
      <w:r>
        <w:rPr>
          <w:sz w:val="22"/>
        </w:rPr>
        <w:t>results,</w:t>
      </w:r>
      <w:r>
        <w:rPr>
          <w:spacing w:val="22"/>
          <w:sz w:val="22"/>
        </w:rPr>
        <w:t> </w:t>
      </w:r>
      <w:r>
        <w:rPr>
          <w:sz w:val="22"/>
        </w:rPr>
        <w:t>17</w:t>
      </w:r>
      <w:r>
        <w:rPr>
          <w:spacing w:val="18"/>
          <w:sz w:val="22"/>
        </w:rPr>
        <w:t> </w:t>
      </w:r>
      <w:r>
        <w:rPr>
          <w:sz w:val="22"/>
        </w:rPr>
        <w:t>models</w:t>
      </w:r>
      <w:r>
        <w:rPr>
          <w:spacing w:val="18"/>
          <w:sz w:val="22"/>
        </w:rPr>
        <w:t> </w:t>
      </w:r>
      <w:r>
        <w:rPr>
          <w:sz w:val="22"/>
        </w:rPr>
        <w:t>across</w:t>
      </w:r>
      <w:r>
        <w:rPr>
          <w:spacing w:val="18"/>
          <w:sz w:val="22"/>
        </w:rPr>
        <w:t> </w:t>
      </w:r>
      <w:r>
        <w:rPr>
          <w:sz w:val="22"/>
        </w:rPr>
        <w:t>18</w:t>
      </w:r>
      <w:r>
        <w:rPr>
          <w:spacing w:val="18"/>
          <w:sz w:val="22"/>
        </w:rPr>
        <w:t> </w:t>
      </w:r>
      <w:r>
        <w:rPr>
          <w:sz w:val="22"/>
        </w:rPr>
        <w:t>scenarios,</w:t>
      </w:r>
      <w:r>
        <w:rPr>
          <w:spacing w:val="22"/>
          <w:sz w:val="22"/>
        </w:rPr>
        <w:t> </w:t>
      </w:r>
      <w:r>
        <w:rPr>
          <w:sz w:val="22"/>
        </w:rPr>
        <w:t>sorted</w:t>
      </w:r>
      <w:r>
        <w:rPr>
          <w:spacing w:val="18"/>
          <w:sz w:val="22"/>
        </w:rPr>
        <w:t> </w:t>
      </w:r>
      <w:r>
        <w:rPr>
          <w:sz w:val="22"/>
        </w:rPr>
        <w:t>by</w:t>
      </w:r>
      <w:r>
        <w:rPr>
          <w:spacing w:val="18"/>
          <w:sz w:val="22"/>
        </w:rPr>
        <w:t> </w:t>
      </w:r>
      <w:r>
        <w:rPr>
          <w:spacing w:val="-2"/>
          <w:sz w:val="22"/>
        </w:rPr>
        <w:t>weighted</w:t>
      </w:r>
    </w:p>
    <w:p>
      <w:pPr>
        <w:pStyle w:val="BodyText"/>
        <w:tabs>
          <w:tab w:pos="9213" w:val="right" w:leader="dot"/>
        </w:tabs>
        <w:spacing w:before="18"/>
        <w:ind w:left="1538"/>
      </w:pPr>
      <w:r>
        <w:rPr/>
        <w:t>MAE</w:t>
      </w:r>
      <w:r>
        <w:rPr>
          <w:spacing w:val="-6"/>
        </w:rPr>
        <w:t> </w:t>
      </w:r>
      <w:r>
        <w:rPr>
          <w:spacing w:val="-2"/>
        </w:rPr>
        <w:t>(mhl).</w:t>
      </w:r>
      <w:r>
        <w:rPr/>
        <w:tab/>
      </w:r>
      <w:hyperlink w:history="true" w:anchor="_bookmark100">
        <w:r>
          <w:rPr>
            <w:color w:val="8B2C18"/>
            <w:spacing w:val="-5"/>
          </w:rPr>
          <w:t>54</w:t>
        </w:r>
      </w:hyperlink>
    </w:p>
    <w:p>
      <w:pPr>
        <w:pStyle w:val="ListParagraph"/>
        <w:numPr>
          <w:ilvl w:val="1"/>
          <w:numId w:val="6"/>
        </w:numPr>
        <w:tabs>
          <w:tab w:pos="1538" w:val="left" w:leader="none"/>
          <w:tab w:pos="9213" w:val="right" w:leader="dot"/>
        </w:tabs>
        <w:spacing w:line="240" w:lineRule="auto" w:before="19" w:after="0"/>
        <w:ind w:left="1538" w:right="0" w:hanging="502"/>
        <w:jc w:val="left"/>
        <w:rPr>
          <w:sz w:val="22"/>
        </w:rPr>
      </w:pPr>
      <w:r>
        <w:rPr>
          <w:sz w:val="22"/>
        </w:rPr>
        <w:t>RVV</w:t>
      </w:r>
      <w:r>
        <w:rPr>
          <w:spacing w:val="-11"/>
          <w:sz w:val="22"/>
        </w:rPr>
        <w:t> </w:t>
      </w:r>
      <w:r>
        <w:rPr>
          <w:sz w:val="22"/>
        </w:rPr>
        <w:t>walk-forward</w:t>
      </w:r>
      <w:r>
        <w:rPr>
          <w:spacing w:val="-11"/>
          <w:sz w:val="22"/>
        </w:rPr>
        <w:t> </w:t>
      </w:r>
      <w:r>
        <w:rPr>
          <w:sz w:val="22"/>
        </w:rPr>
        <w:t>results</w:t>
      </w:r>
      <w:r>
        <w:rPr>
          <w:spacing w:val="-10"/>
          <w:sz w:val="22"/>
        </w:rPr>
        <w:t> </w:t>
      </w:r>
      <w:r>
        <w:rPr>
          <w:sz w:val="22"/>
        </w:rPr>
        <w:t>sorted</w:t>
      </w:r>
      <w:r>
        <w:rPr>
          <w:spacing w:val="-11"/>
          <w:sz w:val="22"/>
        </w:rPr>
        <w:t> </w:t>
      </w:r>
      <w:r>
        <w:rPr>
          <w:sz w:val="22"/>
        </w:rPr>
        <w:t>by</w:t>
      </w:r>
      <w:r>
        <w:rPr>
          <w:spacing w:val="-10"/>
          <w:sz w:val="22"/>
        </w:rPr>
        <w:t> </w:t>
      </w:r>
      <w:r>
        <w:rPr>
          <w:sz w:val="22"/>
        </w:rPr>
        <w:t>weighted</w:t>
      </w:r>
      <w:r>
        <w:rPr>
          <w:spacing w:val="-11"/>
          <w:sz w:val="22"/>
        </w:rPr>
        <w:t> </w:t>
      </w:r>
      <w:r>
        <w:rPr>
          <w:sz w:val="22"/>
        </w:rPr>
        <w:t>MAE</w:t>
      </w:r>
      <w:r>
        <w:rPr>
          <w:spacing w:val="-10"/>
          <w:sz w:val="22"/>
        </w:rPr>
        <w:t> </w:t>
      </w:r>
      <w:r>
        <w:rPr>
          <w:spacing w:val="-2"/>
          <w:sz w:val="22"/>
        </w:rPr>
        <w:t>(mhl).</w:t>
      </w:r>
      <w:r>
        <w:rPr>
          <w:sz w:val="22"/>
        </w:rPr>
        <w:tab/>
      </w:r>
      <w:hyperlink w:history="true" w:anchor="_bookmark102">
        <w:r>
          <w:rPr>
            <w:color w:val="8B2C18"/>
            <w:spacing w:val="-5"/>
            <w:sz w:val="22"/>
          </w:rPr>
          <w:t>55</w:t>
        </w:r>
      </w:hyperlink>
    </w:p>
    <w:p>
      <w:pPr>
        <w:pStyle w:val="ListParagraph"/>
        <w:numPr>
          <w:ilvl w:val="1"/>
          <w:numId w:val="6"/>
        </w:numPr>
        <w:tabs>
          <w:tab w:pos="1538" w:val="left" w:leader="none"/>
          <w:tab w:pos="9213" w:val="right" w:leader="dot"/>
        </w:tabs>
        <w:spacing w:line="240" w:lineRule="auto" w:before="18" w:after="0"/>
        <w:ind w:left="1538" w:right="0" w:hanging="502"/>
        <w:jc w:val="left"/>
        <w:rPr>
          <w:sz w:val="22"/>
        </w:rPr>
      </w:pPr>
      <w:r>
        <w:rPr>
          <w:spacing w:val="-2"/>
          <w:sz w:val="22"/>
        </w:rPr>
        <w:t>Per-scenario</w:t>
      </w:r>
      <w:r>
        <w:rPr>
          <w:spacing w:val="5"/>
          <w:sz w:val="22"/>
        </w:rPr>
        <w:t> </w:t>
      </w:r>
      <w:r>
        <w:rPr>
          <w:rFonts w:ascii="Courier New"/>
          <w:spacing w:val="-2"/>
          <w:sz w:val="22"/>
        </w:rPr>
        <w:t>CarenR_Dist_Eta2</w:t>
      </w:r>
      <w:r>
        <w:rPr>
          <w:rFonts w:ascii="Courier New"/>
          <w:spacing w:val="-71"/>
          <w:sz w:val="22"/>
        </w:rPr>
        <w:t> </w:t>
      </w:r>
      <w:r>
        <w:rPr>
          <w:spacing w:val="-2"/>
          <w:sz w:val="22"/>
        </w:rPr>
        <w:t>vs</w:t>
      </w:r>
      <w:r>
        <w:rPr>
          <w:spacing w:val="5"/>
          <w:sz w:val="22"/>
        </w:rPr>
        <w:t> </w:t>
      </w:r>
      <w:r>
        <w:rPr>
          <w:rFonts w:ascii="Courier New"/>
          <w:spacing w:val="-2"/>
          <w:sz w:val="22"/>
        </w:rPr>
        <w:t>Naive_Median</w:t>
      </w:r>
      <w:r>
        <w:rPr>
          <w:rFonts w:ascii="Courier New"/>
          <w:spacing w:val="-71"/>
          <w:sz w:val="22"/>
        </w:rPr>
        <w:t> </w:t>
      </w:r>
      <w:r>
        <w:rPr>
          <w:spacing w:val="-2"/>
          <w:sz w:val="22"/>
        </w:rPr>
        <w:t>for</w:t>
      </w:r>
      <w:r>
        <w:rPr>
          <w:spacing w:val="5"/>
          <w:sz w:val="22"/>
        </w:rPr>
        <w:t> </w:t>
      </w:r>
      <w:r>
        <w:rPr>
          <w:spacing w:val="-4"/>
          <w:sz w:val="22"/>
        </w:rPr>
        <w:t>RDD.</w:t>
      </w:r>
      <w:r>
        <w:rPr>
          <w:sz w:val="22"/>
        </w:rPr>
        <w:tab/>
      </w:r>
      <w:hyperlink w:history="true" w:anchor="_bookmark104">
        <w:r>
          <w:rPr>
            <w:color w:val="8B2C18"/>
            <w:spacing w:val="-5"/>
            <w:sz w:val="22"/>
          </w:rPr>
          <w:t>55</w:t>
        </w:r>
      </w:hyperlink>
    </w:p>
    <w:p>
      <w:pPr>
        <w:pStyle w:val="ListParagraph"/>
        <w:numPr>
          <w:ilvl w:val="1"/>
          <w:numId w:val="6"/>
        </w:numPr>
        <w:tabs>
          <w:tab w:pos="1538" w:val="left" w:leader="none"/>
          <w:tab w:pos="9213" w:val="right" w:leader="dot"/>
        </w:tabs>
        <w:spacing w:line="240" w:lineRule="auto" w:before="0" w:after="0"/>
        <w:ind w:left="1538" w:right="0" w:hanging="502"/>
        <w:jc w:val="left"/>
        <w:rPr>
          <w:sz w:val="22"/>
        </w:rPr>
      </w:pPr>
      <w:r>
        <w:rPr>
          <w:spacing w:val="-2"/>
          <w:sz w:val="22"/>
        </w:rPr>
        <w:t>RVV</w:t>
      </w:r>
      <w:r>
        <w:rPr>
          <w:spacing w:val="1"/>
          <w:sz w:val="22"/>
        </w:rPr>
        <w:t> </w:t>
      </w:r>
      <w:r>
        <w:rPr>
          <w:spacing w:val="-2"/>
          <w:sz w:val="22"/>
        </w:rPr>
        <w:t>scenario</w:t>
      </w:r>
      <w:r>
        <w:rPr>
          <w:spacing w:val="2"/>
          <w:sz w:val="22"/>
        </w:rPr>
        <w:t> </w:t>
      </w:r>
      <w:r>
        <w:rPr>
          <w:spacing w:val="-2"/>
          <w:sz w:val="22"/>
        </w:rPr>
        <w:t>outcomes</w:t>
      </w:r>
      <w:r>
        <w:rPr>
          <w:spacing w:val="2"/>
          <w:sz w:val="22"/>
        </w:rPr>
        <w:t> </w:t>
      </w:r>
      <w:r>
        <w:rPr>
          <w:spacing w:val="-2"/>
          <w:sz w:val="22"/>
        </w:rPr>
        <w:t>for</w:t>
      </w:r>
      <w:r>
        <w:rPr>
          <w:spacing w:val="2"/>
          <w:sz w:val="22"/>
        </w:rPr>
        <w:t> </w:t>
      </w:r>
      <w:r>
        <w:rPr>
          <w:rFonts w:ascii="Courier New"/>
          <w:spacing w:val="-2"/>
          <w:sz w:val="22"/>
        </w:rPr>
        <w:t>CarenR_Dist_Sup_FS</w:t>
      </w:r>
      <w:r>
        <w:rPr>
          <w:rFonts w:ascii="Courier New"/>
          <w:spacing w:val="-75"/>
          <w:sz w:val="22"/>
        </w:rPr>
        <w:t> </w:t>
      </w:r>
      <w:r>
        <w:rPr>
          <w:spacing w:val="-2"/>
          <w:sz w:val="22"/>
        </w:rPr>
        <w:t>vs</w:t>
      </w:r>
      <w:r>
        <w:rPr>
          <w:spacing w:val="2"/>
          <w:sz w:val="22"/>
        </w:rPr>
        <w:t> </w:t>
      </w:r>
      <w:r>
        <w:rPr>
          <w:rFonts w:ascii="Courier New"/>
          <w:spacing w:val="-2"/>
          <w:sz w:val="22"/>
        </w:rPr>
        <w:t>Naive_Median</w:t>
      </w:r>
      <w:r>
        <w:rPr>
          <w:sz w:val="22"/>
        </w:rPr>
        <w:tab/>
      </w:r>
      <w:hyperlink w:history="true" w:anchor="_bookmark108">
        <w:r>
          <w:rPr>
            <w:color w:val="8B2C18"/>
            <w:spacing w:val="-5"/>
            <w:sz w:val="22"/>
          </w:rPr>
          <w:t>57</w:t>
        </w:r>
      </w:hyperlink>
    </w:p>
    <w:p>
      <w:pPr>
        <w:pStyle w:val="ListParagraph"/>
        <w:numPr>
          <w:ilvl w:val="1"/>
          <w:numId w:val="6"/>
        </w:numPr>
        <w:tabs>
          <w:tab w:pos="1538" w:val="left" w:leader="none"/>
          <w:tab w:pos="9213" w:val="right" w:leader="dot"/>
        </w:tabs>
        <w:spacing w:line="229" w:lineRule="exact" w:before="0" w:after="0"/>
        <w:ind w:left="1538" w:right="0" w:hanging="502"/>
        <w:jc w:val="left"/>
        <w:rPr>
          <w:sz w:val="22"/>
        </w:rPr>
      </w:pPr>
      <w:r>
        <w:rPr>
          <w:sz w:val="22"/>
        </w:rPr>
        <w:t>RDD</w:t>
      </w:r>
      <w:r>
        <w:rPr>
          <w:spacing w:val="-12"/>
          <w:sz w:val="22"/>
        </w:rPr>
        <w:t> </w:t>
      </w:r>
      <w:r>
        <w:rPr>
          <w:sz w:val="22"/>
        </w:rPr>
        <w:t>vs</w:t>
      </w:r>
      <w:r>
        <w:rPr>
          <w:spacing w:val="-12"/>
          <w:sz w:val="22"/>
        </w:rPr>
        <w:t> </w:t>
      </w:r>
      <w:r>
        <w:rPr>
          <w:sz w:val="22"/>
        </w:rPr>
        <w:t>RVV</w:t>
      </w:r>
      <w:r>
        <w:rPr>
          <w:spacing w:val="-11"/>
          <w:sz w:val="22"/>
        </w:rPr>
        <w:t> </w:t>
      </w:r>
      <w:r>
        <w:rPr>
          <w:sz w:val="22"/>
        </w:rPr>
        <w:t>summary</w:t>
      </w:r>
      <w:r>
        <w:rPr>
          <w:spacing w:val="-12"/>
          <w:sz w:val="22"/>
        </w:rPr>
        <w:t> </w:t>
      </w:r>
      <w:r>
        <w:rPr>
          <w:sz w:val="22"/>
        </w:rPr>
        <w:t>comparison</w:t>
      </w:r>
      <w:r>
        <w:rPr>
          <w:spacing w:val="-11"/>
          <w:sz w:val="22"/>
        </w:rPr>
        <w:t> </w:t>
      </w:r>
      <w:r>
        <w:rPr>
          <w:sz w:val="22"/>
        </w:rPr>
        <w:t>across</w:t>
      </w:r>
      <w:r>
        <w:rPr>
          <w:spacing w:val="-12"/>
          <w:sz w:val="22"/>
        </w:rPr>
        <w:t> </w:t>
      </w:r>
      <w:r>
        <w:rPr>
          <w:sz w:val="22"/>
        </w:rPr>
        <w:t>key</w:t>
      </w:r>
      <w:r>
        <w:rPr>
          <w:spacing w:val="-11"/>
          <w:sz w:val="22"/>
        </w:rPr>
        <w:t> </w:t>
      </w:r>
      <w:r>
        <w:rPr>
          <w:sz w:val="22"/>
        </w:rPr>
        <w:t>evaluation</w:t>
      </w:r>
      <w:r>
        <w:rPr>
          <w:spacing w:val="-12"/>
          <w:sz w:val="22"/>
        </w:rPr>
        <w:t> </w:t>
      </w:r>
      <w:r>
        <w:rPr>
          <w:spacing w:val="-2"/>
          <w:sz w:val="22"/>
        </w:rPr>
        <w:t>dimensions.</w:t>
      </w:r>
      <w:r>
        <w:rPr>
          <w:sz w:val="22"/>
        </w:rPr>
        <w:tab/>
      </w:r>
      <w:hyperlink w:history="true" w:anchor="_bookmark111">
        <w:r>
          <w:rPr>
            <w:color w:val="8B2C18"/>
            <w:spacing w:val="-5"/>
            <w:sz w:val="22"/>
          </w:rPr>
          <w:t>58</w:t>
        </w:r>
      </w:hyperlink>
    </w:p>
    <w:p>
      <w:pPr>
        <w:pStyle w:val="ListParagraph"/>
        <w:numPr>
          <w:ilvl w:val="1"/>
          <w:numId w:val="6"/>
        </w:numPr>
        <w:tabs>
          <w:tab w:pos="1538" w:val="left" w:leader="none"/>
          <w:tab w:pos="9213" w:val="right" w:leader="dot"/>
        </w:tabs>
        <w:spacing w:line="329" w:lineRule="exact" w:before="0" w:after="0"/>
        <w:ind w:left="1538" w:right="0" w:hanging="502"/>
        <w:jc w:val="left"/>
        <w:rPr>
          <w:sz w:val="22"/>
        </w:rPr>
      </w:pPr>
      <w:r>
        <w:rPr>
          <w:sz w:val="22"/>
        </w:rPr>
        <w:t>Statistical</w:t>
      </w:r>
      <w:r>
        <w:rPr>
          <w:spacing w:val="-14"/>
          <w:sz w:val="22"/>
        </w:rPr>
        <w:t> </w:t>
      </w:r>
      <w:r>
        <w:rPr>
          <w:sz w:val="22"/>
        </w:rPr>
        <w:t>tests</w:t>
      </w:r>
      <w:r>
        <w:rPr>
          <w:spacing w:val="-13"/>
          <w:sz w:val="22"/>
        </w:rPr>
        <w:t> </w:t>
      </w:r>
      <w:r>
        <w:rPr>
          <w:sz w:val="22"/>
        </w:rPr>
        <w:t>summary.</w:t>
      </w:r>
      <w:r>
        <w:rPr>
          <w:spacing w:val="2"/>
          <w:sz w:val="22"/>
        </w:rPr>
        <w:t> </w:t>
      </w:r>
      <w:r>
        <w:rPr>
          <w:sz w:val="22"/>
        </w:rPr>
        <w:t>The</w:t>
      </w:r>
      <w:r>
        <w:rPr>
          <w:spacing w:val="4"/>
          <w:sz w:val="22"/>
        </w:rPr>
        <w:t> </w:t>
      </w:r>
      <w:r>
        <w:rPr>
          <w:i/>
          <w:sz w:val="22"/>
        </w:rPr>
        <w:t>p</w:t>
      </w:r>
      <w:r>
        <w:rPr>
          <w:i/>
          <w:spacing w:val="-13"/>
          <w:sz w:val="22"/>
        </w:rPr>
        <w:t> </w:t>
      </w:r>
      <w:r>
        <w:rPr>
          <w:rFonts w:ascii="Lucida Sans Unicode"/>
          <w:sz w:val="22"/>
        </w:rPr>
        <w:t>=</w:t>
      </w:r>
      <w:r>
        <w:rPr>
          <w:rFonts w:ascii="Lucida Sans Unicode"/>
          <w:spacing w:val="-22"/>
          <w:sz w:val="22"/>
        </w:rPr>
        <w:t> </w:t>
      </w:r>
      <w:r>
        <w:rPr>
          <w:sz w:val="22"/>
        </w:rPr>
        <w:t>0</w:t>
      </w:r>
      <w:r>
        <w:rPr>
          <w:rFonts w:ascii="Meiryo UI"/>
          <w:i/>
          <w:sz w:val="22"/>
        </w:rPr>
        <w:t>.</w:t>
      </w:r>
      <w:r>
        <w:rPr>
          <w:sz w:val="22"/>
        </w:rPr>
        <w:t>031</w:t>
      </w:r>
      <w:r>
        <w:rPr>
          <w:spacing w:val="-10"/>
          <w:sz w:val="22"/>
        </w:rPr>
        <w:t> </w:t>
      </w:r>
      <w:r>
        <w:rPr>
          <w:sz w:val="22"/>
        </w:rPr>
        <w:t>result</w:t>
      </w:r>
      <w:r>
        <w:rPr>
          <w:spacing w:val="-9"/>
          <w:sz w:val="22"/>
        </w:rPr>
        <w:t> </w:t>
      </w:r>
      <w:r>
        <w:rPr>
          <w:sz w:val="22"/>
        </w:rPr>
        <w:t>is</w:t>
      </w:r>
      <w:r>
        <w:rPr>
          <w:spacing w:val="-9"/>
          <w:sz w:val="22"/>
        </w:rPr>
        <w:t> </w:t>
      </w:r>
      <w:r>
        <w:rPr>
          <w:spacing w:val="-2"/>
          <w:sz w:val="22"/>
        </w:rPr>
        <w:t>exploratory</w:t>
      </w:r>
      <w:r>
        <w:rPr>
          <w:sz w:val="22"/>
        </w:rPr>
        <w:tab/>
      </w:r>
      <w:hyperlink w:history="true" w:anchor="_bookmark112">
        <w:r>
          <w:rPr>
            <w:color w:val="8B2C18"/>
            <w:spacing w:val="-5"/>
            <w:sz w:val="22"/>
          </w:rPr>
          <w:t>58</w:t>
        </w:r>
      </w:hyperlink>
    </w:p>
    <w:p>
      <w:pPr>
        <w:pStyle w:val="ListParagraph"/>
        <w:numPr>
          <w:ilvl w:val="1"/>
          <w:numId w:val="6"/>
        </w:numPr>
        <w:tabs>
          <w:tab w:pos="1538" w:val="left" w:leader="none"/>
          <w:tab w:pos="9213" w:val="right" w:leader="dot"/>
        </w:tabs>
        <w:spacing w:line="238" w:lineRule="exact" w:before="0" w:after="0"/>
        <w:ind w:left="1538" w:right="0" w:hanging="502"/>
        <w:jc w:val="left"/>
        <w:rPr>
          <w:sz w:val="22"/>
        </w:rPr>
      </w:pPr>
      <w:r>
        <w:rPr>
          <w:sz w:val="22"/>
        </w:rPr>
        <w:t>LOESS</w:t>
      </w:r>
      <w:r>
        <w:rPr>
          <w:spacing w:val="-12"/>
          <w:sz w:val="22"/>
        </w:rPr>
        <w:t> </w:t>
      </w:r>
      <w:r>
        <w:rPr>
          <w:sz w:val="22"/>
        </w:rPr>
        <w:t>detrending</w:t>
      </w:r>
      <w:r>
        <w:rPr>
          <w:spacing w:val="-11"/>
          <w:sz w:val="22"/>
        </w:rPr>
        <w:t> </w:t>
      </w:r>
      <w:r>
        <w:rPr>
          <w:sz w:val="22"/>
        </w:rPr>
        <w:t>sensitivity</w:t>
      </w:r>
      <w:r>
        <w:rPr>
          <w:spacing w:val="-12"/>
          <w:sz w:val="22"/>
        </w:rPr>
        <w:t> </w:t>
      </w:r>
      <w:r>
        <w:rPr>
          <w:spacing w:val="-2"/>
          <w:sz w:val="22"/>
        </w:rPr>
        <w:t>analysis.</w:t>
      </w:r>
      <w:r>
        <w:rPr>
          <w:sz w:val="22"/>
        </w:rPr>
        <w:tab/>
      </w:r>
      <w:hyperlink w:history="true" w:anchor="_bookmark115">
        <w:r>
          <w:rPr>
            <w:color w:val="8B2C18"/>
            <w:spacing w:val="-5"/>
            <w:sz w:val="22"/>
          </w:rPr>
          <w:t>59</w:t>
        </w:r>
      </w:hyperlink>
    </w:p>
    <w:p>
      <w:pPr>
        <w:pStyle w:val="BodyText"/>
        <w:spacing w:before="345"/>
        <w:ind w:left="601" w:right="882"/>
        <w:jc w:val="center"/>
      </w:pPr>
      <w:r>
        <w:rPr>
          <w:spacing w:val="-5"/>
        </w:rPr>
        <w:t>ix</w:t>
      </w:r>
    </w:p>
    <w:p>
      <w:pPr>
        <w:pStyle w:val="BodyText"/>
        <w:spacing w:after="0"/>
        <w:jc w:val="center"/>
        <w:sectPr>
          <w:headerReference w:type="default" r:id="rId25"/>
          <w:pgSz w:w="11910" w:h="16840"/>
          <w:pgMar w:header="0" w:footer="0" w:top="1920" w:bottom="280" w:left="1275" w:right="425"/>
        </w:sectPr>
      </w:pPr>
    </w:p>
    <w:p>
      <w:pPr>
        <w:pStyle w:val="ListParagraph"/>
        <w:numPr>
          <w:ilvl w:val="1"/>
          <w:numId w:val="7"/>
        </w:numPr>
        <w:tabs>
          <w:tab w:pos="971" w:val="left" w:leader="none"/>
          <w:tab w:pos="8427" w:val="left" w:leader="dot"/>
        </w:tabs>
        <w:spacing w:line="240" w:lineRule="auto" w:before="77" w:after="0"/>
        <w:ind w:left="971" w:right="1557" w:hanging="502"/>
        <w:jc w:val="left"/>
        <w:rPr>
          <w:sz w:val="22"/>
        </w:rPr>
      </w:pPr>
      <w:r>
        <w:rPr>
          <w:sz w:val="22"/>
        </w:rPr>
        <mc:AlternateContent>
          <mc:Choice Requires="wps">
            <w:drawing>
              <wp:anchor distT="0" distB="0" distL="0" distR="0" allowOverlap="1" layoutInCell="1" locked="0" behindDoc="1" simplePos="0" relativeHeight="479853056">
                <wp:simplePos x="0" y="0"/>
                <wp:positionH relativeFrom="page">
                  <wp:posOffset>4108272</wp:posOffset>
                </wp:positionH>
                <wp:positionV relativeFrom="page">
                  <wp:posOffset>4400476</wp:posOffset>
                </wp:positionV>
                <wp:extent cx="133985" cy="23749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33985" cy="237490"/>
                        </a:xfrm>
                        <a:prstGeom prst="rect">
                          <a:avLst/>
                        </a:prstGeom>
                      </wps:spPr>
                      <wps:txbx>
                        <w:txbxContent>
                          <w:p>
                            <w:pPr>
                              <w:spacing w:line="256" w:lineRule="exact" w:before="0"/>
                              <w:ind w:left="0" w:right="0" w:firstLine="0"/>
                              <w:jc w:val="left"/>
                              <w:rPr>
                                <w:rFonts w:ascii="Meiryo UI"/>
                                <w:i/>
                                <w:sz w:val="22"/>
                              </w:rPr>
                            </w:pPr>
                            <w:r>
                              <w:rPr>
                                <w:rFonts w:ascii="Meiryo UI"/>
                                <w:i/>
                                <w:w w:val="70"/>
                                <w:sz w:val="22"/>
                              </w:rPr>
                              <w:t>|</w:t>
                            </w:r>
                            <w:r>
                              <w:rPr>
                                <w:rFonts w:ascii="Meiryo UI"/>
                                <w:i/>
                                <w:spacing w:val="7"/>
                                <w:sz w:val="22"/>
                              </w:rPr>
                              <w:t> </w:t>
                            </w:r>
                            <w:r>
                              <w:rPr>
                                <w:rFonts w:ascii="Meiryo UI"/>
                                <w:i/>
                                <w:spacing w:val="-18"/>
                                <w:w w:val="70"/>
                                <w:sz w:val="22"/>
                              </w:rPr>
                              <w:t>|</w:t>
                            </w:r>
                          </w:p>
                        </w:txbxContent>
                      </wps:txbx>
                      <wps:bodyPr wrap="square" lIns="0" tIns="0" rIns="0" bIns="0" rtlCol="0">
                        <a:noAutofit/>
                      </wps:bodyPr>
                    </wps:wsp>
                  </a:graphicData>
                </a:graphic>
              </wp:anchor>
            </w:drawing>
          </mc:Choice>
          <mc:Fallback>
            <w:pict>
              <v:shape style="position:absolute;margin-left:323.485992pt;margin-top:346.494202pt;width:10.55pt;height:18.7pt;mso-position-horizontal-relative:page;mso-position-vertical-relative:page;z-index:-23463424" type="#_x0000_t202" id="docshape30" filled="false" stroked="false">
                <v:textbox inset="0,0,0,0">
                  <w:txbxContent>
                    <w:p>
                      <w:pPr>
                        <w:spacing w:line="256" w:lineRule="exact" w:before="0"/>
                        <w:ind w:left="0" w:right="0" w:firstLine="0"/>
                        <w:jc w:val="left"/>
                        <w:rPr>
                          <w:rFonts w:ascii="Meiryo UI"/>
                          <w:i/>
                          <w:sz w:val="22"/>
                        </w:rPr>
                      </w:pPr>
                      <w:r>
                        <w:rPr>
                          <w:rFonts w:ascii="Meiryo UI"/>
                          <w:i/>
                          <w:w w:val="70"/>
                          <w:sz w:val="22"/>
                        </w:rPr>
                        <w:t>|</w:t>
                      </w:r>
                      <w:r>
                        <w:rPr>
                          <w:rFonts w:ascii="Meiryo UI"/>
                          <w:i/>
                          <w:spacing w:val="7"/>
                          <w:sz w:val="22"/>
                        </w:rPr>
                        <w:t> </w:t>
                      </w:r>
                      <w:r>
                        <w:rPr>
                          <w:rFonts w:ascii="Meiryo UI"/>
                          <w:i/>
                          <w:spacing w:val="-18"/>
                          <w:w w:val="70"/>
                          <w:sz w:val="22"/>
                        </w:rPr>
                        <w:t>|</w:t>
                      </w:r>
                    </w:p>
                  </w:txbxContent>
                </v:textbox>
                <w10:wrap type="none"/>
              </v:shape>
            </w:pict>
          </mc:Fallback>
        </mc:AlternateContent>
      </w:r>
      <w:r>
        <w:rPr>
          <w:sz w:val="22"/>
        </w:rPr>
        <w:t>Per-scenario MAE for </w:t>
      </w:r>
      <w:r>
        <w:rPr>
          <w:rFonts w:ascii="Courier New"/>
          <w:sz w:val="22"/>
        </w:rPr>
        <w:t>Naive_Median</w:t>
      </w:r>
      <w:r>
        <w:rPr>
          <w:rFonts w:ascii="Courier New"/>
          <w:spacing w:val="-42"/>
          <w:sz w:val="22"/>
        </w:rPr>
        <w:t> </w:t>
      </w:r>
      <w:r>
        <w:rPr>
          <w:sz w:val="22"/>
        </w:rPr>
        <w:t>and </w:t>
      </w:r>
      <w:r>
        <w:rPr>
          <w:rFonts w:ascii="Courier New"/>
          <w:sz w:val="22"/>
        </w:rPr>
        <w:t>CarenR_Dist_Eta2</w:t>
      </w:r>
      <w:r>
        <w:rPr>
          <w:sz w:val="22"/>
        </w:rPr>
        <w:t>:</w:t>
      </w:r>
      <w:r>
        <w:rPr>
          <w:spacing w:val="40"/>
          <w:sz w:val="22"/>
        </w:rPr>
        <w:t> </w:t>
      </w:r>
      <w:r>
        <w:rPr>
          <w:sz w:val="22"/>
        </w:rPr>
        <w:t>18 RDD </w:t>
      </w:r>
      <w:r>
        <w:rPr>
          <w:spacing w:val="-2"/>
          <w:sz w:val="22"/>
        </w:rPr>
        <w:t>scenarios.</w:t>
      </w:r>
      <w:r>
        <w:rPr>
          <w:sz w:val="22"/>
        </w:rPr>
        <w:tab/>
      </w:r>
      <w:hyperlink w:history="true" w:anchor="_bookmark120">
        <w:r>
          <w:rPr>
            <w:color w:val="8B2C18"/>
            <w:spacing w:val="-5"/>
            <w:sz w:val="22"/>
          </w:rPr>
          <w:t>61</w:t>
        </w:r>
      </w:hyperlink>
    </w:p>
    <w:p>
      <w:pPr>
        <w:pStyle w:val="ListParagraph"/>
        <w:numPr>
          <w:ilvl w:val="1"/>
          <w:numId w:val="7"/>
        </w:numPr>
        <w:tabs>
          <w:tab w:pos="971" w:val="left" w:leader="none"/>
          <w:tab w:pos="8427" w:val="left" w:leader="dot"/>
        </w:tabs>
        <w:spacing w:line="240" w:lineRule="auto" w:before="17" w:after="0"/>
        <w:ind w:left="971" w:right="1557" w:hanging="502"/>
        <w:jc w:val="left"/>
        <w:rPr>
          <w:sz w:val="22"/>
        </w:rPr>
      </w:pPr>
      <w:r>
        <w:rPr>
          <w:sz w:val="22"/>
        </w:rPr>
        <w:t>Per-scenario MAE for </w:t>
      </w:r>
      <w:r>
        <w:rPr>
          <w:rFonts w:ascii="Courier New"/>
          <w:sz w:val="22"/>
        </w:rPr>
        <w:t>Naive_Median</w:t>
      </w:r>
      <w:r>
        <w:rPr>
          <w:rFonts w:ascii="Courier New"/>
          <w:spacing w:val="-74"/>
          <w:sz w:val="22"/>
        </w:rPr>
        <w:t> </w:t>
      </w:r>
      <w:r>
        <w:rPr>
          <w:sz w:val="22"/>
        </w:rPr>
        <w:t>and </w:t>
      </w:r>
      <w:r>
        <w:rPr>
          <w:rFonts w:ascii="Courier New"/>
          <w:sz w:val="22"/>
        </w:rPr>
        <w:t>CarenR_Dist_Sup_FS</w:t>
      </w:r>
      <w:r>
        <w:rPr>
          <w:sz w:val="22"/>
        </w:rPr>
        <w:t>: 16 RVV </w:t>
      </w:r>
      <w:r>
        <w:rPr>
          <w:spacing w:val="-2"/>
          <w:sz w:val="22"/>
        </w:rPr>
        <w:t>scenarios.</w:t>
      </w:r>
      <w:r>
        <w:rPr>
          <w:sz w:val="22"/>
        </w:rPr>
        <w:tab/>
      </w:r>
      <w:hyperlink w:history="true" w:anchor="_bookmark123">
        <w:r>
          <w:rPr>
            <w:color w:val="8B2C18"/>
            <w:spacing w:val="-5"/>
            <w:sz w:val="22"/>
          </w:rPr>
          <w:t>63</w:t>
        </w:r>
      </w:hyperlink>
    </w:p>
    <w:p>
      <w:pPr>
        <w:pStyle w:val="ListParagraph"/>
        <w:numPr>
          <w:ilvl w:val="1"/>
          <w:numId w:val="7"/>
        </w:numPr>
        <w:tabs>
          <w:tab w:pos="970" w:val="left" w:leader="none"/>
          <w:tab w:pos="8427" w:val="left" w:leader="dot"/>
        </w:tabs>
        <w:spacing w:line="240" w:lineRule="auto" w:before="18" w:after="0"/>
        <w:ind w:left="970" w:right="0" w:hanging="501"/>
        <w:jc w:val="left"/>
        <w:rPr>
          <w:sz w:val="22"/>
        </w:rPr>
      </w:pPr>
      <w:r>
        <w:rPr>
          <w:sz w:val="22"/>
        </w:rPr>
        <w:t>CarenR</w:t>
      </w:r>
      <w:r>
        <w:rPr>
          <w:spacing w:val="-10"/>
          <w:sz w:val="22"/>
        </w:rPr>
        <w:t> </w:t>
      </w:r>
      <w:r>
        <w:rPr>
          <w:sz w:val="22"/>
        </w:rPr>
        <w:t>variant</w:t>
      </w:r>
      <w:r>
        <w:rPr>
          <w:spacing w:val="-9"/>
          <w:sz w:val="22"/>
        </w:rPr>
        <w:t> </w:t>
      </w:r>
      <w:r>
        <w:rPr>
          <w:sz w:val="22"/>
        </w:rPr>
        <w:t>sensitivity</w:t>
      </w:r>
      <w:r>
        <w:rPr>
          <w:spacing w:val="-9"/>
          <w:sz w:val="22"/>
        </w:rPr>
        <w:t> </w:t>
      </w:r>
      <w:r>
        <w:rPr>
          <w:sz w:val="22"/>
        </w:rPr>
        <w:t>analysis</w:t>
      </w:r>
      <w:r>
        <w:rPr>
          <w:spacing w:val="-9"/>
          <w:sz w:val="22"/>
        </w:rPr>
        <w:t> </w:t>
      </w:r>
      <w:r>
        <w:rPr>
          <w:sz w:val="22"/>
        </w:rPr>
        <w:t>by</w:t>
      </w:r>
      <w:r>
        <w:rPr>
          <w:spacing w:val="-9"/>
          <w:sz w:val="22"/>
        </w:rPr>
        <w:t> </w:t>
      </w:r>
      <w:r>
        <w:rPr>
          <w:sz w:val="22"/>
        </w:rPr>
        <w:t>feature</w:t>
      </w:r>
      <w:r>
        <w:rPr>
          <w:spacing w:val="-9"/>
          <w:sz w:val="22"/>
        </w:rPr>
        <w:t> </w:t>
      </w:r>
      <w:r>
        <w:rPr>
          <w:sz w:val="22"/>
        </w:rPr>
        <w:t>selection</w:t>
      </w:r>
      <w:r>
        <w:rPr>
          <w:spacing w:val="-10"/>
          <w:sz w:val="22"/>
        </w:rPr>
        <w:t> </w:t>
      </w:r>
      <w:r>
        <w:rPr>
          <w:spacing w:val="-2"/>
          <w:sz w:val="22"/>
        </w:rPr>
        <w:t>strategy</w:t>
      </w:r>
      <w:r>
        <w:rPr>
          <w:sz w:val="22"/>
        </w:rPr>
        <w:tab/>
      </w:r>
      <w:hyperlink w:history="true" w:anchor="_bookmark126">
        <w:r>
          <w:rPr>
            <w:color w:val="8B2C18"/>
            <w:spacing w:val="-5"/>
            <w:sz w:val="22"/>
          </w:rPr>
          <w:t>65</w:t>
        </w:r>
      </w:hyperlink>
    </w:p>
    <w:p>
      <w:pPr>
        <w:pStyle w:val="ListParagraph"/>
        <w:numPr>
          <w:ilvl w:val="1"/>
          <w:numId w:val="7"/>
        </w:numPr>
        <w:tabs>
          <w:tab w:pos="963" w:val="left" w:leader="none"/>
          <w:tab w:pos="8427" w:val="left" w:leader="dot"/>
        </w:tabs>
        <w:spacing w:line="240" w:lineRule="auto" w:before="18" w:after="0"/>
        <w:ind w:left="963" w:right="0" w:hanging="494"/>
        <w:jc w:val="left"/>
        <w:rPr>
          <w:sz w:val="22"/>
        </w:rPr>
      </w:pPr>
      <w:r>
        <w:rPr>
          <w:sz w:val="22"/>
        </w:rPr>
        <w:t>The</w:t>
      </w:r>
      <w:r>
        <w:rPr>
          <w:spacing w:val="-7"/>
          <w:sz w:val="22"/>
        </w:rPr>
        <w:t> </w:t>
      </w:r>
      <w:r>
        <w:rPr>
          <w:sz w:val="22"/>
        </w:rPr>
        <w:t>three</w:t>
      </w:r>
      <w:r>
        <w:rPr>
          <w:spacing w:val="-6"/>
          <w:sz w:val="22"/>
        </w:rPr>
        <w:t> </w:t>
      </w:r>
      <w:r>
        <w:rPr>
          <w:sz w:val="22"/>
        </w:rPr>
        <w:t>possible</w:t>
      </w:r>
      <w:r>
        <w:rPr>
          <w:spacing w:val="-7"/>
          <w:sz w:val="22"/>
        </w:rPr>
        <w:t> </w:t>
      </w:r>
      <w:r>
        <w:rPr>
          <w:sz w:val="22"/>
        </w:rPr>
        <w:t>outcomes</w:t>
      </w:r>
      <w:r>
        <w:rPr>
          <w:spacing w:val="-6"/>
          <w:sz w:val="22"/>
        </w:rPr>
        <w:t> </w:t>
      </w:r>
      <w:r>
        <w:rPr>
          <w:sz w:val="22"/>
        </w:rPr>
        <w:t>of</w:t>
      </w:r>
      <w:r>
        <w:rPr>
          <w:spacing w:val="-6"/>
          <w:sz w:val="22"/>
        </w:rPr>
        <w:t> </w:t>
      </w:r>
      <w:r>
        <w:rPr>
          <w:sz w:val="22"/>
        </w:rPr>
        <w:t>CarenR</w:t>
      </w:r>
      <w:r>
        <w:rPr>
          <w:spacing w:val="-7"/>
          <w:sz w:val="22"/>
        </w:rPr>
        <w:t> </w:t>
      </w:r>
      <w:r>
        <w:rPr>
          <w:sz w:val="22"/>
        </w:rPr>
        <w:t>prediction</w:t>
      </w:r>
      <w:r>
        <w:rPr>
          <w:spacing w:val="-6"/>
          <w:sz w:val="22"/>
        </w:rPr>
        <w:t> </w:t>
      </w:r>
      <w:r>
        <w:rPr>
          <w:sz w:val="22"/>
        </w:rPr>
        <w:t>and</w:t>
      </w:r>
      <w:r>
        <w:rPr>
          <w:spacing w:val="-6"/>
          <w:sz w:val="22"/>
        </w:rPr>
        <w:t> </w:t>
      </w:r>
      <w:r>
        <w:rPr>
          <w:sz w:val="22"/>
        </w:rPr>
        <w:t>their</w:t>
      </w:r>
      <w:r>
        <w:rPr>
          <w:spacing w:val="-7"/>
          <w:sz w:val="22"/>
        </w:rPr>
        <w:t> </w:t>
      </w:r>
      <w:r>
        <w:rPr>
          <w:spacing w:val="-2"/>
          <w:sz w:val="22"/>
        </w:rPr>
        <w:t>interpretation.</w:t>
      </w:r>
      <w:r>
        <w:rPr>
          <w:sz w:val="22"/>
        </w:rPr>
        <w:tab/>
      </w:r>
      <w:hyperlink w:history="true" w:anchor="_bookmark129">
        <w:r>
          <w:rPr>
            <w:color w:val="8B2C18"/>
            <w:spacing w:val="-5"/>
            <w:sz w:val="22"/>
          </w:rPr>
          <w:t>67</w:t>
        </w:r>
      </w:hyperlink>
    </w:p>
    <w:p>
      <w:pPr>
        <w:pStyle w:val="ListParagraph"/>
        <w:numPr>
          <w:ilvl w:val="1"/>
          <w:numId w:val="8"/>
        </w:numPr>
        <w:tabs>
          <w:tab w:pos="971" w:val="left" w:leader="none"/>
          <w:tab w:pos="8427" w:val="left" w:leader="dot"/>
        </w:tabs>
        <w:spacing w:line="240" w:lineRule="auto" w:before="217" w:after="0"/>
        <w:ind w:left="971" w:right="0" w:hanging="502"/>
        <w:jc w:val="left"/>
        <w:rPr>
          <w:sz w:val="22"/>
        </w:rPr>
      </w:pPr>
      <w:r>
        <w:rPr>
          <w:sz w:val="22"/>
        </w:rPr>
        <w:t>Structural</w:t>
      </w:r>
      <w:r>
        <w:rPr>
          <w:spacing w:val="-10"/>
          <w:sz w:val="22"/>
        </w:rPr>
        <w:t> </w:t>
      </w:r>
      <w:r>
        <w:rPr>
          <w:sz w:val="22"/>
        </w:rPr>
        <w:t>explanation</w:t>
      </w:r>
      <w:r>
        <w:rPr>
          <w:spacing w:val="-9"/>
          <w:sz w:val="22"/>
        </w:rPr>
        <w:t> </w:t>
      </w:r>
      <w:r>
        <w:rPr>
          <w:sz w:val="22"/>
        </w:rPr>
        <w:t>of</w:t>
      </w:r>
      <w:r>
        <w:rPr>
          <w:spacing w:val="-10"/>
          <w:sz w:val="22"/>
        </w:rPr>
        <w:t> </w:t>
      </w:r>
      <w:r>
        <w:rPr>
          <w:sz w:val="22"/>
        </w:rPr>
        <w:t>the</w:t>
      </w:r>
      <w:r>
        <w:rPr>
          <w:spacing w:val="-9"/>
          <w:sz w:val="22"/>
        </w:rPr>
        <w:t> </w:t>
      </w:r>
      <w:r>
        <w:rPr>
          <w:sz w:val="22"/>
        </w:rPr>
        <w:t>RDD</w:t>
      </w:r>
      <w:r>
        <w:rPr>
          <w:spacing w:val="-10"/>
          <w:sz w:val="22"/>
        </w:rPr>
        <w:t> </w:t>
      </w:r>
      <w:r>
        <w:rPr>
          <w:sz w:val="22"/>
        </w:rPr>
        <w:t>vs</w:t>
      </w:r>
      <w:r>
        <w:rPr>
          <w:spacing w:val="-9"/>
          <w:sz w:val="22"/>
        </w:rPr>
        <w:t> </w:t>
      </w:r>
      <w:r>
        <w:rPr>
          <w:sz w:val="22"/>
        </w:rPr>
        <w:t>RVV</w:t>
      </w:r>
      <w:r>
        <w:rPr>
          <w:spacing w:val="-10"/>
          <w:sz w:val="22"/>
        </w:rPr>
        <w:t> </w:t>
      </w:r>
      <w:r>
        <w:rPr>
          <w:sz w:val="22"/>
        </w:rPr>
        <w:t>performance</w:t>
      </w:r>
      <w:r>
        <w:rPr>
          <w:spacing w:val="-9"/>
          <w:sz w:val="22"/>
        </w:rPr>
        <w:t> </w:t>
      </w:r>
      <w:r>
        <w:rPr>
          <w:spacing w:val="-2"/>
          <w:sz w:val="22"/>
        </w:rPr>
        <w:t>divergence.</w:t>
      </w:r>
      <w:r>
        <w:rPr>
          <w:sz w:val="22"/>
        </w:rPr>
        <w:tab/>
      </w:r>
      <w:hyperlink w:history="true" w:anchor="_bookmark134">
        <w:r>
          <w:rPr>
            <w:color w:val="8B2C18"/>
            <w:spacing w:val="-5"/>
            <w:sz w:val="22"/>
          </w:rPr>
          <w:t>71</w:t>
        </w:r>
      </w:hyperlink>
    </w:p>
    <w:p>
      <w:pPr>
        <w:pStyle w:val="ListParagraph"/>
        <w:numPr>
          <w:ilvl w:val="1"/>
          <w:numId w:val="9"/>
        </w:numPr>
        <w:tabs>
          <w:tab w:pos="963" w:val="left" w:leader="none"/>
        </w:tabs>
        <w:spacing w:line="240" w:lineRule="auto" w:before="217" w:after="0"/>
        <w:ind w:left="963" w:right="0" w:hanging="494"/>
        <w:jc w:val="left"/>
        <w:rPr>
          <w:sz w:val="22"/>
        </w:rPr>
      </w:pPr>
      <w:r>
        <w:rPr>
          <w:sz w:val="22"/>
        </w:rPr>
        <w:t>Top</w:t>
      </w:r>
      <w:r>
        <w:rPr>
          <w:spacing w:val="-14"/>
          <w:sz w:val="22"/>
        </w:rPr>
        <w:t> </w:t>
      </w:r>
      <w:r>
        <w:rPr>
          <w:sz w:val="22"/>
        </w:rPr>
        <w:t>10</w:t>
      </w:r>
      <w:r>
        <w:rPr>
          <w:spacing w:val="-14"/>
          <w:sz w:val="22"/>
        </w:rPr>
        <w:t> </w:t>
      </w:r>
      <w:r>
        <w:rPr>
          <w:sz w:val="22"/>
        </w:rPr>
        <w:t>CarenR</w:t>
      </w:r>
      <w:r>
        <w:rPr>
          <w:spacing w:val="-13"/>
          <w:sz w:val="22"/>
        </w:rPr>
        <w:t> </w:t>
      </w:r>
      <w:r>
        <w:rPr>
          <w:sz w:val="22"/>
        </w:rPr>
        <w:t>rules</w:t>
      </w:r>
      <w:r>
        <w:rPr>
          <w:spacing w:val="-14"/>
          <w:sz w:val="22"/>
        </w:rPr>
        <w:t> </w:t>
      </w:r>
      <w:r>
        <w:rPr>
          <w:sz w:val="22"/>
        </w:rPr>
        <w:t>for</w:t>
      </w:r>
      <w:r>
        <w:rPr>
          <w:spacing w:val="-14"/>
          <w:sz w:val="22"/>
        </w:rPr>
        <w:t> </w:t>
      </w:r>
      <w:r>
        <w:rPr>
          <w:sz w:val="22"/>
        </w:rPr>
        <w:t>the</w:t>
      </w:r>
      <w:r>
        <w:rPr>
          <w:spacing w:val="-13"/>
          <w:sz w:val="22"/>
        </w:rPr>
        <w:t> </w:t>
      </w:r>
      <w:r>
        <w:rPr>
          <w:sz w:val="22"/>
        </w:rPr>
        <w:t>Vinho</w:t>
      </w:r>
      <w:r>
        <w:rPr>
          <w:spacing w:val="-14"/>
          <w:sz w:val="22"/>
        </w:rPr>
        <w:t> </w:t>
      </w:r>
      <w:r>
        <w:rPr>
          <w:sz w:val="22"/>
        </w:rPr>
        <w:t>Verde</w:t>
      </w:r>
      <w:r>
        <w:rPr>
          <w:spacing w:val="-14"/>
          <w:sz w:val="22"/>
        </w:rPr>
        <w:t> </w:t>
      </w:r>
      <w:r>
        <w:rPr>
          <w:sz w:val="22"/>
        </w:rPr>
        <w:t>(RVV).</w:t>
      </w:r>
      <w:r>
        <w:rPr>
          <w:spacing w:val="-13"/>
          <w:sz w:val="22"/>
        </w:rPr>
        <w:t> </w:t>
      </w:r>
      <w:r>
        <w:rPr>
          <w:sz w:val="22"/>
        </w:rPr>
        <w:t>Rule</w:t>
      </w:r>
      <w:r>
        <w:rPr>
          <w:spacing w:val="-14"/>
          <w:sz w:val="22"/>
        </w:rPr>
        <w:t> </w:t>
      </w:r>
      <w:r>
        <w:rPr>
          <w:sz w:val="22"/>
        </w:rPr>
        <w:t>4</w:t>
      </w:r>
      <w:r>
        <w:rPr>
          <w:spacing w:val="-14"/>
          <w:sz w:val="22"/>
        </w:rPr>
        <w:t> </w:t>
      </w:r>
      <w:r>
        <w:rPr>
          <w:sz w:val="22"/>
        </w:rPr>
        <w:t>is</w:t>
      </w:r>
      <w:r>
        <w:rPr>
          <w:spacing w:val="-13"/>
          <w:sz w:val="22"/>
        </w:rPr>
        <w:t> </w:t>
      </w:r>
      <w:r>
        <w:rPr>
          <w:sz w:val="22"/>
        </w:rPr>
        <w:t>the</w:t>
      </w:r>
      <w:r>
        <w:rPr>
          <w:spacing w:val="-14"/>
          <w:sz w:val="22"/>
        </w:rPr>
        <w:t> </w:t>
      </w:r>
      <w:r>
        <w:rPr>
          <w:sz w:val="22"/>
        </w:rPr>
        <w:t>only</w:t>
      </w:r>
      <w:r>
        <w:rPr>
          <w:spacing w:val="-13"/>
          <w:sz w:val="22"/>
        </w:rPr>
        <w:t> </w:t>
      </w:r>
      <w:r>
        <w:rPr>
          <w:sz w:val="22"/>
        </w:rPr>
        <w:t>above-trend</w:t>
      </w:r>
      <w:r>
        <w:rPr>
          <w:spacing w:val="-14"/>
          <w:sz w:val="22"/>
        </w:rPr>
        <w:t> </w:t>
      </w:r>
      <w:r>
        <w:rPr>
          <w:sz w:val="22"/>
        </w:rPr>
        <w:t>rule.</w:t>
      </w:r>
      <w:r>
        <w:rPr>
          <w:spacing w:val="37"/>
          <w:sz w:val="22"/>
        </w:rPr>
        <w:t> </w:t>
      </w:r>
      <w:hyperlink w:history="true" w:anchor="_bookmark152">
        <w:r>
          <w:rPr>
            <w:color w:val="8B2C18"/>
            <w:spacing w:val="-5"/>
            <w:sz w:val="22"/>
          </w:rPr>
          <w:t>81</w:t>
        </w:r>
      </w:hyperlink>
    </w:p>
    <w:p>
      <w:pPr>
        <w:pStyle w:val="ListParagraph"/>
        <w:numPr>
          <w:ilvl w:val="1"/>
          <w:numId w:val="9"/>
        </w:numPr>
        <w:tabs>
          <w:tab w:pos="970" w:val="left" w:leader="none"/>
          <w:tab w:pos="8427" w:val="left" w:leader="dot"/>
        </w:tabs>
        <w:spacing w:line="240" w:lineRule="auto" w:before="18" w:after="0"/>
        <w:ind w:left="970" w:right="0" w:hanging="501"/>
        <w:jc w:val="left"/>
        <w:rPr>
          <w:sz w:val="22"/>
        </w:rPr>
      </w:pPr>
      <w:r>
        <w:rPr>
          <w:sz w:val="22"/>
        </w:rPr>
        <w:t>Complete</w:t>
      </w:r>
      <w:r>
        <w:rPr>
          <w:spacing w:val="-6"/>
          <w:sz w:val="22"/>
        </w:rPr>
        <w:t> </w:t>
      </w:r>
      <w:r>
        <w:rPr>
          <w:sz w:val="22"/>
        </w:rPr>
        <w:t>CarenR</w:t>
      </w:r>
      <w:r>
        <w:rPr>
          <w:spacing w:val="-6"/>
          <w:sz w:val="22"/>
        </w:rPr>
        <w:t> </w:t>
      </w:r>
      <w:r>
        <w:rPr>
          <w:sz w:val="22"/>
        </w:rPr>
        <w:t>rule</w:t>
      </w:r>
      <w:r>
        <w:rPr>
          <w:spacing w:val="-6"/>
          <w:sz w:val="22"/>
        </w:rPr>
        <w:t> </w:t>
      </w:r>
      <w:r>
        <w:rPr>
          <w:sz w:val="22"/>
        </w:rPr>
        <w:t>listing</w:t>
      </w:r>
      <w:r>
        <w:rPr>
          <w:spacing w:val="-6"/>
          <w:sz w:val="22"/>
        </w:rPr>
        <w:t> </w:t>
      </w:r>
      <w:r>
        <w:rPr>
          <w:sz w:val="22"/>
        </w:rPr>
        <w:t>for</w:t>
      </w:r>
      <w:r>
        <w:rPr>
          <w:spacing w:val="-6"/>
          <w:sz w:val="22"/>
        </w:rPr>
        <w:t> </w:t>
      </w:r>
      <w:r>
        <w:rPr>
          <w:sz w:val="22"/>
        </w:rPr>
        <w:t>the</w:t>
      </w:r>
      <w:r>
        <w:rPr>
          <w:spacing w:val="-6"/>
          <w:sz w:val="22"/>
        </w:rPr>
        <w:t> </w:t>
      </w:r>
      <w:r>
        <w:rPr>
          <w:sz w:val="22"/>
        </w:rPr>
        <w:t>Douro</w:t>
      </w:r>
      <w:r>
        <w:rPr>
          <w:spacing w:val="-6"/>
          <w:sz w:val="22"/>
        </w:rPr>
        <w:t> </w:t>
      </w:r>
      <w:r>
        <w:rPr>
          <w:sz w:val="22"/>
        </w:rPr>
        <w:t>(RDD)</w:t>
      </w:r>
      <w:r>
        <w:rPr>
          <w:spacing w:val="-6"/>
          <w:sz w:val="22"/>
        </w:rPr>
        <w:t> </w:t>
      </w:r>
      <w:r>
        <w:rPr>
          <w:sz w:val="22"/>
        </w:rPr>
        <w:t>region:</w:t>
      </w:r>
      <w:r>
        <w:rPr>
          <w:spacing w:val="6"/>
          <w:sz w:val="22"/>
        </w:rPr>
        <w:t> </w:t>
      </w:r>
      <w:r>
        <w:rPr>
          <w:sz w:val="22"/>
        </w:rPr>
        <w:t>all</w:t>
      </w:r>
      <w:r>
        <w:rPr>
          <w:spacing w:val="-6"/>
          <w:sz w:val="22"/>
        </w:rPr>
        <w:t> </w:t>
      </w:r>
      <w:r>
        <w:rPr>
          <w:sz w:val="22"/>
        </w:rPr>
        <w:t>48</w:t>
      </w:r>
      <w:r>
        <w:rPr>
          <w:spacing w:val="-6"/>
          <w:sz w:val="22"/>
        </w:rPr>
        <w:t> </w:t>
      </w:r>
      <w:r>
        <w:rPr>
          <w:spacing w:val="-2"/>
          <w:sz w:val="22"/>
        </w:rPr>
        <w:t>rules.</w:t>
      </w:r>
      <w:r>
        <w:rPr>
          <w:sz w:val="22"/>
        </w:rPr>
        <w:tab/>
      </w:r>
      <w:hyperlink w:history="true" w:anchor="_bookmark154">
        <w:r>
          <w:rPr>
            <w:color w:val="8B2C18"/>
            <w:spacing w:val="-5"/>
            <w:sz w:val="22"/>
          </w:rPr>
          <w:t>83</w:t>
        </w:r>
      </w:hyperlink>
    </w:p>
    <w:p>
      <w:pPr>
        <w:pStyle w:val="BodyText"/>
        <w:tabs>
          <w:tab w:pos="8428" w:val="left" w:leader="dot"/>
        </w:tabs>
        <w:spacing w:before="18"/>
        <w:ind w:left="469"/>
      </w:pPr>
      <w:r>
        <w:rPr/>
        <w:t>A.1</w:t>
      </w:r>
      <w:r>
        <w:rPr>
          <w:spacing w:val="75"/>
          <w:w w:val="150"/>
        </w:rPr>
        <w:t> </w:t>
      </w:r>
      <w:r>
        <w:rPr/>
        <w:t>Top</w:t>
      </w:r>
      <w:r>
        <w:rPr>
          <w:spacing w:val="-6"/>
        </w:rPr>
        <w:t> </w:t>
      </w:r>
      <w:r>
        <w:rPr/>
        <w:t>10</w:t>
      </w:r>
      <w:r>
        <w:rPr>
          <w:spacing w:val="-5"/>
        </w:rPr>
        <w:t> </w:t>
      </w:r>
      <w:r>
        <w:rPr/>
        <w:t>CarenR</w:t>
      </w:r>
      <w:r>
        <w:rPr>
          <w:spacing w:val="-6"/>
        </w:rPr>
        <w:t> </w:t>
      </w:r>
      <w:r>
        <w:rPr/>
        <w:t>rules</w:t>
      </w:r>
      <w:r>
        <w:rPr>
          <w:spacing w:val="-6"/>
        </w:rPr>
        <w:t> </w:t>
      </w:r>
      <w:r>
        <w:rPr/>
        <w:t>for</w:t>
      </w:r>
      <w:r>
        <w:rPr>
          <w:spacing w:val="-5"/>
        </w:rPr>
        <w:t> </w:t>
      </w:r>
      <w:r>
        <w:rPr/>
        <w:t>the</w:t>
      </w:r>
      <w:r>
        <w:rPr>
          <w:spacing w:val="-6"/>
        </w:rPr>
        <w:t> </w:t>
      </w:r>
      <w:r>
        <w:rPr/>
        <w:t>Douro</w:t>
      </w:r>
      <w:r>
        <w:rPr>
          <w:spacing w:val="-6"/>
        </w:rPr>
        <w:t> </w:t>
      </w:r>
      <w:r>
        <w:rPr/>
        <w:t>(RDD),</w:t>
      </w:r>
      <w:r>
        <w:rPr>
          <w:spacing w:val="-5"/>
        </w:rPr>
        <w:t> </w:t>
      </w:r>
      <w:r>
        <w:rPr/>
        <w:t>sorted</w:t>
      </w:r>
      <w:r>
        <w:rPr>
          <w:spacing w:val="-6"/>
        </w:rPr>
        <w:t> </w:t>
      </w:r>
      <w:r>
        <w:rPr/>
        <w:t>by</w:t>
      </w:r>
      <w:r>
        <w:rPr>
          <w:spacing w:val="-6"/>
        </w:rPr>
        <w:t> </w:t>
      </w:r>
      <w:r>
        <w:rPr/>
        <w:t>KS</w:t>
      </w:r>
      <w:r>
        <w:rPr>
          <w:spacing w:val="9"/>
        </w:rPr>
        <w:t> </w:t>
      </w:r>
      <w:r>
        <w:rPr>
          <w:i/>
        </w:rPr>
        <w:t>p</w:t>
      </w:r>
      <w:r>
        <w:rPr/>
        <w:t>-</w:t>
      </w:r>
      <w:r>
        <w:rPr>
          <w:spacing w:val="-2"/>
        </w:rPr>
        <w:t>value.</w:t>
      </w:r>
      <w:r>
        <w:rPr/>
        <w:tab/>
      </w:r>
      <w:hyperlink w:history="true" w:anchor="_bookmark157">
        <w:r>
          <w:rPr>
            <w:color w:val="8B2C18"/>
            <w:spacing w:val="-5"/>
          </w:rPr>
          <w:t>87</w:t>
        </w:r>
      </w:hyperlink>
    </w:p>
    <w:p>
      <w:pPr>
        <w:pStyle w:val="ListParagraph"/>
        <w:numPr>
          <w:ilvl w:val="1"/>
          <w:numId w:val="9"/>
        </w:numPr>
        <w:tabs>
          <w:tab w:pos="970" w:val="left" w:leader="none"/>
          <w:tab w:pos="8427" w:val="left" w:leader="dot"/>
        </w:tabs>
        <w:spacing w:line="240" w:lineRule="auto" w:before="18" w:after="0"/>
        <w:ind w:left="970" w:right="0" w:hanging="501"/>
        <w:jc w:val="left"/>
        <w:rPr>
          <w:sz w:val="22"/>
        </w:rPr>
      </w:pPr>
      <w:r>
        <w:rPr>
          <w:sz w:val="22"/>
        </w:rPr>
        <w:t>Complete</w:t>
      </w:r>
      <w:r>
        <w:rPr>
          <w:spacing w:val="-11"/>
          <w:sz w:val="22"/>
        </w:rPr>
        <w:t> </w:t>
      </w:r>
      <w:r>
        <w:rPr>
          <w:sz w:val="22"/>
        </w:rPr>
        <w:t>CarenR</w:t>
      </w:r>
      <w:r>
        <w:rPr>
          <w:spacing w:val="-11"/>
          <w:sz w:val="22"/>
        </w:rPr>
        <w:t> </w:t>
      </w:r>
      <w:r>
        <w:rPr>
          <w:sz w:val="22"/>
        </w:rPr>
        <w:t>rule</w:t>
      </w:r>
      <w:r>
        <w:rPr>
          <w:spacing w:val="-10"/>
          <w:sz w:val="22"/>
        </w:rPr>
        <w:t> </w:t>
      </w:r>
      <w:r>
        <w:rPr>
          <w:sz w:val="22"/>
        </w:rPr>
        <w:t>listing</w:t>
      </w:r>
      <w:r>
        <w:rPr>
          <w:spacing w:val="-11"/>
          <w:sz w:val="22"/>
        </w:rPr>
        <w:t> </w:t>
      </w:r>
      <w:r>
        <w:rPr>
          <w:sz w:val="22"/>
        </w:rPr>
        <w:t>for</w:t>
      </w:r>
      <w:r>
        <w:rPr>
          <w:spacing w:val="-11"/>
          <w:sz w:val="22"/>
        </w:rPr>
        <w:t> </w:t>
      </w:r>
      <w:r>
        <w:rPr>
          <w:sz w:val="22"/>
        </w:rPr>
        <w:t>the</w:t>
      </w:r>
      <w:r>
        <w:rPr>
          <w:spacing w:val="-10"/>
          <w:sz w:val="22"/>
        </w:rPr>
        <w:t> </w:t>
      </w:r>
      <w:r>
        <w:rPr>
          <w:sz w:val="22"/>
        </w:rPr>
        <w:t>Vinho</w:t>
      </w:r>
      <w:r>
        <w:rPr>
          <w:spacing w:val="-11"/>
          <w:sz w:val="22"/>
        </w:rPr>
        <w:t> </w:t>
      </w:r>
      <w:r>
        <w:rPr>
          <w:sz w:val="22"/>
        </w:rPr>
        <w:t>Verde</w:t>
      </w:r>
      <w:r>
        <w:rPr>
          <w:spacing w:val="-11"/>
          <w:sz w:val="22"/>
        </w:rPr>
        <w:t> </w:t>
      </w:r>
      <w:r>
        <w:rPr>
          <w:sz w:val="22"/>
        </w:rPr>
        <w:t>(RVV)</w:t>
      </w:r>
      <w:r>
        <w:rPr>
          <w:spacing w:val="-10"/>
          <w:sz w:val="22"/>
        </w:rPr>
        <w:t> </w:t>
      </w:r>
      <w:r>
        <w:rPr>
          <w:sz w:val="22"/>
        </w:rPr>
        <w:t>region: all</w:t>
      </w:r>
      <w:r>
        <w:rPr>
          <w:spacing w:val="-11"/>
          <w:sz w:val="22"/>
        </w:rPr>
        <w:t> </w:t>
      </w:r>
      <w:r>
        <w:rPr>
          <w:sz w:val="22"/>
        </w:rPr>
        <w:t>20</w:t>
      </w:r>
      <w:r>
        <w:rPr>
          <w:spacing w:val="-11"/>
          <w:sz w:val="22"/>
        </w:rPr>
        <w:t> </w:t>
      </w:r>
      <w:r>
        <w:rPr>
          <w:spacing w:val="-2"/>
          <w:sz w:val="22"/>
        </w:rPr>
        <w:t>rules.</w:t>
      </w:r>
      <w:r>
        <w:rPr>
          <w:sz w:val="22"/>
        </w:rPr>
        <w:tab/>
      </w:r>
      <w:hyperlink w:history="true" w:anchor="_bookmark156">
        <w:r>
          <w:rPr>
            <w:color w:val="8B2C18"/>
            <w:spacing w:val="-5"/>
            <w:sz w:val="22"/>
          </w:rPr>
          <w:t>88</w:t>
        </w:r>
      </w:hyperlink>
    </w:p>
    <w:p>
      <w:pPr>
        <w:pStyle w:val="ListParagraph"/>
        <w:numPr>
          <w:ilvl w:val="1"/>
          <w:numId w:val="9"/>
        </w:numPr>
        <w:tabs>
          <w:tab w:pos="970" w:val="left" w:leader="none"/>
          <w:tab w:pos="8427" w:val="left" w:leader="dot"/>
        </w:tabs>
        <w:spacing w:line="240" w:lineRule="auto" w:before="18" w:after="0"/>
        <w:ind w:left="970" w:right="0" w:hanging="501"/>
        <w:jc w:val="left"/>
        <w:rPr>
          <w:sz w:val="22"/>
        </w:rPr>
      </w:pPr>
      <w:r>
        <w:rPr>
          <w:sz w:val="22"/>
        </w:rPr>
        <w:t>RIPPER</w:t>
      </w:r>
      <w:r>
        <w:rPr>
          <w:spacing w:val="-10"/>
          <w:sz w:val="22"/>
        </w:rPr>
        <w:t> </w:t>
      </w:r>
      <w:r>
        <w:rPr>
          <w:sz w:val="22"/>
        </w:rPr>
        <w:t>classification</w:t>
      </w:r>
      <w:r>
        <w:rPr>
          <w:spacing w:val="-9"/>
          <w:sz w:val="22"/>
        </w:rPr>
        <w:t> </w:t>
      </w:r>
      <w:r>
        <w:rPr>
          <w:sz w:val="22"/>
        </w:rPr>
        <w:t>rules</w:t>
      </w:r>
      <w:r>
        <w:rPr>
          <w:spacing w:val="-9"/>
          <w:sz w:val="22"/>
        </w:rPr>
        <w:t> </w:t>
      </w:r>
      <w:r>
        <w:rPr>
          <w:sz w:val="22"/>
        </w:rPr>
        <w:t>for</w:t>
      </w:r>
      <w:r>
        <w:rPr>
          <w:spacing w:val="-10"/>
          <w:sz w:val="22"/>
        </w:rPr>
        <w:t> </w:t>
      </w:r>
      <w:r>
        <w:rPr>
          <w:sz w:val="22"/>
        </w:rPr>
        <w:t>both</w:t>
      </w:r>
      <w:r>
        <w:rPr>
          <w:spacing w:val="-9"/>
          <w:sz w:val="22"/>
        </w:rPr>
        <w:t> </w:t>
      </w:r>
      <w:r>
        <w:rPr>
          <w:spacing w:val="-2"/>
          <w:sz w:val="22"/>
        </w:rPr>
        <w:t>regions.</w:t>
      </w:r>
      <w:r>
        <w:rPr>
          <w:sz w:val="22"/>
        </w:rPr>
        <w:tab/>
      </w:r>
      <w:hyperlink w:history="true" w:anchor="_bookmark159">
        <w:r>
          <w:rPr>
            <w:color w:val="8B2C18"/>
            <w:spacing w:val="-5"/>
            <w:sz w:val="22"/>
          </w:rPr>
          <w:t>89</w:t>
        </w:r>
      </w:hyperlink>
    </w:p>
    <w:p>
      <w:pPr>
        <w:pStyle w:val="ListParagraph"/>
        <w:numPr>
          <w:ilvl w:val="1"/>
          <w:numId w:val="10"/>
        </w:numPr>
        <w:tabs>
          <w:tab w:pos="970" w:val="left" w:leader="none"/>
          <w:tab w:pos="8427" w:val="left" w:leader="dot"/>
        </w:tabs>
        <w:spacing w:line="240" w:lineRule="auto" w:before="217" w:after="0"/>
        <w:ind w:left="970" w:right="0" w:hanging="501"/>
        <w:jc w:val="left"/>
        <w:rPr>
          <w:sz w:val="22"/>
        </w:rPr>
      </w:pPr>
      <w:r>
        <w:rPr>
          <w:sz w:val="22"/>
        </w:rPr>
        <w:t>Descriptive</w:t>
      </w:r>
      <w:r>
        <w:rPr>
          <w:spacing w:val="-14"/>
          <w:sz w:val="22"/>
        </w:rPr>
        <w:t> </w:t>
      </w:r>
      <w:r>
        <w:rPr>
          <w:sz w:val="22"/>
        </w:rPr>
        <w:t>statistics:</w:t>
      </w:r>
      <w:r>
        <w:rPr>
          <w:spacing w:val="-3"/>
          <w:sz w:val="22"/>
        </w:rPr>
        <w:t> </w:t>
      </w:r>
      <w:r>
        <w:rPr>
          <w:sz w:val="22"/>
        </w:rPr>
        <w:t>RDD</w:t>
      </w:r>
      <w:r>
        <w:rPr>
          <w:spacing w:val="-13"/>
          <w:sz w:val="22"/>
        </w:rPr>
        <w:t> </w:t>
      </w:r>
      <w:r>
        <w:rPr>
          <w:sz w:val="22"/>
        </w:rPr>
        <w:t>(1934–2022)</w:t>
      </w:r>
      <w:r>
        <w:rPr>
          <w:spacing w:val="-13"/>
          <w:sz w:val="22"/>
        </w:rPr>
        <w:t> </w:t>
      </w:r>
      <w:r>
        <w:rPr>
          <w:sz w:val="22"/>
        </w:rPr>
        <w:t>and</w:t>
      </w:r>
      <w:r>
        <w:rPr>
          <w:spacing w:val="-14"/>
          <w:sz w:val="22"/>
        </w:rPr>
        <w:t> </w:t>
      </w:r>
      <w:r>
        <w:rPr>
          <w:sz w:val="22"/>
        </w:rPr>
        <w:t>RVV</w:t>
      </w:r>
      <w:r>
        <w:rPr>
          <w:spacing w:val="-13"/>
          <w:sz w:val="22"/>
        </w:rPr>
        <w:t> </w:t>
      </w:r>
      <w:r>
        <w:rPr>
          <w:sz w:val="22"/>
        </w:rPr>
        <w:t>(1942–</w:t>
      </w:r>
      <w:r>
        <w:rPr>
          <w:spacing w:val="-2"/>
          <w:sz w:val="22"/>
        </w:rPr>
        <w:t>2021).</w:t>
      </w:r>
      <w:r>
        <w:rPr>
          <w:sz w:val="22"/>
        </w:rPr>
        <w:tab/>
      </w:r>
      <w:hyperlink w:history="true" w:anchor="_bookmark165">
        <w:r>
          <w:rPr>
            <w:color w:val="8B2C18"/>
            <w:spacing w:val="-5"/>
            <w:sz w:val="22"/>
          </w:rPr>
          <w:t>91</w:t>
        </w:r>
      </w:hyperlink>
    </w:p>
    <w:p>
      <w:pPr>
        <w:pStyle w:val="ListParagraph"/>
        <w:numPr>
          <w:ilvl w:val="1"/>
          <w:numId w:val="10"/>
        </w:numPr>
        <w:tabs>
          <w:tab w:pos="970" w:val="left" w:leader="none"/>
          <w:tab w:pos="8427" w:val="left" w:leader="dot"/>
        </w:tabs>
        <w:spacing w:line="240" w:lineRule="auto" w:before="18" w:after="0"/>
        <w:ind w:left="970" w:right="0" w:hanging="501"/>
        <w:jc w:val="left"/>
        <w:rPr>
          <w:sz w:val="22"/>
        </w:rPr>
      </w:pPr>
      <w:r>
        <w:rPr>
          <w:sz w:val="22"/>
        </w:rPr>
        <w:t>Decade-level</w:t>
      </w:r>
      <w:r>
        <w:rPr>
          <w:spacing w:val="-11"/>
          <w:sz w:val="22"/>
        </w:rPr>
        <w:t> </w:t>
      </w:r>
      <w:r>
        <w:rPr>
          <w:sz w:val="22"/>
        </w:rPr>
        <w:t>production</w:t>
      </w:r>
      <w:r>
        <w:rPr>
          <w:spacing w:val="-11"/>
          <w:sz w:val="22"/>
        </w:rPr>
        <w:t> </w:t>
      </w:r>
      <w:r>
        <w:rPr>
          <w:sz w:val="22"/>
        </w:rPr>
        <w:t>averages</w:t>
      </w:r>
      <w:r>
        <w:rPr>
          <w:spacing w:val="-11"/>
          <w:sz w:val="22"/>
        </w:rPr>
        <w:t> </w:t>
      </w:r>
      <w:r>
        <w:rPr>
          <w:sz w:val="22"/>
        </w:rPr>
        <w:t>for</w:t>
      </w:r>
      <w:r>
        <w:rPr>
          <w:spacing w:val="-10"/>
          <w:sz w:val="22"/>
        </w:rPr>
        <w:t> </w:t>
      </w:r>
      <w:r>
        <w:rPr>
          <w:sz w:val="22"/>
        </w:rPr>
        <w:t>RDD</w:t>
      </w:r>
      <w:r>
        <w:rPr>
          <w:spacing w:val="-11"/>
          <w:sz w:val="22"/>
        </w:rPr>
        <w:t> </w:t>
      </w:r>
      <w:r>
        <w:rPr>
          <w:sz w:val="22"/>
        </w:rPr>
        <w:t>and</w:t>
      </w:r>
      <w:r>
        <w:rPr>
          <w:spacing w:val="-11"/>
          <w:sz w:val="22"/>
        </w:rPr>
        <w:t> </w:t>
      </w:r>
      <w:r>
        <w:rPr>
          <w:spacing w:val="-5"/>
          <w:sz w:val="22"/>
        </w:rPr>
        <w:t>RVV</w:t>
      </w:r>
      <w:r>
        <w:rPr>
          <w:sz w:val="22"/>
        </w:rPr>
        <w:tab/>
      </w:r>
      <w:hyperlink w:history="true" w:anchor="_bookmark167">
        <w:r>
          <w:rPr>
            <w:color w:val="8B2C18"/>
            <w:spacing w:val="-5"/>
            <w:sz w:val="22"/>
          </w:rPr>
          <w:t>92</w:t>
        </w:r>
      </w:hyperlink>
    </w:p>
    <w:p>
      <w:pPr>
        <w:pStyle w:val="ListParagraph"/>
        <w:numPr>
          <w:ilvl w:val="1"/>
          <w:numId w:val="10"/>
        </w:numPr>
        <w:tabs>
          <w:tab w:pos="970" w:val="left" w:leader="none"/>
          <w:tab w:pos="8427" w:val="left" w:leader="dot"/>
        </w:tabs>
        <w:spacing w:line="240" w:lineRule="auto" w:before="18" w:after="0"/>
        <w:ind w:left="970" w:right="0" w:hanging="501"/>
        <w:jc w:val="left"/>
        <w:rPr>
          <w:sz w:val="22"/>
        </w:rPr>
      </w:pPr>
      <w:r>
        <w:rPr>
          <w:sz w:val="22"/>
        </w:rPr>
        <w:t>Phenological</w:t>
      </w:r>
      <w:r>
        <w:rPr>
          <w:spacing w:val="-11"/>
          <w:sz w:val="22"/>
        </w:rPr>
        <w:t> </w:t>
      </w:r>
      <w:r>
        <w:rPr>
          <w:sz w:val="22"/>
        </w:rPr>
        <w:t>timing: mean</w:t>
      </w:r>
      <w:r>
        <w:rPr>
          <w:spacing w:val="-10"/>
          <w:sz w:val="22"/>
        </w:rPr>
        <w:t> </w:t>
      </w:r>
      <w:r>
        <w:rPr>
          <w:sz w:val="22"/>
        </w:rPr>
        <w:t>dates,</w:t>
      </w:r>
      <w:r>
        <w:rPr>
          <w:spacing w:val="-10"/>
          <w:sz w:val="22"/>
        </w:rPr>
        <w:t> </w:t>
      </w:r>
      <w:r>
        <w:rPr>
          <w:sz w:val="22"/>
        </w:rPr>
        <w:t>variability,</w:t>
      </w:r>
      <w:r>
        <w:rPr>
          <w:spacing w:val="-11"/>
          <w:sz w:val="22"/>
        </w:rPr>
        <w:t> </w:t>
      </w:r>
      <w:r>
        <w:rPr>
          <w:sz w:val="22"/>
        </w:rPr>
        <w:t>and</w:t>
      </w:r>
      <w:r>
        <w:rPr>
          <w:spacing w:val="-10"/>
          <w:sz w:val="22"/>
        </w:rPr>
        <w:t> </w:t>
      </w:r>
      <w:r>
        <w:rPr>
          <w:sz w:val="22"/>
        </w:rPr>
        <w:t>decadal</w:t>
      </w:r>
      <w:r>
        <w:rPr>
          <w:spacing w:val="-11"/>
          <w:sz w:val="22"/>
        </w:rPr>
        <w:t> </w:t>
      </w:r>
      <w:r>
        <w:rPr>
          <w:spacing w:val="-2"/>
          <w:sz w:val="22"/>
        </w:rPr>
        <w:t>trends.</w:t>
      </w:r>
      <w:r>
        <w:rPr>
          <w:sz w:val="22"/>
        </w:rPr>
        <w:tab/>
      </w:r>
      <w:hyperlink w:history="true" w:anchor="_bookmark169">
        <w:r>
          <w:rPr>
            <w:color w:val="8B2C18"/>
            <w:spacing w:val="-5"/>
            <w:sz w:val="22"/>
          </w:rPr>
          <w:t>93</w:t>
        </w:r>
      </w:hyperlink>
    </w:p>
    <w:p>
      <w:pPr>
        <w:pStyle w:val="ListParagraph"/>
        <w:numPr>
          <w:ilvl w:val="1"/>
          <w:numId w:val="10"/>
        </w:numPr>
        <w:tabs>
          <w:tab w:pos="970" w:val="left" w:leader="none"/>
          <w:tab w:pos="8427" w:val="left" w:leader="dot"/>
        </w:tabs>
        <w:spacing w:line="240" w:lineRule="auto" w:before="18" w:after="0"/>
        <w:ind w:left="970" w:right="0" w:hanging="501"/>
        <w:jc w:val="left"/>
        <w:rPr>
          <w:sz w:val="22"/>
        </w:rPr>
      </w:pPr>
      <w:r>
        <w:rPr>
          <w:sz w:val="22"/>
        </w:rPr>
        <w:t>Production</w:t>
      </w:r>
      <w:r>
        <w:rPr>
          <w:spacing w:val="-6"/>
          <w:sz w:val="22"/>
        </w:rPr>
        <w:t> </w:t>
      </w:r>
      <w:r>
        <w:rPr>
          <w:sz w:val="22"/>
        </w:rPr>
        <w:t>statistics</w:t>
      </w:r>
      <w:r>
        <w:rPr>
          <w:spacing w:val="-6"/>
          <w:sz w:val="22"/>
        </w:rPr>
        <w:t> </w:t>
      </w:r>
      <w:r>
        <w:rPr>
          <w:sz w:val="22"/>
        </w:rPr>
        <w:t>by</w:t>
      </w:r>
      <w:r>
        <w:rPr>
          <w:spacing w:val="-5"/>
          <w:sz w:val="22"/>
        </w:rPr>
        <w:t> </w:t>
      </w:r>
      <w:r>
        <w:rPr>
          <w:sz w:val="22"/>
        </w:rPr>
        <w:t>era</w:t>
      </w:r>
      <w:r>
        <w:rPr>
          <w:spacing w:val="-6"/>
          <w:sz w:val="22"/>
        </w:rPr>
        <w:t> </w:t>
      </w:r>
      <w:r>
        <w:rPr>
          <w:sz w:val="22"/>
        </w:rPr>
        <w:t>for</w:t>
      </w:r>
      <w:r>
        <w:rPr>
          <w:spacing w:val="-6"/>
          <w:sz w:val="22"/>
        </w:rPr>
        <w:t> </w:t>
      </w:r>
      <w:r>
        <w:rPr>
          <w:sz w:val="22"/>
        </w:rPr>
        <w:t>RDD</w:t>
      </w:r>
      <w:r>
        <w:rPr>
          <w:spacing w:val="-5"/>
          <w:sz w:val="22"/>
        </w:rPr>
        <w:t> </w:t>
      </w:r>
      <w:r>
        <w:rPr>
          <w:sz w:val="22"/>
        </w:rPr>
        <w:t>and</w:t>
      </w:r>
      <w:r>
        <w:rPr>
          <w:spacing w:val="-6"/>
          <w:sz w:val="22"/>
        </w:rPr>
        <w:t> </w:t>
      </w:r>
      <w:r>
        <w:rPr>
          <w:spacing w:val="-5"/>
          <w:sz w:val="22"/>
        </w:rPr>
        <w:t>RVV</w:t>
      </w:r>
      <w:r>
        <w:rPr>
          <w:sz w:val="22"/>
        </w:rPr>
        <w:tab/>
      </w:r>
      <w:hyperlink w:history="true" w:anchor="_bookmark171">
        <w:r>
          <w:rPr>
            <w:color w:val="8B2C18"/>
            <w:spacing w:val="-5"/>
            <w:sz w:val="22"/>
          </w:rPr>
          <w:t>94</w:t>
        </w:r>
      </w:hyperlink>
    </w:p>
    <w:p>
      <w:pPr>
        <w:pStyle w:val="ListParagraph"/>
        <w:numPr>
          <w:ilvl w:val="1"/>
          <w:numId w:val="10"/>
        </w:numPr>
        <w:tabs>
          <w:tab w:pos="970" w:val="left" w:leader="none"/>
          <w:tab w:pos="8428" w:val="left" w:leader="dot"/>
        </w:tabs>
        <w:spacing w:line="240" w:lineRule="auto" w:before="18" w:after="0"/>
        <w:ind w:left="970" w:right="0" w:hanging="501"/>
        <w:jc w:val="left"/>
        <w:rPr>
          <w:sz w:val="22"/>
        </w:rPr>
      </w:pPr>
      <w:r>
        <w:rPr>
          <w:sz w:val="22"/>
        </w:rPr>
        <w:t>Feature</w:t>
      </w:r>
      <w:r>
        <w:rPr>
          <w:spacing w:val="-6"/>
          <w:sz w:val="22"/>
        </w:rPr>
        <w:t> </w:t>
      </w:r>
      <w:r>
        <w:rPr>
          <w:sz w:val="22"/>
        </w:rPr>
        <w:t>correlations</w:t>
      </w:r>
      <w:r>
        <w:rPr>
          <w:spacing w:val="-6"/>
          <w:sz w:val="22"/>
        </w:rPr>
        <w:t> </w:t>
      </w:r>
      <w:r>
        <w:rPr>
          <w:sz w:val="22"/>
        </w:rPr>
        <w:t>with</w:t>
      </w:r>
      <w:r>
        <w:rPr>
          <w:spacing w:val="-5"/>
          <w:sz w:val="22"/>
        </w:rPr>
        <w:t> </w:t>
      </w:r>
      <w:r>
        <w:rPr>
          <w:sz w:val="22"/>
        </w:rPr>
        <w:t>detrended</w:t>
      </w:r>
      <w:r>
        <w:rPr>
          <w:spacing w:val="-6"/>
          <w:sz w:val="22"/>
        </w:rPr>
        <w:t> </w:t>
      </w:r>
      <w:r>
        <w:rPr>
          <w:sz w:val="22"/>
        </w:rPr>
        <w:t>production</w:t>
      </w:r>
      <w:r>
        <w:rPr>
          <w:spacing w:val="-5"/>
          <w:sz w:val="22"/>
        </w:rPr>
        <w:t> </w:t>
      </w:r>
      <w:r>
        <w:rPr>
          <w:sz w:val="22"/>
        </w:rPr>
        <w:t>( </w:t>
      </w:r>
      <w:r>
        <w:rPr>
          <w:i/>
          <w:sz w:val="22"/>
        </w:rPr>
        <w:t>r</w:t>
      </w:r>
      <w:r>
        <w:rPr>
          <w:i/>
          <w:spacing w:val="4"/>
          <w:sz w:val="22"/>
        </w:rPr>
        <w:t> </w:t>
      </w:r>
      <w:r>
        <w:rPr>
          <w:sz w:val="22"/>
        </w:rPr>
        <w:t>)</w:t>
      </w:r>
      <w:r>
        <w:rPr>
          <w:spacing w:val="-6"/>
          <w:sz w:val="22"/>
        </w:rPr>
        <w:t> </w:t>
      </w:r>
      <w:r>
        <w:rPr>
          <w:sz w:val="22"/>
        </w:rPr>
        <w:t>for</w:t>
      </w:r>
      <w:r>
        <w:rPr>
          <w:spacing w:val="-5"/>
          <w:sz w:val="22"/>
        </w:rPr>
        <w:t> </w:t>
      </w:r>
      <w:r>
        <w:rPr>
          <w:sz w:val="22"/>
        </w:rPr>
        <w:t>RDD</w:t>
      </w:r>
      <w:r>
        <w:rPr>
          <w:spacing w:val="-6"/>
          <w:sz w:val="22"/>
        </w:rPr>
        <w:t> </w:t>
      </w:r>
      <w:r>
        <w:rPr>
          <w:sz w:val="22"/>
        </w:rPr>
        <w:t>and</w:t>
      </w:r>
      <w:r>
        <w:rPr>
          <w:spacing w:val="-5"/>
          <w:sz w:val="22"/>
        </w:rPr>
        <w:t> RVV</w:t>
      </w:r>
      <w:r>
        <w:rPr>
          <w:sz w:val="22"/>
        </w:rPr>
        <w:tab/>
      </w:r>
      <w:hyperlink w:history="true" w:anchor="_bookmark174">
        <w:r>
          <w:rPr>
            <w:color w:val="8B2C18"/>
            <w:spacing w:val="-5"/>
            <w:sz w:val="22"/>
          </w:rPr>
          <w:t>95</w:t>
        </w:r>
      </w:hyperlink>
    </w:p>
    <w:p>
      <w:pPr>
        <w:pStyle w:val="ListParagraph"/>
        <w:numPr>
          <w:ilvl w:val="1"/>
          <w:numId w:val="10"/>
        </w:numPr>
        <w:tabs>
          <w:tab w:pos="970" w:val="left" w:leader="none"/>
          <w:tab w:pos="8427" w:val="left" w:leader="dot"/>
        </w:tabs>
        <w:spacing w:line="240" w:lineRule="auto" w:before="18" w:after="0"/>
        <w:ind w:left="970" w:right="0" w:hanging="501"/>
        <w:jc w:val="left"/>
        <w:rPr>
          <w:sz w:val="22"/>
        </w:rPr>
      </w:pPr>
      <w:r>
        <w:rPr>
          <w:sz w:val="22"/>
        </w:rPr>
        <w:t>Feature</w:t>
      </w:r>
      <w:r>
        <w:rPr>
          <w:spacing w:val="-6"/>
          <w:sz w:val="22"/>
        </w:rPr>
        <w:t> </w:t>
      </w:r>
      <w:r>
        <w:rPr>
          <w:sz w:val="22"/>
        </w:rPr>
        <w:t>drift:</w:t>
      </w:r>
      <w:r>
        <w:rPr>
          <w:spacing w:val="6"/>
          <w:sz w:val="22"/>
        </w:rPr>
        <w:t> </w:t>
      </w:r>
      <w:r>
        <w:rPr>
          <w:sz w:val="22"/>
        </w:rPr>
        <w:t>correlation</w:t>
      </w:r>
      <w:r>
        <w:rPr>
          <w:spacing w:val="-6"/>
          <w:sz w:val="22"/>
        </w:rPr>
        <w:t> </w:t>
      </w:r>
      <w:r>
        <w:rPr>
          <w:sz w:val="22"/>
        </w:rPr>
        <w:t>with</w:t>
      </w:r>
      <w:r>
        <w:rPr>
          <w:spacing w:val="-6"/>
          <w:sz w:val="22"/>
        </w:rPr>
        <w:t> </w:t>
      </w:r>
      <w:r>
        <w:rPr>
          <w:sz w:val="22"/>
        </w:rPr>
        <w:t>year</w:t>
      </w:r>
      <w:r>
        <w:rPr>
          <w:spacing w:val="-6"/>
          <w:sz w:val="22"/>
        </w:rPr>
        <w:t> </w:t>
      </w:r>
      <w:r>
        <w:rPr>
          <w:sz w:val="22"/>
        </w:rPr>
        <w:t>index</w:t>
      </w:r>
      <w:r>
        <w:rPr>
          <w:spacing w:val="-6"/>
          <w:sz w:val="22"/>
        </w:rPr>
        <w:t> </w:t>
      </w:r>
      <w:r>
        <w:rPr>
          <w:sz w:val="22"/>
        </w:rPr>
        <w:t>as</w:t>
      </w:r>
      <w:r>
        <w:rPr>
          <w:spacing w:val="-5"/>
          <w:sz w:val="22"/>
        </w:rPr>
        <w:t> </w:t>
      </w:r>
      <w:r>
        <w:rPr>
          <w:sz w:val="22"/>
        </w:rPr>
        <w:t>proxy</w:t>
      </w:r>
      <w:r>
        <w:rPr>
          <w:spacing w:val="-6"/>
          <w:sz w:val="22"/>
        </w:rPr>
        <w:t> </w:t>
      </w:r>
      <w:r>
        <w:rPr>
          <w:sz w:val="22"/>
        </w:rPr>
        <w:t>for</w:t>
      </w:r>
      <w:r>
        <w:rPr>
          <w:spacing w:val="-6"/>
          <w:sz w:val="22"/>
        </w:rPr>
        <w:t> </w:t>
      </w:r>
      <w:r>
        <w:rPr>
          <w:sz w:val="22"/>
        </w:rPr>
        <w:t>era</w:t>
      </w:r>
      <w:r>
        <w:rPr>
          <w:spacing w:val="-6"/>
          <w:sz w:val="22"/>
        </w:rPr>
        <w:t> </w:t>
      </w:r>
      <w:r>
        <w:rPr>
          <w:spacing w:val="-2"/>
          <w:sz w:val="22"/>
        </w:rPr>
        <w:t>confound.</w:t>
      </w:r>
      <w:r>
        <w:rPr>
          <w:sz w:val="22"/>
        </w:rPr>
        <w:tab/>
      </w:r>
      <w:hyperlink w:history="true" w:anchor="_bookmark175">
        <w:r>
          <w:rPr>
            <w:color w:val="8B2C18"/>
            <w:spacing w:val="-5"/>
            <w:sz w:val="22"/>
          </w:rPr>
          <w:t>96</w:t>
        </w:r>
      </w:hyperlink>
    </w:p>
    <w:p>
      <w:pPr>
        <w:pStyle w:val="ListParagraph"/>
        <w:numPr>
          <w:ilvl w:val="1"/>
          <w:numId w:val="10"/>
        </w:numPr>
        <w:tabs>
          <w:tab w:pos="970" w:val="left" w:leader="none"/>
          <w:tab w:pos="8427" w:val="left" w:leader="dot"/>
        </w:tabs>
        <w:spacing w:line="240" w:lineRule="auto" w:before="18" w:after="0"/>
        <w:ind w:left="970" w:right="0" w:hanging="501"/>
        <w:jc w:val="left"/>
        <w:rPr>
          <w:sz w:val="22"/>
        </w:rPr>
      </w:pPr>
      <w:r>
        <w:rPr>
          <w:sz w:val="22"/>
        </w:rPr>
        <w:t>Complete</w:t>
      </w:r>
      <w:r>
        <w:rPr>
          <w:spacing w:val="-8"/>
          <w:sz w:val="22"/>
        </w:rPr>
        <w:t> </w:t>
      </w:r>
      <w:r>
        <w:rPr>
          <w:sz w:val="22"/>
        </w:rPr>
        <w:t>data</w:t>
      </w:r>
      <w:r>
        <w:rPr>
          <w:spacing w:val="-8"/>
          <w:sz w:val="22"/>
        </w:rPr>
        <w:t> </w:t>
      </w:r>
      <w:r>
        <w:rPr>
          <w:sz w:val="22"/>
        </w:rPr>
        <w:t>pipeline</w:t>
      </w:r>
      <w:r>
        <w:rPr>
          <w:spacing w:val="-8"/>
          <w:sz w:val="22"/>
        </w:rPr>
        <w:t> </w:t>
      </w:r>
      <w:r>
        <w:rPr>
          <w:sz w:val="22"/>
        </w:rPr>
        <w:t>from</w:t>
      </w:r>
      <w:r>
        <w:rPr>
          <w:spacing w:val="-8"/>
          <w:sz w:val="22"/>
        </w:rPr>
        <w:t> </w:t>
      </w:r>
      <w:r>
        <w:rPr>
          <w:sz w:val="22"/>
        </w:rPr>
        <w:t>raw</w:t>
      </w:r>
      <w:r>
        <w:rPr>
          <w:spacing w:val="-8"/>
          <w:sz w:val="22"/>
        </w:rPr>
        <w:t> </w:t>
      </w:r>
      <w:r>
        <w:rPr>
          <w:sz w:val="22"/>
        </w:rPr>
        <w:t>sources</w:t>
      </w:r>
      <w:r>
        <w:rPr>
          <w:spacing w:val="-8"/>
          <w:sz w:val="22"/>
        </w:rPr>
        <w:t> </w:t>
      </w:r>
      <w:r>
        <w:rPr>
          <w:sz w:val="22"/>
        </w:rPr>
        <w:t>to</w:t>
      </w:r>
      <w:r>
        <w:rPr>
          <w:spacing w:val="-8"/>
          <w:sz w:val="22"/>
        </w:rPr>
        <w:t> </w:t>
      </w:r>
      <w:r>
        <w:rPr>
          <w:sz w:val="22"/>
        </w:rPr>
        <w:t>final</w:t>
      </w:r>
      <w:r>
        <w:rPr>
          <w:spacing w:val="-8"/>
          <w:sz w:val="22"/>
        </w:rPr>
        <w:t> </w:t>
      </w:r>
      <w:r>
        <w:rPr>
          <w:spacing w:val="-2"/>
          <w:sz w:val="22"/>
        </w:rPr>
        <w:t>outputs.</w:t>
      </w:r>
      <w:r>
        <w:rPr>
          <w:sz w:val="22"/>
        </w:rPr>
        <w:tab/>
      </w:r>
      <w:hyperlink w:history="true" w:anchor="_bookmark178">
        <w:r>
          <w:rPr>
            <w:color w:val="8B2C18"/>
            <w:spacing w:val="-5"/>
            <w:sz w:val="22"/>
          </w:rPr>
          <w:t>98</w:t>
        </w:r>
      </w:hyperlink>
    </w:p>
    <w:p>
      <w:pPr>
        <w:pStyle w:val="ListParagraph"/>
        <w:numPr>
          <w:ilvl w:val="1"/>
          <w:numId w:val="10"/>
        </w:numPr>
        <w:tabs>
          <w:tab w:pos="970" w:val="left" w:leader="none"/>
          <w:tab w:pos="8427" w:val="left" w:leader="dot"/>
        </w:tabs>
        <w:spacing w:line="240" w:lineRule="auto" w:before="18" w:after="0"/>
        <w:ind w:left="970" w:right="0" w:hanging="501"/>
        <w:jc w:val="left"/>
        <w:rPr>
          <w:sz w:val="22"/>
        </w:rPr>
      </w:pPr>
      <w:r>
        <w:rPr>
          <w:sz w:val="22"/>
        </w:rPr>
        <w:t>Fixed</w:t>
      </w:r>
      <w:r>
        <w:rPr>
          <w:spacing w:val="-11"/>
          <w:sz w:val="22"/>
        </w:rPr>
        <w:t> </w:t>
      </w:r>
      <w:r>
        <w:rPr>
          <w:sz w:val="22"/>
        </w:rPr>
        <w:t>configuration</w:t>
      </w:r>
      <w:r>
        <w:rPr>
          <w:spacing w:val="-10"/>
          <w:sz w:val="22"/>
        </w:rPr>
        <w:t> </w:t>
      </w:r>
      <w:r>
        <w:rPr>
          <w:sz w:val="22"/>
        </w:rPr>
        <w:t>parameters</w:t>
      </w:r>
      <w:r>
        <w:rPr>
          <w:spacing w:val="-11"/>
          <w:sz w:val="22"/>
        </w:rPr>
        <w:t> </w:t>
      </w:r>
      <w:r>
        <w:rPr>
          <w:sz w:val="22"/>
        </w:rPr>
        <w:t>for</w:t>
      </w:r>
      <w:r>
        <w:rPr>
          <w:spacing w:val="-10"/>
          <w:sz w:val="22"/>
        </w:rPr>
        <w:t> </w:t>
      </w:r>
      <w:r>
        <w:rPr>
          <w:sz w:val="22"/>
        </w:rPr>
        <w:t>CarenR</w:t>
      </w:r>
      <w:r>
        <w:rPr>
          <w:spacing w:val="-11"/>
          <w:sz w:val="22"/>
        </w:rPr>
        <w:t> </w:t>
      </w:r>
      <w:r>
        <w:rPr>
          <w:sz w:val="22"/>
        </w:rPr>
        <w:t>and</w:t>
      </w:r>
      <w:r>
        <w:rPr>
          <w:spacing w:val="-10"/>
          <w:sz w:val="22"/>
        </w:rPr>
        <w:t> </w:t>
      </w:r>
      <w:r>
        <w:rPr>
          <w:sz w:val="22"/>
        </w:rPr>
        <w:t>the</w:t>
      </w:r>
      <w:r>
        <w:rPr>
          <w:spacing w:val="-11"/>
          <w:sz w:val="22"/>
        </w:rPr>
        <w:t> </w:t>
      </w:r>
      <w:r>
        <w:rPr>
          <w:sz w:val="22"/>
        </w:rPr>
        <w:t>walk-forward</w:t>
      </w:r>
      <w:r>
        <w:rPr>
          <w:spacing w:val="-10"/>
          <w:sz w:val="22"/>
        </w:rPr>
        <w:t> </w:t>
      </w:r>
      <w:r>
        <w:rPr>
          <w:spacing w:val="-2"/>
          <w:sz w:val="22"/>
        </w:rPr>
        <w:t>protocol.</w:t>
      </w:r>
      <w:r>
        <w:rPr>
          <w:sz w:val="22"/>
        </w:rPr>
        <w:tab/>
      </w:r>
      <w:hyperlink w:history="true" w:anchor="_bookmark179">
        <w:r>
          <w:rPr>
            <w:color w:val="8B2C18"/>
            <w:spacing w:val="-5"/>
            <w:sz w:val="22"/>
          </w:rPr>
          <w:t>98</w:t>
        </w:r>
      </w:hyperlink>
    </w:p>
    <w:p>
      <w:pPr>
        <w:pStyle w:val="ListParagraph"/>
        <w:numPr>
          <w:ilvl w:val="1"/>
          <w:numId w:val="11"/>
        </w:numPr>
        <w:tabs>
          <w:tab w:pos="963" w:val="left" w:leader="none"/>
          <w:tab w:pos="8427" w:val="left" w:leader="dot"/>
        </w:tabs>
        <w:spacing w:line="229" w:lineRule="exact" w:before="218" w:after="0"/>
        <w:ind w:left="963" w:right="0" w:hanging="494"/>
        <w:jc w:val="left"/>
        <w:rPr>
          <w:sz w:val="22"/>
        </w:rPr>
      </w:pPr>
      <w:r>
        <w:rPr>
          <w:sz w:val="22"/>
        </w:rPr>
        <w:t>Temperature</w:t>
      </w:r>
      <w:r>
        <w:rPr>
          <w:spacing w:val="-14"/>
          <w:sz w:val="22"/>
        </w:rPr>
        <w:t> </w:t>
      </w:r>
      <w:r>
        <w:rPr>
          <w:sz w:val="22"/>
        </w:rPr>
        <w:t>features</w:t>
      </w:r>
      <w:r>
        <w:rPr>
          <w:spacing w:val="-13"/>
          <w:sz w:val="22"/>
        </w:rPr>
        <w:t> </w:t>
      </w:r>
      <w:r>
        <w:rPr>
          <w:sz w:val="22"/>
        </w:rPr>
        <w:t>(13</w:t>
      </w:r>
      <w:r>
        <w:rPr>
          <w:spacing w:val="-14"/>
          <w:sz w:val="22"/>
        </w:rPr>
        <w:t> </w:t>
      </w:r>
      <w:r>
        <w:rPr>
          <w:spacing w:val="-2"/>
          <w:sz w:val="22"/>
        </w:rPr>
        <w:t>features).</w:t>
      </w:r>
      <w:r>
        <w:rPr>
          <w:sz w:val="22"/>
        </w:rPr>
        <w:tab/>
      </w:r>
      <w:hyperlink w:history="true" w:anchor="_bookmark182">
        <w:r>
          <w:rPr>
            <w:color w:val="8B2C18"/>
            <w:spacing w:val="-5"/>
            <w:sz w:val="22"/>
          </w:rPr>
          <w:t>99</w:t>
        </w:r>
      </w:hyperlink>
    </w:p>
    <w:p>
      <w:pPr>
        <w:pStyle w:val="ListParagraph"/>
        <w:numPr>
          <w:ilvl w:val="1"/>
          <w:numId w:val="11"/>
        </w:numPr>
        <w:tabs>
          <w:tab w:pos="970" w:val="left" w:leader="none"/>
          <w:tab w:pos="8318" w:val="left" w:leader="dot"/>
        </w:tabs>
        <w:spacing w:line="326" w:lineRule="exact" w:before="0" w:after="0"/>
        <w:ind w:left="970" w:right="0" w:hanging="501"/>
        <w:jc w:val="left"/>
        <w:rPr>
          <w:sz w:val="22"/>
        </w:rPr>
      </w:pPr>
      <w:r>
        <w:rPr>
          <w:spacing w:val="-2"/>
          <w:sz w:val="22"/>
        </w:rPr>
        <w:t>Cold</w:t>
      </w:r>
      <w:r>
        <w:rPr>
          <w:spacing w:val="-12"/>
          <w:sz w:val="22"/>
        </w:rPr>
        <w:t> </w:t>
      </w:r>
      <w:r>
        <w:rPr>
          <w:spacing w:val="-2"/>
          <w:sz w:val="22"/>
        </w:rPr>
        <w:t>day</w:t>
      </w:r>
      <w:r>
        <w:rPr>
          <w:spacing w:val="-12"/>
          <w:sz w:val="22"/>
        </w:rPr>
        <w:t> </w:t>
      </w:r>
      <w:r>
        <w:rPr>
          <w:spacing w:val="-2"/>
          <w:sz w:val="22"/>
        </w:rPr>
        <w:t>(Tmed</w:t>
      </w:r>
      <w:r>
        <w:rPr>
          <w:spacing w:val="-7"/>
          <w:sz w:val="22"/>
        </w:rPr>
        <w:t> </w:t>
      </w:r>
      <w:r>
        <w:rPr>
          <w:rFonts w:ascii="Meiryo UI" w:hAnsi="Meiryo UI"/>
          <w:i/>
          <w:spacing w:val="-2"/>
          <w:sz w:val="22"/>
        </w:rPr>
        <w:t>&lt;</w:t>
      </w:r>
      <w:r>
        <w:rPr>
          <w:rFonts w:ascii="Meiryo UI" w:hAnsi="Meiryo UI"/>
          <w:i/>
          <w:spacing w:val="-21"/>
          <w:sz w:val="22"/>
        </w:rPr>
        <w:t> </w:t>
      </w:r>
      <w:r>
        <w:rPr>
          <w:spacing w:val="-2"/>
          <w:sz w:val="22"/>
        </w:rPr>
        <w:t>15</w:t>
      </w:r>
      <w:r>
        <w:rPr>
          <w:rFonts w:ascii="Meiryo UI" w:hAnsi="Meiryo UI"/>
          <w:i/>
          <w:spacing w:val="-2"/>
          <w:sz w:val="22"/>
          <w:vertAlign w:val="superscript"/>
        </w:rPr>
        <w:t>◦</w:t>
      </w:r>
      <w:r>
        <w:rPr>
          <w:spacing w:val="-2"/>
          <w:sz w:val="22"/>
          <w:vertAlign w:val="baseline"/>
        </w:rPr>
        <w:t>C)</w:t>
      </w:r>
      <w:r>
        <w:rPr>
          <w:spacing w:val="-7"/>
          <w:sz w:val="22"/>
          <w:vertAlign w:val="baseline"/>
        </w:rPr>
        <w:t> </w:t>
      </w:r>
      <w:r>
        <w:rPr>
          <w:spacing w:val="-2"/>
          <w:sz w:val="22"/>
          <w:vertAlign w:val="baseline"/>
        </w:rPr>
        <w:t>and</w:t>
      </w:r>
      <w:r>
        <w:rPr>
          <w:spacing w:val="-6"/>
          <w:sz w:val="22"/>
          <w:vertAlign w:val="baseline"/>
        </w:rPr>
        <w:t> </w:t>
      </w:r>
      <w:r>
        <w:rPr>
          <w:spacing w:val="-2"/>
          <w:sz w:val="22"/>
          <w:vertAlign w:val="baseline"/>
        </w:rPr>
        <w:t>frost</w:t>
      </w:r>
      <w:r>
        <w:rPr>
          <w:spacing w:val="-7"/>
          <w:sz w:val="22"/>
          <w:vertAlign w:val="baseline"/>
        </w:rPr>
        <w:t> </w:t>
      </w:r>
      <w:r>
        <w:rPr>
          <w:spacing w:val="-2"/>
          <w:sz w:val="22"/>
          <w:vertAlign w:val="baseline"/>
        </w:rPr>
        <w:t>day</w:t>
      </w:r>
      <w:r>
        <w:rPr>
          <w:spacing w:val="-6"/>
          <w:sz w:val="22"/>
          <w:vertAlign w:val="baseline"/>
        </w:rPr>
        <w:t> </w:t>
      </w:r>
      <w:r>
        <w:rPr>
          <w:spacing w:val="-2"/>
          <w:sz w:val="22"/>
          <w:vertAlign w:val="baseline"/>
        </w:rPr>
        <w:t>(Tmin</w:t>
      </w:r>
      <w:r>
        <w:rPr>
          <w:spacing w:val="-7"/>
          <w:sz w:val="22"/>
          <w:vertAlign w:val="baseline"/>
        </w:rPr>
        <w:t> </w:t>
      </w:r>
      <w:r>
        <w:rPr>
          <w:rFonts w:ascii="Meiryo UI" w:hAnsi="Meiryo UI"/>
          <w:i/>
          <w:spacing w:val="-2"/>
          <w:sz w:val="22"/>
          <w:vertAlign w:val="baseline"/>
        </w:rPr>
        <w:t>&lt;</w:t>
      </w:r>
      <w:r>
        <w:rPr>
          <w:rFonts w:ascii="Meiryo UI" w:hAnsi="Meiryo UI"/>
          <w:i/>
          <w:spacing w:val="-21"/>
          <w:sz w:val="22"/>
          <w:vertAlign w:val="baseline"/>
        </w:rPr>
        <w:t> </w:t>
      </w:r>
      <w:r>
        <w:rPr>
          <w:spacing w:val="-2"/>
          <w:sz w:val="22"/>
          <w:vertAlign w:val="baseline"/>
        </w:rPr>
        <w:t>0</w:t>
      </w:r>
      <w:r>
        <w:rPr>
          <w:rFonts w:ascii="Meiryo UI" w:hAnsi="Meiryo UI"/>
          <w:i/>
          <w:spacing w:val="-2"/>
          <w:sz w:val="22"/>
          <w:vertAlign w:val="superscript"/>
        </w:rPr>
        <w:t>◦</w:t>
      </w:r>
      <w:r>
        <w:rPr>
          <w:spacing w:val="-2"/>
          <w:sz w:val="22"/>
          <w:vertAlign w:val="baseline"/>
        </w:rPr>
        <w:t>C)</w:t>
      </w:r>
      <w:r>
        <w:rPr>
          <w:spacing w:val="-6"/>
          <w:sz w:val="22"/>
          <w:vertAlign w:val="baseline"/>
        </w:rPr>
        <w:t> </w:t>
      </w:r>
      <w:r>
        <w:rPr>
          <w:spacing w:val="-2"/>
          <w:sz w:val="22"/>
          <w:vertAlign w:val="baseline"/>
        </w:rPr>
        <w:t>features</w:t>
      </w:r>
      <w:r>
        <w:rPr>
          <w:spacing w:val="-7"/>
          <w:sz w:val="22"/>
          <w:vertAlign w:val="baseline"/>
        </w:rPr>
        <w:t> </w:t>
      </w:r>
      <w:r>
        <w:rPr>
          <w:spacing w:val="-2"/>
          <w:sz w:val="22"/>
          <w:vertAlign w:val="baseline"/>
        </w:rPr>
        <w:t>(5</w:t>
      </w:r>
      <w:r>
        <w:rPr>
          <w:spacing w:val="-6"/>
          <w:sz w:val="22"/>
          <w:vertAlign w:val="baseline"/>
        </w:rPr>
        <w:t> </w:t>
      </w:r>
      <w:r>
        <w:rPr>
          <w:spacing w:val="-2"/>
          <w:sz w:val="22"/>
          <w:vertAlign w:val="baseline"/>
        </w:rPr>
        <w:t>features).</w:t>
      </w:r>
      <w:r>
        <w:rPr>
          <w:sz w:val="22"/>
          <w:vertAlign w:val="baseline"/>
        </w:rPr>
        <w:tab/>
      </w:r>
      <w:hyperlink w:history="true" w:anchor="_bookmark187">
        <w:r>
          <w:rPr>
            <w:color w:val="8B2C18"/>
            <w:spacing w:val="-5"/>
            <w:sz w:val="22"/>
            <w:vertAlign w:val="baseline"/>
          </w:rPr>
          <w:t>101</w:t>
        </w:r>
      </w:hyperlink>
    </w:p>
    <w:p>
      <w:pPr>
        <w:pStyle w:val="ListParagraph"/>
        <w:numPr>
          <w:ilvl w:val="1"/>
          <w:numId w:val="12"/>
        </w:numPr>
        <w:tabs>
          <w:tab w:pos="970" w:val="left" w:leader="none"/>
          <w:tab w:pos="8318" w:val="left" w:leader="dot"/>
        </w:tabs>
        <w:spacing w:line="240" w:lineRule="exact" w:before="0" w:after="0"/>
        <w:ind w:left="970" w:right="0" w:hanging="501"/>
        <w:jc w:val="left"/>
        <w:rPr>
          <w:sz w:val="22"/>
        </w:rPr>
      </w:pPr>
      <w:r>
        <w:rPr>
          <w:sz w:val="22"/>
        </w:rPr>
        <w:t>Rainfall</w:t>
      </w:r>
      <w:r>
        <w:rPr>
          <w:spacing w:val="-6"/>
          <w:sz w:val="22"/>
        </w:rPr>
        <w:t> </w:t>
      </w:r>
      <w:r>
        <w:rPr>
          <w:sz w:val="22"/>
        </w:rPr>
        <w:t>total</w:t>
      </w:r>
      <w:r>
        <w:rPr>
          <w:spacing w:val="-6"/>
          <w:sz w:val="22"/>
        </w:rPr>
        <w:t> </w:t>
      </w:r>
      <w:r>
        <w:rPr>
          <w:sz w:val="22"/>
        </w:rPr>
        <w:t>and</w:t>
      </w:r>
      <w:r>
        <w:rPr>
          <w:spacing w:val="-5"/>
          <w:sz w:val="22"/>
        </w:rPr>
        <w:t> </w:t>
      </w:r>
      <w:r>
        <w:rPr>
          <w:sz w:val="22"/>
        </w:rPr>
        <w:t>wet</w:t>
      </w:r>
      <w:r>
        <w:rPr>
          <w:spacing w:val="-6"/>
          <w:sz w:val="22"/>
        </w:rPr>
        <w:t> </w:t>
      </w:r>
      <w:r>
        <w:rPr>
          <w:sz w:val="22"/>
        </w:rPr>
        <w:t>day</w:t>
      </w:r>
      <w:r>
        <w:rPr>
          <w:spacing w:val="-6"/>
          <w:sz w:val="22"/>
        </w:rPr>
        <w:t> </w:t>
      </w:r>
      <w:r>
        <w:rPr>
          <w:sz w:val="22"/>
        </w:rPr>
        <w:t>count</w:t>
      </w:r>
      <w:r>
        <w:rPr>
          <w:spacing w:val="-5"/>
          <w:sz w:val="22"/>
        </w:rPr>
        <w:t> </w:t>
      </w:r>
      <w:r>
        <w:rPr>
          <w:sz w:val="22"/>
        </w:rPr>
        <w:t>features</w:t>
      </w:r>
      <w:r>
        <w:rPr>
          <w:spacing w:val="-6"/>
          <w:sz w:val="22"/>
        </w:rPr>
        <w:t> </w:t>
      </w:r>
      <w:r>
        <w:rPr>
          <w:sz w:val="22"/>
        </w:rPr>
        <w:t>(8</w:t>
      </w:r>
      <w:r>
        <w:rPr>
          <w:spacing w:val="-6"/>
          <w:sz w:val="22"/>
        </w:rPr>
        <w:t> </w:t>
      </w:r>
      <w:r>
        <w:rPr>
          <w:spacing w:val="-2"/>
          <w:sz w:val="22"/>
        </w:rPr>
        <w:t>features).</w:t>
      </w:r>
      <w:r>
        <w:rPr>
          <w:sz w:val="22"/>
        </w:rPr>
        <w:tab/>
      </w:r>
      <w:hyperlink w:history="true" w:anchor="_bookmark186">
        <w:r>
          <w:rPr>
            <w:color w:val="8B2C18"/>
            <w:spacing w:val="-5"/>
            <w:sz w:val="22"/>
          </w:rPr>
          <w:t>101</w:t>
        </w:r>
      </w:hyperlink>
    </w:p>
    <w:p>
      <w:pPr>
        <w:pStyle w:val="ListParagraph"/>
        <w:numPr>
          <w:ilvl w:val="1"/>
          <w:numId w:val="12"/>
        </w:numPr>
        <w:tabs>
          <w:tab w:pos="970" w:val="left" w:leader="none"/>
          <w:tab w:pos="8318" w:val="left" w:leader="dot"/>
        </w:tabs>
        <w:spacing w:line="240" w:lineRule="auto" w:before="18" w:after="0"/>
        <w:ind w:left="970" w:right="0" w:hanging="501"/>
        <w:jc w:val="left"/>
        <w:rPr>
          <w:sz w:val="22"/>
        </w:rPr>
      </w:pPr>
      <w:r>
        <w:rPr>
          <w:sz w:val="22"/>
        </w:rPr>
        <mc:AlternateContent>
          <mc:Choice Requires="wps">
            <w:drawing>
              <wp:anchor distT="0" distB="0" distL="0" distR="0" allowOverlap="1" layoutInCell="1" locked="0" behindDoc="0" simplePos="0" relativeHeight="15734272">
                <wp:simplePos x="0" y="0"/>
                <wp:positionH relativeFrom="page">
                  <wp:posOffset>1037971</wp:posOffset>
                </wp:positionH>
                <wp:positionV relativeFrom="paragraph">
                  <wp:posOffset>185901</wp:posOffset>
                </wp:positionV>
                <wp:extent cx="5332095" cy="166560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5332095" cy="166560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85"/>
                              <w:gridCol w:w="5008"/>
                              <w:gridCol w:w="484"/>
                            </w:tblGrid>
                            <w:tr>
                              <w:trPr>
                                <w:trHeight w:val="611" w:hRule="atLeast"/>
                              </w:trPr>
                              <w:tc>
                                <w:tcPr>
                                  <w:tcW w:w="7793" w:type="dxa"/>
                                  <w:gridSpan w:val="2"/>
                                </w:tcPr>
                                <w:p>
                                  <w:pPr>
                                    <w:pStyle w:val="TableParagraph"/>
                                    <w:spacing w:line="294" w:lineRule="exact" w:before="0"/>
                                    <w:ind w:left="50"/>
                                    <w:rPr>
                                      <w:rFonts w:ascii="Meiryo UI" w:hAnsi="Meiryo UI"/>
                                      <w:i/>
                                      <w:sz w:val="22"/>
                                    </w:rPr>
                                  </w:pPr>
                                  <w:r>
                                    <w:rPr>
                                      <w:sz w:val="22"/>
                                    </w:rPr>
                                    <w:t>C.6</w:t>
                                  </w:r>
                                  <w:r>
                                    <w:rPr>
                                      <w:spacing w:val="41"/>
                                      <w:sz w:val="22"/>
                                    </w:rPr>
                                    <w:t>  </w:t>
                                  </w:r>
                                  <w:r>
                                    <w:rPr>
                                      <w:sz w:val="22"/>
                                    </w:rPr>
                                    <w:t>Soil</w:t>
                                  </w:r>
                                  <w:r>
                                    <w:rPr>
                                      <w:spacing w:val="21"/>
                                      <w:sz w:val="22"/>
                                    </w:rPr>
                                    <w:t> </w:t>
                                  </w:r>
                                  <w:r>
                                    <w:rPr>
                                      <w:sz w:val="22"/>
                                    </w:rPr>
                                    <w:t>water</w:t>
                                  </w:r>
                                  <w:r>
                                    <w:rPr>
                                      <w:spacing w:val="21"/>
                                      <w:sz w:val="22"/>
                                    </w:rPr>
                                    <w:t> </w:t>
                                  </w:r>
                                  <w:r>
                                    <w:rPr>
                                      <w:sz w:val="22"/>
                                    </w:rPr>
                                    <w:t>availability,</w:t>
                                  </w:r>
                                  <w:r>
                                    <w:rPr>
                                      <w:spacing w:val="26"/>
                                      <w:sz w:val="22"/>
                                    </w:rPr>
                                    <w:t> </w:t>
                                  </w:r>
                                  <w:r>
                                    <w:rPr>
                                      <w:sz w:val="22"/>
                                    </w:rPr>
                                    <w:t>stress</w:t>
                                  </w:r>
                                  <w:r>
                                    <w:rPr>
                                      <w:spacing w:val="21"/>
                                      <w:sz w:val="22"/>
                                    </w:rPr>
                                    <w:t> </w:t>
                                  </w:r>
                                  <w:r>
                                    <w:rPr>
                                      <w:sz w:val="22"/>
                                    </w:rPr>
                                    <w:t>day</w:t>
                                  </w:r>
                                  <w:r>
                                    <w:rPr>
                                      <w:spacing w:val="20"/>
                                      <w:sz w:val="22"/>
                                    </w:rPr>
                                    <w:t> </w:t>
                                  </w:r>
                                  <w:r>
                                    <w:rPr>
                                      <w:sz w:val="22"/>
                                    </w:rPr>
                                    <w:t>(Sm</w:t>
                                  </w:r>
                                  <w:r>
                                    <w:rPr>
                                      <w:spacing w:val="20"/>
                                      <w:sz w:val="22"/>
                                    </w:rPr>
                                    <w:t> </w:t>
                                  </w:r>
                                  <w:r>
                                    <w:rPr>
                                      <w:rFonts w:ascii="Meiryo UI" w:hAnsi="Meiryo UI"/>
                                      <w:i/>
                                      <w:sz w:val="22"/>
                                    </w:rPr>
                                    <w:t>&lt;</w:t>
                                  </w:r>
                                  <w:r>
                                    <w:rPr>
                                      <w:rFonts w:ascii="Meiryo UI" w:hAnsi="Meiryo UI"/>
                                      <w:i/>
                                      <w:spacing w:val="1"/>
                                      <w:sz w:val="22"/>
                                    </w:rPr>
                                    <w:t> </w:t>
                                  </w:r>
                                  <w:r>
                                    <w:rPr>
                                      <w:sz w:val="22"/>
                                    </w:rPr>
                                    <w:t>1.5</w:t>
                                  </w:r>
                                  <w:r>
                                    <w:rPr>
                                      <w:rFonts w:ascii="Meiryo UI" w:hAnsi="Meiryo UI"/>
                                      <w:i/>
                                      <w:sz w:val="22"/>
                                    </w:rPr>
                                    <w:t>×</w:t>
                                  </w:r>
                                  <w:r>
                                    <w:rPr>
                                      <w:sz w:val="22"/>
                                    </w:rPr>
                                    <w:t>Wp),</w:t>
                                  </w:r>
                                  <w:r>
                                    <w:rPr>
                                      <w:spacing w:val="26"/>
                                      <w:sz w:val="22"/>
                                    </w:rPr>
                                    <w:t> </w:t>
                                  </w:r>
                                  <w:r>
                                    <w:rPr>
                                      <w:sz w:val="22"/>
                                    </w:rPr>
                                    <w:t>and</w:t>
                                  </w:r>
                                  <w:r>
                                    <w:rPr>
                                      <w:spacing w:val="21"/>
                                      <w:sz w:val="22"/>
                                    </w:rPr>
                                    <w:t> </w:t>
                                  </w:r>
                                  <w:r>
                                    <w:rPr>
                                      <w:sz w:val="22"/>
                                    </w:rPr>
                                    <w:t>saturation</w:t>
                                  </w:r>
                                  <w:r>
                                    <w:rPr>
                                      <w:spacing w:val="20"/>
                                      <w:sz w:val="22"/>
                                    </w:rPr>
                                    <w:t> </w:t>
                                  </w:r>
                                  <w:r>
                                    <w:rPr>
                                      <w:sz w:val="22"/>
                                    </w:rPr>
                                    <w:t>day</w:t>
                                  </w:r>
                                  <w:r>
                                    <w:rPr>
                                      <w:spacing w:val="21"/>
                                      <w:sz w:val="22"/>
                                    </w:rPr>
                                    <w:t> </w:t>
                                  </w:r>
                                  <w:r>
                                    <w:rPr>
                                      <w:sz w:val="22"/>
                                    </w:rPr>
                                    <w:t>(Sm</w:t>
                                  </w:r>
                                  <w:r>
                                    <w:rPr>
                                      <w:spacing w:val="20"/>
                                      <w:sz w:val="22"/>
                                    </w:rPr>
                                    <w:t> </w:t>
                                  </w:r>
                                  <w:r>
                                    <w:rPr>
                                      <w:rFonts w:ascii="Meiryo UI" w:hAnsi="Meiryo UI"/>
                                      <w:i/>
                                      <w:spacing w:val="-10"/>
                                      <w:sz w:val="22"/>
                                    </w:rPr>
                                    <w:t>&gt;</w:t>
                                  </w:r>
                                </w:p>
                              </w:tc>
                              <w:tc>
                                <w:tcPr>
                                  <w:tcW w:w="484" w:type="dxa"/>
                                </w:tcPr>
                                <w:p>
                                  <w:pPr>
                                    <w:pStyle w:val="TableParagraph"/>
                                    <w:spacing w:before="14"/>
                                    <w:rPr>
                                      <w:sz w:val="22"/>
                                    </w:rPr>
                                  </w:pPr>
                                </w:p>
                                <w:p>
                                  <w:pPr>
                                    <w:pStyle w:val="TableParagraph"/>
                                    <w:spacing w:before="0"/>
                                    <w:ind w:left="56" w:right="1"/>
                                    <w:jc w:val="center"/>
                                    <w:rPr>
                                      <w:sz w:val="22"/>
                                    </w:rPr>
                                  </w:pPr>
                                  <w:hyperlink w:history="true" w:anchor="_bookmark191">
                                    <w:r>
                                      <w:rPr>
                                        <w:color w:val="8B2C18"/>
                                        <w:spacing w:val="-5"/>
                                        <w:sz w:val="22"/>
                                      </w:rPr>
                                      <w:t>103</w:t>
                                    </w:r>
                                  </w:hyperlink>
                                </w:p>
                              </w:tc>
                            </w:tr>
                            <w:tr>
                              <w:trPr>
                                <w:trHeight w:val="205" w:hRule="atLeast"/>
                              </w:trPr>
                              <w:tc>
                                <w:tcPr>
                                  <w:tcW w:w="7793" w:type="dxa"/>
                                  <w:gridSpan w:val="2"/>
                                </w:tcPr>
                                <w:p>
                                  <w:pPr>
                                    <w:pStyle w:val="TableParagraph"/>
                                    <w:spacing w:line="185" w:lineRule="exact" w:before="0"/>
                                    <w:ind w:left="50"/>
                                    <w:rPr>
                                      <w:sz w:val="22"/>
                                    </w:rPr>
                                  </w:pPr>
                                  <w:r>
                                    <w:rPr>
                                      <w:sz w:val="22"/>
                                    </w:rPr>
                                    <w:t>C.3</w:t>
                                  </w:r>
                                  <w:r>
                                    <w:rPr>
                                      <w:spacing w:val="35"/>
                                      <w:sz w:val="22"/>
                                    </w:rPr>
                                    <w:t>  </w:t>
                                  </w:r>
                                  <w:r>
                                    <w:rPr>
                                      <w:sz w:val="22"/>
                                    </w:rPr>
                                    <w:t>Heat</w:t>
                                  </w:r>
                                  <w:r>
                                    <w:rPr>
                                      <w:spacing w:val="-4"/>
                                      <w:sz w:val="22"/>
                                    </w:rPr>
                                    <w:t> </w:t>
                                  </w:r>
                                  <w:r>
                                    <w:rPr>
                                      <w:sz w:val="22"/>
                                    </w:rPr>
                                    <w:t>stress</w:t>
                                  </w:r>
                                  <w:r>
                                    <w:rPr>
                                      <w:spacing w:val="-4"/>
                                      <w:sz w:val="22"/>
                                    </w:rPr>
                                    <w:t> </w:t>
                                  </w:r>
                                  <w:r>
                                    <w:rPr>
                                      <w:sz w:val="22"/>
                                    </w:rPr>
                                    <w:t>day</w:t>
                                  </w:r>
                                  <w:r>
                                    <w:rPr>
                                      <w:spacing w:val="-3"/>
                                      <w:sz w:val="22"/>
                                    </w:rPr>
                                    <w:t> </w:t>
                                  </w:r>
                                  <w:r>
                                    <w:rPr>
                                      <w:sz w:val="22"/>
                                    </w:rPr>
                                    <w:t>(Tmax</w:t>
                                  </w:r>
                                  <w:r>
                                    <w:rPr>
                                      <w:spacing w:val="-4"/>
                                      <w:sz w:val="22"/>
                                    </w:rPr>
                                    <w:t> </w:t>
                                  </w:r>
                                  <w:r>
                                    <w:rPr>
                                      <w:rFonts w:ascii="Meiryo UI" w:hAnsi="Meiryo UI"/>
                                      <w:i/>
                                      <w:sz w:val="22"/>
                                    </w:rPr>
                                    <w:t>&gt;</w:t>
                                  </w:r>
                                  <w:r>
                                    <w:rPr>
                                      <w:rFonts w:ascii="Meiryo UI" w:hAnsi="Meiryo UI"/>
                                      <w:i/>
                                      <w:spacing w:val="-21"/>
                                      <w:sz w:val="22"/>
                                    </w:rPr>
                                    <w:t> </w:t>
                                  </w:r>
                                  <w:r>
                                    <w:rPr>
                                      <w:sz w:val="22"/>
                                    </w:rPr>
                                    <w:t>35</w:t>
                                  </w:r>
                                  <w:r>
                                    <w:rPr>
                                      <w:rFonts w:ascii="Meiryo UI" w:hAnsi="Meiryo UI"/>
                                      <w:i/>
                                      <w:sz w:val="22"/>
                                      <w:vertAlign w:val="superscript"/>
                                    </w:rPr>
                                    <w:t>◦</w:t>
                                  </w:r>
                                  <w:r>
                                    <w:rPr>
                                      <w:sz w:val="22"/>
                                      <w:vertAlign w:val="baseline"/>
                                    </w:rPr>
                                    <w:t>C)</w:t>
                                  </w:r>
                                  <w:r>
                                    <w:rPr>
                                      <w:spacing w:val="-3"/>
                                      <w:sz w:val="22"/>
                                      <w:vertAlign w:val="baseline"/>
                                    </w:rPr>
                                    <w:t> </w:t>
                                  </w:r>
                                  <w:r>
                                    <w:rPr>
                                      <w:sz w:val="22"/>
                                      <w:vertAlign w:val="baseline"/>
                                    </w:rPr>
                                    <w:t>features</w:t>
                                  </w:r>
                                  <w:r>
                                    <w:rPr>
                                      <w:spacing w:val="-4"/>
                                      <w:sz w:val="22"/>
                                      <w:vertAlign w:val="baseline"/>
                                    </w:rPr>
                                    <w:t> </w:t>
                                  </w:r>
                                  <w:r>
                                    <w:rPr>
                                      <w:sz w:val="22"/>
                                      <w:vertAlign w:val="baseline"/>
                                    </w:rPr>
                                    <w:t>(4</w:t>
                                  </w:r>
                                  <w:r>
                                    <w:rPr>
                                      <w:spacing w:val="-4"/>
                                      <w:sz w:val="22"/>
                                      <w:vertAlign w:val="baseline"/>
                                    </w:rPr>
                                    <w:t> </w:t>
                                  </w:r>
                                  <w:r>
                                    <w:rPr>
                                      <w:sz w:val="22"/>
                                      <w:vertAlign w:val="baseline"/>
                                    </w:rPr>
                                    <w:t>features).</w:t>
                                  </w:r>
                                  <w:r>
                                    <w:rPr>
                                      <w:spacing w:val="27"/>
                                      <w:sz w:val="22"/>
                                      <w:vertAlign w:val="baseline"/>
                                    </w:rPr>
                                    <w:t>  </w:t>
                                  </w:r>
                                  <w:r>
                                    <w:rPr>
                                      <w:sz w:val="22"/>
                                      <w:vertAlign w:val="baseline"/>
                                    </w:rPr>
                                    <w:t>.</w:t>
                                  </w:r>
                                  <w:r>
                                    <w:rPr>
                                      <w:spacing w:val="50"/>
                                      <w:sz w:val="22"/>
                                      <w:vertAlign w:val="baseline"/>
                                    </w:rPr>
                                    <w:t> </w:t>
                                  </w:r>
                                  <w:r>
                                    <w:rPr>
                                      <w:sz w:val="22"/>
                                      <w:vertAlign w:val="baseline"/>
                                    </w:rPr>
                                    <w:t>.</w:t>
                                  </w:r>
                                  <w:r>
                                    <w:rPr>
                                      <w:spacing w:val="49"/>
                                      <w:sz w:val="22"/>
                                      <w:vertAlign w:val="baseline"/>
                                    </w:rPr>
                                    <w:t> </w:t>
                                  </w:r>
                                  <w:r>
                                    <w:rPr>
                                      <w:sz w:val="22"/>
                                      <w:vertAlign w:val="baseline"/>
                                    </w:rPr>
                                    <w:t>.</w:t>
                                  </w:r>
                                  <w:r>
                                    <w:rPr>
                                      <w:spacing w:val="48"/>
                                      <w:sz w:val="22"/>
                                      <w:vertAlign w:val="baseline"/>
                                    </w:rPr>
                                    <w:t> </w:t>
                                  </w:r>
                                  <w:r>
                                    <w:rPr>
                                      <w:sz w:val="22"/>
                                      <w:vertAlign w:val="baseline"/>
                                    </w:rPr>
                                    <w:t>.</w:t>
                                  </w:r>
                                  <w:r>
                                    <w:rPr>
                                      <w:spacing w:val="49"/>
                                      <w:sz w:val="22"/>
                                      <w:vertAlign w:val="baseline"/>
                                    </w:rPr>
                                    <w:t> </w:t>
                                  </w:r>
                                  <w:r>
                                    <w:rPr>
                                      <w:sz w:val="22"/>
                                      <w:vertAlign w:val="baseline"/>
                                    </w:rPr>
                                    <w:t>.</w:t>
                                  </w:r>
                                  <w:r>
                                    <w:rPr>
                                      <w:spacing w:val="49"/>
                                      <w:sz w:val="22"/>
                                      <w:vertAlign w:val="baseline"/>
                                    </w:rPr>
                                    <w:t> </w:t>
                                  </w:r>
                                  <w:r>
                                    <w:rPr>
                                      <w:sz w:val="22"/>
                                      <w:vertAlign w:val="baseline"/>
                                    </w:rPr>
                                    <w:t>.</w:t>
                                  </w:r>
                                  <w:r>
                                    <w:rPr>
                                      <w:spacing w:val="49"/>
                                      <w:sz w:val="22"/>
                                      <w:vertAlign w:val="baseline"/>
                                    </w:rPr>
                                    <w:t> </w:t>
                                  </w:r>
                                  <w:r>
                                    <w:rPr>
                                      <w:sz w:val="22"/>
                                      <w:vertAlign w:val="baseline"/>
                                    </w:rPr>
                                    <w:t>.</w:t>
                                  </w:r>
                                  <w:r>
                                    <w:rPr>
                                      <w:spacing w:val="48"/>
                                      <w:sz w:val="22"/>
                                      <w:vertAlign w:val="baseline"/>
                                    </w:rPr>
                                    <w:t> </w:t>
                                  </w:r>
                                  <w:r>
                                    <w:rPr>
                                      <w:sz w:val="22"/>
                                      <w:vertAlign w:val="baseline"/>
                                    </w:rPr>
                                    <w:t>.</w:t>
                                  </w:r>
                                  <w:r>
                                    <w:rPr>
                                      <w:spacing w:val="49"/>
                                      <w:sz w:val="22"/>
                                      <w:vertAlign w:val="baseline"/>
                                    </w:rPr>
                                    <w:t> </w:t>
                                  </w:r>
                                  <w:r>
                                    <w:rPr>
                                      <w:sz w:val="22"/>
                                      <w:vertAlign w:val="baseline"/>
                                    </w:rPr>
                                    <w:t>.</w:t>
                                  </w:r>
                                  <w:r>
                                    <w:rPr>
                                      <w:spacing w:val="49"/>
                                      <w:sz w:val="22"/>
                                      <w:vertAlign w:val="baseline"/>
                                    </w:rPr>
                                    <w:t> </w:t>
                                  </w:r>
                                  <w:r>
                                    <w:rPr>
                                      <w:sz w:val="22"/>
                                      <w:vertAlign w:val="baseline"/>
                                    </w:rPr>
                                    <w:t>.</w:t>
                                  </w:r>
                                  <w:r>
                                    <w:rPr>
                                      <w:spacing w:val="49"/>
                                      <w:sz w:val="22"/>
                                      <w:vertAlign w:val="baseline"/>
                                    </w:rPr>
                                    <w:t> </w:t>
                                  </w:r>
                                  <w:r>
                                    <w:rPr>
                                      <w:sz w:val="22"/>
                                      <w:vertAlign w:val="baseline"/>
                                    </w:rPr>
                                    <w:t>.</w:t>
                                  </w:r>
                                  <w:r>
                                    <w:rPr>
                                      <w:spacing w:val="48"/>
                                      <w:sz w:val="22"/>
                                      <w:vertAlign w:val="baseline"/>
                                    </w:rPr>
                                    <w:t> </w:t>
                                  </w:r>
                                  <w:r>
                                    <w:rPr>
                                      <w:sz w:val="22"/>
                                      <w:vertAlign w:val="baseline"/>
                                    </w:rPr>
                                    <w:t>.</w:t>
                                  </w:r>
                                  <w:r>
                                    <w:rPr>
                                      <w:spacing w:val="49"/>
                                      <w:sz w:val="22"/>
                                      <w:vertAlign w:val="baseline"/>
                                    </w:rPr>
                                    <w:t> </w:t>
                                  </w:r>
                                  <w:r>
                                    <w:rPr>
                                      <w:sz w:val="22"/>
                                      <w:vertAlign w:val="baseline"/>
                                    </w:rPr>
                                    <w:t>.</w:t>
                                  </w:r>
                                  <w:r>
                                    <w:rPr>
                                      <w:spacing w:val="49"/>
                                      <w:sz w:val="22"/>
                                      <w:vertAlign w:val="baseline"/>
                                    </w:rPr>
                                    <w:t> </w:t>
                                  </w:r>
                                  <w:r>
                                    <w:rPr>
                                      <w:sz w:val="22"/>
                                      <w:vertAlign w:val="baseline"/>
                                    </w:rPr>
                                    <w:t>.</w:t>
                                  </w:r>
                                  <w:r>
                                    <w:rPr>
                                      <w:spacing w:val="49"/>
                                      <w:sz w:val="22"/>
                                      <w:vertAlign w:val="baseline"/>
                                    </w:rPr>
                                    <w:t> </w:t>
                                  </w:r>
                                  <w:r>
                                    <w:rPr>
                                      <w:spacing w:val="-10"/>
                                      <w:sz w:val="22"/>
                                      <w:vertAlign w:val="baseline"/>
                                    </w:rPr>
                                    <w:t>.</w:t>
                                  </w:r>
                                </w:p>
                              </w:tc>
                              <w:tc>
                                <w:tcPr>
                                  <w:tcW w:w="484" w:type="dxa"/>
                                </w:tcPr>
                                <w:p>
                                  <w:pPr>
                                    <w:pStyle w:val="TableParagraph"/>
                                    <w:spacing w:line="179" w:lineRule="exact" w:before="0"/>
                                    <w:ind w:left="56"/>
                                    <w:jc w:val="center"/>
                                    <w:rPr>
                                      <w:sz w:val="22"/>
                                    </w:rPr>
                                  </w:pPr>
                                  <w:hyperlink w:history="true" w:anchor="_bookmark192">
                                    <w:r>
                                      <w:rPr>
                                        <w:color w:val="8B2C18"/>
                                        <w:spacing w:val="-5"/>
                                        <w:sz w:val="22"/>
                                      </w:rPr>
                                      <w:t>105</w:t>
                                    </w:r>
                                  </w:hyperlink>
                                </w:p>
                              </w:tc>
                            </w:tr>
                            <w:tr>
                              <w:trPr>
                                <w:trHeight w:val="461" w:hRule="atLeast"/>
                              </w:trPr>
                              <w:tc>
                                <w:tcPr>
                                  <w:tcW w:w="2785" w:type="dxa"/>
                                </w:tcPr>
                                <w:p>
                                  <w:pPr>
                                    <w:pStyle w:val="TableParagraph"/>
                                    <w:spacing w:line="251" w:lineRule="exact" w:before="191"/>
                                    <w:ind w:left="50"/>
                                    <w:rPr>
                                      <w:sz w:val="22"/>
                                    </w:rPr>
                                  </w:pPr>
                                  <w:r>
                                    <w:rPr>
                                      <w:sz w:val="22"/>
                                    </w:rPr>
                                    <w:t>E.1</w:t>
                                  </w:r>
                                  <w:r>
                                    <w:rPr>
                                      <w:spacing w:val="38"/>
                                      <w:sz w:val="22"/>
                                    </w:rPr>
                                    <w:t>  </w:t>
                                  </w:r>
                                  <w:r>
                                    <w:rPr>
                                      <w:sz w:val="22"/>
                                    </w:rPr>
                                    <w:t>AI</w:t>
                                  </w:r>
                                  <w:r>
                                    <w:rPr>
                                      <w:spacing w:val="-3"/>
                                      <w:sz w:val="22"/>
                                    </w:rPr>
                                    <w:t> </w:t>
                                  </w:r>
                                  <w:r>
                                    <w:rPr>
                                      <w:sz w:val="22"/>
                                    </w:rPr>
                                    <w:t>use</w:t>
                                  </w:r>
                                  <w:r>
                                    <w:rPr>
                                      <w:spacing w:val="-4"/>
                                      <w:sz w:val="22"/>
                                    </w:rPr>
                                    <w:t> </w:t>
                                  </w:r>
                                  <w:r>
                                    <w:rPr>
                                      <w:sz w:val="22"/>
                                    </w:rPr>
                                    <w:t>summary</w:t>
                                  </w:r>
                                  <w:r>
                                    <w:rPr>
                                      <w:spacing w:val="-3"/>
                                      <w:sz w:val="22"/>
                                    </w:rPr>
                                    <w:t> </w:t>
                                  </w:r>
                                  <w:r>
                                    <w:rPr>
                                      <w:sz w:val="22"/>
                                    </w:rPr>
                                    <w:t>table</w:t>
                                  </w:r>
                                  <w:r>
                                    <w:rPr>
                                      <w:spacing w:val="-4"/>
                                      <w:sz w:val="22"/>
                                    </w:rPr>
                                    <w:t> </w:t>
                                  </w:r>
                                  <w:r>
                                    <w:rPr>
                                      <w:spacing w:val="-5"/>
                                      <w:sz w:val="22"/>
                                    </w:rPr>
                                    <w:t>1.</w:t>
                                  </w:r>
                                </w:p>
                              </w:tc>
                              <w:tc>
                                <w:tcPr>
                                  <w:tcW w:w="5008" w:type="dxa"/>
                                </w:tcPr>
                                <w:p>
                                  <w:pPr>
                                    <w:pStyle w:val="TableParagraph"/>
                                    <w:spacing w:line="251" w:lineRule="exact" w:before="191"/>
                                    <w:ind w:right="3"/>
                                    <w:jc w:val="center"/>
                                    <w:rPr>
                                      <w:sz w:val="22"/>
                                    </w:rPr>
                                  </w:pP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pacing w:val="-10"/>
                                      <w:sz w:val="22"/>
                                    </w:rPr>
                                    <w:t>.</w:t>
                                  </w:r>
                                </w:p>
                              </w:tc>
                              <w:tc>
                                <w:tcPr>
                                  <w:tcW w:w="484" w:type="dxa"/>
                                </w:tcPr>
                                <w:p>
                                  <w:pPr>
                                    <w:pStyle w:val="TableParagraph"/>
                                    <w:spacing w:line="251" w:lineRule="exact" w:before="191"/>
                                    <w:ind w:left="56" w:right="1"/>
                                    <w:jc w:val="center"/>
                                    <w:rPr>
                                      <w:sz w:val="22"/>
                                    </w:rPr>
                                  </w:pPr>
                                  <w:hyperlink w:history="true" w:anchor="_bookmark198">
                                    <w:r>
                                      <w:rPr>
                                        <w:color w:val="8B2C18"/>
                                        <w:spacing w:val="-5"/>
                                        <w:sz w:val="22"/>
                                      </w:rPr>
                                      <w:t>112</w:t>
                                    </w:r>
                                  </w:hyperlink>
                                </w:p>
                              </w:tc>
                            </w:tr>
                            <w:tr>
                              <w:trPr>
                                <w:trHeight w:val="270" w:hRule="atLeast"/>
                              </w:trPr>
                              <w:tc>
                                <w:tcPr>
                                  <w:tcW w:w="2785" w:type="dxa"/>
                                </w:tcPr>
                                <w:p>
                                  <w:pPr>
                                    <w:pStyle w:val="TableParagraph"/>
                                    <w:spacing w:line="251" w:lineRule="exact" w:before="0"/>
                                    <w:ind w:left="50"/>
                                    <w:rPr>
                                      <w:sz w:val="22"/>
                                    </w:rPr>
                                  </w:pPr>
                                  <w:r>
                                    <w:rPr>
                                      <w:sz w:val="22"/>
                                    </w:rPr>
                                    <w:t>E.2</w:t>
                                  </w:r>
                                  <w:r>
                                    <w:rPr>
                                      <w:spacing w:val="38"/>
                                      <w:sz w:val="22"/>
                                    </w:rPr>
                                    <w:t>  </w:t>
                                  </w:r>
                                  <w:r>
                                    <w:rPr>
                                      <w:sz w:val="22"/>
                                    </w:rPr>
                                    <w:t>AI</w:t>
                                  </w:r>
                                  <w:r>
                                    <w:rPr>
                                      <w:spacing w:val="-3"/>
                                      <w:sz w:val="22"/>
                                    </w:rPr>
                                    <w:t> </w:t>
                                  </w:r>
                                  <w:r>
                                    <w:rPr>
                                      <w:sz w:val="22"/>
                                    </w:rPr>
                                    <w:t>use</w:t>
                                  </w:r>
                                  <w:r>
                                    <w:rPr>
                                      <w:spacing w:val="-4"/>
                                      <w:sz w:val="22"/>
                                    </w:rPr>
                                    <w:t> </w:t>
                                  </w:r>
                                  <w:r>
                                    <w:rPr>
                                      <w:sz w:val="22"/>
                                    </w:rPr>
                                    <w:t>summary</w:t>
                                  </w:r>
                                  <w:r>
                                    <w:rPr>
                                      <w:spacing w:val="-3"/>
                                      <w:sz w:val="22"/>
                                    </w:rPr>
                                    <w:t> </w:t>
                                  </w:r>
                                  <w:r>
                                    <w:rPr>
                                      <w:sz w:val="22"/>
                                    </w:rPr>
                                    <w:t>table</w:t>
                                  </w:r>
                                  <w:r>
                                    <w:rPr>
                                      <w:spacing w:val="-4"/>
                                      <w:sz w:val="22"/>
                                    </w:rPr>
                                    <w:t> </w:t>
                                  </w:r>
                                  <w:r>
                                    <w:rPr>
                                      <w:spacing w:val="-5"/>
                                      <w:sz w:val="22"/>
                                    </w:rPr>
                                    <w:t>2.</w:t>
                                  </w:r>
                                </w:p>
                              </w:tc>
                              <w:tc>
                                <w:tcPr>
                                  <w:tcW w:w="5008" w:type="dxa"/>
                                </w:tcPr>
                                <w:p>
                                  <w:pPr>
                                    <w:pStyle w:val="TableParagraph"/>
                                    <w:spacing w:line="251" w:lineRule="exact" w:before="0"/>
                                    <w:ind w:right="3"/>
                                    <w:jc w:val="center"/>
                                    <w:rPr>
                                      <w:sz w:val="22"/>
                                    </w:rPr>
                                  </w:pP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pacing w:val="-10"/>
                                      <w:sz w:val="22"/>
                                    </w:rPr>
                                    <w:t>.</w:t>
                                  </w:r>
                                </w:p>
                              </w:tc>
                              <w:tc>
                                <w:tcPr>
                                  <w:tcW w:w="484" w:type="dxa"/>
                                </w:tcPr>
                                <w:p>
                                  <w:pPr>
                                    <w:pStyle w:val="TableParagraph"/>
                                    <w:spacing w:line="251" w:lineRule="exact" w:before="0"/>
                                    <w:ind w:left="56" w:right="1"/>
                                    <w:jc w:val="center"/>
                                    <w:rPr>
                                      <w:sz w:val="22"/>
                                    </w:rPr>
                                  </w:pPr>
                                  <w:hyperlink w:history="true" w:anchor="_bookmark201">
                                    <w:r>
                                      <w:rPr>
                                        <w:color w:val="8B2C18"/>
                                        <w:spacing w:val="-5"/>
                                        <w:sz w:val="22"/>
                                      </w:rPr>
                                      <w:t>112</w:t>
                                    </w:r>
                                  </w:hyperlink>
                                </w:p>
                              </w:tc>
                            </w:tr>
                            <w:tr>
                              <w:trPr>
                                <w:trHeight w:val="270" w:hRule="atLeast"/>
                              </w:trPr>
                              <w:tc>
                                <w:tcPr>
                                  <w:tcW w:w="2785" w:type="dxa"/>
                                </w:tcPr>
                                <w:p>
                                  <w:pPr>
                                    <w:pStyle w:val="TableParagraph"/>
                                    <w:spacing w:line="251" w:lineRule="exact" w:before="0"/>
                                    <w:ind w:left="50"/>
                                    <w:rPr>
                                      <w:sz w:val="22"/>
                                    </w:rPr>
                                  </w:pPr>
                                  <w:r>
                                    <w:rPr>
                                      <w:sz w:val="22"/>
                                    </w:rPr>
                                    <w:t>E.3</w:t>
                                  </w:r>
                                  <w:r>
                                    <w:rPr>
                                      <w:spacing w:val="38"/>
                                      <w:sz w:val="22"/>
                                    </w:rPr>
                                    <w:t>  </w:t>
                                  </w:r>
                                  <w:r>
                                    <w:rPr>
                                      <w:sz w:val="22"/>
                                    </w:rPr>
                                    <w:t>AI</w:t>
                                  </w:r>
                                  <w:r>
                                    <w:rPr>
                                      <w:spacing w:val="-3"/>
                                      <w:sz w:val="22"/>
                                    </w:rPr>
                                    <w:t> </w:t>
                                  </w:r>
                                  <w:r>
                                    <w:rPr>
                                      <w:sz w:val="22"/>
                                    </w:rPr>
                                    <w:t>use</w:t>
                                  </w:r>
                                  <w:r>
                                    <w:rPr>
                                      <w:spacing w:val="-4"/>
                                      <w:sz w:val="22"/>
                                    </w:rPr>
                                    <w:t> </w:t>
                                  </w:r>
                                  <w:r>
                                    <w:rPr>
                                      <w:sz w:val="22"/>
                                    </w:rPr>
                                    <w:t>summary</w:t>
                                  </w:r>
                                  <w:r>
                                    <w:rPr>
                                      <w:spacing w:val="-3"/>
                                      <w:sz w:val="22"/>
                                    </w:rPr>
                                    <w:t> </w:t>
                                  </w:r>
                                  <w:r>
                                    <w:rPr>
                                      <w:sz w:val="22"/>
                                    </w:rPr>
                                    <w:t>table</w:t>
                                  </w:r>
                                  <w:r>
                                    <w:rPr>
                                      <w:spacing w:val="-4"/>
                                      <w:sz w:val="22"/>
                                    </w:rPr>
                                    <w:t> </w:t>
                                  </w:r>
                                  <w:r>
                                    <w:rPr>
                                      <w:spacing w:val="-5"/>
                                      <w:sz w:val="22"/>
                                    </w:rPr>
                                    <w:t>3.</w:t>
                                  </w:r>
                                </w:p>
                              </w:tc>
                              <w:tc>
                                <w:tcPr>
                                  <w:tcW w:w="5008" w:type="dxa"/>
                                </w:tcPr>
                                <w:p>
                                  <w:pPr>
                                    <w:pStyle w:val="TableParagraph"/>
                                    <w:spacing w:line="251" w:lineRule="exact" w:before="0"/>
                                    <w:ind w:right="3"/>
                                    <w:jc w:val="center"/>
                                    <w:rPr>
                                      <w:sz w:val="22"/>
                                    </w:rPr>
                                  </w:pP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pacing w:val="-10"/>
                                      <w:sz w:val="22"/>
                                    </w:rPr>
                                    <w:t>.</w:t>
                                  </w:r>
                                </w:p>
                              </w:tc>
                              <w:tc>
                                <w:tcPr>
                                  <w:tcW w:w="484" w:type="dxa"/>
                                </w:tcPr>
                                <w:p>
                                  <w:pPr>
                                    <w:pStyle w:val="TableParagraph"/>
                                    <w:spacing w:line="251" w:lineRule="exact" w:before="0"/>
                                    <w:ind w:left="56" w:right="1"/>
                                    <w:jc w:val="center"/>
                                    <w:rPr>
                                      <w:sz w:val="22"/>
                                    </w:rPr>
                                  </w:pPr>
                                  <w:hyperlink w:history="true" w:anchor="_bookmark204">
                                    <w:r>
                                      <w:rPr>
                                        <w:color w:val="8B2C18"/>
                                        <w:spacing w:val="-5"/>
                                        <w:sz w:val="22"/>
                                      </w:rPr>
                                      <w:t>113</w:t>
                                    </w:r>
                                  </w:hyperlink>
                                </w:p>
                              </w:tc>
                            </w:tr>
                            <w:tr>
                              <w:trPr>
                                <w:trHeight w:val="270" w:hRule="atLeast"/>
                              </w:trPr>
                              <w:tc>
                                <w:tcPr>
                                  <w:tcW w:w="2785" w:type="dxa"/>
                                </w:tcPr>
                                <w:p>
                                  <w:pPr>
                                    <w:pStyle w:val="TableParagraph"/>
                                    <w:spacing w:line="251" w:lineRule="exact" w:before="0"/>
                                    <w:ind w:left="50"/>
                                    <w:rPr>
                                      <w:sz w:val="22"/>
                                    </w:rPr>
                                  </w:pPr>
                                  <w:r>
                                    <w:rPr>
                                      <w:sz w:val="22"/>
                                    </w:rPr>
                                    <w:t>E.4</w:t>
                                  </w:r>
                                  <w:r>
                                    <w:rPr>
                                      <w:spacing w:val="38"/>
                                      <w:sz w:val="22"/>
                                    </w:rPr>
                                    <w:t>  </w:t>
                                  </w:r>
                                  <w:r>
                                    <w:rPr>
                                      <w:sz w:val="22"/>
                                    </w:rPr>
                                    <w:t>AI</w:t>
                                  </w:r>
                                  <w:r>
                                    <w:rPr>
                                      <w:spacing w:val="-3"/>
                                      <w:sz w:val="22"/>
                                    </w:rPr>
                                    <w:t> </w:t>
                                  </w:r>
                                  <w:r>
                                    <w:rPr>
                                      <w:sz w:val="22"/>
                                    </w:rPr>
                                    <w:t>use</w:t>
                                  </w:r>
                                  <w:r>
                                    <w:rPr>
                                      <w:spacing w:val="-4"/>
                                      <w:sz w:val="22"/>
                                    </w:rPr>
                                    <w:t> </w:t>
                                  </w:r>
                                  <w:r>
                                    <w:rPr>
                                      <w:sz w:val="22"/>
                                    </w:rPr>
                                    <w:t>summary</w:t>
                                  </w:r>
                                  <w:r>
                                    <w:rPr>
                                      <w:spacing w:val="-3"/>
                                      <w:sz w:val="22"/>
                                    </w:rPr>
                                    <w:t> </w:t>
                                  </w:r>
                                  <w:r>
                                    <w:rPr>
                                      <w:sz w:val="22"/>
                                    </w:rPr>
                                    <w:t>table</w:t>
                                  </w:r>
                                  <w:r>
                                    <w:rPr>
                                      <w:spacing w:val="-4"/>
                                      <w:sz w:val="22"/>
                                    </w:rPr>
                                    <w:t> </w:t>
                                  </w:r>
                                  <w:r>
                                    <w:rPr>
                                      <w:spacing w:val="-5"/>
                                      <w:sz w:val="22"/>
                                    </w:rPr>
                                    <w:t>4.</w:t>
                                  </w:r>
                                </w:p>
                              </w:tc>
                              <w:tc>
                                <w:tcPr>
                                  <w:tcW w:w="5008" w:type="dxa"/>
                                </w:tcPr>
                                <w:p>
                                  <w:pPr>
                                    <w:pStyle w:val="TableParagraph"/>
                                    <w:spacing w:line="251" w:lineRule="exact" w:before="0"/>
                                    <w:ind w:right="3"/>
                                    <w:jc w:val="center"/>
                                    <w:rPr>
                                      <w:sz w:val="22"/>
                                    </w:rPr>
                                  </w:pP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pacing w:val="-10"/>
                                      <w:sz w:val="22"/>
                                    </w:rPr>
                                    <w:t>.</w:t>
                                  </w:r>
                                </w:p>
                              </w:tc>
                              <w:tc>
                                <w:tcPr>
                                  <w:tcW w:w="484" w:type="dxa"/>
                                </w:tcPr>
                                <w:p>
                                  <w:pPr>
                                    <w:pStyle w:val="TableParagraph"/>
                                    <w:spacing w:line="251" w:lineRule="exact" w:before="0"/>
                                    <w:ind w:left="56" w:right="1"/>
                                    <w:jc w:val="center"/>
                                    <w:rPr>
                                      <w:sz w:val="22"/>
                                    </w:rPr>
                                  </w:pPr>
                                  <w:hyperlink w:history="true" w:anchor="_bookmark206">
                                    <w:r>
                                      <w:rPr>
                                        <w:color w:val="8B2C18"/>
                                        <w:spacing w:val="-5"/>
                                        <w:sz w:val="22"/>
                                      </w:rPr>
                                      <w:t>113</w:t>
                                    </w:r>
                                  </w:hyperlink>
                                </w:p>
                              </w:tc>
                            </w:tr>
                            <w:tr>
                              <w:trPr>
                                <w:trHeight w:val="270" w:hRule="atLeast"/>
                              </w:trPr>
                              <w:tc>
                                <w:tcPr>
                                  <w:tcW w:w="2785" w:type="dxa"/>
                                </w:tcPr>
                                <w:p>
                                  <w:pPr>
                                    <w:pStyle w:val="TableParagraph"/>
                                    <w:spacing w:line="251" w:lineRule="exact" w:before="0"/>
                                    <w:ind w:left="50"/>
                                    <w:rPr>
                                      <w:sz w:val="22"/>
                                    </w:rPr>
                                  </w:pPr>
                                  <w:r>
                                    <w:rPr>
                                      <w:sz w:val="22"/>
                                    </w:rPr>
                                    <w:t>E.5</w:t>
                                  </w:r>
                                  <w:r>
                                    <w:rPr>
                                      <w:spacing w:val="38"/>
                                      <w:sz w:val="22"/>
                                    </w:rPr>
                                    <w:t>  </w:t>
                                  </w:r>
                                  <w:r>
                                    <w:rPr>
                                      <w:sz w:val="22"/>
                                    </w:rPr>
                                    <w:t>AI</w:t>
                                  </w:r>
                                  <w:r>
                                    <w:rPr>
                                      <w:spacing w:val="-3"/>
                                      <w:sz w:val="22"/>
                                    </w:rPr>
                                    <w:t> </w:t>
                                  </w:r>
                                  <w:r>
                                    <w:rPr>
                                      <w:sz w:val="22"/>
                                    </w:rPr>
                                    <w:t>use</w:t>
                                  </w:r>
                                  <w:r>
                                    <w:rPr>
                                      <w:spacing w:val="-4"/>
                                      <w:sz w:val="22"/>
                                    </w:rPr>
                                    <w:t> </w:t>
                                  </w:r>
                                  <w:r>
                                    <w:rPr>
                                      <w:sz w:val="22"/>
                                    </w:rPr>
                                    <w:t>summary</w:t>
                                  </w:r>
                                  <w:r>
                                    <w:rPr>
                                      <w:spacing w:val="-3"/>
                                      <w:sz w:val="22"/>
                                    </w:rPr>
                                    <w:t> </w:t>
                                  </w:r>
                                  <w:r>
                                    <w:rPr>
                                      <w:sz w:val="22"/>
                                    </w:rPr>
                                    <w:t>table</w:t>
                                  </w:r>
                                  <w:r>
                                    <w:rPr>
                                      <w:spacing w:val="-4"/>
                                      <w:sz w:val="22"/>
                                    </w:rPr>
                                    <w:t> </w:t>
                                  </w:r>
                                  <w:r>
                                    <w:rPr>
                                      <w:spacing w:val="-5"/>
                                      <w:sz w:val="22"/>
                                    </w:rPr>
                                    <w:t>5.</w:t>
                                  </w:r>
                                </w:p>
                              </w:tc>
                              <w:tc>
                                <w:tcPr>
                                  <w:tcW w:w="5008" w:type="dxa"/>
                                </w:tcPr>
                                <w:p>
                                  <w:pPr>
                                    <w:pStyle w:val="TableParagraph"/>
                                    <w:spacing w:line="251" w:lineRule="exact" w:before="0"/>
                                    <w:ind w:right="3"/>
                                    <w:jc w:val="center"/>
                                    <w:rPr>
                                      <w:sz w:val="22"/>
                                    </w:rPr>
                                  </w:pP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pacing w:val="-10"/>
                                      <w:sz w:val="22"/>
                                    </w:rPr>
                                    <w:t>.</w:t>
                                  </w:r>
                                </w:p>
                              </w:tc>
                              <w:tc>
                                <w:tcPr>
                                  <w:tcW w:w="484" w:type="dxa"/>
                                </w:tcPr>
                                <w:p>
                                  <w:pPr>
                                    <w:pStyle w:val="TableParagraph"/>
                                    <w:spacing w:line="251" w:lineRule="exact" w:before="0"/>
                                    <w:ind w:left="56" w:right="1"/>
                                    <w:jc w:val="center"/>
                                    <w:rPr>
                                      <w:sz w:val="22"/>
                                    </w:rPr>
                                  </w:pPr>
                                  <w:hyperlink w:history="true" w:anchor="_bookmark208">
                                    <w:r>
                                      <w:rPr>
                                        <w:color w:val="8B2C18"/>
                                        <w:spacing w:val="-5"/>
                                        <w:sz w:val="22"/>
                                      </w:rPr>
                                      <w:t>114</w:t>
                                    </w:r>
                                  </w:hyperlink>
                                </w:p>
                              </w:tc>
                            </w:tr>
                            <w:tr>
                              <w:trPr>
                                <w:trHeight w:val="266" w:hRule="atLeast"/>
                              </w:trPr>
                              <w:tc>
                                <w:tcPr>
                                  <w:tcW w:w="2785" w:type="dxa"/>
                                </w:tcPr>
                                <w:p>
                                  <w:pPr>
                                    <w:pStyle w:val="TableParagraph"/>
                                    <w:spacing w:line="247" w:lineRule="exact" w:before="0"/>
                                    <w:ind w:left="50"/>
                                    <w:rPr>
                                      <w:sz w:val="22"/>
                                    </w:rPr>
                                  </w:pPr>
                                  <w:r>
                                    <w:rPr>
                                      <w:sz w:val="22"/>
                                    </w:rPr>
                                    <w:t>E.6</w:t>
                                  </w:r>
                                  <w:r>
                                    <w:rPr>
                                      <w:spacing w:val="38"/>
                                      <w:sz w:val="22"/>
                                    </w:rPr>
                                    <w:t>  </w:t>
                                  </w:r>
                                  <w:r>
                                    <w:rPr>
                                      <w:sz w:val="22"/>
                                    </w:rPr>
                                    <w:t>AI</w:t>
                                  </w:r>
                                  <w:r>
                                    <w:rPr>
                                      <w:spacing w:val="-3"/>
                                      <w:sz w:val="22"/>
                                    </w:rPr>
                                    <w:t> </w:t>
                                  </w:r>
                                  <w:r>
                                    <w:rPr>
                                      <w:sz w:val="22"/>
                                    </w:rPr>
                                    <w:t>use</w:t>
                                  </w:r>
                                  <w:r>
                                    <w:rPr>
                                      <w:spacing w:val="-4"/>
                                      <w:sz w:val="22"/>
                                    </w:rPr>
                                    <w:t> </w:t>
                                  </w:r>
                                  <w:r>
                                    <w:rPr>
                                      <w:sz w:val="22"/>
                                    </w:rPr>
                                    <w:t>summary</w:t>
                                  </w:r>
                                  <w:r>
                                    <w:rPr>
                                      <w:spacing w:val="-3"/>
                                      <w:sz w:val="22"/>
                                    </w:rPr>
                                    <w:t> </w:t>
                                  </w:r>
                                  <w:r>
                                    <w:rPr>
                                      <w:sz w:val="22"/>
                                    </w:rPr>
                                    <w:t>table</w:t>
                                  </w:r>
                                  <w:r>
                                    <w:rPr>
                                      <w:spacing w:val="-4"/>
                                      <w:sz w:val="22"/>
                                    </w:rPr>
                                    <w:t> </w:t>
                                  </w:r>
                                  <w:r>
                                    <w:rPr>
                                      <w:spacing w:val="-5"/>
                                      <w:sz w:val="22"/>
                                    </w:rPr>
                                    <w:t>6.</w:t>
                                  </w:r>
                                </w:p>
                              </w:tc>
                              <w:tc>
                                <w:tcPr>
                                  <w:tcW w:w="5008" w:type="dxa"/>
                                </w:tcPr>
                                <w:p>
                                  <w:pPr>
                                    <w:pStyle w:val="TableParagraph"/>
                                    <w:spacing w:line="247" w:lineRule="exact" w:before="0"/>
                                    <w:ind w:right="3"/>
                                    <w:jc w:val="center"/>
                                    <w:rPr>
                                      <w:sz w:val="22"/>
                                    </w:rPr>
                                  </w:pP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pacing w:val="-10"/>
                                      <w:sz w:val="22"/>
                                    </w:rPr>
                                    <w:t>.</w:t>
                                  </w:r>
                                </w:p>
                              </w:tc>
                              <w:tc>
                                <w:tcPr>
                                  <w:tcW w:w="484" w:type="dxa"/>
                                </w:tcPr>
                                <w:p>
                                  <w:pPr>
                                    <w:pStyle w:val="TableParagraph"/>
                                    <w:spacing w:line="247" w:lineRule="exact" w:before="0"/>
                                    <w:ind w:left="56" w:right="1"/>
                                    <w:jc w:val="center"/>
                                    <w:rPr>
                                      <w:sz w:val="22"/>
                                    </w:rPr>
                                  </w:pPr>
                                  <w:hyperlink w:history="true" w:anchor="_bookmark210">
                                    <w:r>
                                      <w:rPr>
                                        <w:color w:val="8B2C18"/>
                                        <w:spacing w:val="-5"/>
                                        <w:sz w:val="22"/>
                                      </w:rPr>
                                      <w:t>115</w:t>
                                    </w:r>
                                  </w:hyperlink>
                                </w:p>
                              </w:tc>
                            </w:tr>
                          </w:tbl>
                          <w:p>
                            <w:pPr>
                              <w:pStyle w:val="BodyText"/>
                            </w:pPr>
                          </w:p>
                        </w:txbxContent>
                      </wps:txbx>
                      <wps:bodyPr wrap="square" lIns="0" tIns="0" rIns="0" bIns="0" rtlCol="0">
                        <a:noAutofit/>
                      </wps:bodyPr>
                    </wps:wsp>
                  </a:graphicData>
                </a:graphic>
              </wp:anchor>
            </w:drawing>
          </mc:Choice>
          <mc:Fallback>
            <w:pict>
              <v:shape style="position:absolute;margin-left:81.730003pt;margin-top:14.637895pt;width:419.85pt;height:131.15pt;mso-position-horizontal-relative:page;mso-position-vertical-relative:paragraph;z-index:15734272" type="#_x0000_t202" id="docshape3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85"/>
                        <w:gridCol w:w="5008"/>
                        <w:gridCol w:w="484"/>
                      </w:tblGrid>
                      <w:tr>
                        <w:trPr>
                          <w:trHeight w:val="611" w:hRule="atLeast"/>
                        </w:trPr>
                        <w:tc>
                          <w:tcPr>
                            <w:tcW w:w="7793" w:type="dxa"/>
                            <w:gridSpan w:val="2"/>
                          </w:tcPr>
                          <w:p>
                            <w:pPr>
                              <w:pStyle w:val="TableParagraph"/>
                              <w:spacing w:line="294" w:lineRule="exact" w:before="0"/>
                              <w:ind w:left="50"/>
                              <w:rPr>
                                <w:rFonts w:ascii="Meiryo UI" w:hAnsi="Meiryo UI"/>
                                <w:i/>
                                <w:sz w:val="22"/>
                              </w:rPr>
                            </w:pPr>
                            <w:r>
                              <w:rPr>
                                <w:sz w:val="22"/>
                              </w:rPr>
                              <w:t>C.6</w:t>
                            </w:r>
                            <w:r>
                              <w:rPr>
                                <w:spacing w:val="41"/>
                                <w:sz w:val="22"/>
                              </w:rPr>
                              <w:t>  </w:t>
                            </w:r>
                            <w:r>
                              <w:rPr>
                                <w:sz w:val="22"/>
                              </w:rPr>
                              <w:t>Soil</w:t>
                            </w:r>
                            <w:r>
                              <w:rPr>
                                <w:spacing w:val="21"/>
                                <w:sz w:val="22"/>
                              </w:rPr>
                              <w:t> </w:t>
                            </w:r>
                            <w:r>
                              <w:rPr>
                                <w:sz w:val="22"/>
                              </w:rPr>
                              <w:t>water</w:t>
                            </w:r>
                            <w:r>
                              <w:rPr>
                                <w:spacing w:val="21"/>
                                <w:sz w:val="22"/>
                              </w:rPr>
                              <w:t> </w:t>
                            </w:r>
                            <w:r>
                              <w:rPr>
                                <w:sz w:val="22"/>
                              </w:rPr>
                              <w:t>availability,</w:t>
                            </w:r>
                            <w:r>
                              <w:rPr>
                                <w:spacing w:val="26"/>
                                <w:sz w:val="22"/>
                              </w:rPr>
                              <w:t> </w:t>
                            </w:r>
                            <w:r>
                              <w:rPr>
                                <w:sz w:val="22"/>
                              </w:rPr>
                              <w:t>stress</w:t>
                            </w:r>
                            <w:r>
                              <w:rPr>
                                <w:spacing w:val="21"/>
                                <w:sz w:val="22"/>
                              </w:rPr>
                              <w:t> </w:t>
                            </w:r>
                            <w:r>
                              <w:rPr>
                                <w:sz w:val="22"/>
                              </w:rPr>
                              <w:t>day</w:t>
                            </w:r>
                            <w:r>
                              <w:rPr>
                                <w:spacing w:val="20"/>
                                <w:sz w:val="22"/>
                              </w:rPr>
                              <w:t> </w:t>
                            </w:r>
                            <w:r>
                              <w:rPr>
                                <w:sz w:val="22"/>
                              </w:rPr>
                              <w:t>(Sm</w:t>
                            </w:r>
                            <w:r>
                              <w:rPr>
                                <w:spacing w:val="20"/>
                                <w:sz w:val="22"/>
                              </w:rPr>
                              <w:t> </w:t>
                            </w:r>
                            <w:r>
                              <w:rPr>
                                <w:rFonts w:ascii="Meiryo UI" w:hAnsi="Meiryo UI"/>
                                <w:i/>
                                <w:sz w:val="22"/>
                              </w:rPr>
                              <w:t>&lt;</w:t>
                            </w:r>
                            <w:r>
                              <w:rPr>
                                <w:rFonts w:ascii="Meiryo UI" w:hAnsi="Meiryo UI"/>
                                <w:i/>
                                <w:spacing w:val="1"/>
                                <w:sz w:val="22"/>
                              </w:rPr>
                              <w:t> </w:t>
                            </w:r>
                            <w:r>
                              <w:rPr>
                                <w:sz w:val="22"/>
                              </w:rPr>
                              <w:t>1.5</w:t>
                            </w:r>
                            <w:r>
                              <w:rPr>
                                <w:rFonts w:ascii="Meiryo UI" w:hAnsi="Meiryo UI"/>
                                <w:i/>
                                <w:sz w:val="22"/>
                              </w:rPr>
                              <w:t>×</w:t>
                            </w:r>
                            <w:r>
                              <w:rPr>
                                <w:sz w:val="22"/>
                              </w:rPr>
                              <w:t>Wp),</w:t>
                            </w:r>
                            <w:r>
                              <w:rPr>
                                <w:spacing w:val="26"/>
                                <w:sz w:val="22"/>
                              </w:rPr>
                              <w:t> </w:t>
                            </w:r>
                            <w:r>
                              <w:rPr>
                                <w:sz w:val="22"/>
                              </w:rPr>
                              <w:t>and</w:t>
                            </w:r>
                            <w:r>
                              <w:rPr>
                                <w:spacing w:val="21"/>
                                <w:sz w:val="22"/>
                              </w:rPr>
                              <w:t> </w:t>
                            </w:r>
                            <w:r>
                              <w:rPr>
                                <w:sz w:val="22"/>
                              </w:rPr>
                              <w:t>saturation</w:t>
                            </w:r>
                            <w:r>
                              <w:rPr>
                                <w:spacing w:val="20"/>
                                <w:sz w:val="22"/>
                              </w:rPr>
                              <w:t> </w:t>
                            </w:r>
                            <w:r>
                              <w:rPr>
                                <w:sz w:val="22"/>
                              </w:rPr>
                              <w:t>day</w:t>
                            </w:r>
                            <w:r>
                              <w:rPr>
                                <w:spacing w:val="21"/>
                                <w:sz w:val="22"/>
                              </w:rPr>
                              <w:t> </w:t>
                            </w:r>
                            <w:r>
                              <w:rPr>
                                <w:sz w:val="22"/>
                              </w:rPr>
                              <w:t>(Sm</w:t>
                            </w:r>
                            <w:r>
                              <w:rPr>
                                <w:spacing w:val="20"/>
                                <w:sz w:val="22"/>
                              </w:rPr>
                              <w:t> </w:t>
                            </w:r>
                            <w:r>
                              <w:rPr>
                                <w:rFonts w:ascii="Meiryo UI" w:hAnsi="Meiryo UI"/>
                                <w:i/>
                                <w:spacing w:val="-10"/>
                                <w:sz w:val="22"/>
                              </w:rPr>
                              <w:t>&gt;</w:t>
                            </w:r>
                          </w:p>
                        </w:tc>
                        <w:tc>
                          <w:tcPr>
                            <w:tcW w:w="484" w:type="dxa"/>
                          </w:tcPr>
                          <w:p>
                            <w:pPr>
                              <w:pStyle w:val="TableParagraph"/>
                              <w:spacing w:before="14"/>
                              <w:rPr>
                                <w:sz w:val="22"/>
                              </w:rPr>
                            </w:pPr>
                          </w:p>
                          <w:p>
                            <w:pPr>
                              <w:pStyle w:val="TableParagraph"/>
                              <w:spacing w:before="0"/>
                              <w:ind w:left="56" w:right="1"/>
                              <w:jc w:val="center"/>
                              <w:rPr>
                                <w:sz w:val="22"/>
                              </w:rPr>
                            </w:pPr>
                            <w:hyperlink w:history="true" w:anchor="_bookmark191">
                              <w:r>
                                <w:rPr>
                                  <w:color w:val="8B2C18"/>
                                  <w:spacing w:val="-5"/>
                                  <w:sz w:val="22"/>
                                </w:rPr>
                                <w:t>103</w:t>
                              </w:r>
                            </w:hyperlink>
                          </w:p>
                        </w:tc>
                      </w:tr>
                      <w:tr>
                        <w:trPr>
                          <w:trHeight w:val="205" w:hRule="atLeast"/>
                        </w:trPr>
                        <w:tc>
                          <w:tcPr>
                            <w:tcW w:w="7793" w:type="dxa"/>
                            <w:gridSpan w:val="2"/>
                          </w:tcPr>
                          <w:p>
                            <w:pPr>
                              <w:pStyle w:val="TableParagraph"/>
                              <w:spacing w:line="185" w:lineRule="exact" w:before="0"/>
                              <w:ind w:left="50"/>
                              <w:rPr>
                                <w:sz w:val="22"/>
                              </w:rPr>
                            </w:pPr>
                            <w:r>
                              <w:rPr>
                                <w:sz w:val="22"/>
                              </w:rPr>
                              <w:t>C.3</w:t>
                            </w:r>
                            <w:r>
                              <w:rPr>
                                <w:spacing w:val="35"/>
                                <w:sz w:val="22"/>
                              </w:rPr>
                              <w:t>  </w:t>
                            </w:r>
                            <w:r>
                              <w:rPr>
                                <w:sz w:val="22"/>
                              </w:rPr>
                              <w:t>Heat</w:t>
                            </w:r>
                            <w:r>
                              <w:rPr>
                                <w:spacing w:val="-4"/>
                                <w:sz w:val="22"/>
                              </w:rPr>
                              <w:t> </w:t>
                            </w:r>
                            <w:r>
                              <w:rPr>
                                <w:sz w:val="22"/>
                              </w:rPr>
                              <w:t>stress</w:t>
                            </w:r>
                            <w:r>
                              <w:rPr>
                                <w:spacing w:val="-4"/>
                                <w:sz w:val="22"/>
                              </w:rPr>
                              <w:t> </w:t>
                            </w:r>
                            <w:r>
                              <w:rPr>
                                <w:sz w:val="22"/>
                              </w:rPr>
                              <w:t>day</w:t>
                            </w:r>
                            <w:r>
                              <w:rPr>
                                <w:spacing w:val="-3"/>
                                <w:sz w:val="22"/>
                              </w:rPr>
                              <w:t> </w:t>
                            </w:r>
                            <w:r>
                              <w:rPr>
                                <w:sz w:val="22"/>
                              </w:rPr>
                              <w:t>(Tmax</w:t>
                            </w:r>
                            <w:r>
                              <w:rPr>
                                <w:spacing w:val="-4"/>
                                <w:sz w:val="22"/>
                              </w:rPr>
                              <w:t> </w:t>
                            </w:r>
                            <w:r>
                              <w:rPr>
                                <w:rFonts w:ascii="Meiryo UI" w:hAnsi="Meiryo UI"/>
                                <w:i/>
                                <w:sz w:val="22"/>
                              </w:rPr>
                              <w:t>&gt;</w:t>
                            </w:r>
                            <w:r>
                              <w:rPr>
                                <w:rFonts w:ascii="Meiryo UI" w:hAnsi="Meiryo UI"/>
                                <w:i/>
                                <w:spacing w:val="-21"/>
                                <w:sz w:val="22"/>
                              </w:rPr>
                              <w:t> </w:t>
                            </w:r>
                            <w:r>
                              <w:rPr>
                                <w:sz w:val="22"/>
                              </w:rPr>
                              <w:t>35</w:t>
                            </w:r>
                            <w:r>
                              <w:rPr>
                                <w:rFonts w:ascii="Meiryo UI" w:hAnsi="Meiryo UI"/>
                                <w:i/>
                                <w:sz w:val="22"/>
                                <w:vertAlign w:val="superscript"/>
                              </w:rPr>
                              <w:t>◦</w:t>
                            </w:r>
                            <w:r>
                              <w:rPr>
                                <w:sz w:val="22"/>
                                <w:vertAlign w:val="baseline"/>
                              </w:rPr>
                              <w:t>C)</w:t>
                            </w:r>
                            <w:r>
                              <w:rPr>
                                <w:spacing w:val="-3"/>
                                <w:sz w:val="22"/>
                                <w:vertAlign w:val="baseline"/>
                              </w:rPr>
                              <w:t> </w:t>
                            </w:r>
                            <w:r>
                              <w:rPr>
                                <w:sz w:val="22"/>
                                <w:vertAlign w:val="baseline"/>
                              </w:rPr>
                              <w:t>features</w:t>
                            </w:r>
                            <w:r>
                              <w:rPr>
                                <w:spacing w:val="-4"/>
                                <w:sz w:val="22"/>
                                <w:vertAlign w:val="baseline"/>
                              </w:rPr>
                              <w:t> </w:t>
                            </w:r>
                            <w:r>
                              <w:rPr>
                                <w:sz w:val="22"/>
                                <w:vertAlign w:val="baseline"/>
                              </w:rPr>
                              <w:t>(4</w:t>
                            </w:r>
                            <w:r>
                              <w:rPr>
                                <w:spacing w:val="-4"/>
                                <w:sz w:val="22"/>
                                <w:vertAlign w:val="baseline"/>
                              </w:rPr>
                              <w:t> </w:t>
                            </w:r>
                            <w:r>
                              <w:rPr>
                                <w:sz w:val="22"/>
                                <w:vertAlign w:val="baseline"/>
                              </w:rPr>
                              <w:t>features).</w:t>
                            </w:r>
                            <w:r>
                              <w:rPr>
                                <w:spacing w:val="27"/>
                                <w:sz w:val="22"/>
                                <w:vertAlign w:val="baseline"/>
                              </w:rPr>
                              <w:t>  </w:t>
                            </w:r>
                            <w:r>
                              <w:rPr>
                                <w:sz w:val="22"/>
                                <w:vertAlign w:val="baseline"/>
                              </w:rPr>
                              <w:t>.</w:t>
                            </w:r>
                            <w:r>
                              <w:rPr>
                                <w:spacing w:val="50"/>
                                <w:sz w:val="22"/>
                                <w:vertAlign w:val="baseline"/>
                              </w:rPr>
                              <w:t> </w:t>
                            </w:r>
                            <w:r>
                              <w:rPr>
                                <w:sz w:val="22"/>
                                <w:vertAlign w:val="baseline"/>
                              </w:rPr>
                              <w:t>.</w:t>
                            </w:r>
                            <w:r>
                              <w:rPr>
                                <w:spacing w:val="49"/>
                                <w:sz w:val="22"/>
                                <w:vertAlign w:val="baseline"/>
                              </w:rPr>
                              <w:t> </w:t>
                            </w:r>
                            <w:r>
                              <w:rPr>
                                <w:sz w:val="22"/>
                                <w:vertAlign w:val="baseline"/>
                              </w:rPr>
                              <w:t>.</w:t>
                            </w:r>
                            <w:r>
                              <w:rPr>
                                <w:spacing w:val="48"/>
                                <w:sz w:val="22"/>
                                <w:vertAlign w:val="baseline"/>
                              </w:rPr>
                              <w:t> </w:t>
                            </w:r>
                            <w:r>
                              <w:rPr>
                                <w:sz w:val="22"/>
                                <w:vertAlign w:val="baseline"/>
                              </w:rPr>
                              <w:t>.</w:t>
                            </w:r>
                            <w:r>
                              <w:rPr>
                                <w:spacing w:val="49"/>
                                <w:sz w:val="22"/>
                                <w:vertAlign w:val="baseline"/>
                              </w:rPr>
                              <w:t> </w:t>
                            </w:r>
                            <w:r>
                              <w:rPr>
                                <w:sz w:val="22"/>
                                <w:vertAlign w:val="baseline"/>
                              </w:rPr>
                              <w:t>.</w:t>
                            </w:r>
                            <w:r>
                              <w:rPr>
                                <w:spacing w:val="49"/>
                                <w:sz w:val="22"/>
                                <w:vertAlign w:val="baseline"/>
                              </w:rPr>
                              <w:t> </w:t>
                            </w:r>
                            <w:r>
                              <w:rPr>
                                <w:sz w:val="22"/>
                                <w:vertAlign w:val="baseline"/>
                              </w:rPr>
                              <w:t>.</w:t>
                            </w:r>
                            <w:r>
                              <w:rPr>
                                <w:spacing w:val="49"/>
                                <w:sz w:val="22"/>
                                <w:vertAlign w:val="baseline"/>
                              </w:rPr>
                              <w:t> </w:t>
                            </w:r>
                            <w:r>
                              <w:rPr>
                                <w:sz w:val="22"/>
                                <w:vertAlign w:val="baseline"/>
                              </w:rPr>
                              <w:t>.</w:t>
                            </w:r>
                            <w:r>
                              <w:rPr>
                                <w:spacing w:val="48"/>
                                <w:sz w:val="22"/>
                                <w:vertAlign w:val="baseline"/>
                              </w:rPr>
                              <w:t> </w:t>
                            </w:r>
                            <w:r>
                              <w:rPr>
                                <w:sz w:val="22"/>
                                <w:vertAlign w:val="baseline"/>
                              </w:rPr>
                              <w:t>.</w:t>
                            </w:r>
                            <w:r>
                              <w:rPr>
                                <w:spacing w:val="49"/>
                                <w:sz w:val="22"/>
                                <w:vertAlign w:val="baseline"/>
                              </w:rPr>
                              <w:t> </w:t>
                            </w:r>
                            <w:r>
                              <w:rPr>
                                <w:sz w:val="22"/>
                                <w:vertAlign w:val="baseline"/>
                              </w:rPr>
                              <w:t>.</w:t>
                            </w:r>
                            <w:r>
                              <w:rPr>
                                <w:spacing w:val="49"/>
                                <w:sz w:val="22"/>
                                <w:vertAlign w:val="baseline"/>
                              </w:rPr>
                              <w:t> </w:t>
                            </w:r>
                            <w:r>
                              <w:rPr>
                                <w:sz w:val="22"/>
                                <w:vertAlign w:val="baseline"/>
                              </w:rPr>
                              <w:t>.</w:t>
                            </w:r>
                            <w:r>
                              <w:rPr>
                                <w:spacing w:val="49"/>
                                <w:sz w:val="22"/>
                                <w:vertAlign w:val="baseline"/>
                              </w:rPr>
                              <w:t> </w:t>
                            </w:r>
                            <w:r>
                              <w:rPr>
                                <w:sz w:val="22"/>
                                <w:vertAlign w:val="baseline"/>
                              </w:rPr>
                              <w:t>.</w:t>
                            </w:r>
                            <w:r>
                              <w:rPr>
                                <w:spacing w:val="48"/>
                                <w:sz w:val="22"/>
                                <w:vertAlign w:val="baseline"/>
                              </w:rPr>
                              <w:t> </w:t>
                            </w:r>
                            <w:r>
                              <w:rPr>
                                <w:sz w:val="22"/>
                                <w:vertAlign w:val="baseline"/>
                              </w:rPr>
                              <w:t>.</w:t>
                            </w:r>
                            <w:r>
                              <w:rPr>
                                <w:spacing w:val="49"/>
                                <w:sz w:val="22"/>
                                <w:vertAlign w:val="baseline"/>
                              </w:rPr>
                              <w:t> </w:t>
                            </w:r>
                            <w:r>
                              <w:rPr>
                                <w:sz w:val="22"/>
                                <w:vertAlign w:val="baseline"/>
                              </w:rPr>
                              <w:t>.</w:t>
                            </w:r>
                            <w:r>
                              <w:rPr>
                                <w:spacing w:val="49"/>
                                <w:sz w:val="22"/>
                                <w:vertAlign w:val="baseline"/>
                              </w:rPr>
                              <w:t> </w:t>
                            </w:r>
                            <w:r>
                              <w:rPr>
                                <w:sz w:val="22"/>
                                <w:vertAlign w:val="baseline"/>
                              </w:rPr>
                              <w:t>.</w:t>
                            </w:r>
                            <w:r>
                              <w:rPr>
                                <w:spacing w:val="49"/>
                                <w:sz w:val="22"/>
                                <w:vertAlign w:val="baseline"/>
                              </w:rPr>
                              <w:t> </w:t>
                            </w:r>
                            <w:r>
                              <w:rPr>
                                <w:spacing w:val="-10"/>
                                <w:sz w:val="22"/>
                                <w:vertAlign w:val="baseline"/>
                              </w:rPr>
                              <w:t>.</w:t>
                            </w:r>
                          </w:p>
                        </w:tc>
                        <w:tc>
                          <w:tcPr>
                            <w:tcW w:w="484" w:type="dxa"/>
                          </w:tcPr>
                          <w:p>
                            <w:pPr>
                              <w:pStyle w:val="TableParagraph"/>
                              <w:spacing w:line="179" w:lineRule="exact" w:before="0"/>
                              <w:ind w:left="56"/>
                              <w:jc w:val="center"/>
                              <w:rPr>
                                <w:sz w:val="22"/>
                              </w:rPr>
                            </w:pPr>
                            <w:hyperlink w:history="true" w:anchor="_bookmark192">
                              <w:r>
                                <w:rPr>
                                  <w:color w:val="8B2C18"/>
                                  <w:spacing w:val="-5"/>
                                  <w:sz w:val="22"/>
                                </w:rPr>
                                <w:t>105</w:t>
                              </w:r>
                            </w:hyperlink>
                          </w:p>
                        </w:tc>
                      </w:tr>
                      <w:tr>
                        <w:trPr>
                          <w:trHeight w:val="461" w:hRule="atLeast"/>
                        </w:trPr>
                        <w:tc>
                          <w:tcPr>
                            <w:tcW w:w="2785" w:type="dxa"/>
                          </w:tcPr>
                          <w:p>
                            <w:pPr>
                              <w:pStyle w:val="TableParagraph"/>
                              <w:spacing w:line="251" w:lineRule="exact" w:before="191"/>
                              <w:ind w:left="50"/>
                              <w:rPr>
                                <w:sz w:val="22"/>
                              </w:rPr>
                            </w:pPr>
                            <w:r>
                              <w:rPr>
                                <w:sz w:val="22"/>
                              </w:rPr>
                              <w:t>E.1</w:t>
                            </w:r>
                            <w:r>
                              <w:rPr>
                                <w:spacing w:val="38"/>
                                <w:sz w:val="22"/>
                              </w:rPr>
                              <w:t>  </w:t>
                            </w:r>
                            <w:r>
                              <w:rPr>
                                <w:sz w:val="22"/>
                              </w:rPr>
                              <w:t>AI</w:t>
                            </w:r>
                            <w:r>
                              <w:rPr>
                                <w:spacing w:val="-3"/>
                                <w:sz w:val="22"/>
                              </w:rPr>
                              <w:t> </w:t>
                            </w:r>
                            <w:r>
                              <w:rPr>
                                <w:sz w:val="22"/>
                              </w:rPr>
                              <w:t>use</w:t>
                            </w:r>
                            <w:r>
                              <w:rPr>
                                <w:spacing w:val="-4"/>
                                <w:sz w:val="22"/>
                              </w:rPr>
                              <w:t> </w:t>
                            </w:r>
                            <w:r>
                              <w:rPr>
                                <w:sz w:val="22"/>
                              </w:rPr>
                              <w:t>summary</w:t>
                            </w:r>
                            <w:r>
                              <w:rPr>
                                <w:spacing w:val="-3"/>
                                <w:sz w:val="22"/>
                              </w:rPr>
                              <w:t> </w:t>
                            </w:r>
                            <w:r>
                              <w:rPr>
                                <w:sz w:val="22"/>
                              </w:rPr>
                              <w:t>table</w:t>
                            </w:r>
                            <w:r>
                              <w:rPr>
                                <w:spacing w:val="-4"/>
                                <w:sz w:val="22"/>
                              </w:rPr>
                              <w:t> </w:t>
                            </w:r>
                            <w:r>
                              <w:rPr>
                                <w:spacing w:val="-5"/>
                                <w:sz w:val="22"/>
                              </w:rPr>
                              <w:t>1.</w:t>
                            </w:r>
                          </w:p>
                        </w:tc>
                        <w:tc>
                          <w:tcPr>
                            <w:tcW w:w="5008" w:type="dxa"/>
                          </w:tcPr>
                          <w:p>
                            <w:pPr>
                              <w:pStyle w:val="TableParagraph"/>
                              <w:spacing w:line="251" w:lineRule="exact" w:before="191"/>
                              <w:ind w:right="3"/>
                              <w:jc w:val="center"/>
                              <w:rPr>
                                <w:sz w:val="22"/>
                              </w:rPr>
                            </w:pP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pacing w:val="-10"/>
                                <w:sz w:val="22"/>
                              </w:rPr>
                              <w:t>.</w:t>
                            </w:r>
                          </w:p>
                        </w:tc>
                        <w:tc>
                          <w:tcPr>
                            <w:tcW w:w="484" w:type="dxa"/>
                          </w:tcPr>
                          <w:p>
                            <w:pPr>
                              <w:pStyle w:val="TableParagraph"/>
                              <w:spacing w:line="251" w:lineRule="exact" w:before="191"/>
                              <w:ind w:left="56" w:right="1"/>
                              <w:jc w:val="center"/>
                              <w:rPr>
                                <w:sz w:val="22"/>
                              </w:rPr>
                            </w:pPr>
                            <w:hyperlink w:history="true" w:anchor="_bookmark198">
                              <w:r>
                                <w:rPr>
                                  <w:color w:val="8B2C18"/>
                                  <w:spacing w:val="-5"/>
                                  <w:sz w:val="22"/>
                                </w:rPr>
                                <w:t>112</w:t>
                              </w:r>
                            </w:hyperlink>
                          </w:p>
                        </w:tc>
                      </w:tr>
                      <w:tr>
                        <w:trPr>
                          <w:trHeight w:val="270" w:hRule="atLeast"/>
                        </w:trPr>
                        <w:tc>
                          <w:tcPr>
                            <w:tcW w:w="2785" w:type="dxa"/>
                          </w:tcPr>
                          <w:p>
                            <w:pPr>
                              <w:pStyle w:val="TableParagraph"/>
                              <w:spacing w:line="251" w:lineRule="exact" w:before="0"/>
                              <w:ind w:left="50"/>
                              <w:rPr>
                                <w:sz w:val="22"/>
                              </w:rPr>
                            </w:pPr>
                            <w:r>
                              <w:rPr>
                                <w:sz w:val="22"/>
                              </w:rPr>
                              <w:t>E.2</w:t>
                            </w:r>
                            <w:r>
                              <w:rPr>
                                <w:spacing w:val="38"/>
                                <w:sz w:val="22"/>
                              </w:rPr>
                              <w:t>  </w:t>
                            </w:r>
                            <w:r>
                              <w:rPr>
                                <w:sz w:val="22"/>
                              </w:rPr>
                              <w:t>AI</w:t>
                            </w:r>
                            <w:r>
                              <w:rPr>
                                <w:spacing w:val="-3"/>
                                <w:sz w:val="22"/>
                              </w:rPr>
                              <w:t> </w:t>
                            </w:r>
                            <w:r>
                              <w:rPr>
                                <w:sz w:val="22"/>
                              </w:rPr>
                              <w:t>use</w:t>
                            </w:r>
                            <w:r>
                              <w:rPr>
                                <w:spacing w:val="-4"/>
                                <w:sz w:val="22"/>
                              </w:rPr>
                              <w:t> </w:t>
                            </w:r>
                            <w:r>
                              <w:rPr>
                                <w:sz w:val="22"/>
                              </w:rPr>
                              <w:t>summary</w:t>
                            </w:r>
                            <w:r>
                              <w:rPr>
                                <w:spacing w:val="-3"/>
                                <w:sz w:val="22"/>
                              </w:rPr>
                              <w:t> </w:t>
                            </w:r>
                            <w:r>
                              <w:rPr>
                                <w:sz w:val="22"/>
                              </w:rPr>
                              <w:t>table</w:t>
                            </w:r>
                            <w:r>
                              <w:rPr>
                                <w:spacing w:val="-4"/>
                                <w:sz w:val="22"/>
                              </w:rPr>
                              <w:t> </w:t>
                            </w:r>
                            <w:r>
                              <w:rPr>
                                <w:spacing w:val="-5"/>
                                <w:sz w:val="22"/>
                              </w:rPr>
                              <w:t>2.</w:t>
                            </w:r>
                          </w:p>
                        </w:tc>
                        <w:tc>
                          <w:tcPr>
                            <w:tcW w:w="5008" w:type="dxa"/>
                          </w:tcPr>
                          <w:p>
                            <w:pPr>
                              <w:pStyle w:val="TableParagraph"/>
                              <w:spacing w:line="251" w:lineRule="exact" w:before="0"/>
                              <w:ind w:right="3"/>
                              <w:jc w:val="center"/>
                              <w:rPr>
                                <w:sz w:val="22"/>
                              </w:rPr>
                            </w:pP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pacing w:val="-10"/>
                                <w:sz w:val="22"/>
                              </w:rPr>
                              <w:t>.</w:t>
                            </w:r>
                          </w:p>
                        </w:tc>
                        <w:tc>
                          <w:tcPr>
                            <w:tcW w:w="484" w:type="dxa"/>
                          </w:tcPr>
                          <w:p>
                            <w:pPr>
                              <w:pStyle w:val="TableParagraph"/>
                              <w:spacing w:line="251" w:lineRule="exact" w:before="0"/>
                              <w:ind w:left="56" w:right="1"/>
                              <w:jc w:val="center"/>
                              <w:rPr>
                                <w:sz w:val="22"/>
                              </w:rPr>
                            </w:pPr>
                            <w:hyperlink w:history="true" w:anchor="_bookmark201">
                              <w:r>
                                <w:rPr>
                                  <w:color w:val="8B2C18"/>
                                  <w:spacing w:val="-5"/>
                                  <w:sz w:val="22"/>
                                </w:rPr>
                                <w:t>112</w:t>
                              </w:r>
                            </w:hyperlink>
                          </w:p>
                        </w:tc>
                      </w:tr>
                      <w:tr>
                        <w:trPr>
                          <w:trHeight w:val="270" w:hRule="atLeast"/>
                        </w:trPr>
                        <w:tc>
                          <w:tcPr>
                            <w:tcW w:w="2785" w:type="dxa"/>
                          </w:tcPr>
                          <w:p>
                            <w:pPr>
                              <w:pStyle w:val="TableParagraph"/>
                              <w:spacing w:line="251" w:lineRule="exact" w:before="0"/>
                              <w:ind w:left="50"/>
                              <w:rPr>
                                <w:sz w:val="22"/>
                              </w:rPr>
                            </w:pPr>
                            <w:r>
                              <w:rPr>
                                <w:sz w:val="22"/>
                              </w:rPr>
                              <w:t>E.3</w:t>
                            </w:r>
                            <w:r>
                              <w:rPr>
                                <w:spacing w:val="38"/>
                                <w:sz w:val="22"/>
                              </w:rPr>
                              <w:t>  </w:t>
                            </w:r>
                            <w:r>
                              <w:rPr>
                                <w:sz w:val="22"/>
                              </w:rPr>
                              <w:t>AI</w:t>
                            </w:r>
                            <w:r>
                              <w:rPr>
                                <w:spacing w:val="-3"/>
                                <w:sz w:val="22"/>
                              </w:rPr>
                              <w:t> </w:t>
                            </w:r>
                            <w:r>
                              <w:rPr>
                                <w:sz w:val="22"/>
                              </w:rPr>
                              <w:t>use</w:t>
                            </w:r>
                            <w:r>
                              <w:rPr>
                                <w:spacing w:val="-4"/>
                                <w:sz w:val="22"/>
                              </w:rPr>
                              <w:t> </w:t>
                            </w:r>
                            <w:r>
                              <w:rPr>
                                <w:sz w:val="22"/>
                              </w:rPr>
                              <w:t>summary</w:t>
                            </w:r>
                            <w:r>
                              <w:rPr>
                                <w:spacing w:val="-3"/>
                                <w:sz w:val="22"/>
                              </w:rPr>
                              <w:t> </w:t>
                            </w:r>
                            <w:r>
                              <w:rPr>
                                <w:sz w:val="22"/>
                              </w:rPr>
                              <w:t>table</w:t>
                            </w:r>
                            <w:r>
                              <w:rPr>
                                <w:spacing w:val="-4"/>
                                <w:sz w:val="22"/>
                              </w:rPr>
                              <w:t> </w:t>
                            </w:r>
                            <w:r>
                              <w:rPr>
                                <w:spacing w:val="-5"/>
                                <w:sz w:val="22"/>
                              </w:rPr>
                              <w:t>3.</w:t>
                            </w:r>
                          </w:p>
                        </w:tc>
                        <w:tc>
                          <w:tcPr>
                            <w:tcW w:w="5008" w:type="dxa"/>
                          </w:tcPr>
                          <w:p>
                            <w:pPr>
                              <w:pStyle w:val="TableParagraph"/>
                              <w:spacing w:line="251" w:lineRule="exact" w:before="0"/>
                              <w:ind w:right="3"/>
                              <w:jc w:val="center"/>
                              <w:rPr>
                                <w:sz w:val="22"/>
                              </w:rPr>
                            </w:pP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pacing w:val="-10"/>
                                <w:sz w:val="22"/>
                              </w:rPr>
                              <w:t>.</w:t>
                            </w:r>
                          </w:p>
                        </w:tc>
                        <w:tc>
                          <w:tcPr>
                            <w:tcW w:w="484" w:type="dxa"/>
                          </w:tcPr>
                          <w:p>
                            <w:pPr>
                              <w:pStyle w:val="TableParagraph"/>
                              <w:spacing w:line="251" w:lineRule="exact" w:before="0"/>
                              <w:ind w:left="56" w:right="1"/>
                              <w:jc w:val="center"/>
                              <w:rPr>
                                <w:sz w:val="22"/>
                              </w:rPr>
                            </w:pPr>
                            <w:hyperlink w:history="true" w:anchor="_bookmark204">
                              <w:r>
                                <w:rPr>
                                  <w:color w:val="8B2C18"/>
                                  <w:spacing w:val="-5"/>
                                  <w:sz w:val="22"/>
                                </w:rPr>
                                <w:t>113</w:t>
                              </w:r>
                            </w:hyperlink>
                          </w:p>
                        </w:tc>
                      </w:tr>
                      <w:tr>
                        <w:trPr>
                          <w:trHeight w:val="270" w:hRule="atLeast"/>
                        </w:trPr>
                        <w:tc>
                          <w:tcPr>
                            <w:tcW w:w="2785" w:type="dxa"/>
                          </w:tcPr>
                          <w:p>
                            <w:pPr>
                              <w:pStyle w:val="TableParagraph"/>
                              <w:spacing w:line="251" w:lineRule="exact" w:before="0"/>
                              <w:ind w:left="50"/>
                              <w:rPr>
                                <w:sz w:val="22"/>
                              </w:rPr>
                            </w:pPr>
                            <w:r>
                              <w:rPr>
                                <w:sz w:val="22"/>
                              </w:rPr>
                              <w:t>E.4</w:t>
                            </w:r>
                            <w:r>
                              <w:rPr>
                                <w:spacing w:val="38"/>
                                <w:sz w:val="22"/>
                              </w:rPr>
                              <w:t>  </w:t>
                            </w:r>
                            <w:r>
                              <w:rPr>
                                <w:sz w:val="22"/>
                              </w:rPr>
                              <w:t>AI</w:t>
                            </w:r>
                            <w:r>
                              <w:rPr>
                                <w:spacing w:val="-3"/>
                                <w:sz w:val="22"/>
                              </w:rPr>
                              <w:t> </w:t>
                            </w:r>
                            <w:r>
                              <w:rPr>
                                <w:sz w:val="22"/>
                              </w:rPr>
                              <w:t>use</w:t>
                            </w:r>
                            <w:r>
                              <w:rPr>
                                <w:spacing w:val="-4"/>
                                <w:sz w:val="22"/>
                              </w:rPr>
                              <w:t> </w:t>
                            </w:r>
                            <w:r>
                              <w:rPr>
                                <w:sz w:val="22"/>
                              </w:rPr>
                              <w:t>summary</w:t>
                            </w:r>
                            <w:r>
                              <w:rPr>
                                <w:spacing w:val="-3"/>
                                <w:sz w:val="22"/>
                              </w:rPr>
                              <w:t> </w:t>
                            </w:r>
                            <w:r>
                              <w:rPr>
                                <w:sz w:val="22"/>
                              </w:rPr>
                              <w:t>table</w:t>
                            </w:r>
                            <w:r>
                              <w:rPr>
                                <w:spacing w:val="-4"/>
                                <w:sz w:val="22"/>
                              </w:rPr>
                              <w:t> </w:t>
                            </w:r>
                            <w:r>
                              <w:rPr>
                                <w:spacing w:val="-5"/>
                                <w:sz w:val="22"/>
                              </w:rPr>
                              <w:t>4.</w:t>
                            </w:r>
                          </w:p>
                        </w:tc>
                        <w:tc>
                          <w:tcPr>
                            <w:tcW w:w="5008" w:type="dxa"/>
                          </w:tcPr>
                          <w:p>
                            <w:pPr>
                              <w:pStyle w:val="TableParagraph"/>
                              <w:spacing w:line="251" w:lineRule="exact" w:before="0"/>
                              <w:ind w:right="3"/>
                              <w:jc w:val="center"/>
                              <w:rPr>
                                <w:sz w:val="22"/>
                              </w:rPr>
                            </w:pP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pacing w:val="-10"/>
                                <w:sz w:val="22"/>
                              </w:rPr>
                              <w:t>.</w:t>
                            </w:r>
                          </w:p>
                        </w:tc>
                        <w:tc>
                          <w:tcPr>
                            <w:tcW w:w="484" w:type="dxa"/>
                          </w:tcPr>
                          <w:p>
                            <w:pPr>
                              <w:pStyle w:val="TableParagraph"/>
                              <w:spacing w:line="251" w:lineRule="exact" w:before="0"/>
                              <w:ind w:left="56" w:right="1"/>
                              <w:jc w:val="center"/>
                              <w:rPr>
                                <w:sz w:val="22"/>
                              </w:rPr>
                            </w:pPr>
                            <w:hyperlink w:history="true" w:anchor="_bookmark206">
                              <w:r>
                                <w:rPr>
                                  <w:color w:val="8B2C18"/>
                                  <w:spacing w:val="-5"/>
                                  <w:sz w:val="22"/>
                                </w:rPr>
                                <w:t>113</w:t>
                              </w:r>
                            </w:hyperlink>
                          </w:p>
                        </w:tc>
                      </w:tr>
                      <w:tr>
                        <w:trPr>
                          <w:trHeight w:val="270" w:hRule="atLeast"/>
                        </w:trPr>
                        <w:tc>
                          <w:tcPr>
                            <w:tcW w:w="2785" w:type="dxa"/>
                          </w:tcPr>
                          <w:p>
                            <w:pPr>
                              <w:pStyle w:val="TableParagraph"/>
                              <w:spacing w:line="251" w:lineRule="exact" w:before="0"/>
                              <w:ind w:left="50"/>
                              <w:rPr>
                                <w:sz w:val="22"/>
                              </w:rPr>
                            </w:pPr>
                            <w:r>
                              <w:rPr>
                                <w:sz w:val="22"/>
                              </w:rPr>
                              <w:t>E.5</w:t>
                            </w:r>
                            <w:r>
                              <w:rPr>
                                <w:spacing w:val="38"/>
                                <w:sz w:val="22"/>
                              </w:rPr>
                              <w:t>  </w:t>
                            </w:r>
                            <w:r>
                              <w:rPr>
                                <w:sz w:val="22"/>
                              </w:rPr>
                              <w:t>AI</w:t>
                            </w:r>
                            <w:r>
                              <w:rPr>
                                <w:spacing w:val="-3"/>
                                <w:sz w:val="22"/>
                              </w:rPr>
                              <w:t> </w:t>
                            </w:r>
                            <w:r>
                              <w:rPr>
                                <w:sz w:val="22"/>
                              </w:rPr>
                              <w:t>use</w:t>
                            </w:r>
                            <w:r>
                              <w:rPr>
                                <w:spacing w:val="-4"/>
                                <w:sz w:val="22"/>
                              </w:rPr>
                              <w:t> </w:t>
                            </w:r>
                            <w:r>
                              <w:rPr>
                                <w:sz w:val="22"/>
                              </w:rPr>
                              <w:t>summary</w:t>
                            </w:r>
                            <w:r>
                              <w:rPr>
                                <w:spacing w:val="-3"/>
                                <w:sz w:val="22"/>
                              </w:rPr>
                              <w:t> </w:t>
                            </w:r>
                            <w:r>
                              <w:rPr>
                                <w:sz w:val="22"/>
                              </w:rPr>
                              <w:t>table</w:t>
                            </w:r>
                            <w:r>
                              <w:rPr>
                                <w:spacing w:val="-4"/>
                                <w:sz w:val="22"/>
                              </w:rPr>
                              <w:t> </w:t>
                            </w:r>
                            <w:r>
                              <w:rPr>
                                <w:spacing w:val="-5"/>
                                <w:sz w:val="22"/>
                              </w:rPr>
                              <w:t>5.</w:t>
                            </w:r>
                          </w:p>
                        </w:tc>
                        <w:tc>
                          <w:tcPr>
                            <w:tcW w:w="5008" w:type="dxa"/>
                          </w:tcPr>
                          <w:p>
                            <w:pPr>
                              <w:pStyle w:val="TableParagraph"/>
                              <w:spacing w:line="251" w:lineRule="exact" w:before="0"/>
                              <w:ind w:right="3"/>
                              <w:jc w:val="center"/>
                              <w:rPr>
                                <w:sz w:val="22"/>
                              </w:rPr>
                            </w:pP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pacing w:val="-10"/>
                                <w:sz w:val="22"/>
                              </w:rPr>
                              <w:t>.</w:t>
                            </w:r>
                          </w:p>
                        </w:tc>
                        <w:tc>
                          <w:tcPr>
                            <w:tcW w:w="484" w:type="dxa"/>
                          </w:tcPr>
                          <w:p>
                            <w:pPr>
                              <w:pStyle w:val="TableParagraph"/>
                              <w:spacing w:line="251" w:lineRule="exact" w:before="0"/>
                              <w:ind w:left="56" w:right="1"/>
                              <w:jc w:val="center"/>
                              <w:rPr>
                                <w:sz w:val="22"/>
                              </w:rPr>
                            </w:pPr>
                            <w:hyperlink w:history="true" w:anchor="_bookmark208">
                              <w:r>
                                <w:rPr>
                                  <w:color w:val="8B2C18"/>
                                  <w:spacing w:val="-5"/>
                                  <w:sz w:val="22"/>
                                </w:rPr>
                                <w:t>114</w:t>
                              </w:r>
                            </w:hyperlink>
                          </w:p>
                        </w:tc>
                      </w:tr>
                      <w:tr>
                        <w:trPr>
                          <w:trHeight w:val="266" w:hRule="atLeast"/>
                        </w:trPr>
                        <w:tc>
                          <w:tcPr>
                            <w:tcW w:w="2785" w:type="dxa"/>
                          </w:tcPr>
                          <w:p>
                            <w:pPr>
                              <w:pStyle w:val="TableParagraph"/>
                              <w:spacing w:line="247" w:lineRule="exact" w:before="0"/>
                              <w:ind w:left="50"/>
                              <w:rPr>
                                <w:sz w:val="22"/>
                              </w:rPr>
                            </w:pPr>
                            <w:r>
                              <w:rPr>
                                <w:sz w:val="22"/>
                              </w:rPr>
                              <w:t>E.6</w:t>
                            </w:r>
                            <w:r>
                              <w:rPr>
                                <w:spacing w:val="38"/>
                                <w:sz w:val="22"/>
                              </w:rPr>
                              <w:t>  </w:t>
                            </w:r>
                            <w:r>
                              <w:rPr>
                                <w:sz w:val="22"/>
                              </w:rPr>
                              <w:t>AI</w:t>
                            </w:r>
                            <w:r>
                              <w:rPr>
                                <w:spacing w:val="-3"/>
                                <w:sz w:val="22"/>
                              </w:rPr>
                              <w:t> </w:t>
                            </w:r>
                            <w:r>
                              <w:rPr>
                                <w:sz w:val="22"/>
                              </w:rPr>
                              <w:t>use</w:t>
                            </w:r>
                            <w:r>
                              <w:rPr>
                                <w:spacing w:val="-4"/>
                                <w:sz w:val="22"/>
                              </w:rPr>
                              <w:t> </w:t>
                            </w:r>
                            <w:r>
                              <w:rPr>
                                <w:sz w:val="22"/>
                              </w:rPr>
                              <w:t>summary</w:t>
                            </w:r>
                            <w:r>
                              <w:rPr>
                                <w:spacing w:val="-3"/>
                                <w:sz w:val="22"/>
                              </w:rPr>
                              <w:t> </w:t>
                            </w:r>
                            <w:r>
                              <w:rPr>
                                <w:sz w:val="22"/>
                              </w:rPr>
                              <w:t>table</w:t>
                            </w:r>
                            <w:r>
                              <w:rPr>
                                <w:spacing w:val="-4"/>
                                <w:sz w:val="22"/>
                              </w:rPr>
                              <w:t> </w:t>
                            </w:r>
                            <w:r>
                              <w:rPr>
                                <w:spacing w:val="-5"/>
                                <w:sz w:val="22"/>
                              </w:rPr>
                              <w:t>6.</w:t>
                            </w:r>
                          </w:p>
                        </w:tc>
                        <w:tc>
                          <w:tcPr>
                            <w:tcW w:w="5008" w:type="dxa"/>
                          </w:tcPr>
                          <w:p>
                            <w:pPr>
                              <w:pStyle w:val="TableParagraph"/>
                              <w:spacing w:line="247" w:lineRule="exact" w:before="0"/>
                              <w:ind w:right="3"/>
                              <w:jc w:val="center"/>
                              <w:rPr>
                                <w:sz w:val="22"/>
                              </w:rPr>
                            </w:pP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4"/>
                                <w:sz w:val="22"/>
                              </w:rPr>
                              <w:t> </w:t>
                            </w:r>
                            <w:r>
                              <w:rPr>
                                <w:sz w:val="22"/>
                              </w:rPr>
                              <w:t>.</w:t>
                            </w:r>
                            <w:r>
                              <w:rPr>
                                <w:spacing w:val="53"/>
                                <w:sz w:val="22"/>
                              </w:rPr>
                              <w:t> </w:t>
                            </w:r>
                            <w:r>
                              <w:rPr>
                                <w:sz w:val="22"/>
                              </w:rPr>
                              <w:t>.</w:t>
                            </w:r>
                            <w:r>
                              <w:rPr>
                                <w:spacing w:val="53"/>
                                <w:sz w:val="22"/>
                              </w:rPr>
                              <w:t> </w:t>
                            </w:r>
                            <w:r>
                              <w:rPr>
                                <w:spacing w:val="-10"/>
                                <w:sz w:val="22"/>
                              </w:rPr>
                              <w:t>.</w:t>
                            </w:r>
                          </w:p>
                        </w:tc>
                        <w:tc>
                          <w:tcPr>
                            <w:tcW w:w="484" w:type="dxa"/>
                          </w:tcPr>
                          <w:p>
                            <w:pPr>
                              <w:pStyle w:val="TableParagraph"/>
                              <w:spacing w:line="247" w:lineRule="exact" w:before="0"/>
                              <w:ind w:left="56" w:right="1"/>
                              <w:jc w:val="center"/>
                              <w:rPr>
                                <w:sz w:val="22"/>
                              </w:rPr>
                            </w:pPr>
                            <w:hyperlink w:history="true" w:anchor="_bookmark210">
                              <w:r>
                                <w:rPr>
                                  <w:color w:val="8B2C18"/>
                                  <w:spacing w:val="-5"/>
                                  <w:sz w:val="22"/>
                                </w:rPr>
                                <w:t>115</w:t>
                              </w:r>
                            </w:hyperlink>
                          </w:p>
                        </w:tc>
                      </w:tr>
                    </w:tbl>
                    <w:p>
                      <w:pPr>
                        <w:pStyle w:val="BodyText"/>
                      </w:pPr>
                    </w:p>
                  </w:txbxContent>
                </v:textbox>
                <w10:wrap type="none"/>
              </v:shape>
            </w:pict>
          </mc:Fallback>
        </mc:AlternateContent>
      </w:r>
      <w:r>
        <w:rPr>
          <w:sz w:val="22"/>
        </w:rPr>
        <w:t>Leaf</w:t>
      </w:r>
      <w:r>
        <w:rPr>
          <w:spacing w:val="-7"/>
          <w:sz w:val="22"/>
        </w:rPr>
        <w:t> </w:t>
      </w:r>
      <w:r>
        <w:rPr>
          <w:sz w:val="22"/>
        </w:rPr>
        <w:t>Area</w:t>
      </w:r>
      <w:r>
        <w:rPr>
          <w:spacing w:val="-6"/>
          <w:sz w:val="22"/>
        </w:rPr>
        <w:t> </w:t>
      </w:r>
      <w:r>
        <w:rPr>
          <w:sz w:val="22"/>
        </w:rPr>
        <w:t>Index</w:t>
      </w:r>
      <w:r>
        <w:rPr>
          <w:spacing w:val="-7"/>
          <w:sz w:val="22"/>
        </w:rPr>
        <w:t> </w:t>
      </w:r>
      <w:r>
        <w:rPr>
          <w:sz w:val="22"/>
        </w:rPr>
        <w:t>(LAI)</w:t>
      </w:r>
      <w:r>
        <w:rPr>
          <w:spacing w:val="-6"/>
          <w:sz w:val="22"/>
        </w:rPr>
        <w:t> </w:t>
      </w:r>
      <w:r>
        <w:rPr>
          <w:sz w:val="22"/>
        </w:rPr>
        <w:t>features</w:t>
      </w:r>
      <w:r>
        <w:rPr>
          <w:spacing w:val="-6"/>
          <w:sz w:val="22"/>
        </w:rPr>
        <w:t> </w:t>
      </w:r>
      <w:r>
        <w:rPr>
          <w:sz w:val="22"/>
        </w:rPr>
        <w:t>(10</w:t>
      </w:r>
      <w:r>
        <w:rPr>
          <w:spacing w:val="-7"/>
          <w:sz w:val="22"/>
        </w:rPr>
        <w:t> </w:t>
      </w:r>
      <w:r>
        <w:rPr>
          <w:spacing w:val="-2"/>
          <w:sz w:val="22"/>
        </w:rPr>
        <w:t>features).</w:t>
      </w:r>
      <w:r>
        <w:rPr>
          <w:sz w:val="22"/>
        </w:rPr>
        <w:tab/>
      </w:r>
      <w:hyperlink w:history="true" w:anchor="_bookmark189">
        <w:r>
          <w:rPr>
            <w:color w:val="8B2C18"/>
            <w:spacing w:val="-5"/>
            <w:sz w:val="22"/>
          </w:rPr>
          <w:t>102</w:t>
        </w:r>
      </w:hyperlink>
    </w:p>
    <w:p>
      <w:pPr>
        <w:pStyle w:val="BodyText"/>
        <w:spacing w:before="223"/>
        <w:ind w:left="971"/>
      </w:pPr>
      <w:r>
        <w:rPr/>
        <w:t>0.9</w:t>
      </w:r>
      <w:r>
        <w:rPr>
          <w:rFonts w:ascii="Meiryo UI" w:hAnsi="Meiryo UI"/>
          <w:i/>
        </w:rPr>
        <w:t>×</w:t>
      </w:r>
      <w:r>
        <w:rPr/>
        <w:t>Fc)</w:t>
      </w:r>
      <w:r>
        <w:rPr>
          <w:spacing w:val="-2"/>
        </w:rPr>
        <w:t> </w:t>
      </w:r>
      <w:r>
        <w:rPr/>
        <w:t>features</w:t>
      </w:r>
      <w:r>
        <w:rPr>
          <w:spacing w:val="-2"/>
        </w:rPr>
        <w:t> </w:t>
      </w:r>
      <w:r>
        <w:rPr/>
        <w:t>(18</w:t>
      </w:r>
      <w:r>
        <w:rPr>
          <w:spacing w:val="-2"/>
        </w:rPr>
        <w:t> </w:t>
      </w:r>
      <w:r>
        <w:rPr/>
        <w:t>features).</w:t>
      </w:r>
      <w:r>
        <w:rPr>
          <w:spacing w:val="72"/>
        </w:rPr>
        <w:t> </w:t>
      </w:r>
      <w:r>
        <w:rPr/>
        <w:t>.</w:t>
      </w:r>
      <w:r>
        <w:rPr>
          <w:spacing w:val="52"/>
        </w:rPr>
        <w:t> </w:t>
      </w:r>
      <w:r>
        <w:rPr/>
        <w:t>.</w:t>
      </w:r>
      <w:r>
        <w:rPr>
          <w:spacing w:val="53"/>
        </w:rPr>
        <w:t> </w:t>
      </w:r>
      <w:r>
        <w:rPr/>
        <w:t>.</w:t>
      </w:r>
      <w:r>
        <w:rPr>
          <w:spacing w:val="52"/>
        </w:rPr>
        <w:t> </w:t>
      </w:r>
      <w:r>
        <w:rPr/>
        <w:t>.</w:t>
      </w:r>
      <w:r>
        <w:rPr>
          <w:spacing w:val="53"/>
        </w:rPr>
        <w:t> </w:t>
      </w:r>
      <w:r>
        <w:rPr/>
        <w:t>.</w:t>
      </w:r>
      <w:r>
        <w:rPr>
          <w:spacing w:val="52"/>
        </w:rPr>
        <w:t> </w:t>
      </w:r>
      <w:r>
        <w:rPr/>
        <w:t>.</w:t>
      </w:r>
      <w:r>
        <w:rPr>
          <w:spacing w:val="52"/>
        </w:rPr>
        <w:t> </w:t>
      </w:r>
      <w:r>
        <w:rPr/>
        <w:t>.</w:t>
      </w:r>
      <w:r>
        <w:rPr>
          <w:spacing w:val="53"/>
        </w:rPr>
        <w:t> </w:t>
      </w:r>
      <w:r>
        <w:rPr/>
        <w:t>.</w:t>
      </w:r>
      <w:r>
        <w:rPr>
          <w:spacing w:val="52"/>
        </w:rPr>
        <w:t> </w:t>
      </w:r>
      <w:r>
        <w:rPr/>
        <w:t>.</w:t>
      </w:r>
      <w:r>
        <w:rPr>
          <w:spacing w:val="52"/>
        </w:rPr>
        <w:t> </w:t>
      </w:r>
      <w:r>
        <w:rPr/>
        <w:t>.</w:t>
      </w:r>
      <w:r>
        <w:rPr>
          <w:spacing w:val="53"/>
        </w:rPr>
        <w:t> </w:t>
      </w:r>
      <w:r>
        <w:rPr/>
        <w:t>.</w:t>
      </w:r>
      <w:r>
        <w:rPr>
          <w:spacing w:val="52"/>
        </w:rPr>
        <w:t> </w:t>
      </w:r>
      <w:r>
        <w:rPr/>
        <w:t>.</w:t>
      </w:r>
      <w:r>
        <w:rPr>
          <w:spacing w:val="52"/>
        </w:rPr>
        <w:t> </w:t>
      </w:r>
      <w:r>
        <w:rPr/>
        <w:t>.</w:t>
      </w:r>
      <w:r>
        <w:rPr>
          <w:spacing w:val="53"/>
        </w:rPr>
        <w:t> </w:t>
      </w:r>
      <w:r>
        <w:rPr/>
        <w:t>.</w:t>
      </w:r>
      <w:r>
        <w:rPr>
          <w:spacing w:val="52"/>
        </w:rPr>
        <w:t> </w:t>
      </w:r>
      <w:r>
        <w:rPr/>
        <w:t>.</w:t>
      </w:r>
      <w:r>
        <w:rPr>
          <w:spacing w:val="53"/>
        </w:rPr>
        <w:t> </w:t>
      </w:r>
      <w:r>
        <w:rPr/>
        <w:t>.</w:t>
      </w:r>
      <w:r>
        <w:rPr>
          <w:spacing w:val="52"/>
        </w:rPr>
        <w:t> </w:t>
      </w:r>
      <w:r>
        <w:rPr/>
        <w:t>.</w:t>
      </w:r>
      <w:r>
        <w:rPr>
          <w:spacing w:val="52"/>
        </w:rPr>
        <w:t> </w:t>
      </w:r>
      <w:r>
        <w:rPr/>
        <w:t>.</w:t>
      </w:r>
      <w:r>
        <w:rPr>
          <w:spacing w:val="53"/>
        </w:rPr>
        <w:t> </w:t>
      </w:r>
      <w:r>
        <w:rPr/>
        <w:t>.</w:t>
      </w:r>
      <w:r>
        <w:rPr>
          <w:spacing w:val="52"/>
        </w:rPr>
        <w:t> </w:t>
      </w:r>
      <w:r>
        <w:rPr/>
        <w:t>.</w:t>
      </w:r>
      <w:r>
        <w:rPr>
          <w:spacing w:val="52"/>
        </w:rPr>
        <w:t> </w:t>
      </w:r>
      <w:r>
        <w:rPr/>
        <w:t>.</w:t>
      </w:r>
      <w:r>
        <w:rPr>
          <w:spacing w:val="53"/>
        </w:rPr>
        <w:t> </w:t>
      </w:r>
      <w:r>
        <w:rPr/>
        <w:t>.</w:t>
      </w:r>
      <w:r>
        <w:rPr>
          <w:spacing w:val="52"/>
        </w:rPr>
        <w:t> </w:t>
      </w:r>
      <w:r>
        <w:rPr/>
        <w:t>.</w:t>
      </w:r>
      <w:r>
        <w:rPr>
          <w:spacing w:val="52"/>
        </w:rPr>
        <w:t> </w:t>
      </w:r>
      <w:r>
        <w:rPr/>
        <w:t>.</w:t>
      </w:r>
      <w:r>
        <w:rPr>
          <w:spacing w:val="53"/>
        </w:rPr>
        <w:t> </w:t>
      </w:r>
      <w:r>
        <w:rPr/>
        <w:t>.</w:t>
      </w:r>
      <w:r>
        <w:rPr>
          <w:spacing w:val="52"/>
        </w:rPr>
        <w:t> </w:t>
      </w:r>
      <w:r>
        <w:rPr/>
        <w:t>.</w:t>
      </w:r>
      <w:r>
        <w:rPr>
          <w:spacing w:val="53"/>
        </w:rPr>
        <w:t> </w:t>
      </w:r>
      <w:r>
        <w:rPr>
          <w:spacing w:val="-10"/>
        </w:rPr>
        <w:t>.</w:t>
      </w:r>
    </w:p>
    <w:p>
      <w:pPr>
        <w:pStyle w:val="BodyText"/>
        <w:spacing w:after="0"/>
        <w:sectPr>
          <w:headerReference w:type="even" r:id="rId26"/>
          <w:pgSz w:w="11910" w:h="16840"/>
          <w:pgMar w:header="0" w:footer="0" w:top="1860" w:bottom="280" w:left="1275" w:right="425"/>
        </w:sectPr>
      </w:pPr>
    </w:p>
    <w:p>
      <w:pPr>
        <w:pStyle w:val="BodyText"/>
        <w:rPr>
          <w:sz w:val="41"/>
        </w:rPr>
      </w:pPr>
    </w:p>
    <w:p>
      <w:pPr>
        <w:pStyle w:val="BodyText"/>
        <w:rPr>
          <w:sz w:val="41"/>
        </w:rPr>
      </w:pPr>
    </w:p>
    <w:p>
      <w:pPr>
        <w:pStyle w:val="BodyText"/>
        <w:spacing w:before="58"/>
        <w:rPr>
          <w:sz w:val="41"/>
        </w:rPr>
      </w:pPr>
    </w:p>
    <w:p>
      <w:pPr>
        <w:spacing w:before="0"/>
        <w:ind w:left="709" w:right="0" w:firstLine="0"/>
        <w:jc w:val="left"/>
        <w:rPr>
          <w:b/>
          <w:sz w:val="41"/>
        </w:rPr>
      </w:pPr>
      <w:bookmarkStart w:name="1 Introduction" w:id="5"/>
      <w:bookmarkEnd w:id="5"/>
      <w:r>
        <w:rPr/>
      </w:r>
      <w:bookmarkStart w:name="_bookmark0" w:id="6"/>
      <w:bookmarkEnd w:id="6"/>
      <w:r>
        <w:rPr/>
      </w:r>
      <w:r>
        <w:rPr>
          <w:b/>
          <w:sz w:val="41"/>
        </w:rPr>
        <w:t>Chapter </w:t>
      </w:r>
      <w:r>
        <w:rPr>
          <w:b/>
          <w:spacing w:val="-10"/>
          <w:sz w:val="41"/>
        </w:rPr>
        <w:t>1</w:t>
      </w:r>
    </w:p>
    <w:p>
      <w:pPr>
        <w:pStyle w:val="BodyText"/>
        <w:spacing w:before="138"/>
        <w:rPr>
          <w:b/>
          <w:sz w:val="41"/>
        </w:rPr>
      </w:pPr>
    </w:p>
    <w:p>
      <w:pPr>
        <w:pStyle w:val="Heading1"/>
      </w:pPr>
      <w:r>
        <w:rPr>
          <w:spacing w:val="-2"/>
        </w:rPr>
        <w:t>Introduction</w:t>
      </w:r>
    </w:p>
    <w:p>
      <w:pPr>
        <w:pStyle w:val="BodyText"/>
        <w:spacing w:before="334"/>
        <w:rPr>
          <w:b/>
          <w:sz w:val="49"/>
        </w:rPr>
      </w:pPr>
    </w:p>
    <w:p>
      <w:pPr>
        <w:pStyle w:val="Heading2"/>
        <w:numPr>
          <w:ilvl w:val="1"/>
          <w:numId w:val="13"/>
        </w:numPr>
        <w:tabs>
          <w:tab w:pos="1354" w:val="left" w:leader="none"/>
        </w:tabs>
        <w:spacing w:line="240" w:lineRule="auto" w:before="0" w:after="0"/>
        <w:ind w:left="1354" w:right="0" w:hanging="645"/>
        <w:jc w:val="left"/>
      </w:pPr>
      <w:bookmarkStart w:name="1.1 Motivation" w:id="7"/>
      <w:bookmarkEnd w:id="7"/>
      <w:r>
        <w:rPr>
          <w:b w:val="0"/>
        </w:rPr>
      </w:r>
      <w:bookmarkStart w:name="_bookmark1" w:id="8"/>
      <w:bookmarkEnd w:id="8"/>
      <w:r>
        <w:rPr>
          <w:b w:val="0"/>
        </w:rPr>
      </w:r>
      <w:r>
        <w:rPr>
          <w:spacing w:val="-2"/>
        </w:rPr>
        <w:t>Motivation</w:t>
      </w:r>
    </w:p>
    <w:p>
      <w:pPr>
        <w:pStyle w:val="BodyText"/>
        <w:spacing w:before="31"/>
        <w:rPr>
          <w:b/>
          <w:sz w:val="28"/>
        </w:rPr>
      </w:pPr>
    </w:p>
    <w:p>
      <w:pPr>
        <w:pStyle w:val="BodyText"/>
        <w:spacing w:line="312" w:lineRule="auto" w:before="1"/>
        <w:ind w:left="701" w:right="954" w:hanging="3"/>
        <w:jc w:val="both"/>
      </w:pPr>
      <w:r>
        <w:rPr>
          <w:spacing w:val="-2"/>
        </w:rPr>
        <w:t>Wine</w:t>
      </w:r>
      <w:r>
        <w:rPr>
          <w:spacing w:val="-9"/>
        </w:rPr>
        <w:t> </w:t>
      </w:r>
      <w:r>
        <w:rPr>
          <w:spacing w:val="-2"/>
        </w:rPr>
        <w:t>production</w:t>
      </w:r>
      <w:r>
        <w:rPr>
          <w:spacing w:val="-9"/>
        </w:rPr>
        <w:t> </w:t>
      </w:r>
      <w:r>
        <w:rPr>
          <w:spacing w:val="-2"/>
        </w:rPr>
        <w:t>is</w:t>
      </w:r>
      <w:r>
        <w:rPr>
          <w:spacing w:val="-9"/>
        </w:rPr>
        <w:t> </w:t>
      </w:r>
      <w:r>
        <w:rPr>
          <w:spacing w:val="-2"/>
        </w:rPr>
        <w:t>among</w:t>
      </w:r>
      <w:r>
        <w:rPr>
          <w:spacing w:val="-9"/>
        </w:rPr>
        <w:t> </w:t>
      </w:r>
      <w:r>
        <w:rPr>
          <w:spacing w:val="-2"/>
        </w:rPr>
        <w:t>the</w:t>
      </w:r>
      <w:r>
        <w:rPr>
          <w:spacing w:val="-9"/>
        </w:rPr>
        <w:t> </w:t>
      </w:r>
      <w:r>
        <w:rPr>
          <w:spacing w:val="-2"/>
        </w:rPr>
        <w:t>most</w:t>
      </w:r>
      <w:r>
        <w:rPr>
          <w:spacing w:val="-9"/>
        </w:rPr>
        <w:t> </w:t>
      </w:r>
      <w:r>
        <w:rPr>
          <w:spacing w:val="-2"/>
        </w:rPr>
        <w:t>climate-sensitive</w:t>
      </w:r>
      <w:r>
        <w:rPr>
          <w:spacing w:val="-9"/>
        </w:rPr>
        <w:t> </w:t>
      </w:r>
      <w:r>
        <w:rPr>
          <w:spacing w:val="-2"/>
        </w:rPr>
        <w:t>agricultural</w:t>
      </w:r>
      <w:r>
        <w:rPr>
          <w:spacing w:val="-9"/>
        </w:rPr>
        <w:t> </w:t>
      </w:r>
      <w:r>
        <w:rPr>
          <w:spacing w:val="-2"/>
        </w:rPr>
        <w:t>activities</w:t>
      </w:r>
      <w:r>
        <w:rPr>
          <w:spacing w:val="-9"/>
        </w:rPr>
        <w:t> </w:t>
      </w:r>
      <w:r>
        <w:rPr>
          <w:spacing w:val="-2"/>
        </w:rPr>
        <w:t>in</w:t>
      </w:r>
      <w:r>
        <w:rPr>
          <w:spacing w:val="-9"/>
        </w:rPr>
        <w:t> </w:t>
      </w:r>
      <w:r>
        <w:rPr>
          <w:spacing w:val="-2"/>
        </w:rPr>
        <w:t>Europe.</w:t>
      </w:r>
      <w:r>
        <w:rPr/>
        <w:t> </w:t>
      </w:r>
      <w:r>
        <w:rPr>
          <w:spacing w:val="-2"/>
        </w:rPr>
        <w:t>Annual</w:t>
      </w:r>
      <w:r>
        <w:rPr>
          <w:spacing w:val="-9"/>
        </w:rPr>
        <w:t> </w:t>
      </w:r>
      <w:r>
        <w:rPr>
          <w:spacing w:val="-2"/>
        </w:rPr>
        <w:t>yield </w:t>
      </w:r>
      <w:r>
        <w:rPr/>
        <w:t>at a regional scale is governed by a complex interaction of meteorological conditions during the </w:t>
      </w:r>
      <w:r>
        <w:rPr>
          <w:spacing w:val="-2"/>
        </w:rPr>
        <w:t>growing</w:t>
      </w:r>
      <w:r>
        <w:rPr>
          <w:spacing w:val="-8"/>
        </w:rPr>
        <w:t> </w:t>
      </w:r>
      <w:r>
        <w:rPr>
          <w:spacing w:val="-2"/>
        </w:rPr>
        <w:t>season,</w:t>
      </w:r>
      <w:r>
        <w:rPr>
          <w:spacing w:val="-8"/>
        </w:rPr>
        <w:t> </w:t>
      </w:r>
      <w:r>
        <w:rPr>
          <w:spacing w:val="-2"/>
        </w:rPr>
        <w:t>temperature,</w:t>
      </w:r>
      <w:r>
        <w:rPr>
          <w:spacing w:val="-8"/>
        </w:rPr>
        <w:t> </w:t>
      </w:r>
      <w:r>
        <w:rPr>
          <w:spacing w:val="-2"/>
        </w:rPr>
        <w:t>rainfall,</w:t>
      </w:r>
      <w:r>
        <w:rPr>
          <w:spacing w:val="-8"/>
        </w:rPr>
        <w:t> </w:t>
      </w:r>
      <w:r>
        <w:rPr>
          <w:spacing w:val="-2"/>
        </w:rPr>
        <w:t>soil</w:t>
      </w:r>
      <w:r>
        <w:rPr>
          <w:spacing w:val="-8"/>
        </w:rPr>
        <w:t> </w:t>
      </w:r>
      <w:r>
        <w:rPr>
          <w:spacing w:val="-2"/>
        </w:rPr>
        <w:t>water</w:t>
      </w:r>
      <w:r>
        <w:rPr>
          <w:spacing w:val="-8"/>
        </w:rPr>
        <w:t> </w:t>
      </w:r>
      <w:r>
        <w:rPr>
          <w:spacing w:val="-2"/>
        </w:rPr>
        <w:t>balance,</w:t>
      </w:r>
      <w:r>
        <w:rPr>
          <w:spacing w:val="-8"/>
        </w:rPr>
        <w:t> </w:t>
      </w:r>
      <w:r>
        <w:rPr>
          <w:spacing w:val="-2"/>
        </w:rPr>
        <w:t>and</w:t>
      </w:r>
      <w:r>
        <w:rPr>
          <w:spacing w:val="-8"/>
        </w:rPr>
        <w:t> </w:t>
      </w:r>
      <w:r>
        <w:rPr>
          <w:spacing w:val="-2"/>
        </w:rPr>
        <w:t>frost</w:t>
      </w:r>
      <w:r>
        <w:rPr>
          <w:spacing w:val="-8"/>
        </w:rPr>
        <w:t> </w:t>
      </w:r>
      <w:r>
        <w:rPr>
          <w:spacing w:val="-2"/>
        </w:rPr>
        <w:t>events,</w:t>
      </w:r>
      <w:r>
        <w:rPr>
          <w:spacing w:val="-8"/>
        </w:rPr>
        <w:t> </w:t>
      </w:r>
      <w:r>
        <w:rPr>
          <w:spacing w:val="-2"/>
        </w:rPr>
        <w:t>superimposed</w:t>
      </w:r>
      <w:r>
        <w:rPr>
          <w:spacing w:val="-8"/>
        </w:rPr>
        <w:t> </w:t>
      </w:r>
      <w:r>
        <w:rPr>
          <w:spacing w:val="-2"/>
        </w:rPr>
        <w:t>on</w:t>
      </w:r>
      <w:r>
        <w:rPr>
          <w:spacing w:val="-8"/>
        </w:rPr>
        <w:t> </w:t>
      </w:r>
      <w:r>
        <w:rPr>
          <w:spacing w:val="-2"/>
        </w:rPr>
        <w:t>longer-</w:t>
      </w:r>
      <w:r>
        <w:rPr/>
        <w:t>term structural factors including vine age and density, viticultural practices, policy constraints, and market demand.</w:t>
      </w:r>
      <w:r>
        <w:rPr>
          <w:spacing w:val="40"/>
        </w:rPr>
        <w:t> </w:t>
      </w:r>
      <w:r>
        <w:rPr/>
        <w:t>For wine regions such as the Douro Valley and Vinho Verde in northern Portugal,</w:t>
      </w:r>
      <w:r>
        <w:rPr>
          <w:spacing w:val="-13"/>
        </w:rPr>
        <w:t> </w:t>
      </w:r>
      <w:r>
        <w:rPr/>
        <w:t>which</w:t>
      </w:r>
      <w:r>
        <w:rPr>
          <w:spacing w:val="-13"/>
        </w:rPr>
        <w:t> </w:t>
      </w:r>
      <w:r>
        <w:rPr/>
        <w:t>together</w:t>
      </w:r>
      <w:r>
        <w:rPr>
          <w:spacing w:val="-13"/>
        </w:rPr>
        <w:t> </w:t>
      </w:r>
      <w:r>
        <w:rPr/>
        <w:t>produce</w:t>
      </w:r>
      <w:r>
        <w:rPr>
          <w:spacing w:val="-13"/>
        </w:rPr>
        <w:t> </w:t>
      </w:r>
      <w:r>
        <w:rPr/>
        <w:t>some</w:t>
      </w:r>
      <w:r>
        <w:rPr>
          <w:spacing w:val="-13"/>
        </w:rPr>
        <w:t> </w:t>
      </w:r>
      <w:r>
        <w:rPr/>
        <w:t>of</w:t>
      </w:r>
      <w:r>
        <w:rPr>
          <w:spacing w:val="-13"/>
        </w:rPr>
        <w:t> </w:t>
      </w:r>
      <w:r>
        <w:rPr/>
        <w:t>Portugal’s</w:t>
      </w:r>
      <w:r>
        <w:rPr>
          <w:spacing w:val="-13"/>
        </w:rPr>
        <w:t> </w:t>
      </w:r>
      <w:r>
        <w:rPr/>
        <w:t>most</w:t>
      </w:r>
      <w:r>
        <w:rPr>
          <w:spacing w:val="-13"/>
        </w:rPr>
        <w:t> </w:t>
      </w:r>
      <w:r>
        <w:rPr/>
        <w:t>commercially</w:t>
      </w:r>
      <w:r>
        <w:rPr>
          <w:spacing w:val="-13"/>
        </w:rPr>
        <w:t> </w:t>
      </w:r>
      <w:r>
        <w:rPr/>
        <w:t>and</w:t>
      </w:r>
      <w:r>
        <w:rPr>
          <w:spacing w:val="-13"/>
        </w:rPr>
        <w:t> </w:t>
      </w:r>
      <w:r>
        <w:rPr/>
        <w:t>culturally</w:t>
      </w:r>
      <w:r>
        <w:rPr>
          <w:spacing w:val="-13"/>
        </w:rPr>
        <w:t> </w:t>
      </w:r>
      <w:r>
        <w:rPr/>
        <w:t>significant wines,</w:t>
      </w:r>
      <w:r>
        <w:rPr>
          <w:spacing w:val="-2"/>
        </w:rPr>
        <w:t> </w:t>
      </w:r>
      <w:r>
        <w:rPr/>
        <w:t>understanding</w:t>
      </w:r>
      <w:r>
        <w:rPr>
          <w:spacing w:val="-2"/>
        </w:rPr>
        <w:t> </w:t>
      </w:r>
      <w:r>
        <w:rPr/>
        <w:t>the</w:t>
      </w:r>
      <w:r>
        <w:rPr>
          <w:spacing w:val="-2"/>
        </w:rPr>
        <w:t> </w:t>
      </w:r>
      <w:r>
        <w:rPr/>
        <w:t>relationship</w:t>
      </w:r>
      <w:r>
        <w:rPr>
          <w:spacing w:val="-2"/>
        </w:rPr>
        <w:t> </w:t>
      </w:r>
      <w:r>
        <w:rPr/>
        <w:t>between</w:t>
      </w:r>
      <w:r>
        <w:rPr>
          <w:spacing w:val="-2"/>
        </w:rPr>
        <w:t> </w:t>
      </w:r>
      <w:r>
        <w:rPr/>
        <w:t>climate</w:t>
      </w:r>
      <w:r>
        <w:rPr>
          <w:spacing w:val="-2"/>
        </w:rPr>
        <w:t> </w:t>
      </w:r>
      <w:r>
        <w:rPr/>
        <w:t>and</w:t>
      </w:r>
      <w:r>
        <w:rPr>
          <w:spacing w:val="-2"/>
        </w:rPr>
        <w:t> </w:t>
      </w:r>
      <w:r>
        <w:rPr/>
        <w:t>production</w:t>
      </w:r>
      <w:r>
        <w:rPr>
          <w:spacing w:val="-2"/>
        </w:rPr>
        <w:t> </w:t>
      </w:r>
      <w:r>
        <w:rPr/>
        <w:t>has</w:t>
      </w:r>
      <w:r>
        <w:rPr>
          <w:spacing w:val="-2"/>
        </w:rPr>
        <w:t> </w:t>
      </w:r>
      <w:r>
        <w:rPr/>
        <w:t>practical</w:t>
      </w:r>
      <w:r>
        <w:rPr>
          <w:spacing w:val="-2"/>
        </w:rPr>
        <w:t> </w:t>
      </w:r>
      <w:r>
        <w:rPr/>
        <w:t>relevance</w:t>
      </w:r>
      <w:r>
        <w:rPr>
          <w:spacing w:val="-2"/>
        </w:rPr>
        <w:t> </w:t>
      </w:r>
      <w:r>
        <w:rPr/>
        <w:t>for </w:t>
      </w:r>
      <w:r>
        <w:rPr>
          <w:spacing w:val="-2"/>
        </w:rPr>
        <w:t>producers,</w:t>
      </w:r>
      <w:r>
        <w:rPr>
          <w:spacing w:val="-12"/>
        </w:rPr>
        <w:t> </w:t>
      </w:r>
      <w:r>
        <w:rPr>
          <w:spacing w:val="-2"/>
        </w:rPr>
        <w:t>cooperatives,</w:t>
      </w:r>
      <w:r>
        <w:rPr>
          <w:spacing w:val="-12"/>
        </w:rPr>
        <w:t> </w:t>
      </w:r>
      <w:r>
        <w:rPr>
          <w:spacing w:val="-2"/>
        </w:rPr>
        <w:t>and</w:t>
      </w:r>
      <w:r>
        <w:rPr>
          <w:spacing w:val="-12"/>
        </w:rPr>
        <w:t> </w:t>
      </w:r>
      <w:r>
        <w:rPr>
          <w:spacing w:val="-2"/>
        </w:rPr>
        <w:t>regulatory</w:t>
      </w:r>
      <w:r>
        <w:rPr>
          <w:spacing w:val="-11"/>
        </w:rPr>
        <w:t> </w:t>
      </w:r>
      <w:r>
        <w:rPr>
          <w:spacing w:val="-2"/>
        </w:rPr>
        <w:t>bodies</w:t>
      </w:r>
      <w:r>
        <w:rPr>
          <w:spacing w:val="-12"/>
        </w:rPr>
        <w:t> </w:t>
      </w:r>
      <w:r>
        <w:rPr>
          <w:spacing w:val="-2"/>
        </w:rPr>
        <w:t>managing</w:t>
      </w:r>
      <w:r>
        <w:rPr>
          <w:spacing w:val="-12"/>
        </w:rPr>
        <w:t> </w:t>
      </w:r>
      <w:r>
        <w:rPr>
          <w:spacing w:val="-2"/>
        </w:rPr>
        <w:t>annual</w:t>
      </w:r>
      <w:r>
        <w:rPr>
          <w:spacing w:val="-12"/>
        </w:rPr>
        <w:t> </w:t>
      </w:r>
      <w:r>
        <w:rPr>
          <w:spacing w:val="-2"/>
        </w:rPr>
        <w:t>harvest</w:t>
      </w:r>
      <w:r>
        <w:rPr>
          <w:spacing w:val="-11"/>
        </w:rPr>
        <w:t> </w:t>
      </w:r>
      <w:r>
        <w:rPr>
          <w:spacing w:val="-2"/>
        </w:rPr>
        <w:t>forecasts,</w:t>
      </w:r>
      <w:r>
        <w:rPr>
          <w:spacing w:val="-12"/>
        </w:rPr>
        <w:t> </w:t>
      </w:r>
      <w:r>
        <w:rPr>
          <w:spacing w:val="-2"/>
        </w:rPr>
        <w:t>storage</w:t>
      </w:r>
      <w:r>
        <w:rPr>
          <w:spacing w:val="-12"/>
        </w:rPr>
        <w:t> </w:t>
      </w:r>
      <w:r>
        <w:rPr>
          <w:spacing w:val="-2"/>
        </w:rPr>
        <w:t>planning, </w:t>
      </w:r>
      <w:r>
        <w:rPr/>
        <w:t>and risk assessment.</w:t>
      </w:r>
    </w:p>
    <w:p>
      <w:pPr>
        <w:pStyle w:val="BodyText"/>
        <w:spacing w:line="312" w:lineRule="auto" w:before="31"/>
        <w:ind w:left="709" w:right="990" w:firstLine="338"/>
        <w:jc w:val="both"/>
      </w:pPr>
      <w:r>
        <w:rPr/>
        <w:t>At the same time, the agroclimatic signal present in annual production data is weak </w:t>
      </w:r>
      <w:r>
        <w:rPr/>
        <w:t>when compared to the year-to-year variability. Total production values at the regional level reflect the decisions of thousands of individual producers, the heterogeneity of vineyards in terms of soil type,</w:t>
      </w:r>
      <w:r>
        <w:rPr>
          <w:spacing w:val="-8"/>
        </w:rPr>
        <w:t> </w:t>
      </w:r>
      <w:r>
        <w:rPr/>
        <w:t>altitude,</w:t>
      </w:r>
      <w:r>
        <w:rPr>
          <w:spacing w:val="-8"/>
        </w:rPr>
        <w:t> </w:t>
      </w:r>
      <w:r>
        <w:rPr/>
        <w:t>and</w:t>
      </w:r>
      <w:r>
        <w:rPr>
          <w:spacing w:val="-8"/>
        </w:rPr>
        <w:t> </w:t>
      </w:r>
      <w:r>
        <w:rPr/>
        <w:t>vine</w:t>
      </w:r>
      <w:r>
        <w:rPr>
          <w:spacing w:val="-8"/>
        </w:rPr>
        <w:t> </w:t>
      </w:r>
      <w:r>
        <w:rPr/>
        <w:t>training</w:t>
      </w:r>
      <w:r>
        <w:rPr>
          <w:spacing w:val="-8"/>
        </w:rPr>
        <w:t> </w:t>
      </w:r>
      <w:r>
        <w:rPr/>
        <w:t>systems,</w:t>
      </w:r>
      <w:r>
        <w:rPr>
          <w:spacing w:val="-8"/>
        </w:rPr>
        <w:t> </w:t>
      </w:r>
      <w:r>
        <w:rPr/>
        <w:t>as</w:t>
      </w:r>
      <w:r>
        <w:rPr>
          <w:spacing w:val="-8"/>
        </w:rPr>
        <w:t> </w:t>
      </w:r>
      <w:r>
        <w:rPr/>
        <w:t>well</w:t>
      </w:r>
      <w:r>
        <w:rPr>
          <w:spacing w:val="-8"/>
        </w:rPr>
        <w:t> </w:t>
      </w:r>
      <w:r>
        <w:rPr/>
        <w:t>as</w:t>
      </w:r>
      <w:r>
        <w:rPr>
          <w:spacing w:val="-8"/>
        </w:rPr>
        <w:t> </w:t>
      </w:r>
      <w:r>
        <w:rPr/>
        <w:t>the</w:t>
      </w:r>
      <w:r>
        <w:rPr>
          <w:spacing w:val="-8"/>
        </w:rPr>
        <w:t> </w:t>
      </w:r>
      <w:r>
        <w:rPr/>
        <w:t>effects</w:t>
      </w:r>
      <w:r>
        <w:rPr>
          <w:spacing w:val="-8"/>
        </w:rPr>
        <w:t> </w:t>
      </w:r>
      <w:r>
        <w:rPr/>
        <w:t>of</w:t>
      </w:r>
      <w:r>
        <w:rPr>
          <w:spacing w:val="-8"/>
        </w:rPr>
        <w:t> </w:t>
      </w:r>
      <w:r>
        <w:rPr/>
        <w:t>localized</w:t>
      </w:r>
      <w:r>
        <w:rPr>
          <w:spacing w:val="-8"/>
        </w:rPr>
        <w:t> </w:t>
      </w:r>
      <w:r>
        <w:rPr/>
        <w:t>weather</w:t>
      </w:r>
      <w:r>
        <w:rPr>
          <w:spacing w:val="-8"/>
        </w:rPr>
        <w:t> </w:t>
      </w:r>
      <w:r>
        <w:rPr/>
        <w:t>events</w:t>
      </w:r>
      <w:r>
        <w:rPr>
          <w:spacing w:val="-8"/>
        </w:rPr>
        <w:t> </w:t>
      </w:r>
      <w:r>
        <w:rPr/>
        <w:t>that</w:t>
      </w:r>
      <w:r>
        <w:rPr>
          <w:spacing w:val="-8"/>
        </w:rPr>
        <w:t> </w:t>
      </w:r>
      <w:r>
        <w:rPr/>
        <w:t>are not</w:t>
      </w:r>
      <w:r>
        <w:rPr>
          <w:spacing w:val="-7"/>
        </w:rPr>
        <w:t> </w:t>
      </w:r>
      <w:r>
        <w:rPr/>
        <w:t>captured</w:t>
      </w:r>
      <w:r>
        <w:rPr>
          <w:spacing w:val="-7"/>
        </w:rPr>
        <w:t> </w:t>
      </w:r>
      <w:r>
        <w:rPr/>
        <w:t>by</w:t>
      </w:r>
      <w:r>
        <w:rPr>
          <w:spacing w:val="-7"/>
        </w:rPr>
        <w:t> </w:t>
      </w:r>
      <w:r>
        <w:rPr/>
        <w:t>regional</w:t>
      </w:r>
      <w:r>
        <w:rPr>
          <w:spacing w:val="-7"/>
        </w:rPr>
        <w:t> </w:t>
      </w:r>
      <w:r>
        <w:rPr/>
        <w:t>climate</w:t>
      </w:r>
      <w:r>
        <w:rPr>
          <w:spacing w:val="-7"/>
        </w:rPr>
        <w:t> </w:t>
      </w:r>
      <w:r>
        <w:rPr/>
        <w:t>indices. This</w:t>
      </w:r>
      <w:r>
        <w:rPr>
          <w:spacing w:val="-7"/>
        </w:rPr>
        <w:t> </w:t>
      </w:r>
      <w:r>
        <w:rPr/>
        <w:t>high</w:t>
      </w:r>
      <w:r>
        <w:rPr>
          <w:spacing w:val="-7"/>
        </w:rPr>
        <w:t> </w:t>
      </w:r>
      <w:r>
        <w:rPr/>
        <w:t>level</w:t>
      </w:r>
      <w:r>
        <w:rPr>
          <w:spacing w:val="-7"/>
        </w:rPr>
        <w:t> </w:t>
      </w:r>
      <w:r>
        <w:rPr/>
        <w:t>of</w:t>
      </w:r>
      <w:r>
        <w:rPr>
          <w:spacing w:val="-7"/>
        </w:rPr>
        <w:t> </w:t>
      </w:r>
      <w:r>
        <w:rPr/>
        <w:t>variability</w:t>
      </w:r>
      <w:r>
        <w:rPr>
          <w:spacing w:val="-7"/>
        </w:rPr>
        <w:t> </w:t>
      </w:r>
      <w:r>
        <w:rPr/>
        <w:t>has</w:t>
      </w:r>
      <w:r>
        <w:rPr>
          <w:spacing w:val="-7"/>
        </w:rPr>
        <w:t> </w:t>
      </w:r>
      <w:r>
        <w:rPr/>
        <w:t>historically</w:t>
      </w:r>
      <w:r>
        <w:rPr>
          <w:spacing w:val="-7"/>
        </w:rPr>
        <w:t> </w:t>
      </w:r>
      <w:r>
        <w:rPr/>
        <w:t>limited</w:t>
      </w:r>
      <w:r>
        <w:rPr>
          <w:spacing w:val="-7"/>
        </w:rPr>
        <w:t> </w:t>
      </w:r>
      <w:r>
        <w:rPr/>
        <w:t>the </w:t>
      </w:r>
      <w:r>
        <w:rPr>
          <w:spacing w:val="-2"/>
        </w:rPr>
        <w:t>predictive</w:t>
      </w:r>
      <w:r>
        <w:rPr>
          <w:spacing w:val="-5"/>
        </w:rPr>
        <w:t> </w:t>
      </w:r>
      <w:r>
        <w:rPr>
          <w:spacing w:val="-2"/>
        </w:rPr>
        <w:t>performance</w:t>
      </w:r>
      <w:r>
        <w:rPr>
          <w:spacing w:val="-5"/>
        </w:rPr>
        <w:t> </w:t>
      </w:r>
      <w:r>
        <w:rPr>
          <w:spacing w:val="-2"/>
        </w:rPr>
        <w:t>of</w:t>
      </w:r>
      <w:r>
        <w:rPr>
          <w:spacing w:val="-5"/>
        </w:rPr>
        <w:t> </w:t>
      </w:r>
      <w:r>
        <w:rPr>
          <w:spacing w:val="-2"/>
        </w:rPr>
        <w:t>statistical</w:t>
      </w:r>
      <w:r>
        <w:rPr>
          <w:spacing w:val="-5"/>
        </w:rPr>
        <w:t> </w:t>
      </w:r>
      <w:r>
        <w:rPr>
          <w:spacing w:val="-2"/>
        </w:rPr>
        <w:t>models</w:t>
      </w:r>
      <w:r>
        <w:rPr>
          <w:spacing w:val="-5"/>
        </w:rPr>
        <w:t> </w:t>
      </w:r>
      <w:r>
        <w:rPr>
          <w:spacing w:val="-2"/>
        </w:rPr>
        <w:t>applied</w:t>
      </w:r>
      <w:r>
        <w:rPr>
          <w:spacing w:val="-5"/>
        </w:rPr>
        <w:t> </w:t>
      </w:r>
      <w:r>
        <w:rPr>
          <w:spacing w:val="-2"/>
        </w:rPr>
        <w:t>to</w:t>
      </w:r>
      <w:r>
        <w:rPr>
          <w:spacing w:val="-5"/>
        </w:rPr>
        <w:t> </w:t>
      </w:r>
      <w:r>
        <w:rPr>
          <w:spacing w:val="-2"/>
        </w:rPr>
        <w:t>wine</w:t>
      </w:r>
      <w:r>
        <w:rPr>
          <w:spacing w:val="-5"/>
        </w:rPr>
        <w:t> </w:t>
      </w:r>
      <w:r>
        <w:rPr>
          <w:spacing w:val="-2"/>
        </w:rPr>
        <w:t>production</w:t>
      </w:r>
      <w:r>
        <w:rPr>
          <w:spacing w:val="-5"/>
        </w:rPr>
        <w:t> </w:t>
      </w:r>
      <w:r>
        <w:rPr>
          <w:spacing w:val="-2"/>
        </w:rPr>
        <w:t>forecasting,</w:t>
      </w:r>
      <w:r>
        <w:rPr>
          <w:spacing w:val="-5"/>
        </w:rPr>
        <w:t> </w:t>
      </w:r>
      <w:r>
        <w:rPr>
          <w:spacing w:val="-2"/>
        </w:rPr>
        <w:t>motivating</w:t>
      </w:r>
      <w:r>
        <w:rPr>
          <w:spacing w:val="-5"/>
        </w:rPr>
        <w:t> </w:t>
      </w:r>
      <w:r>
        <w:rPr>
          <w:spacing w:val="-2"/>
        </w:rPr>
        <w:t>the </w:t>
      </w:r>
      <w:r>
        <w:rPr/>
        <w:t>use of interpretable machine learning methods that seek to identify the most robust and relevant climate patterns from the available data.</w:t>
      </w:r>
    </w:p>
    <w:p>
      <w:pPr>
        <w:pStyle w:val="BodyText"/>
        <w:spacing w:line="312" w:lineRule="auto" w:before="31"/>
        <w:ind w:left="709" w:right="962" w:firstLine="338"/>
        <w:jc w:val="both"/>
      </w:pPr>
      <w:r>
        <w:rPr/>
        <w:t>Modern machine learning has been applied extensively to grape yield and wine production prediction over the past decade.</w:t>
      </w:r>
      <w:r>
        <w:rPr>
          <w:spacing w:val="40"/>
        </w:rPr>
        <w:t> </w:t>
      </w:r>
      <w:r>
        <w:rPr/>
        <w:t>Random Forest, Support Vector Machines, Gradient Boosting, </w:t>
      </w:r>
      <w:r>
        <w:rPr>
          <w:spacing w:val="-2"/>
        </w:rPr>
        <w:t>and</w:t>
      </w:r>
      <w:r>
        <w:rPr>
          <w:spacing w:val="-4"/>
        </w:rPr>
        <w:t> </w:t>
      </w:r>
      <w:r>
        <w:rPr>
          <w:spacing w:val="-2"/>
        </w:rPr>
        <w:t>Deep</w:t>
      </w:r>
      <w:r>
        <w:rPr>
          <w:spacing w:val="-4"/>
        </w:rPr>
        <w:t> </w:t>
      </w:r>
      <w:r>
        <w:rPr>
          <w:spacing w:val="-2"/>
        </w:rPr>
        <w:t>Learning</w:t>
      </w:r>
      <w:r>
        <w:rPr>
          <w:spacing w:val="-4"/>
        </w:rPr>
        <w:t> </w:t>
      </w:r>
      <w:r>
        <w:rPr>
          <w:spacing w:val="-2"/>
        </w:rPr>
        <w:t>architectures</w:t>
      </w:r>
      <w:r>
        <w:rPr>
          <w:spacing w:val="-4"/>
        </w:rPr>
        <w:t> </w:t>
      </w:r>
      <w:r>
        <w:rPr>
          <w:spacing w:val="-2"/>
        </w:rPr>
        <w:t>including</w:t>
      </w:r>
      <w:r>
        <w:rPr>
          <w:spacing w:val="-4"/>
        </w:rPr>
        <w:t> </w:t>
      </w:r>
      <w:r>
        <w:rPr>
          <w:spacing w:val="-2"/>
        </w:rPr>
        <w:t>Long</w:t>
      </w:r>
      <w:r>
        <w:rPr>
          <w:spacing w:val="-4"/>
        </w:rPr>
        <w:t> </w:t>
      </w:r>
      <w:r>
        <w:rPr>
          <w:spacing w:val="-2"/>
        </w:rPr>
        <w:t>Short-Term</w:t>
      </w:r>
      <w:r>
        <w:rPr>
          <w:spacing w:val="-4"/>
        </w:rPr>
        <w:t> </w:t>
      </w:r>
      <w:r>
        <w:rPr>
          <w:spacing w:val="-2"/>
        </w:rPr>
        <w:t>Memory</w:t>
      </w:r>
      <w:r>
        <w:rPr>
          <w:spacing w:val="-4"/>
        </w:rPr>
        <w:t> </w:t>
      </w:r>
      <w:r>
        <w:rPr>
          <w:spacing w:val="-2"/>
        </w:rPr>
        <w:t>networks</w:t>
      </w:r>
      <w:r>
        <w:rPr>
          <w:spacing w:val="-4"/>
        </w:rPr>
        <w:t> </w:t>
      </w:r>
      <w:r>
        <w:rPr>
          <w:spacing w:val="-2"/>
        </w:rPr>
        <w:t>have</w:t>
      </w:r>
      <w:r>
        <w:rPr>
          <w:spacing w:val="-4"/>
        </w:rPr>
        <w:t> </w:t>
      </w:r>
      <w:r>
        <w:rPr>
          <w:spacing w:val="-2"/>
        </w:rPr>
        <w:t>all</w:t>
      </w:r>
      <w:r>
        <w:rPr>
          <w:spacing w:val="-4"/>
        </w:rPr>
        <w:t> </w:t>
      </w:r>
      <w:r>
        <w:rPr>
          <w:spacing w:val="-2"/>
        </w:rPr>
        <w:t>been</w:t>
      </w:r>
      <w:r>
        <w:rPr>
          <w:spacing w:val="-4"/>
        </w:rPr>
        <w:t> </w:t>
      </w:r>
      <w:r>
        <w:rPr>
          <w:spacing w:val="-2"/>
        </w:rPr>
        <w:t>used </w:t>
      </w:r>
      <w:r>
        <w:rPr/>
        <w:t>to</w:t>
      </w:r>
      <w:r>
        <w:rPr>
          <w:spacing w:val="-2"/>
        </w:rPr>
        <w:t> </w:t>
      </w:r>
      <w:r>
        <w:rPr/>
        <w:t>predict</w:t>
      </w:r>
      <w:r>
        <w:rPr>
          <w:spacing w:val="-2"/>
        </w:rPr>
        <w:t> </w:t>
      </w:r>
      <w:r>
        <w:rPr/>
        <w:t>yield</w:t>
      </w:r>
      <w:r>
        <w:rPr>
          <w:spacing w:val="-2"/>
        </w:rPr>
        <w:t> </w:t>
      </w:r>
      <w:r>
        <w:rPr/>
        <w:t>from</w:t>
      </w:r>
      <w:r>
        <w:rPr>
          <w:spacing w:val="-2"/>
        </w:rPr>
        <w:t> </w:t>
      </w:r>
      <w:r>
        <w:rPr/>
        <w:t>meteorological,</w:t>
      </w:r>
      <w:r>
        <w:rPr>
          <w:spacing w:val="-2"/>
        </w:rPr>
        <w:t> </w:t>
      </w:r>
      <w:r>
        <w:rPr/>
        <w:t>phenological,</w:t>
      </w:r>
      <w:r>
        <w:rPr>
          <w:spacing w:val="-2"/>
        </w:rPr>
        <w:t> </w:t>
      </w:r>
      <w:r>
        <w:rPr/>
        <w:t>and</w:t>
      </w:r>
      <w:r>
        <w:rPr>
          <w:spacing w:val="-2"/>
        </w:rPr>
        <w:t> </w:t>
      </w:r>
      <w:r>
        <w:rPr/>
        <w:t>remote</w:t>
      </w:r>
      <w:r>
        <w:rPr>
          <w:spacing w:val="-2"/>
        </w:rPr>
        <w:t> </w:t>
      </w:r>
      <w:r>
        <w:rPr/>
        <w:t>sensing</w:t>
      </w:r>
      <w:r>
        <w:rPr>
          <w:spacing w:val="-2"/>
        </w:rPr>
        <w:t> </w:t>
      </w:r>
      <w:r>
        <w:rPr/>
        <w:t>data</w:t>
      </w:r>
      <w:r>
        <w:rPr>
          <w:spacing w:val="-2"/>
        </w:rPr>
        <w:t> </w:t>
      </w:r>
      <w:r>
        <w:rPr/>
        <w:t>(Santos</w:t>
      </w:r>
      <w:r>
        <w:rPr>
          <w:spacing w:val="-2"/>
        </w:rPr>
        <w:t> </w:t>
      </w:r>
      <w:r>
        <w:rPr/>
        <w:t>et</w:t>
      </w:r>
      <w:r>
        <w:rPr>
          <w:spacing w:val="-2"/>
        </w:rPr>
        <w:t> </w:t>
      </w:r>
      <w:r>
        <w:rPr/>
        <w:t>al.;</w:t>
      </w:r>
      <w:r>
        <w:rPr>
          <w:spacing w:val="-2"/>
        </w:rPr>
        <w:t> </w:t>
      </w:r>
      <w:r>
        <w:rPr/>
        <w:t>Lopes et al., 2024). These methods achieve strong predictive accuracy and handle complex non-linear interactions across large feature sets.</w:t>
      </w:r>
      <w:r>
        <w:rPr>
          <w:spacing w:val="40"/>
        </w:rPr>
        <w:t> </w:t>
      </w:r>
      <w:r>
        <w:rPr/>
        <w:t>Their limitation is interpretability: the internal decision logic is not accessible to viticulturalists, cooperative managers, or climate adaptation </w:t>
      </w:r>
      <w:r>
        <w:rPr/>
        <w:t>planners, and post-hoc explanation tools such as SHAP values approximate feature influence rather than </w:t>
      </w:r>
      <w:r>
        <w:rPr>
          <w:spacing w:val="-2"/>
        </w:rPr>
        <w:t>producing</w:t>
      </w:r>
      <w:r>
        <w:rPr>
          <w:spacing w:val="-7"/>
        </w:rPr>
        <w:t> </w:t>
      </w:r>
      <w:r>
        <w:rPr>
          <w:spacing w:val="-2"/>
        </w:rPr>
        <w:t>explicit,</w:t>
      </w:r>
      <w:r>
        <w:rPr>
          <w:spacing w:val="-7"/>
        </w:rPr>
        <w:t> </w:t>
      </w:r>
      <w:r>
        <w:rPr>
          <w:spacing w:val="-2"/>
        </w:rPr>
        <w:t>auditable</w:t>
      </w:r>
      <w:r>
        <w:rPr>
          <w:spacing w:val="-7"/>
        </w:rPr>
        <w:t> </w:t>
      </w:r>
      <w:r>
        <w:rPr>
          <w:spacing w:val="-2"/>
        </w:rPr>
        <w:t>rules.</w:t>
      </w:r>
      <w:r>
        <w:rPr>
          <w:spacing w:val="5"/>
        </w:rPr>
        <w:t> </w:t>
      </w:r>
      <w:r>
        <w:rPr>
          <w:spacing w:val="-2"/>
        </w:rPr>
        <w:t>Where</w:t>
      </w:r>
      <w:r>
        <w:rPr>
          <w:spacing w:val="-7"/>
        </w:rPr>
        <w:t> </w:t>
      </w:r>
      <w:r>
        <w:rPr>
          <w:spacing w:val="-2"/>
        </w:rPr>
        <w:t>the</w:t>
      </w:r>
      <w:r>
        <w:rPr>
          <w:spacing w:val="-7"/>
        </w:rPr>
        <w:t> </w:t>
      </w:r>
      <w:r>
        <w:rPr>
          <w:spacing w:val="-2"/>
        </w:rPr>
        <w:t>goal</w:t>
      </w:r>
      <w:r>
        <w:rPr>
          <w:spacing w:val="-7"/>
        </w:rPr>
        <w:t> </w:t>
      </w:r>
      <w:r>
        <w:rPr>
          <w:spacing w:val="-2"/>
        </w:rPr>
        <w:t>is</w:t>
      </w:r>
      <w:r>
        <w:rPr>
          <w:spacing w:val="-6"/>
        </w:rPr>
        <w:t> </w:t>
      </w:r>
      <w:r>
        <w:rPr>
          <w:spacing w:val="-2"/>
        </w:rPr>
        <w:t>to</w:t>
      </w:r>
      <w:r>
        <w:rPr>
          <w:spacing w:val="-7"/>
        </w:rPr>
        <w:t> </w:t>
      </w:r>
      <w:r>
        <w:rPr>
          <w:spacing w:val="-2"/>
        </w:rPr>
        <w:t>explain</w:t>
      </w:r>
      <w:r>
        <w:rPr>
          <w:spacing w:val="-7"/>
        </w:rPr>
        <w:t> </w:t>
      </w:r>
      <w:r>
        <w:rPr>
          <w:spacing w:val="-2"/>
        </w:rPr>
        <w:t>which</w:t>
      </w:r>
      <w:r>
        <w:rPr>
          <w:spacing w:val="-7"/>
        </w:rPr>
        <w:t> </w:t>
      </w:r>
      <w:r>
        <w:rPr>
          <w:spacing w:val="-2"/>
        </w:rPr>
        <w:t>conditions</w:t>
      </w:r>
      <w:r>
        <w:rPr>
          <w:spacing w:val="-7"/>
        </w:rPr>
        <w:t> </w:t>
      </w:r>
      <w:r>
        <w:rPr>
          <w:spacing w:val="-2"/>
        </w:rPr>
        <w:t>drive</w:t>
      </w:r>
      <w:r>
        <w:rPr>
          <w:spacing w:val="-7"/>
        </w:rPr>
        <w:t> </w:t>
      </w:r>
      <w:r>
        <w:rPr>
          <w:spacing w:val="-2"/>
        </w:rPr>
        <w:t>production,</w:t>
      </w:r>
    </w:p>
    <w:p>
      <w:pPr>
        <w:pStyle w:val="BodyText"/>
        <w:spacing w:before="14"/>
      </w:pPr>
    </w:p>
    <w:p>
      <w:pPr>
        <w:pStyle w:val="BodyText"/>
        <w:spacing w:before="1"/>
        <w:ind w:left="601" w:right="882"/>
        <w:jc w:val="center"/>
      </w:pPr>
      <w:r>
        <w:rPr>
          <w:spacing w:val="-10"/>
        </w:rPr>
        <w:t>1</w:t>
      </w:r>
    </w:p>
    <w:p>
      <w:pPr>
        <w:pStyle w:val="BodyText"/>
        <w:spacing w:after="0"/>
        <w:jc w:val="center"/>
        <w:sectPr>
          <w:headerReference w:type="default" r:id="rId27"/>
          <w:pgSz w:w="11910" w:h="16840"/>
          <w:pgMar w:header="0" w:footer="0" w:top="1920" w:bottom="280" w:left="1275" w:right="425"/>
        </w:sectPr>
      </w:pPr>
    </w:p>
    <w:p>
      <w:pPr>
        <w:pStyle w:val="BodyText"/>
      </w:pPr>
    </w:p>
    <w:p>
      <w:pPr>
        <w:pStyle w:val="BodyText"/>
        <w:spacing w:before="25"/>
      </w:pPr>
    </w:p>
    <w:p>
      <w:pPr>
        <w:pStyle w:val="BodyText"/>
        <w:spacing w:line="312" w:lineRule="auto" w:before="1"/>
        <w:ind w:left="142" w:right="1551"/>
        <w:jc w:val="both"/>
      </w:pPr>
      <w:r>
        <w:rPr/>
        <w:t>not</w:t>
      </w:r>
      <w:r>
        <w:rPr>
          <w:spacing w:val="-8"/>
        </w:rPr>
        <w:t> </w:t>
      </w:r>
      <w:r>
        <w:rPr/>
        <w:t>merely</w:t>
      </w:r>
      <w:r>
        <w:rPr>
          <w:spacing w:val="-8"/>
        </w:rPr>
        <w:t> </w:t>
      </w:r>
      <w:r>
        <w:rPr/>
        <w:t>to</w:t>
      </w:r>
      <w:r>
        <w:rPr>
          <w:spacing w:val="-8"/>
        </w:rPr>
        <w:t> </w:t>
      </w:r>
      <w:r>
        <w:rPr/>
        <w:t>forecast</w:t>
      </w:r>
      <w:r>
        <w:rPr>
          <w:spacing w:val="-8"/>
        </w:rPr>
        <w:t> </w:t>
      </w:r>
      <w:r>
        <w:rPr/>
        <w:t>the</w:t>
      </w:r>
      <w:r>
        <w:rPr>
          <w:spacing w:val="-8"/>
        </w:rPr>
        <w:t> </w:t>
      </w:r>
      <w:r>
        <w:rPr/>
        <w:t>next</w:t>
      </w:r>
      <w:r>
        <w:rPr>
          <w:spacing w:val="-8"/>
        </w:rPr>
        <w:t> </w:t>
      </w:r>
      <w:r>
        <w:rPr/>
        <w:t>value,</w:t>
      </w:r>
      <w:r>
        <w:rPr>
          <w:spacing w:val="-8"/>
        </w:rPr>
        <w:t> </w:t>
      </w:r>
      <w:r>
        <w:rPr/>
        <w:t>this</w:t>
      </w:r>
      <w:r>
        <w:rPr>
          <w:spacing w:val="-8"/>
        </w:rPr>
        <w:t> </w:t>
      </w:r>
      <w:r>
        <w:rPr/>
        <w:t>opacity</w:t>
      </w:r>
      <w:r>
        <w:rPr>
          <w:spacing w:val="-8"/>
        </w:rPr>
        <w:t> </w:t>
      </w:r>
      <w:r>
        <w:rPr/>
        <w:t>is</w:t>
      </w:r>
      <w:r>
        <w:rPr>
          <w:spacing w:val="-8"/>
        </w:rPr>
        <w:t> </w:t>
      </w:r>
      <w:r>
        <w:rPr/>
        <w:t>a</w:t>
      </w:r>
      <w:r>
        <w:rPr>
          <w:spacing w:val="-8"/>
        </w:rPr>
        <w:t> </w:t>
      </w:r>
      <w:r>
        <w:rPr/>
        <w:t>fundamental</w:t>
      </w:r>
      <w:r>
        <w:rPr>
          <w:spacing w:val="-8"/>
        </w:rPr>
        <w:t> </w:t>
      </w:r>
      <w:r>
        <w:rPr/>
        <w:t>constraint. No</w:t>
      </w:r>
      <w:r>
        <w:rPr>
          <w:spacing w:val="-8"/>
        </w:rPr>
        <w:t> </w:t>
      </w:r>
      <w:r>
        <w:rPr/>
        <w:t>published</w:t>
      </w:r>
      <w:r>
        <w:rPr>
          <w:spacing w:val="-8"/>
        </w:rPr>
        <w:t> </w:t>
      </w:r>
      <w:r>
        <w:rPr/>
        <w:t>work </w:t>
      </w:r>
      <w:r>
        <w:rPr>
          <w:spacing w:val="-4"/>
        </w:rPr>
        <w:t>applies interpretable rule-based discovery methods to extract compact, human-readable agroclimatic </w:t>
      </w:r>
      <w:r>
        <w:rPr/>
        <w:t>patterns from long regional wine production records.</w:t>
      </w:r>
    </w:p>
    <w:p>
      <w:pPr>
        <w:pStyle w:val="BodyText"/>
        <w:spacing w:line="312" w:lineRule="auto" w:before="3"/>
        <w:ind w:left="134" w:right="1529" w:firstLine="346"/>
        <w:jc w:val="both"/>
      </w:pPr>
      <w:r>
        <w:rPr/>
        <w:t>Rule-based methods produce human-readable conditional statements: for example, “if soil water</w:t>
      </w:r>
      <w:r>
        <w:rPr>
          <w:spacing w:val="-7"/>
        </w:rPr>
        <w:t> </w:t>
      </w:r>
      <w:r>
        <w:rPr/>
        <w:t>at</w:t>
      </w:r>
      <w:r>
        <w:rPr>
          <w:spacing w:val="-7"/>
        </w:rPr>
        <w:t> </w:t>
      </w:r>
      <w:r>
        <w:rPr/>
        <w:t>harvest</w:t>
      </w:r>
      <w:r>
        <w:rPr>
          <w:spacing w:val="-7"/>
        </w:rPr>
        <w:t> </w:t>
      </w:r>
      <w:r>
        <w:rPr/>
        <w:t>is</w:t>
      </w:r>
      <w:r>
        <w:rPr>
          <w:spacing w:val="-7"/>
        </w:rPr>
        <w:t> </w:t>
      </w:r>
      <w:r>
        <w:rPr/>
        <w:t>below</w:t>
      </w:r>
      <w:r>
        <w:rPr>
          <w:spacing w:val="-7"/>
        </w:rPr>
        <w:t> </w:t>
      </w:r>
      <w:r>
        <w:rPr/>
        <w:t>X</w:t>
      </w:r>
      <w:r>
        <w:rPr>
          <w:spacing w:val="-7"/>
        </w:rPr>
        <w:t> </w:t>
      </w:r>
      <w:r>
        <w:rPr/>
        <w:t>mm</w:t>
      </w:r>
      <w:r>
        <w:rPr>
          <w:spacing w:val="-7"/>
        </w:rPr>
        <w:t> </w:t>
      </w:r>
      <w:r>
        <w:rPr/>
        <w:t>and</w:t>
      </w:r>
      <w:r>
        <w:rPr>
          <w:spacing w:val="-7"/>
        </w:rPr>
        <w:t> </w:t>
      </w:r>
      <w:r>
        <w:rPr/>
        <w:t>fewer</w:t>
      </w:r>
      <w:r>
        <w:rPr>
          <w:spacing w:val="-7"/>
        </w:rPr>
        <w:t> </w:t>
      </w:r>
      <w:r>
        <w:rPr/>
        <w:t>than</w:t>
      </w:r>
      <w:r>
        <w:rPr>
          <w:spacing w:val="-7"/>
        </w:rPr>
        <w:t> </w:t>
      </w:r>
      <w:r>
        <w:rPr/>
        <w:t>Y</w:t>
      </w:r>
      <w:r>
        <w:rPr>
          <w:spacing w:val="-7"/>
        </w:rPr>
        <w:t> </w:t>
      </w:r>
      <w:r>
        <w:rPr/>
        <w:t>wet</w:t>
      </w:r>
      <w:r>
        <w:rPr>
          <w:spacing w:val="-7"/>
        </w:rPr>
        <w:t> </w:t>
      </w:r>
      <w:r>
        <w:rPr/>
        <w:t>days</w:t>
      </w:r>
      <w:r>
        <w:rPr>
          <w:spacing w:val="-7"/>
        </w:rPr>
        <w:t> </w:t>
      </w:r>
      <w:r>
        <w:rPr/>
        <w:t>occur</w:t>
      </w:r>
      <w:r>
        <w:rPr>
          <w:spacing w:val="-7"/>
        </w:rPr>
        <w:t> </w:t>
      </w:r>
      <w:r>
        <w:rPr/>
        <w:t>after</w:t>
      </w:r>
      <w:r>
        <w:rPr>
          <w:spacing w:val="-7"/>
        </w:rPr>
        <w:t> </w:t>
      </w:r>
      <w:r>
        <w:rPr/>
        <w:t>flowering,</w:t>
      </w:r>
      <w:r>
        <w:rPr>
          <w:spacing w:val="-7"/>
        </w:rPr>
        <w:t> </w:t>
      </w:r>
      <w:r>
        <w:rPr/>
        <w:t>then</w:t>
      </w:r>
      <w:r>
        <w:rPr>
          <w:spacing w:val="-7"/>
        </w:rPr>
        <w:t> </w:t>
      </w:r>
      <w:r>
        <w:rPr/>
        <w:t>production is above the long-run trend by Z thousand hectolitres.”</w:t>
      </w:r>
      <w:r>
        <w:rPr>
          <w:spacing w:val="40"/>
        </w:rPr>
        <w:t> </w:t>
      </w:r>
      <w:r>
        <w:rPr/>
        <w:t>These outputs can be read, questioned, and validated by agronomists, vine growers, and policy analysts without requiring knowledge of the underlying algorithm.</w:t>
      </w:r>
      <w:r>
        <w:rPr>
          <w:spacing w:val="40"/>
        </w:rPr>
        <w:t> </w:t>
      </w:r>
      <w:r>
        <w:rPr/>
        <w:t>Each rule also carries an explicit support estimate, the proportion of </w:t>
      </w:r>
      <w:r>
        <w:rPr>
          <w:spacing w:val="-2"/>
        </w:rPr>
        <w:t>historical</w:t>
      </w:r>
      <w:r>
        <w:rPr>
          <w:spacing w:val="-10"/>
        </w:rPr>
        <w:t> </w:t>
      </w:r>
      <w:r>
        <w:rPr>
          <w:spacing w:val="-2"/>
        </w:rPr>
        <w:t>years</w:t>
      </w:r>
      <w:r>
        <w:rPr>
          <w:spacing w:val="-10"/>
        </w:rPr>
        <w:t> </w:t>
      </w:r>
      <w:r>
        <w:rPr>
          <w:spacing w:val="-2"/>
        </w:rPr>
        <w:t>in</w:t>
      </w:r>
      <w:r>
        <w:rPr>
          <w:spacing w:val="-10"/>
        </w:rPr>
        <w:t> </w:t>
      </w:r>
      <w:r>
        <w:rPr>
          <w:spacing w:val="-2"/>
        </w:rPr>
        <w:t>which</w:t>
      </w:r>
      <w:r>
        <w:rPr>
          <w:spacing w:val="-10"/>
        </w:rPr>
        <w:t> </w:t>
      </w:r>
      <w:r>
        <w:rPr>
          <w:spacing w:val="-2"/>
        </w:rPr>
        <w:t>the</w:t>
      </w:r>
      <w:r>
        <w:rPr>
          <w:spacing w:val="-10"/>
        </w:rPr>
        <w:t> </w:t>
      </w:r>
      <w:r>
        <w:rPr>
          <w:spacing w:val="-2"/>
        </w:rPr>
        <w:t>condition</w:t>
      </w:r>
      <w:r>
        <w:rPr>
          <w:spacing w:val="-10"/>
        </w:rPr>
        <w:t> </w:t>
      </w:r>
      <w:r>
        <w:rPr>
          <w:spacing w:val="-2"/>
        </w:rPr>
        <w:t>held,</w:t>
      </w:r>
      <w:r>
        <w:rPr>
          <w:spacing w:val="-9"/>
        </w:rPr>
        <w:t> </w:t>
      </w:r>
      <w:r>
        <w:rPr>
          <w:spacing w:val="-2"/>
        </w:rPr>
        <w:t>giving</w:t>
      </w:r>
      <w:r>
        <w:rPr>
          <w:spacing w:val="-10"/>
        </w:rPr>
        <w:t> </w:t>
      </w:r>
      <w:r>
        <w:rPr>
          <w:spacing w:val="-2"/>
        </w:rPr>
        <w:t>a</w:t>
      </w:r>
      <w:r>
        <w:rPr>
          <w:spacing w:val="-10"/>
        </w:rPr>
        <w:t> </w:t>
      </w:r>
      <w:r>
        <w:rPr>
          <w:spacing w:val="-2"/>
        </w:rPr>
        <w:t>direct</w:t>
      </w:r>
      <w:r>
        <w:rPr>
          <w:spacing w:val="-10"/>
        </w:rPr>
        <w:t> </w:t>
      </w:r>
      <w:r>
        <w:rPr>
          <w:spacing w:val="-2"/>
        </w:rPr>
        <w:t>measure</w:t>
      </w:r>
      <w:r>
        <w:rPr>
          <w:spacing w:val="-10"/>
        </w:rPr>
        <w:t> </w:t>
      </w:r>
      <w:r>
        <w:rPr>
          <w:spacing w:val="-2"/>
        </w:rPr>
        <w:t>of</w:t>
      </w:r>
      <w:r>
        <w:rPr>
          <w:spacing w:val="-10"/>
        </w:rPr>
        <w:t> </w:t>
      </w:r>
      <w:r>
        <w:rPr>
          <w:spacing w:val="-2"/>
        </w:rPr>
        <w:t>how</w:t>
      </w:r>
      <w:r>
        <w:rPr>
          <w:spacing w:val="-10"/>
        </w:rPr>
        <w:t> </w:t>
      </w:r>
      <w:r>
        <w:rPr>
          <w:spacing w:val="-2"/>
        </w:rPr>
        <w:t>frequently</w:t>
      </w:r>
      <w:r>
        <w:rPr>
          <w:spacing w:val="-10"/>
        </w:rPr>
        <w:t> </w:t>
      </w:r>
      <w:r>
        <w:rPr>
          <w:spacing w:val="-2"/>
        </w:rPr>
        <w:t>the</w:t>
      </w:r>
      <w:r>
        <w:rPr>
          <w:spacing w:val="-10"/>
        </w:rPr>
        <w:t> </w:t>
      </w:r>
      <w:r>
        <w:rPr>
          <w:spacing w:val="-2"/>
        </w:rPr>
        <w:t>identified </w:t>
      </w:r>
      <w:r>
        <w:rPr/>
        <w:t>pattern occurred.</w:t>
      </w:r>
    </w:p>
    <w:p>
      <w:pPr>
        <w:pStyle w:val="BodyText"/>
        <w:spacing w:before="165"/>
      </w:pPr>
    </w:p>
    <w:p>
      <w:pPr>
        <w:pStyle w:val="Heading2"/>
        <w:numPr>
          <w:ilvl w:val="1"/>
          <w:numId w:val="13"/>
        </w:numPr>
        <w:tabs>
          <w:tab w:pos="787" w:val="left" w:leader="none"/>
        </w:tabs>
        <w:spacing w:line="240" w:lineRule="auto" w:before="0" w:after="0"/>
        <w:ind w:left="787" w:right="0" w:hanging="645"/>
        <w:jc w:val="left"/>
      </w:pPr>
      <w:bookmarkStart w:name="1.2 Research Goals and Questions" w:id="9"/>
      <w:bookmarkEnd w:id="9"/>
      <w:r>
        <w:rPr>
          <w:b w:val="0"/>
        </w:rPr>
      </w:r>
      <w:bookmarkStart w:name="_bookmark2" w:id="10"/>
      <w:bookmarkEnd w:id="10"/>
      <w:r>
        <w:rPr>
          <w:b w:val="0"/>
        </w:rPr>
      </w:r>
      <w:r>
        <w:rPr/>
        <w:t>Research</w:t>
      </w:r>
      <w:r>
        <w:rPr>
          <w:spacing w:val="13"/>
        </w:rPr>
        <w:t> </w:t>
      </w:r>
      <w:r>
        <w:rPr/>
        <w:t>Goals</w:t>
      </w:r>
      <w:r>
        <w:rPr>
          <w:spacing w:val="14"/>
        </w:rPr>
        <w:t> </w:t>
      </w:r>
      <w:r>
        <w:rPr/>
        <w:t>and</w:t>
      </w:r>
      <w:r>
        <w:rPr>
          <w:spacing w:val="14"/>
        </w:rPr>
        <w:t> </w:t>
      </w:r>
      <w:r>
        <w:rPr>
          <w:spacing w:val="-2"/>
        </w:rPr>
        <w:t>Questions</w:t>
      </w:r>
    </w:p>
    <w:p>
      <w:pPr>
        <w:pStyle w:val="BodyText"/>
        <w:spacing w:line="312" w:lineRule="auto" w:before="297"/>
        <w:ind w:left="134" w:right="1557" w:firstLine="1"/>
        <w:jc w:val="both"/>
      </w:pPr>
      <w:r>
        <w:rPr/>
        <w:t>This</w:t>
      </w:r>
      <w:r>
        <w:rPr>
          <w:spacing w:val="-9"/>
        </w:rPr>
        <w:t> </w:t>
      </w:r>
      <w:r>
        <w:rPr/>
        <w:t>thesis</w:t>
      </w:r>
      <w:r>
        <w:rPr>
          <w:spacing w:val="-9"/>
        </w:rPr>
        <w:t> </w:t>
      </w:r>
      <w:r>
        <w:rPr/>
        <w:t>pursues</w:t>
      </w:r>
      <w:r>
        <w:rPr>
          <w:spacing w:val="-9"/>
        </w:rPr>
        <w:t> </w:t>
      </w:r>
      <w:r>
        <w:rPr/>
        <w:t>two</w:t>
      </w:r>
      <w:r>
        <w:rPr>
          <w:spacing w:val="-9"/>
        </w:rPr>
        <w:t> </w:t>
      </w:r>
      <w:r>
        <w:rPr/>
        <w:t>complementary</w:t>
      </w:r>
      <w:r>
        <w:rPr>
          <w:spacing w:val="-9"/>
        </w:rPr>
        <w:t> </w:t>
      </w:r>
      <w:r>
        <w:rPr/>
        <w:t>goals</w:t>
      </w:r>
      <w:r>
        <w:rPr>
          <w:spacing w:val="-9"/>
        </w:rPr>
        <w:t> </w:t>
      </w:r>
      <w:r>
        <w:rPr/>
        <w:t>applied</w:t>
      </w:r>
      <w:r>
        <w:rPr>
          <w:spacing w:val="-9"/>
        </w:rPr>
        <w:t> </w:t>
      </w:r>
      <w:r>
        <w:rPr/>
        <w:t>to</w:t>
      </w:r>
      <w:r>
        <w:rPr>
          <w:spacing w:val="-9"/>
        </w:rPr>
        <w:t> </w:t>
      </w:r>
      <w:r>
        <w:rPr/>
        <w:t>historical</w:t>
      </w:r>
      <w:r>
        <w:rPr>
          <w:spacing w:val="-9"/>
        </w:rPr>
        <w:t> </w:t>
      </w:r>
      <w:r>
        <w:rPr/>
        <w:t>wine</w:t>
      </w:r>
      <w:r>
        <w:rPr>
          <w:spacing w:val="-9"/>
        </w:rPr>
        <w:t> </w:t>
      </w:r>
      <w:r>
        <w:rPr/>
        <w:t>production</w:t>
      </w:r>
      <w:r>
        <w:rPr>
          <w:spacing w:val="-9"/>
        </w:rPr>
        <w:t> </w:t>
      </w:r>
      <w:r>
        <w:rPr/>
        <w:t>data</w:t>
      </w:r>
      <w:r>
        <w:rPr>
          <w:spacing w:val="-9"/>
        </w:rPr>
        <w:t> </w:t>
      </w:r>
      <w:r>
        <w:rPr/>
        <w:t>from</w:t>
      </w:r>
      <w:r>
        <w:rPr>
          <w:spacing w:val="-9"/>
        </w:rPr>
        <w:t> </w:t>
      </w:r>
      <w:r>
        <w:rPr/>
        <w:t>two Portuguese wine regions: the Douro Demarcated Region (RDD, 89 years, 1934–2022) and the Vinho Verde Region (RVV, 80 years, 1942–2021).</w:t>
      </w:r>
    </w:p>
    <w:p>
      <w:pPr>
        <w:pStyle w:val="BodyText"/>
        <w:spacing w:line="312" w:lineRule="auto" w:before="4"/>
        <w:ind w:left="135" w:right="1519" w:firstLine="345"/>
        <w:jc w:val="both"/>
      </w:pPr>
      <w:r>
        <w:rPr>
          <w:b/>
        </w:rPr>
        <w:t>Goal</w:t>
      </w:r>
      <w:r>
        <w:rPr>
          <w:b/>
          <w:spacing w:val="-10"/>
        </w:rPr>
        <w:t> </w:t>
      </w:r>
      <w:r>
        <w:rPr>
          <w:b/>
        </w:rPr>
        <w:t>1</w:t>
      </w:r>
      <w:r>
        <w:rPr>
          <w:b/>
          <w:spacing w:val="-10"/>
        </w:rPr>
        <w:t> </w:t>
      </w:r>
      <w:r>
        <w:rPr>
          <w:b/>
        </w:rPr>
        <w:t>(Rule</w:t>
      </w:r>
      <w:r>
        <w:rPr>
          <w:b/>
          <w:spacing w:val="-10"/>
        </w:rPr>
        <w:t> </w:t>
      </w:r>
      <w:r>
        <w:rPr>
          <w:b/>
        </w:rPr>
        <w:t>Discovery): </w:t>
      </w:r>
      <w:r>
        <w:rPr/>
        <w:t>discover</w:t>
      </w:r>
      <w:r>
        <w:rPr>
          <w:spacing w:val="-10"/>
        </w:rPr>
        <w:t> </w:t>
      </w:r>
      <w:r>
        <w:rPr/>
        <w:t>interpretable</w:t>
      </w:r>
      <w:r>
        <w:rPr>
          <w:spacing w:val="-10"/>
        </w:rPr>
        <w:t> </w:t>
      </w:r>
      <w:r>
        <w:rPr/>
        <w:t>agroclimatic</w:t>
      </w:r>
      <w:r>
        <w:rPr>
          <w:spacing w:val="-10"/>
        </w:rPr>
        <w:t> </w:t>
      </w:r>
      <w:r>
        <w:rPr/>
        <w:t>rules</w:t>
      </w:r>
      <w:r>
        <w:rPr>
          <w:spacing w:val="-10"/>
        </w:rPr>
        <w:t> </w:t>
      </w:r>
      <w:r>
        <w:rPr/>
        <w:t>that</w:t>
      </w:r>
      <w:r>
        <w:rPr>
          <w:spacing w:val="-10"/>
        </w:rPr>
        <w:t> </w:t>
      </w:r>
      <w:r>
        <w:rPr/>
        <w:t>explain</w:t>
      </w:r>
      <w:r>
        <w:rPr>
          <w:spacing w:val="-10"/>
        </w:rPr>
        <w:t> </w:t>
      </w:r>
      <w:r>
        <w:rPr/>
        <w:t>which</w:t>
      </w:r>
      <w:r>
        <w:rPr>
          <w:spacing w:val="-10"/>
        </w:rPr>
        <w:t> </w:t>
      </w:r>
      <w:r>
        <w:rPr/>
        <w:t>meteo-rological conditions are associated with above and below-trend production years in each region. The primary algorithm for this goal is CarenR (CAREN framework), which identifies subgroups of</w:t>
      </w:r>
      <w:r>
        <w:rPr>
          <w:spacing w:val="-9"/>
        </w:rPr>
        <w:t> </w:t>
      </w:r>
      <w:r>
        <w:rPr/>
        <w:t>observations</w:t>
      </w:r>
      <w:r>
        <w:rPr>
          <w:spacing w:val="-9"/>
        </w:rPr>
        <w:t> </w:t>
      </w:r>
      <w:r>
        <w:rPr/>
        <w:t>where</w:t>
      </w:r>
      <w:r>
        <w:rPr>
          <w:spacing w:val="-9"/>
        </w:rPr>
        <w:t> </w:t>
      </w:r>
      <w:r>
        <w:rPr/>
        <w:t>the</w:t>
      </w:r>
      <w:r>
        <w:rPr>
          <w:spacing w:val="-9"/>
        </w:rPr>
        <w:t> </w:t>
      </w:r>
      <w:r>
        <w:rPr/>
        <w:t>distribution</w:t>
      </w:r>
      <w:r>
        <w:rPr>
          <w:spacing w:val="-9"/>
        </w:rPr>
        <w:t> </w:t>
      </w:r>
      <w:r>
        <w:rPr/>
        <w:t>of</w:t>
      </w:r>
      <w:r>
        <w:rPr>
          <w:spacing w:val="-9"/>
        </w:rPr>
        <w:t> </w:t>
      </w:r>
      <w:r>
        <w:rPr/>
        <w:t>production</w:t>
      </w:r>
      <w:r>
        <w:rPr>
          <w:spacing w:val="-9"/>
        </w:rPr>
        <w:t> </w:t>
      </w:r>
      <w:r>
        <w:rPr/>
        <w:t>residuals</w:t>
      </w:r>
      <w:r>
        <w:rPr>
          <w:spacing w:val="-9"/>
        </w:rPr>
        <w:t> </w:t>
      </w:r>
      <w:r>
        <w:rPr/>
        <w:t>differs</w:t>
      </w:r>
      <w:r>
        <w:rPr>
          <w:spacing w:val="-9"/>
        </w:rPr>
        <w:t> </w:t>
      </w:r>
      <w:r>
        <w:rPr/>
        <w:t>significantly</w:t>
      </w:r>
      <w:r>
        <w:rPr>
          <w:spacing w:val="-9"/>
        </w:rPr>
        <w:t> </w:t>
      </w:r>
      <w:r>
        <w:rPr/>
        <w:t>from</w:t>
      </w:r>
      <w:r>
        <w:rPr>
          <w:spacing w:val="-9"/>
        </w:rPr>
        <w:t> </w:t>
      </w:r>
      <w:r>
        <w:rPr/>
        <w:t>the</w:t>
      </w:r>
      <w:r>
        <w:rPr>
          <w:spacing w:val="-9"/>
        </w:rPr>
        <w:t> </w:t>
      </w:r>
      <w:r>
        <w:rPr/>
        <w:t>global distribution, as measured by a Kolmogorov–Smirnov test.</w:t>
      </w:r>
    </w:p>
    <w:p>
      <w:pPr>
        <w:pStyle w:val="BodyText"/>
        <w:spacing w:line="312" w:lineRule="auto" w:before="3"/>
        <w:ind w:left="134" w:right="1557" w:firstLine="346"/>
        <w:jc w:val="both"/>
      </w:pPr>
      <w:r>
        <w:rPr>
          <w:b/>
          <w:spacing w:val="-2"/>
        </w:rPr>
        <w:t>Goal</w:t>
      </w:r>
      <w:r>
        <w:rPr>
          <w:b/>
          <w:spacing w:val="-6"/>
        </w:rPr>
        <w:t> </w:t>
      </w:r>
      <w:r>
        <w:rPr>
          <w:b/>
          <w:spacing w:val="-2"/>
        </w:rPr>
        <w:t>2</w:t>
      </w:r>
      <w:r>
        <w:rPr>
          <w:b/>
          <w:spacing w:val="-6"/>
        </w:rPr>
        <w:t> </w:t>
      </w:r>
      <w:r>
        <w:rPr>
          <w:b/>
          <w:spacing w:val="-2"/>
        </w:rPr>
        <w:t>(Predictive</w:t>
      </w:r>
      <w:r>
        <w:rPr>
          <w:b/>
          <w:spacing w:val="-6"/>
        </w:rPr>
        <w:t> </w:t>
      </w:r>
      <w:r>
        <w:rPr>
          <w:b/>
          <w:spacing w:val="-2"/>
        </w:rPr>
        <w:t>Validation): </w:t>
      </w:r>
      <w:r>
        <w:rPr>
          <w:spacing w:val="-2"/>
        </w:rPr>
        <w:t>evaluate</w:t>
      </w:r>
      <w:r>
        <w:rPr>
          <w:spacing w:val="-6"/>
        </w:rPr>
        <w:t> </w:t>
      </w:r>
      <w:r>
        <w:rPr>
          <w:spacing w:val="-2"/>
        </w:rPr>
        <w:t>whether</w:t>
      </w:r>
      <w:r>
        <w:rPr>
          <w:spacing w:val="-6"/>
        </w:rPr>
        <w:t> </w:t>
      </w:r>
      <w:r>
        <w:rPr>
          <w:spacing w:val="-2"/>
        </w:rPr>
        <w:t>the</w:t>
      </w:r>
      <w:r>
        <w:rPr>
          <w:spacing w:val="-6"/>
        </w:rPr>
        <w:t> </w:t>
      </w:r>
      <w:r>
        <w:rPr>
          <w:spacing w:val="-2"/>
        </w:rPr>
        <w:t>discovered</w:t>
      </w:r>
      <w:r>
        <w:rPr>
          <w:spacing w:val="-6"/>
        </w:rPr>
        <w:t> </w:t>
      </w:r>
      <w:r>
        <w:rPr>
          <w:spacing w:val="-2"/>
        </w:rPr>
        <w:t>rules,</w:t>
      </w:r>
      <w:r>
        <w:rPr>
          <w:spacing w:val="-6"/>
        </w:rPr>
        <w:t> </w:t>
      </w:r>
      <w:r>
        <w:rPr>
          <w:spacing w:val="-2"/>
        </w:rPr>
        <w:t>and</w:t>
      </w:r>
      <w:r>
        <w:rPr>
          <w:spacing w:val="-6"/>
        </w:rPr>
        <w:t> </w:t>
      </w:r>
      <w:r>
        <w:rPr>
          <w:spacing w:val="-2"/>
        </w:rPr>
        <w:t>rule-based</w:t>
      </w:r>
      <w:r>
        <w:rPr>
          <w:spacing w:val="-6"/>
        </w:rPr>
        <w:t> </w:t>
      </w:r>
      <w:r>
        <w:rPr>
          <w:spacing w:val="-2"/>
        </w:rPr>
        <w:t>models </w:t>
      </w:r>
      <w:r>
        <w:rPr/>
        <w:t>more</w:t>
      </w:r>
      <w:r>
        <w:rPr>
          <w:spacing w:val="-6"/>
        </w:rPr>
        <w:t> </w:t>
      </w:r>
      <w:r>
        <w:rPr/>
        <w:t>generally,</w:t>
      </w:r>
      <w:r>
        <w:rPr>
          <w:spacing w:val="-6"/>
        </w:rPr>
        <w:t> </w:t>
      </w:r>
      <w:r>
        <w:rPr/>
        <w:t>can</w:t>
      </w:r>
      <w:r>
        <w:rPr>
          <w:spacing w:val="-6"/>
        </w:rPr>
        <w:t> </w:t>
      </w:r>
      <w:r>
        <w:rPr/>
        <w:t>outperform</w:t>
      </w:r>
      <w:r>
        <w:rPr>
          <w:spacing w:val="-6"/>
        </w:rPr>
        <w:t> </w:t>
      </w:r>
      <w:r>
        <w:rPr/>
        <w:t>a</w:t>
      </w:r>
      <w:r>
        <w:rPr>
          <w:spacing w:val="-6"/>
        </w:rPr>
        <w:t> </w:t>
      </w:r>
      <w:r>
        <w:rPr/>
        <w:t>naive</w:t>
      </w:r>
      <w:r>
        <w:rPr>
          <w:spacing w:val="-6"/>
        </w:rPr>
        <w:t> </w:t>
      </w:r>
      <w:r>
        <w:rPr/>
        <w:t>production</w:t>
      </w:r>
      <w:r>
        <w:rPr>
          <w:spacing w:val="-6"/>
        </w:rPr>
        <w:t> </w:t>
      </w:r>
      <w:r>
        <w:rPr/>
        <w:t>forecast</w:t>
      </w:r>
      <w:r>
        <w:rPr>
          <w:spacing w:val="-6"/>
        </w:rPr>
        <w:t> </w:t>
      </w:r>
      <w:r>
        <w:rPr/>
        <w:t>in</w:t>
      </w:r>
      <w:r>
        <w:rPr>
          <w:spacing w:val="-6"/>
        </w:rPr>
        <w:t> </w:t>
      </w:r>
      <w:r>
        <w:rPr/>
        <w:t>rigorous</w:t>
      </w:r>
      <w:r>
        <w:rPr>
          <w:spacing w:val="-6"/>
        </w:rPr>
        <w:t> </w:t>
      </w:r>
      <w:r>
        <w:rPr/>
        <w:t>walk-forward</w:t>
      </w:r>
      <w:r>
        <w:rPr>
          <w:spacing w:val="-6"/>
        </w:rPr>
        <w:t> </w:t>
      </w:r>
      <w:r>
        <w:rPr/>
        <w:t>(expanding window) validation.</w:t>
      </w:r>
      <w:r>
        <w:rPr>
          <w:spacing w:val="40"/>
        </w:rPr>
        <w:t> </w:t>
      </w:r>
      <w:r>
        <w:rPr/>
        <w:t>This goal addresses whether the identified climate patterns have sufficient predictive power to improve on the simplest possible forecast: the historical median.</w:t>
      </w:r>
    </w:p>
    <w:p>
      <w:pPr>
        <w:pStyle w:val="BodyText"/>
        <w:spacing w:before="3"/>
        <w:ind w:left="481"/>
        <w:jc w:val="both"/>
      </w:pPr>
      <w:r>
        <w:rPr/>
        <w:t>These</w:t>
      </w:r>
      <w:r>
        <w:rPr>
          <w:spacing w:val="-9"/>
        </w:rPr>
        <w:t> </w:t>
      </w:r>
      <w:r>
        <w:rPr/>
        <w:t>goals</w:t>
      </w:r>
      <w:r>
        <w:rPr>
          <w:spacing w:val="-9"/>
        </w:rPr>
        <w:t> </w:t>
      </w:r>
      <w:r>
        <w:rPr/>
        <w:t>give</w:t>
      </w:r>
      <w:r>
        <w:rPr>
          <w:spacing w:val="-8"/>
        </w:rPr>
        <w:t> </w:t>
      </w:r>
      <w:r>
        <w:rPr/>
        <w:t>rise</w:t>
      </w:r>
      <w:r>
        <w:rPr>
          <w:spacing w:val="-9"/>
        </w:rPr>
        <w:t> </w:t>
      </w:r>
      <w:r>
        <w:rPr/>
        <w:t>to</w:t>
      </w:r>
      <w:r>
        <w:rPr>
          <w:spacing w:val="-8"/>
        </w:rPr>
        <w:t> </w:t>
      </w:r>
      <w:r>
        <w:rPr/>
        <w:t>four</w:t>
      </w:r>
      <w:r>
        <w:rPr>
          <w:spacing w:val="-9"/>
        </w:rPr>
        <w:t> </w:t>
      </w:r>
      <w:r>
        <w:rPr/>
        <w:t>specific</w:t>
      </w:r>
      <w:r>
        <w:rPr>
          <w:spacing w:val="-8"/>
        </w:rPr>
        <w:t> </w:t>
      </w:r>
      <w:r>
        <w:rPr/>
        <w:t>research</w:t>
      </w:r>
      <w:r>
        <w:rPr>
          <w:spacing w:val="-9"/>
        </w:rPr>
        <w:t> </w:t>
      </w:r>
      <w:r>
        <w:rPr>
          <w:spacing w:val="-2"/>
        </w:rPr>
        <w:t>questions:</w:t>
      </w:r>
    </w:p>
    <w:p>
      <w:pPr>
        <w:pStyle w:val="ListParagraph"/>
        <w:numPr>
          <w:ilvl w:val="2"/>
          <w:numId w:val="13"/>
        </w:numPr>
        <w:tabs>
          <w:tab w:pos="625" w:val="left" w:leader="none"/>
        </w:tabs>
        <w:spacing w:line="312" w:lineRule="auto" w:before="80" w:after="0"/>
        <w:ind w:left="142" w:right="1557" w:firstLine="338"/>
        <w:jc w:val="left"/>
        <w:rPr>
          <w:sz w:val="22"/>
        </w:rPr>
      </w:pPr>
      <w:r>
        <w:rPr>
          <w:sz w:val="22"/>
        </w:rPr>
        <w:t>RQ1:</w:t>
      </w:r>
      <w:r>
        <w:rPr>
          <w:spacing w:val="40"/>
          <w:sz w:val="22"/>
        </w:rPr>
        <w:t> </w:t>
      </w:r>
      <w:r>
        <w:rPr>
          <w:sz w:val="22"/>
        </w:rPr>
        <w:t>Which agroclimatic variables most consistently distinguish above and below-trend production years in the Douro and Vinho Verde regions?</w:t>
      </w:r>
    </w:p>
    <w:p>
      <w:pPr>
        <w:pStyle w:val="ListParagraph"/>
        <w:numPr>
          <w:ilvl w:val="2"/>
          <w:numId w:val="13"/>
        </w:numPr>
        <w:tabs>
          <w:tab w:pos="639" w:val="left" w:leader="none"/>
        </w:tabs>
        <w:spacing w:line="312" w:lineRule="auto" w:before="4" w:after="0"/>
        <w:ind w:left="142" w:right="1549" w:firstLine="338"/>
        <w:jc w:val="left"/>
        <w:rPr>
          <w:sz w:val="22"/>
        </w:rPr>
      </w:pPr>
      <w:r>
        <w:rPr>
          <w:sz w:val="22"/>
        </w:rPr>
        <w:t>RQ2:</w:t>
      </w:r>
      <w:r>
        <w:rPr>
          <w:spacing w:val="40"/>
          <w:sz w:val="22"/>
        </w:rPr>
        <w:t> </w:t>
      </w:r>
      <w:r>
        <w:rPr>
          <w:sz w:val="22"/>
        </w:rPr>
        <w:t>Do</w:t>
      </w:r>
      <w:r>
        <w:rPr>
          <w:spacing w:val="28"/>
          <w:sz w:val="22"/>
        </w:rPr>
        <w:t> </w:t>
      </w:r>
      <w:r>
        <w:rPr>
          <w:sz w:val="22"/>
        </w:rPr>
        <w:t>the</w:t>
      </w:r>
      <w:r>
        <w:rPr>
          <w:spacing w:val="28"/>
          <w:sz w:val="22"/>
        </w:rPr>
        <w:t> </w:t>
      </w:r>
      <w:r>
        <w:rPr>
          <w:sz w:val="22"/>
        </w:rPr>
        <w:t>identified</w:t>
      </w:r>
      <w:r>
        <w:rPr>
          <w:spacing w:val="28"/>
          <w:sz w:val="22"/>
        </w:rPr>
        <w:t> </w:t>
      </w:r>
      <w:r>
        <w:rPr>
          <w:sz w:val="22"/>
        </w:rPr>
        <w:t>variables</w:t>
      </w:r>
      <w:r>
        <w:rPr>
          <w:spacing w:val="28"/>
          <w:sz w:val="22"/>
        </w:rPr>
        <w:t> </w:t>
      </w:r>
      <w:r>
        <w:rPr>
          <w:sz w:val="22"/>
        </w:rPr>
        <w:t>reflect</w:t>
      </w:r>
      <w:r>
        <w:rPr>
          <w:spacing w:val="28"/>
          <w:sz w:val="22"/>
        </w:rPr>
        <w:t> </w:t>
      </w:r>
      <w:r>
        <w:rPr>
          <w:sz w:val="22"/>
        </w:rPr>
        <w:t>genuine</w:t>
      </w:r>
      <w:r>
        <w:rPr>
          <w:spacing w:val="28"/>
          <w:sz w:val="22"/>
        </w:rPr>
        <w:t> </w:t>
      </w:r>
      <w:r>
        <w:rPr>
          <w:sz w:val="22"/>
        </w:rPr>
        <w:t>within-era</w:t>
      </w:r>
      <w:r>
        <w:rPr>
          <w:spacing w:val="28"/>
          <w:sz w:val="22"/>
        </w:rPr>
        <w:t> </w:t>
      </w:r>
      <w:r>
        <w:rPr>
          <w:sz w:val="22"/>
        </w:rPr>
        <w:t>climate</w:t>
      </w:r>
      <w:r>
        <w:rPr>
          <w:spacing w:val="28"/>
          <w:sz w:val="22"/>
        </w:rPr>
        <w:t> </w:t>
      </w:r>
      <w:r>
        <w:rPr>
          <w:sz w:val="22"/>
        </w:rPr>
        <w:t>effects,</w:t>
      </w:r>
      <w:r>
        <w:rPr>
          <w:spacing w:val="35"/>
          <w:sz w:val="22"/>
        </w:rPr>
        <w:t> </w:t>
      </w:r>
      <w:r>
        <w:rPr>
          <w:sz w:val="22"/>
        </w:rPr>
        <w:t>or</w:t>
      </w:r>
      <w:r>
        <w:rPr>
          <w:spacing w:val="28"/>
          <w:sz w:val="22"/>
        </w:rPr>
        <w:t> </w:t>
      </w:r>
      <w:r>
        <w:rPr>
          <w:sz w:val="22"/>
        </w:rPr>
        <w:t>are</w:t>
      </w:r>
      <w:r>
        <w:rPr>
          <w:spacing w:val="28"/>
          <w:sz w:val="22"/>
        </w:rPr>
        <w:t> </w:t>
      </w:r>
      <w:r>
        <w:rPr>
          <w:sz w:val="22"/>
        </w:rPr>
        <w:t>they confounded with the structural production era transitions observed in both regions?</w:t>
      </w:r>
    </w:p>
    <w:p>
      <w:pPr>
        <w:pStyle w:val="ListParagraph"/>
        <w:numPr>
          <w:ilvl w:val="2"/>
          <w:numId w:val="13"/>
        </w:numPr>
        <w:tabs>
          <w:tab w:pos="611" w:val="left" w:leader="none"/>
        </w:tabs>
        <w:spacing w:line="312" w:lineRule="auto" w:before="4" w:after="0"/>
        <w:ind w:left="142" w:right="1521" w:firstLine="338"/>
        <w:jc w:val="left"/>
        <w:rPr>
          <w:sz w:val="22"/>
        </w:rPr>
      </w:pPr>
      <w:r>
        <w:rPr>
          <w:sz w:val="22"/>
        </w:rPr>
        <w:t>RQ3: Does any rule-based model outperform the Naive_Median baseline in rigorous walk-forward validation?</w:t>
      </w:r>
    </w:p>
    <w:p>
      <w:pPr>
        <w:pStyle w:val="ListParagraph"/>
        <w:numPr>
          <w:ilvl w:val="2"/>
          <w:numId w:val="13"/>
        </w:numPr>
        <w:tabs>
          <w:tab w:pos="604" w:val="left" w:leader="none"/>
        </w:tabs>
        <w:spacing w:line="312" w:lineRule="auto" w:before="4" w:after="0"/>
        <w:ind w:left="142" w:right="1529" w:firstLine="338"/>
        <w:jc w:val="left"/>
        <w:rPr>
          <w:sz w:val="22"/>
        </w:rPr>
      </w:pPr>
      <w:r>
        <w:rPr>
          <w:spacing w:val="-2"/>
          <w:sz w:val="22"/>
        </w:rPr>
        <w:t>RQ4:</w:t>
      </w:r>
      <w:r>
        <w:rPr>
          <w:sz w:val="22"/>
        </w:rPr>
        <w:t> </w:t>
      </w:r>
      <w:r>
        <w:rPr>
          <w:spacing w:val="-2"/>
          <w:sz w:val="22"/>
        </w:rPr>
        <w:t>If</w:t>
      </w:r>
      <w:r>
        <w:rPr>
          <w:spacing w:val="-12"/>
          <w:sz w:val="22"/>
        </w:rPr>
        <w:t> </w:t>
      </w:r>
      <w:r>
        <w:rPr>
          <w:spacing w:val="-2"/>
          <w:sz w:val="22"/>
        </w:rPr>
        <w:t>rule-based</w:t>
      </w:r>
      <w:r>
        <w:rPr>
          <w:spacing w:val="-12"/>
          <w:sz w:val="22"/>
        </w:rPr>
        <w:t> </w:t>
      </w:r>
      <w:r>
        <w:rPr>
          <w:spacing w:val="-2"/>
          <w:sz w:val="22"/>
        </w:rPr>
        <w:t>prediction</w:t>
      </w:r>
      <w:r>
        <w:rPr>
          <w:spacing w:val="-11"/>
          <w:sz w:val="22"/>
        </w:rPr>
        <w:t> </w:t>
      </w:r>
      <w:r>
        <w:rPr>
          <w:spacing w:val="-2"/>
          <w:sz w:val="22"/>
        </w:rPr>
        <w:t>fails</w:t>
      </w:r>
      <w:r>
        <w:rPr>
          <w:spacing w:val="-12"/>
          <w:sz w:val="22"/>
        </w:rPr>
        <w:t> </w:t>
      </w:r>
      <w:r>
        <w:rPr>
          <w:spacing w:val="-2"/>
          <w:sz w:val="22"/>
        </w:rPr>
        <w:t>in</w:t>
      </w:r>
      <w:r>
        <w:rPr>
          <w:spacing w:val="-12"/>
          <w:sz w:val="22"/>
        </w:rPr>
        <w:t> </w:t>
      </w:r>
      <w:r>
        <w:rPr>
          <w:spacing w:val="-2"/>
          <w:sz w:val="22"/>
        </w:rPr>
        <w:t>aggregate,</w:t>
      </w:r>
      <w:r>
        <w:rPr>
          <w:spacing w:val="-10"/>
          <w:sz w:val="22"/>
        </w:rPr>
        <w:t> </w:t>
      </w:r>
      <w:r>
        <w:rPr>
          <w:spacing w:val="-2"/>
          <w:sz w:val="22"/>
        </w:rPr>
        <w:t>under</w:t>
      </w:r>
      <w:r>
        <w:rPr>
          <w:spacing w:val="-12"/>
          <w:sz w:val="22"/>
        </w:rPr>
        <w:t> </w:t>
      </w:r>
      <w:r>
        <w:rPr>
          <w:spacing w:val="-2"/>
          <w:sz w:val="22"/>
        </w:rPr>
        <w:t>what</w:t>
      </w:r>
      <w:r>
        <w:rPr>
          <w:spacing w:val="-12"/>
          <w:sz w:val="22"/>
        </w:rPr>
        <w:t> </w:t>
      </w:r>
      <w:r>
        <w:rPr>
          <w:spacing w:val="-2"/>
          <w:sz w:val="22"/>
        </w:rPr>
        <w:t>conditions,</w:t>
      </w:r>
      <w:r>
        <w:rPr>
          <w:spacing w:val="-10"/>
          <w:sz w:val="22"/>
        </w:rPr>
        <w:t> </w:t>
      </w:r>
      <w:r>
        <w:rPr>
          <w:spacing w:val="-2"/>
          <w:sz w:val="22"/>
        </w:rPr>
        <w:t>if</w:t>
      </w:r>
      <w:r>
        <w:rPr>
          <w:spacing w:val="-12"/>
          <w:sz w:val="22"/>
        </w:rPr>
        <w:t> </w:t>
      </w:r>
      <w:r>
        <w:rPr>
          <w:spacing w:val="-2"/>
          <w:sz w:val="22"/>
        </w:rPr>
        <w:t>any,</w:t>
      </w:r>
      <w:r>
        <w:rPr>
          <w:spacing w:val="-11"/>
          <w:sz w:val="22"/>
        </w:rPr>
        <w:t> </w:t>
      </w:r>
      <w:r>
        <w:rPr>
          <w:spacing w:val="-2"/>
          <w:sz w:val="22"/>
        </w:rPr>
        <w:t>does</w:t>
      </w:r>
      <w:r>
        <w:rPr>
          <w:spacing w:val="-12"/>
          <w:sz w:val="22"/>
        </w:rPr>
        <w:t> </w:t>
      </w:r>
      <w:r>
        <w:rPr>
          <w:spacing w:val="-2"/>
          <w:sz w:val="22"/>
        </w:rPr>
        <w:t>it</w:t>
      </w:r>
      <w:r>
        <w:rPr>
          <w:spacing w:val="-12"/>
          <w:sz w:val="22"/>
        </w:rPr>
        <w:t> </w:t>
      </w:r>
      <w:r>
        <w:rPr>
          <w:spacing w:val="-2"/>
          <w:sz w:val="22"/>
        </w:rPr>
        <w:t>succeed, </w:t>
      </w:r>
      <w:r>
        <w:rPr>
          <w:sz w:val="22"/>
        </w:rPr>
        <w:t>and what structural properties of the data explain those conditions?</w:t>
      </w:r>
    </w:p>
    <w:p>
      <w:pPr>
        <w:pStyle w:val="BodyText"/>
        <w:spacing w:before="165"/>
      </w:pPr>
    </w:p>
    <w:p>
      <w:pPr>
        <w:pStyle w:val="Heading2"/>
        <w:numPr>
          <w:ilvl w:val="1"/>
          <w:numId w:val="13"/>
        </w:numPr>
        <w:tabs>
          <w:tab w:pos="787" w:val="left" w:leader="none"/>
        </w:tabs>
        <w:spacing w:line="240" w:lineRule="auto" w:before="0" w:after="0"/>
        <w:ind w:left="787" w:right="0" w:hanging="645"/>
        <w:jc w:val="left"/>
      </w:pPr>
      <w:bookmarkStart w:name="1.3 Scope and Delimitations" w:id="11"/>
      <w:bookmarkEnd w:id="11"/>
      <w:r>
        <w:rPr>
          <w:b w:val="0"/>
        </w:rPr>
      </w:r>
      <w:bookmarkStart w:name="_bookmark3" w:id="12"/>
      <w:bookmarkEnd w:id="12"/>
      <w:r>
        <w:rPr>
          <w:b w:val="0"/>
        </w:rPr>
      </w:r>
      <w:r>
        <w:rPr/>
        <w:t>Scope</w:t>
      </w:r>
      <w:r>
        <w:rPr>
          <w:spacing w:val="12"/>
        </w:rPr>
        <w:t> </w:t>
      </w:r>
      <w:r>
        <w:rPr/>
        <w:t>and</w:t>
      </w:r>
      <w:r>
        <w:rPr>
          <w:spacing w:val="13"/>
        </w:rPr>
        <w:t> </w:t>
      </w:r>
      <w:r>
        <w:rPr>
          <w:spacing w:val="-2"/>
        </w:rPr>
        <w:t>Delimitations</w:t>
      </w:r>
    </w:p>
    <w:p>
      <w:pPr>
        <w:pStyle w:val="BodyText"/>
        <w:spacing w:line="312" w:lineRule="auto" w:before="297"/>
        <w:ind w:left="142" w:right="1539" w:hanging="7"/>
        <w:jc w:val="both"/>
      </w:pPr>
      <w:r>
        <w:rPr/>
        <w:t>The thesis focuses exclusively on annual regional production values, measured in thousands of </w:t>
      </w:r>
      <w:r>
        <w:rPr>
          <w:spacing w:val="-2"/>
        </w:rPr>
        <w:t>hectolitres</w:t>
      </w:r>
      <w:r>
        <w:rPr>
          <w:spacing w:val="-9"/>
        </w:rPr>
        <w:t> </w:t>
      </w:r>
      <w:r>
        <w:rPr>
          <w:spacing w:val="-2"/>
        </w:rPr>
        <w:t>(mhl).</w:t>
      </w:r>
      <w:r>
        <w:rPr/>
        <w:t> </w:t>
      </w:r>
      <w:r>
        <w:rPr>
          <w:spacing w:val="-2"/>
        </w:rPr>
        <w:t>Sub-regional,</w:t>
      </w:r>
      <w:r>
        <w:rPr>
          <w:spacing w:val="-9"/>
        </w:rPr>
        <w:t> </w:t>
      </w:r>
      <w:r>
        <w:rPr>
          <w:spacing w:val="-2"/>
        </w:rPr>
        <w:t>vineyard-level,</w:t>
      </w:r>
      <w:r>
        <w:rPr>
          <w:spacing w:val="-9"/>
        </w:rPr>
        <w:t> </w:t>
      </w:r>
      <w:r>
        <w:rPr>
          <w:spacing w:val="-2"/>
        </w:rPr>
        <w:t>or</w:t>
      </w:r>
      <w:r>
        <w:rPr>
          <w:spacing w:val="-9"/>
        </w:rPr>
        <w:t> </w:t>
      </w:r>
      <w:r>
        <w:rPr>
          <w:spacing w:val="-2"/>
        </w:rPr>
        <w:t>quality-related</w:t>
      </w:r>
      <w:r>
        <w:rPr>
          <w:spacing w:val="-9"/>
        </w:rPr>
        <w:t> </w:t>
      </w:r>
      <w:r>
        <w:rPr>
          <w:spacing w:val="-2"/>
        </w:rPr>
        <w:t>outcomes</w:t>
      </w:r>
      <w:r>
        <w:rPr>
          <w:spacing w:val="-9"/>
        </w:rPr>
        <w:t> </w:t>
      </w:r>
      <w:r>
        <w:rPr>
          <w:spacing w:val="-2"/>
        </w:rPr>
        <w:t>are</w:t>
      </w:r>
      <w:r>
        <w:rPr>
          <w:spacing w:val="-9"/>
        </w:rPr>
        <w:t> </w:t>
      </w:r>
      <w:r>
        <w:rPr>
          <w:spacing w:val="-2"/>
        </w:rPr>
        <w:t>outside</w:t>
      </w:r>
      <w:r>
        <w:rPr>
          <w:spacing w:val="-9"/>
        </w:rPr>
        <w:t> </w:t>
      </w:r>
      <w:r>
        <w:rPr>
          <w:spacing w:val="-2"/>
        </w:rPr>
        <w:t>the</w:t>
      </w:r>
      <w:r>
        <w:rPr>
          <w:spacing w:val="-9"/>
        </w:rPr>
        <w:t> </w:t>
      </w:r>
      <w:r>
        <w:rPr>
          <w:spacing w:val="-2"/>
        </w:rPr>
        <w:t>scope</w:t>
      </w:r>
      <w:r>
        <w:rPr>
          <w:spacing w:val="-9"/>
        </w:rPr>
        <w:t> </w:t>
      </w:r>
      <w:r>
        <w:rPr>
          <w:spacing w:val="-2"/>
        </w:rPr>
        <w:t>of </w:t>
      </w:r>
      <w:r>
        <w:rPr/>
        <w:t>the</w:t>
      </w:r>
      <w:r>
        <w:rPr>
          <w:spacing w:val="-8"/>
        </w:rPr>
        <w:t> </w:t>
      </w:r>
      <w:r>
        <w:rPr/>
        <w:t>study.</w:t>
      </w:r>
      <w:r>
        <w:rPr>
          <w:spacing w:val="4"/>
        </w:rPr>
        <w:t> </w:t>
      </w:r>
      <w:r>
        <w:rPr/>
        <w:t>The</w:t>
      </w:r>
      <w:r>
        <w:rPr>
          <w:spacing w:val="-8"/>
        </w:rPr>
        <w:t> </w:t>
      </w:r>
      <w:r>
        <w:rPr/>
        <w:t>feature</w:t>
      </w:r>
      <w:r>
        <w:rPr>
          <w:spacing w:val="-8"/>
        </w:rPr>
        <w:t> </w:t>
      </w:r>
      <w:r>
        <w:rPr/>
        <w:t>set</w:t>
      </w:r>
      <w:r>
        <w:rPr>
          <w:spacing w:val="-7"/>
        </w:rPr>
        <w:t> </w:t>
      </w:r>
      <w:r>
        <w:rPr/>
        <w:t>is</w:t>
      </w:r>
      <w:r>
        <w:rPr>
          <w:spacing w:val="-8"/>
        </w:rPr>
        <w:t> </w:t>
      </w:r>
      <w:r>
        <w:rPr/>
        <w:t>derived</w:t>
      </w:r>
      <w:r>
        <w:rPr>
          <w:spacing w:val="-8"/>
        </w:rPr>
        <w:t> </w:t>
      </w:r>
      <w:r>
        <w:rPr/>
        <w:t>from</w:t>
      </w:r>
      <w:r>
        <w:rPr>
          <w:spacing w:val="-7"/>
        </w:rPr>
        <w:t> </w:t>
      </w:r>
      <w:r>
        <w:rPr/>
        <w:t>regional</w:t>
      </w:r>
      <w:r>
        <w:rPr>
          <w:spacing w:val="-8"/>
        </w:rPr>
        <w:t> </w:t>
      </w:r>
      <w:r>
        <w:rPr/>
        <w:t>climate</w:t>
      </w:r>
      <w:r>
        <w:rPr>
          <w:spacing w:val="-8"/>
        </w:rPr>
        <w:t> </w:t>
      </w:r>
      <w:r>
        <w:rPr/>
        <w:t>indices</w:t>
      </w:r>
      <w:r>
        <w:rPr>
          <w:spacing w:val="-7"/>
        </w:rPr>
        <w:t> </w:t>
      </w:r>
      <w:r>
        <w:rPr/>
        <w:t>and</w:t>
      </w:r>
      <w:r>
        <w:rPr>
          <w:spacing w:val="-8"/>
        </w:rPr>
        <w:t> </w:t>
      </w:r>
      <w:r>
        <w:rPr/>
        <w:t>a</w:t>
      </w:r>
      <w:r>
        <w:rPr>
          <w:spacing w:val="-8"/>
        </w:rPr>
        <w:t> </w:t>
      </w:r>
      <w:r>
        <w:rPr/>
        <w:t>vine</w:t>
      </w:r>
      <w:r>
        <w:rPr>
          <w:spacing w:val="-7"/>
        </w:rPr>
        <w:t> </w:t>
      </w:r>
      <w:r>
        <w:rPr/>
        <w:t>phenological</w:t>
      </w:r>
      <w:r>
        <w:rPr>
          <w:spacing w:val="-8"/>
        </w:rPr>
        <w:t> </w:t>
      </w:r>
      <w:r>
        <w:rPr>
          <w:spacing w:val="-2"/>
        </w:rPr>
        <w:t>model;</w:t>
      </w:r>
    </w:p>
    <w:p>
      <w:pPr>
        <w:pStyle w:val="BodyText"/>
        <w:spacing w:after="0" w:line="312" w:lineRule="auto"/>
        <w:jc w:val="both"/>
        <w:sectPr>
          <w:headerReference w:type="even" r:id="rId28"/>
          <w:pgSz w:w="11910" w:h="16840"/>
          <w:pgMar w:header="1160" w:footer="0" w:top="1420" w:bottom="280" w:left="1275" w:right="425"/>
          <w:pgNumType w:start="2"/>
        </w:sectPr>
      </w:pPr>
    </w:p>
    <w:p>
      <w:pPr>
        <w:pStyle w:val="ListParagraph"/>
        <w:numPr>
          <w:ilvl w:val="1"/>
          <w:numId w:val="13"/>
        </w:numPr>
        <w:tabs>
          <w:tab w:pos="1019" w:val="left" w:leader="none"/>
          <w:tab w:pos="9104" w:val="left" w:leader="none"/>
        </w:tabs>
        <w:spacing w:line="240" w:lineRule="auto" w:before="74" w:after="0"/>
        <w:ind w:left="1019" w:right="0" w:hanging="327"/>
        <w:jc w:val="left"/>
        <w:rPr>
          <w:rFonts w:ascii="Cambria"/>
          <w:i/>
          <w:sz w:val="22"/>
        </w:rPr>
      </w:pPr>
      <w:r>
        <w:rPr>
          <w:rFonts w:ascii="Cambria"/>
          <w:i/>
          <w:sz w:val="22"/>
        </w:rPr>
        <w:t>Thesis </w:t>
      </w:r>
      <w:r>
        <w:rPr>
          <w:rFonts w:ascii="Cambria"/>
          <w:i/>
          <w:spacing w:val="-2"/>
          <w:sz w:val="22"/>
        </w:rPr>
        <w:t>Structure</w:t>
      </w:r>
      <w:r>
        <w:rPr>
          <w:sz w:val="22"/>
        </w:rPr>
        <w:tab/>
      </w:r>
      <w:r>
        <w:rPr>
          <w:spacing w:val="-10"/>
          <w:sz w:val="22"/>
        </w:rPr>
        <w:t>3</w:t>
      </w:r>
    </w:p>
    <w:p>
      <w:pPr>
        <w:pStyle w:val="BodyText"/>
      </w:pPr>
    </w:p>
    <w:p>
      <w:pPr>
        <w:pStyle w:val="BodyText"/>
        <w:spacing w:before="38"/>
      </w:pPr>
    </w:p>
    <w:p>
      <w:pPr>
        <w:pStyle w:val="BodyText"/>
        <w:spacing w:line="312" w:lineRule="auto" w:before="1"/>
        <w:ind w:left="709" w:right="982"/>
        <w:jc w:val="both"/>
      </w:pPr>
      <w:r>
        <w:rPr>
          <w:spacing w:val="-2"/>
        </w:rPr>
        <w:t>field</w:t>
      </w:r>
      <w:r>
        <w:rPr>
          <w:spacing w:val="-12"/>
        </w:rPr>
        <w:t> </w:t>
      </w:r>
      <w:r>
        <w:rPr>
          <w:spacing w:val="-2"/>
        </w:rPr>
        <w:t>measurements</w:t>
      </w:r>
      <w:r>
        <w:rPr>
          <w:spacing w:val="-12"/>
        </w:rPr>
        <w:t> </w:t>
      </w:r>
      <w:r>
        <w:rPr>
          <w:spacing w:val="-2"/>
        </w:rPr>
        <w:t>of</w:t>
      </w:r>
      <w:r>
        <w:rPr>
          <w:spacing w:val="-12"/>
        </w:rPr>
        <w:t> </w:t>
      </w:r>
      <w:r>
        <w:rPr>
          <w:spacing w:val="-2"/>
        </w:rPr>
        <w:t>vine</w:t>
      </w:r>
      <w:r>
        <w:rPr>
          <w:spacing w:val="-11"/>
        </w:rPr>
        <w:t> </w:t>
      </w:r>
      <w:r>
        <w:rPr>
          <w:spacing w:val="-2"/>
        </w:rPr>
        <w:t>physiology</w:t>
      </w:r>
      <w:r>
        <w:rPr>
          <w:spacing w:val="-12"/>
        </w:rPr>
        <w:t> </w:t>
      </w:r>
      <w:r>
        <w:rPr>
          <w:spacing w:val="-2"/>
        </w:rPr>
        <w:t>are</w:t>
      </w:r>
      <w:r>
        <w:rPr>
          <w:spacing w:val="-12"/>
        </w:rPr>
        <w:t> </w:t>
      </w:r>
      <w:r>
        <w:rPr>
          <w:spacing w:val="-2"/>
        </w:rPr>
        <w:t>not</w:t>
      </w:r>
      <w:r>
        <w:rPr>
          <w:spacing w:val="-12"/>
        </w:rPr>
        <w:t> </w:t>
      </w:r>
      <w:r>
        <w:rPr>
          <w:spacing w:val="-2"/>
        </w:rPr>
        <w:t>available</w:t>
      </w:r>
      <w:r>
        <w:rPr>
          <w:spacing w:val="-11"/>
        </w:rPr>
        <w:t> </w:t>
      </w:r>
      <w:r>
        <w:rPr>
          <w:spacing w:val="-2"/>
        </w:rPr>
        <w:t>and</w:t>
      </w:r>
      <w:r>
        <w:rPr>
          <w:spacing w:val="-12"/>
        </w:rPr>
        <w:t> </w:t>
      </w:r>
      <w:r>
        <w:rPr>
          <w:spacing w:val="-2"/>
        </w:rPr>
        <w:t>are</w:t>
      </w:r>
      <w:r>
        <w:rPr>
          <w:spacing w:val="-12"/>
        </w:rPr>
        <w:t> </w:t>
      </w:r>
      <w:r>
        <w:rPr>
          <w:spacing w:val="-2"/>
        </w:rPr>
        <w:t>therefore</w:t>
      </w:r>
      <w:r>
        <w:rPr>
          <w:spacing w:val="-12"/>
        </w:rPr>
        <w:t> </w:t>
      </w:r>
      <w:r>
        <w:rPr>
          <w:spacing w:val="-2"/>
        </w:rPr>
        <w:t>not</w:t>
      </w:r>
      <w:r>
        <w:rPr>
          <w:spacing w:val="-11"/>
        </w:rPr>
        <w:t> </w:t>
      </w:r>
      <w:r>
        <w:rPr>
          <w:spacing w:val="-2"/>
        </w:rPr>
        <w:t>considered. The</w:t>
      </w:r>
      <w:r>
        <w:rPr>
          <w:spacing w:val="-12"/>
        </w:rPr>
        <w:t> </w:t>
      </w:r>
      <w:r>
        <w:rPr>
          <w:spacing w:val="-2"/>
        </w:rPr>
        <w:t>study </w:t>
      </w:r>
      <w:r>
        <w:rPr/>
        <w:t>does not address price forecasting, demand modelling, or the economics of wine production.</w:t>
      </w:r>
    </w:p>
    <w:p>
      <w:pPr>
        <w:pStyle w:val="BodyText"/>
        <w:spacing w:line="312" w:lineRule="auto"/>
        <w:ind w:left="709" w:right="963" w:firstLine="338"/>
        <w:jc w:val="both"/>
      </w:pPr>
      <w:r>
        <w:rPr>
          <w:spacing w:val="-4"/>
        </w:rPr>
        <w:t>The rule-learning algorithms evaluated are CarenR (distributional rules), RIPPER (classification </w:t>
      </w:r>
      <w:r>
        <w:rPr/>
        <w:t>rules), and M5Rules (rule induction with linear regression consequents), together with naive </w:t>
      </w:r>
      <w:r>
        <w:rPr>
          <w:spacing w:val="-4"/>
        </w:rPr>
        <w:t>baselines</w:t>
      </w:r>
      <w:r>
        <w:rPr>
          <w:spacing w:val="-6"/>
        </w:rPr>
        <w:t> </w:t>
      </w:r>
      <w:r>
        <w:rPr>
          <w:spacing w:val="-4"/>
        </w:rPr>
        <w:t>and</w:t>
      </w:r>
      <w:r>
        <w:rPr>
          <w:spacing w:val="-6"/>
        </w:rPr>
        <w:t> </w:t>
      </w:r>
      <w:r>
        <w:rPr>
          <w:spacing w:val="-4"/>
        </w:rPr>
        <w:t>a</w:t>
      </w:r>
      <w:r>
        <w:rPr>
          <w:spacing w:val="-6"/>
        </w:rPr>
        <w:t> </w:t>
      </w:r>
      <w:r>
        <w:rPr>
          <w:spacing w:val="-4"/>
        </w:rPr>
        <w:t>Decision</w:t>
      </w:r>
      <w:r>
        <w:rPr>
          <w:spacing w:val="-6"/>
        </w:rPr>
        <w:t> </w:t>
      </w:r>
      <w:r>
        <w:rPr>
          <w:spacing w:val="-4"/>
        </w:rPr>
        <w:t>Tree</w:t>
      </w:r>
      <w:r>
        <w:rPr>
          <w:spacing w:val="-6"/>
        </w:rPr>
        <w:t> </w:t>
      </w:r>
      <w:r>
        <w:rPr>
          <w:spacing w:val="-4"/>
        </w:rPr>
        <w:t>regressor</w:t>
      </w:r>
      <w:r>
        <w:rPr>
          <w:spacing w:val="-6"/>
        </w:rPr>
        <w:t> </w:t>
      </w:r>
      <w:r>
        <w:rPr>
          <w:spacing w:val="-4"/>
        </w:rPr>
        <w:t>as</w:t>
      </w:r>
      <w:r>
        <w:rPr>
          <w:spacing w:val="-6"/>
        </w:rPr>
        <w:t> </w:t>
      </w:r>
      <w:r>
        <w:rPr>
          <w:spacing w:val="-4"/>
        </w:rPr>
        <w:t>a</w:t>
      </w:r>
      <w:r>
        <w:rPr>
          <w:spacing w:val="-6"/>
        </w:rPr>
        <w:t> </w:t>
      </w:r>
      <w:r>
        <w:rPr>
          <w:spacing w:val="-4"/>
        </w:rPr>
        <w:t>non-rule</w:t>
      </w:r>
      <w:r>
        <w:rPr>
          <w:spacing w:val="-6"/>
        </w:rPr>
        <w:t> </w:t>
      </w:r>
      <w:r>
        <w:rPr>
          <w:spacing w:val="-4"/>
        </w:rPr>
        <w:t>comparator.</w:t>
      </w:r>
      <w:r>
        <w:rPr>
          <w:spacing w:val="15"/>
        </w:rPr>
        <w:t> </w:t>
      </w:r>
      <w:r>
        <w:rPr>
          <w:spacing w:val="-4"/>
        </w:rPr>
        <w:t>Deep</w:t>
      </w:r>
      <w:r>
        <w:rPr>
          <w:spacing w:val="-6"/>
        </w:rPr>
        <w:t> </w:t>
      </w:r>
      <w:r>
        <w:rPr>
          <w:spacing w:val="-4"/>
        </w:rPr>
        <w:t>learning, ensemble</w:t>
      </w:r>
      <w:r>
        <w:rPr>
          <w:spacing w:val="-6"/>
        </w:rPr>
        <w:t> </w:t>
      </w:r>
      <w:r>
        <w:rPr>
          <w:spacing w:val="-4"/>
        </w:rPr>
        <w:t>methods, </w:t>
      </w:r>
      <w:r>
        <w:rPr/>
        <w:t>and other non-interpretable regression approaches are not evaluated; the thesis is specifically motivated by the interpretability requirement that makes rule-based methods preferable in this domain context.</w:t>
      </w:r>
    </w:p>
    <w:p>
      <w:pPr>
        <w:pStyle w:val="BodyText"/>
        <w:spacing w:before="139"/>
      </w:pPr>
    </w:p>
    <w:p>
      <w:pPr>
        <w:pStyle w:val="Heading2"/>
        <w:numPr>
          <w:ilvl w:val="1"/>
          <w:numId w:val="14"/>
        </w:numPr>
        <w:tabs>
          <w:tab w:pos="1354" w:val="left" w:leader="none"/>
        </w:tabs>
        <w:spacing w:line="240" w:lineRule="auto" w:before="0" w:after="0"/>
        <w:ind w:left="1354" w:right="0" w:hanging="645"/>
        <w:jc w:val="left"/>
      </w:pPr>
      <w:bookmarkStart w:name="1.4 Thesis Structure" w:id="13"/>
      <w:bookmarkEnd w:id="13"/>
      <w:r>
        <w:rPr>
          <w:b w:val="0"/>
        </w:rPr>
      </w:r>
      <w:bookmarkStart w:name="_bookmark4" w:id="14"/>
      <w:bookmarkEnd w:id="14"/>
      <w:r>
        <w:rPr>
          <w:b w:val="0"/>
        </w:rPr>
      </w:r>
      <w:r>
        <w:rPr/>
        <w:t>Thesis</w:t>
      </w:r>
      <w:r>
        <w:rPr>
          <w:spacing w:val="16"/>
        </w:rPr>
        <w:t> </w:t>
      </w:r>
      <w:r>
        <w:rPr>
          <w:spacing w:val="-2"/>
        </w:rPr>
        <w:t>Structure</w:t>
      </w:r>
    </w:p>
    <w:p>
      <w:pPr>
        <w:pStyle w:val="BodyText"/>
        <w:spacing w:line="312" w:lineRule="auto" w:before="289"/>
        <w:ind w:left="709" w:right="952"/>
        <w:jc w:val="both"/>
      </w:pPr>
      <w:r>
        <w:rPr/>
        <w:t>Chapter </w:t>
      </w:r>
      <w:hyperlink w:history="true" w:anchor="_bookmark5">
        <w:r>
          <w:rPr>
            <w:color w:val="8B2C18"/>
          </w:rPr>
          <w:t>2</w:t>
        </w:r>
      </w:hyperlink>
      <w:r>
        <w:rPr>
          <w:color w:val="8B2C18"/>
        </w:rPr>
        <w:t> </w:t>
      </w:r>
      <w:r>
        <w:rPr/>
        <w:t>covers the relevant background: wine production forecasting, agroclimatic modelling, and rule-based machine learning.</w:t>
      </w:r>
      <w:r>
        <w:rPr>
          <w:spacing w:val="40"/>
        </w:rPr>
        <w:t> </w:t>
      </w:r>
      <w:r>
        <w:rPr/>
        <w:t>Chapter </w:t>
      </w:r>
      <w:hyperlink w:history="true" w:anchor="_bookmark28">
        <w:r>
          <w:rPr>
            <w:color w:val="8B2C18"/>
          </w:rPr>
          <w:t>3</w:t>
        </w:r>
      </w:hyperlink>
      <w:r>
        <w:rPr>
          <w:color w:val="8B2C18"/>
        </w:rPr>
        <w:t> </w:t>
      </w:r>
      <w:r>
        <w:rPr/>
        <w:t>describes the data, feature engineering, detrending </w:t>
      </w:r>
      <w:r>
        <w:rPr>
          <w:spacing w:val="-4"/>
        </w:rPr>
        <w:t>methodology, and walk-forward validation protocol, and introduces the two-decision decomposition </w:t>
      </w:r>
      <w:r>
        <w:rPr/>
        <w:t>framework</w:t>
      </w:r>
      <w:r>
        <w:rPr>
          <w:spacing w:val="-1"/>
        </w:rPr>
        <w:t> </w:t>
      </w:r>
      <w:r>
        <w:rPr/>
        <w:t>used</w:t>
      </w:r>
      <w:r>
        <w:rPr>
          <w:spacing w:val="-1"/>
        </w:rPr>
        <w:t> </w:t>
      </w:r>
      <w:r>
        <w:rPr/>
        <w:t>throughout</w:t>
      </w:r>
      <w:r>
        <w:rPr>
          <w:spacing w:val="-1"/>
        </w:rPr>
        <w:t> </w:t>
      </w:r>
      <w:r>
        <w:rPr/>
        <w:t>the</w:t>
      </w:r>
      <w:r>
        <w:rPr>
          <w:spacing w:val="-1"/>
        </w:rPr>
        <w:t> </w:t>
      </w:r>
      <w:r>
        <w:rPr/>
        <w:t>analysis. Chapter</w:t>
      </w:r>
      <w:r>
        <w:rPr>
          <w:spacing w:val="-1"/>
        </w:rPr>
        <w:t> </w:t>
      </w:r>
      <w:hyperlink w:history="true" w:anchor="_bookmark68">
        <w:r>
          <w:rPr>
            <w:color w:val="8B2C18"/>
          </w:rPr>
          <w:t>4</w:t>
        </w:r>
      </w:hyperlink>
      <w:r>
        <w:rPr>
          <w:color w:val="8B2C18"/>
          <w:spacing w:val="-1"/>
        </w:rPr>
        <w:t> </w:t>
      </w:r>
      <w:r>
        <w:rPr/>
        <w:t>reports</w:t>
      </w:r>
      <w:r>
        <w:rPr>
          <w:spacing w:val="-1"/>
        </w:rPr>
        <w:t> </w:t>
      </w:r>
      <w:r>
        <w:rPr/>
        <w:t>the</w:t>
      </w:r>
      <w:r>
        <w:rPr>
          <w:spacing w:val="-1"/>
        </w:rPr>
        <w:t> </w:t>
      </w:r>
      <w:r>
        <w:rPr/>
        <w:t>rule</w:t>
      </w:r>
      <w:r>
        <w:rPr>
          <w:spacing w:val="-1"/>
        </w:rPr>
        <w:t> </w:t>
      </w:r>
      <w:r>
        <w:rPr/>
        <w:t>discovery</w:t>
      </w:r>
      <w:r>
        <w:rPr>
          <w:spacing w:val="-1"/>
        </w:rPr>
        <w:t> </w:t>
      </w:r>
      <w:r>
        <w:rPr/>
        <w:t>results: algorithms compared, dominant agroclimatic features, and LOESS validation. Chapter </w:t>
      </w:r>
      <w:hyperlink w:history="true" w:anchor="_bookmark96">
        <w:r>
          <w:rPr>
            <w:color w:val="8B2C18"/>
          </w:rPr>
          <w:t>5</w:t>
        </w:r>
      </w:hyperlink>
      <w:r>
        <w:rPr>
          <w:color w:val="8B2C18"/>
        </w:rPr>
        <w:t> </w:t>
      </w:r>
      <w:r>
        <w:rPr/>
        <w:t>presents the walk-forward</w:t>
      </w:r>
      <w:r>
        <w:rPr>
          <w:spacing w:val="-14"/>
        </w:rPr>
        <w:t> </w:t>
      </w:r>
      <w:r>
        <w:rPr/>
        <w:t>prediction</w:t>
      </w:r>
      <w:r>
        <w:rPr>
          <w:spacing w:val="-14"/>
        </w:rPr>
        <w:t> </w:t>
      </w:r>
      <w:r>
        <w:rPr/>
        <w:t>results</w:t>
      </w:r>
      <w:r>
        <w:rPr>
          <w:spacing w:val="-14"/>
        </w:rPr>
        <w:t> </w:t>
      </w:r>
      <w:r>
        <w:rPr/>
        <w:t>for</w:t>
      </w:r>
      <w:r>
        <w:rPr>
          <w:spacing w:val="-13"/>
        </w:rPr>
        <w:t> </w:t>
      </w:r>
      <w:r>
        <w:rPr/>
        <w:t>both</w:t>
      </w:r>
      <w:r>
        <w:rPr>
          <w:spacing w:val="-14"/>
        </w:rPr>
        <w:t> </w:t>
      </w:r>
      <w:r>
        <w:rPr/>
        <w:t>regions,</w:t>
      </w:r>
      <w:r>
        <w:rPr>
          <w:spacing w:val="-14"/>
        </w:rPr>
        <w:t> </w:t>
      </w:r>
      <w:r>
        <w:rPr/>
        <w:t>including</w:t>
      </w:r>
      <w:r>
        <w:rPr>
          <w:spacing w:val="-14"/>
        </w:rPr>
        <w:t> </w:t>
      </w:r>
      <w:r>
        <w:rPr/>
        <w:t>era-composition</w:t>
      </w:r>
      <w:r>
        <w:rPr>
          <w:spacing w:val="-13"/>
        </w:rPr>
        <w:t> </w:t>
      </w:r>
      <w:r>
        <w:rPr/>
        <w:t>analysis</w:t>
      </w:r>
      <w:r>
        <w:rPr>
          <w:spacing w:val="-14"/>
        </w:rPr>
        <w:t> </w:t>
      </w:r>
      <w:r>
        <w:rPr/>
        <w:t>and</w:t>
      </w:r>
      <w:r>
        <w:rPr>
          <w:spacing w:val="-14"/>
        </w:rPr>
        <w:t> </w:t>
      </w:r>
      <w:r>
        <w:rPr/>
        <w:t>statistical</w:t>
      </w:r>
      <w:r>
        <w:rPr>
          <w:spacing w:val="-14"/>
        </w:rPr>
        <w:t> </w:t>
      </w:r>
      <w:r>
        <w:rPr/>
        <w:t>tests. Chapter</w:t>
      </w:r>
      <w:r>
        <w:rPr>
          <w:spacing w:val="-6"/>
        </w:rPr>
        <w:t> </w:t>
      </w:r>
      <w:hyperlink w:history="true" w:anchor="_bookmark130">
        <w:r>
          <w:rPr>
            <w:color w:val="8B2C18"/>
          </w:rPr>
          <w:t>6</w:t>
        </w:r>
      </w:hyperlink>
      <w:r>
        <w:rPr>
          <w:color w:val="8B2C18"/>
          <w:spacing w:val="-6"/>
        </w:rPr>
        <w:t> </w:t>
      </w:r>
      <w:r>
        <w:rPr/>
        <w:t>discusses</w:t>
      </w:r>
      <w:r>
        <w:rPr>
          <w:spacing w:val="-6"/>
        </w:rPr>
        <w:t> </w:t>
      </w:r>
      <w:r>
        <w:rPr/>
        <w:t>why</w:t>
      </w:r>
      <w:r>
        <w:rPr>
          <w:spacing w:val="-6"/>
        </w:rPr>
        <w:t> </w:t>
      </w:r>
      <w:r>
        <w:rPr/>
        <w:t>rule</w:t>
      </w:r>
      <w:r>
        <w:rPr>
          <w:spacing w:val="-6"/>
        </w:rPr>
        <w:t> </w:t>
      </w:r>
      <w:r>
        <w:rPr/>
        <w:t>discovery</w:t>
      </w:r>
      <w:r>
        <w:rPr>
          <w:spacing w:val="-6"/>
        </w:rPr>
        <w:t> </w:t>
      </w:r>
      <w:r>
        <w:rPr/>
        <w:t>succeeds</w:t>
      </w:r>
      <w:r>
        <w:rPr>
          <w:spacing w:val="-6"/>
        </w:rPr>
        <w:t> </w:t>
      </w:r>
      <w:r>
        <w:rPr/>
        <w:t>whereas</w:t>
      </w:r>
      <w:r>
        <w:rPr>
          <w:spacing w:val="-6"/>
        </w:rPr>
        <w:t> </w:t>
      </w:r>
      <w:r>
        <w:rPr/>
        <w:t>prediction</w:t>
      </w:r>
      <w:r>
        <w:rPr>
          <w:spacing w:val="-6"/>
        </w:rPr>
        <w:t> </w:t>
      </w:r>
      <w:r>
        <w:rPr/>
        <w:t>at</w:t>
      </w:r>
      <w:r>
        <w:rPr>
          <w:spacing w:val="-6"/>
        </w:rPr>
        <w:t> </w:t>
      </w:r>
      <w:r>
        <w:rPr/>
        <w:t>the</w:t>
      </w:r>
      <w:r>
        <w:rPr>
          <w:spacing w:val="-6"/>
        </w:rPr>
        <w:t> </w:t>
      </w:r>
      <w:r>
        <w:rPr/>
        <w:t>regional</w:t>
      </w:r>
      <w:r>
        <w:rPr>
          <w:spacing w:val="-6"/>
        </w:rPr>
        <w:t> </w:t>
      </w:r>
      <w:r>
        <w:rPr/>
        <w:t>level</w:t>
      </w:r>
      <w:r>
        <w:rPr>
          <w:spacing w:val="-6"/>
        </w:rPr>
        <w:t> </w:t>
      </w:r>
      <w:r>
        <w:rPr/>
        <w:t>remains challenging, examines the structural divergence between the two regions, and outlines directions for improvement. Chapter </w:t>
      </w:r>
      <w:hyperlink w:history="true" w:anchor="_bookmark144">
        <w:r>
          <w:rPr>
            <w:color w:val="8B2C18"/>
          </w:rPr>
          <w:t>7</w:t>
        </w:r>
      </w:hyperlink>
      <w:r>
        <w:rPr>
          <w:color w:val="8B2C18"/>
        </w:rPr>
        <w:t> </w:t>
      </w:r>
      <w:r>
        <w:rPr/>
        <w:t>presents conclusions, contributions, limitations, and future work.</w:t>
      </w:r>
    </w:p>
    <w:p>
      <w:pPr>
        <w:pStyle w:val="BodyText"/>
        <w:spacing w:after="0" w:line="312" w:lineRule="auto"/>
        <w:jc w:val="both"/>
        <w:sectPr>
          <w:headerReference w:type="default" r:id="rId29"/>
          <w:pgSz w:w="11910" w:h="16840"/>
          <w:pgMar w:header="0" w:footer="0" w:top="1060" w:bottom="280" w:left="1275" w:right="425"/>
        </w:sectPr>
      </w:pPr>
    </w:p>
    <w:p>
      <w:pPr>
        <w:pStyle w:val="BodyText"/>
        <w:spacing w:before="4"/>
        <w:rPr>
          <w:sz w:val="17"/>
        </w:rPr>
      </w:pPr>
    </w:p>
    <w:p>
      <w:pPr>
        <w:pStyle w:val="BodyText"/>
        <w:spacing w:after="0"/>
        <w:rPr>
          <w:sz w:val="17"/>
        </w:rPr>
        <w:sectPr>
          <w:headerReference w:type="even" r:id="rId30"/>
          <w:pgSz w:w="11910" w:h="16840"/>
          <w:pgMar w:header="1160" w:footer="0" w:top="1420" w:bottom="280" w:left="1275" w:right="425"/>
          <w:pgNumType w:start="4"/>
        </w:sectPr>
      </w:pPr>
    </w:p>
    <w:p>
      <w:pPr>
        <w:pStyle w:val="BodyText"/>
        <w:rPr>
          <w:sz w:val="41"/>
        </w:rPr>
      </w:pPr>
    </w:p>
    <w:p>
      <w:pPr>
        <w:pStyle w:val="BodyText"/>
        <w:rPr>
          <w:sz w:val="41"/>
        </w:rPr>
      </w:pPr>
    </w:p>
    <w:p>
      <w:pPr>
        <w:pStyle w:val="BodyText"/>
        <w:spacing w:before="29"/>
        <w:rPr>
          <w:sz w:val="41"/>
        </w:rPr>
      </w:pPr>
    </w:p>
    <w:p>
      <w:pPr>
        <w:spacing w:before="0"/>
        <w:ind w:left="709" w:right="0" w:firstLine="0"/>
        <w:jc w:val="left"/>
        <w:rPr>
          <w:b/>
          <w:sz w:val="41"/>
        </w:rPr>
      </w:pPr>
      <w:bookmarkStart w:name="2 Literature Review" w:id="15"/>
      <w:bookmarkEnd w:id="15"/>
      <w:r>
        <w:rPr/>
      </w:r>
      <w:bookmarkStart w:name="_bookmark5" w:id="16"/>
      <w:bookmarkEnd w:id="16"/>
      <w:r>
        <w:rPr/>
      </w:r>
      <w:r>
        <w:rPr>
          <w:b/>
          <w:sz w:val="41"/>
        </w:rPr>
        <w:t>Chapter </w:t>
      </w:r>
      <w:r>
        <w:rPr>
          <w:b/>
          <w:spacing w:val="-10"/>
          <w:sz w:val="41"/>
        </w:rPr>
        <w:t>2</w:t>
      </w:r>
    </w:p>
    <w:p>
      <w:pPr>
        <w:pStyle w:val="BodyText"/>
        <w:spacing w:before="109"/>
        <w:rPr>
          <w:b/>
          <w:sz w:val="41"/>
        </w:rPr>
      </w:pPr>
    </w:p>
    <w:p>
      <w:pPr>
        <w:pStyle w:val="Heading1"/>
      </w:pPr>
      <w:r>
        <w:rPr/>
        <w:t>Literature</w:t>
      </w:r>
      <w:r>
        <w:rPr>
          <w:spacing w:val="13"/>
        </w:rPr>
        <w:t> </w:t>
      </w:r>
      <w:r>
        <w:rPr>
          <w:spacing w:val="-2"/>
        </w:rPr>
        <w:t>Review</w:t>
      </w:r>
    </w:p>
    <w:p>
      <w:pPr>
        <w:pStyle w:val="BodyText"/>
        <w:spacing w:before="254"/>
        <w:rPr>
          <w:b/>
          <w:sz w:val="49"/>
        </w:rPr>
      </w:pPr>
    </w:p>
    <w:p>
      <w:pPr>
        <w:pStyle w:val="BodyText"/>
        <w:spacing w:line="312" w:lineRule="auto" w:before="1"/>
        <w:ind w:left="709" w:right="982" w:hanging="7"/>
        <w:jc w:val="both"/>
      </w:pPr>
      <w:r>
        <w:rPr/>
        <w:t>This</w:t>
      </w:r>
      <w:r>
        <w:rPr>
          <w:spacing w:val="-1"/>
        </w:rPr>
        <w:t> </w:t>
      </w:r>
      <w:r>
        <w:rPr/>
        <w:t>chapter</w:t>
      </w:r>
      <w:r>
        <w:rPr>
          <w:spacing w:val="-1"/>
        </w:rPr>
        <w:t> </w:t>
      </w:r>
      <w:r>
        <w:rPr/>
        <w:t>reviews</w:t>
      </w:r>
      <w:r>
        <w:rPr>
          <w:spacing w:val="-1"/>
        </w:rPr>
        <w:t> </w:t>
      </w:r>
      <w:r>
        <w:rPr/>
        <w:t>the</w:t>
      </w:r>
      <w:r>
        <w:rPr>
          <w:spacing w:val="-1"/>
        </w:rPr>
        <w:t> </w:t>
      </w:r>
      <w:r>
        <w:rPr/>
        <w:t>foundations</w:t>
      </w:r>
      <w:r>
        <w:rPr>
          <w:spacing w:val="-1"/>
        </w:rPr>
        <w:t> </w:t>
      </w:r>
      <w:r>
        <w:rPr/>
        <w:t>of</w:t>
      </w:r>
      <w:r>
        <w:rPr>
          <w:spacing w:val="-1"/>
        </w:rPr>
        <w:t> </w:t>
      </w:r>
      <w:r>
        <w:rPr/>
        <w:t>the</w:t>
      </w:r>
      <w:r>
        <w:rPr>
          <w:spacing w:val="-1"/>
        </w:rPr>
        <w:t> </w:t>
      </w:r>
      <w:r>
        <w:rPr/>
        <w:t>thesis</w:t>
      </w:r>
      <w:r>
        <w:rPr>
          <w:spacing w:val="-1"/>
        </w:rPr>
        <w:t> </w:t>
      </w:r>
      <w:r>
        <w:rPr/>
        <w:t>across</w:t>
      </w:r>
      <w:r>
        <w:rPr>
          <w:spacing w:val="-1"/>
        </w:rPr>
        <w:t> </w:t>
      </w:r>
      <w:r>
        <w:rPr/>
        <w:t>three</w:t>
      </w:r>
      <w:r>
        <w:rPr>
          <w:spacing w:val="-1"/>
        </w:rPr>
        <w:t> </w:t>
      </w:r>
      <w:r>
        <w:rPr/>
        <w:t>domains: the</w:t>
      </w:r>
      <w:r>
        <w:rPr>
          <w:spacing w:val="-1"/>
        </w:rPr>
        <w:t> </w:t>
      </w:r>
      <w:r>
        <w:rPr/>
        <w:t>agroclimatic</w:t>
      </w:r>
      <w:r>
        <w:rPr>
          <w:spacing w:val="-1"/>
        </w:rPr>
        <w:t> </w:t>
      </w:r>
      <w:r>
        <w:rPr/>
        <w:t>drivers of</w:t>
      </w:r>
      <w:r>
        <w:rPr>
          <w:spacing w:val="-4"/>
        </w:rPr>
        <w:t> </w:t>
      </w:r>
      <w:r>
        <w:rPr/>
        <w:t>wine</w:t>
      </w:r>
      <w:r>
        <w:rPr>
          <w:spacing w:val="-4"/>
        </w:rPr>
        <w:t> </w:t>
      </w:r>
      <w:r>
        <w:rPr/>
        <w:t>production</w:t>
      </w:r>
      <w:r>
        <w:rPr>
          <w:spacing w:val="-4"/>
        </w:rPr>
        <w:t> </w:t>
      </w:r>
      <w:r>
        <w:rPr/>
        <w:t>in</w:t>
      </w:r>
      <w:r>
        <w:rPr>
          <w:spacing w:val="-4"/>
        </w:rPr>
        <w:t> </w:t>
      </w:r>
      <w:r>
        <w:rPr/>
        <w:t>Portuguese</w:t>
      </w:r>
      <w:r>
        <w:rPr>
          <w:spacing w:val="-4"/>
        </w:rPr>
        <w:t> </w:t>
      </w:r>
      <w:r>
        <w:rPr/>
        <w:t>wine</w:t>
      </w:r>
      <w:r>
        <w:rPr>
          <w:spacing w:val="-4"/>
        </w:rPr>
        <w:t> </w:t>
      </w:r>
      <w:r>
        <w:rPr/>
        <w:t>regions;</w:t>
      </w:r>
      <w:r>
        <w:rPr>
          <w:spacing w:val="-4"/>
        </w:rPr>
        <w:t> </w:t>
      </w:r>
      <w:r>
        <w:rPr/>
        <w:t>quantitative</w:t>
      </w:r>
      <w:r>
        <w:rPr>
          <w:spacing w:val="-4"/>
        </w:rPr>
        <w:t> </w:t>
      </w:r>
      <w:r>
        <w:rPr/>
        <w:t>approaches</w:t>
      </w:r>
      <w:r>
        <w:rPr>
          <w:spacing w:val="-4"/>
        </w:rPr>
        <w:t> </w:t>
      </w:r>
      <w:r>
        <w:rPr/>
        <w:t>to</w:t>
      </w:r>
      <w:r>
        <w:rPr>
          <w:spacing w:val="-4"/>
        </w:rPr>
        <w:t> </w:t>
      </w:r>
      <w:r>
        <w:rPr/>
        <w:t>yield</w:t>
      </w:r>
      <w:r>
        <w:rPr>
          <w:spacing w:val="-4"/>
        </w:rPr>
        <w:t> </w:t>
      </w:r>
      <w:r>
        <w:rPr/>
        <w:t>prediction,</w:t>
      </w:r>
      <w:r>
        <w:rPr>
          <w:spacing w:val="-4"/>
        </w:rPr>
        <w:t> </w:t>
      </w:r>
      <w:r>
        <w:rPr/>
        <w:t>from </w:t>
      </w:r>
      <w:r>
        <w:rPr>
          <w:spacing w:val="-2"/>
        </w:rPr>
        <w:t>classical</w:t>
      </w:r>
      <w:r>
        <w:rPr>
          <w:spacing w:val="-9"/>
        </w:rPr>
        <w:t> </w:t>
      </w:r>
      <w:r>
        <w:rPr>
          <w:spacing w:val="-2"/>
        </w:rPr>
        <w:t>regression</w:t>
      </w:r>
      <w:r>
        <w:rPr>
          <w:spacing w:val="-9"/>
        </w:rPr>
        <w:t> </w:t>
      </w:r>
      <w:r>
        <w:rPr>
          <w:spacing w:val="-2"/>
        </w:rPr>
        <w:t>to</w:t>
      </w:r>
      <w:r>
        <w:rPr>
          <w:spacing w:val="-9"/>
        </w:rPr>
        <w:t> </w:t>
      </w:r>
      <w:r>
        <w:rPr>
          <w:spacing w:val="-2"/>
        </w:rPr>
        <w:t>modern</w:t>
      </w:r>
      <w:r>
        <w:rPr>
          <w:spacing w:val="-9"/>
        </w:rPr>
        <w:t> </w:t>
      </w:r>
      <w:r>
        <w:rPr>
          <w:spacing w:val="-2"/>
        </w:rPr>
        <w:t>machine</w:t>
      </w:r>
      <w:r>
        <w:rPr>
          <w:spacing w:val="-9"/>
        </w:rPr>
        <w:t> </w:t>
      </w:r>
      <w:r>
        <w:rPr>
          <w:spacing w:val="-2"/>
        </w:rPr>
        <w:t>learning;</w:t>
      </w:r>
      <w:r>
        <w:rPr>
          <w:spacing w:val="-9"/>
        </w:rPr>
        <w:t> </w:t>
      </w:r>
      <w:r>
        <w:rPr>
          <w:spacing w:val="-2"/>
        </w:rPr>
        <w:t>and</w:t>
      </w:r>
      <w:r>
        <w:rPr>
          <w:spacing w:val="-9"/>
        </w:rPr>
        <w:t> </w:t>
      </w:r>
      <w:r>
        <w:rPr>
          <w:spacing w:val="-2"/>
        </w:rPr>
        <w:t>the</w:t>
      </w:r>
      <w:r>
        <w:rPr>
          <w:spacing w:val="-9"/>
        </w:rPr>
        <w:t> </w:t>
      </w:r>
      <w:r>
        <w:rPr>
          <w:spacing w:val="-2"/>
        </w:rPr>
        <w:t>data</w:t>
      </w:r>
      <w:r>
        <w:rPr>
          <w:spacing w:val="-9"/>
        </w:rPr>
        <w:t> </w:t>
      </w:r>
      <w:r>
        <w:rPr>
          <w:spacing w:val="-2"/>
        </w:rPr>
        <w:t>mining</w:t>
      </w:r>
      <w:r>
        <w:rPr>
          <w:spacing w:val="-9"/>
        </w:rPr>
        <w:t> </w:t>
      </w:r>
      <w:r>
        <w:rPr>
          <w:spacing w:val="-2"/>
        </w:rPr>
        <w:t>methods</w:t>
      </w:r>
      <w:r>
        <w:rPr>
          <w:spacing w:val="-9"/>
        </w:rPr>
        <w:t> </w:t>
      </w:r>
      <w:r>
        <w:rPr>
          <w:spacing w:val="-2"/>
        </w:rPr>
        <w:t>(subgroup</w:t>
      </w:r>
      <w:r>
        <w:rPr>
          <w:spacing w:val="-9"/>
        </w:rPr>
        <w:t> </w:t>
      </w:r>
      <w:r>
        <w:rPr>
          <w:spacing w:val="-2"/>
        </w:rPr>
        <w:t>discovery </w:t>
      </w:r>
      <w:r>
        <w:rPr/>
        <w:t>and</w:t>
      </w:r>
      <w:r>
        <w:rPr>
          <w:spacing w:val="-8"/>
        </w:rPr>
        <w:t> </w:t>
      </w:r>
      <w:r>
        <w:rPr/>
        <w:t>distribution</w:t>
      </w:r>
      <w:r>
        <w:rPr>
          <w:spacing w:val="-8"/>
        </w:rPr>
        <w:t> </w:t>
      </w:r>
      <w:r>
        <w:rPr/>
        <w:t>rules)</w:t>
      </w:r>
      <w:r>
        <w:rPr>
          <w:spacing w:val="-8"/>
        </w:rPr>
        <w:t> </w:t>
      </w:r>
      <w:r>
        <w:rPr/>
        <w:t>that</w:t>
      </w:r>
      <w:r>
        <w:rPr>
          <w:spacing w:val="-8"/>
        </w:rPr>
        <w:t> </w:t>
      </w:r>
      <w:r>
        <w:rPr/>
        <w:t>underpin</w:t>
      </w:r>
      <w:r>
        <w:rPr>
          <w:spacing w:val="-8"/>
        </w:rPr>
        <w:t> </w:t>
      </w:r>
      <w:r>
        <w:rPr/>
        <w:t>the</w:t>
      </w:r>
      <w:r>
        <w:rPr>
          <w:spacing w:val="-8"/>
        </w:rPr>
        <w:t> </w:t>
      </w:r>
      <w:r>
        <w:rPr/>
        <w:t>CarenR</w:t>
      </w:r>
      <w:r>
        <w:rPr>
          <w:spacing w:val="-8"/>
        </w:rPr>
        <w:t> </w:t>
      </w:r>
      <w:r>
        <w:rPr/>
        <w:t>framework</w:t>
      </w:r>
      <w:r>
        <w:rPr>
          <w:spacing w:val="-8"/>
        </w:rPr>
        <w:t> </w:t>
      </w:r>
      <w:r>
        <w:rPr/>
        <w:t>used</w:t>
      </w:r>
      <w:r>
        <w:rPr>
          <w:spacing w:val="-8"/>
        </w:rPr>
        <w:t> </w:t>
      </w:r>
      <w:r>
        <w:rPr/>
        <w:t>in</w:t>
      </w:r>
      <w:r>
        <w:rPr>
          <w:spacing w:val="-8"/>
        </w:rPr>
        <w:t> </w:t>
      </w:r>
      <w:r>
        <w:rPr/>
        <w:t>this</w:t>
      </w:r>
      <w:r>
        <w:rPr>
          <w:spacing w:val="-8"/>
        </w:rPr>
        <w:t> </w:t>
      </w:r>
      <w:r>
        <w:rPr/>
        <w:t>study. The</w:t>
      </w:r>
      <w:r>
        <w:rPr>
          <w:spacing w:val="-8"/>
        </w:rPr>
        <w:t> </w:t>
      </w:r>
      <w:r>
        <w:rPr/>
        <w:t>chapter</w:t>
      </w:r>
      <w:r>
        <w:rPr>
          <w:spacing w:val="-8"/>
        </w:rPr>
        <w:t> </w:t>
      </w:r>
      <w:r>
        <w:rPr/>
        <w:t>closes by situating this thesis relative to existing work.</w:t>
      </w:r>
    </w:p>
    <w:p>
      <w:pPr>
        <w:pStyle w:val="BodyText"/>
        <w:spacing w:before="160"/>
      </w:pPr>
    </w:p>
    <w:p>
      <w:pPr>
        <w:pStyle w:val="Heading2"/>
        <w:numPr>
          <w:ilvl w:val="1"/>
          <w:numId w:val="15"/>
        </w:numPr>
        <w:tabs>
          <w:tab w:pos="1354" w:val="left" w:leader="none"/>
        </w:tabs>
        <w:spacing w:line="240" w:lineRule="auto" w:before="0" w:after="0"/>
        <w:ind w:left="1354" w:right="0" w:hanging="645"/>
        <w:jc w:val="left"/>
      </w:pPr>
      <w:bookmarkStart w:name="2.1 Regional Wine Production in Portugal" w:id="17"/>
      <w:bookmarkEnd w:id="17"/>
      <w:r>
        <w:rPr>
          <w:b w:val="0"/>
        </w:rPr>
      </w:r>
      <w:bookmarkStart w:name="_bookmark6" w:id="18"/>
      <w:bookmarkEnd w:id="18"/>
      <w:r>
        <w:rPr>
          <w:b w:val="0"/>
        </w:rPr>
      </w:r>
      <w:r>
        <w:rPr/>
        <w:t>Regional</w:t>
      </w:r>
      <w:r>
        <w:rPr>
          <w:spacing w:val="14"/>
        </w:rPr>
        <w:t> </w:t>
      </w:r>
      <w:r>
        <w:rPr/>
        <w:t>Wine</w:t>
      </w:r>
      <w:r>
        <w:rPr>
          <w:spacing w:val="14"/>
        </w:rPr>
        <w:t> </w:t>
      </w:r>
      <w:r>
        <w:rPr/>
        <w:t>Production</w:t>
      </w:r>
      <w:r>
        <w:rPr>
          <w:spacing w:val="15"/>
        </w:rPr>
        <w:t> </w:t>
      </w:r>
      <w:r>
        <w:rPr/>
        <w:t>in</w:t>
      </w:r>
      <w:r>
        <w:rPr>
          <w:spacing w:val="14"/>
        </w:rPr>
        <w:t> </w:t>
      </w:r>
      <w:r>
        <w:rPr>
          <w:spacing w:val="-2"/>
        </w:rPr>
        <w:t>Portugal</w:t>
      </w:r>
    </w:p>
    <w:p>
      <w:pPr>
        <w:pStyle w:val="BodyText"/>
        <w:spacing w:line="312" w:lineRule="auto" w:before="296"/>
        <w:ind w:left="709" w:right="963"/>
        <w:jc w:val="both"/>
      </w:pPr>
      <w:r>
        <w:rPr/>
        <w:t>Portugal</w:t>
      </w:r>
      <w:r>
        <w:rPr>
          <w:spacing w:val="24"/>
        </w:rPr>
        <w:t> </w:t>
      </w:r>
      <w:r>
        <w:rPr/>
        <w:t>is</w:t>
      </w:r>
      <w:r>
        <w:rPr>
          <w:spacing w:val="24"/>
        </w:rPr>
        <w:t> </w:t>
      </w:r>
      <w:r>
        <w:rPr/>
        <w:t>home</w:t>
      </w:r>
      <w:r>
        <w:rPr>
          <w:spacing w:val="24"/>
        </w:rPr>
        <w:t> </w:t>
      </w:r>
      <w:r>
        <w:rPr/>
        <w:t>to</w:t>
      </w:r>
      <w:r>
        <w:rPr>
          <w:spacing w:val="24"/>
        </w:rPr>
        <w:t> </w:t>
      </w:r>
      <w:r>
        <w:rPr/>
        <w:t>several</w:t>
      </w:r>
      <w:r>
        <w:rPr>
          <w:spacing w:val="24"/>
        </w:rPr>
        <w:t> </w:t>
      </w:r>
      <w:r>
        <w:rPr/>
        <w:t>wine</w:t>
      </w:r>
      <w:r>
        <w:rPr>
          <w:spacing w:val="24"/>
        </w:rPr>
        <w:t> </w:t>
      </w:r>
      <w:r>
        <w:rPr/>
        <w:t>regions</w:t>
      </w:r>
      <w:r>
        <w:rPr>
          <w:spacing w:val="24"/>
        </w:rPr>
        <w:t> </w:t>
      </w:r>
      <w:r>
        <w:rPr/>
        <w:t>with</w:t>
      </w:r>
      <w:r>
        <w:rPr>
          <w:spacing w:val="24"/>
        </w:rPr>
        <w:t> </w:t>
      </w:r>
      <w:r>
        <w:rPr/>
        <w:t>distinct</w:t>
      </w:r>
      <w:r>
        <w:rPr>
          <w:spacing w:val="24"/>
        </w:rPr>
        <w:t> </w:t>
      </w:r>
      <w:r>
        <w:rPr/>
        <w:t>climatic</w:t>
      </w:r>
      <w:r>
        <w:rPr>
          <w:spacing w:val="24"/>
        </w:rPr>
        <w:t> </w:t>
      </w:r>
      <w:r>
        <w:rPr/>
        <w:t>identities.</w:t>
      </w:r>
      <w:r>
        <w:rPr>
          <w:spacing w:val="80"/>
        </w:rPr>
        <w:t> </w:t>
      </w:r>
      <w:r>
        <w:rPr/>
        <w:t>This</w:t>
      </w:r>
      <w:r>
        <w:rPr>
          <w:spacing w:val="24"/>
        </w:rPr>
        <w:t> </w:t>
      </w:r>
      <w:r>
        <w:rPr/>
        <w:t>thesis</w:t>
      </w:r>
      <w:r>
        <w:rPr>
          <w:spacing w:val="24"/>
        </w:rPr>
        <w:t> </w:t>
      </w:r>
      <w:r>
        <w:rPr/>
        <w:t>focuses on two:</w:t>
      </w:r>
      <w:r>
        <w:rPr>
          <w:spacing w:val="40"/>
        </w:rPr>
        <w:t> </w:t>
      </w:r>
      <w:r>
        <w:rPr/>
        <w:t>the Douro Demarcated Region (RDD) and the Vinho Verde Region (RVV). Together they represented approximately 32% of Portugal’s total vineyard area and 37% of national wine </w:t>
      </w:r>
      <w:r>
        <w:rPr>
          <w:spacing w:val="-2"/>
        </w:rPr>
        <w:t>production</w:t>
      </w:r>
      <w:r>
        <w:rPr>
          <w:spacing w:val="-5"/>
        </w:rPr>
        <w:t> </w:t>
      </w:r>
      <w:r>
        <w:rPr>
          <w:spacing w:val="-2"/>
        </w:rPr>
        <w:t>in</w:t>
      </w:r>
      <w:r>
        <w:rPr>
          <w:spacing w:val="-5"/>
        </w:rPr>
        <w:t> </w:t>
      </w:r>
      <w:r>
        <w:rPr>
          <w:spacing w:val="-2"/>
        </w:rPr>
        <w:t>2018</w:t>
      </w:r>
      <w:r>
        <w:rPr>
          <w:spacing w:val="-5"/>
        </w:rPr>
        <w:t> </w:t>
      </w:r>
      <w:r>
        <w:rPr>
          <w:spacing w:val="-2"/>
        </w:rPr>
        <w:t>(</w:t>
      </w:r>
      <w:hyperlink w:history="true" w:anchor="_bookmark218">
        <w:r>
          <w:rPr>
            <w:color w:val="8B2C18"/>
            <w:spacing w:val="-2"/>
          </w:rPr>
          <w:t>Cunha</w:t>
        </w:r>
        <w:r>
          <w:rPr>
            <w:color w:val="8B2C18"/>
            <w:spacing w:val="-5"/>
          </w:rPr>
          <w:t> </w:t>
        </w:r>
        <w:r>
          <w:rPr>
            <w:color w:val="8B2C18"/>
            <w:spacing w:val="-2"/>
          </w:rPr>
          <w:t>et</w:t>
        </w:r>
        <w:r>
          <w:rPr>
            <w:color w:val="8B2C18"/>
            <w:spacing w:val="-5"/>
          </w:rPr>
          <w:t> </w:t>
        </w:r>
        <w:r>
          <w:rPr>
            <w:color w:val="8B2C18"/>
            <w:spacing w:val="-2"/>
          </w:rPr>
          <w:t>al.</w:t>
        </w:r>
      </w:hyperlink>
      <w:r>
        <w:rPr>
          <w:spacing w:val="-2"/>
        </w:rPr>
        <w:t>,</w:t>
      </w:r>
      <w:r>
        <w:rPr>
          <w:spacing w:val="-5"/>
        </w:rPr>
        <w:t> </w:t>
      </w:r>
      <w:hyperlink w:history="true" w:anchor="_bookmark218">
        <w:r>
          <w:rPr>
            <w:color w:val="8B2C18"/>
            <w:spacing w:val="-2"/>
          </w:rPr>
          <w:t>2020</w:t>
        </w:r>
      </w:hyperlink>
      <w:r>
        <w:rPr>
          <w:spacing w:val="-2"/>
        </w:rPr>
        <w:t>). Despite</w:t>
      </w:r>
      <w:r>
        <w:rPr>
          <w:spacing w:val="-5"/>
        </w:rPr>
        <w:t> </w:t>
      </w:r>
      <w:r>
        <w:rPr>
          <w:spacing w:val="-2"/>
        </w:rPr>
        <w:t>their</w:t>
      </w:r>
      <w:r>
        <w:rPr>
          <w:spacing w:val="-5"/>
        </w:rPr>
        <w:t> </w:t>
      </w:r>
      <w:r>
        <w:rPr>
          <w:spacing w:val="-2"/>
        </w:rPr>
        <w:t>geographical</w:t>
      </w:r>
      <w:r>
        <w:rPr>
          <w:spacing w:val="-5"/>
        </w:rPr>
        <w:t> </w:t>
      </w:r>
      <w:r>
        <w:rPr>
          <w:spacing w:val="-2"/>
        </w:rPr>
        <w:t>proximity</w:t>
      </w:r>
      <w:r>
        <w:rPr>
          <w:spacing w:val="-5"/>
        </w:rPr>
        <w:t> </w:t>
      </w:r>
      <w:r>
        <w:rPr>
          <w:spacing w:val="-2"/>
        </w:rPr>
        <w:t>in</w:t>
      </w:r>
      <w:r>
        <w:rPr>
          <w:spacing w:val="-5"/>
        </w:rPr>
        <w:t> </w:t>
      </w:r>
      <w:r>
        <w:rPr>
          <w:spacing w:val="-2"/>
        </w:rPr>
        <w:t>northern</w:t>
      </w:r>
      <w:r>
        <w:rPr>
          <w:spacing w:val="-5"/>
        </w:rPr>
        <w:t> </w:t>
      </w:r>
      <w:r>
        <w:rPr>
          <w:spacing w:val="-2"/>
        </w:rPr>
        <w:t>Portugal, </w:t>
      </w:r>
      <w:r>
        <w:rPr/>
        <w:t>the</w:t>
      </w:r>
      <w:r>
        <w:rPr>
          <w:spacing w:val="-7"/>
        </w:rPr>
        <w:t> </w:t>
      </w:r>
      <w:r>
        <w:rPr/>
        <w:t>two</w:t>
      </w:r>
      <w:r>
        <w:rPr>
          <w:spacing w:val="-7"/>
        </w:rPr>
        <w:t> </w:t>
      </w:r>
      <w:r>
        <w:rPr/>
        <w:t>regions</w:t>
      </w:r>
      <w:r>
        <w:rPr>
          <w:spacing w:val="-7"/>
        </w:rPr>
        <w:t> </w:t>
      </w:r>
      <w:r>
        <w:rPr/>
        <w:t>have</w:t>
      </w:r>
      <w:r>
        <w:rPr>
          <w:spacing w:val="-7"/>
        </w:rPr>
        <w:t> </w:t>
      </w:r>
      <w:r>
        <w:rPr/>
        <w:t>markedly</w:t>
      </w:r>
      <w:r>
        <w:rPr>
          <w:spacing w:val="-7"/>
        </w:rPr>
        <w:t> </w:t>
      </w:r>
      <w:r>
        <w:rPr/>
        <w:t>different</w:t>
      </w:r>
      <w:r>
        <w:rPr>
          <w:spacing w:val="-7"/>
        </w:rPr>
        <w:t> </w:t>
      </w:r>
      <w:r>
        <w:rPr/>
        <w:t>climates</w:t>
      </w:r>
      <w:r>
        <w:rPr>
          <w:spacing w:val="-7"/>
        </w:rPr>
        <w:t> </w:t>
      </w:r>
      <w:r>
        <w:rPr/>
        <w:t>and</w:t>
      </w:r>
      <w:r>
        <w:rPr>
          <w:spacing w:val="-7"/>
        </w:rPr>
        <w:t> </w:t>
      </w:r>
      <w:r>
        <w:rPr/>
        <w:t>production</w:t>
      </w:r>
      <w:r>
        <w:rPr>
          <w:spacing w:val="-7"/>
        </w:rPr>
        <w:t> </w:t>
      </w:r>
      <w:r>
        <w:rPr/>
        <w:t>histories,</w:t>
      </w:r>
      <w:r>
        <w:rPr>
          <w:spacing w:val="-7"/>
        </w:rPr>
        <w:t> </w:t>
      </w:r>
      <w:r>
        <w:rPr/>
        <w:t>making</w:t>
      </w:r>
      <w:r>
        <w:rPr>
          <w:spacing w:val="-7"/>
        </w:rPr>
        <w:t> </w:t>
      </w:r>
      <w:r>
        <w:rPr/>
        <w:t>them</w:t>
      </w:r>
      <w:r>
        <w:rPr>
          <w:spacing w:val="-7"/>
        </w:rPr>
        <w:t> </w:t>
      </w:r>
      <w:r>
        <w:rPr/>
        <w:t>a</w:t>
      </w:r>
      <w:r>
        <w:rPr>
          <w:spacing w:val="-7"/>
        </w:rPr>
        <w:t> </w:t>
      </w:r>
      <w:r>
        <w:rPr/>
        <w:t>natural comparative setting for agroclimatic modelling.</w:t>
      </w:r>
    </w:p>
    <w:p>
      <w:pPr>
        <w:pStyle w:val="BodyText"/>
        <w:spacing w:before="76"/>
      </w:pPr>
    </w:p>
    <w:p>
      <w:pPr>
        <w:pStyle w:val="Heading3"/>
        <w:numPr>
          <w:ilvl w:val="2"/>
          <w:numId w:val="15"/>
        </w:numPr>
        <w:tabs>
          <w:tab w:pos="1426" w:val="left" w:leader="none"/>
        </w:tabs>
        <w:spacing w:line="240" w:lineRule="auto" w:before="1" w:after="0"/>
        <w:ind w:left="1426" w:right="0" w:hanging="717"/>
        <w:jc w:val="left"/>
      </w:pPr>
      <w:bookmarkStart w:name="2.1.1 Douro Region" w:id="19"/>
      <w:bookmarkEnd w:id="19"/>
      <w:r>
        <w:rPr>
          <w:b w:val="0"/>
        </w:rPr>
      </w:r>
      <w:bookmarkStart w:name="_bookmark7" w:id="20"/>
      <w:bookmarkEnd w:id="20"/>
      <w:r>
        <w:rPr>
          <w:b w:val="0"/>
        </w:rPr>
      </w:r>
      <w:r>
        <w:rPr/>
        <w:t>Douro</w:t>
      </w:r>
      <w:r>
        <w:rPr>
          <w:spacing w:val="-13"/>
        </w:rPr>
        <w:t> </w:t>
      </w:r>
      <w:r>
        <w:rPr>
          <w:spacing w:val="-2"/>
        </w:rPr>
        <w:t>Region</w:t>
      </w:r>
    </w:p>
    <w:p>
      <w:pPr>
        <w:pStyle w:val="BodyText"/>
        <w:spacing w:line="328" w:lineRule="exact" w:before="168"/>
        <w:ind w:left="702" w:right="952"/>
        <w:jc w:val="both"/>
      </w:pPr>
      <w:r>
        <w:rPr/>
        <w:t>The Douro wine region is located in north-eastern Portugal, one of the oldest demarcated wine regions in the world. Its topography is dominated by steep schist terraces on the hillsides of the Douro</w:t>
      </w:r>
      <w:r>
        <w:rPr>
          <w:spacing w:val="-7"/>
        </w:rPr>
        <w:t> </w:t>
      </w:r>
      <w:r>
        <w:rPr/>
        <w:t>valley. The</w:t>
      </w:r>
      <w:r>
        <w:rPr>
          <w:spacing w:val="-7"/>
        </w:rPr>
        <w:t> </w:t>
      </w:r>
      <w:r>
        <w:rPr/>
        <w:t>climate</w:t>
      </w:r>
      <w:r>
        <w:rPr>
          <w:spacing w:val="-7"/>
        </w:rPr>
        <w:t> </w:t>
      </w:r>
      <w:r>
        <w:rPr/>
        <w:t>is</w:t>
      </w:r>
      <w:r>
        <w:rPr>
          <w:spacing w:val="-7"/>
        </w:rPr>
        <w:t> </w:t>
      </w:r>
      <w:r>
        <w:rPr/>
        <w:t>continental</w:t>
      </w:r>
      <w:r>
        <w:rPr>
          <w:spacing w:val="-7"/>
        </w:rPr>
        <w:t> </w:t>
      </w:r>
      <w:r>
        <w:rPr/>
        <w:t>and</w:t>
      </w:r>
      <w:r>
        <w:rPr>
          <w:spacing w:val="-7"/>
        </w:rPr>
        <w:t> </w:t>
      </w:r>
      <w:r>
        <w:rPr/>
        <w:t>semi-arid: mean</w:t>
      </w:r>
      <w:r>
        <w:rPr>
          <w:spacing w:val="-7"/>
        </w:rPr>
        <w:t> </w:t>
      </w:r>
      <w:r>
        <w:rPr/>
        <w:t>growing-season</w:t>
      </w:r>
      <w:r>
        <w:rPr>
          <w:spacing w:val="-7"/>
        </w:rPr>
        <w:t> </w:t>
      </w:r>
      <w:r>
        <w:rPr/>
        <w:t>temperatures</w:t>
      </w:r>
      <w:r>
        <w:rPr>
          <w:spacing w:val="-7"/>
        </w:rPr>
        <w:t> </w:t>
      </w:r>
      <w:r>
        <w:rPr/>
        <w:t>reach </w:t>
      </w:r>
      <w:r>
        <w:rPr>
          <w:spacing w:val="-2"/>
        </w:rPr>
        <w:t>approximately</w:t>
      </w:r>
      <w:r>
        <w:rPr>
          <w:spacing w:val="-12"/>
        </w:rPr>
        <w:t> </w:t>
      </w:r>
      <w:r>
        <w:rPr>
          <w:spacing w:val="-2"/>
        </w:rPr>
        <w:t>19.5</w:t>
      </w:r>
      <w:r>
        <w:rPr>
          <w:rFonts w:ascii="Meiryo UI" w:hAnsi="Meiryo UI"/>
          <w:i/>
          <w:spacing w:val="-2"/>
          <w:vertAlign w:val="superscript"/>
        </w:rPr>
        <w:t>◦</w:t>
      </w:r>
      <w:r>
        <w:rPr>
          <w:spacing w:val="-2"/>
          <w:vertAlign w:val="baseline"/>
        </w:rPr>
        <w:t>C</w:t>
      </w:r>
      <w:r>
        <w:rPr>
          <w:spacing w:val="-12"/>
          <w:vertAlign w:val="baseline"/>
        </w:rPr>
        <w:t> </w:t>
      </w:r>
      <w:r>
        <w:rPr>
          <w:spacing w:val="-2"/>
          <w:vertAlign w:val="baseline"/>
        </w:rPr>
        <w:t>(Köppen</w:t>
      </w:r>
      <w:r>
        <w:rPr>
          <w:spacing w:val="-12"/>
          <w:vertAlign w:val="baseline"/>
        </w:rPr>
        <w:t> </w:t>
      </w:r>
      <w:r>
        <w:rPr>
          <w:spacing w:val="-2"/>
          <w:vertAlign w:val="baseline"/>
        </w:rPr>
        <w:t>Csa),</w:t>
      </w:r>
      <w:r>
        <w:rPr>
          <w:spacing w:val="-11"/>
          <w:vertAlign w:val="baseline"/>
        </w:rPr>
        <w:t> </w:t>
      </w:r>
      <w:r>
        <w:rPr>
          <w:spacing w:val="-2"/>
          <w:vertAlign w:val="baseline"/>
        </w:rPr>
        <w:t>annual</w:t>
      </w:r>
      <w:r>
        <w:rPr>
          <w:spacing w:val="-12"/>
          <w:vertAlign w:val="baseline"/>
        </w:rPr>
        <w:t> </w:t>
      </w:r>
      <w:r>
        <w:rPr>
          <w:spacing w:val="-2"/>
          <w:vertAlign w:val="baseline"/>
        </w:rPr>
        <w:t>precipitation</w:t>
      </w:r>
      <w:r>
        <w:rPr>
          <w:spacing w:val="-12"/>
          <w:vertAlign w:val="baseline"/>
        </w:rPr>
        <w:t> </w:t>
      </w:r>
      <w:r>
        <w:rPr>
          <w:spacing w:val="-2"/>
          <w:vertAlign w:val="baseline"/>
        </w:rPr>
        <w:t>ranges</w:t>
      </w:r>
      <w:r>
        <w:rPr>
          <w:spacing w:val="-12"/>
          <w:vertAlign w:val="baseline"/>
        </w:rPr>
        <w:t> </w:t>
      </w:r>
      <w:r>
        <w:rPr>
          <w:spacing w:val="-2"/>
          <w:vertAlign w:val="baseline"/>
        </w:rPr>
        <w:t>from</w:t>
      </w:r>
      <w:r>
        <w:rPr>
          <w:spacing w:val="-11"/>
          <w:vertAlign w:val="baseline"/>
        </w:rPr>
        <w:t> </w:t>
      </w:r>
      <w:r>
        <w:rPr>
          <w:spacing w:val="-2"/>
          <w:vertAlign w:val="baseline"/>
        </w:rPr>
        <w:t>400</w:t>
      </w:r>
      <w:r>
        <w:rPr>
          <w:spacing w:val="-12"/>
          <w:vertAlign w:val="baseline"/>
        </w:rPr>
        <w:t> </w:t>
      </w:r>
      <w:r>
        <w:rPr>
          <w:spacing w:val="-2"/>
          <w:vertAlign w:val="baseline"/>
        </w:rPr>
        <w:t>to</w:t>
      </w:r>
      <w:r>
        <w:rPr>
          <w:spacing w:val="-12"/>
          <w:vertAlign w:val="baseline"/>
        </w:rPr>
        <w:t> </w:t>
      </w:r>
      <w:r>
        <w:rPr>
          <w:spacing w:val="-2"/>
          <w:vertAlign w:val="baseline"/>
        </w:rPr>
        <w:t>800</w:t>
      </w:r>
      <w:r>
        <w:rPr>
          <w:spacing w:val="-12"/>
          <w:vertAlign w:val="baseline"/>
        </w:rPr>
        <w:t> </w:t>
      </w:r>
      <w:r>
        <w:rPr>
          <w:spacing w:val="-2"/>
          <w:vertAlign w:val="baseline"/>
        </w:rPr>
        <w:t>mm</w:t>
      </w:r>
      <w:r>
        <w:rPr>
          <w:spacing w:val="-11"/>
          <w:vertAlign w:val="baseline"/>
        </w:rPr>
        <w:t> </w:t>
      </w:r>
      <w:r>
        <w:rPr>
          <w:spacing w:val="-2"/>
          <w:vertAlign w:val="baseline"/>
        </w:rPr>
        <w:t>concentrated </w:t>
      </w:r>
      <w:r>
        <w:rPr>
          <w:vertAlign w:val="baseline"/>
        </w:rPr>
        <w:t>outside</w:t>
      </w:r>
      <w:r>
        <w:rPr>
          <w:spacing w:val="-16"/>
          <w:vertAlign w:val="baseline"/>
        </w:rPr>
        <w:t> </w:t>
      </w:r>
      <w:r>
        <w:rPr>
          <w:vertAlign w:val="baseline"/>
        </w:rPr>
        <w:t>the</w:t>
      </w:r>
      <w:r>
        <w:rPr>
          <w:spacing w:val="-14"/>
          <w:vertAlign w:val="baseline"/>
        </w:rPr>
        <w:t> </w:t>
      </w:r>
      <w:r>
        <w:rPr>
          <w:vertAlign w:val="baseline"/>
        </w:rPr>
        <w:t>growing</w:t>
      </w:r>
      <w:r>
        <w:rPr>
          <w:spacing w:val="-14"/>
          <w:vertAlign w:val="baseline"/>
        </w:rPr>
        <w:t> </w:t>
      </w:r>
      <w:r>
        <w:rPr>
          <w:vertAlign w:val="baseline"/>
        </w:rPr>
        <w:t>season,</w:t>
      </w:r>
      <w:r>
        <w:rPr>
          <w:spacing w:val="-13"/>
          <w:vertAlign w:val="baseline"/>
        </w:rPr>
        <w:t> </w:t>
      </w:r>
      <w:r>
        <w:rPr>
          <w:vertAlign w:val="baseline"/>
        </w:rPr>
        <w:t>and</w:t>
      </w:r>
      <w:r>
        <w:rPr>
          <w:spacing w:val="-14"/>
          <w:vertAlign w:val="baseline"/>
        </w:rPr>
        <w:t> </w:t>
      </w:r>
      <w:r>
        <w:rPr>
          <w:vertAlign w:val="baseline"/>
        </w:rPr>
        <w:t>most</w:t>
      </w:r>
      <w:r>
        <w:rPr>
          <w:spacing w:val="-14"/>
          <w:vertAlign w:val="baseline"/>
        </w:rPr>
        <w:t> </w:t>
      </w:r>
      <w:r>
        <w:rPr>
          <w:vertAlign w:val="baseline"/>
        </w:rPr>
        <w:t>vineyards</w:t>
      </w:r>
      <w:r>
        <w:rPr>
          <w:spacing w:val="-14"/>
          <w:vertAlign w:val="baseline"/>
        </w:rPr>
        <w:t> </w:t>
      </w:r>
      <w:r>
        <w:rPr>
          <w:vertAlign w:val="baseline"/>
        </w:rPr>
        <w:t>are</w:t>
      </w:r>
      <w:r>
        <w:rPr>
          <w:spacing w:val="-13"/>
          <w:vertAlign w:val="baseline"/>
        </w:rPr>
        <w:t> </w:t>
      </w:r>
      <w:r>
        <w:rPr>
          <w:vertAlign w:val="baseline"/>
        </w:rPr>
        <w:t>non-irrigated.</w:t>
      </w:r>
      <w:r>
        <w:rPr>
          <w:spacing w:val="-14"/>
          <w:vertAlign w:val="baseline"/>
        </w:rPr>
        <w:t> </w:t>
      </w:r>
      <w:r>
        <w:rPr>
          <w:vertAlign w:val="baseline"/>
        </w:rPr>
        <w:t>Soil</w:t>
      </w:r>
      <w:r>
        <w:rPr>
          <w:spacing w:val="-14"/>
          <w:vertAlign w:val="baseline"/>
        </w:rPr>
        <w:t> </w:t>
      </w:r>
      <w:r>
        <w:rPr>
          <w:vertAlign w:val="baseline"/>
        </w:rPr>
        <w:t>water</w:t>
      </w:r>
      <w:r>
        <w:rPr>
          <w:spacing w:val="-14"/>
          <w:vertAlign w:val="baseline"/>
        </w:rPr>
        <w:t> </w:t>
      </w:r>
      <w:r>
        <w:rPr>
          <w:vertAlign w:val="baseline"/>
        </w:rPr>
        <w:t>reserves</w:t>
      </w:r>
      <w:r>
        <w:rPr>
          <w:spacing w:val="-13"/>
          <w:vertAlign w:val="baseline"/>
        </w:rPr>
        <w:t> </w:t>
      </w:r>
      <w:r>
        <w:rPr>
          <w:vertAlign w:val="baseline"/>
        </w:rPr>
        <w:t>accumulated during</w:t>
      </w:r>
      <w:r>
        <w:rPr>
          <w:spacing w:val="-7"/>
          <w:vertAlign w:val="baseline"/>
        </w:rPr>
        <w:t> </w:t>
      </w:r>
      <w:r>
        <w:rPr>
          <w:vertAlign w:val="baseline"/>
        </w:rPr>
        <w:t>the</w:t>
      </w:r>
      <w:r>
        <w:rPr>
          <w:spacing w:val="-7"/>
          <w:vertAlign w:val="baseline"/>
        </w:rPr>
        <w:t> </w:t>
      </w:r>
      <w:r>
        <w:rPr>
          <w:vertAlign w:val="baseline"/>
        </w:rPr>
        <w:t>dormant</w:t>
      </w:r>
      <w:r>
        <w:rPr>
          <w:spacing w:val="-7"/>
          <w:vertAlign w:val="baseline"/>
        </w:rPr>
        <w:t> </w:t>
      </w:r>
      <w:r>
        <w:rPr>
          <w:vertAlign w:val="baseline"/>
        </w:rPr>
        <w:t>winter</w:t>
      </w:r>
      <w:r>
        <w:rPr>
          <w:spacing w:val="-7"/>
          <w:vertAlign w:val="baseline"/>
        </w:rPr>
        <w:t> </w:t>
      </w:r>
      <w:r>
        <w:rPr>
          <w:vertAlign w:val="baseline"/>
        </w:rPr>
        <w:t>period</w:t>
      </w:r>
      <w:r>
        <w:rPr>
          <w:spacing w:val="-7"/>
          <w:vertAlign w:val="baseline"/>
        </w:rPr>
        <w:t> </w:t>
      </w:r>
      <w:r>
        <w:rPr>
          <w:vertAlign w:val="baseline"/>
        </w:rPr>
        <w:t>are</w:t>
      </w:r>
      <w:r>
        <w:rPr>
          <w:spacing w:val="-7"/>
          <w:vertAlign w:val="baseline"/>
        </w:rPr>
        <w:t> </w:t>
      </w:r>
      <w:r>
        <w:rPr>
          <w:vertAlign w:val="baseline"/>
        </w:rPr>
        <w:t>the</w:t>
      </w:r>
      <w:r>
        <w:rPr>
          <w:spacing w:val="-7"/>
          <w:vertAlign w:val="baseline"/>
        </w:rPr>
        <w:t> </w:t>
      </w:r>
      <w:r>
        <w:rPr>
          <w:vertAlign w:val="baseline"/>
        </w:rPr>
        <w:t>primary</w:t>
      </w:r>
      <w:r>
        <w:rPr>
          <w:spacing w:val="-7"/>
          <w:vertAlign w:val="baseline"/>
        </w:rPr>
        <w:t> </w:t>
      </w:r>
      <w:r>
        <w:rPr>
          <w:vertAlign w:val="baseline"/>
        </w:rPr>
        <w:t>buffer</w:t>
      </w:r>
      <w:r>
        <w:rPr>
          <w:spacing w:val="-7"/>
          <w:vertAlign w:val="baseline"/>
        </w:rPr>
        <w:t> </w:t>
      </w:r>
      <w:r>
        <w:rPr>
          <w:vertAlign w:val="baseline"/>
        </w:rPr>
        <w:t>against</w:t>
      </w:r>
      <w:r>
        <w:rPr>
          <w:spacing w:val="-7"/>
          <w:vertAlign w:val="baseline"/>
        </w:rPr>
        <w:t> </w:t>
      </w:r>
      <w:r>
        <w:rPr>
          <w:vertAlign w:val="baseline"/>
        </w:rPr>
        <w:t>summer</w:t>
      </w:r>
      <w:r>
        <w:rPr>
          <w:spacing w:val="-7"/>
          <w:vertAlign w:val="baseline"/>
        </w:rPr>
        <w:t> </w:t>
      </w:r>
      <w:r>
        <w:rPr>
          <w:vertAlign w:val="baseline"/>
        </w:rPr>
        <w:t>water</w:t>
      </w:r>
      <w:r>
        <w:rPr>
          <w:spacing w:val="-7"/>
          <w:vertAlign w:val="baseline"/>
        </w:rPr>
        <w:t> </w:t>
      </w:r>
      <w:r>
        <w:rPr>
          <w:vertAlign w:val="baseline"/>
        </w:rPr>
        <w:t>stress. </w:t>
      </w:r>
      <w:hyperlink w:history="true" w:anchor="_bookmark217">
        <w:r>
          <w:rPr>
            <w:color w:val="8B2C18"/>
            <w:vertAlign w:val="baseline"/>
          </w:rPr>
          <w:t>Cunha</w:t>
        </w:r>
        <w:r>
          <w:rPr>
            <w:color w:val="8B2C18"/>
            <w:spacing w:val="-7"/>
            <w:vertAlign w:val="baseline"/>
          </w:rPr>
          <w:t> </w:t>
        </w:r>
        <w:r>
          <w:rPr>
            <w:color w:val="8B2C18"/>
            <w:vertAlign w:val="baseline"/>
          </w:rPr>
          <w:t>et</w:t>
        </w:r>
        <w:r>
          <w:rPr>
            <w:color w:val="8B2C18"/>
            <w:spacing w:val="-7"/>
            <w:vertAlign w:val="baseline"/>
          </w:rPr>
          <w:t> </w:t>
        </w:r>
        <w:r>
          <w:rPr>
            <w:color w:val="8B2C18"/>
            <w:vertAlign w:val="baseline"/>
          </w:rPr>
          <w:t>al.</w:t>
        </w:r>
      </w:hyperlink>
      <w:r>
        <w:rPr>
          <w:color w:val="8B2C18"/>
          <w:vertAlign w:val="baseline"/>
        </w:rPr>
        <w:t> </w:t>
      </w:r>
      <w:r>
        <w:rPr>
          <w:vertAlign w:val="baseline"/>
        </w:rPr>
        <w:t>(</w:t>
      </w:r>
      <w:hyperlink w:history="true" w:anchor="_bookmark217">
        <w:r>
          <w:rPr>
            <w:color w:val="8B2C18"/>
            <w:vertAlign w:val="baseline"/>
          </w:rPr>
          <w:t>2016</w:t>
        </w:r>
      </w:hyperlink>
      <w:r>
        <w:rPr>
          <w:vertAlign w:val="baseline"/>
        </w:rPr>
        <w:t>) demonstrated that soil water in the previous two to three years exerts a positive carryover effect</w:t>
      </w:r>
      <w:r>
        <w:rPr>
          <w:spacing w:val="-1"/>
          <w:vertAlign w:val="baseline"/>
        </w:rPr>
        <w:t> </w:t>
      </w:r>
      <w:r>
        <w:rPr>
          <w:vertAlign w:val="baseline"/>
        </w:rPr>
        <w:t>on</w:t>
      </w:r>
      <w:r>
        <w:rPr>
          <w:spacing w:val="-1"/>
          <w:vertAlign w:val="baseline"/>
        </w:rPr>
        <w:t> </w:t>
      </w:r>
      <w:r>
        <w:rPr>
          <w:vertAlign w:val="baseline"/>
        </w:rPr>
        <w:t>current-year</w:t>
      </w:r>
      <w:r>
        <w:rPr>
          <w:spacing w:val="-1"/>
          <w:vertAlign w:val="baseline"/>
        </w:rPr>
        <w:t> </w:t>
      </w:r>
      <w:r>
        <w:rPr>
          <w:vertAlign w:val="baseline"/>
        </w:rPr>
        <w:t>production,</w:t>
      </w:r>
      <w:r>
        <w:rPr>
          <w:spacing w:val="-1"/>
          <w:vertAlign w:val="baseline"/>
        </w:rPr>
        <w:t> </w:t>
      </w:r>
      <w:r>
        <w:rPr>
          <w:vertAlign w:val="baseline"/>
        </w:rPr>
        <w:t>reflecting</w:t>
      </w:r>
      <w:r>
        <w:rPr>
          <w:spacing w:val="-1"/>
          <w:vertAlign w:val="baseline"/>
        </w:rPr>
        <w:t> </w:t>
      </w:r>
      <w:r>
        <w:rPr>
          <w:vertAlign w:val="baseline"/>
        </w:rPr>
        <w:t>the</w:t>
      </w:r>
      <w:r>
        <w:rPr>
          <w:spacing w:val="-1"/>
          <w:vertAlign w:val="baseline"/>
        </w:rPr>
        <w:t> </w:t>
      </w:r>
      <w:r>
        <w:rPr>
          <w:vertAlign w:val="baseline"/>
        </w:rPr>
        <w:t>slow</w:t>
      </w:r>
      <w:r>
        <w:rPr>
          <w:spacing w:val="-1"/>
          <w:vertAlign w:val="baseline"/>
        </w:rPr>
        <w:t> </w:t>
      </w:r>
      <w:r>
        <w:rPr>
          <w:vertAlign w:val="baseline"/>
        </w:rPr>
        <w:t>recharge</w:t>
      </w:r>
      <w:r>
        <w:rPr>
          <w:spacing w:val="-1"/>
          <w:vertAlign w:val="baseline"/>
        </w:rPr>
        <w:t> </w:t>
      </w:r>
      <w:r>
        <w:rPr>
          <w:vertAlign w:val="baseline"/>
        </w:rPr>
        <w:t>of</w:t>
      </w:r>
      <w:r>
        <w:rPr>
          <w:spacing w:val="-1"/>
          <w:vertAlign w:val="baseline"/>
        </w:rPr>
        <w:t> </w:t>
      </w:r>
      <w:r>
        <w:rPr>
          <w:vertAlign w:val="baseline"/>
        </w:rPr>
        <w:t>deep</w:t>
      </w:r>
      <w:r>
        <w:rPr>
          <w:spacing w:val="-1"/>
          <w:vertAlign w:val="baseline"/>
        </w:rPr>
        <w:t> </w:t>
      </w:r>
      <w:r>
        <w:rPr>
          <w:vertAlign w:val="baseline"/>
        </w:rPr>
        <w:t>schist</w:t>
      </w:r>
      <w:r>
        <w:rPr>
          <w:spacing w:val="-1"/>
          <w:vertAlign w:val="baseline"/>
        </w:rPr>
        <w:t> </w:t>
      </w:r>
      <w:r>
        <w:rPr>
          <w:vertAlign w:val="baseline"/>
        </w:rPr>
        <w:t>soil</w:t>
      </w:r>
      <w:r>
        <w:rPr>
          <w:spacing w:val="-1"/>
          <w:vertAlign w:val="baseline"/>
        </w:rPr>
        <w:t> </w:t>
      </w:r>
      <w:r>
        <w:rPr>
          <w:vertAlign w:val="baseline"/>
        </w:rPr>
        <w:t>profiles. Douro production has increased substantially over the study period, roughly doubling from</w:t>
      </w:r>
      <w:r>
        <w:rPr>
          <w:spacing w:val="40"/>
          <w:vertAlign w:val="baseline"/>
        </w:rPr>
        <w:t> </w:t>
      </w:r>
      <w:r>
        <w:rPr>
          <w:vertAlign w:val="baseline"/>
        </w:rPr>
        <w:t>770 mhl in the</w:t>
      </w:r>
      <w:r>
        <w:rPr>
          <w:spacing w:val="-14"/>
          <w:vertAlign w:val="baseline"/>
        </w:rPr>
        <w:t> </w:t>
      </w:r>
      <w:r>
        <w:rPr>
          <w:vertAlign w:val="baseline"/>
        </w:rPr>
        <w:t>1930s</w:t>
      </w:r>
      <w:r>
        <w:rPr>
          <w:spacing w:val="-14"/>
          <w:vertAlign w:val="baseline"/>
        </w:rPr>
        <w:t> </w:t>
      </w:r>
      <w:r>
        <w:rPr>
          <w:vertAlign w:val="baseline"/>
        </w:rPr>
        <w:t>to</w:t>
      </w:r>
      <w:r>
        <w:rPr>
          <w:spacing w:val="-3"/>
          <w:vertAlign w:val="baseline"/>
        </w:rPr>
        <w:t> </w:t>
      </w:r>
      <w:r>
        <w:rPr>
          <w:vertAlign w:val="baseline"/>
        </w:rPr>
        <w:t>1,400</w:t>
      </w:r>
      <w:r>
        <w:rPr>
          <w:spacing w:val="-14"/>
          <w:vertAlign w:val="baseline"/>
        </w:rPr>
        <w:t> </w:t>
      </w:r>
      <w:r>
        <w:rPr>
          <w:vertAlign w:val="baseline"/>
        </w:rPr>
        <w:t>mhl</w:t>
      </w:r>
      <w:r>
        <w:rPr>
          <w:spacing w:val="-13"/>
          <w:vertAlign w:val="baseline"/>
        </w:rPr>
        <w:t> </w:t>
      </w:r>
      <w:r>
        <w:rPr>
          <w:vertAlign w:val="baseline"/>
        </w:rPr>
        <w:t>by</w:t>
      </w:r>
      <w:r>
        <w:rPr>
          <w:spacing w:val="-14"/>
          <w:vertAlign w:val="baseline"/>
        </w:rPr>
        <w:t> </w:t>
      </w:r>
      <w:r>
        <w:rPr>
          <w:vertAlign w:val="baseline"/>
        </w:rPr>
        <w:t>the</w:t>
      </w:r>
      <w:r>
        <w:rPr>
          <w:spacing w:val="-14"/>
          <w:vertAlign w:val="baseline"/>
        </w:rPr>
        <w:t> </w:t>
      </w:r>
      <w:r>
        <w:rPr>
          <w:vertAlign w:val="baseline"/>
        </w:rPr>
        <w:t>2010s,</w:t>
      </w:r>
      <w:r>
        <w:rPr>
          <w:spacing w:val="-14"/>
          <w:vertAlign w:val="baseline"/>
        </w:rPr>
        <w:t> </w:t>
      </w:r>
      <w:r>
        <w:rPr>
          <w:vertAlign w:val="baseline"/>
        </w:rPr>
        <w:t>partly</w:t>
      </w:r>
      <w:r>
        <w:rPr>
          <w:spacing w:val="-13"/>
          <w:vertAlign w:val="baseline"/>
        </w:rPr>
        <w:t> </w:t>
      </w:r>
      <w:r>
        <w:rPr>
          <w:vertAlign w:val="baseline"/>
        </w:rPr>
        <w:t>reflecting</w:t>
      </w:r>
      <w:r>
        <w:rPr>
          <w:spacing w:val="-14"/>
          <w:vertAlign w:val="baseline"/>
        </w:rPr>
        <w:t> </w:t>
      </w:r>
      <w:r>
        <w:rPr>
          <w:vertAlign w:val="baseline"/>
        </w:rPr>
        <w:t>the</w:t>
      </w:r>
      <w:r>
        <w:rPr>
          <w:spacing w:val="-14"/>
          <w:vertAlign w:val="baseline"/>
        </w:rPr>
        <w:t> </w:t>
      </w:r>
      <w:r>
        <w:rPr>
          <w:vertAlign w:val="baseline"/>
        </w:rPr>
        <w:t>expansion</w:t>
      </w:r>
      <w:r>
        <w:rPr>
          <w:spacing w:val="-14"/>
          <w:vertAlign w:val="baseline"/>
        </w:rPr>
        <w:t> </w:t>
      </w:r>
      <w:r>
        <w:rPr>
          <w:vertAlign w:val="baseline"/>
        </w:rPr>
        <w:t>of</w:t>
      </w:r>
      <w:r>
        <w:rPr>
          <w:spacing w:val="-13"/>
          <w:vertAlign w:val="baseline"/>
        </w:rPr>
        <w:t> </w:t>
      </w:r>
      <w:r>
        <w:rPr>
          <w:vertAlign w:val="baseline"/>
        </w:rPr>
        <w:t>the</w:t>
      </w:r>
      <w:r>
        <w:rPr>
          <w:spacing w:val="-14"/>
          <w:vertAlign w:val="baseline"/>
        </w:rPr>
        <w:t> </w:t>
      </w:r>
      <w:r>
        <w:rPr>
          <w:vertAlign w:val="baseline"/>
        </w:rPr>
        <w:t>Douro</w:t>
      </w:r>
      <w:r>
        <w:rPr>
          <w:spacing w:val="-14"/>
          <w:vertAlign w:val="baseline"/>
        </w:rPr>
        <w:t> </w:t>
      </w:r>
      <w:r>
        <w:rPr>
          <w:vertAlign w:val="baseline"/>
        </w:rPr>
        <w:t>DOC</w:t>
      </w:r>
      <w:r>
        <w:rPr>
          <w:spacing w:val="-14"/>
          <w:vertAlign w:val="baseline"/>
        </w:rPr>
        <w:t> </w:t>
      </w:r>
      <w:r>
        <w:rPr>
          <w:vertAlign w:val="baseline"/>
        </w:rPr>
        <w:t>appellation for table wines from 1979 onward and the administrative Port production quota system (IVDP benefício, the annual Port production quota).</w:t>
      </w:r>
    </w:p>
    <w:p>
      <w:pPr>
        <w:pStyle w:val="BodyText"/>
        <w:spacing w:before="82"/>
      </w:pPr>
    </w:p>
    <w:p>
      <w:pPr>
        <w:pStyle w:val="BodyText"/>
        <w:ind w:left="601" w:right="882"/>
        <w:jc w:val="center"/>
      </w:pPr>
      <w:r>
        <w:rPr>
          <w:spacing w:val="-10"/>
        </w:rPr>
        <w:t>5</w:t>
      </w:r>
    </w:p>
    <w:p>
      <w:pPr>
        <w:pStyle w:val="BodyText"/>
        <w:spacing w:after="0"/>
        <w:jc w:val="center"/>
        <w:sectPr>
          <w:headerReference w:type="default" r:id="rId31"/>
          <w:pgSz w:w="11910" w:h="16840"/>
          <w:pgMar w:header="0" w:footer="0" w:top="1920" w:bottom="280" w:left="1275" w:right="425"/>
        </w:sectPr>
      </w:pPr>
    </w:p>
    <w:p>
      <w:pPr>
        <w:pStyle w:val="BodyText"/>
        <w:spacing w:before="237"/>
        <w:rPr>
          <w:sz w:val="24"/>
        </w:rPr>
      </w:pPr>
    </w:p>
    <w:p>
      <w:pPr>
        <w:pStyle w:val="Heading3"/>
        <w:numPr>
          <w:ilvl w:val="2"/>
          <w:numId w:val="15"/>
        </w:numPr>
        <w:tabs>
          <w:tab w:pos="859" w:val="left" w:leader="none"/>
        </w:tabs>
        <w:spacing w:line="240" w:lineRule="auto" w:before="0" w:after="0"/>
        <w:ind w:left="859" w:right="0" w:hanging="717"/>
        <w:jc w:val="left"/>
      </w:pPr>
      <w:bookmarkStart w:name="2.1.2 Vinho Verde Region" w:id="21"/>
      <w:bookmarkEnd w:id="21"/>
      <w:r>
        <w:rPr>
          <w:b w:val="0"/>
        </w:rPr>
      </w:r>
      <w:bookmarkStart w:name="_bookmark8" w:id="22"/>
      <w:bookmarkEnd w:id="22"/>
      <w:r>
        <w:rPr>
          <w:b w:val="0"/>
        </w:rPr>
      </w:r>
      <w:r>
        <w:rPr>
          <w:spacing w:val="-4"/>
        </w:rPr>
        <w:t>Vinho Verde Region</w:t>
      </w:r>
    </w:p>
    <w:p>
      <w:pPr>
        <w:pStyle w:val="BodyText"/>
        <w:spacing w:line="328" w:lineRule="exact" w:before="177"/>
        <w:ind w:left="134" w:right="1519" w:firstLine="1"/>
        <w:jc w:val="both"/>
      </w:pPr>
      <w:r>
        <w:rPr/>
        <w:t>The Vinho Verde Region is located in the Minho province of north-western Portugal, the most </w:t>
      </w:r>
      <w:r>
        <w:rPr>
          <w:spacing w:val="-2"/>
        </w:rPr>
        <w:t>Atlantic</w:t>
      </w:r>
      <w:r>
        <w:rPr>
          <w:spacing w:val="-12"/>
        </w:rPr>
        <w:t> </w:t>
      </w:r>
      <w:r>
        <w:rPr>
          <w:spacing w:val="-2"/>
        </w:rPr>
        <w:t>European</w:t>
      </w:r>
      <w:r>
        <w:rPr>
          <w:spacing w:val="-12"/>
        </w:rPr>
        <w:t> </w:t>
      </w:r>
      <w:r>
        <w:rPr>
          <w:spacing w:val="-2"/>
        </w:rPr>
        <w:t>wine</w:t>
      </w:r>
      <w:r>
        <w:rPr>
          <w:spacing w:val="-12"/>
        </w:rPr>
        <w:t> </w:t>
      </w:r>
      <w:r>
        <w:rPr>
          <w:spacing w:val="-2"/>
        </w:rPr>
        <w:t>region</w:t>
      </w:r>
      <w:r>
        <w:rPr>
          <w:spacing w:val="-11"/>
        </w:rPr>
        <w:t> </w:t>
      </w:r>
      <w:r>
        <w:rPr>
          <w:spacing w:val="-2"/>
        </w:rPr>
        <w:t>(Köppen</w:t>
      </w:r>
      <w:r>
        <w:rPr>
          <w:spacing w:val="-12"/>
        </w:rPr>
        <w:t> </w:t>
      </w:r>
      <w:r>
        <w:rPr>
          <w:spacing w:val="-2"/>
        </w:rPr>
        <w:t>Csb).</w:t>
      </w:r>
      <w:r>
        <w:rPr>
          <w:spacing w:val="-12"/>
        </w:rPr>
        <w:t> </w:t>
      </w:r>
      <w:r>
        <w:rPr>
          <w:spacing w:val="-2"/>
        </w:rPr>
        <w:t>Mean</w:t>
      </w:r>
      <w:r>
        <w:rPr>
          <w:spacing w:val="-12"/>
        </w:rPr>
        <w:t> </w:t>
      </w:r>
      <w:r>
        <w:rPr>
          <w:spacing w:val="-2"/>
        </w:rPr>
        <w:t>annual</w:t>
      </w:r>
      <w:r>
        <w:rPr>
          <w:spacing w:val="-11"/>
        </w:rPr>
        <w:t> </w:t>
      </w:r>
      <w:r>
        <w:rPr>
          <w:spacing w:val="-2"/>
        </w:rPr>
        <w:t>precipitation</w:t>
      </w:r>
      <w:r>
        <w:rPr>
          <w:spacing w:val="-12"/>
        </w:rPr>
        <w:t> </w:t>
      </w:r>
      <w:r>
        <w:rPr>
          <w:spacing w:val="-2"/>
        </w:rPr>
        <w:t>ranges</w:t>
      </w:r>
      <w:r>
        <w:rPr>
          <w:spacing w:val="-12"/>
        </w:rPr>
        <w:t> </w:t>
      </w:r>
      <w:r>
        <w:rPr>
          <w:spacing w:val="-2"/>
        </w:rPr>
        <w:t>from</w:t>
      </w:r>
      <w:r>
        <w:rPr>
          <w:spacing w:val="-12"/>
        </w:rPr>
        <w:t> </w:t>
      </w:r>
      <w:r>
        <w:rPr>
          <w:spacing w:val="-2"/>
        </w:rPr>
        <w:t>1,200</w:t>
      </w:r>
      <w:r>
        <w:rPr>
          <w:spacing w:val="-11"/>
        </w:rPr>
        <w:t> </w:t>
      </w:r>
      <w:r>
        <w:rPr>
          <w:spacing w:val="-2"/>
        </w:rPr>
        <w:t>to</w:t>
      </w:r>
      <w:r>
        <w:rPr>
          <w:spacing w:val="-12"/>
        </w:rPr>
        <w:t> </w:t>
      </w:r>
      <w:r>
        <w:rPr>
          <w:spacing w:val="-2"/>
        </w:rPr>
        <w:t>2,000 </w:t>
      </w:r>
      <w:r>
        <w:rPr/>
        <w:t>mm and growing-season temperatures average approximately 17.1</w:t>
      </w:r>
      <w:r>
        <w:rPr>
          <w:rFonts w:ascii="Meiryo UI" w:hAnsi="Meiryo UI"/>
          <w:i/>
          <w:vertAlign w:val="superscript"/>
        </w:rPr>
        <w:t>◦</w:t>
      </w:r>
      <w:r>
        <w:rPr>
          <w:vertAlign w:val="baseline"/>
        </w:rPr>
        <w:t>C. In contrast to the Douro, Vinho Verde production declined dramatically over the study period, from approximately 2,300 mhl in the 1960s to around 800 mhl by the 2010s (</w:t>
      </w:r>
      <w:r>
        <w:rPr>
          <w:rFonts w:ascii="Meiryo UI" w:hAnsi="Meiryo UI"/>
          <w:i/>
          <w:vertAlign w:val="baseline"/>
        </w:rPr>
        <w:t>−</w:t>
      </w:r>
      <w:r>
        <w:rPr>
          <w:vertAlign w:val="baseline"/>
        </w:rPr>
        <w:t>65%).</w:t>
      </w:r>
      <w:r>
        <w:rPr>
          <w:spacing w:val="33"/>
          <w:vertAlign w:val="baseline"/>
        </w:rPr>
        <w:t> </w:t>
      </w:r>
      <w:r>
        <w:rPr>
          <w:vertAlign w:val="baseline"/>
        </w:rPr>
        <w:t>This structural decline is associated with Portugal’s EU accession in 1986, which introduced vine grubbing-up incentives under the </w:t>
      </w:r>
      <w:r>
        <w:rPr>
          <w:spacing w:val="-2"/>
          <w:vertAlign w:val="baseline"/>
        </w:rPr>
        <w:t>Common</w:t>
      </w:r>
      <w:r>
        <w:rPr>
          <w:spacing w:val="-8"/>
          <w:vertAlign w:val="baseline"/>
        </w:rPr>
        <w:t> </w:t>
      </w:r>
      <w:r>
        <w:rPr>
          <w:spacing w:val="-2"/>
          <w:vertAlign w:val="baseline"/>
        </w:rPr>
        <w:t>Agricultural</w:t>
      </w:r>
      <w:r>
        <w:rPr>
          <w:spacing w:val="-8"/>
          <w:vertAlign w:val="baseline"/>
        </w:rPr>
        <w:t> </w:t>
      </w:r>
      <w:r>
        <w:rPr>
          <w:spacing w:val="-2"/>
          <w:vertAlign w:val="baseline"/>
        </w:rPr>
        <w:t>Policy</w:t>
      </w:r>
      <w:r>
        <w:rPr>
          <w:spacing w:val="-8"/>
          <w:vertAlign w:val="baseline"/>
        </w:rPr>
        <w:t> </w:t>
      </w:r>
      <w:r>
        <w:rPr>
          <w:spacing w:val="-2"/>
          <w:vertAlign w:val="baseline"/>
        </w:rPr>
        <w:t>and</w:t>
      </w:r>
      <w:r>
        <w:rPr>
          <w:spacing w:val="-8"/>
          <w:vertAlign w:val="baseline"/>
        </w:rPr>
        <w:t> </w:t>
      </w:r>
      <w:r>
        <w:rPr>
          <w:spacing w:val="-2"/>
          <w:vertAlign w:val="baseline"/>
        </w:rPr>
        <w:t>quality</w:t>
      </w:r>
      <w:r>
        <w:rPr>
          <w:spacing w:val="-8"/>
          <w:vertAlign w:val="baseline"/>
        </w:rPr>
        <w:t> </w:t>
      </w:r>
      <w:r>
        <w:rPr>
          <w:spacing w:val="-2"/>
          <w:vertAlign w:val="baseline"/>
        </w:rPr>
        <w:t>standards</w:t>
      </w:r>
      <w:r>
        <w:rPr>
          <w:spacing w:val="-8"/>
          <w:vertAlign w:val="baseline"/>
        </w:rPr>
        <w:t> </w:t>
      </w:r>
      <w:r>
        <w:rPr>
          <w:spacing w:val="-2"/>
          <w:vertAlign w:val="baseline"/>
        </w:rPr>
        <w:t>that</w:t>
      </w:r>
      <w:r>
        <w:rPr>
          <w:spacing w:val="-8"/>
          <w:vertAlign w:val="baseline"/>
        </w:rPr>
        <w:t> </w:t>
      </w:r>
      <w:r>
        <w:rPr>
          <w:spacing w:val="-2"/>
          <w:vertAlign w:val="baseline"/>
        </w:rPr>
        <w:t>penalised</w:t>
      </w:r>
      <w:r>
        <w:rPr>
          <w:spacing w:val="-8"/>
          <w:vertAlign w:val="baseline"/>
        </w:rPr>
        <w:t> </w:t>
      </w:r>
      <w:r>
        <w:rPr>
          <w:spacing w:val="-2"/>
          <w:vertAlign w:val="baseline"/>
        </w:rPr>
        <w:t>the</w:t>
      </w:r>
      <w:r>
        <w:rPr>
          <w:spacing w:val="-8"/>
          <w:vertAlign w:val="baseline"/>
        </w:rPr>
        <w:t> </w:t>
      </w:r>
      <w:r>
        <w:rPr>
          <w:spacing w:val="-2"/>
          <w:vertAlign w:val="baseline"/>
        </w:rPr>
        <w:t>region’s</w:t>
      </w:r>
      <w:r>
        <w:rPr>
          <w:spacing w:val="-8"/>
          <w:vertAlign w:val="baseline"/>
        </w:rPr>
        <w:t> </w:t>
      </w:r>
      <w:r>
        <w:rPr>
          <w:spacing w:val="-2"/>
          <w:vertAlign w:val="baseline"/>
        </w:rPr>
        <w:t>traditional</w:t>
      </w:r>
      <w:r>
        <w:rPr>
          <w:spacing w:val="-8"/>
          <w:vertAlign w:val="baseline"/>
        </w:rPr>
        <w:t> </w:t>
      </w:r>
      <w:r>
        <w:rPr>
          <w:spacing w:val="-2"/>
          <w:vertAlign w:val="baseline"/>
        </w:rPr>
        <w:t>high-yield pergola</w:t>
      </w:r>
      <w:r>
        <w:rPr>
          <w:spacing w:val="-7"/>
          <w:vertAlign w:val="baseline"/>
        </w:rPr>
        <w:t> </w:t>
      </w:r>
      <w:r>
        <w:rPr>
          <w:spacing w:val="-2"/>
          <w:vertAlign w:val="baseline"/>
        </w:rPr>
        <w:t>systems,</w:t>
      </w:r>
      <w:r>
        <w:rPr>
          <w:spacing w:val="-7"/>
          <w:vertAlign w:val="baseline"/>
        </w:rPr>
        <w:t> </w:t>
      </w:r>
      <w:r>
        <w:rPr>
          <w:spacing w:val="-2"/>
          <w:vertAlign w:val="baseline"/>
        </w:rPr>
        <w:t>alongside</w:t>
      </w:r>
      <w:r>
        <w:rPr>
          <w:spacing w:val="-7"/>
          <w:vertAlign w:val="baseline"/>
        </w:rPr>
        <w:t> </w:t>
      </w:r>
      <w:r>
        <w:rPr>
          <w:spacing w:val="-2"/>
          <w:vertAlign w:val="baseline"/>
        </w:rPr>
        <w:t>rural</w:t>
      </w:r>
      <w:r>
        <w:rPr>
          <w:spacing w:val="-7"/>
          <w:vertAlign w:val="baseline"/>
        </w:rPr>
        <w:t> </w:t>
      </w:r>
      <w:r>
        <w:rPr>
          <w:spacing w:val="-2"/>
          <w:vertAlign w:val="baseline"/>
        </w:rPr>
        <w:t>exodus</w:t>
      </w:r>
      <w:r>
        <w:rPr>
          <w:spacing w:val="-7"/>
          <w:vertAlign w:val="baseline"/>
        </w:rPr>
        <w:t> </w:t>
      </w:r>
      <w:r>
        <w:rPr>
          <w:spacing w:val="-2"/>
          <w:vertAlign w:val="baseline"/>
        </w:rPr>
        <w:t>and</w:t>
      </w:r>
      <w:r>
        <w:rPr>
          <w:spacing w:val="-7"/>
          <w:vertAlign w:val="baseline"/>
        </w:rPr>
        <w:t> </w:t>
      </w:r>
      <w:r>
        <w:rPr>
          <w:spacing w:val="-2"/>
          <w:vertAlign w:val="baseline"/>
        </w:rPr>
        <w:t>the</w:t>
      </w:r>
      <w:r>
        <w:rPr>
          <w:spacing w:val="-7"/>
          <w:vertAlign w:val="baseline"/>
        </w:rPr>
        <w:t> </w:t>
      </w:r>
      <w:r>
        <w:rPr>
          <w:spacing w:val="-2"/>
          <w:vertAlign w:val="baseline"/>
        </w:rPr>
        <w:t>gradual</w:t>
      </w:r>
      <w:r>
        <w:rPr>
          <w:spacing w:val="-7"/>
          <w:vertAlign w:val="baseline"/>
        </w:rPr>
        <w:t> </w:t>
      </w:r>
      <w:r>
        <w:rPr>
          <w:spacing w:val="-2"/>
          <w:vertAlign w:val="baseline"/>
        </w:rPr>
        <w:t>conversion</w:t>
      </w:r>
      <w:r>
        <w:rPr>
          <w:spacing w:val="-7"/>
          <w:vertAlign w:val="baseline"/>
        </w:rPr>
        <w:t> </w:t>
      </w:r>
      <w:r>
        <w:rPr>
          <w:spacing w:val="-2"/>
          <w:vertAlign w:val="baseline"/>
        </w:rPr>
        <w:t>to</w:t>
      </w:r>
      <w:r>
        <w:rPr>
          <w:spacing w:val="-7"/>
          <w:vertAlign w:val="baseline"/>
        </w:rPr>
        <w:t> </w:t>
      </w:r>
      <w:r>
        <w:rPr>
          <w:spacing w:val="-2"/>
          <w:vertAlign w:val="baseline"/>
        </w:rPr>
        <w:t>lower-yield</w:t>
      </w:r>
      <w:r>
        <w:rPr>
          <w:spacing w:val="-7"/>
          <w:vertAlign w:val="baseline"/>
        </w:rPr>
        <w:t> </w:t>
      </w:r>
      <w:r>
        <w:rPr>
          <w:spacing w:val="-2"/>
          <w:vertAlign w:val="baseline"/>
        </w:rPr>
        <w:t>espalier</w:t>
      </w:r>
      <w:r>
        <w:rPr>
          <w:spacing w:val="-7"/>
          <w:vertAlign w:val="baseline"/>
        </w:rPr>
        <w:t> </w:t>
      </w:r>
      <w:r>
        <w:rPr>
          <w:spacing w:val="-2"/>
          <w:vertAlign w:val="baseline"/>
        </w:rPr>
        <w:t>training. </w:t>
      </w:r>
      <w:r>
        <w:rPr>
          <w:vertAlign w:val="baseline"/>
        </w:rPr>
        <w:t>Because rainfall is generally sufficient to refill soil water reserves year-round in RVV, carryover effects of water deficits are less prominent than in the Douro (</w:t>
      </w:r>
      <w:hyperlink w:history="true" w:anchor="_bookmark218">
        <w:r>
          <w:rPr>
            <w:color w:val="8B2C18"/>
            <w:vertAlign w:val="baseline"/>
          </w:rPr>
          <w:t>Cunha et al.</w:t>
        </w:r>
      </w:hyperlink>
      <w:r>
        <w:rPr>
          <w:vertAlign w:val="baseline"/>
        </w:rPr>
        <w:t>, </w:t>
      </w:r>
      <w:hyperlink w:history="true" w:anchor="_bookmark218">
        <w:r>
          <w:rPr>
            <w:color w:val="8B2C18"/>
            <w:vertAlign w:val="baseline"/>
          </w:rPr>
          <w:t>2020</w:t>
        </w:r>
      </w:hyperlink>
      <w:r>
        <w:rPr>
          <w:vertAlign w:val="baseline"/>
        </w:rPr>
        <w:t>).</w:t>
      </w:r>
    </w:p>
    <w:p>
      <w:pPr>
        <w:pStyle w:val="BodyText"/>
        <w:spacing w:before="250"/>
      </w:pPr>
    </w:p>
    <w:p>
      <w:pPr>
        <w:pStyle w:val="Heading2"/>
        <w:numPr>
          <w:ilvl w:val="1"/>
          <w:numId w:val="15"/>
        </w:numPr>
        <w:tabs>
          <w:tab w:pos="787" w:val="left" w:leader="none"/>
        </w:tabs>
        <w:spacing w:line="240" w:lineRule="auto" w:before="1" w:after="0"/>
        <w:ind w:left="787" w:right="0" w:hanging="645"/>
        <w:jc w:val="left"/>
      </w:pPr>
      <w:bookmarkStart w:name="2.2 Grapevine Yield Formation" w:id="23"/>
      <w:bookmarkEnd w:id="23"/>
      <w:r>
        <w:rPr>
          <w:b w:val="0"/>
        </w:rPr>
      </w:r>
      <w:bookmarkStart w:name="_bookmark9" w:id="24"/>
      <w:bookmarkEnd w:id="24"/>
      <w:r>
        <w:rPr>
          <w:b w:val="0"/>
        </w:rPr>
      </w:r>
      <w:r>
        <w:rPr/>
        <w:t>Grapevine</w:t>
      </w:r>
      <w:r>
        <w:rPr>
          <w:spacing w:val="11"/>
        </w:rPr>
        <w:t> </w:t>
      </w:r>
      <w:r>
        <w:rPr/>
        <w:t>Yield</w:t>
      </w:r>
      <w:r>
        <w:rPr>
          <w:spacing w:val="12"/>
        </w:rPr>
        <w:t> </w:t>
      </w:r>
      <w:r>
        <w:rPr>
          <w:spacing w:val="-2"/>
        </w:rPr>
        <w:t>Formation</w:t>
      </w:r>
    </w:p>
    <w:p>
      <w:pPr>
        <w:pStyle w:val="BodyText"/>
        <w:spacing w:line="312" w:lineRule="auto" w:before="303"/>
        <w:ind w:left="135" w:right="1530" w:firstLine="7"/>
        <w:jc w:val="both"/>
      </w:pPr>
      <w:r>
        <w:rPr/>
        <w:t>Grapevine yield is the product of five sequential components: vines per hectare, shoots per vine, inflorescences per shoot, berry number per bunch, and berry mass (</w:t>
      </w:r>
      <w:hyperlink w:history="true" w:anchor="_bookmark233">
        <w:r>
          <w:rPr>
            <w:color w:val="8B2C18"/>
          </w:rPr>
          <w:t>Zhu et al.</w:t>
        </w:r>
      </w:hyperlink>
      <w:r>
        <w:rPr/>
        <w:t>, </w:t>
      </w:r>
      <w:hyperlink w:history="true" w:anchor="_bookmark233">
        <w:r>
          <w:rPr>
            <w:color w:val="8B2C18"/>
          </w:rPr>
          <w:t>2020</w:t>
        </w:r>
      </w:hyperlink>
      <w:r>
        <w:rPr/>
        <w:t>).</w:t>
      </w:r>
      <w:r>
        <w:rPr>
          <w:spacing w:val="40"/>
        </w:rPr>
        <w:t> </w:t>
      </w:r>
      <w:r>
        <w:rPr/>
        <w:t>Each component</w:t>
      </w:r>
      <w:r>
        <w:rPr>
          <w:spacing w:val="-14"/>
        </w:rPr>
        <w:t> </w:t>
      </w:r>
      <w:r>
        <w:rPr/>
        <w:t>is</w:t>
      </w:r>
      <w:r>
        <w:rPr>
          <w:spacing w:val="-14"/>
        </w:rPr>
        <w:t> </w:t>
      </w:r>
      <w:r>
        <w:rPr/>
        <w:t>sensitive</w:t>
      </w:r>
      <w:r>
        <w:rPr>
          <w:spacing w:val="-14"/>
        </w:rPr>
        <w:t> </w:t>
      </w:r>
      <w:r>
        <w:rPr/>
        <w:t>to</w:t>
      </w:r>
      <w:r>
        <w:rPr>
          <w:spacing w:val="-13"/>
        </w:rPr>
        <w:t> </w:t>
      </w:r>
      <w:r>
        <w:rPr/>
        <w:t>different</w:t>
      </w:r>
      <w:r>
        <w:rPr>
          <w:spacing w:val="-14"/>
        </w:rPr>
        <w:t> </w:t>
      </w:r>
      <w:r>
        <w:rPr/>
        <w:t>environmental</w:t>
      </w:r>
      <w:r>
        <w:rPr>
          <w:spacing w:val="-14"/>
        </w:rPr>
        <w:t> </w:t>
      </w:r>
      <w:r>
        <w:rPr/>
        <w:t>stimuli</w:t>
      </w:r>
      <w:r>
        <w:rPr>
          <w:spacing w:val="-14"/>
        </w:rPr>
        <w:t> </w:t>
      </w:r>
      <w:r>
        <w:rPr/>
        <w:t>at</w:t>
      </w:r>
      <w:r>
        <w:rPr>
          <w:spacing w:val="-13"/>
        </w:rPr>
        <w:t> </w:t>
      </w:r>
      <w:r>
        <w:rPr/>
        <w:t>different</w:t>
      </w:r>
      <w:r>
        <w:rPr>
          <w:spacing w:val="-14"/>
        </w:rPr>
        <w:t> </w:t>
      </w:r>
      <w:r>
        <w:rPr/>
        <w:t>phenological</w:t>
      </w:r>
      <w:r>
        <w:rPr>
          <w:spacing w:val="-14"/>
        </w:rPr>
        <w:t> </w:t>
      </w:r>
      <w:r>
        <w:rPr/>
        <w:t>stages,</w:t>
      </w:r>
      <w:r>
        <w:rPr>
          <w:spacing w:val="-14"/>
        </w:rPr>
        <w:t> </w:t>
      </w:r>
      <w:r>
        <w:rPr/>
        <w:t>creating a cascade of climate dependencies that spans two growing seasons. Inflorescence primordia, the embryonic structures that will become grape clusters, are initiated during the spring and summer of the year prior to the harvest year.</w:t>
      </w:r>
      <w:r>
        <w:rPr>
          <w:spacing w:val="39"/>
        </w:rPr>
        <w:t> </w:t>
      </w:r>
      <w:r>
        <w:rPr/>
        <w:t>Whether primordia develop into productive inflorescences or revert to tendrils is governed primarily by temperature and light at the time of differentiation (</w:t>
      </w:r>
      <w:hyperlink w:history="true" w:anchor="_bookmark233">
        <w:r>
          <w:rPr>
            <w:color w:val="8B2C18"/>
          </w:rPr>
          <w:t>Zhu</w:t>
        </w:r>
        <w:r>
          <w:rPr>
            <w:color w:val="8B2C18"/>
            <w:spacing w:val="-5"/>
          </w:rPr>
          <w:t> </w:t>
        </w:r>
        <w:r>
          <w:rPr>
            <w:color w:val="8B2C18"/>
          </w:rPr>
          <w:t>et</w:t>
        </w:r>
        <w:r>
          <w:rPr>
            <w:color w:val="8B2C18"/>
            <w:spacing w:val="-5"/>
          </w:rPr>
          <w:t> </w:t>
        </w:r>
        <w:r>
          <w:rPr>
            <w:color w:val="8B2C18"/>
          </w:rPr>
          <w:t>al.</w:t>
        </w:r>
      </w:hyperlink>
      <w:r>
        <w:rPr/>
        <w:t>,</w:t>
      </w:r>
      <w:r>
        <w:rPr>
          <w:spacing w:val="-5"/>
        </w:rPr>
        <w:t> </w:t>
      </w:r>
      <w:hyperlink w:history="true" w:anchor="_bookmark233">
        <w:r>
          <w:rPr>
            <w:color w:val="8B2C18"/>
          </w:rPr>
          <w:t>2020</w:t>
        </w:r>
      </w:hyperlink>
      <w:r>
        <w:rPr/>
        <w:t>): high</w:t>
      </w:r>
      <w:r>
        <w:rPr>
          <w:spacing w:val="-5"/>
        </w:rPr>
        <w:t> </w:t>
      </w:r>
      <w:r>
        <w:rPr/>
        <w:t>temperatures</w:t>
      </w:r>
      <w:r>
        <w:rPr>
          <w:spacing w:val="-5"/>
        </w:rPr>
        <w:t> </w:t>
      </w:r>
      <w:r>
        <w:rPr/>
        <w:t>encourage</w:t>
      </w:r>
      <w:r>
        <w:rPr>
          <w:spacing w:val="-5"/>
        </w:rPr>
        <w:t> </w:t>
      </w:r>
      <w:r>
        <w:rPr/>
        <w:t>inflorescence</w:t>
      </w:r>
      <w:r>
        <w:rPr>
          <w:spacing w:val="-5"/>
        </w:rPr>
        <w:t> </w:t>
      </w:r>
      <w:r>
        <w:rPr/>
        <w:t>development,</w:t>
      </w:r>
      <w:r>
        <w:rPr>
          <w:spacing w:val="-5"/>
        </w:rPr>
        <w:t> </w:t>
      </w:r>
      <w:r>
        <w:rPr/>
        <w:t>while</w:t>
      </w:r>
      <w:r>
        <w:rPr>
          <w:spacing w:val="-5"/>
        </w:rPr>
        <w:t> </w:t>
      </w:r>
      <w:r>
        <w:rPr/>
        <w:t>cool</w:t>
      </w:r>
      <w:r>
        <w:rPr>
          <w:spacing w:val="-5"/>
        </w:rPr>
        <w:t> </w:t>
      </w:r>
      <w:r>
        <w:rPr/>
        <w:t>or</w:t>
      </w:r>
      <w:r>
        <w:rPr>
          <w:spacing w:val="-5"/>
        </w:rPr>
        <w:t> </w:t>
      </w:r>
      <w:r>
        <w:rPr/>
        <w:t>shaded conditions</w:t>
      </w:r>
      <w:r>
        <w:rPr>
          <w:spacing w:val="-16"/>
        </w:rPr>
        <w:t> </w:t>
      </w:r>
      <w:r>
        <w:rPr/>
        <w:t>lead</w:t>
      </w:r>
      <w:r>
        <w:rPr>
          <w:spacing w:val="-14"/>
        </w:rPr>
        <w:t> </w:t>
      </w:r>
      <w:r>
        <w:rPr/>
        <w:t>to</w:t>
      </w:r>
      <w:r>
        <w:rPr>
          <w:spacing w:val="-14"/>
        </w:rPr>
        <w:t> </w:t>
      </w:r>
      <w:r>
        <w:rPr/>
        <w:t>tendril</w:t>
      </w:r>
      <w:r>
        <w:rPr>
          <w:spacing w:val="-13"/>
        </w:rPr>
        <w:t> </w:t>
      </w:r>
      <w:r>
        <w:rPr/>
        <w:t>formation,</w:t>
      </w:r>
      <w:r>
        <w:rPr>
          <w:spacing w:val="-14"/>
        </w:rPr>
        <w:t> </w:t>
      </w:r>
      <w:r>
        <w:rPr/>
        <w:t>reducing</w:t>
      </w:r>
      <w:r>
        <w:rPr>
          <w:spacing w:val="-14"/>
        </w:rPr>
        <w:t> </w:t>
      </w:r>
      <w:r>
        <w:rPr/>
        <w:t>the</w:t>
      </w:r>
      <w:r>
        <w:rPr>
          <w:spacing w:val="-14"/>
        </w:rPr>
        <w:t> </w:t>
      </w:r>
      <w:r>
        <w:rPr/>
        <w:t>following</w:t>
      </w:r>
      <w:r>
        <w:rPr>
          <w:spacing w:val="-13"/>
        </w:rPr>
        <w:t> </w:t>
      </w:r>
      <w:r>
        <w:rPr/>
        <w:t>season’s</w:t>
      </w:r>
      <w:r>
        <w:rPr>
          <w:spacing w:val="-14"/>
        </w:rPr>
        <w:t> </w:t>
      </w:r>
      <w:r>
        <w:rPr/>
        <w:t>potential</w:t>
      </w:r>
      <w:r>
        <w:rPr>
          <w:spacing w:val="-14"/>
        </w:rPr>
        <w:t> </w:t>
      </w:r>
      <w:r>
        <w:rPr/>
        <w:t>bunch</w:t>
      </w:r>
      <w:r>
        <w:rPr>
          <w:spacing w:val="-14"/>
        </w:rPr>
        <w:t> </w:t>
      </w:r>
      <w:r>
        <w:rPr/>
        <w:t>number.</w:t>
      </w:r>
      <w:r>
        <w:rPr>
          <w:spacing w:val="-13"/>
        </w:rPr>
        <w:t> </w:t>
      </w:r>
      <w:r>
        <w:rPr/>
        <w:t>This </w:t>
      </w:r>
      <w:r>
        <w:rPr>
          <w:spacing w:val="-2"/>
        </w:rPr>
        <w:t>mechanism means that current-year production is physiologically dependent on prior-year climate, </w:t>
      </w:r>
      <w:r>
        <w:rPr/>
        <w:t>motivating the inclusion of lagged features in the agroclimatic models used in this thesis.</w:t>
      </w:r>
    </w:p>
    <w:p>
      <w:pPr>
        <w:pStyle w:val="BodyText"/>
        <w:spacing w:line="312" w:lineRule="auto" w:before="6"/>
        <w:ind w:left="142" w:right="1557" w:firstLine="338"/>
        <w:jc w:val="both"/>
      </w:pPr>
      <w:r>
        <w:rPr/>
        <w:t>The flowering stage, occurring in late spring of the harvest year, determines the number of berries through fruit-set efficiency.</w:t>
      </w:r>
      <w:r>
        <w:rPr>
          <w:spacing w:val="40"/>
        </w:rPr>
        <w:t> </w:t>
      </w:r>
      <w:r>
        <w:rPr/>
        <w:t>Both low and high temperatures disrupt pollination; </w:t>
      </w:r>
      <w:r>
        <w:rPr/>
        <w:t>wet </w:t>
      </w:r>
      <w:r>
        <w:rPr>
          <w:spacing w:val="-2"/>
        </w:rPr>
        <w:t>conditions</w:t>
      </w:r>
      <w:r>
        <w:rPr>
          <w:spacing w:val="-8"/>
        </w:rPr>
        <w:t> </w:t>
      </w:r>
      <w:r>
        <w:rPr>
          <w:spacing w:val="-2"/>
        </w:rPr>
        <w:t>promote</w:t>
      </w:r>
      <w:r>
        <w:rPr>
          <w:spacing w:val="-8"/>
        </w:rPr>
        <w:t> </w:t>
      </w:r>
      <w:r>
        <w:rPr>
          <w:spacing w:val="-2"/>
        </w:rPr>
        <w:t>Botrytis</w:t>
      </w:r>
      <w:r>
        <w:rPr>
          <w:spacing w:val="-8"/>
        </w:rPr>
        <w:t> </w:t>
      </w:r>
      <w:r>
        <w:rPr>
          <w:spacing w:val="-2"/>
        </w:rPr>
        <w:t>cinerea</w:t>
      </w:r>
      <w:r>
        <w:rPr>
          <w:spacing w:val="-8"/>
        </w:rPr>
        <w:t> </w:t>
      </w:r>
      <w:r>
        <w:rPr>
          <w:spacing w:val="-2"/>
        </w:rPr>
        <w:t>and</w:t>
      </w:r>
      <w:r>
        <w:rPr>
          <w:spacing w:val="-8"/>
        </w:rPr>
        <w:t> </w:t>
      </w:r>
      <w:r>
        <w:rPr>
          <w:spacing w:val="-2"/>
        </w:rPr>
        <w:t>downy</w:t>
      </w:r>
      <w:r>
        <w:rPr>
          <w:spacing w:val="-8"/>
        </w:rPr>
        <w:t> </w:t>
      </w:r>
      <w:r>
        <w:rPr>
          <w:spacing w:val="-2"/>
        </w:rPr>
        <w:t>mildew,</w:t>
      </w:r>
      <w:r>
        <w:rPr>
          <w:spacing w:val="-8"/>
        </w:rPr>
        <w:t> </w:t>
      </w:r>
      <w:r>
        <w:rPr>
          <w:spacing w:val="-2"/>
        </w:rPr>
        <w:t>reducing</w:t>
      </w:r>
      <w:r>
        <w:rPr>
          <w:spacing w:val="-8"/>
        </w:rPr>
        <w:t> </w:t>
      </w:r>
      <w:r>
        <w:rPr>
          <w:spacing w:val="-2"/>
        </w:rPr>
        <w:t>fruit</w:t>
      </w:r>
      <w:r>
        <w:rPr>
          <w:spacing w:val="-8"/>
        </w:rPr>
        <w:t> </w:t>
      </w:r>
      <w:r>
        <w:rPr>
          <w:spacing w:val="-2"/>
        </w:rPr>
        <w:t>set. The</w:t>
      </w:r>
      <w:r>
        <w:rPr>
          <w:spacing w:val="-8"/>
        </w:rPr>
        <w:t> </w:t>
      </w:r>
      <w:r>
        <w:rPr>
          <w:spacing w:val="-2"/>
        </w:rPr>
        <w:t>veraison-to-harvest </w:t>
      </w:r>
      <w:r>
        <w:rPr/>
        <w:t>period is governed by temperature and soil water: in the Douro, post-veraison soil water stress typically promotes berry concentration; in Vinho Verde, the wetter Atlantic climate means that canopy management and moisture balance are the dominant ripening-phase constraints.</w:t>
      </w:r>
    </w:p>
    <w:p>
      <w:pPr>
        <w:pStyle w:val="BodyText"/>
        <w:spacing w:before="102"/>
      </w:pPr>
    </w:p>
    <w:p>
      <w:pPr>
        <w:pStyle w:val="Heading3"/>
        <w:numPr>
          <w:ilvl w:val="2"/>
          <w:numId w:val="15"/>
        </w:numPr>
        <w:tabs>
          <w:tab w:pos="859" w:val="left" w:leader="none"/>
        </w:tabs>
        <w:spacing w:line="240" w:lineRule="auto" w:before="0" w:after="0"/>
        <w:ind w:left="859" w:right="0" w:hanging="717"/>
        <w:jc w:val="left"/>
      </w:pPr>
      <w:bookmarkStart w:name="2.2.1 The Two-Year Vine Development Cycl" w:id="25"/>
      <w:bookmarkEnd w:id="25"/>
      <w:r>
        <w:rPr>
          <w:b w:val="0"/>
        </w:rPr>
      </w:r>
      <w:bookmarkStart w:name="_bookmark10" w:id="26"/>
      <w:bookmarkEnd w:id="26"/>
      <w:r>
        <w:rPr>
          <w:b w:val="0"/>
        </w:rPr>
      </w:r>
      <w:r>
        <w:rPr>
          <w:spacing w:val="-2"/>
        </w:rPr>
        <w:t>The</w:t>
      </w:r>
      <w:r>
        <w:rPr>
          <w:spacing w:val="-13"/>
        </w:rPr>
        <w:t> </w:t>
      </w:r>
      <w:r>
        <w:rPr>
          <w:spacing w:val="-2"/>
        </w:rPr>
        <w:t>Two-Year</w:t>
      </w:r>
      <w:r>
        <w:rPr>
          <w:spacing w:val="-12"/>
        </w:rPr>
        <w:t> </w:t>
      </w:r>
      <w:r>
        <w:rPr>
          <w:spacing w:val="-2"/>
        </w:rPr>
        <w:t>Vine</w:t>
      </w:r>
      <w:r>
        <w:rPr>
          <w:spacing w:val="-12"/>
        </w:rPr>
        <w:t> </w:t>
      </w:r>
      <w:r>
        <w:rPr>
          <w:spacing w:val="-2"/>
        </w:rPr>
        <w:t>Development</w:t>
      </w:r>
      <w:r>
        <w:rPr>
          <w:spacing w:val="-12"/>
        </w:rPr>
        <w:t> </w:t>
      </w:r>
      <w:r>
        <w:rPr>
          <w:spacing w:val="-2"/>
        </w:rPr>
        <w:t>Cycle</w:t>
      </w:r>
    </w:p>
    <w:p>
      <w:pPr>
        <w:pStyle w:val="BodyText"/>
        <w:spacing w:line="312" w:lineRule="auto" w:before="234"/>
        <w:ind w:left="142" w:right="1526" w:hanging="8"/>
        <w:jc w:val="both"/>
      </w:pPr>
      <w:r>
        <w:rPr/>
        <w:t>A</w:t>
      </w:r>
      <w:r>
        <w:rPr>
          <w:spacing w:val="-10"/>
        </w:rPr>
        <w:t> </w:t>
      </w:r>
      <w:r>
        <w:rPr/>
        <w:t>defining</w:t>
      </w:r>
      <w:r>
        <w:rPr>
          <w:spacing w:val="-10"/>
        </w:rPr>
        <w:t> </w:t>
      </w:r>
      <w:r>
        <w:rPr/>
        <w:t>property</w:t>
      </w:r>
      <w:r>
        <w:rPr>
          <w:spacing w:val="-10"/>
        </w:rPr>
        <w:t> </w:t>
      </w:r>
      <w:r>
        <w:rPr/>
        <w:t>of</w:t>
      </w:r>
      <w:r>
        <w:rPr>
          <w:spacing w:val="-10"/>
        </w:rPr>
        <w:t> </w:t>
      </w:r>
      <w:r>
        <w:rPr/>
        <w:t>the</w:t>
      </w:r>
      <w:r>
        <w:rPr>
          <w:spacing w:val="-10"/>
        </w:rPr>
        <w:t> </w:t>
      </w:r>
      <w:r>
        <w:rPr/>
        <w:t>grapevine</w:t>
      </w:r>
      <w:r>
        <w:rPr>
          <w:spacing w:val="-10"/>
        </w:rPr>
        <w:t> </w:t>
      </w:r>
      <w:r>
        <w:rPr/>
        <w:t>that</w:t>
      </w:r>
      <w:r>
        <w:rPr>
          <w:spacing w:val="-10"/>
        </w:rPr>
        <w:t> </w:t>
      </w:r>
      <w:r>
        <w:rPr/>
        <w:t>distinguishes</w:t>
      </w:r>
      <w:r>
        <w:rPr>
          <w:spacing w:val="-10"/>
        </w:rPr>
        <w:t> </w:t>
      </w:r>
      <w:r>
        <w:rPr/>
        <w:t>it</w:t>
      </w:r>
      <w:r>
        <w:rPr>
          <w:spacing w:val="-10"/>
        </w:rPr>
        <w:t> </w:t>
      </w:r>
      <w:r>
        <w:rPr/>
        <w:t>from</w:t>
      </w:r>
      <w:r>
        <w:rPr>
          <w:spacing w:val="-10"/>
        </w:rPr>
        <w:t> </w:t>
      </w:r>
      <w:r>
        <w:rPr/>
        <w:t>annual</w:t>
      </w:r>
      <w:r>
        <w:rPr>
          <w:spacing w:val="-10"/>
        </w:rPr>
        <w:t> </w:t>
      </w:r>
      <w:r>
        <w:rPr/>
        <w:t>crops</w:t>
      </w:r>
      <w:r>
        <w:rPr>
          <w:spacing w:val="-10"/>
        </w:rPr>
        <w:t> </w:t>
      </w:r>
      <w:r>
        <w:rPr/>
        <w:t>is</w:t>
      </w:r>
      <w:r>
        <w:rPr>
          <w:spacing w:val="-10"/>
        </w:rPr>
        <w:t> </w:t>
      </w:r>
      <w:r>
        <w:rPr/>
        <w:t>its</w:t>
      </w:r>
      <w:r>
        <w:rPr>
          <w:spacing w:val="-10"/>
        </w:rPr>
        <w:t> </w:t>
      </w:r>
      <w:r>
        <w:rPr/>
        <w:t>perennial</w:t>
      </w:r>
      <w:r>
        <w:rPr>
          <w:spacing w:val="-10"/>
        </w:rPr>
        <w:t> </w:t>
      </w:r>
      <w:r>
        <w:rPr/>
        <w:t>nature: physiological</w:t>
      </w:r>
      <w:r>
        <w:rPr>
          <w:spacing w:val="-5"/>
        </w:rPr>
        <w:t> </w:t>
      </w:r>
      <w:r>
        <w:rPr/>
        <w:t>processes</w:t>
      </w:r>
      <w:r>
        <w:rPr>
          <w:spacing w:val="-5"/>
        </w:rPr>
        <w:t> </w:t>
      </w:r>
      <w:r>
        <w:rPr/>
        <w:t>in</w:t>
      </w:r>
      <w:r>
        <w:rPr>
          <w:spacing w:val="-5"/>
        </w:rPr>
        <w:t> </w:t>
      </w:r>
      <w:r>
        <w:rPr/>
        <w:t>one</w:t>
      </w:r>
      <w:r>
        <w:rPr>
          <w:spacing w:val="-5"/>
        </w:rPr>
        <w:t> </w:t>
      </w:r>
      <w:r>
        <w:rPr/>
        <w:t>growing</w:t>
      </w:r>
      <w:r>
        <w:rPr>
          <w:spacing w:val="-5"/>
        </w:rPr>
        <w:t> </w:t>
      </w:r>
      <w:r>
        <w:rPr/>
        <w:t>season</w:t>
      </w:r>
      <w:r>
        <w:rPr>
          <w:spacing w:val="-5"/>
        </w:rPr>
        <w:t> </w:t>
      </w:r>
      <w:r>
        <w:rPr/>
        <w:t>directly</w:t>
      </w:r>
      <w:r>
        <w:rPr>
          <w:spacing w:val="-5"/>
        </w:rPr>
        <w:t> </w:t>
      </w:r>
      <w:r>
        <w:rPr/>
        <w:t>determine</w:t>
      </w:r>
      <w:r>
        <w:rPr>
          <w:spacing w:val="-5"/>
        </w:rPr>
        <w:t> </w:t>
      </w:r>
      <w:r>
        <w:rPr/>
        <w:t>yield</w:t>
      </w:r>
      <w:r>
        <w:rPr>
          <w:spacing w:val="-5"/>
        </w:rPr>
        <w:t> </w:t>
      </w:r>
      <w:r>
        <w:rPr/>
        <w:t>potential</w:t>
      </w:r>
      <w:r>
        <w:rPr>
          <w:spacing w:val="-5"/>
        </w:rPr>
        <w:t> </w:t>
      </w:r>
      <w:r>
        <w:rPr/>
        <w:t>in</w:t>
      </w:r>
      <w:r>
        <w:rPr>
          <w:spacing w:val="-5"/>
        </w:rPr>
        <w:t> </w:t>
      </w:r>
      <w:r>
        <w:rPr/>
        <w:t>the</w:t>
      </w:r>
      <w:r>
        <w:rPr>
          <w:spacing w:val="-5"/>
        </w:rPr>
        <w:t> </w:t>
      </w:r>
      <w:r>
        <w:rPr/>
        <w:t>following season. Two</w:t>
      </w:r>
      <w:r>
        <w:rPr>
          <w:spacing w:val="-2"/>
        </w:rPr>
        <w:t> </w:t>
      </w:r>
      <w:r>
        <w:rPr/>
        <w:t>carry-over</w:t>
      </w:r>
      <w:r>
        <w:rPr>
          <w:spacing w:val="-2"/>
        </w:rPr>
        <w:t> </w:t>
      </w:r>
      <w:r>
        <w:rPr/>
        <w:t>mechanisms</w:t>
      </w:r>
      <w:r>
        <w:rPr>
          <w:spacing w:val="-2"/>
        </w:rPr>
        <w:t> </w:t>
      </w:r>
      <w:r>
        <w:rPr/>
        <w:t>are</w:t>
      </w:r>
      <w:r>
        <w:rPr>
          <w:spacing w:val="-2"/>
        </w:rPr>
        <w:t> </w:t>
      </w:r>
      <w:r>
        <w:rPr/>
        <w:t>particularly</w:t>
      </w:r>
      <w:r>
        <w:rPr>
          <w:spacing w:val="-2"/>
        </w:rPr>
        <w:t> </w:t>
      </w:r>
      <w:r>
        <w:rPr/>
        <w:t>important</w:t>
      </w:r>
      <w:r>
        <w:rPr>
          <w:spacing w:val="-2"/>
        </w:rPr>
        <w:t> </w:t>
      </w:r>
      <w:r>
        <w:rPr/>
        <w:t>for</w:t>
      </w:r>
      <w:r>
        <w:rPr>
          <w:spacing w:val="-2"/>
        </w:rPr>
        <w:t> </w:t>
      </w:r>
      <w:r>
        <w:rPr/>
        <w:t>the</w:t>
      </w:r>
      <w:r>
        <w:rPr>
          <w:spacing w:val="-2"/>
        </w:rPr>
        <w:t> </w:t>
      </w:r>
      <w:r>
        <w:rPr/>
        <w:t>feature</w:t>
      </w:r>
      <w:r>
        <w:rPr>
          <w:spacing w:val="-2"/>
        </w:rPr>
        <w:t> </w:t>
      </w:r>
      <w:r>
        <w:rPr/>
        <w:t>design</w:t>
      </w:r>
      <w:r>
        <w:rPr>
          <w:spacing w:val="-2"/>
        </w:rPr>
        <w:t> </w:t>
      </w:r>
      <w:r>
        <w:rPr/>
        <w:t>used</w:t>
      </w:r>
      <w:r>
        <w:rPr>
          <w:spacing w:val="-2"/>
        </w:rPr>
        <w:t> </w:t>
      </w:r>
      <w:r>
        <w:rPr/>
        <w:t>in</w:t>
      </w:r>
      <w:r>
        <w:rPr>
          <w:spacing w:val="-2"/>
        </w:rPr>
        <w:t> </w:t>
      </w:r>
      <w:r>
        <w:rPr/>
        <w:t>this </w:t>
      </w:r>
      <w:r>
        <w:rPr>
          <w:spacing w:val="-2"/>
        </w:rPr>
        <w:t>thesis.</w:t>
      </w:r>
    </w:p>
    <w:p>
      <w:pPr>
        <w:pStyle w:val="BodyText"/>
        <w:spacing w:line="312" w:lineRule="auto" w:before="7"/>
        <w:ind w:left="142" w:right="1557" w:firstLine="338"/>
        <w:jc w:val="both"/>
      </w:pPr>
      <w:r>
        <w:rPr>
          <w:spacing w:val="-4"/>
        </w:rPr>
        <w:t>First, inflorescence primordia — the embryonic structures that will become grape clusters — </w:t>
      </w:r>
      <w:r>
        <w:rPr>
          <w:spacing w:val="-4"/>
        </w:rPr>
        <w:t>are </w:t>
      </w:r>
      <w:r>
        <w:rPr>
          <w:spacing w:val="-2"/>
        </w:rPr>
        <w:t>initiated</w:t>
      </w:r>
      <w:r>
        <w:rPr>
          <w:spacing w:val="-8"/>
        </w:rPr>
        <w:t> </w:t>
      </w:r>
      <w:r>
        <w:rPr>
          <w:spacing w:val="-2"/>
        </w:rPr>
        <w:t>during</w:t>
      </w:r>
      <w:r>
        <w:rPr>
          <w:spacing w:val="-8"/>
        </w:rPr>
        <w:t> </w:t>
      </w:r>
      <w:r>
        <w:rPr>
          <w:spacing w:val="-2"/>
        </w:rPr>
        <w:t>the</w:t>
      </w:r>
      <w:r>
        <w:rPr>
          <w:spacing w:val="-7"/>
        </w:rPr>
        <w:t> </w:t>
      </w:r>
      <w:r>
        <w:rPr>
          <w:spacing w:val="-2"/>
        </w:rPr>
        <w:t>spring</w:t>
      </w:r>
      <w:r>
        <w:rPr>
          <w:spacing w:val="-8"/>
        </w:rPr>
        <w:t> </w:t>
      </w:r>
      <w:r>
        <w:rPr>
          <w:spacing w:val="-2"/>
        </w:rPr>
        <w:t>and</w:t>
      </w:r>
      <w:r>
        <w:rPr>
          <w:spacing w:val="-8"/>
        </w:rPr>
        <w:t> </w:t>
      </w:r>
      <w:r>
        <w:rPr>
          <w:spacing w:val="-2"/>
        </w:rPr>
        <w:t>early</w:t>
      </w:r>
      <w:r>
        <w:rPr>
          <w:spacing w:val="-8"/>
        </w:rPr>
        <w:t> </w:t>
      </w:r>
      <w:r>
        <w:rPr>
          <w:spacing w:val="-2"/>
        </w:rPr>
        <w:t>summer</w:t>
      </w:r>
      <w:r>
        <w:rPr>
          <w:spacing w:val="-8"/>
        </w:rPr>
        <w:t> </w:t>
      </w:r>
      <w:r>
        <w:rPr>
          <w:spacing w:val="-2"/>
        </w:rPr>
        <w:t>of</w:t>
      </w:r>
      <w:r>
        <w:rPr>
          <w:spacing w:val="-7"/>
        </w:rPr>
        <w:t> </w:t>
      </w:r>
      <w:r>
        <w:rPr>
          <w:spacing w:val="-2"/>
        </w:rPr>
        <w:t>the</w:t>
      </w:r>
      <w:r>
        <w:rPr>
          <w:spacing w:val="-8"/>
        </w:rPr>
        <w:t> </w:t>
      </w:r>
      <w:r>
        <w:rPr>
          <w:spacing w:val="-2"/>
        </w:rPr>
        <w:t>prior</w:t>
      </w:r>
      <w:r>
        <w:rPr>
          <w:spacing w:val="-8"/>
        </w:rPr>
        <w:t> </w:t>
      </w:r>
      <w:r>
        <w:rPr>
          <w:spacing w:val="-2"/>
        </w:rPr>
        <w:t>growing</w:t>
      </w:r>
      <w:r>
        <w:rPr>
          <w:spacing w:val="-6"/>
        </w:rPr>
        <w:t> </w:t>
      </w:r>
      <w:r>
        <w:rPr>
          <w:spacing w:val="-2"/>
        </w:rPr>
        <w:t>season.</w:t>
      </w:r>
      <w:r>
        <w:rPr>
          <w:spacing w:val="4"/>
        </w:rPr>
        <w:t> </w:t>
      </w:r>
      <w:r>
        <w:rPr>
          <w:spacing w:val="-2"/>
        </w:rPr>
        <w:t>The</w:t>
      </w:r>
      <w:r>
        <w:rPr>
          <w:spacing w:val="-8"/>
        </w:rPr>
        <w:t> </w:t>
      </w:r>
      <w:r>
        <w:rPr>
          <w:spacing w:val="-2"/>
        </w:rPr>
        <w:t>thermal</w:t>
      </w:r>
      <w:r>
        <w:rPr>
          <w:spacing w:val="-7"/>
        </w:rPr>
        <w:t> </w:t>
      </w:r>
      <w:r>
        <w:rPr>
          <w:spacing w:val="-2"/>
        </w:rPr>
        <w:t>conditions</w:t>
      </w:r>
      <w:r>
        <w:rPr>
          <w:spacing w:val="-7"/>
        </w:rPr>
        <w:t> </w:t>
      </w:r>
      <w:r>
        <w:rPr>
          <w:spacing w:val="-5"/>
        </w:rPr>
        <w:t>at</w:t>
      </w:r>
    </w:p>
    <w:p>
      <w:pPr>
        <w:pStyle w:val="BodyText"/>
        <w:spacing w:after="0" w:line="312" w:lineRule="auto"/>
        <w:jc w:val="both"/>
        <w:sectPr>
          <w:headerReference w:type="even" r:id="rId32"/>
          <w:pgSz w:w="11910" w:h="16840"/>
          <w:pgMar w:header="1160" w:footer="0" w:top="1420" w:bottom="280" w:left="1275" w:right="425"/>
          <w:pgNumType w:start="6"/>
        </w:sectPr>
      </w:pPr>
    </w:p>
    <w:p>
      <w:pPr>
        <w:pStyle w:val="ListParagraph"/>
        <w:numPr>
          <w:ilvl w:val="1"/>
          <w:numId w:val="15"/>
        </w:numPr>
        <w:tabs>
          <w:tab w:pos="1030" w:val="left" w:leader="none"/>
          <w:tab w:pos="9104" w:val="left" w:leader="none"/>
        </w:tabs>
        <w:spacing w:line="240" w:lineRule="auto" w:before="74" w:after="0"/>
        <w:ind w:left="1030" w:right="0" w:hanging="327"/>
        <w:jc w:val="left"/>
        <w:rPr>
          <w:rFonts w:ascii="Cambria"/>
          <w:i/>
          <w:sz w:val="22"/>
        </w:rPr>
      </w:pPr>
      <w:r>
        <w:rPr>
          <w:rFonts w:ascii="Cambria"/>
          <w:i/>
          <w:spacing w:val="-2"/>
          <w:sz w:val="22"/>
        </w:rPr>
        <w:t>Meteorological</w:t>
      </w:r>
      <w:r>
        <w:rPr>
          <w:rFonts w:ascii="Cambria"/>
          <w:i/>
          <w:spacing w:val="-10"/>
          <w:sz w:val="22"/>
        </w:rPr>
        <w:t> </w:t>
      </w:r>
      <w:r>
        <w:rPr>
          <w:rFonts w:ascii="Cambria"/>
          <w:i/>
          <w:spacing w:val="-2"/>
          <w:sz w:val="22"/>
        </w:rPr>
        <w:t>Drivers</w:t>
      </w:r>
      <w:r>
        <w:rPr>
          <w:rFonts w:ascii="Cambria"/>
          <w:i/>
          <w:spacing w:val="-10"/>
          <w:sz w:val="22"/>
        </w:rPr>
        <w:t> </w:t>
      </w:r>
      <w:r>
        <w:rPr>
          <w:rFonts w:ascii="Cambria"/>
          <w:i/>
          <w:spacing w:val="-2"/>
          <w:sz w:val="22"/>
        </w:rPr>
        <w:t>of</w:t>
      </w:r>
      <w:r>
        <w:rPr>
          <w:rFonts w:ascii="Cambria"/>
          <w:i/>
          <w:spacing w:val="-10"/>
          <w:sz w:val="22"/>
        </w:rPr>
        <w:t> </w:t>
      </w:r>
      <w:r>
        <w:rPr>
          <w:rFonts w:ascii="Cambria"/>
          <w:i/>
          <w:spacing w:val="-2"/>
          <w:sz w:val="22"/>
        </w:rPr>
        <w:t>Wine</w:t>
      </w:r>
      <w:r>
        <w:rPr>
          <w:rFonts w:ascii="Cambria"/>
          <w:i/>
          <w:spacing w:val="-10"/>
          <w:sz w:val="22"/>
        </w:rPr>
        <w:t> </w:t>
      </w:r>
      <w:r>
        <w:rPr>
          <w:rFonts w:ascii="Cambria"/>
          <w:i/>
          <w:spacing w:val="-2"/>
          <w:sz w:val="22"/>
        </w:rPr>
        <w:t>Production</w:t>
      </w:r>
      <w:r>
        <w:rPr>
          <w:rFonts w:ascii="Cambria"/>
          <w:i/>
          <w:spacing w:val="-10"/>
          <w:sz w:val="22"/>
        </w:rPr>
        <w:t> </w:t>
      </w:r>
      <w:r>
        <w:rPr>
          <w:rFonts w:ascii="Cambria"/>
          <w:i/>
          <w:spacing w:val="-2"/>
          <w:sz w:val="22"/>
        </w:rPr>
        <w:t>Variability</w:t>
      </w:r>
      <w:r>
        <w:rPr>
          <w:sz w:val="22"/>
        </w:rPr>
        <w:tab/>
      </w:r>
      <w:r>
        <w:rPr>
          <w:spacing w:val="-10"/>
          <w:sz w:val="22"/>
        </w:rPr>
        <w:t>7</w:t>
      </w:r>
    </w:p>
    <w:p>
      <w:pPr>
        <w:pStyle w:val="BodyText"/>
      </w:pPr>
    </w:p>
    <w:p>
      <w:pPr>
        <w:pStyle w:val="BodyText"/>
        <w:spacing w:before="38"/>
      </w:pPr>
    </w:p>
    <w:p>
      <w:pPr>
        <w:pStyle w:val="BodyText"/>
        <w:spacing w:line="304" w:lineRule="auto" w:before="1"/>
        <w:ind w:left="709" w:right="982"/>
        <w:jc w:val="both"/>
      </w:pPr>
      <w:r>
        <w:rPr/>
        <w:t>primordia</w:t>
      </w:r>
      <w:r>
        <w:rPr>
          <w:spacing w:val="-14"/>
        </w:rPr>
        <w:t> </w:t>
      </w:r>
      <w:r>
        <w:rPr/>
        <w:t>formation</w:t>
      </w:r>
      <w:r>
        <w:rPr>
          <w:spacing w:val="-14"/>
        </w:rPr>
        <w:t> </w:t>
      </w:r>
      <w:r>
        <w:rPr/>
        <w:t>(captured</w:t>
      </w:r>
      <w:r>
        <w:rPr>
          <w:spacing w:val="-14"/>
        </w:rPr>
        <w:t> </w:t>
      </w:r>
      <w:r>
        <w:rPr/>
        <w:t>by</w:t>
      </w:r>
      <w:r>
        <w:rPr>
          <w:spacing w:val="-13"/>
        </w:rPr>
        <w:t> </w:t>
      </w:r>
      <w:r>
        <w:rPr>
          <w:rFonts w:ascii="Courier New" w:hAnsi="Courier New"/>
        </w:rPr>
        <w:t>tm_fl_y0</w:t>
      </w:r>
      <w:r>
        <w:rPr>
          <w:rFonts w:ascii="Courier New" w:hAnsi="Courier New"/>
          <w:spacing w:val="-33"/>
        </w:rPr>
        <w:t> </w:t>
      </w:r>
      <w:r>
        <w:rPr/>
        <w:t>and</w:t>
      </w:r>
      <w:r>
        <w:rPr>
          <w:spacing w:val="-14"/>
        </w:rPr>
        <w:t> </w:t>
      </w:r>
      <w:r>
        <w:rPr>
          <w:rFonts w:ascii="Courier New" w:hAnsi="Courier New"/>
        </w:rPr>
        <w:t>tm_bb_y0</w:t>
      </w:r>
      <w:r>
        <w:rPr>
          <w:rFonts w:ascii="Courier New" w:hAnsi="Courier New"/>
          <w:spacing w:val="-33"/>
        </w:rPr>
        <w:t> </w:t>
      </w:r>
      <w:r>
        <w:rPr/>
        <w:t>features)</w:t>
      </w:r>
      <w:r>
        <w:rPr>
          <w:spacing w:val="-8"/>
        </w:rPr>
        <w:t> </w:t>
      </w:r>
      <w:r>
        <w:rPr/>
        <w:t>directly determine </w:t>
      </w:r>
      <w:r>
        <w:rPr/>
        <w:t>how many</w:t>
      </w:r>
      <w:r>
        <w:rPr>
          <w:spacing w:val="-1"/>
        </w:rPr>
        <w:t> </w:t>
      </w:r>
      <w:r>
        <w:rPr/>
        <w:t>primordia</w:t>
      </w:r>
      <w:r>
        <w:rPr>
          <w:spacing w:val="-1"/>
        </w:rPr>
        <w:t> </w:t>
      </w:r>
      <w:r>
        <w:rPr/>
        <w:t>differentiate</w:t>
      </w:r>
      <w:r>
        <w:rPr>
          <w:spacing w:val="-1"/>
        </w:rPr>
        <w:t> </w:t>
      </w:r>
      <w:r>
        <w:rPr/>
        <w:t>into</w:t>
      </w:r>
      <w:r>
        <w:rPr>
          <w:spacing w:val="-1"/>
        </w:rPr>
        <w:t> </w:t>
      </w:r>
      <w:r>
        <w:rPr/>
        <w:t>productive</w:t>
      </w:r>
      <w:r>
        <w:rPr>
          <w:spacing w:val="-1"/>
        </w:rPr>
        <w:t> </w:t>
      </w:r>
      <w:r>
        <w:rPr/>
        <w:t>inflorescences</w:t>
      </w:r>
      <w:r>
        <w:rPr>
          <w:spacing w:val="-1"/>
        </w:rPr>
        <w:t> </w:t>
      </w:r>
      <w:r>
        <w:rPr/>
        <w:t>rather</w:t>
      </w:r>
      <w:r>
        <w:rPr>
          <w:spacing w:val="-1"/>
        </w:rPr>
        <w:t> </w:t>
      </w:r>
      <w:r>
        <w:rPr/>
        <w:t>than</w:t>
      </w:r>
      <w:r>
        <w:rPr>
          <w:spacing w:val="-1"/>
        </w:rPr>
        <w:t> </w:t>
      </w:r>
      <w:r>
        <w:rPr/>
        <w:t>tendrils,</w:t>
      </w:r>
      <w:r>
        <w:rPr>
          <w:spacing w:val="-1"/>
        </w:rPr>
        <w:t> </w:t>
      </w:r>
      <w:r>
        <w:rPr/>
        <w:t>setting</w:t>
      </w:r>
      <w:r>
        <w:rPr>
          <w:spacing w:val="-1"/>
        </w:rPr>
        <w:t> </w:t>
      </w:r>
      <w:r>
        <w:rPr/>
        <w:t>an</w:t>
      </w:r>
      <w:r>
        <w:rPr>
          <w:spacing w:val="-1"/>
        </w:rPr>
        <w:t> </w:t>
      </w:r>
      <w:r>
        <w:rPr/>
        <w:t>upper bound on current-year bunch number that cannot be altered by current-year climate. Second, the carbohydrate</w:t>
      </w:r>
      <w:r>
        <w:rPr>
          <w:spacing w:val="-4"/>
        </w:rPr>
        <w:t> </w:t>
      </w:r>
      <w:r>
        <w:rPr/>
        <w:t>reserves</w:t>
      </w:r>
      <w:r>
        <w:rPr>
          <w:spacing w:val="-4"/>
        </w:rPr>
        <w:t> </w:t>
      </w:r>
      <w:r>
        <w:rPr/>
        <w:t>accumulated</w:t>
      </w:r>
      <w:r>
        <w:rPr>
          <w:spacing w:val="-4"/>
        </w:rPr>
        <w:t> </w:t>
      </w:r>
      <w:r>
        <w:rPr/>
        <w:t>during</w:t>
      </w:r>
      <w:r>
        <w:rPr>
          <w:spacing w:val="-4"/>
        </w:rPr>
        <w:t> </w:t>
      </w:r>
      <w:r>
        <w:rPr/>
        <w:t>the</w:t>
      </w:r>
      <w:r>
        <w:rPr>
          <w:spacing w:val="-4"/>
        </w:rPr>
        <w:t> </w:t>
      </w:r>
      <w:r>
        <w:rPr/>
        <w:t>prior</w:t>
      </w:r>
      <w:r>
        <w:rPr>
          <w:spacing w:val="-4"/>
        </w:rPr>
        <w:t> </w:t>
      </w:r>
      <w:r>
        <w:rPr/>
        <w:t>year’s</w:t>
      </w:r>
      <w:r>
        <w:rPr>
          <w:spacing w:val="-4"/>
        </w:rPr>
        <w:t> </w:t>
      </w:r>
      <w:r>
        <w:rPr/>
        <w:t>harvest-to-dormancy</w:t>
      </w:r>
      <w:r>
        <w:rPr>
          <w:spacing w:val="-4"/>
        </w:rPr>
        <w:t> </w:t>
      </w:r>
      <w:r>
        <w:rPr/>
        <w:t>period</w:t>
      </w:r>
      <w:r>
        <w:rPr>
          <w:spacing w:val="-4"/>
        </w:rPr>
        <w:t> </w:t>
      </w:r>
      <w:r>
        <w:rPr/>
        <w:t>(captured by</w:t>
      </w:r>
      <w:r>
        <w:rPr>
          <w:spacing w:val="-14"/>
        </w:rPr>
        <w:t> </w:t>
      </w:r>
      <w:r>
        <w:rPr>
          <w:rFonts w:ascii="Courier New" w:hAnsi="Courier New"/>
        </w:rPr>
        <w:t>swa_hv_y0</w:t>
      </w:r>
      <w:r>
        <w:rPr>
          <w:rFonts w:ascii="Courier New" w:hAnsi="Courier New"/>
          <w:spacing w:val="-33"/>
        </w:rPr>
        <w:t> </w:t>
      </w:r>
      <w:r>
        <w:rPr/>
        <w:t>and</w:t>
      </w:r>
      <w:r>
        <w:rPr>
          <w:spacing w:val="-14"/>
        </w:rPr>
        <w:t> </w:t>
      </w:r>
      <w:r>
        <w:rPr>
          <w:rFonts w:ascii="Courier New" w:hAnsi="Courier New"/>
        </w:rPr>
        <w:t>tn_hv_y0</w:t>
      </w:r>
      <w:r>
        <w:rPr>
          <w:rFonts w:ascii="Courier New" w:hAnsi="Courier New"/>
          <w:spacing w:val="-33"/>
        </w:rPr>
        <w:t> </w:t>
      </w:r>
      <w:r>
        <w:rPr/>
        <w:t>features)</w:t>
      </w:r>
      <w:r>
        <w:rPr>
          <w:spacing w:val="-6"/>
        </w:rPr>
        <w:t> </w:t>
      </w:r>
      <w:r>
        <w:rPr/>
        <w:t>determine the vine’s reproductive investment in the </w:t>
      </w:r>
      <w:r>
        <w:rPr>
          <w:spacing w:val="-2"/>
        </w:rPr>
        <w:t>current</w:t>
      </w:r>
      <w:r>
        <w:rPr>
          <w:spacing w:val="-12"/>
        </w:rPr>
        <w:t> </w:t>
      </w:r>
      <w:r>
        <w:rPr>
          <w:spacing w:val="-2"/>
        </w:rPr>
        <w:t>season.</w:t>
      </w:r>
      <w:r>
        <w:rPr>
          <w:spacing w:val="1"/>
        </w:rPr>
        <w:t> </w:t>
      </w:r>
      <w:r>
        <w:rPr>
          <w:spacing w:val="-2"/>
        </w:rPr>
        <w:t>Vines</w:t>
      </w:r>
      <w:r>
        <w:rPr>
          <w:spacing w:val="-12"/>
        </w:rPr>
        <w:t> </w:t>
      </w:r>
      <w:r>
        <w:rPr>
          <w:spacing w:val="-2"/>
        </w:rPr>
        <w:t>that</w:t>
      </w:r>
      <w:r>
        <w:rPr>
          <w:spacing w:val="-11"/>
        </w:rPr>
        <w:t> </w:t>
      </w:r>
      <w:r>
        <w:rPr>
          <w:spacing w:val="-2"/>
        </w:rPr>
        <w:t>finished</w:t>
      </w:r>
      <w:r>
        <w:rPr>
          <w:spacing w:val="-12"/>
        </w:rPr>
        <w:t> </w:t>
      </w:r>
      <w:r>
        <w:rPr>
          <w:spacing w:val="-2"/>
        </w:rPr>
        <w:t>the</w:t>
      </w:r>
      <w:r>
        <w:rPr>
          <w:spacing w:val="-12"/>
        </w:rPr>
        <w:t> </w:t>
      </w:r>
      <w:r>
        <w:rPr>
          <w:spacing w:val="-2"/>
        </w:rPr>
        <w:t>prior</w:t>
      </w:r>
      <w:r>
        <w:rPr>
          <w:spacing w:val="-11"/>
        </w:rPr>
        <w:t> </w:t>
      </w:r>
      <w:r>
        <w:rPr>
          <w:spacing w:val="-2"/>
        </w:rPr>
        <w:t>season</w:t>
      </w:r>
      <w:r>
        <w:rPr>
          <w:spacing w:val="-12"/>
        </w:rPr>
        <w:t> </w:t>
      </w:r>
      <w:r>
        <w:rPr>
          <w:spacing w:val="-2"/>
        </w:rPr>
        <w:t>in</w:t>
      </w:r>
      <w:r>
        <w:rPr>
          <w:spacing w:val="-11"/>
        </w:rPr>
        <w:t> </w:t>
      </w:r>
      <w:r>
        <w:rPr>
          <w:spacing w:val="-2"/>
        </w:rPr>
        <w:t>water</w:t>
      </w:r>
      <w:r>
        <w:rPr>
          <w:spacing w:val="-12"/>
        </w:rPr>
        <w:t> </w:t>
      </w:r>
      <w:r>
        <w:rPr>
          <w:spacing w:val="-2"/>
        </w:rPr>
        <w:t>or</w:t>
      </w:r>
      <w:r>
        <w:rPr>
          <w:spacing w:val="-11"/>
        </w:rPr>
        <w:t> </w:t>
      </w:r>
      <w:r>
        <w:rPr>
          <w:spacing w:val="-2"/>
        </w:rPr>
        <w:t>thermal</w:t>
      </w:r>
      <w:r>
        <w:rPr>
          <w:spacing w:val="-12"/>
        </w:rPr>
        <w:t> </w:t>
      </w:r>
      <w:r>
        <w:rPr>
          <w:spacing w:val="-2"/>
        </w:rPr>
        <w:t>stress</w:t>
      </w:r>
      <w:r>
        <w:rPr>
          <w:spacing w:val="-12"/>
        </w:rPr>
        <w:t> </w:t>
      </w:r>
      <w:r>
        <w:rPr>
          <w:spacing w:val="-2"/>
        </w:rPr>
        <w:t>have</w:t>
      </w:r>
      <w:r>
        <w:rPr>
          <w:spacing w:val="-12"/>
        </w:rPr>
        <w:t> </w:t>
      </w:r>
      <w:r>
        <w:rPr>
          <w:spacing w:val="-2"/>
        </w:rPr>
        <w:t>depleted</w:t>
      </w:r>
      <w:r>
        <w:rPr>
          <w:spacing w:val="-11"/>
        </w:rPr>
        <w:t> </w:t>
      </w:r>
      <w:r>
        <w:rPr>
          <w:spacing w:val="-2"/>
        </w:rPr>
        <w:t>reserves </w:t>
      </w:r>
      <w:r>
        <w:rPr/>
        <w:t>and</w:t>
      </w:r>
      <w:r>
        <w:rPr>
          <w:spacing w:val="-16"/>
        </w:rPr>
        <w:t> </w:t>
      </w:r>
      <w:r>
        <w:rPr/>
        <w:t>redirect</w:t>
      </w:r>
      <w:r>
        <w:rPr>
          <w:spacing w:val="-14"/>
        </w:rPr>
        <w:t> </w:t>
      </w:r>
      <w:r>
        <w:rPr/>
        <w:t>more</w:t>
      </w:r>
      <w:r>
        <w:rPr>
          <w:spacing w:val="-14"/>
        </w:rPr>
        <w:t> </w:t>
      </w:r>
      <w:r>
        <w:rPr/>
        <w:t>assimilates</w:t>
      </w:r>
      <w:r>
        <w:rPr>
          <w:spacing w:val="-13"/>
        </w:rPr>
        <w:t> </w:t>
      </w:r>
      <w:r>
        <w:rPr/>
        <w:t>to</w:t>
      </w:r>
      <w:r>
        <w:rPr>
          <w:spacing w:val="-14"/>
        </w:rPr>
        <w:t> </w:t>
      </w:r>
      <w:r>
        <w:rPr/>
        <w:t>vegetative</w:t>
      </w:r>
      <w:r>
        <w:rPr>
          <w:spacing w:val="-14"/>
        </w:rPr>
        <w:t> </w:t>
      </w:r>
      <w:r>
        <w:rPr/>
        <w:t>recovery,</w:t>
      </w:r>
      <w:r>
        <w:rPr>
          <w:spacing w:val="-14"/>
        </w:rPr>
        <w:t> </w:t>
      </w:r>
      <w:r>
        <w:rPr/>
        <w:t>reducing</w:t>
      </w:r>
      <w:r>
        <w:rPr>
          <w:spacing w:val="-13"/>
        </w:rPr>
        <w:t> </w:t>
      </w:r>
      <w:r>
        <w:rPr/>
        <w:t>berry</w:t>
      </w:r>
      <w:r>
        <w:rPr>
          <w:spacing w:val="-14"/>
        </w:rPr>
        <w:t> </w:t>
      </w:r>
      <w:r>
        <w:rPr/>
        <w:t>development</w:t>
      </w:r>
      <w:r>
        <w:rPr>
          <w:spacing w:val="-14"/>
        </w:rPr>
        <w:t> </w:t>
      </w:r>
      <w:r>
        <w:rPr/>
        <w:t>relative</w:t>
      </w:r>
      <w:r>
        <w:rPr>
          <w:spacing w:val="-14"/>
        </w:rPr>
        <w:t> </w:t>
      </w:r>
      <w:r>
        <w:rPr/>
        <w:t>to</w:t>
      </w:r>
      <w:r>
        <w:rPr>
          <w:spacing w:val="-13"/>
        </w:rPr>
        <w:t> </w:t>
      </w:r>
      <w:r>
        <w:rPr/>
        <w:t>shoot </w:t>
      </w:r>
      <w:r>
        <w:rPr>
          <w:spacing w:val="-2"/>
        </w:rPr>
        <w:t>growth.</w:t>
      </w:r>
    </w:p>
    <w:p>
      <w:pPr>
        <w:pStyle w:val="BodyText"/>
        <w:spacing w:line="312" w:lineRule="auto" w:before="36"/>
        <w:ind w:left="709" w:right="963" w:firstLine="338"/>
        <w:jc w:val="both"/>
      </w:pPr>
      <w:r>
        <w:rPr/>
        <w:t>The</w:t>
      </w:r>
      <w:r>
        <w:rPr>
          <w:spacing w:val="-10"/>
        </w:rPr>
        <w:t> </w:t>
      </w:r>
      <w:r>
        <w:rPr/>
        <w:t>practical</w:t>
      </w:r>
      <w:r>
        <w:rPr>
          <w:spacing w:val="-10"/>
        </w:rPr>
        <w:t> </w:t>
      </w:r>
      <w:r>
        <w:rPr/>
        <w:t>consequence</w:t>
      </w:r>
      <w:r>
        <w:rPr>
          <w:spacing w:val="-10"/>
        </w:rPr>
        <w:t> </w:t>
      </w:r>
      <w:r>
        <w:rPr/>
        <w:t>for</w:t>
      </w:r>
      <w:r>
        <w:rPr>
          <w:spacing w:val="-10"/>
        </w:rPr>
        <w:t> </w:t>
      </w:r>
      <w:r>
        <w:rPr/>
        <w:t>modelling</w:t>
      </w:r>
      <w:r>
        <w:rPr>
          <w:spacing w:val="-10"/>
        </w:rPr>
        <w:t> </w:t>
      </w:r>
      <w:r>
        <w:rPr/>
        <w:t>is</w:t>
      </w:r>
      <w:r>
        <w:rPr>
          <w:spacing w:val="-10"/>
        </w:rPr>
        <w:t> </w:t>
      </w:r>
      <w:r>
        <w:rPr/>
        <w:t>that</w:t>
      </w:r>
      <w:r>
        <w:rPr>
          <w:spacing w:val="-10"/>
        </w:rPr>
        <w:t> </w:t>
      </w:r>
      <w:r>
        <w:rPr/>
        <w:t>any</w:t>
      </w:r>
      <w:r>
        <w:rPr>
          <w:spacing w:val="-10"/>
        </w:rPr>
        <w:t> </w:t>
      </w:r>
      <w:r>
        <w:rPr/>
        <w:t>dataset</w:t>
      </w:r>
      <w:r>
        <w:rPr>
          <w:spacing w:val="-10"/>
        </w:rPr>
        <w:t> </w:t>
      </w:r>
      <w:r>
        <w:rPr/>
        <w:t>covering</w:t>
      </w:r>
      <w:r>
        <w:rPr>
          <w:spacing w:val="-10"/>
        </w:rPr>
        <w:t> </w:t>
      </w:r>
      <w:r>
        <w:rPr/>
        <w:t>only</w:t>
      </w:r>
      <w:r>
        <w:rPr>
          <w:spacing w:val="-10"/>
        </w:rPr>
        <w:t> </w:t>
      </w:r>
      <w:r>
        <w:rPr/>
        <w:t>the</w:t>
      </w:r>
      <w:r>
        <w:rPr>
          <w:spacing w:val="-10"/>
        </w:rPr>
        <w:t> </w:t>
      </w:r>
      <w:r>
        <w:rPr/>
        <w:t>current</w:t>
      </w:r>
      <w:r>
        <w:rPr>
          <w:spacing w:val="-10"/>
        </w:rPr>
        <w:t> </w:t>
      </w:r>
      <w:r>
        <w:rPr/>
        <w:t>growing season</w:t>
      </w:r>
      <w:r>
        <w:rPr>
          <w:spacing w:val="-4"/>
        </w:rPr>
        <w:t> </w:t>
      </w:r>
      <w:r>
        <w:rPr/>
        <w:t>is</w:t>
      </w:r>
      <w:r>
        <w:rPr>
          <w:spacing w:val="-4"/>
        </w:rPr>
        <w:t> </w:t>
      </w:r>
      <w:r>
        <w:rPr/>
        <w:t>fundamentally</w:t>
      </w:r>
      <w:r>
        <w:rPr>
          <w:spacing w:val="-4"/>
        </w:rPr>
        <w:t> </w:t>
      </w:r>
      <w:r>
        <w:rPr/>
        <w:t>incomplete</w:t>
      </w:r>
      <w:r>
        <w:rPr>
          <w:spacing w:val="-4"/>
        </w:rPr>
        <w:t> </w:t>
      </w:r>
      <w:r>
        <w:rPr/>
        <w:t>for</w:t>
      </w:r>
      <w:r>
        <w:rPr>
          <w:spacing w:val="-4"/>
        </w:rPr>
        <w:t> </w:t>
      </w:r>
      <w:r>
        <w:rPr/>
        <w:t>predicting</w:t>
      </w:r>
      <w:r>
        <w:rPr>
          <w:spacing w:val="-4"/>
        </w:rPr>
        <w:t> </w:t>
      </w:r>
      <w:r>
        <w:rPr/>
        <w:t>annual</w:t>
      </w:r>
      <w:r>
        <w:rPr>
          <w:spacing w:val="-4"/>
        </w:rPr>
        <w:t> </w:t>
      </w:r>
      <w:r>
        <w:rPr/>
        <w:t>wine</w:t>
      </w:r>
      <w:r>
        <w:rPr>
          <w:spacing w:val="-4"/>
        </w:rPr>
        <w:t> </w:t>
      </w:r>
      <w:r>
        <w:rPr/>
        <w:t>production. The</w:t>
      </w:r>
      <w:r>
        <w:rPr>
          <w:spacing w:val="-4"/>
        </w:rPr>
        <w:t> </w:t>
      </w:r>
      <w:r>
        <w:rPr/>
        <w:t>15</w:t>
      </w:r>
      <w:r>
        <w:rPr>
          <w:spacing w:val="-4"/>
        </w:rPr>
        <w:t> </w:t>
      </w:r>
      <w:r>
        <w:rPr/>
        <w:t>previous-year features included in the dataset (25% of the 59-feature total) represent the two physiological pathways — primordia formation and carbohydrate reserves — through which the prior season materially constrains current-year yield potential.</w:t>
      </w:r>
      <w:r>
        <w:rPr>
          <w:spacing w:val="40"/>
        </w:rPr>
        <w:t> </w:t>
      </w:r>
      <w:r>
        <w:rPr/>
        <w:t>This is confirmed empirically:</w:t>
      </w:r>
      <w:r>
        <w:rPr>
          <w:spacing w:val="40"/>
        </w:rPr>
        <w:t> </w:t>
      </w:r>
      <w:r>
        <w:rPr/>
        <w:t>the CarenR rule</w:t>
      </w:r>
      <w:r>
        <w:rPr>
          <w:spacing w:val="-2"/>
        </w:rPr>
        <w:t> </w:t>
      </w:r>
      <w:r>
        <w:rPr/>
        <w:t>producing the largest Douro production deviation (+192</w:t>
      </w:r>
      <w:r>
        <w:rPr>
          <w:spacing w:val="-14"/>
        </w:rPr>
        <w:t> </w:t>
      </w:r>
      <w:r>
        <w:rPr/>
        <w:t>mhl, Rule 4 in Table </w:t>
      </w:r>
      <w:hyperlink w:history="true" w:anchor="_bookmark71">
        <w:r>
          <w:rPr>
            <w:color w:val="8B2C18"/>
          </w:rPr>
          <w:t>4.1</w:t>
        </w:r>
      </w:hyperlink>
      <w:r>
        <w:rPr/>
        <w:t>) explicitly combines</w:t>
      </w:r>
      <w:r>
        <w:rPr>
          <w:spacing w:val="-9"/>
        </w:rPr>
        <w:t> </w:t>
      </w:r>
      <w:r>
        <w:rPr/>
        <w:t>a</w:t>
      </w:r>
      <w:r>
        <w:rPr>
          <w:spacing w:val="-9"/>
        </w:rPr>
        <w:t> </w:t>
      </w:r>
      <w:r>
        <w:rPr/>
        <w:t>current-year</w:t>
      </w:r>
      <w:r>
        <w:rPr>
          <w:spacing w:val="-9"/>
        </w:rPr>
        <w:t> </w:t>
      </w:r>
      <w:r>
        <w:rPr/>
        <w:t>soil</w:t>
      </w:r>
      <w:r>
        <w:rPr>
          <w:spacing w:val="-9"/>
        </w:rPr>
        <w:t> </w:t>
      </w:r>
      <w:r>
        <w:rPr/>
        <w:t>water</w:t>
      </w:r>
      <w:r>
        <w:rPr>
          <w:spacing w:val="-9"/>
        </w:rPr>
        <w:t> </w:t>
      </w:r>
      <w:r>
        <w:rPr/>
        <w:t>condition</w:t>
      </w:r>
      <w:r>
        <w:rPr>
          <w:spacing w:val="-9"/>
        </w:rPr>
        <w:t> </w:t>
      </w:r>
      <w:r>
        <w:rPr/>
        <w:t>with</w:t>
      </w:r>
      <w:r>
        <w:rPr>
          <w:spacing w:val="-9"/>
        </w:rPr>
        <w:t> </w:t>
      </w:r>
      <w:r>
        <w:rPr/>
        <w:t>a</w:t>
      </w:r>
      <w:r>
        <w:rPr>
          <w:spacing w:val="-9"/>
        </w:rPr>
        <w:t> </w:t>
      </w:r>
      <w:r>
        <w:rPr/>
        <w:t>previous-year</w:t>
      </w:r>
      <w:r>
        <w:rPr>
          <w:spacing w:val="-9"/>
        </w:rPr>
        <w:t> </w:t>
      </w:r>
      <w:r>
        <w:rPr/>
        <w:t>post-harvest</w:t>
      </w:r>
      <w:r>
        <w:rPr>
          <w:spacing w:val="-9"/>
        </w:rPr>
        <w:t> </w:t>
      </w:r>
      <w:r>
        <w:rPr/>
        <w:t>dryness</w:t>
      </w:r>
      <w:r>
        <w:rPr>
          <w:spacing w:val="-9"/>
        </w:rPr>
        <w:t> </w:t>
      </w:r>
      <w:r>
        <w:rPr/>
        <w:t>condition, demonstrating that the multi-year mechanism is detectable at the distributional level.</w:t>
      </w:r>
    </w:p>
    <w:p>
      <w:pPr>
        <w:pStyle w:val="BodyText"/>
        <w:spacing w:before="226"/>
      </w:pPr>
    </w:p>
    <w:p>
      <w:pPr>
        <w:pStyle w:val="Heading2"/>
        <w:numPr>
          <w:ilvl w:val="1"/>
          <w:numId w:val="16"/>
        </w:numPr>
        <w:tabs>
          <w:tab w:pos="1354" w:val="left" w:leader="none"/>
        </w:tabs>
        <w:spacing w:line="240" w:lineRule="auto" w:before="0" w:after="0"/>
        <w:ind w:left="1354" w:right="0" w:hanging="645"/>
        <w:jc w:val="left"/>
      </w:pPr>
      <w:bookmarkStart w:name="2.3 Meteorological Drivers of Wine Produ" w:id="27"/>
      <w:bookmarkEnd w:id="27"/>
      <w:r>
        <w:rPr>
          <w:b w:val="0"/>
        </w:rPr>
      </w:r>
      <w:bookmarkStart w:name="_bookmark11" w:id="28"/>
      <w:bookmarkEnd w:id="28"/>
      <w:r>
        <w:rPr>
          <w:b w:val="0"/>
        </w:rPr>
      </w:r>
      <w:r>
        <w:rPr/>
        <w:t>Meteorological</w:t>
      </w:r>
      <w:r>
        <w:rPr>
          <w:spacing w:val="15"/>
        </w:rPr>
        <w:t> </w:t>
      </w:r>
      <w:r>
        <w:rPr/>
        <w:t>Drivers</w:t>
      </w:r>
      <w:r>
        <w:rPr>
          <w:spacing w:val="16"/>
        </w:rPr>
        <w:t> </w:t>
      </w:r>
      <w:r>
        <w:rPr/>
        <w:t>of</w:t>
      </w:r>
      <w:r>
        <w:rPr>
          <w:spacing w:val="16"/>
        </w:rPr>
        <w:t> </w:t>
      </w:r>
      <w:r>
        <w:rPr/>
        <w:t>Wine</w:t>
      </w:r>
      <w:r>
        <w:rPr>
          <w:spacing w:val="16"/>
        </w:rPr>
        <w:t> </w:t>
      </w:r>
      <w:r>
        <w:rPr/>
        <w:t>Production</w:t>
      </w:r>
      <w:r>
        <w:rPr>
          <w:spacing w:val="15"/>
        </w:rPr>
        <w:t> </w:t>
      </w:r>
      <w:r>
        <w:rPr>
          <w:spacing w:val="-2"/>
        </w:rPr>
        <w:t>Variability</w:t>
      </w:r>
    </w:p>
    <w:p>
      <w:pPr>
        <w:pStyle w:val="BodyText"/>
        <w:spacing w:line="328" w:lineRule="exact" w:before="260"/>
        <w:ind w:left="709" w:right="982"/>
        <w:jc w:val="both"/>
      </w:pPr>
      <w:r>
        <w:rPr/>
        <w:t>For</w:t>
      </w:r>
      <w:r>
        <w:rPr>
          <w:spacing w:val="-3"/>
        </w:rPr>
        <w:t> </w:t>
      </w:r>
      <w:r>
        <w:rPr/>
        <w:t>the</w:t>
      </w:r>
      <w:r>
        <w:rPr>
          <w:spacing w:val="-3"/>
        </w:rPr>
        <w:t> </w:t>
      </w:r>
      <w:r>
        <w:rPr/>
        <w:t>Douro,</w:t>
      </w:r>
      <w:r>
        <w:rPr>
          <w:spacing w:val="-3"/>
        </w:rPr>
        <w:t> </w:t>
      </w:r>
      <w:hyperlink w:history="true" w:anchor="_bookmark217">
        <w:r>
          <w:rPr>
            <w:color w:val="8B2C18"/>
          </w:rPr>
          <w:t>Cunha</w:t>
        </w:r>
        <w:r>
          <w:rPr>
            <w:color w:val="8B2C18"/>
            <w:spacing w:val="-3"/>
          </w:rPr>
          <w:t> </w:t>
        </w:r>
        <w:r>
          <w:rPr>
            <w:color w:val="8B2C18"/>
          </w:rPr>
          <w:t>et</w:t>
        </w:r>
        <w:r>
          <w:rPr>
            <w:color w:val="8B2C18"/>
            <w:spacing w:val="-3"/>
          </w:rPr>
          <w:t> </w:t>
        </w:r>
        <w:r>
          <w:rPr>
            <w:color w:val="8B2C18"/>
          </w:rPr>
          <w:t>al.</w:t>
        </w:r>
      </w:hyperlink>
      <w:r>
        <w:rPr>
          <w:color w:val="8B2C18"/>
          <w:spacing w:val="-3"/>
        </w:rPr>
        <w:t> </w:t>
      </w:r>
      <w:r>
        <w:rPr/>
        <w:t>(</w:t>
      </w:r>
      <w:hyperlink w:history="true" w:anchor="_bookmark217">
        <w:r>
          <w:rPr>
            <w:color w:val="8B2C18"/>
          </w:rPr>
          <w:t>2016</w:t>
        </w:r>
      </w:hyperlink>
      <w:r>
        <w:rPr/>
        <w:t>)</w:t>
      </w:r>
      <w:r>
        <w:rPr>
          <w:spacing w:val="-3"/>
        </w:rPr>
        <w:t> </w:t>
      </w:r>
      <w:r>
        <w:rPr/>
        <w:t>demonstrated</w:t>
      </w:r>
      <w:r>
        <w:rPr>
          <w:spacing w:val="-3"/>
        </w:rPr>
        <w:t> </w:t>
      </w:r>
      <w:r>
        <w:rPr/>
        <w:t>that</w:t>
      </w:r>
      <w:r>
        <w:rPr>
          <w:spacing w:val="-3"/>
        </w:rPr>
        <w:t> </w:t>
      </w:r>
      <w:r>
        <w:rPr/>
        <w:t>spring</w:t>
      </w:r>
      <w:r>
        <w:rPr>
          <w:spacing w:val="-3"/>
        </w:rPr>
        <w:t> </w:t>
      </w:r>
      <w:r>
        <w:rPr/>
        <w:t>temperature</w:t>
      </w:r>
      <w:r>
        <w:rPr>
          <w:spacing w:val="-3"/>
        </w:rPr>
        <w:t> </w:t>
      </w:r>
      <w:r>
        <w:rPr/>
        <w:t>explains</w:t>
      </w:r>
      <w:r>
        <w:rPr>
          <w:spacing w:val="-3"/>
        </w:rPr>
        <w:t> </w:t>
      </w:r>
      <w:r>
        <w:rPr/>
        <w:t>approximately 60–65% of the long-term and short-term behaviour of production, with soil water as the second principal driver.</w:t>
      </w:r>
      <w:r>
        <w:rPr>
          <w:spacing w:val="40"/>
        </w:rPr>
        <w:t> </w:t>
      </w:r>
      <w:r>
        <w:rPr/>
        <w:t>Both current-year and lagged soil water values (up to three years prior) show significant</w:t>
      </w:r>
      <w:r>
        <w:rPr>
          <w:spacing w:val="-11"/>
        </w:rPr>
        <w:t> </w:t>
      </w:r>
      <w:r>
        <w:rPr/>
        <w:t>positive</w:t>
      </w:r>
      <w:r>
        <w:rPr>
          <w:spacing w:val="-11"/>
        </w:rPr>
        <w:t> </w:t>
      </w:r>
      <w:r>
        <w:rPr/>
        <w:t>correlations</w:t>
      </w:r>
      <w:r>
        <w:rPr>
          <w:spacing w:val="-11"/>
        </w:rPr>
        <w:t> </w:t>
      </w:r>
      <w:r>
        <w:rPr/>
        <w:t>with</w:t>
      </w:r>
      <w:r>
        <w:rPr>
          <w:spacing w:val="-11"/>
        </w:rPr>
        <w:t> </w:t>
      </w:r>
      <w:r>
        <w:rPr/>
        <w:t>production. </w:t>
      </w:r>
      <w:hyperlink w:history="true" w:anchor="_bookmark218">
        <w:r>
          <w:rPr>
            <w:color w:val="8B2C18"/>
          </w:rPr>
          <w:t>Cunha</w:t>
        </w:r>
        <w:r>
          <w:rPr>
            <w:color w:val="8B2C18"/>
            <w:spacing w:val="-11"/>
          </w:rPr>
          <w:t> </w:t>
        </w:r>
        <w:r>
          <w:rPr>
            <w:color w:val="8B2C18"/>
          </w:rPr>
          <w:t>et</w:t>
        </w:r>
        <w:r>
          <w:rPr>
            <w:color w:val="8B2C18"/>
            <w:spacing w:val="-11"/>
          </w:rPr>
          <w:t> </w:t>
        </w:r>
        <w:r>
          <w:rPr>
            <w:color w:val="8B2C18"/>
          </w:rPr>
          <w:t>al.</w:t>
        </w:r>
      </w:hyperlink>
      <w:r>
        <w:rPr>
          <w:color w:val="8B2C18"/>
          <w:spacing w:val="-11"/>
        </w:rPr>
        <w:t> </w:t>
      </w:r>
      <w:r>
        <w:rPr/>
        <w:t>(</w:t>
      </w:r>
      <w:hyperlink w:history="true" w:anchor="_bookmark218">
        <w:r>
          <w:rPr>
            <w:color w:val="8B2C18"/>
          </w:rPr>
          <w:t>2020</w:t>
        </w:r>
      </w:hyperlink>
      <w:r>
        <w:rPr/>
        <w:t>)</w:t>
      </w:r>
      <w:r>
        <w:rPr>
          <w:spacing w:val="-11"/>
        </w:rPr>
        <w:t> </w:t>
      </w:r>
      <w:r>
        <w:rPr/>
        <w:t>further</w:t>
      </w:r>
      <w:r>
        <w:rPr>
          <w:spacing w:val="-11"/>
        </w:rPr>
        <w:t> </w:t>
      </w:r>
      <w:r>
        <w:rPr/>
        <w:t>decomposed</w:t>
      </w:r>
      <w:r>
        <w:rPr>
          <w:spacing w:val="-11"/>
        </w:rPr>
        <w:t> </w:t>
      </w:r>
      <w:r>
        <w:rPr/>
        <w:t>cyclical production</w:t>
      </w:r>
      <w:r>
        <w:rPr>
          <w:spacing w:val="-14"/>
        </w:rPr>
        <w:t> </w:t>
      </w:r>
      <w:r>
        <w:rPr/>
        <w:t>properties</w:t>
      </w:r>
      <w:r>
        <w:rPr>
          <w:spacing w:val="-14"/>
        </w:rPr>
        <w:t> </w:t>
      </w:r>
      <w:r>
        <w:rPr/>
        <w:t>using</w:t>
      </w:r>
      <w:r>
        <w:rPr>
          <w:spacing w:val="-14"/>
        </w:rPr>
        <w:t> </w:t>
      </w:r>
      <w:r>
        <w:rPr/>
        <w:t>a</w:t>
      </w:r>
      <w:r>
        <w:rPr>
          <w:spacing w:val="-13"/>
        </w:rPr>
        <w:t> </w:t>
      </w:r>
      <w:r>
        <w:rPr/>
        <w:t>time-frequency</w:t>
      </w:r>
      <w:r>
        <w:rPr>
          <w:spacing w:val="-14"/>
        </w:rPr>
        <w:t> </w:t>
      </w:r>
      <w:r>
        <w:rPr/>
        <w:t>approach,</w:t>
      </w:r>
      <w:r>
        <w:rPr>
          <w:spacing w:val="-14"/>
        </w:rPr>
        <w:t> </w:t>
      </w:r>
      <w:r>
        <w:rPr/>
        <w:t>identifying</w:t>
      </w:r>
      <w:r>
        <w:rPr>
          <w:spacing w:val="-14"/>
        </w:rPr>
        <w:t> </w:t>
      </w:r>
      <w:r>
        <w:rPr/>
        <w:t>dominant</w:t>
      </w:r>
      <w:r>
        <w:rPr>
          <w:spacing w:val="-13"/>
        </w:rPr>
        <w:t> </w:t>
      </w:r>
      <w:r>
        <w:rPr/>
        <w:t>production</w:t>
      </w:r>
      <w:r>
        <w:rPr>
          <w:spacing w:val="-14"/>
        </w:rPr>
        <w:t> </w:t>
      </w:r>
      <w:r>
        <w:rPr/>
        <w:t>cycles</w:t>
      </w:r>
      <w:r>
        <w:rPr>
          <w:spacing w:val="-14"/>
        </w:rPr>
        <w:t> </w:t>
      </w:r>
      <w:r>
        <w:rPr/>
        <w:t>of approximately</w:t>
      </w:r>
      <w:r>
        <w:rPr>
          <w:spacing w:val="-4"/>
        </w:rPr>
        <w:t> </w:t>
      </w:r>
      <w:r>
        <w:rPr/>
        <w:t>5.7</w:t>
      </w:r>
      <w:r>
        <w:rPr>
          <w:spacing w:val="-4"/>
        </w:rPr>
        <w:t> </w:t>
      </w:r>
      <w:r>
        <w:rPr/>
        <w:t>and</w:t>
      </w:r>
      <w:r>
        <w:rPr>
          <w:spacing w:val="-4"/>
        </w:rPr>
        <w:t> </w:t>
      </w:r>
      <w:r>
        <w:rPr/>
        <w:t>2.5</w:t>
      </w:r>
      <w:r>
        <w:rPr>
          <w:spacing w:val="-4"/>
        </w:rPr>
        <w:t> </w:t>
      </w:r>
      <w:r>
        <w:rPr/>
        <w:t>years</w:t>
      </w:r>
      <w:r>
        <w:rPr>
          <w:spacing w:val="-4"/>
        </w:rPr>
        <w:t> </w:t>
      </w:r>
      <w:r>
        <w:rPr/>
        <w:t>linked</w:t>
      </w:r>
      <w:r>
        <w:rPr>
          <w:spacing w:val="-4"/>
        </w:rPr>
        <w:t> </w:t>
      </w:r>
      <w:r>
        <w:rPr/>
        <w:t>to</w:t>
      </w:r>
      <w:r>
        <w:rPr>
          <w:spacing w:val="-4"/>
        </w:rPr>
        <w:t> </w:t>
      </w:r>
      <w:r>
        <w:rPr/>
        <w:t>spring</w:t>
      </w:r>
      <w:r>
        <w:rPr>
          <w:spacing w:val="-4"/>
        </w:rPr>
        <w:t> </w:t>
      </w:r>
      <w:r>
        <w:rPr/>
        <w:t>temperature</w:t>
      </w:r>
      <w:r>
        <w:rPr>
          <w:spacing w:val="-4"/>
        </w:rPr>
        <w:t> </w:t>
      </w:r>
      <w:r>
        <w:rPr/>
        <w:t>and</w:t>
      </w:r>
      <w:r>
        <w:rPr>
          <w:spacing w:val="-4"/>
        </w:rPr>
        <w:t> </w:t>
      </w:r>
      <w:r>
        <w:rPr/>
        <w:t>soil</w:t>
      </w:r>
      <w:r>
        <w:rPr>
          <w:spacing w:val="-4"/>
        </w:rPr>
        <w:t> </w:t>
      </w:r>
      <w:r>
        <w:rPr/>
        <w:t>water</w:t>
      </w:r>
      <w:r>
        <w:rPr>
          <w:spacing w:val="-4"/>
        </w:rPr>
        <w:t> </w:t>
      </w:r>
      <w:r>
        <w:rPr/>
        <w:t>oscillations. Climate change projections are of particular concern:</w:t>
      </w:r>
      <w:r>
        <w:rPr>
          <w:spacing w:val="40"/>
        </w:rPr>
        <w:t> </w:t>
      </w:r>
      <w:r>
        <w:rPr/>
        <w:t>Portugal is expected to experience the greatest </w:t>
      </w:r>
      <w:r>
        <w:rPr>
          <w:spacing w:val="-2"/>
        </w:rPr>
        <w:t>growing-season</w:t>
      </w:r>
      <w:r>
        <w:rPr>
          <w:spacing w:val="-9"/>
        </w:rPr>
        <w:t> </w:t>
      </w:r>
      <w:r>
        <w:rPr>
          <w:spacing w:val="-2"/>
        </w:rPr>
        <w:t>temperature</w:t>
      </w:r>
      <w:r>
        <w:rPr>
          <w:spacing w:val="-9"/>
        </w:rPr>
        <w:t> </w:t>
      </w:r>
      <w:r>
        <w:rPr>
          <w:spacing w:val="-2"/>
        </w:rPr>
        <w:t>increase</w:t>
      </w:r>
      <w:r>
        <w:rPr>
          <w:spacing w:val="-9"/>
        </w:rPr>
        <w:t> </w:t>
      </w:r>
      <w:r>
        <w:rPr>
          <w:spacing w:val="-2"/>
        </w:rPr>
        <w:t>among</w:t>
      </w:r>
      <w:r>
        <w:rPr>
          <w:spacing w:val="-9"/>
        </w:rPr>
        <w:t> </w:t>
      </w:r>
      <w:r>
        <w:rPr>
          <w:spacing w:val="-2"/>
        </w:rPr>
        <w:t>major</w:t>
      </w:r>
      <w:r>
        <w:rPr>
          <w:spacing w:val="-9"/>
        </w:rPr>
        <w:t> </w:t>
      </w:r>
      <w:r>
        <w:rPr>
          <w:spacing w:val="-2"/>
        </w:rPr>
        <w:t>European</w:t>
      </w:r>
      <w:r>
        <w:rPr>
          <w:spacing w:val="-9"/>
        </w:rPr>
        <w:t> </w:t>
      </w:r>
      <w:r>
        <w:rPr>
          <w:spacing w:val="-2"/>
        </w:rPr>
        <w:t>wine</w:t>
      </w:r>
      <w:r>
        <w:rPr>
          <w:spacing w:val="-9"/>
        </w:rPr>
        <w:t> </w:t>
      </w:r>
      <w:r>
        <w:rPr>
          <w:spacing w:val="-2"/>
        </w:rPr>
        <w:t>regions</w:t>
      </w:r>
      <w:r>
        <w:rPr>
          <w:spacing w:val="-9"/>
        </w:rPr>
        <w:t> </w:t>
      </w:r>
      <w:r>
        <w:rPr>
          <w:spacing w:val="-2"/>
        </w:rPr>
        <w:t>(+1.3</w:t>
      </w:r>
      <w:r>
        <w:rPr>
          <w:rFonts w:ascii="Meiryo UI" w:hAnsi="Meiryo UI"/>
          <w:i/>
          <w:spacing w:val="-2"/>
          <w:vertAlign w:val="superscript"/>
        </w:rPr>
        <w:t>◦</w:t>
      </w:r>
      <w:r>
        <w:rPr>
          <w:spacing w:val="-2"/>
          <w:vertAlign w:val="baseline"/>
        </w:rPr>
        <w:t>C</w:t>
      </w:r>
      <w:r>
        <w:rPr>
          <w:spacing w:val="-9"/>
          <w:vertAlign w:val="baseline"/>
        </w:rPr>
        <w:t> </w:t>
      </w:r>
      <w:r>
        <w:rPr>
          <w:spacing w:val="-2"/>
          <w:vertAlign w:val="baseline"/>
        </w:rPr>
        <w:t>by</w:t>
      </w:r>
      <w:r>
        <w:rPr>
          <w:spacing w:val="-9"/>
          <w:vertAlign w:val="baseline"/>
        </w:rPr>
        <w:t> </w:t>
      </w:r>
      <w:r>
        <w:rPr>
          <w:spacing w:val="-2"/>
          <w:vertAlign w:val="baseline"/>
        </w:rPr>
        <w:t>2049),</w:t>
      </w:r>
      <w:r>
        <w:rPr>
          <w:spacing w:val="-9"/>
          <w:vertAlign w:val="baseline"/>
        </w:rPr>
        <w:t> </w:t>
      </w:r>
      <w:r>
        <w:rPr>
          <w:spacing w:val="-2"/>
          <w:vertAlign w:val="baseline"/>
        </w:rPr>
        <w:t>with </w:t>
      </w:r>
      <w:r>
        <w:rPr>
          <w:vertAlign w:val="baseline"/>
        </w:rPr>
        <w:t>soil water becoming the primary limiting resource in the Douro.</w:t>
      </w:r>
      <w:r>
        <w:rPr>
          <w:spacing w:val="37"/>
          <w:vertAlign w:val="baseline"/>
        </w:rPr>
        <w:t> </w:t>
      </w:r>
      <w:r>
        <w:rPr>
          <w:vertAlign w:val="baseline"/>
        </w:rPr>
        <w:t>For Vinho Verde, the Atlantic </w:t>
      </w:r>
      <w:r>
        <w:rPr>
          <w:spacing w:val="-2"/>
          <w:vertAlign w:val="baseline"/>
        </w:rPr>
        <w:t>climate</w:t>
      </w:r>
      <w:r>
        <w:rPr>
          <w:spacing w:val="-4"/>
          <w:vertAlign w:val="baseline"/>
        </w:rPr>
        <w:t> </w:t>
      </w:r>
      <w:r>
        <w:rPr>
          <w:spacing w:val="-2"/>
          <w:vertAlign w:val="baseline"/>
        </w:rPr>
        <w:t>provides</w:t>
      </w:r>
      <w:r>
        <w:rPr>
          <w:spacing w:val="-4"/>
          <w:vertAlign w:val="baseline"/>
        </w:rPr>
        <w:t> </w:t>
      </w:r>
      <w:r>
        <w:rPr>
          <w:spacing w:val="-2"/>
          <w:vertAlign w:val="baseline"/>
        </w:rPr>
        <w:t>more</w:t>
      </w:r>
      <w:r>
        <w:rPr>
          <w:spacing w:val="-4"/>
          <w:vertAlign w:val="baseline"/>
        </w:rPr>
        <w:t> </w:t>
      </w:r>
      <w:r>
        <w:rPr>
          <w:spacing w:val="-2"/>
          <w:vertAlign w:val="baseline"/>
        </w:rPr>
        <w:t>consistent</w:t>
      </w:r>
      <w:r>
        <w:rPr>
          <w:spacing w:val="-4"/>
          <w:vertAlign w:val="baseline"/>
        </w:rPr>
        <w:t> </w:t>
      </w:r>
      <w:r>
        <w:rPr>
          <w:spacing w:val="-2"/>
          <w:vertAlign w:val="baseline"/>
        </w:rPr>
        <w:t>growing-season</w:t>
      </w:r>
      <w:r>
        <w:rPr>
          <w:spacing w:val="-4"/>
          <w:vertAlign w:val="baseline"/>
        </w:rPr>
        <w:t> </w:t>
      </w:r>
      <w:r>
        <w:rPr>
          <w:spacing w:val="-2"/>
          <w:vertAlign w:val="baseline"/>
        </w:rPr>
        <w:t>moisture;</w:t>
      </w:r>
      <w:r>
        <w:rPr>
          <w:spacing w:val="-4"/>
          <w:vertAlign w:val="baseline"/>
        </w:rPr>
        <w:t> </w:t>
      </w:r>
      <w:r>
        <w:rPr>
          <w:spacing w:val="-2"/>
          <w:vertAlign w:val="baseline"/>
        </w:rPr>
        <w:t>the</w:t>
      </w:r>
      <w:r>
        <w:rPr>
          <w:spacing w:val="-4"/>
          <w:vertAlign w:val="baseline"/>
        </w:rPr>
        <w:t> </w:t>
      </w:r>
      <w:r>
        <w:rPr>
          <w:spacing w:val="-2"/>
          <w:vertAlign w:val="baseline"/>
        </w:rPr>
        <w:t>dominant</w:t>
      </w:r>
      <w:r>
        <w:rPr>
          <w:spacing w:val="-4"/>
          <w:vertAlign w:val="baseline"/>
        </w:rPr>
        <w:t> </w:t>
      </w:r>
      <w:r>
        <w:rPr>
          <w:spacing w:val="-2"/>
          <w:vertAlign w:val="baseline"/>
        </w:rPr>
        <w:t>vulnerability</w:t>
      </w:r>
      <w:r>
        <w:rPr>
          <w:spacing w:val="-4"/>
          <w:vertAlign w:val="baseline"/>
        </w:rPr>
        <w:t> </w:t>
      </w:r>
      <w:r>
        <w:rPr>
          <w:spacing w:val="-2"/>
          <w:vertAlign w:val="baseline"/>
        </w:rPr>
        <w:t>is</w:t>
      </w:r>
      <w:r>
        <w:rPr>
          <w:spacing w:val="-4"/>
          <w:vertAlign w:val="baseline"/>
        </w:rPr>
        <w:t> </w:t>
      </w:r>
      <w:r>
        <w:rPr>
          <w:spacing w:val="-2"/>
          <w:vertAlign w:val="baseline"/>
        </w:rPr>
        <w:t>cool,</w:t>
      </w:r>
      <w:r>
        <w:rPr>
          <w:spacing w:val="-4"/>
          <w:vertAlign w:val="baseline"/>
        </w:rPr>
        <w:t> </w:t>
      </w:r>
      <w:r>
        <w:rPr>
          <w:spacing w:val="-2"/>
          <w:vertAlign w:val="baseline"/>
        </w:rPr>
        <w:t>wet </w:t>
      </w:r>
      <w:r>
        <w:rPr>
          <w:vertAlign w:val="baseline"/>
        </w:rPr>
        <w:t>flowering</w:t>
      </w:r>
      <w:r>
        <w:rPr>
          <w:spacing w:val="-11"/>
          <w:vertAlign w:val="baseline"/>
        </w:rPr>
        <w:t> </w:t>
      </w:r>
      <w:r>
        <w:rPr>
          <w:vertAlign w:val="baseline"/>
        </w:rPr>
        <w:t>conditions</w:t>
      </w:r>
      <w:r>
        <w:rPr>
          <w:spacing w:val="-11"/>
          <w:vertAlign w:val="baseline"/>
        </w:rPr>
        <w:t> </w:t>
      </w:r>
      <w:r>
        <w:rPr>
          <w:vertAlign w:val="baseline"/>
        </w:rPr>
        <w:t>that</w:t>
      </w:r>
      <w:r>
        <w:rPr>
          <w:spacing w:val="-11"/>
          <w:vertAlign w:val="baseline"/>
        </w:rPr>
        <w:t> </w:t>
      </w:r>
      <w:r>
        <w:rPr>
          <w:vertAlign w:val="baseline"/>
        </w:rPr>
        <w:t>promote</w:t>
      </w:r>
      <w:r>
        <w:rPr>
          <w:spacing w:val="-11"/>
          <w:vertAlign w:val="baseline"/>
        </w:rPr>
        <w:t> </w:t>
      </w:r>
      <w:r>
        <w:rPr>
          <w:vertAlign w:val="baseline"/>
        </w:rPr>
        <w:t>disease</w:t>
      </w:r>
      <w:r>
        <w:rPr>
          <w:spacing w:val="-11"/>
          <w:vertAlign w:val="baseline"/>
        </w:rPr>
        <w:t> </w:t>
      </w:r>
      <w:r>
        <w:rPr>
          <w:vertAlign w:val="baseline"/>
        </w:rPr>
        <w:t>and</w:t>
      </w:r>
      <w:r>
        <w:rPr>
          <w:spacing w:val="-11"/>
          <w:vertAlign w:val="baseline"/>
        </w:rPr>
        <w:t> </w:t>
      </w:r>
      <w:r>
        <w:rPr>
          <w:vertAlign w:val="baseline"/>
        </w:rPr>
        <w:t>reduce</w:t>
      </w:r>
      <w:r>
        <w:rPr>
          <w:spacing w:val="-11"/>
          <w:vertAlign w:val="baseline"/>
        </w:rPr>
        <w:t> </w:t>
      </w:r>
      <w:r>
        <w:rPr>
          <w:vertAlign w:val="baseline"/>
        </w:rPr>
        <w:t>fruit</w:t>
      </w:r>
      <w:r>
        <w:rPr>
          <w:spacing w:val="-11"/>
          <w:vertAlign w:val="baseline"/>
        </w:rPr>
        <w:t> </w:t>
      </w:r>
      <w:r>
        <w:rPr>
          <w:vertAlign w:val="baseline"/>
        </w:rPr>
        <w:t>set.</w:t>
      </w:r>
      <w:r>
        <w:rPr>
          <w:spacing w:val="-1"/>
          <w:vertAlign w:val="baseline"/>
        </w:rPr>
        <w:t> </w:t>
      </w:r>
      <w:hyperlink w:history="true" w:anchor="_bookmark233">
        <w:r>
          <w:rPr>
            <w:color w:val="8B2C18"/>
            <w:vertAlign w:val="baseline"/>
          </w:rPr>
          <w:t>Zhu</w:t>
        </w:r>
        <w:r>
          <w:rPr>
            <w:color w:val="8B2C18"/>
            <w:spacing w:val="-11"/>
            <w:vertAlign w:val="baseline"/>
          </w:rPr>
          <w:t> </w:t>
        </w:r>
        <w:r>
          <w:rPr>
            <w:color w:val="8B2C18"/>
            <w:vertAlign w:val="baseline"/>
          </w:rPr>
          <w:t>et</w:t>
        </w:r>
        <w:r>
          <w:rPr>
            <w:color w:val="8B2C18"/>
            <w:spacing w:val="-11"/>
            <w:vertAlign w:val="baseline"/>
          </w:rPr>
          <w:t> </w:t>
        </w:r>
        <w:r>
          <w:rPr>
            <w:color w:val="8B2C18"/>
            <w:vertAlign w:val="baseline"/>
          </w:rPr>
          <w:t>al.</w:t>
        </w:r>
      </w:hyperlink>
      <w:r>
        <w:rPr>
          <w:color w:val="8B2C18"/>
          <w:spacing w:val="-11"/>
          <w:vertAlign w:val="baseline"/>
        </w:rPr>
        <w:t> </w:t>
      </w:r>
      <w:r>
        <w:rPr>
          <w:vertAlign w:val="baseline"/>
        </w:rPr>
        <w:t>(</w:t>
      </w:r>
      <w:hyperlink w:history="true" w:anchor="_bookmark233">
        <w:r>
          <w:rPr>
            <w:color w:val="8B2C18"/>
            <w:vertAlign w:val="baseline"/>
          </w:rPr>
          <w:t>2020</w:t>
        </w:r>
      </w:hyperlink>
      <w:r>
        <w:rPr>
          <w:vertAlign w:val="baseline"/>
        </w:rPr>
        <w:t>)</w:t>
      </w:r>
      <w:r>
        <w:rPr>
          <w:spacing w:val="-11"/>
          <w:vertAlign w:val="baseline"/>
        </w:rPr>
        <w:t> </w:t>
      </w:r>
      <w:r>
        <w:rPr>
          <w:vertAlign w:val="baseline"/>
        </w:rPr>
        <w:t>showed</w:t>
      </w:r>
      <w:r>
        <w:rPr>
          <w:spacing w:val="-11"/>
          <w:vertAlign w:val="baseline"/>
        </w:rPr>
        <w:t> </w:t>
      </w:r>
      <w:r>
        <w:rPr>
          <w:vertAlign w:val="baseline"/>
        </w:rPr>
        <w:t>that</w:t>
      </w:r>
      <w:r>
        <w:rPr>
          <w:spacing w:val="-11"/>
          <w:vertAlign w:val="baseline"/>
        </w:rPr>
        <w:t> </w:t>
      </w:r>
      <w:r>
        <w:rPr>
          <w:vertAlign w:val="baseline"/>
        </w:rPr>
        <w:t>daily maximum temperature plays a critical role in inflorescence initiation, while both maximum and minimum temperature influence berry number and mass.</w:t>
      </w:r>
    </w:p>
    <w:p>
      <w:pPr>
        <w:pStyle w:val="BodyText"/>
      </w:pPr>
    </w:p>
    <w:p>
      <w:pPr>
        <w:pStyle w:val="BodyText"/>
        <w:spacing w:before="40"/>
      </w:pPr>
    </w:p>
    <w:p>
      <w:pPr>
        <w:pStyle w:val="Heading2"/>
        <w:numPr>
          <w:ilvl w:val="1"/>
          <w:numId w:val="16"/>
        </w:numPr>
        <w:tabs>
          <w:tab w:pos="1354" w:val="left" w:leader="none"/>
        </w:tabs>
        <w:spacing w:line="240" w:lineRule="auto" w:before="0" w:after="0"/>
        <w:ind w:left="1354" w:right="0" w:hanging="645"/>
        <w:jc w:val="left"/>
      </w:pPr>
      <w:bookmarkStart w:name="2.4 Quantitative Approaches to Wine Yiel" w:id="29"/>
      <w:bookmarkEnd w:id="29"/>
      <w:r>
        <w:rPr>
          <w:b w:val="0"/>
        </w:rPr>
      </w:r>
      <w:bookmarkStart w:name="_bookmark12" w:id="30"/>
      <w:bookmarkEnd w:id="30"/>
      <w:r>
        <w:rPr>
          <w:b w:val="0"/>
        </w:rPr>
      </w:r>
      <w:r>
        <w:rPr/>
        <w:t>Quantitative</w:t>
      </w:r>
      <w:r>
        <w:rPr>
          <w:spacing w:val="11"/>
        </w:rPr>
        <w:t> </w:t>
      </w:r>
      <w:r>
        <w:rPr/>
        <w:t>Approaches</w:t>
      </w:r>
      <w:r>
        <w:rPr>
          <w:spacing w:val="11"/>
        </w:rPr>
        <w:t> </w:t>
      </w:r>
      <w:r>
        <w:rPr/>
        <w:t>to</w:t>
      </w:r>
      <w:r>
        <w:rPr>
          <w:spacing w:val="12"/>
        </w:rPr>
        <w:t> </w:t>
      </w:r>
      <w:r>
        <w:rPr/>
        <w:t>Wine</w:t>
      </w:r>
      <w:r>
        <w:rPr>
          <w:spacing w:val="11"/>
        </w:rPr>
        <w:t> </w:t>
      </w:r>
      <w:r>
        <w:rPr/>
        <w:t>Yield</w:t>
      </w:r>
      <w:r>
        <w:rPr>
          <w:spacing w:val="11"/>
        </w:rPr>
        <w:t> </w:t>
      </w:r>
      <w:r>
        <w:rPr>
          <w:spacing w:val="-2"/>
        </w:rPr>
        <w:t>Prediction</w:t>
      </w:r>
    </w:p>
    <w:p>
      <w:pPr>
        <w:pStyle w:val="Heading3"/>
        <w:numPr>
          <w:ilvl w:val="2"/>
          <w:numId w:val="16"/>
        </w:numPr>
        <w:tabs>
          <w:tab w:pos="1426" w:val="left" w:leader="none"/>
        </w:tabs>
        <w:spacing w:line="240" w:lineRule="auto" w:before="308" w:after="0"/>
        <w:ind w:left="1426" w:right="0" w:hanging="717"/>
        <w:jc w:val="left"/>
      </w:pPr>
      <w:bookmarkStart w:name="2.4.1 Statistical and Regression Models" w:id="31"/>
      <w:bookmarkEnd w:id="31"/>
      <w:r>
        <w:rPr>
          <w:b w:val="0"/>
        </w:rPr>
      </w:r>
      <w:bookmarkStart w:name="_bookmark13" w:id="32"/>
      <w:bookmarkEnd w:id="32"/>
      <w:r>
        <w:rPr>
          <w:b w:val="0"/>
        </w:rPr>
      </w:r>
      <w:r>
        <w:rPr/>
        <w:t>Statistical</w:t>
      </w:r>
      <w:r>
        <w:rPr>
          <w:spacing w:val="-12"/>
        </w:rPr>
        <w:t> </w:t>
      </w:r>
      <w:r>
        <w:rPr/>
        <w:t>and</w:t>
      </w:r>
      <w:r>
        <w:rPr>
          <w:spacing w:val="-11"/>
        </w:rPr>
        <w:t> </w:t>
      </w:r>
      <w:r>
        <w:rPr/>
        <w:t>Regression</w:t>
      </w:r>
      <w:r>
        <w:rPr>
          <w:spacing w:val="-11"/>
        </w:rPr>
        <w:t> </w:t>
      </w:r>
      <w:r>
        <w:rPr>
          <w:spacing w:val="-2"/>
        </w:rPr>
        <w:t>Models</w:t>
      </w:r>
    </w:p>
    <w:p>
      <w:pPr>
        <w:pStyle w:val="BodyText"/>
        <w:spacing w:line="312" w:lineRule="auto" w:before="247"/>
        <w:ind w:left="709" w:right="954" w:hanging="7"/>
        <w:jc w:val="both"/>
      </w:pPr>
      <w:r>
        <w:rPr/>
        <w:t>The</w:t>
      </w:r>
      <w:r>
        <w:rPr>
          <w:spacing w:val="-7"/>
        </w:rPr>
        <w:t> </w:t>
      </w:r>
      <w:r>
        <w:rPr/>
        <w:t>earliest</w:t>
      </w:r>
      <w:r>
        <w:rPr>
          <w:spacing w:val="-7"/>
        </w:rPr>
        <w:t> </w:t>
      </w:r>
      <w:r>
        <w:rPr/>
        <w:t>quantitative</w:t>
      </w:r>
      <w:r>
        <w:rPr>
          <w:spacing w:val="-7"/>
        </w:rPr>
        <w:t> </w:t>
      </w:r>
      <w:r>
        <w:rPr/>
        <w:t>yield</w:t>
      </w:r>
      <w:r>
        <w:rPr>
          <w:spacing w:val="-7"/>
        </w:rPr>
        <w:t> </w:t>
      </w:r>
      <w:r>
        <w:rPr/>
        <w:t>prediction</w:t>
      </w:r>
      <w:r>
        <w:rPr>
          <w:spacing w:val="-7"/>
        </w:rPr>
        <w:t> </w:t>
      </w:r>
      <w:r>
        <w:rPr/>
        <w:t>models</w:t>
      </w:r>
      <w:r>
        <w:rPr>
          <w:spacing w:val="-7"/>
        </w:rPr>
        <w:t> </w:t>
      </w:r>
      <w:r>
        <w:rPr/>
        <w:t>relied</w:t>
      </w:r>
      <w:r>
        <w:rPr>
          <w:spacing w:val="-7"/>
        </w:rPr>
        <w:t> </w:t>
      </w:r>
      <w:r>
        <w:rPr/>
        <w:t>on</w:t>
      </w:r>
      <w:r>
        <w:rPr>
          <w:spacing w:val="-7"/>
        </w:rPr>
        <w:t> </w:t>
      </w:r>
      <w:r>
        <w:rPr/>
        <w:t>linear</w:t>
      </w:r>
      <w:r>
        <w:rPr>
          <w:spacing w:val="-7"/>
        </w:rPr>
        <w:t> </w:t>
      </w:r>
      <w:r>
        <w:rPr/>
        <w:t>and</w:t>
      </w:r>
      <w:r>
        <w:rPr>
          <w:spacing w:val="-7"/>
        </w:rPr>
        <w:t> </w:t>
      </w:r>
      <w:r>
        <w:rPr/>
        <w:t>generalised</w:t>
      </w:r>
      <w:r>
        <w:rPr>
          <w:spacing w:val="-7"/>
        </w:rPr>
        <w:t> </w:t>
      </w:r>
      <w:r>
        <w:rPr/>
        <w:t>linear</w:t>
      </w:r>
      <w:r>
        <w:rPr>
          <w:spacing w:val="-7"/>
        </w:rPr>
        <w:t> </w:t>
      </w:r>
      <w:r>
        <w:rPr/>
        <w:t>regression applied</w:t>
      </w:r>
      <w:r>
        <w:rPr>
          <w:spacing w:val="-12"/>
        </w:rPr>
        <w:t> </w:t>
      </w:r>
      <w:r>
        <w:rPr/>
        <w:t>to</w:t>
      </w:r>
      <w:r>
        <w:rPr>
          <w:spacing w:val="-12"/>
        </w:rPr>
        <w:t> </w:t>
      </w:r>
      <w:r>
        <w:rPr/>
        <w:t>seasonal</w:t>
      </w:r>
      <w:r>
        <w:rPr>
          <w:spacing w:val="-12"/>
        </w:rPr>
        <w:t> </w:t>
      </w:r>
      <w:r>
        <w:rPr/>
        <w:t>climate</w:t>
      </w:r>
      <w:r>
        <w:rPr>
          <w:spacing w:val="-12"/>
        </w:rPr>
        <w:t> </w:t>
      </w:r>
      <w:r>
        <w:rPr/>
        <w:t>aggregates.</w:t>
      </w:r>
      <w:r>
        <w:rPr>
          <w:spacing w:val="-1"/>
        </w:rPr>
        <w:t> </w:t>
      </w:r>
      <w:hyperlink w:history="true" w:anchor="_bookmark229">
        <w:r>
          <w:rPr>
            <w:color w:val="8B2C18"/>
          </w:rPr>
          <w:t>Santos</w:t>
        </w:r>
        <w:r>
          <w:rPr>
            <w:color w:val="8B2C18"/>
            <w:spacing w:val="-12"/>
          </w:rPr>
          <w:t> </w:t>
        </w:r>
        <w:r>
          <w:rPr>
            <w:color w:val="8B2C18"/>
          </w:rPr>
          <w:t>et</w:t>
        </w:r>
        <w:r>
          <w:rPr>
            <w:color w:val="8B2C18"/>
            <w:spacing w:val="-12"/>
          </w:rPr>
          <w:t> </w:t>
        </w:r>
        <w:r>
          <w:rPr>
            <w:color w:val="8B2C18"/>
          </w:rPr>
          <w:t>al.</w:t>
        </w:r>
      </w:hyperlink>
      <w:r>
        <w:rPr>
          <w:color w:val="8B2C18"/>
          <w:spacing w:val="-12"/>
        </w:rPr>
        <w:t> </w:t>
      </w:r>
      <w:r>
        <w:rPr/>
        <w:t>(</w:t>
      </w:r>
      <w:hyperlink w:history="true" w:anchor="_bookmark229">
        <w:r>
          <w:rPr>
            <w:color w:val="8B2C18"/>
          </w:rPr>
          <w:t>2011</w:t>
        </w:r>
      </w:hyperlink>
      <w:r>
        <w:rPr/>
        <w:t>)</w:t>
      </w:r>
      <w:r>
        <w:rPr>
          <w:spacing w:val="-12"/>
        </w:rPr>
        <w:t> </w:t>
      </w:r>
      <w:r>
        <w:rPr/>
        <w:t>developed</w:t>
      </w:r>
      <w:r>
        <w:rPr>
          <w:spacing w:val="-12"/>
        </w:rPr>
        <w:t> </w:t>
      </w:r>
      <w:r>
        <w:rPr/>
        <w:t>a</w:t>
      </w:r>
      <w:r>
        <w:rPr>
          <w:spacing w:val="-12"/>
        </w:rPr>
        <w:t> </w:t>
      </w:r>
      <w:r>
        <w:rPr/>
        <w:t>multivariate</w:t>
      </w:r>
      <w:r>
        <w:rPr>
          <w:spacing w:val="-12"/>
        </w:rPr>
        <w:t> </w:t>
      </w:r>
      <w:r>
        <w:rPr/>
        <w:t>linear</w:t>
      </w:r>
      <w:r>
        <w:rPr>
          <w:spacing w:val="-12"/>
        </w:rPr>
        <w:t> </w:t>
      </w:r>
      <w:r>
        <w:rPr/>
        <w:t>regres-sion</w:t>
      </w:r>
      <w:r>
        <w:rPr>
          <w:spacing w:val="-13"/>
        </w:rPr>
        <w:t> </w:t>
      </w:r>
      <w:r>
        <w:rPr/>
        <w:t>model</w:t>
      </w:r>
      <w:r>
        <w:rPr>
          <w:spacing w:val="-13"/>
        </w:rPr>
        <w:t> </w:t>
      </w:r>
      <w:r>
        <w:rPr/>
        <w:t>for</w:t>
      </w:r>
      <w:r>
        <w:rPr>
          <w:spacing w:val="-13"/>
        </w:rPr>
        <w:t> </w:t>
      </w:r>
      <w:r>
        <w:rPr/>
        <w:t>Douro</w:t>
      </w:r>
      <w:r>
        <w:rPr>
          <w:spacing w:val="-13"/>
        </w:rPr>
        <w:t> </w:t>
      </w:r>
      <w:r>
        <w:rPr/>
        <w:t>yield</w:t>
      </w:r>
      <w:r>
        <w:rPr>
          <w:spacing w:val="-13"/>
        </w:rPr>
        <w:t> </w:t>
      </w:r>
      <w:r>
        <w:rPr/>
        <w:t>(1986–2008)</w:t>
      </w:r>
      <w:r>
        <w:rPr>
          <w:spacing w:val="-13"/>
        </w:rPr>
        <w:t> </w:t>
      </w:r>
      <w:r>
        <w:rPr/>
        <w:t>using</w:t>
      </w:r>
      <w:r>
        <w:rPr>
          <w:spacing w:val="-13"/>
        </w:rPr>
        <w:t> </w:t>
      </w:r>
      <w:r>
        <w:rPr/>
        <w:t>monthly</w:t>
      </w:r>
      <w:r>
        <w:rPr>
          <w:spacing w:val="-13"/>
        </w:rPr>
        <w:t> </w:t>
      </w:r>
      <w:r>
        <w:rPr/>
        <w:t>mean</w:t>
      </w:r>
      <w:r>
        <w:rPr>
          <w:spacing w:val="-13"/>
        </w:rPr>
        <w:t> </w:t>
      </w:r>
      <w:r>
        <w:rPr/>
        <w:t>temperatures</w:t>
      </w:r>
      <w:r>
        <w:rPr>
          <w:spacing w:val="-13"/>
        </w:rPr>
        <w:t> </w:t>
      </w:r>
      <w:r>
        <w:rPr/>
        <w:t>and</w:t>
      </w:r>
      <w:r>
        <w:rPr>
          <w:spacing w:val="-13"/>
        </w:rPr>
        <w:t> </w:t>
      </w:r>
      <w:r>
        <w:rPr/>
        <w:t>precipitation</w:t>
      </w:r>
      <w:r>
        <w:rPr>
          <w:spacing w:val="-13"/>
        </w:rPr>
        <w:t> </w:t>
      </w:r>
      <w:r>
        <w:rPr/>
        <w:t>from</w:t>
      </w:r>
    </w:p>
    <w:p>
      <w:pPr>
        <w:pStyle w:val="BodyText"/>
        <w:spacing w:after="0" w:line="312" w:lineRule="auto"/>
        <w:jc w:val="both"/>
        <w:sectPr>
          <w:headerReference w:type="default" r:id="rId33"/>
          <w:pgSz w:w="11910" w:h="16840"/>
          <w:pgMar w:header="0" w:footer="0" w:top="1060" w:bottom="280" w:left="1275" w:right="425"/>
        </w:sectPr>
      </w:pPr>
    </w:p>
    <w:p>
      <w:pPr>
        <w:pStyle w:val="BodyText"/>
      </w:pPr>
    </w:p>
    <w:p>
      <w:pPr>
        <w:pStyle w:val="BodyText"/>
        <w:spacing w:before="25"/>
      </w:pPr>
    </w:p>
    <w:p>
      <w:pPr>
        <w:pStyle w:val="BodyText"/>
        <w:spacing w:line="312" w:lineRule="auto" w:before="1"/>
        <w:ind w:left="142" w:right="1549"/>
        <w:jc w:val="both"/>
      </w:pPr>
      <w:r>
        <w:rPr/>
        <w:t>March</w:t>
      </w:r>
      <w:r>
        <w:rPr>
          <w:spacing w:val="-13"/>
        </w:rPr>
        <w:t> </w:t>
      </w:r>
      <w:r>
        <w:rPr/>
        <w:t>to</w:t>
      </w:r>
      <w:r>
        <w:rPr>
          <w:spacing w:val="-13"/>
        </w:rPr>
        <w:t> </w:t>
      </w:r>
      <w:r>
        <w:rPr/>
        <w:t>June.</w:t>
      </w:r>
      <w:r>
        <w:rPr>
          <w:spacing w:val="-2"/>
        </w:rPr>
        <w:t> </w:t>
      </w:r>
      <w:hyperlink w:history="true" w:anchor="_bookmark213">
        <w:r>
          <w:rPr>
            <w:color w:val="8B2C18"/>
          </w:rPr>
          <w:t>Bock</w:t>
        </w:r>
        <w:r>
          <w:rPr>
            <w:color w:val="8B2C18"/>
            <w:spacing w:val="-13"/>
          </w:rPr>
          <w:t> </w:t>
        </w:r>
        <w:r>
          <w:rPr>
            <w:color w:val="8B2C18"/>
          </w:rPr>
          <w:t>et</w:t>
        </w:r>
        <w:r>
          <w:rPr>
            <w:color w:val="8B2C18"/>
            <w:spacing w:val="-13"/>
          </w:rPr>
          <w:t> </w:t>
        </w:r>
        <w:r>
          <w:rPr>
            <w:color w:val="8B2C18"/>
          </w:rPr>
          <w:t>al.</w:t>
        </w:r>
      </w:hyperlink>
      <w:r>
        <w:rPr>
          <w:color w:val="8B2C18"/>
          <w:spacing w:val="-13"/>
        </w:rPr>
        <w:t> </w:t>
      </w:r>
      <w:r>
        <w:rPr/>
        <w:t>(</w:t>
      </w:r>
      <w:hyperlink w:history="true" w:anchor="_bookmark213">
        <w:r>
          <w:rPr>
            <w:color w:val="8B2C18"/>
          </w:rPr>
          <w:t>2013</w:t>
        </w:r>
      </w:hyperlink>
      <w:r>
        <w:rPr/>
        <w:t>)</w:t>
      </w:r>
      <w:r>
        <w:rPr>
          <w:spacing w:val="-13"/>
        </w:rPr>
        <w:t> </w:t>
      </w:r>
      <w:r>
        <w:rPr/>
        <w:t>analysed</w:t>
      </w:r>
      <w:r>
        <w:rPr>
          <w:spacing w:val="-13"/>
        </w:rPr>
        <w:t> </w:t>
      </w:r>
      <w:r>
        <w:rPr/>
        <w:t>correlations</w:t>
      </w:r>
      <w:r>
        <w:rPr>
          <w:spacing w:val="-13"/>
        </w:rPr>
        <w:t> </w:t>
      </w:r>
      <w:r>
        <w:rPr/>
        <w:t>between</w:t>
      </w:r>
      <w:r>
        <w:rPr>
          <w:spacing w:val="-13"/>
        </w:rPr>
        <w:t> </w:t>
      </w:r>
      <w:r>
        <w:rPr/>
        <w:t>long-term</w:t>
      </w:r>
      <w:r>
        <w:rPr>
          <w:spacing w:val="-13"/>
        </w:rPr>
        <w:t> </w:t>
      </w:r>
      <w:r>
        <w:rPr/>
        <w:t>yield</w:t>
      </w:r>
      <w:r>
        <w:rPr>
          <w:spacing w:val="-13"/>
        </w:rPr>
        <w:t> </w:t>
      </w:r>
      <w:r>
        <w:rPr/>
        <w:t>records</w:t>
      </w:r>
      <w:r>
        <w:rPr>
          <w:spacing w:val="-13"/>
        </w:rPr>
        <w:t> </w:t>
      </w:r>
      <w:r>
        <w:rPr/>
        <w:t>in</w:t>
      </w:r>
      <w:r>
        <w:rPr>
          <w:spacing w:val="-13"/>
        </w:rPr>
        <w:t> </w:t>
      </w:r>
      <w:r>
        <w:rPr/>
        <w:t>Lower Franconia (1805–2010) and mean growing-season temperature.</w:t>
      </w:r>
      <w:r>
        <w:rPr>
          <w:spacing w:val="40"/>
        </w:rPr>
        <w:t> </w:t>
      </w:r>
      <w:hyperlink w:history="true" w:anchor="_bookmark216">
        <w:r>
          <w:rPr>
            <w:color w:val="8B2C18"/>
          </w:rPr>
          <w:t>Cunha et al.</w:t>
        </w:r>
      </w:hyperlink>
      <w:r>
        <w:rPr>
          <w:color w:val="8B2C18"/>
        </w:rPr>
        <w:t> </w:t>
      </w:r>
      <w:r>
        <w:rPr/>
        <w:t>(</w:t>
      </w:r>
      <w:hyperlink w:history="true" w:anchor="_bookmark216">
        <w:r>
          <w:rPr>
            <w:color w:val="8B2C18"/>
          </w:rPr>
          <w:t>2012</w:t>
        </w:r>
      </w:hyperlink>
      <w:r>
        <w:rPr/>
        <w:t>) applied an </w:t>
      </w:r>
      <w:r>
        <w:rPr>
          <w:spacing w:val="-2"/>
        </w:rPr>
        <w:t>autoregressive</w:t>
      </w:r>
      <w:r>
        <w:rPr>
          <w:spacing w:val="-5"/>
        </w:rPr>
        <w:t> </w:t>
      </w:r>
      <w:r>
        <w:rPr>
          <w:spacing w:val="-2"/>
        </w:rPr>
        <w:t>model</w:t>
      </w:r>
      <w:r>
        <w:rPr>
          <w:spacing w:val="-5"/>
        </w:rPr>
        <w:t> </w:t>
      </w:r>
      <w:r>
        <w:rPr>
          <w:spacing w:val="-2"/>
        </w:rPr>
        <w:t>and</w:t>
      </w:r>
      <w:r>
        <w:rPr>
          <w:spacing w:val="-5"/>
        </w:rPr>
        <w:t> </w:t>
      </w:r>
      <w:r>
        <w:rPr>
          <w:spacing w:val="-2"/>
        </w:rPr>
        <w:t>short-time</w:t>
      </w:r>
      <w:r>
        <w:rPr>
          <w:spacing w:val="-5"/>
        </w:rPr>
        <w:t> </w:t>
      </w:r>
      <w:r>
        <w:rPr>
          <w:spacing w:val="-2"/>
        </w:rPr>
        <w:t>Fourier</w:t>
      </w:r>
      <w:r>
        <w:rPr>
          <w:spacing w:val="-5"/>
        </w:rPr>
        <w:t> </w:t>
      </w:r>
      <w:r>
        <w:rPr>
          <w:spacing w:val="-2"/>
        </w:rPr>
        <w:t>transform</w:t>
      </w:r>
      <w:r>
        <w:rPr>
          <w:spacing w:val="-5"/>
        </w:rPr>
        <w:t> </w:t>
      </w:r>
      <w:r>
        <w:rPr>
          <w:spacing w:val="-2"/>
        </w:rPr>
        <w:t>to</w:t>
      </w:r>
      <w:r>
        <w:rPr>
          <w:spacing w:val="-5"/>
        </w:rPr>
        <w:t> </w:t>
      </w:r>
      <w:r>
        <w:rPr>
          <w:spacing w:val="-2"/>
        </w:rPr>
        <w:t>identify</w:t>
      </w:r>
      <w:r>
        <w:rPr>
          <w:spacing w:val="-5"/>
        </w:rPr>
        <w:t> </w:t>
      </w:r>
      <w:r>
        <w:rPr>
          <w:spacing w:val="-2"/>
        </w:rPr>
        <w:t>cyclical</w:t>
      </w:r>
      <w:r>
        <w:rPr>
          <w:spacing w:val="-5"/>
        </w:rPr>
        <w:t> </w:t>
      </w:r>
      <w:r>
        <w:rPr>
          <w:spacing w:val="-2"/>
        </w:rPr>
        <w:t>properties</w:t>
      </w:r>
      <w:r>
        <w:rPr>
          <w:spacing w:val="-5"/>
        </w:rPr>
        <w:t> </w:t>
      </w:r>
      <w:r>
        <w:rPr>
          <w:spacing w:val="-2"/>
        </w:rPr>
        <w:t>of</w:t>
      </w:r>
      <w:r>
        <w:rPr>
          <w:spacing w:val="-5"/>
        </w:rPr>
        <w:t> </w:t>
      </w:r>
      <w:r>
        <w:rPr>
          <w:spacing w:val="-2"/>
        </w:rPr>
        <w:t>production </w:t>
      </w:r>
      <w:r>
        <w:rPr/>
        <w:t>in</w:t>
      </w:r>
      <w:r>
        <w:rPr>
          <w:spacing w:val="-13"/>
        </w:rPr>
        <w:t> </w:t>
      </w:r>
      <w:r>
        <w:rPr/>
        <w:t>Douro</w:t>
      </w:r>
      <w:r>
        <w:rPr>
          <w:spacing w:val="-13"/>
        </w:rPr>
        <w:t> </w:t>
      </w:r>
      <w:r>
        <w:rPr/>
        <w:t>and</w:t>
      </w:r>
      <w:r>
        <w:rPr>
          <w:spacing w:val="-13"/>
        </w:rPr>
        <w:t> </w:t>
      </w:r>
      <w:r>
        <w:rPr/>
        <w:t>Vinho</w:t>
      </w:r>
      <w:r>
        <w:rPr>
          <w:spacing w:val="-13"/>
        </w:rPr>
        <w:t> </w:t>
      </w:r>
      <w:r>
        <w:rPr/>
        <w:t>Verde.</w:t>
      </w:r>
      <w:r>
        <w:rPr>
          <w:spacing w:val="-3"/>
        </w:rPr>
        <w:t> </w:t>
      </w:r>
      <w:r>
        <w:rPr/>
        <w:t>These</w:t>
      </w:r>
      <w:r>
        <w:rPr>
          <w:spacing w:val="-13"/>
        </w:rPr>
        <w:t> </w:t>
      </w:r>
      <w:r>
        <w:rPr/>
        <w:t>models</w:t>
      </w:r>
      <w:r>
        <w:rPr>
          <w:spacing w:val="-13"/>
        </w:rPr>
        <w:t> </w:t>
      </w:r>
      <w:r>
        <w:rPr/>
        <w:t>are</w:t>
      </w:r>
      <w:r>
        <w:rPr>
          <w:spacing w:val="-13"/>
        </w:rPr>
        <w:t> </w:t>
      </w:r>
      <w:r>
        <w:rPr/>
        <w:t>interpretable</w:t>
      </w:r>
      <w:r>
        <w:rPr>
          <w:spacing w:val="-13"/>
        </w:rPr>
        <w:t> </w:t>
      </w:r>
      <w:r>
        <w:rPr/>
        <w:t>and</w:t>
      </w:r>
      <w:r>
        <w:rPr>
          <w:spacing w:val="-13"/>
        </w:rPr>
        <w:t> </w:t>
      </w:r>
      <w:r>
        <w:rPr/>
        <w:t>grounded</w:t>
      </w:r>
      <w:r>
        <w:rPr>
          <w:spacing w:val="-13"/>
        </w:rPr>
        <w:t> </w:t>
      </w:r>
      <w:r>
        <w:rPr/>
        <w:t>in</w:t>
      </w:r>
      <w:r>
        <w:rPr>
          <w:spacing w:val="-13"/>
        </w:rPr>
        <w:t> </w:t>
      </w:r>
      <w:r>
        <w:rPr/>
        <w:t>agronomy</w:t>
      </w:r>
      <w:r>
        <w:rPr>
          <w:spacing w:val="-13"/>
        </w:rPr>
        <w:t> </w:t>
      </w:r>
      <w:r>
        <w:rPr/>
        <w:t>but</w:t>
      </w:r>
      <w:r>
        <w:rPr>
          <w:spacing w:val="-13"/>
        </w:rPr>
        <w:t> </w:t>
      </w:r>
      <w:r>
        <w:rPr/>
        <w:t>assume </w:t>
      </w:r>
      <w:r>
        <w:rPr>
          <w:spacing w:val="-2"/>
        </w:rPr>
        <w:t>linear,</w:t>
      </w:r>
      <w:r>
        <w:rPr>
          <w:spacing w:val="-10"/>
        </w:rPr>
        <w:t> </w:t>
      </w:r>
      <w:r>
        <w:rPr>
          <w:spacing w:val="-2"/>
        </w:rPr>
        <w:t>stationary</w:t>
      </w:r>
      <w:r>
        <w:rPr>
          <w:spacing w:val="-11"/>
        </w:rPr>
        <w:t> </w:t>
      </w:r>
      <w:r>
        <w:rPr>
          <w:spacing w:val="-2"/>
        </w:rPr>
        <w:t>relationships</w:t>
      </w:r>
      <w:r>
        <w:rPr>
          <w:spacing w:val="-11"/>
        </w:rPr>
        <w:t> </w:t>
      </w:r>
      <w:r>
        <w:rPr>
          <w:spacing w:val="-2"/>
        </w:rPr>
        <w:t>and</w:t>
      </w:r>
      <w:r>
        <w:rPr>
          <w:spacing w:val="-11"/>
        </w:rPr>
        <w:t> </w:t>
      </w:r>
      <w:r>
        <w:rPr>
          <w:spacing w:val="-2"/>
        </w:rPr>
        <w:t>cannot</w:t>
      </w:r>
      <w:r>
        <w:rPr>
          <w:spacing w:val="-11"/>
        </w:rPr>
        <w:t> </w:t>
      </w:r>
      <w:r>
        <w:rPr>
          <w:spacing w:val="-2"/>
        </w:rPr>
        <w:t>capture</w:t>
      </w:r>
      <w:r>
        <w:rPr>
          <w:spacing w:val="-11"/>
        </w:rPr>
        <w:t> </w:t>
      </w:r>
      <w:r>
        <w:rPr>
          <w:spacing w:val="-2"/>
        </w:rPr>
        <w:t>threshold</w:t>
      </w:r>
      <w:r>
        <w:rPr>
          <w:spacing w:val="-11"/>
        </w:rPr>
        <w:t> </w:t>
      </w:r>
      <w:r>
        <w:rPr>
          <w:spacing w:val="-2"/>
        </w:rPr>
        <w:t>effects,</w:t>
      </w:r>
      <w:r>
        <w:rPr>
          <w:spacing w:val="-11"/>
        </w:rPr>
        <w:t> </w:t>
      </w:r>
      <w:r>
        <w:rPr>
          <w:spacing w:val="-2"/>
        </w:rPr>
        <w:t>interactions,</w:t>
      </w:r>
      <w:r>
        <w:rPr>
          <w:spacing w:val="-10"/>
        </w:rPr>
        <w:t> </w:t>
      </w:r>
      <w:r>
        <w:rPr>
          <w:spacing w:val="-2"/>
        </w:rPr>
        <w:t>or</w:t>
      </w:r>
      <w:r>
        <w:rPr>
          <w:spacing w:val="-11"/>
        </w:rPr>
        <w:t> </w:t>
      </w:r>
      <w:r>
        <w:rPr>
          <w:spacing w:val="-2"/>
        </w:rPr>
        <w:t>non-stationarity </w:t>
      </w:r>
      <w:r>
        <w:rPr/>
        <w:t>from structural production changes. A methodological review by </w:t>
      </w:r>
      <w:hyperlink w:history="true" w:anchor="_bookmark220">
        <w:r>
          <w:rPr>
            <w:color w:val="8B2C18"/>
          </w:rPr>
          <w:t>Fraga et al.</w:t>
        </w:r>
      </w:hyperlink>
      <w:r>
        <w:rPr>
          <w:color w:val="8B2C18"/>
        </w:rPr>
        <w:t> </w:t>
      </w:r>
      <w:r>
        <w:rPr/>
        <w:t>(</w:t>
      </w:r>
      <w:hyperlink w:history="true" w:anchor="_bookmark220">
        <w:r>
          <w:rPr>
            <w:color w:val="8B2C18"/>
          </w:rPr>
          <w:t>2024</w:t>
        </w:r>
      </w:hyperlink>
      <w:r>
        <w:rPr/>
        <w:t>) argued that </w:t>
      </w:r>
      <w:r>
        <w:rPr>
          <w:spacing w:val="-2"/>
        </w:rPr>
        <w:t>statistical</w:t>
      </w:r>
      <w:r>
        <w:rPr>
          <w:spacing w:val="-5"/>
        </w:rPr>
        <w:t> </w:t>
      </w:r>
      <w:r>
        <w:rPr>
          <w:spacing w:val="-2"/>
        </w:rPr>
        <w:t>models</w:t>
      </w:r>
      <w:r>
        <w:rPr>
          <w:spacing w:val="-5"/>
        </w:rPr>
        <w:t> </w:t>
      </w:r>
      <w:r>
        <w:rPr>
          <w:spacing w:val="-2"/>
        </w:rPr>
        <w:t>for</w:t>
      </w:r>
      <w:r>
        <w:rPr>
          <w:spacing w:val="-5"/>
        </w:rPr>
        <w:t> </w:t>
      </w:r>
      <w:r>
        <w:rPr>
          <w:spacing w:val="-2"/>
        </w:rPr>
        <w:t>climate</w:t>
      </w:r>
      <w:r>
        <w:rPr>
          <w:spacing w:val="-5"/>
        </w:rPr>
        <w:t> </w:t>
      </w:r>
      <w:r>
        <w:rPr>
          <w:spacing w:val="-2"/>
        </w:rPr>
        <w:t>impacts</w:t>
      </w:r>
      <w:r>
        <w:rPr>
          <w:spacing w:val="-5"/>
        </w:rPr>
        <w:t> </w:t>
      </w:r>
      <w:r>
        <w:rPr>
          <w:spacing w:val="-2"/>
        </w:rPr>
        <w:t>in</w:t>
      </w:r>
      <w:r>
        <w:rPr>
          <w:spacing w:val="-5"/>
        </w:rPr>
        <w:t> </w:t>
      </w:r>
      <w:r>
        <w:rPr>
          <w:spacing w:val="-2"/>
        </w:rPr>
        <w:t>grape</w:t>
      </w:r>
      <w:r>
        <w:rPr>
          <w:spacing w:val="-5"/>
        </w:rPr>
        <w:t> </w:t>
      </w:r>
      <w:r>
        <w:rPr>
          <w:spacing w:val="-2"/>
        </w:rPr>
        <w:t>and</w:t>
      </w:r>
      <w:r>
        <w:rPr>
          <w:spacing w:val="-5"/>
        </w:rPr>
        <w:t> </w:t>
      </w:r>
      <w:r>
        <w:rPr>
          <w:spacing w:val="-2"/>
        </w:rPr>
        <w:t>wine</w:t>
      </w:r>
      <w:r>
        <w:rPr>
          <w:spacing w:val="-5"/>
        </w:rPr>
        <w:t> </w:t>
      </w:r>
      <w:r>
        <w:rPr>
          <w:spacing w:val="-2"/>
        </w:rPr>
        <w:t>research</w:t>
      </w:r>
      <w:r>
        <w:rPr>
          <w:spacing w:val="-5"/>
        </w:rPr>
        <w:t> </w:t>
      </w:r>
      <w:r>
        <w:rPr>
          <w:spacing w:val="-2"/>
        </w:rPr>
        <w:t>remain</w:t>
      </w:r>
      <w:r>
        <w:rPr>
          <w:spacing w:val="-5"/>
        </w:rPr>
        <w:t> </w:t>
      </w:r>
      <w:r>
        <w:rPr>
          <w:spacing w:val="-2"/>
        </w:rPr>
        <w:t>underused</w:t>
      </w:r>
      <w:r>
        <w:rPr>
          <w:spacing w:val="-5"/>
        </w:rPr>
        <w:t> </w:t>
      </w:r>
      <w:r>
        <w:rPr>
          <w:spacing w:val="-2"/>
        </w:rPr>
        <w:t>relative</w:t>
      </w:r>
      <w:r>
        <w:rPr>
          <w:spacing w:val="-5"/>
        </w:rPr>
        <w:t> </w:t>
      </w:r>
      <w:r>
        <w:rPr>
          <w:spacing w:val="-2"/>
        </w:rPr>
        <w:t>to</w:t>
      </w:r>
      <w:r>
        <w:rPr>
          <w:spacing w:val="-5"/>
        </w:rPr>
        <w:t> </w:t>
      </w:r>
      <w:r>
        <w:rPr>
          <w:spacing w:val="-2"/>
        </w:rPr>
        <w:t>their </w:t>
      </w:r>
      <w:r>
        <w:rPr/>
        <w:t>potential and should be combined with other approaches.</w:t>
      </w:r>
    </w:p>
    <w:p>
      <w:pPr>
        <w:pStyle w:val="BodyText"/>
        <w:spacing w:before="155"/>
      </w:pPr>
    </w:p>
    <w:p>
      <w:pPr>
        <w:pStyle w:val="Heading3"/>
        <w:numPr>
          <w:ilvl w:val="2"/>
          <w:numId w:val="16"/>
        </w:numPr>
        <w:tabs>
          <w:tab w:pos="859" w:val="left" w:leader="none"/>
        </w:tabs>
        <w:spacing w:line="240" w:lineRule="auto" w:before="0" w:after="0"/>
        <w:ind w:left="859" w:right="0" w:hanging="717"/>
        <w:jc w:val="left"/>
      </w:pPr>
      <w:bookmarkStart w:name="2.4.2 Machine Learning Approaches" w:id="33"/>
      <w:bookmarkEnd w:id="33"/>
      <w:r>
        <w:rPr>
          <w:b w:val="0"/>
        </w:rPr>
      </w:r>
      <w:bookmarkStart w:name="_bookmark14" w:id="34"/>
      <w:bookmarkEnd w:id="34"/>
      <w:r>
        <w:rPr>
          <w:b w:val="0"/>
        </w:rPr>
      </w:r>
      <w:r>
        <w:rPr/>
        <w:t>Machine</w:t>
      </w:r>
      <w:r>
        <w:rPr>
          <w:spacing w:val="-13"/>
        </w:rPr>
        <w:t> </w:t>
      </w:r>
      <w:r>
        <w:rPr/>
        <w:t>Learning</w:t>
      </w:r>
      <w:r>
        <w:rPr>
          <w:spacing w:val="-12"/>
        </w:rPr>
        <w:t> </w:t>
      </w:r>
      <w:r>
        <w:rPr>
          <w:spacing w:val="-2"/>
        </w:rPr>
        <w:t>Approaches</w:t>
      </w:r>
    </w:p>
    <w:p>
      <w:pPr>
        <w:pStyle w:val="BodyText"/>
        <w:spacing w:line="312" w:lineRule="auto" w:before="252"/>
        <w:ind w:left="142" w:right="1529" w:hanging="7"/>
        <w:jc w:val="both"/>
      </w:pPr>
      <w:r>
        <w:rPr>
          <w:spacing w:val="-4"/>
        </w:rPr>
        <w:t>The</w:t>
      </w:r>
      <w:r>
        <w:rPr>
          <w:spacing w:val="-5"/>
        </w:rPr>
        <w:t> </w:t>
      </w:r>
      <w:r>
        <w:rPr>
          <w:spacing w:val="-4"/>
        </w:rPr>
        <w:t>past</w:t>
      </w:r>
      <w:r>
        <w:rPr>
          <w:spacing w:val="-5"/>
        </w:rPr>
        <w:t> </w:t>
      </w:r>
      <w:r>
        <w:rPr>
          <w:spacing w:val="-4"/>
        </w:rPr>
        <w:t>decade</w:t>
      </w:r>
      <w:r>
        <w:rPr>
          <w:spacing w:val="-5"/>
        </w:rPr>
        <w:t> </w:t>
      </w:r>
      <w:r>
        <w:rPr>
          <w:spacing w:val="-4"/>
        </w:rPr>
        <w:t>has</w:t>
      </w:r>
      <w:r>
        <w:rPr>
          <w:spacing w:val="-5"/>
        </w:rPr>
        <w:t> </w:t>
      </w:r>
      <w:r>
        <w:rPr>
          <w:spacing w:val="-4"/>
        </w:rPr>
        <w:t>seen</w:t>
      </w:r>
      <w:r>
        <w:rPr>
          <w:spacing w:val="-5"/>
        </w:rPr>
        <w:t> </w:t>
      </w:r>
      <w:r>
        <w:rPr>
          <w:spacing w:val="-4"/>
        </w:rPr>
        <w:t>rapid</w:t>
      </w:r>
      <w:r>
        <w:rPr>
          <w:spacing w:val="-5"/>
        </w:rPr>
        <w:t> </w:t>
      </w:r>
      <w:r>
        <w:rPr>
          <w:spacing w:val="-4"/>
        </w:rPr>
        <w:t>growth</w:t>
      </w:r>
      <w:r>
        <w:rPr>
          <w:spacing w:val="-5"/>
        </w:rPr>
        <w:t> </w:t>
      </w:r>
      <w:r>
        <w:rPr>
          <w:spacing w:val="-4"/>
        </w:rPr>
        <w:t>in</w:t>
      </w:r>
      <w:r>
        <w:rPr>
          <w:spacing w:val="-5"/>
        </w:rPr>
        <w:t> </w:t>
      </w:r>
      <w:r>
        <w:rPr>
          <w:spacing w:val="-4"/>
        </w:rPr>
        <w:t>the</w:t>
      </w:r>
      <w:r>
        <w:rPr>
          <w:spacing w:val="-5"/>
        </w:rPr>
        <w:t> </w:t>
      </w:r>
      <w:r>
        <w:rPr>
          <w:spacing w:val="-4"/>
        </w:rPr>
        <w:t>application</w:t>
      </w:r>
      <w:r>
        <w:rPr>
          <w:spacing w:val="-5"/>
        </w:rPr>
        <w:t> </w:t>
      </w:r>
      <w:r>
        <w:rPr>
          <w:spacing w:val="-4"/>
        </w:rPr>
        <w:t>of</w:t>
      </w:r>
      <w:r>
        <w:rPr>
          <w:spacing w:val="-5"/>
        </w:rPr>
        <w:t> </w:t>
      </w:r>
      <w:r>
        <w:rPr>
          <w:spacing w:val="-4"/>
        </w:rPr>
        <w:t>machine</w:t>
      </w:r>
      <w:r>
        <w:rPr>
          <w:spacing w:val="-5"/>
        </w:rPr>
        <w:t> </w:t>
      </w:r>
      <w:r>
        <w:rPr>
          <w:spacing w:val="-4"/>
        </w:rPr>
        <w:t>learning</w:t>
      </w:r>
      <w:r>
        <w:rPr>
          <w:spacing w:val="-5"/>
        </w:rPr>
        <w:t> </w:t>
      </w:r>
      <w:r>
        <w:rPr>
          <w:spacing w:val="-4"/>
        </w:rPr>
        <w:t>to</w:t>
      </w:r>
      <w:r>
        <w:rPr>
          <w:spacing w:val="-5"/>
        </w:rPr>
        <w:t> </w:t>
      </w:r>
      <w:r>
        <w:rPr>
          <w:spacing w:val="-4"/>
        </w:rPr>
        <w:t>grape</w:t>
      </w:r>
      <w:r>
        <w:rPr>
          <w:spacing w:val="-5"/>
        </w:rPr>
        <w:t> </w:t>
      </w:r>
      <w:r>
        <w:rPr>
          <w:spacing w:val="-4"/>
        </w:rPr>
        <w:t>yield</w:t>
      </w:r>
      <w:r>
        <w:rPr>
          <w:spacing w:val="-5"/>
        </w:rPr>
        <w:t> </w:t>
      </w:r>
      <w:r>
        <w:rPr>
          <w:spacing w:val="-4"/>
        </w:rPr>
        <w:t>and</w:t>
      </w:r>
      <w:r>
        <w:rPr>
          <w:spacing w:val="-5"/>
        </w:rPr>
        <w:t> </w:t>
      </w:r>
      <w:r>
        <w:rPr>
          <w:spacing w:val="-4"/>
        </w:rPr>
        <w:t>wine </w:t>
      </w:r>
      <w:r>
        <w:rPr/>
        <w:t>production</w:t>
      </w:r>
      <w:r>
        <w:rPr>
          <w:spacing w:val="-1"/>
        </w:rPr>
        <w:t> </w:t>
      </w:r>
      <w:r>
        <w:rPr/>
        <w:t>prediction. Random</w:t>
      </w:r>
      <w:r>
        <w:rPr>
          <w:spacing w:val="-1"/>
        </w:rPr>
        <w:t> </w:t>
      </w:r>
      <w:r>
        <w:rPr/>
        <w:t>Forest,</w:t>
      </w:r>
      <w:r>
        <w:rPr>
          <w:spacing w:val="-1"/>
        </w:rPr>
        <w:t> </w:t>
      </w:r>
      <w:r>
        <w:rPr/>
        <w:t>Support</w:t>
      </w:r>
      <w:r>
        <w:rPr>
          <w:spacing w:val="-1"/>
        </w:rPr>
        <w:t> </w:t>
      </w:r>
      <w:r>
        <w:rPr/>
        <w:t>Vector</w:t>
      </w:r>
      <w:r>
        <w:rPr>
          <w:spacing w:val="-1"/>
        </w:rPr>
        <w:t> </w:t>
      </w:r>
      <w:r>
        <w:rPr/>
        <w:t>Machines,</w:t>
      </w:r>
      <w:r>
        <w:rPr>
          <w:spacing w:val="-1"/>
        </w:rPr>
        <w:t> </w:t>
      </w:r>
      <w:r>
        <w:rPr/>
        <w:t>Gradient</w:t>
      </w:r>
      <w:r>
        <w:rPr>
          <w:spacing w:val="-1"/>
        </w:rPr>
        <w:t> </w:t>
      </w:r>
      <w:r>
        <w:rPr/>
        <w:t>Boosting</w:t>
      </w:r>
      <w:r>
        <w:rPr>
          <w:spacing w:val="-1"/>
        </w:rPr>
        <w:t> </w:t>
      </w:r>
      <w:r>
        <w:rPr/>
        <w:t>ensembles, and Deep Learning architectures have all been applied to predict yield from meteorological, phenological,</w:t>
      </w:r>
      <w:r>
        <w:rPr>
          <w:spacing w:val="-13"/>
        </w:rPr>
        <w:t> </w:t>
      </w:r>
      <w:r>
        <w:rPr/>
        <w:t>and</w:t>
      </w:r>
      <w:r>
        <w:rPr>
          <w:spacing w:val="-13"/>
        </w:rPr>
        <w:t> </w:t>
      </w:r>
      <w:r>
        <w:rPr/>
        <w:t>remote</w:t>
      </w:r>
      <w:r>
        <w:rPr>
          <w:spacing w:val="-13"/>
        </w:rPr>
        <w:t> </w:t>
      </w:r>
      <w:r>
        <w:rPr/>
        <w:t>sensing</w:t>
      </w:r>
      <w:r>
        <w:rPr>
          <w:spacing w:val="-13"/>
        </w:rPr>
        <w:t> </w:t>
      </w:r>
      <w:r>
        <w:rPr/>
        <w:t>data.</w:t>
      </w:r>
      <w:r>
        <w:rPr>
          <w:spacing w:val="-2"/>
        </w:rPr>
        <w:t> </w:t>
      </w:r>
      <w:hyperlink w:history="true" w:anchor="_bookmark226">
        <w:r>
          <w:rPr>
            <w:color w:val="8B2C18"/>
          </w:rPr>
          <w:t>Lopes</w:t>
        </w:r>
        <w:r>
          <w:rPr>
            <w:color w:val="8B2C18"/>
            <w:spacing w:val="-13"/>
          </w:rPr>
          <w:t> </w:t>
        </w:r>
        <w:r>
          <w:rPr>
            <w:color w:val="8B2C18"/>
          </w:rPr>
          <w:t>et</w:t>
        </w:r>
        <w:r>
          <w:rPr>
            <w:color w:val="8B2C18"/>
            <w:spacing w:val="-13"/>
          </w:rPr>
          <w:t> </w:t>
        </w:r>
        <w:r>
          <w:rPr>
            <w:color w:val="8B2C18"/>
          </w:rPr>
          <w:t>al.</w:t>
        </w:r>
      </w:hyperlink>
      <w:r>
        <w:rPr>
          <w:color w:val="8B2C18"/>
          <w:spacing w:val="-13"/>
        </w:rPr>
        <w:t> </w:t>
      </w:r>
      <w:r>
        <w:rPr/>
        <w:t>(</w:t>
      </w:r>
      <w:hyperlink w:history="true" w:anchor="_bookmark226">
        <w:r>
          <w:rPr>
            <w:color w:val="8B2C18"/>
          </w:rPr>
          <w:t>2024</w:t>
        </w:r>
      </w:hyperlink>
      <w:r>
        <w:rPr/>
        <w:t>)</w:t>
      </w:r>
      <w:r>
        <w:rPr>
          <w:spacing w:val="-13"/>
        </w:rPr>
        <w:t> </w:t>
      </w:r>
      <w:r>
        <w:rPr/>
        <w:t>used</w:t>
      </w:r>
      <w:r>
        <w:rPr>
          <w:spacing w:val="-13"/>
        </w:rPr>
        <w:t> </w:t>
      </w:r>
      <w:r>
        <w:rPr/>
        <w:t>Random</w:t>
      </w:r>
      <w:r>
        <w:rPr>
          <w:spacing w:val="-13"/>
        </w:rPr>
        <w:t> </w:t>
      </w:r>
      <w:r>
        <w:rPr/>
        <w:t>Forest</w:t>
      </w:r>
      <w:r>
        <w:rPr>
          <w:spacing w:val="-13"/>
        </w:rPr>
        <w:t> </w:t>
      </w:r>
      <w:r>
        <w:rPr/>
        <w:t>models</w:t>
      </w:r>
      <w:r>
        <w:rPr>
          <w:spacing w:val="-13"/>
        </w:rPr>
        <w:t> </w:t>
      </w:r>
      <w:r>
        <w:rPr/>
        <w:t>to</w:t>
      </w:r>
      <w:r>
        <w:rPr>
          <w:spacing w:val="-13"/>
        </w:rPr>
        <w:t> </w:t>
      </w:r>
      <w:r>
        <w:rPr/>
        <w:t>identify </w:t>
      </w:r>
      <w:r>
        <w:rPr>
          <w:spacing w:val="-2"/>
        </w:rPr>
        <w:t>climatic</w:t>
      </w:r>
      <w:r>
        <w:rPr>
          <w:spacing w:val="-4"/>
        </w:rPr>
        <w:t> </w:t>
      </w:r>
      <w:r>
        <w:rPr>
          <w:spacing w:val="-2"/>
        </w:rPr>
        <w:t>drivers</w:t>
      </w:r>
      <w:r>
        <w:rPr>
          <w:spacing w:val="-4"/>
        </w:rPr>
        <w:t> </w:t>
      </w:r>
      <w:r>
        <w:rPr>
          <w:spacing w:val="-2"/>
        </w:rPr>
        <w:t>of</w:t>
      </w:r>
      <w:r>
        <w:rPr>
          <w:spacing w:val="-4"/>
        </w:rPr>
        <w:t> </w:t>
      </w:r>
      <w:r>
        <w:rPr>
          <w:spacing w:val="-2"/>
        </w:rPr>
        <w:t>wine</w:t>
      </w:r>
      <w:r>
        <w:rPr>
          <w:spacing w:val="-4"/>
        </w:rPr>
        <w:t> </w:t>
      </w:r>
      <w:r>
        <w:rPr>
          <w:spacing w:val="-2"/>
        </w:rPr>
        <w:t>production</w:t>
      </w:r>
      <w:r>
        <w:rPr>
          <w:spacing w:val="-4"/>
        </w:rPr>
        <w:t> </w:t>
      </w:r>
      <w:r>
        <w:rPr>
          <w:spacing w:val="-2"/>
        </w:rPr>
        <w:t>in</w:t>
      </w:r>
      <w:r>
        <w:rPr>
          <w:spacing w:val="-4"/>
        </w:rPr>
        <w:t> </w:t>
      </w:r>
      <w:r>
        <w:rPr>
          <w:spacing w:val="-2"/>
        </w:rPr>
        <w:t>Portugal’s</w:t>
      </w:r>
      <w:r>
        <w:rPr>
          <w:spacing w:val="-4"/>
        </w:rPr>
        <w:t> </w:t>
      </w:r>
      <w:r>
        <w:rPr>
          <w:spacing w:val="-2"/>
        </w:rPr>
        <w:t>Côa</w:t>
      </w:r>
      <w:r>
        <w:rPr>
          <w:spacing w:val="-4"/>
        </w:rPr>
        <w:t> </w:t>
      </w:r>
      <w:r>
        <w:rPr>
          <w:spacing w:val="-2"/>
        </w:rPr>
        <w:t>region,</w:t>
      </w:r>
      <w:r>
        <w:rPr>
          <w:spacing w:val="-4"/>
        </w:rPr>
        <w:t> </w:t>
      </w:r>
      <w:r>
        <w:rPr>
          <w:spacing w:val="-2"/>
        </w:rPr>
        <w:t>demonstrating</w:t>
      </w:r>
      <w:r>
        <w:rPr>
          <w:spacing w:val="-4"/>
        </w:rPr>
        <w:t> </w:t>
      </w:r>
      <w:r>
        <w:rPr>
          <w:spacing w:val="-2"/>
        </w:rPr>
        <w:t>competitive</w:t>
      </w:r>
      <w:r>
        <w:rPr>
          <w:spacing w:val="-4"/>
        </w:rPr>
        <w:t> </w:t>
      </w:r>
      <w:r>
        <w:rPr>
          <w:spacing w:val="-2"/>
        </w:rPr>
        <w:t>predictive </w:t>
      </w:r>
      <w:r>
        <w:rPr/>
        <w:t>performance with feature importance rankings that align with agronomic expectations. Remote sensing approaches use satellite-derived indices (NDVI, EVI) as proxies for vine vigour at the parcel scale, enabling near-real-time sub-regional yield maps.</w:t>
      </w:r>
    </w:p>
    <w:p>
      <w:pPr>
        <w:pStyle w:val="BodyText"/>
        <w:spacing w:line="312" w:lineRule="auto" w:before="16"/>
        <w:ind w:left="142" w:right="1529" w:firstLine="338"/>
        <w:jc w:val="both"/>
      </w:pPr>
      <w:r>
        <w:rPr/>
        <w:t>These</w:t>
      </w:r>
      <w:r>
        <w:rPr>
          <w:spacing w:val="-14"/>
        </w:rPr>
        <w:t> </w:t>
      </w:r>
      <w:r>
        <w:rPr/>
        <w:t>methods</w:t>
      </w:r>
      <w:r>
        <w:rPr>
          <w:spacing w:val="-14"/>
        </w:rPr>
        <w:t> </w:t>
      </w:r>
      <w:r>
        <w:rPr/>
        <w:t>achieve</w:t>
      </w:r>
      <w:r>
        <w:rPr>
          <w:spacing w:val="-13"/>
        </w:rPr>
        <w:t> </w:t>
      </w:r>
      <w:r>
        <w:rPr/>
        <w:t>strong</w:t>
      </w:r>
      <w:r>
        <w:rPr>
          <w:spacing w:val="-14"/>
        </w:rPr>
        <w:t> </w:t>
      </w:r>
      <w:r>
        <w:rPr/>
        <w:t>predictive</w:t>
      </w:r>
      <w:r>
        <w:rPr>
          <w:spacing w:val="-14"/>
        </w:rPr>
        <w:t> </w:t>
      </w:r>
      <w:r>
        <w:rPr/>
        <w:t>accuracy</w:t>
      </w:r>
      <w:r>
        <w:rPr>
          <w:spacing w:val="-13"/>
        </w:rPr>
        <w:t> </w:t>
      </w:r>
      <w:r>
        <w:rPr/>
        <w:t>and</w:t>
      </w:r>
      <w:r>
        <w:rPr>
          <w:spacing w:val="-14"/>
        </w:rPr>
        <w:t> </w:t>
      </w:r>
      <w:r>
        <w:rPr/>
        <w:t>handle</w:t>
      </w:r>
      <w:r>
        <w:rPr>
          <w:spacing w:val="-14"/>
        </w:rPr>
        <w:t> </w:t>
      </w:r>
      <w:r>
        <w:rPr/>
        <w:t>non-linear</w:t>
      </w:r>
      <w:r>
        <w:rPr>
          <w:spacing w:val="-13"/>
        </w:rPr>
        <w:t> </w:t>
      </w:r>
      <w:r>
        <w:rPr/>
        <w:t>interactions</w:t>
      </w:r>
      <w:r>
        <w:rPr>
          <w:spacing w:val="-14"/>
        </w:rPr>
        <w:t> </w:t>
      </w:r>
      <w:r>
        <w:rPr/>
        <w:t>well,</w:t>
      </w:r>
      <w:r>
        <w:rPr>
          <w:spacing w:val="-13"/>
        </w:rPr>
        <w:t> </w:t>
      </w:r>
      <w:r>
        <w:rPr/>
        <w:t>but they operate as black-box or grey-box models.</w:t>
      </w:r>
      <w:r>
        <w:rPr>
          <w:spacing w:val="33"/>
        </w:rPr>
        <w:t> </w:t>
      </w:r>
      <w:r>
        <w:rPr/>
        <w:t>Their internal decision logic is not accessible to domain</w:t>
      </w:r>
      <w:r>
        <w:rPr>
          <w:spacing w:val="-14"/>
        </w:rPr>
        <w:t> </w:t>
      </w:r>
      <w:r>
        <w:rPr/>
        <w:t>experts,</w:t>
      </w:r>
      <w:r>
        <w:rPr>
          <w:spacing w:val="-14"/>
        </w:rPr>
        <w:t> </w:t>
      </w:r>
      <w:r>
        <w:rPr/>
        <w:t>and</w:t>
      </w:r>
      <w:r>
        <w:rPr>
          <w:spacing w:val="-14"/>
        </w:rPr>
        <w:t> </w:t>
      </w:r>
      <w:r>
        <w:rPr/>
        <w:t>post-hoc</w:t>
      </w:r>
      <w:r>
        <w:rPr>
          <w:spacing w:val="-13"/>
        </w:rPr>
        <w:t> </w:t>
      </w:r>
      <w:r>
        <w:rPr/>
        <w:t>tools</w:t>
      </w:r>
      <w:r>
        <w:rPr>
          <w:spacing w:val="-14"/>
        </w:rPr>
        <w:t> </w:t>
      </w:r>
      <w:r>
        <w:rPr/>
        <w:t>such</w:t>
      </w:r>
      <w:r>
        <w:rPr>
          <w:spacing w:val="-14"/>
        </w:rPr>
        <w:t> </w:t>
      </w:r>
      <w:r>
        <w:rPr/>
        <w:t>as</w:t>
      </w:r>
      <w:r>
        <w:rPr>
          <w:spacing w:val="-14"/>
        </w:rPr>
        <w:t> </w:t>
      </w:r>
      <w:r>
        <w:rPr/>
        <w:t>SHAP</w:t>
      </w:r>
      <w:r>
        <w:rPr>
          <w:spacing w:val="-13"/>
        </w:rPr>
        <w:t> </w:t>
      </w:r>
      <w:r>
        <w:rPr/>
        <w:t>values</w:t>
      </w:r>
      <w:r>
        <w:rPr>
          <w:spacing w:val="-14"/>
        </w:rPr>
        <w:t> </w:t>
      </w:r>
      <w:r>
        <w:rPr/>
        <w:t>approximate</w:t>
      </w:r>
      <w:r>
        <w:rPr>
          <w:spacing w:val="-14"/>
        </w:rPr>
        <w:t> </w:t>
      </w:r>
      <w:r>
        <w:rPr/>
        <w:t>feature</w:t>
      </w:r>
      <w:r>
        <w:rPr>
          <w:spacing w:val="-14"/>
        </w:rPr>
        <w:t> </w:t>
      </w:r>
      <w:r>
        <w:rPr/>
        <w:t>influence</w:t>
      </w:r>
      <w:r>
        <w:rPr>
          <w:spacing w:val="-13"/>
        </w:rPr>
        <w:t> </w:t>
      </w:r>
      <w:r>
        <w:rPr/>
        <w:t>rather</w:t>
      </w:r>
      <w:r>
        <w:rPr>
          <w:spacing w:val="-14"/>
        </w:rPr>
        <w:t> </w:t>
      </w:r>
      <w:r>
        <w:rPr/>
        <w:t>than producing</w:t>
      </w:r>
      <w:r>
        <w:rPr>
          <w:spacing w:val="-5"/>
        </w:rPr>
        <w:t> </w:t>
      </w:r>
      <w:r>
        <w:rPr/>
        <w:t>explicit,</w:t>
      </w:r>
      <w:r>
        <w:rPr>
          <w:spacing w:val="-5"/>
        </w:rPr>
        <w:t> </w:t>
      </w:r>
      <w:r>
        <w:rPr/>
        <w:t>auditable</w:t>
      </w:r>
      <w:r>
        <w:rPr>
          <w:spacing w:val="-5"/>
        </w:rPr>
        <w:t> </w:t>
      </w:r>
      <w:r>
        <w:rPr/>
        <w:t>rules. As</w:t>
      </w:r>
      <w:r>
        <w:rPr>
          <w:spacing w:val="-5"/>
        </w:rPr>
        <w:t> </w:t>
      </w:r>
      <w:r>
        <w:rPr/>
        <w:t>Molnar</w:t>
      </w:r>
      <w:r>
        <w:rPr>
          <w:spacing w:val="-5"/>
        </w:rPr>
        <w:t> </w:t>
      </w:r>
      <w:r>
        <w:rPr/>
        <w:t>(2019)</w:t>
      </w:r>
      <w:r>
        <w:rPr>
          <w:spacing w:val="-5"/>
        </w:rPr>
        <w:t> </w:t>
      </w:r>
      <w:r>
        <w:rPr/>
        <w:t>argues,</w:t>
      </w:r>
      <w:r>
        <w:rPr>
          <w:spacing w:val="-5"/>
        </w:rPr>
        <w:t> </w:t>
      </w:r>
      <w:r>
        <w:rPr/>
        <w:t>the</w:t>
      </w:r>
      <w:r>
        <w:rPr>
          <w:spacing w:val="-5"/>
        </w:rPr>
        <w:t> </w:t>
      </w:r>
      <w:r>
        <w:rPr/>
        <w:t>trade-off</w:t>
      </w:r>
      <w:r>
        <w:rPr>
          <w:spacing w:val="-5"/>
        </w:rPr>
        <w:t> </w:t>
      </w:r>
      <w:r>
        <w:rPr/>
        <w:t>between</w:t>
      </w:r>
      <w:r>
        <w:rPr>
          <w:spacing w:val="-5"/>
        </w:rPr>
        <w:t> </w:t>
      </w:r>
      <w:r>
        <w:rPr/>
        <w:t>accuracy</w:t>
      </w:r>
      <w:r>
        <w:rPr>
          <w:spacing w:val="-5"/>
        </w:rPr>
        <w:t> </w:t>
      </w:r>
      <w:r>
        <w:rPr/>
        <w:t>and </w:t>
      </w:r>
      <w:r>
        <w:rPr>
          <w:spacing w:val="-2"/>
        </w:rPr>
        <w:t>interpretability</w:t>
      </w:r>
      <w:r>
        <w:rPr>
          <w:spacing w:val="-12"/>
        </w:rPr>
        <w:t> </w:t>
      </w:r>
      <w:r>
        <w:rPr>
          <w:spacing w:val="-2"/>
        </w:rPr>
        <w:t>depends</w:t>
      </w:r>
      <w:r>
        <w:rPr>
          <w:spacing w:val="-12"/>
        </w:rPr>
        <w:t> </w:t>
      </w:r>
      <w:r>
        <w:rPr>
          <w:spacing w:val="-2"/>
        </w:rPr>
        <w:t>on</w:t>
      </w:r>
      <w:r>
        <w:rPr>
          <w:spacing w:val="-12"/>
        </w:rPr>
        <w:t> </w:t>
      </w:r>
      <w:r>
        <w:rPr>
          <w:spacing w:val="-2"/>
        </w:rPr>
        <w:t>the</w:t>
      </w:r>
      <w:r>
        <w:rPr>
          <w:spacing w:val="-11"/>
        </w:rPr>
        <w:t> </w:t>
      </w:r>
      <w:r>
        <w:rPr>
          <w:spacing w:val="-2"/>
        </w:rPr>
        <w:t>intended</w:t>
      </w:r>
      <w:r>
        <w:rPr>
          <w:spacing w:val="-12"/>
        </w:rPr>
        <w:t> </w:t>
      </w:r>
      <w:r>
        <w:rPr>
          <w:spacing w:val="-2"/>
        </w:rPr>
        <w:t>application.</w:t>
      </w:r>
      <w:r>
        <w:rPr>
          <w:spacing w:val="-12"/>
        </w:rPr>
        <w:t> </w:t>
      </w:r>
      <w:r>
        <w:rPr>
          <w:spacing w:val="-2"/>
        </w:rPr>
        <w:t>For</w:t>
      </w:r>
      <w:r>
        <w:rPr>
          <w:spacing w:val="-12"/>
        </w:rPr>
        <w:t> </w:t>
      </w:r>
      <w:r>
        <w:rPr>
          <w:spacing w:val="-2"/>
        </w:rPr>
        <w:t>problems</w:t>
      </w:r>
      <w:r>
        <w:rPr>
          <w:spacing w:val="-11"/>
        </w:rPr>
        <w:t> </w:t>
      </w:r>
      <w:r>
        <w:rPr>
          <w:spacing w:val="-2"/>
        </w:rPr>
        <w:t>where</w:t>
      </w:r>
      <w:r>
        <w:rPr>
          <w:spacing w:val="-12"/>
        </w:rPr>
        <w:t> </w:t>
      </w:r>
      <w:r>
        <w:rPr>
          <w:spacing w:val="-2"/>
        </w:rPr>
        <w:t>the</w:t>
      </w:r>
      <w:r>
        <w:rPr>
          <w:spacing w:val="-12"/>
        </w:rPr>
        <w:t> </w:t>
      </w:r>
      <w:r>
        <w:rPr>
          <w:spacing w:val="-2"/>
        </w:rPr>
        <w:t>aim</w:t>
      </w:r>
      <w:r>
        <w:rPr>
          <w:spacing w:val="-12"/>
        </w:rPr>
        <w:t> </w:t>
      </w:r>
      <w:r>
        <w:rPr>
          <w:spacing w:val="-2"/>
        </w:rPr>
        <w:t>is</w:t>
      </w:r>
      <w:r>
        <w:rPr>
          <w:spacing w:val="-11"/>
        </w:rPr>
        <w:t> </w:t>
      </w:r>
      <w:r>
        <w:rPr>
          <w:spacing w:val="-2"/>
        </w:rPr>
        <w:t>to</w:t>
      </w:r>
      <w:r>
        <w:rPr>
          <w:spacing w:val="-12"/>
        </w:rPr>
        <w:t> </w:t>
      </w:r>
      <w:r>
        <w:rPr>
          <w:spacing w:val="-2"/>
        </w:rPr>
        <w:t>explain</w:t>
      </w:r>
      <w:r>
        <w:rPr>
          <w:spacing w:val="-12"/>
        </w:rPr>
        <w:t> </w:t>
      </w:r>
      <w:r>
        <w:rPr>
          <w:spacing w:val="-2"/>
        </w:rPr>
        <w:t>which </w:t>
      </w:r>
      <w:r>
        <w:rPr/>
        <w:t>conditions drive production, not merely to forecast, this opacity is a fundamental constraint. No </w:t>
      </w:r>
      <w:r>
        <w:rPr>
          <w:spacing w:val="-2"/>
        </w:rPr>
        <w:t>published</w:t>
      </w:r>
      <w:r>
        <w:rPr>
          <w:spacing w:val="-7"/>
        </w:rPr>
        <w:t> </w:t>
      </w:r>
      <w:r>
        <w:rPr>
          <w:spacing w:val="-2"/>
        </w:rPr>
        <w:t>work</w:t>
      </w:r>
      <w:r>
        <w:rPr>
          <w:spacing w:val="-7"/>
        </w:rPr>
        <w:t> </w:t>
      </w:r>
      <w:r>
        <w:rPr>
          <w:spacing w:val="-2"/>
        </w:rPr>
        <w:t>applies</w:t>
      </w:r>
      <w:r>
        <w:rPr>
          <w:spacing w:val="-7"/>
        </w:rPr>
        <w:t> </w:t>
      </w:r>
      <w:r>
        <w:rPr>
          <w:spacing w:val="-2"/>
        </w:rPr>
        <w:t>interpretable</w:t>
      </w:r>
      <w:r>
        <w:rPr>
          <w:spacing w:val="-7"/>
        </w:rPr>
        <w:t> </w:t>
      </w:r>
      <w:r>
        <w:rPr>
          <w:spacing w:val="-2"/>
        </w:rPr>
        <w:t>rule-based</w:t>
      </w:r>
      <w:r>
        <w:rPr>
          <w:spacing w:val="-7"/>
        </w:rPr>
        <w:t> </w:t>
      </w:r>
      <w:r>
        <w:rPr>
          <w:spacing w:val="-2"/>
        </w:rPr>
        <w:t>discovery</w:t>
      </w:r>
      <w:r>
        <w:rPr>
          <w:spacing w:val="-7"/>
        </w:rPr>
        <w:t> </w:t>
      </w:r>
      <w:r>
        <w:rPr>
          <w:spacing w:val="-2"/>
        </w:rPr>
        <w:t>methods</w:t>
      </w:r>
      <w:r>
        <w:rPr>
          <w:spacing w:val="-7"/>
        </w:rPr>
        <w:t> </w:t>
      </w:r>
      <w:r>
        <w:rPr>
          <w:spacing w:val="-2"/>
        </w:rPr>
        <w:t>to</w:t>
      </w:r>
      <w:r>
        <w:rPr>
          <w:spacing w:val="-7"/>
        </w:rPr>
        <w:t> </w:t>
      </w:r>
      <w:r>
        <w:rPr>
          <w:spacing w:val="-2"/>
        </w:rPr>
        <w:t>extract</w:t>
      </w:r>
      <w:r>
        <w:rPr>
          <w:spacing w:val="-7"/>
        </w:rPr>
        <w:t> </w:t>
      </w:r>
      <w:r>
        <w:rPr>
          <w:spacing w:val="-2"/>
        </w:rPr>
        <w:t>statistically</w:t>
      </w:r>
      <w:r>
        <w:rPr>
          <w:spacing w:val="-7"/>
        </w:rPr>
        <w:t> </w:t>
      </w:r>
      <w:r>
        <w:rPr>
          <w:spacing w:val="-2"/>
        </w:rPr>
        <w:t>validated, </w:t>
      </w:r>
      <w:r>
        <w:rPr/>
        <w:t>human-readable agroclimatic patterns from long regional wine production records.</w:t>
      </w:r>
    </w:p>
    <w:p>
      <w:pPr>
        <w:pStyle w:val="BodyText"/>
        <w:spacing w:before="239"/>
      </w:pPr>
    </w:p>
    <w:p>
      <w:pPr>
        <w:pStyle w:val="Heading2"/>
        <w:numPr>
          <w:ilvl w:val="1"/>
          <w:numId w:val="16"/>
        </w:numPr>
        <w:tabs>
          <w:tab w:pos="787" w:val="left" w:leader="none"/>
        </w:tabs>
        <w:spacing w:line="240" w:lineRule="auto" w:before="0" w:after="0"/>
        <w:ind w:left="787" w:right="0" w:hanging="645"/>
        <w:jc w:val="left"/>
      </w:pPr>
      <w:bookmarkStart w:name="2.5 Subgroup Discovery" w:id="35"/>
      <w:bookmarkEnd w:id="35"/>
      <w:r>
        <w:rPr>
          <w:b w:val="0"/>
        </w:rPr>
      </w:r>
      <w:bookmarkStart w:name="_bookmark15" w:id="36"/>
      <w:bookmarkEnd w:id="36"/>
      <w:r>
        <w:rPr>
          <w:b w:val="0"/>
        </w:rPr>
      </w:r>
      <w:r>
        <w:rPr/>
        <w:t>Subgroup</w:t>
      </w:r>
      <w:r>
        <w:rPr>
          <w:spacing w:val="18"/>
        </w:rPr>
        <w:t> </w:t>
      </w:r>
      <w:r>
        <w:rPr>
          <w:spacing w:val="-2"/>
        </w:rPr>
        <w:t>Discovery</w:t>
      </w:r>
    </w:p>
    <w:p>
      <w:pPr>
        <w:pStyle w:val="BodyText"/>
        <w:rPr>
          <w:b/>
          <w:sz w:val="28"/>
        </w:rPr>
      </w:pPr>
    </w:p>
    <w:p>
      <w:pPr>
        <w:pStyle w:val="BodyText"/>
        <w:spacing w:line="312" w:lineRule="auto"/>
        <w:ind w:left="135" w:right="1519" w:firstLine="7"/>
        <w:jc w:val="both"/>
      </w:pPr>
      <w:r>
        <w:rPr/>
        <w:t>Subgroup discovery (SD) is a descriptive induction technique that identifies subsets of a dataset, defined by conjunctions of attribute-value conditions, within which the distribution of a target variable</w:t>
      </w:r>
      <w:r>
        <w:rPr>
          <w:spacing w:val="-6"/>
        </w:rPr>
        <w:t> </w:t>
      </w:r>
      <w:r>
        <w:rPr/>
        <w:t>is</w:t>
      </w:r>
      <w:r>
        <w:rPr>
          <w:spacing w:val="-6"/>
        </w:rPr>
        <w:t> </w:t>
      </w:r>
      <w:r>
        <w:rPr/>
        <w:t>statistically</w:t>
      </w:r>
      <w:r>
        <w:rPr>
          <w:spacing w:val="-6"/>
        </w:rPr>
        <w:t> </w:t>
      </w:r>
      <w:r>
        <w:rPr/>
        <w:t>exceptional</w:t>
      </w:r>
      <w:r>
        <w:rPr>
          <w:spacing w:val="-6"/>
        </w:rPr>
        <w:t> </w:t>
      </w:r>
      <w:r>
        <w:rPr/>
        <w:t>relative</w:t>
      </w:r>
      <w:r>
        <w:rPr>
          <w:spacing w:val="-6"/>
        </w:rPr>
        <w:t> </w:t>
      </w:r>
      <w:r>
        <w:rPr/>
        <w:t>to</w:t>
      </w:r>
      <w:r>
        <w:rPr>
          <w:spacing w:val="-6"/>
        </w:rPr>
        <w:t> </w:t>
      </w:r>
      <w:r>
        <w:rPr/>
        <w:t>the</w:t>
      </w:r>
      <w:r>
        <w:rPr>
          <w:spacing w:val="-6"/>
        </w:rPr>
        <w:t> </w:t>
      </w:r>
      <w:r>
        <w:rPr/>
        <w:t>overall</w:t>
      </w:r>
      <w:r>
        <w:rPr>
          <w:spacing w:val="-6"/>
        </w:rPr>
        <w:t> </w:t>
      </w:r>
      <w:r>
        <w:rPr/>
        <w:t>population</w:t>
      </w:r>
      <w:r>
        <w:rPr>
          <w:spacing w:val="-6"/>
        </w:rPr>
        <w:t> </w:t>
      </w:r>
      <w:r>
        <w:rPr/>
        <w:t>(</w:t>
      </w:r>
      <w:hyperlink w:history="true" w:anchor="_bookmark221">
        <w:r>
          <w:rPr>
            <w:color w:val="8B2C18"/>
          </w:rPr>
          <w:t>Herrera</w:t>
        </w:r>
        <w:r>
          <w:rPr>
            <w:color w:val="8B2C18"/>
            <w:spacing w:val="-6"/>
          </w:rPr>
          <w:t> </w:t>
        </w:r>
        <w:r>
          <w:rPr>
            <w:color w:val="8B2C18"/>
          </w:rPr>
          <w:t>et</w:t>
        </w:r>
        <w:r>
          <w:rPr>
            <w:color w:val="8B2C18"/>
            <w:spacing w:val="-6"/>
          </w:rPr>
          <w:t> </w:t>
        </w:r>
        <w:r>
          <w:rPr>
            <w:color w:val="8B2C18"/>
          </w:rPr>
          <w:t>al.</w:t>
        </w:r>
      </w:hyperlink>
      <w:r>
        <w:rPr/>
        <w:t>,</w:t>
      </w:r>
      <w:r>
        <w:rPr>
          <w:spacing w:val="-6"/>
        </w:rPr>
        <w:t> </w:t>
      </w:r>
      <w:hyperlink w:history="true" w:anchor="_bookmark221">
        <w:r>
          <w:rPr>
            <w:color w:val="8B2C18"/>
          </w:rPr>
          <w:t>2011</w:t>
        </w:r>
      </w:hyperlink>
      <w:r>
        <w:rPr/>
        <w:t>). Unlike classification,</w:t>
      </w:r>
      <w:r>
        <w:rPr>
          <w:spacing w:val="-16"/>
        </w:rPr>
        <w:t> </w:t>
      </w:r>
      <w:r>
        <w:rPr/>
        <w:t>which</w:t>
      </w:r>
      <w:r>
        <w:rPr>
          <w:spacing w:val="-14"/>
        </w:rPr>
        <w:t> </w:t>
      </w:r>
      <w:r>
        <w:rPr/>
        <w:t>aims</w:t>
      </w:r>
      <w:r>
        <w:rPr>
          <w:spacing w:val="-14"/>
        </w:rPr>
        <w:t> </w:t>
      </w:r>
      <w:r>
        <w:rPr/>
        <w:t>to</w:t>
      </w:r>
      <w:r>
        <w:rPr>
          <w:spacing w:val="-13"/>
        </w:rPr>
        <w:t> </w:t>
      </w:r>
      <w:r>
        <w:rPr/>
        <w:t>correctly</w:t>
      </w:r>
      <w:r>
        <w:rPr>
          <w:spacing w:val="-14"/>
        </w:rPr>
        <w:t> </w:t>
      </w:r>
      <w:r>
        <w:rPr/>
        <w:t>assign</w:t>
      </w:r>
      <w:r>
        <w:rPr>
          <w:spacing w:val="-14"/>
        </w:rPr>
        <w:t> </w:t>
      </w:r>
      <w:r>
        <w:rPr/>
        <w:t>every</w:t>
      </w:r>
      <w:r>
        <w:rPr>
          <w:spacing w:val="-14"/>
        </w:rPr>
        <w:t> </w:t>
      </w:r>
      <w:r>
        <w:rPr/>
        <w:t>observation</w:t>
      </w:r>
      <w:r>
        <w:rPr>
          <w:spacing w:val="-13"/>
        </w:rPr>
        <w:t> </w:t>
      </w:r>
      <w:r>
        <w:rPr/>
        <w:t>to</w:t>
      </w:r>
      <w:r>
        <w:rPr>
          <w:spacing w:val="-14"/>
        </w:rPr>
        <w:t> </w:t>
      </w:r>
      <w:r>
        <w:rPr/>
        <w:t>a</w:t>
      </w:r>
      <w:r>
        <w:rPr>
          <w:spacing w:val="-14"/>
        </w:rPr>
        <w:t> </w:t>
      </w:r>
      <w:r>
        <w:rPr/>
        <w:t>class,</w:t>
      </w:r>
      <w:r>
        <w:rPr>
          <w:spacing w:val="-14"/>
        </w:rPr>
        <w:t> </w:t>
      </w:r>
      <w:r>
        <w:rPr/>
        <w:t>SD</w:t>
      </w:r>
      <w:r>
        <w:rPr>
          <w:spacing w:val="-13"/>
        </w:rPr>
        <w:t> </w:t>
      </w:r>
      <w:r>
        <w:rPr/>
        <w:t>aims</w:t>
      </w:r>
      <w:r>
        <w:rPr>
          <w:spacing w:val="-14"/>
        </w:rPr>
        <w:t> </w:t>
      </w:r>
      <w:r>
        <w:rPr/>
        <w:t>to</w:t>
      </w:r>
      <w:r>
        <w:rPr>
          <w:spacing w:val="-14"/>
        </w:rPr>
        <w:t> </w:t>
      </w:r>
      <w:r>
        <w:rPr/>
        <w:t>find</w:t>
      </w:r>
      <w:r>
        <w:rPr>
          <w:spacing w:val="-14"/>
        </w:rPr>
        <w:t> </w:t>
      </w:r>
      <w:r>
        <w:rPr/>
        <w:t>the</w:t>
      </w:r>
      <w:r>
        <w:rPr>
          <w:spacing w:val="-13"/>
        </w:rPr>
        <w:t> </w:t>
      </w:r>
      <w:r>
        <w:rPr/>
        <w:t>most interesting</w:t>
      </w:r>
      <w:r>
        <w:rPr>
          <w:spacing w:val="-3"/>
        </w:rPr>
        <w:t> </w:t>
      </w:r>
      <w:r>
        <w:rPr/>
        <w:t>local</w:t>
      </w:r>
      <w:r>
        <w:rPr>
          <w:spacing w:val="-3"/>
        </w:rPr>
        <w:t> </w:t>
      </w:r>
      <w:r>
        <w:rPr/>
        <w:t>patterns: subgroups</w:t>
      </w:r>
      <w:r>
        <w:rPr>
          <w:spacing w:val="-3"/>
        </w:rPr>
        <w:t> </w:t>
      </w:r>
      <w:r>
        <w:rPr/>
        <w:t>that</w:t>
      </w:r>
      <w:r>
        <w:rPr>
          <w:spacing w:val="-3"/>
        </w:rPr>
        <w:t> </w:t>
      </w:r>
      <w:r>
        <w:rPr/>
        <w:t>are</w:t>
      </w:r>
      <w:r>
        <w:rPr>
          <w:spacing w:val="-3"/>
        </w:rPr>
        <w:t> </w:t>
      </w:r>
      <w:r>
        <w:rPr/>
        <w:t>both</w:t>
      </w:r>
      <w:r>
        <w:rPr>
          <w:spacing w:val="-3"/>
        </w:rPr>
        <w:t> </w:t>
      </w:r>
      <w:r>
        <w:rPr/>
        <w:t>statistically</w:t>
      </w:r>
      <w:r>
        <w:rPr>
          <w:spacing w:val="-3"/>
        </w:rPr>
        <w:t> </w:t>
      </w:r>
      <w:r>
        <w:rPr/>
        <w:t>significant</w:t>
      </w:r>
      <w:r>
        <w:rPr>
          <w:spacing w:val="-3"/>
        </w:rPr>
        <w:t> </w:t>
      </w:r>
      <w:r>
        <w:rPr/>
        <w:t>and</w:t>
      </w:r>
      <w:r>
        <w:rPr>
          <w:spacing w:val="-3"/>
        </w:rPr>
        <w:t> </w:t>
      </w:r>
      <w:r>
        <w:rPr/>
        <w:t>sufficiently</w:t>
      </w:r>
      <w:r>
        <w:rPr>
          <w:spacing w:val="-3"/>
        </w:rPr>
        <w:t> </w:t>
      </w:r>
      <w:r>
        <w:rPr/>
        <w:t>large</w:t>
      </w:r>
      <w:r>
        <w:rPr>
          <w:spacing w:val="-3"/>
        </w:rPr>
        <w:t> </w:t>
      </w:r>
      <w:r>
        <w:rPr/>
        <w:t>to be</w:t>
      </w:r>
      <w:r>
        <w:rPr>
          <w:spacing w:val="-16"/>
        </w:rPr>
        <w:t> </w:t>
      </w:r>
      <w:r>
        <w:rPr/>
        <w:t>meaningful.</w:t>
      </w:r>
      <w:r>
        <w:rPr>
          <w:spacing w:val="-14"/>
        </w:rPr>
        <w:t> </w:t>
      </w:r>
      <w:r>
        <w:rPr/>
        <w:t>The</w:t>
      </w:r>
      <w:r>
        <w:rPr>
          <w:spacing w:val="-14"/>
        </w:rPr>
        <w:t> </w:t>
      </w:r>
      <w:r>
        <w:rPr/>
        <w:t>field</w:t>
      </w:r>
      <w:r>
        <w:rPr>
          <w:spacing w:val="-13"/>
        </w:rPr>
        <w:t> </w:t>
      </w:r>
      <w:r>
        <w:rPr/>
        <w:t>was</w:t>
      </w:r>
      <w:r>
        <w:rPr>
          <w:spacing w:val="-14"/>
        </w:rPr>
        <w:t> </w:t>
      </w:r>
      <w:r>
        <w:rPr/>
        <w:t>formalised</w:t>
      </w:r>
      <w:r>
        <w:rPr>
          <w:spacing w:val="-14"/>
        </w:rPr>
        <w:t> </w:t>
      </w:r>
      <w:r>
        <w:rPr/>
        <w:t>by</w:t>
      </w:r>
      <w:r>
        <w:rPr>
          <w:spacing w:val="-14"/>
        </w:rPr>
        <w:t> </w:t>
      </w:r>
      <w:hyperlink w:history="true" w:anchor="_bookmark232">
        <w:r>
          <w:rPr>
            <w:color w:val="8B2C18"/>
          </w:rPr>
          <w:t>Wrobel</w:t>
        </w:r>
        <w:r>
          <w:rPr>
            <w:color w:val="8B2C18"/>
            <w:spacing w:val="-13"/>
          </w:rPr>
          <w:t> </w:t>
        </w:r>
        <w:r>
          <w:rPr>
            <w:color w:val="8B2C18"/>
          </w:rPr>
          <w:t>and</w:t>
        </w:r>
        <w:r>
          <w:rPr>
            <w:color w:val="8B2C18"/>
            <w:spacing w:val="-14"/>
          </w:rPr>
          <w:t> </w:t>
        </w:r>
        <w:r>
          <w:rPr>
            <w:color w:val="8B2C18"/>
          </w:rPr>
          <w:t>S</w:t>
        </w:r>
      </w:hyperlink>
      <w:r>
        <w:rPr>
          <w:color w:val="8B2C18"/>
          <w:spacing w:val="-14"/>
        </w:rPr>
        <w:t> </w:t>
      </w:r>
      <w:r>
        <w:rPr/>
        <w:t>(</w:t>
      </w:r>
      <w:hyperlink w:history="true" w:anchor="_bookmark232">
        <w:r>
          <w:rPr>
            <w:color w:val="8B2C18"/>
          </w:rPr>
          <w:t>1997</w:t>
        </w:r>
      </w:hyperlink>
      <w:r>
        <w:rPr/>
        <w:t>)</w:t>
      </w:r>
      <w:r>
        <w:rPr>
          <w:spacing w:val="-14"/>
        </w:rPr>
        <w:t> </w:t>
      </w:r>
      <w:r>
        <w:rPr/>
        <w:t>and</w:t>
      </w:r>
      <w:r>
        <w:rPr>
          <w:spacing w:val="-13"/>
        </w:rPr>
        <w:t> </w:t>
      </w:r>
      <w:r>
        <w:rPr/>
        <w:t>Klösgen</w:t>
      </w:r>
      <w:r>
        <w:rPr>
          <w:spacing w:val="-14"/>
        </w:rPr>
        <w:t> </w:t>
      </w:r>
      <w:r>
        <w:rPr/>
        <w:t>(1996).</w:t>
      </w:r>
      <w:r>
        <w:rPr>
          <w:spacing w:val="-14"/>
        </w:rPr>
        <w:t> </w:t>
      </w:r>
      <w:hyperlink w:history="true" w:anchor="_bookmark224">
        <w:r>
          <w:rPr>
            <w:color w:val="8B2C18"/>
          </w:rPr>
          <w:t>Lavrac</w:t>
        </w:r>
        <w:r>
          <w:rPr>
            <w:color w:val="8B2C18"/>
            <w:spacing w:val="-14"/>
          </w:rPr>
          <w:t> </w:t>
        </w:r>
        <w:r>
          <w:rPr>
            <w:color w:val="8B2C18"/>
          </w:rPr>
          <w:t>et</w:t>
        </w:r>
        <w:r>
          <w:rPr>
            <w:color w:val="8B2C18"/>
            <w:spacing w:val="-13"/>
          </w:rPr>
          <w:t> </w:t>
        </w:r>
        <w:r>
          <w:rPr>
            <w:color w:val="8B2C18"/>
          </w:rPr>
          <w:t>al.</w:t>
        </w:r>
      </w:hyperlink>
      <w:r>
        <w:rPr>
          <w:color w:val="8B2C18"/>
        </w:rPr>
        <w:t> </w:t>
      </w:r>
      <w:r>
        <w:rPr>
          <w:spacing w:val="-2"/>
        </w:rPr>
        <w:t>(</w:t>
      </w:r>
      <w:hyperlink w:history="true" w:anchor="_bookmark224">
        <w:r>
          <w:rPr>
            <w:color w:val="8B2C18"/>
            <w:spacing w:val="-2"/>
          </w:rPr>
          <w:t>2004</w:t>
        </w:r>
      </w:hyperlink>
      <w:r>
        <w:rPr>
          <w:spacing w:val="-2"/>
        </w:rPr>
        <w:t>)</w:t>
      </w:r>
      <w:r>
        <w:rPr>
          <w:spacing w:val="-7"/>
        </w:rPr>
        <w:t> </w:t>
      </w:r>
      <w:r>
        <w:rPr>
          <w:spacing w:val="-2"/>
        </w:rPr>
        <w:t>extended</w:t>
      </w:r>
      <w:r>
        <w:rPr>
          <w:spacing w:val="-7"/>
        </w:rPr>
        <w:t> </w:t>
      </w:r>
      <w:r>
        <w:rPr>
          <w:spacing w:val="-2"/>
        </w:rPr>
        <w:t>the</w:t>
      </w:r>
      <w:r>
        <w:rPr>
          <w:spacing w:val="-7"/>
        </w:rPr>
        <w:t> </w:t>
      </w:r>
      <w:r>
        <w:rPr>
          <w:spacing w:val="-2"/>
        </w:rPr>
        <w:t>CN2</w:t>
      </w:r>
      <w:r>
        <w:rPr>
          <w:spacing w:val="-7"/>
        </w:rPr>
        <w:t> </w:t>
      </w:r>
      <w:r>
        <w:rPr>
          <w:spacing w:val="-2"/>
        </w:rPr>
        <w:t>rule</w:t>
      </w:r>
      <w:r>
        <w:rPr>
          <w:spacing w:val="-7"/>
        </w:rPr>
        <w:t> </w:t>
      </w:r>
      <w:r>
        <w:rPr>
          <w:spacing w:val="-2"/>
        </w:rPr>
        <w:t>learner</w:t>
      </w:r>
      <w:r>
        <w:rPr>
          <w:spacing w:val="-7"/>
        </w:rPr>
        <w:t> </w:t>
      </w:r>
      <w:r>
        <w:rPr>
          <w:spacing w:val="-2"/>
        </w:rPr>
        <w:t>(</w:t>
      </w:r>
      <w:hyperlink w:history="true" w:anchor="_bookmark214">
        <w:r>
          <w:rPr>
            <w:color w:val="8B2C18"/>
            <w:spacing w:val="-2"/>
          </w:rPr>
          <w:t>Clark</w:t>
        </w:r>
        <w:r>
          <w:rPr>
            <w:color w:val="8B2C18"/>
            <w:spacing w:val="-7"/>
          </w:rPr>
          <w:t> </w:t>
        </w:r>
        <w:r>
          <w:rPr>
            <w:color w:val="8B2C18"/>
            <w:spacing w:val="-2"/>
          </w:rPr>
          <w:t>et</w:t>
        </w:r>
        <w:r>
          <w:rPr>
            <w:color w:val="8B2C18"/>
            <w:spacing w:val="-7"/>
          </w:rPr>
          <w:t> </w:t>
        </w:r>
        <w:r>
          <w:rPr>
            <w:color w:val="8B2C18"/>
            <w:spacing w:val="-2"/>
          </w:rPr>
          <w:t>al.</w:t>
        </w:r>
      </w:hyperlink>
      <w:r>
        <w:rPr>
          <w:spacing w:val="-2"/>
        </w:rPr>
        <w:t>,</w:t>
      </w:r>
      <w:r>
        <w:rPr>
          <w:spacing w:val="-7"/>
        </w:rPr>
        <w:t> </w:t>
      </w:r>
      <w:hyperlink w:history="true" w:anchor="_bookmark214">
        <w:r>
          <w:rPr>
            <w:color w:val="8B2C18"/>
            <w:spacing w:val="-2"/>
          </w:rPr>
          <w:t>1989</w:t>
        </w:r>
      </w:hyperlink>
      <w:r>
        <w:rPr>
          <w:spacing w:val="-2"/>
        </w:rPr>
        <w:t>)</w:t>
      </w:r>
      <w:r>
        <w:rPr>
          <w:spacing w:val="-7"/>
        </w:rPr>
        <w:t> </w:t>
      </w:r>
      <w:r>
        <w:rPr>
          <w:spacing w:val="-2"/>
        </w:rPr>
        <w:t>to</w:t>
      </w:r>
      <w:r>
        <w:rPr>
          <w:spacing w:val="-7"/>
        </w:rPr>
        <w:t> </w:t>
      </w:r>
      <w:r>
        <w:rPr>
          <w:spacing w:val="-2"/>
        </w:rPr>
        <w:t>subgroup</w:t>
      </w:r>
      <w:r>
        <w:rPr>
          <w:spacing w:val="-7"/>
        </w:rPr>
        <w:t> </w:t>
      </w:r>
      <w:r>
        <w:rPr>
          <w:spacing w:val="-2"/>
        </w:rPr>
        <w:t>discovery</w:t>
      </w:r>
      <w:r>
        <w:rPr>
          <w:spacing w:val="-7"/>
        </w:rPr>
        <w:t> </w:t>
      </w:r>
      <w:r>
        <w:rPr>
          <w:spacing w:val="-2"/>
        </w:rPr>
        <w:t>(CN2-SD);</w:t>
      </w:r>
      <w:r>
        <w:rPr>
          <w:spacing w:val="-7"/>
        </w:rPr>
        <w:t> </w:t>
      </w:r>
      <w:hyperlink w:history="true" w:anchor="_bookmark223">
        <w:r>
          <w:rPr>
            <w:color w:val="8B2C18"/>
            <w:spacing w:val="-2"/>
          </w:rPr>
          <w:t>Kavšek</w:t>
        </w:r>
      </w:hyperlink>
      <w:r>
        <w:rPr>
          <w:color w:val="8B2C18"/>
          <w:spacing w:val="-2"/>
        </w:rPr>
        <w:t> </w:t>
      </w:r>
      <w:hyperlink w:history="true" w:anchor="_bookmark223">
        <w:r>
          <w:rPr>
            <w:color w:val="8B2C18"/>
          </w:rPr>
          <w:t>et al.</w:t>
        </w:r>
      </w:hyperlink>
      <w:r>
        <w:rPr>
          <w:color w:val="8B2C18"/>
        </w:rPr>
        <w:t> </w:t>
      </w:r>
      <w:r>
        <w:rPr/>
        <w:t>(</w:t>
      </w:r>
      <w:hyperlink w:history="true" w:anchor="_bookmark223">
        <w:r>
          <w:rPr>
            <w:color w:val="8B2C18"/>
          </w:rPr>
          <w:t>2006</w:t>
        </w:r>
      </w:hyperlink>
      <w:r>
        <w:rPr/>
        <w:t>) adapted the Apriori algorithm to SD (APRIORI-SD).</w:t>
      </w:r>
    </w:p>
    <w:p>
      <w:pPr>
        <w:pStyle w:val="BodyText"/>
        <w:spacing w:line="312" w:lineRule="auto" w:before="15"/>
        <w:ind w:left="142" w:right="1438" w:firstLine="338"/>
        <w:jc w:val="both"/>
      </w:pPr>
      <w:r>
        <w:rPr>
          <w:spacing w:val="-4"/>
        </w:rPr>
        <w:t>A</w:t>
      </w:r>
      <w:r>
        <w:rPr>
          <w:spacing w:val="-10"/>
        </w:rPr>
        <w:t> </w:t>
      </w:r>
      <w:r>
        <w:rPr>
          <w:spacing w:val="-4"/>
        </w:rPr>
        <w:t>significant</w:t>
      </w:r>
      <w:r>
        <w:rPr>
          <w:spacing w:val="-10"/>
        </w:rPr>
        <w:t> </w:t>
      </w:r>
      <w:r>
        <w:rPr>
          <w:spacing w:val="-4"/>
        </w:rPr>
        <w:t>recent</w:t>
      </w:r>
      <w:r>
        <w:rPr>
          <w:spacing w:val="-10"/>
        </w:rPr>
        <w:t> </w:t>
      </w:r>
      <w:r>
        <w:rPr>
          <w:spacing w:val="-4"/>
        </w:rPr>
        <w:t>development</w:t>
      </w:r>
      <w:r>
        <w:rPr>
          <w:spacing w:val="-9"/>
        </w:rPr>
        <w:t> </w:t>
      </w:r>
      <w:r>
        <w:rPr>
          <w:spacing w:val="-4"/>
        </w:rPr>
        <w:t>is</w:t>
      </w:r>
      <w:r>
        <w:rPr>
          <w:spacing w:val="-10"/>
        </w:rPr>
        <w:t> </w:t>
      </w:r>
      <w:r>
        <w:rPr>
          <w:spacing w:val="-4"/>
        </w:rPr>
        <w:t>Exceptional</w:t>
      </w:r>
      <w:r>
        <w:rPr>
          <w:spacing w:val="-10"/>
        </w:rPr>
        <w:t> </w:t>
      </w:r>
      <w:r>
        <w:rPr>
          <w:spacing w:val="-4"/>
        </w:rPr>
        <w:t>Model</w:t>
      </w:r>
      <w:r>
        <w:rPr>
          <w:spacing w:val="-10"/>
        </w:rPr>
        <w:t> </w:t>
      </w:r>
      <w:r>
        <w:rPr>
          <w:spacing w:val="-4"/>
        </w:rPr>
        <w:t>Mining</w:t>
      </w:r>
      <w:r>
        <w:rPr>
          <w:spacing w:val="-9"/>
        </w:rPr>
        <w:t> </w:t>
      </w:r>
      <w:r>
        <w:rPr>
          <w:spacing w:val="-4"/>
        </w:rPr>
        <w:t>(EMM),</w:t>
      </w:r>
      <w:r>
        <w:rPr>
          <w:spacing w:val="-10"/>
        </w:rPr>
        <w:t> </w:t>
      </w:r>
      <w:r>
        <w:rPr>
          <w:spacing w:val="-4"/>
        </w:rPr>
        <w:t>introduced</w:t>
      </w:r>
      <w:r>
        <w:rPr>
          <w:spacing w:val="-10"/>
        </w:rPr>
        <w:t> </w:t>
      </w:r>
      <w:r>
        <w:rPr>
          <w:spacing w:val="-4"/>
        </w:rPr>
        <w:t>by</w:t>
      </w:r>
      <w:r>
        <w:rPr>
          <w:spacing w:val="-10"/>
        </w:rPr>
        <w:t> </w:t>
      </w:r>
      <w:hyperlink w:history="true" w:anchor="_bookmark219">
        <w:r>
          <w:rPr>
            <w:color w:val="8B2C18"/>
            <w:spacing w:val="-4"/>
          </w:rPr>
          <w:t>Duivestei</w:t>
        </w:r>
      </w:hyperlink>
      <w:r>
        <w:rPr>
          <w:color w:val="8B2C18"/>
          <w:spacing w:val="-4"/>
        </w:rPr>
        <w:t>jn </w:t>
      </w:r>
      <w:hyperlink w:history="true" w:anchor="_bookmark219">
        <w:r>
          <w:rPr>
            <w:color w:val="8B2C18"/>
          </w:rPr>
          <w:t>et</w:t>
        </w:r>
        <w:r>
          <w:rPr>
            <w:color w:val="8B2C18"/>
            <w:spacing w:val="-6"/>
          </w:rPr>
          <w:t> </w:t>
        </w:r>
        <w:r>
          <w:rPr>
            <w:color w:val="8B2C18"/>
          </w:rPr>
          <w:t>al.</w:t>
        </w:r>
      </w:hyperlink>
      <w:r>
        <w:rPr>
          <w:color w:val="8B2C18"/>
          <w:spacing w:val="-6"/>
        </w:rPr>
        <w:t> </w:t>
      </w:r>
      <w:r>
        <w:rPr/>
        <w:t>(</w:t>
      </w:r>
      <w:hyperlink w:history="true" w:anchor="_bookmark219">
        <w:r>
          <w:rPr>
            <w:color w:val="8B2C18"/>
          </w:rPr>
          <w:t>2016</w:t>
        </w:r>
      </w:hyperlink>
      <w:r>
        <w:rPr/>
        <w:t>)</w:t>
      </w:r>
      <w:r>
        <w:rPr>
          <w:spacing w:val="-6"/>
        </w:rPr>
        <w:t> </w:t>
      </w:r>
      <w:r>
        <w:rPr/>
        <w:t>as</w:t>
      </w:r>
      <w:r>
        <w:rPr>
          <w:spacing w:val="-6"/>
        </w:rPr>
        <w:t> </w:t>
      </w:r>
      <w:r>
        <w:rPr/>
        <w:t>a</w:t>
      </w:r>
      <w:r>
        <w:rPr>
          <w:spacing w:val="-6"/>
        </w:rPr>
        <w:t> </w:t>
      </w:r>
      <w:r>
        <w:rPr/>
        <w:t>generalisation</w:t>
      </w:r>
      <w:r>
        <w:rPr>
          <w:spacing w:val="-6"/>
        </w:rPr>
        <w:t> </w:t>
      </w:r>
      <w:r>
        <w:rPr/>
        <w:t>where</w:t>
      </w:r>
      <w:r>
        <w:rPr>
          <w:spacing w:val="-6"/>
        </w:rPr>
        <w:t> </w:t>
      </w:r>
      <w:r>
        <w:rPr/>
        <w:t>the</w:t>
      </w:r>
      <w:r>
        <w:rPr>
          <w:spacing w:val="-6"/>
        </w:rPr>
        <w:t> </w:t>
      </w:r>
      <w:r>
        <w:rPr/>
        <w:t>interestingness</w:t>
      </w:r>
      <w:r>
        <w:rPr>
          <w:spacing w:val="-6"/>
        </w:rPr>
        <w:t> </w:t>
      </w:r>
      <w:r>
        <w:rPr/>
        <w:t>criterion</w:t>
      </w:r>
      <w:r>
        <w:rPr>
          <w:spacing w:val="-6"/>
        </w:rPr>
        <w:t> </w:t>
      </w:r>
      <w:r>
        <w:rPr/>
        <w:t>is</w:t>
      </w:r>
      <w:r>
        <w:rPr>
          <w:spacing w:val="-6"/>
        </w:rPr>
        <w:t> </w:t>
      </w:r>
      <w:r>
        <w:rPr/>
        <w:t>based</w:t>
      </w:r>
      <w:r>
        <w:rPr>
          <w:spacing w:val="-6"/>
        </w:rPr>
        <w:t> </w:t>
      </w:r>
      <w:r>
        <w:rPr/>
        <w:t>on</w:t>
      </w:r>
      <w:r>
        <w:rPr>
          <w:spacing w:val="-6"/>
        </w:rPr>
        <w:t> </w:t>
      </w:r>
      <w:r>
        <w:rPr/>
        <w:t>a</w:t>
      </w:r>
      <w:r>
        <w:rPr>
          <w:spacing w:val="-6"/>
        </w:rPr>
        <w:t> </w:t>
      </w:r>
      <w:r>
        <w:rPr/>
        <w:t>model</w:t>
      </w:r>
      <w:r>
        <w:rPr>
          <w:spacing w:val="-6"/>
        </w:rPr>
        <w:t> </w:t>
      </w:r>
      <w:r>
        <w:rPr/>
        <w:t>fitted</w:t>
      </w:r>
      <w:r>
        <w:rPr>
          <w:spacing w:val="-6"/>
        </w:rPr>
        <w:t> </w:t>
      </w:r>
      <w:r>
        <w:rPr/>
        <w:t>to</w:t>
      </w:r>
      <w:r>
        <w:rPr>
          <w:spacing w:val="-6"/>
        </w:rPr>
        <w:t> </w:t>
      </w:r>
      <w:r>
        <w:rPr/>
        <w:t>the</w:t>
      </w:r>
    </w:p>
    <w:p>
      <w:pPr>
        <w:pStyle w:val="BodyText"/>
        <w:spacing w:after="0" w:line="312" w:lineRule="auto"/>
        <w:jc w:val="both"/>
        <w:sectPr>
          <w:headerReference w:type="even" r:id="rId34"/>
          <w:headerReference w:type="default" r:id="rId35"/>
          <w:pgSz w:w="11910" w:h="16840"/>
          <w:pgMar w:header="1160" w:footer="0" w:top="1420" w:bottom="280" w:left="1275" w:right="425"/>
          <w:pgNumType w:start="8"/>
        </w:sectPr>
      </w:pPr>
    </w:p>
    <w:p>
      <w:pPr>
        <w:pStyle w:val="BodyText"/>
      </w:pPr>
    </w:p>
    <w:p>
      <w:pPr>
        <w:pStyle w:val="BodyText"/>
        <w:spacing w:before="25"/>
      </w:pPr>
    </w:p>
    <w:p>
      <w:pPr>
        <w:pStyle w:val="BodyText"/>
        <w:spacing w:line="312" w:lineRule="auto" w:before="1"/>
        <w:ind w:left="702" w:right="952" w:firstLine="7"/>
        <w:jc w:val="both"/>
      </w:pPr>
      <w:r>
        <w:rPr>
          <w:spacing w:val="-2"/>
        </w:rPr>
        <w:t>subgroup</w:t>
      </w:r>
      <w:r>
        <w:rPr>
          <w:spacing w:val="-12"/>
        </w:rPr>
        <w:t> </w:t>
      </w:r>
      <w:r>
        <w:rPr>
          <w:spacing w:val="-2"/>
        </w:rPr>
        <w:t>rather</w:t>
      </w:r>
      <w:r>
        <w:rPr>
          <w:spacing w:val="-12"/>
        </w:rPr>
        <w:t> </w:t>
      </w:r>
      <w:r>
        <w:rPr>
          <w:spacing w:val="-2"/>
        </w:rPr>
        <w:t>than</w:t>
      </w:r>
      <w:r>
        <w:rPr>
          <w:spacing w:val="-12"/>
        </w:rPr>
        <w:t> </w:t>
      </w:r>
      <w:r>
        <w:rPr>
          <w:spacing w:val="-2"/>
        </w:rPr>
        <w:t>a</w:t>
      </w:r>
      <w:r>
        <w:rPr>
          <w:spacing w:val="-11"/>
        </w:rPr>
        <w:t> </w:t>
      </w:r>
      <w:r>
        <w:rPr>
          <w:spacing w:val="-2"/>
        </w:rPr>
        <w:t>simple</w:t>
      </w:r>
      <w:r>
        <w:rPr>
          <w:spacing w:val="-12"/>
        </w:rPr>
        <w:t> </w:t>
      </w:r>
      <w:r>
        <w:rPr>
          <w:spacing w:val="-2"/>
        </w:rPr>
        <w:t>distributional</w:t>
      </w:r>
      <w:r>
        <w:rPr>
          <w:spacing w:val="-12"/>
        </w:rPr>
        <w:t> </w:t>
      </w:r>
      <w:r>
        <w:rPr>
          <w:spacing w:val="-2"/>
        </w:rPr>
        <w:t>shift</w:t>
      </w:r>
      <w:r>
        <w:rPr>
          <w:spacing w:val="-12"/>
        </w:rPr>
        <w:t> </w:t>
      </w:r>
      <w:r>
        <w:rPr>
          <w:spacing w:val="-2"/>
        </w:rPr>
        <w:t>test.</w:t>
      </w:r>
      <w:r>
        <w:rPr>
          <w:spacing w:val="-9"/>
        </w:rPr>
        <w:t> </w:t>
      </w:r>
      <w:r>
        <w:rPr>
          <w:spacing w:val="-2"/>
        </w:rPr>
        <w:t>EMM</w:t>
      </w:r>
      <w:r>
        <w:rPr>
          <w:spacing w:val="-12"/>
        </w:rPr>
        <w:t> </w:t>
      </w:r>
      <w:r>
        <w:rPr>
          <w:spacing w:val="-2"/>
        </w:rPr>
        <w:t>identifies</w:t>
      </w:r>
      <w:r>
        <w:rPr>
          <w:spacing w:val="-11"/>
        </w:rPr>
        <w:t> </w:t>
      </w:r>
      <w:r>
        <w:rPr>
          <w:spacing w:val="-2"/>
        </w:rPr>
        <w:t>subgroups</w:t>
      </w:r>
      <w:r>
        <w:rPr>
          <w:spacing w:val="-12"/>
        </w:rPr>
        <w:t> </w:t>
      </w:r>
      <w:r>
        <w:rPr>
          <w:spacing w:val="-2"/>
        </w:rPr>
        <w:t>where</w:t>
      </w:r>
      <w:r>
        <w:rPr>
          <w:spacing w:val="-12"/>
        </w:rPr>
        <w:t> </w:t>
      </w:r>
      <w:r>
        <w:rPr>
          <w:spacing w:val="-2"/>
        </w:rPr>
        <w:t>the</w:t>
      </w:r>
      <w:r>
        <w:rPr>
          <w:spacing w:val="-12"/>
        </w:rPr>
        <w:t> </w:t>
      </w:r>
      <w:r>
        <w:rPr>
          <w:spacing w:val="-2"/>
        </w:rPr>
        <w:t>relation-</w:t>
      </w:r>
      <w:r>
        <w:rPr/>
        <w:t>ship</w:t>
      </w:r>
      <w:r>
        <w:rPr>
          <w:spacing w:val="-4"/>
        </w:rPr>
        <w:t> </w:t>
      </w:r>
      <w:r>
        <w:rPr/>
        <w:t>between</w:t>
      </w:r>
      <w:r>
        <w:rPr>
          <w:spacing w:val="-4"/>
        </w:rPr>
        <w:t> </w:t>
      </w:r>
      <w:r>
        <w:rPr/>
        <w:t>variables</w:t>
      </w:r>
      <w:r>
        <w:rPr>
          <w:spacing w:val="-4"/>
        </w:rPr>
        <w:t> </w:t>
      </w:r>
      <w:r>
        <w:rPr/>
        <w:t>differs</w:t>
      </w:r>
      <w:r>
        <w:rPr>
          <w:spacing w:val="-4"/>
        </w:rPr>
        <w:t> </w:t>
      </w:r>
      <w:r>
        <w:rPr/>
        <w:t>significantly</w:t>
      </w:r>
      <w:r>
        <w:rPr>
          <w:spacing w:val="-4"/>
        </w:rPr>
        <w:t> </w:t>
      </w:r>
      <w:r>
        <w:rPr/>
        <w:t>from</w:t>
      </w:r>
      <w:r>
        <w:rPr>
          <w:spacing w:val="-4"/>
        </w:rPr>
        <w:t> </w:t>
      </w:r>
      <w:r>
        <w:rPr/>
        <w:t>the</w:t>
      </w:r>
      <w:r>
        <w:rPr>
          <w:spacing w:val="-4"/>
        </w:rPr>
        <w:t> </w:t>
      </w:r>
      <w:r>
        <w:rPr/>
        <w:t>global</w:t>
      </w:r>
      <w:r>
        <w:rPr>
          <w:spacing w:val="-4"/>
        </w:rPr>
        <w:t> </w:t>
      </w:r>
      <w:r>
        <w:rPr/>
        <w:t>relationship. </w:t>
      </w:r>
      <w:hyperlink w:history="true" w:anchor="_bookmark225">
        <w:r>
          <w:rPr>
            <w:color w:val="8B2C18"/>
          </w:rPr>
          <w:t>Lemmerich</w:t>
        </w:r>
        <w:r>
          <w:rPr>
            <w:color w:val="8B2C18"/>
            <w:spacing w:val="-4"/>
          </w:rPr>
          <w:t> </w:t>
        </w:r>
        <w:r>
          <w:rPr>
            <w:color w:val="8B2C18"/>
          </w:rPr>
          <w:t>et</w:t>
        </w:r>
        <w:r>
          <w:rPr>
            <w:color w:val="8B2C18"/>
            <w:spacing w:val="-4"/>
          </w:rPr>
          <w:t> </w:t>
        </w:r>
        <w:r>
          <w:rPr>
            <w:color w:val="8B2C18"/>
          </w:rPr>
          <w:t>al.</w:t>
        </w:r>
      </w:hyperlink>
      <w:r>
        <w:rPr>
          <w:color w:val="8B2C18"/>
          <w:spacing w:val="-4"/>
        </w:rPr>
        <w:t> </w:t>
      </w:r>
      <w:r>
        <w:rPr/>
        <w:t>(</w:t>
      </w:r>
      <w:hyperlink w:history="true" w:anchor="_bookmark225">
        <w:r>
          <w:rPr>
            <w:color w:val="8B2C18"/>
          </w:rPr>
          <w:t>2022</w:t>
        </w:r>
      </w:hyperlink>
      <w:r>
        <w:rPr/>
        <w:t>) introduced robust subgroup discovery with statistical reliability guarantees.</w:t>
      </w:r>
      <w:r>
        <w:rPr>
          <w:spacing w:val="40"/>
        </w:rPr>
        <w:t> </w:t>
      </w:r>
      <w:hyperlink w:history="true" w:anchor="_bookmark234">
        <w:r>
          <w:rPr>
            <w:color w:val="8B2C18"/>
          </w:rPr>
          <w:t>Zimmermann et al.</w:t>
        </w:r>
      </w:hyperlink>
      <w:r>
        <w:rPr>
          <w:color w:val="8B2C18"/>
        </w:rPr>
        <w:t> </w:t>
      </w:r>
      <w:r>
        <w:rPr/>
        <w:t>(</w:t>
      </w:r>
      <w:hyperlink w:history="true" w:anchor="_bookmark234">
        <w:r>
          <w:rPr>
            <w:color w:val="8B2C18"/>
          </w:rPr>
          <w:t>2019</w:t>
        </w:r>
      </w:hyperlink>
      <w:r>
        <w:rPr/>
        <w:t>)</w:t>
      </w:r>
      <w:r>
        <w:rPr>
          <w:spacing w:val="-11"/>
        </w:rPr>
        <w:t> </w:t>
      </w:r>
      <w:r>
        <w:rPr/>
        <w:t>adapted</w:t>
      </w:r>
      <w:r>
        <w:rPr>
          <w:spacing w:val="-11"/>
        </w:rPr>
        <w:t> </w:t>
      </w:r>
      <w:r>
        <w:rPr/>
        <w:t>SD</w:t>
      </w:r>
      <w:r>
        <w:rPr>
          <w:spacing w:val="-11"/>
        </w:rPr>
        <w:t> </w:t>
      </w:r>
      <w:r>
        <w:rPr/>
        <w:t>to</w:t>
      </w:r>
      <w:r>
        <w:rPr>
          <w:spacing w:val="-11"/>
        </w:rPr>
        <w:t> </w:t>
      </w:r>
      <w:r>
        <w:rPr/>
        <w:t>temporal</w:t>
      </w:r>
      <w:r>
        <w:rPr>
          <w:spacing w:val="-11"/>
        </w:rPr>
        <w:t> </w:t>
      </w:r>
      <w:r>
        <w:rPr/>
        <w:t>and</w:t>
      </w:r>
      <w:r>
        <w:rPr>
          <w:spacing w:val="-11"/>
        </w:rPr>
        <w:t> </w:t>
      </w:r>
      <w:r>
        <w:rPr/>
        <w:t>sequential</w:t>
      </w:r>
      <w:r>
        <w:rPr>
          <w:spacing w:val="-11"/>
        </w:rPr>
        <w:t> </w:t>
      </w:r>
      <w:r>
        <w:rPr/>
        <w:t>data,</w:t>
      </w:r>
      <w:r>
        <w:rPr>
          <w:spacing w:val="-11"/>
        </w:rPr>
        <w:t> </w:t>
      </w:r>
      <w:r>
        <w:rPr/>
        <w:t>directly</w:t>
      </w:r>
      <w:r>
        <w:rPr>
          <w:spacing w:val="-11"/>
        </w:rPr>
        <w:t> </w:t>
      </w:r>
      <w:r>
        <w:rPr/>
        <w:t>addressing</w:t>
      </w:r>
      <w:r>
        <w:rPr>
          <w:spacing w:val="-11"/>
        </w:rPr>
        <w:t> </w:t>
      </w:r>
      <w:r>
        <w:rPr/>
        <w:t>the</w:t>
      </w:r>
      <w:r>
        <w:rPr>
          <w:spacing w:val="-11"/>
        </w:rPr>
        <w:t> </w:t>
      </w:r>
      <w:r>
        <w:rPr/>
        <w:t>time-series</w:t>
      </w:r>
      <w:r>
        <w:rPr>
          <w:spacing w:val="-11"/>
        </w:rPr>
        <w:t> </w:t>
      </w:r>
      <w:r>
        <w:rPr/>
        <w:t>structure</w:t>
      </w:r>
      <w:r>
        <w:rPr>
          <w:spacing w:val="-11"/>
        </w:rPr>
        <w:t> </w:t>
      </w:r>
      <w:r>
        <w:rPr/>
        <w:t>of problems such as the one studied in this thesis.</w:t>
      </w:r>
    </w:p>
    <w:p>
      <w:pPr>
        <w:pStyle w:val="BodyText"/>
      </w:pPr>
    </w:p>
    <w:p>
      <w:pPr>
        <w:pStyle w:val="BodyText"/>
        <w:spacing w:before="21"/>
      </w:pPr>
    </w:p>
    <w:p>
      <w:pPr>
        <w:pStyle w:val="Heading2"/>
        <w:numPr>
          <w:ilvl w:val="1"/>
          <w:numId w:val="16"/>
        </w:numPr>
        <w:tabs>
          <w:tab w:pos="1354" w:val="left" w:leader="none"/>
        </w:tabs>
        <w:spacing w:line="240" w:lineRule="auto" w:before="0" w:after="0"/>
        <w:ind w:left="1354" w:right="0" w:hanging="645"/>
        <w:jc w:val="left"/>
      </w:pPr>
      <w:bookmarkStart w:name="2.6 Distribution Rules and the CarenR Fr" w:id="37"/>
      <w:bookmarkEnd w:id="37"/>
      <w:r>
        <w:rPr>
          <w:b w:val="0"/>
        </w:rPr>
      </w:r>
      <w:bookmarkStart w:name="_bookmark16" w:id="38"/>
      <w:bookmarkEnd w:id="38"/>
      <w:r>
        <w:rPr>
          <w:b w:val="0"/>
        </w:rPr>
      </w:r>
      <w:r>
        <w:rPr/>
        <w:t>Distribution</w:t>
      </w:r>
      <w:r>
        <w:rPr>
          <w:spacing w:val="14"/>
        </w:rPr>
        <w:t> </w:t>
      </w:r>
      <w:r>
        <w:rPr/>
        <w:t>Rules</w:t>
      </w:r>
      <w:r>
        <w:rPr>
          <w:spacing w:val="14"/>
        </w:rPr>
        <w:t> </w:t>
      </w:r>
      <w:r>
        <w:rPr/>
        <w:t>and</w:t>
      </w:r>
      <w:r>
        <w:rPr>
          <w:spacing w:val="14"/>
        </w:rPr>
        <w:t> </w:t>
      </w:r>
      <w:r>
        <w:rPr/>
        <w:t>the</w:t>
      </w:r>
      <w:r>
        <w:rPr>
          <w:spacing w:val="14"/>
        </w:rPr>
        <w:t> </w:t>
      </w:r>
      <w:r>
        <w:rPr/>
        <w:t>CarenR</w:t>
      </w:r>
      <w:r>
        <w:rPr>
          <w:spacing w:val="15"/>
        </w:rPr>
        <w:t> </w:t>
      </w:r>
      <w:r>
        <w:rPr>
          <w:spacing w:val="-2"/>
        </w:rPr>
        <w:t>Framework</w:t>
      </w:r>
    </w:p>
    <w:p>
      <w:pPr>
        <w:pStyle w:val="BodyText"/>
        <w:spacing w:before="2"/>
        <w:rPr>
          <w:b/>
          <w:sz w:val="28"/>
        </w:rPr>
      </w:pPr>
    </w:p>
    <w:p>
      <w:pPr>
        <w:pStyle w:val="Heading3"/>
        <w:numPr>
          <w:ilvl w:val="2"/>
          <w:numId w:val="16"/>
        </w:numPr>
        <w:tabs>
          <w:tab w:pos="1426" w:val="left" w:leader="none"/>
        </w:tabs>
        <w:spacing w:line="240" w:lineRule="auto" w:before="1" w:after="0"/>
        <w:ind w:left="1426" w:right="0" w:hanging="717"/>
        <w:jc w:val="left"/>
      </w:pPr>
      <w:bookmarkStart w:name="2.6.1 Distribution Rules" w:id="39"/>
      <w:bookmarkEnd w:id="39"/>
      <w:r>
        <w:rPr>
          <w:b w:val="0"/>
        </w:rPr>
      </w:r>
      <w:bookmarkStart w:name="_bookmark17" w:id="40"/>
      <w:bookmarkEnd w:id="40"/>
      <w:r>
        <w:rPr>
          <w:b w:val="0"/>
        </w:rPr>
      </w:r>
      <w:r>
        <w:rPr>
          <w:spacing w:val="-2"/>
        </w:rPr>
        <w:t>Distribution</w:t>
      </w:r>
      <w:r>
        <w:rPr>
          <w:spacing w:val="5"/>
        </w:rPr>
        <w:t> </w:t>
      </w:r>
      <w:r>
        <w:rPr>
          <w:spacing w:val="-4"/>
        </w:rPr>
        <w:t>Rules</w:t>
      </w:r>
    </w:p>
    <w:p>
      <w:pPr>
        <w:pStyle w:val="BodyText"/>
        <w:spacing w:line="312" w:lineRule="auto" w:before="263"/>
        <w:ind w:left="701" w:right="952" w:firstLine="7"/>
        <w:jc w:val="both"/>
      </w:pPr>
      <w:r>
        <w:rPr/>
        <w:t>Distribution rules (DR) were introduced by </w:t>
      </w:r>
      <w:hyperlink w:history="true" w:anchor="_bookmark222">
        <w:r>
          <w:rPr>
            <w:color w:val="8B2C18"/>
          </w:rPr>
          <w:t>Jorge et al.</w:t>
        </w:r>
      </w:hyperlink>
      <w:r>
        <w:rPr>
          <w:color w:val="8B2C18"/>
        </w:rPr>
        <w:t> </w:t>
      </w:r>
      <w:r>
        <w:rPr/>
        <w:t>(</w:t>
      </w:r>
      <w:hyperlink w:history="true" w:anchor="_bookmark222">
        <w:r>
          <w:rPr>
            <w:color w:val="8B2C18"/>
          </w:rPr>
          <w:t>2006</w:t>
        </w:r>
      </w:hyperlink>
      <w:r>
        <w:rPr/>
        <w:t>) for discovering and presenting conditional</w:t>
      </w:r>
      <w:r>
        <w:rPr>
          <w:spacing w:val="31"/>
        </w:rPr>
        <w:t> </w:t>
      </w:r>
      <w:r>
        <w:rPr/>
        <w:t>distributions</w:t>
      </w:r>
      <w:r>
        <w:rPr>
          <w:spacing w:val="31"/>
        </w:rPr>
        <w:t> </w:t>
      </w:r>
      <w:r>
        <w:rPr/>
        <w:t>of</w:t>
      </w:r>
      <w:r>
        <w:rPr>
          <w:spacing w:val="31"/>
        </w:rPr>
        <w:t> </w:t>
      </w:r>
      <w:r>
        <w:rPr/>
        <w:t>a</w:t>
      </w:r>
      <w:r>
        <w:rPr>
          <w:spacing w:val="31"/>
        </w:rPr>
        <w:t> </w:t>
      </w:r>
      <w:r>
        <w:rPr/>
        <w:t>numeric</w:t>
      </w:r>
      <w:r>
        <w:rPr>
          <w:spacing w:val="31"/>
        </w:rPr>
        <w:t> </w:t>
      </w:r>
      <w:r>
        <w:rPr/>
        <w:t>target</w:t>
      </w:r>
      <w:r>
        <w:rPr>
          <w:spacing w:val="31"/>
        </w:rPr>
        <w:t> </w:t>
      </w:r>
      <w:r>
        <w:rPr/>
        <w:t>variable</w:t>
      </w:r>
      <w:r>
        <w:rPr>
          <w:spacing w:val="31"/>
        </w:rPr>
        <w:t> </w:t>
      </w:r>
      <w:r>
        <w:rPr/>
        <w:t>with</w:t>
      </w:r>
      <w:r>
        <w:rPr>
          <w:spacing w:val="31"/>
        </w:rPr>
        <w:t> </w:t>
      </w:r>
      <w:r>
        <w:rPr/>
        <w:t>respect</w:t>
      </w:r>
      <w:r>
        <w:rPr>
          <w:spacing w:val="31"/>
        </w:rPr>
        <w:t> </w:t>
      </w:r>
      <w:r>
        <w:rPr/>
        <w:t>to</w:t>
      </w:r>
      <w:r>
        <w:rPr>
          <w:spacing w:val="31"/>
        </w:rPr>
        <w:t> </w:t>
      </w:r>
      <w:r>
        <w:rPr/>
        <w:t>a</w:t>
      </w:r>
      <w:r>
        <w:rPr>
          <w:spacing w:val="31"/>
        </w:rPr>
        <w:t> </w:t>
      </w:r>
      <w:r>
        <w:rPr/>
        <w:t>set</w:t>
      </w:r>
      <w:r>
        <w:rPr>
          <w:spacing w:val="31"/>
        </w:rPr>
        <w:t> </w:t>
      </w:r>
      <w:r>
        <w:rPr/>
        <w:t>of</w:t>
      </w:r>
      <w:r>
        <w:rPr>
          <w:spacing w:val="31"/>
        </w:rPr>
        <w:t> </w:t>
      </w:r>
      <w:r>
        <w:rPr/>
        <w:t>input</w:t>
      </w:r>
      <w:r>
        <w:rPr>
          <w:spacing w:val="31"/>
        </w:rPr>
        <w:t> </w:t>
      </w:r>
      <w:r>
        <w:rPr/>
        <w:t>variables. A distribution rule takes the form IF antecedent THEN distribution, where the antecedent is a conjunction of attribute intervals and the consequent is the empirical distribution of the target </w:t>
      </w:r>
      <w:r>
        <w:rPr>
          <w:spacing w:val="-2"/>
        </w:rPr>
        <w:t>among</w:t>
      </w:r>
      <w:r>
        <w:rPr>
          <w:spacing w:val="-11"/>
        </w:rPr>
        <w:t> </w:t>
      </w:r>
      <w:r>
        <w:rPr>
          <w:spacing w:val="-2"/>
        </w:rPr>
        <w:t>matching</w:t>
      </w:r>
      <w:r>
        <w:rPr>
          <w:spacing w:val="-11"/>
        </w:rPr>
        <w:t> </w:t>
      </w:r>
      <w:r>
        <w:rPr>
          <w:spacing w:val="-2"/>
        </w:rPr>
        <w:t>observations.</w:t>
      </w:r>
      <w:r>
        <w:rPr/>
        <w:t> </w:t>
      </w:r>
      <w:r>
        <w:rPr>
          <w:spacing w:val="-2"/>
        </w:rPr>
        <w:t>Unlike</w:t>
      </w:r>
      <w:r>
        <w:rPr>
          <w:spacing w:val="-11"/>
        </w:rPr>
        <w:t> </w:t>
      </w:r>
      <w:r>
        <w:rPr>
          <w:spacing w:val="-2"/>
        </w:rPr>
        <w:t>conventional</w:t>
      </w:r>
      <w:r>
        <w:rPr>
          <w:spacing w:val="-11"/>
        </w:rPr>
        <w:t> </w:t>
      </w:r>
      <w:r>
        <w:rPr>
          <w:spacing w:val="-2"/>
        </w:rPr>
        <w:t>association</w:t>
      </w:r>
      <w:r>
        <w:rPr>
          <w:spacing w:val="-11"/>
        </w:rPr>
        <w:t> </w:t>
      </w:r>
      <w:r>
        <w:rPr>
          <w:spacing w:val="-2"/>
        </w:rPr>
        <w:t>rules,</w:t>
      </w:r>
      <w:r>
        <w:rPr>
          <w:spacing w:val="-11"/>
        </w:rPr>
        <w:t> </w:t>
      </w:r>
      <w:r>
        <w:rPr>
          <w:spacing w:val="-2"/>
        </w:rPr>
        <w:t>distribution</w:t>
      </w:r>
      <w:r>
        <w:rPr>
          <w:spacing w:val="-11"/>
        </w:rPr>
        <w:t> </w:t>
      </w:r>
      <w:r>
        <w:rPr>
          <w:spacing w:val="-2"/>
        </w:rPr>
        <w:t>rules</w:t>
      </w:r>
      <w:r>
        <w:rPr>
          <w:spacing w:val="-11"/>
        </w:rPr>
        <w:t> </w:t>
      </w:r>
      <w:r>
        <w:rPr>
          <w:spacing w:val="-2"/>
        </w:rPr>
        <w:t>preserve</w:t>
      </w:r>
      <w:r>
        <w:rPr>
          <w:spacing w:val="-11"/>
        </w:rPr>
        <w:t> </w:t>
      </w:r>
      <w:r>
        <w:rPr>
          <w:spacing w:val="-2"/>
        </w:rPr>
        <w:t>the </w:t>
      </w:r>
      <w:r>
        <w:rPr/>
        <w:t>full</w:t>
      </w:r>
      <w:r>
        <w:rPr>
          <w:spacing w:val="-16"/>
        </w:rPr>
        <w:t> </w:t>
      </w:r>
      <w:r>
        <w:rPr/>
        <w:t>distributional</w:t>
      </w:r>
      <w:r>
        <w:rPr>
          <w:spacing w:val="-14"/>
        </w:rPr>
        <w:t> </w:t>
      </w:r>
      <w:r>
        <w:rPr/>
        <w:t>shape</w:t>
      </w:r>
      <w:r>
        <w:rPr>
          <w:spacing w:val="-14"/>
        </w:rPr>
        <w:t> </w:t>
      </w:r>
      <w:r>
        <w:rPr/>
        <w:t>of</w:t>
      </w:r>
      <w:r>
        <w:rPr>
          <w:spacing w:val="-13"/>
        </w:rPr>
        <w:t> </w:t>
      </w:r>
      <w:r>
        <w:rPr/>
        <w:t>the</w:t>
      </w:r>
      <w:r>
        <w:rPr>
          <w:spacing w:val="-14"/>
        </w:rPr>
        <w:t> </w:t>
      </w:r>
      <w:r>
        <w:rPr/>
        <w:t>outcome.</w:t>
      </w:r>
      <w:r>
        <w:rPr>
          <w:spacing w:val="-14"/>
        </w:rPr>
        <w:t> </w:t>
      </w:r>
      <w:r>
        <w:rPr/>
        <w:t>Statistical</w:t>
      </w:r>
      <w:r>
        <w:rPr>
          <w:spacing w:val="-14"/>
        </w:rPr>
        <w:t> </w:t>
      </w:r>
      <w:r>
        <w:rPr/>
        <w:t>significance</w:t>
      </w:r>
      <w:r>
        <w:rPr>
          <w:spacing w:val="-13"/>
        </w:rPr>
        <w:t> </w:t>
      </w:r>
      <w:r>
        <w:rPr/>
        <w:t>is</w:t>
      </w:r>
      <w:r>
        <w:rPr>
          <w:spacing w:val="-14"/>
        </w:rPr>
        <w:t> </w:t>
      </w:r>
      <w:r>
        <w:rPr/>
        <w:t>assessed</w:t>
      </w:r>
      <w:r>
        <w:rPr>
          <w:spacing w:val="-14"/>
        </w:rPr>
        <w:t> </w:t>
      </w:r>
      <w:r>
        <w:rPr/>
        <w:t>using</w:t>
      </w:r>
      <w:r>
        <w:rPr>
          <w:spacing w:val="-14"/>
        </w:rPr>
        <w:t> </w:t>
      </w:r>
      <w:r>
        <w:rPr/>
        <w:t>the</w:t>
      </w:r>
      <w:r>
        <w:rPr>
          <w:spacing w:val="-13"/>
        </w:rPr>
        <w:t> </w:t>
      </w:r>
      <w:r>
        <w:rPr/>
        <w:t>Kolmogorov–Smirnov (KS) test, which compares the empirical cumulative distribution of the target in the subgroup</w:t>
      </w:r>
      <w:r>
        <w:rPr>
          <w:spacing w:val="-7"/>
        </w:rPr>
        <w:t> </w:t>
      </w:r>
      <w:r>
        <w:rPr/>
        <w:t>against</w:t>
      </w:r>
      <w:r>
        <w:rPr>
          <w:spacing w:val="-7"/>
        </w:rPr>
        <w:t> </w:t>
      </w:r>
      <w:r>
        <w:rPr/>
        <w:t>the</w:t>
      </w:r>
      <w:r>
        <w:rPr>
          <w:spacing w:val="-7"/>
        </w:rPr>
        <w:t> </w:t>
      </w:r>
      <w:r>
        <w:rPr/>
        <w:t>global</w:t>
      </w:r>
      <w:r>
        <w:rPr>
          <w:spacing w:val="-7"/>
        </w:rPr>
        <w:t> </w:t>
      </w:r>
      <w:r>
        <w:rPr/>
        <w:t>distribution</w:t>
      </w:r>
      <w:r>
        <w:rPr>
          <w:spacing w:val="-7"/>
        </w:rPr>
        <w:t> </w:t>
      </w:r>
      <w:r>
        <w:rPr/>
        <w:t>without</w:t>
      </w:r>
      <w:r>
        <w:rPr>
          <w:spacing w:val="-7"/>
        </w:rPr>
        <w:t> </w:t>
      </w:r>
      <w:r>
        <w:rPr/>
        <w:t>assuming</w:t>
      </w:r>
      <w:r>
        <w:rPr>
          <w:spacing w:val="-7"/>
        </w:rPr>
        <w:t> </w:t>
      </w:r>
      <w:r>
        <w:rPr/>
        <w:t>normality,</w:t>
      </w:r>
      <w:r>
        <w:rPr>
          <w:spacing w:val="-7"/>
        </w:rPr>
        <w:t> </w:t>
      </w:r>
      <w:r>
        <w:rPr/>
        <w:t>well</w:t>
      </w:r>
      <w:r>
        <w:rPr>
          <w:spacing w:val="-7"/>
        </w:rPr>
        <w:t> </w:t>
      </w:r>
      <w:r>
        <w:rPr/>
        <w:t>suited</w:t>
      </w:r>
      <w:r>
        <w:rPr>
          <w:spacing w:val="-7"/>
        </w:rPr>
        <w:t> </w:t>
      </w:r>
      <w:r>
        <w:rPr/>
        <w:t>to</w:t>
      </w:r>
      <w:r>
        <w:rPr>
          <w:spacing w:val="-7"/>
        </w:rPr>
        <w:t> </w:t>
      </w:r>
      <w:r>
        <w:rPr/>
        <w:t>small</w:t>
      </w:r>
      <w:r>
        <w:rPr>
          <w:spacing w:val="-7"/>
        </w:rPr>
        <w:t> </w:t>
      </w:r>
      <w:r>
        <w:rPr/>
        <w:t>datasets where normality cannot be assumed.</w:t>
      </w:r>
    </w:p>
    <w:p>
      <w:pPr>
        <w:pStyle w:val="BodyText"/>
        <w:spacing w:before="190"/>
      </w:pPr>
    </w:p>
    <w:p>
      <w:pPr>
        <w:pStyle w:val="Heading3"/>
        <w:numPr>
          <w:ilvl w:val="2"/>
          <w:numId w:val="16"/>
        </w:numPr>
        <w:tabs>
          <w:tab w:pos="1426" w:val="left" w:leader="none"/>
        </w:tabs>
        <w:spacing w:line="240" w:lineRule="auto" w:before="0" w:after="0"/>
        <w:ind w:left="1426" w:right="0" w:hanging="717"/>
        <w:jc w:val="left"/>
      </w:pPr>
      <w:bookmarkStart w:name="2.6.2 The CarenR Framework" w:id="41"/>
      <w:bookmarkEnd w:id="41"/>
      <w:r>
        <w:rPr>
          <w:b w:val="0"/>
        </w:rPr>
      </w:r>
      <w:bookmarkStart w:name="_bookmark18" w:id="42"/>
      <w:bookmarkEnd w:id="42"/>
      <w:r>
        <w:rPr>
          <w:b w:val="0"/>
        </w:rPr>
      </w:r>
      <w:r>
        <w:rPr/>
        <w:t>The</w:t>
      </w:r>
      <w:r>
        <w:rPr>
          <w:spacing w:val="-10"/>
        </w:rPr>
        <w:t> </w:t>
      </w:r>
      <w:r>
        <w:rPr/>
        <w:t>CarenR</w:t>
      </w:r>
      <w:r>
        <w:rPr>
          <w:spacing w:val="-10"/>
        </w:rPr>
        <w:t> </w:t>
      </w:r>
      <w:r>
        <w:rPr>
          <w:spacing w:val="-2"/>
        </w:rPr>
        <w:t>Framework</w:t>
      </w:r>
    </w:p>
    <w:p>
      <w:pPr>
        <w:pStyle w:val="BodyText"/>
        <w:spacing w:line="312" w:lineRule="auto" w:before="264"/>
        <w:ind w:left="709" w:right="954"/>
        <w:jc w:val="both"/>
      </w:pPr>
      <w:r>
        <w:rPr>
          <w:spacing w:val="-2"/>
        </w:rPr>
        <w:t>CarenR</w:t>
      </w:r>
      <w:r>
        <w:rPr>
          <w:spacing w:val="-12"/>
        </w:rPr>
        <w:t> </w:t>
      </w:r>
      <w:r>
        <w:rPr>
          <w:spacing w:val="-2"/>
        </w:rPr>
        <w:t>(distribution</w:t>
      </w:r>
      <w:r>
        <w:rPr>
          <w:spacing w:val="-12"/>
        </w:rPr>
        <w:t> </w:t>
      </w:r>
      <w:r>
        <w:rPr>
          <w:spacing w:val="-2"/>
        </w:rPr>
        <w:t>rule</w:t>
      </w:r>
      <w:r>
        <w:rPr>
          <w:spacing w:val="-12"/>
        </w:rPr>
        <w:t> </w:t>
      </w:r>
      <w:r>
        <w:rPr>
          <w:spacing w:val="-2"/>
        </w:rPr>
        <w:t>discovery</w:t>
      </w:r>
      <w:r>
        <w:rPr>
          <w:spacing w:val="-11"/>
        </w:rPr>
        <w:t> </w:t>
      </w:r>
      <w:r>
        <w:rPr>
          <w:spacing w:val="-2"/>
        </w:rPr>
        <w:t>framework</w:t>
      </w:r>
      <w:r>
        <w:rPr>
          <w:spacing w:val="-12"/>
        </w:rPr>
        <w:t> </w:t>
      </w:r>
      <w:r>
        <w:rPr>
          <w:spacing w:val="-2"/>
        </w:rPr>
        <w:t>implemented</w:t>
      </w:r>
      <w:r>
        <w:rPr>
          <w:spacing w:val="-12"/>
        </w:rPr>
        <w:t> </w:t>
      </w:r>
      <w:r>
        <w:rPr>
          <w:spacing w:val="-2"/>
        </w:rPr>
        <w:t>in</w:t>
      </w:r>
      <w:r>
        <w:rPr>
          <w:spacing w:val="-12"/>
        </w:rPr>
        <w:t> </w:t>
      </w:r>
      <w:r>
        <w:rPr>
          <w:spacing w:val="-2"/>
        </w:rPr>
        <w:t>R,</w:t>
      </w:r>
      <w:r>
        <w:rPr>
          <w:spacing w:val="-11"/>
        </w:rPr>
        <w:t> </w:t>
      </w:r>
      <w:r>
        <w:rPr>
          <w:spacing w:val="-2"/>
        </w:rPr>
        <w:t>based</w:t>
      </w:r>
      <w:r>
        <w:rPr>
          <w:spacing w:val="-12"/>
        </w:rPr>
        <w:t> </w:t>
      </w:r>
      <w:r>
        <w:rPr>
          <w:spacing w:val="-2"/>
        </w:rPr>
        <w:t>on</w:t>
      </w:r>
      <w:r>
        <w:rPr>
          <w:spacing w:val="-12"/>
        </w:rPr>
        <w:t> </w:t>
      </w:r>
      <w:r>
        <w:rPr>
          <w:spacing w:val="-2"/>
        </w:rPr>
        <w:t>the</w:t>
      </w:r>
      <w:r>
        <w:rPr>
          <w:spacing w:val="-12"/>
        </w:rPr>
        <w:t> </w:t>
      </w:r>
      <w:r>
        <w:rPr>
          <w:spacing w:val="-2"/>
        </w:rPr>
        <w:t>CAREN</w:t>
      </w:r>
      <w:r>
        <w:rPr>
          <w:spacing w:val="-11"/>
        </w:rPr>
        <w:t> </w:t>
      </w:r>
      <w:r>
        <w:rPr>
          <w:spacing w:val="-2"/>
        </w:rPr>
        <w:t>association </w:t>
      </w:r>
      <w:r>
        <w:rPr/>
        <w:t>rule</w:t>
      </w:r>
      <w:r>
        <w:rPr>
          <w:spacing w:val="-16"/>
        </w:rPr>
        <w:t> </w:t>
      </w:r>
      <w:r>
        <w:rPr/>
        <w:t>engine)</w:t>
      </w:r>
      <w:r>
        <w:rPr>
          <w:spacing w:val="-14"/>
        </w:rPr>
        <w:t> </w:t>
      </w:r>
      <w:r>
        <w:rPr/>
        <w:t>is</w:t>
      </w:r>
      <w:r>
        <w:rPr>
          <w:spacing w:val="-14"/>
        </w:rPr>
        <w:t> </w:t>
      </w:r>
      <w:r>
        <w:rPr/>
        <w:t>the</w:t>
      </w:r>
      <w:r>
        <w:rPr>
          <w:spacing w:val="-13"/>
        </w:rPr>
        <w:t> </w:t>
      </w:r>
      <w:r>
        <w:rPr/>
        <w:t>primary</w:t>
      </w:r>
      <w:r>
        <w:rPr>
          <w:spacing w:val="-14"/>
        </w:rPr>
        <w:t> </w:t>
      </w:r>
      <w:r>
        <w:rPr/>
        <w:t>algorithmic</w:t>
      </w:r>
      <w:r>
        <w:rPr>
          <w:spacing w:val="-14"/>
        </w:rPr>
        <w:t> </w:t>
      </w:r>
      <w:r>
        <w:rPr/>
        <w:t>contribution</w:t>
      </w:r>
      <w:r>
        <w:rPr>
          <w:spacing w:val="-14"/>
        </w:rPr>
        <w:t> </w:t>
      </w:r>
      <w:r>
        <w:rPr/>
        <w:t>of</w:t>
      </w:r>
      <w:r>
        <w:rPr>
          <w:spacing w:val="-13"/>
        </w:rPr>
        <w:t> </w:t>
      </w:r>
      <w:r>
        <w:rPr/>
        <w:t>the</w:t>
      </w:r>
      <w:r>
        <w:rPr>
          <w:spacing w:val="-14"/>
        </w:rPr>
        <w:t> </w:t>
      </w:r>
      <w:r>
        <w:rPr/>
        <w:t>line</w:t>
      </w:r>
      <w:r>
        <w:rPr>
          <w:spacing w:val="-14"/>
        </w:rPr>
        <w:t> </w:t>
      </w:r>
      <w:r>
        <w:rPr/>
        <w:t>of</w:t>
      </w:r>
      <w:r>
        <w:rPr>
          <w:spacing w:val="-14"/>
        </w:rPr>
        <w:t> </w:t>
      </w:r>
      <w:r>
        <w:rPr/>
        <w:t>work</w:t>
      </w:r>
      <w:r>
        <w:rPr>
          <w:spacing w:val="-13"/>
        </w:rPr>
        <w:t> </w:t>
      </w:r>
      <w:r>
        <w:rPr/>
        <w:t>this</w:t>
      </w:r>
      <w:r>
        <w:rPr>
          <w:spacing w:val="-14"/>
        </w:rPr>
        <w:t> </w:t>
      </w:r>
      <w:r>
        <w:rPr/>
        <w:t>thesis</w:t>
      </w:r>
      <w:r>
        <w:rPr>
          <w:spacing w:val="-14"/>
        </w:rPr>
        <w:t> </w:t>
      </w:r>
      <w:r>
        <w:rPr/>
        <w:t>extends.</w:t>
      </w:r>
      <w:r>
        <w:rPr>
          <w:spacing w:val="-14"/>
        </w:rPr>
        <w:t> </w:t>
      </w:r>
      <w:r>
        <w:rPr/>
        <w:t>It</w:t>
      </w:r>
      <w:r>
        <w:rPr>
          <w:spacing w:val="-13"/>
        </w:rPr>
        <w:t> </w:t>
      </w:r>
      <w:r>
        <w:rPr/>
        <w:t>opera-tionalises</w:t>
      </w:r>
      <w:r>
        <w:rPr>
          <w:spacing w:val="-7"/>
        </w:rPr>
        <w:t> </w:t>
      </w:r>
      <w:r>
        <w:rPr/>
        <w:t>the</w:t>
      </w:r>
      <w:r>
        <w:rPr>
          <w:spacing w:val="-7"/>
        </w:rPr>
        <w:t> </w:t>
      </w:r>
      <w:r>
        <w:rPr/>
        <w:t>distribution</w:t>
      </w:r>
      <w:r>
        <w:rPr>
          <w:spacing w:val="-7"/>
        </w:rPr>
        <w:t> </w:t>
      </w:r>
      <w:r>
        <w:rPr/>
        <w:t>rule</w:t>
      </w:r>
      <w:r>
        <w:rPr>
          <w:spacing w:val="-7"/>
        </w:rPr>
        <w:t> </w:t>
      </w:r>
      <w:r>
        <w:rPr/>
        <w:t>framework</w:t>
      </w:r>
      <w:r>
        <w:rPr>
          <w:spacing w:val="-7"/>
        </w:rPr>
        <w:t> </w:t>
      </w:r>
      <w:r>
        <w:rPr/>
        <w:t>of</w:t>
      </w:r>
      <w:r>
        <w:rPr>
          <w:spacing w:val="-7"/>
        </w:rPr>
        <w:t> </w:t>
      </w:r>
      <w:hyperlink w:history="true" w:anchor="_bookmark222">
        <w:r>
          <w:rPr>
            <w:color w:val="8B2C18"/>
          </w:rPr>
          <w:t>Jorge</w:t>
        </w:r>
        <w:r>
          <w:rPr>
            <w:color w:val="8B2C18"/>
            <w:spacing w:val="-7"/>
          </w:rPr>
          <w:t> </w:t>
        </w:r>
        <w:r>
          <w:rPr>
            <w:color w:val="8B2C18"/>
          </w:rPr>
          <w:t>et</w:t>
        </w:r>
        <w:r>
          <w:rPr>
            <w:color w:val="8B2C18"/>
            <w:spacing w:val="-7"/>
          </w:rPr>
          <w:t> </w:t>
        </w:r>
        <w:r>
          <w:rPr>
            <w:color w:val="8B2C18"/>
          </w:rPr>
          <w:t>al.</w:t>
        </w:r>
      </w:hyperlink>
      <w:r>
        <w:rPr>
          <w:color w:val="8B2C18"/>
          <w:spacing w:val="-7"/>
        </w:rPr>
        <w:t> </w:t>
      </w:r>
      <w:r>
        <w:rPr/>
        <w:t>(</w:t>
      </w:r>
      <w:hyperlink w:history="true" w:anchor="_bookmark222">
        <w:r>
          <w:rPr>
            <w:color w:val="8B2C18"/>
          </w:rPr>
          <w:t>2006</w:t>
        </w:r>
      </w:hyperlink>
      <w:r>
        <w:rPr/>
        <w:t>)</w:t>
      </w:r>
      <w:r>
        <w:rPr>
          <w:spacing w:val="-7"/>
        </w:rPr>
        <w:t> </w:t>
      </w:r>
      <w:r>
        <w:rPr/>
        <w:t>with</w:t>
      </w:r>
      <w:r>
        <w:rPr>
          <w:spacing w:val="-7"/>
        </w:rPr>
        <w:t> </w:t>
      </w:r>
      <w:r>
        <w:rPr/>
        <w:t>several</w:t>
      </w:r>
      <w:r>
        <w:rPr>
          <w:spacing w:val="-7"/>
        </w:rPr>
        <w:t> </w:t>
      </w:r>
      <w:r>
        <w:rPr/>
        <w:t>additions</w:t>
      </w:r>
      <w:r>
        <w:rPr>
          <w:spacing w:val="-7"/>
        </w:rPr>
        <w:t> </w:t>
      </w:r>
      <w:r>
        <w:rPr/>
        <w:t>specifically designed for agroclimatic time series problems.</w:t>
      </w:r>
    </w:p>
    <w:p>
      <w:pPr>
        <w:pStyle w:val="BodyText"/>
        <w:spacing w:before="22"/>
        <w:ind w:left="1047"/>
        <w:jc w:val="both"/>
      </w:pPr>
      <w:r>
        <w:rPr/>
        <w:t>The</w:t>
      </w:r>
      <w:r>
        <w:rPr>
          <w:spacing w:val="-7"/>
        </w:rPr>
        <w:t> </w:t>
      </w:r>
      <w:r>
        <w:rPr/>
        <w:t>CarenR</w:t>
      </w:r>
      <w:r>
        <w:rPr>
          <w:spacing w:val="-6"/>
        </w:rPr>
        <w:t> </w:t>
      </w:r>
      <w:r>
        <w:rPr/>
        <w:t>pipeline</w:t>
      </w:r>
      <w:r>
        <w:rPr>
          <w:spacing w:val="-6"/>
        </w:rPr>
        <w:t> </w:t>
      </w:r>
      <w:r>
        <w:rPr/>
        <w:t>operates</w:t>
      </w:r>
      <w:r>
        <w:rPr>
          <w:spacing w:val="-6"/>
        </w:rPr>
        <w:t> </w:t>
      </w:r>
      <w:r>
        <w:rPr/>
        <w:t>in</w:t>
      </w:r>
      <w:r>
        <w:rPr>
          <w:spacing w:val="-7"/>
        </w:rPr>
        <w:t> </w:t>
      </w:r>
      <w:r>
        <w:rPr/>
        <w:t>two</w:t>
      </w:r>
      <w:r>
        <w:rPr>
          <w:spacing w:val="-6"/>
        </w:rPr>
        <w:t> </w:t>
      </w:r>
      <w:r>
        <w:rPr/>
        <w:t>modes</w:t>
      </w:r>
      <w:r>
        <w:rPr>
          <w:spacing w:val="-6"/>
        </w:rPr>
        <w:t> </w:t>
      </w:r>
      <w:r>
        <w:rPr/>
        <w:t>depending</w:t>
      </w:r>
      <w:r>
        <w:rPr>
          <w:spacing w:val="-6"/>
        </w:rPr>
        <w:t> </w:t>
      </w:r>
      <w:r>
        <w:rPr/>
        <w:t>on</w:t>
      </w:r>
      <w:r>
        <w:rPr>
          <w:spacing w:val="-7"/>
        </w:rPr>
        <w:t> </w:t>
      </w:r>
      <w:r>
        <w:rPr/>
        <w:t>the</w:t>
      </w:r>
      <w:r>
        <w:rPr>
          <w:spacing w:val="-6"/>
        </w:rPr>
        <w:t> </w:t>
      </w:r>
      <w:r>
        <w:rPr>
          <w:spacing w:val="-2"/>
        </w:rPr>
        <w:t>goal.</w:t>
      </w:r>
    </w:p>
    <w:p>
      <w:pPr>
        <w:pStyle w:val="BodyText"/>
        <w:spacing w:line="328" w:lineRule="exact" w:before="41"/>
        <w:ind w:left="702" w:right="952" w:firstLine="345"/>
        <w:jc w:val="both"/>
      </w:pPr>
      <w:r>
        <w:rPr/>
        <w:t>For</w:t>
      </w:r>
      <w:r>
        <w:rPr>
          <w:spacing w:val="-14"/>
        </w:rPr>
        <w:t> </w:t>
      </w:r>
      <w:r>
        <w:rPr/>
        <w:t>Goal</w:t>
      </w:r>
      <w:r>
        <w:rPr>
          <w:spacing w:val="-14"/>
        </w:rPr>
        <w:t> </w:t>
      </w:r>
      <w:r>
        <w:rPr/>
        <w:t>1</w:t>
      </w:r>
      <w:r>
        <w:rPr>
          <w:spacing w:val="-14"/>
        </w:rPr>
        <w:t> </w:t>
      </w:r>
      <w:r>
        <w:rPr/>
        <w:t>(Rule</w:t>
      </w:r>
      <w:r>
        <w:rPr>
          <w:spacing w:val="-13"/>
        </w:rPr>
        <w:t> </w:t>
      </w:r>
      <w:r>
        <w:rPr/>
        <w:t>Discovery),</w:t>
      </w:r>
      <w:r>
        <w:rPr>
          <w:spacing w:val="-14"/>
        </w:rPr>
        <w:t> </w:t>
      </w:r>
      <w:r>
        <w:rPr/>
        <w:t>CarenR</w:t>
      </w:r>
      <w:r>
        <w:rPr>
          <w:spacing w:val="-14"/>
        </w:rPr>
        <w:t> </w:t>
      </w:r>
      <w:r>
        <w:rPr/>
        <w:t>is</w:t>
      </w:r>
      <w:r>
        <w:rPr>
          <w:spacing w:val="-14"/>
        </w:rPr>
        <w:t> </w:t>
      </w:r>
      <w:r>
        <w:rPr/>
        <w:t>applied</w:t>
      </w:r>
      <w:r>
        <w:rPr>
          <w:spacing w:val="-13"/>
        </w:rPr>
        <w:t> </w:t>
      </w:r>
      <w:r>
        <w:rPr/>
        <w:t>to</w:t>
      </w:r>
      <w:r>
        <w:rPr>
          <w:spacing w:val="-14"/>
        </w:rPr>
        <w:t> </w:t>
      </w:r>
      <w:r>
        <w:rPr/>
        <w:t>the</w:t>
      </w:r>
      <w:r>
        <w:rPr>
          <w:spacing w:val="-14"/>
        </w:rPr>
        <w:t> </w:t>
      </w:r>
      <w:r>
        <w:rPr/>
        <w:t>full</w:t>
      </w:r>
      <w:r>
        <w:rPr>
          <w:spacing w:val="-14"/>
        </w:rPr>
        <w:t> </w:t>
      </w:r>
      <w:r>
        <w:rPr/>
        <w:t>historical</w:t>
      </w:r>
      <w:r>
        <w:rPr>
          <w:spacing w:val="-13"/>
        </w:rPr>
        <w:t> </w:t>
      </w:r>
      <w:r>
        <w:rPr/>
        <w:t>dataset</w:t>
      </w:r>
      <w:r>
        <w:rPr>
          <w:spacing w:val="-14"/>
        </w:rPr>
        <w:t> </w:t>
      </w:r>
      <w:r>
        <w:rPr/>
        <w:t>using</w:t>
      </w:r>
      <w:r>
        <w:rPr>
          <w:spacing w:val="-14"/>
        </w:rPr>
        <w:t> </w:t>
      </w:r>
      <w:r>
        <w:rPr/>
        <w:t>the</w:t>
      </w:r>
      <w:r>
        <w:rPr>
          <w:spacing w:val="-14"/>
        </w:rPr>
        <w:t> </w:t>
      </w:r>
      <w:r>
        <w:rPr/>
        <w:t>complete set</w:t>
      </w:r>
      <w:r>
        <w:rPr>
          <w:spacing w:val="-13"/>
        </w:rPr>
        <w:t> </w:t>
      </w:r>
      <w:r>
        <w:rPr/>
        <w:t>of</w:t>
      </w:r>
      <w:r>
        <w:rPr>
          <w:spacing w:val="-13"/>
        </w:rPr>
        <w:t> </w:t>
      </w:r>
      <w:r>
        <w:rPr/>
        <w:t>domain-engineered</w:t>
      </w:r>
      <w:r>
        <w:rPr>
          <w:spacing w:val="-13"/>
        </w:rPr>
        <w:t> </w:t>
      </w:r>
      <w:r>
        <w:rPr/>
        <w:t>features</w:t>
      </w:r>
      <w:r>
        <w:rPr>
          <w:spacing w:val="-13"/>
        </w:rPr>
        <w:t> </w:t>
      </w:r>
      <w:r>
        <w:rPr/>
        <w:t>derived</w:t>
      </w:r>
      <w:r>
        <w:rPr>
          <w:spacing w:val="-13"/>
        </w:rPr>
        <w:t> </w:t>
      </w:r>
      <w:r>
        <w:rPr/>
        <w:t>from</w:t>
      </w:r>
      <w:r>
        <w:rPr>
          <w:spacing w:val="-13"/>
        </w:rPr>
        <w:t> </w:t>
      </w:r>
      <w:r>
        <w:rPr/>
        <w:t>the</w:t>
      </w:r>
      <w:r>
        <w:rPr>
          <w:spacing w:val="-13"/>
        </w:rPr>
        <w:t> </w:t>
      </w:r>
      <w:r>
        <w:rPr/>
        <w:t>grape</w:t>
      </w:r>
      <w:r>
        <w:rPr>
          <w:spacing w:val="-13"/>
        </w:rPr>
        <w:t> </w:t>
      </w:r>
      <w:r>
        <w:rPr/>
        <w:t>phenological</w:t>
      </w:r>
      <w:r>
        <w:rPr>
          <w:spacing w:val="-13"/>
        </w:rPr>
        <w:t> </w:t>
      </w:r>
      <w:r>
        <w:rPr/>
        <w:t>cycle.</w:t>
      </w:r>
      <w:r>
        <w:rPr>
          <w:spacing w:val="-2"/>
        </w:rPr>
        <w:t> </w:t>
      </w:r>
      <w:r>
        <w:rPr/>
        <w:t>Continuous</w:t>
      </w:r>
      <w:r>
        <w:rPr>
          <w:spacing w:val="-13"/>
        </w:rPr>
        <w:t> </w:t>
      </w:r>
      <w:r>
        <w:rPr/>
        <w:t>features are discretised into equal-frequency bins (quartiles by default), ensuring uniform bin occupancy. CarenR</w:t>
      </w:r>
      <w:r>
        <w:rPr>
          <w:spacing w:val="-7"/>
        </w:rPr>
        <w:t> </w:t>
      </w:r>
      <w:r>
        <w:rPr/>
        <w:t>then</w:t>
      </w:r>
      <w:r>
        <w:rPr>
          <w:spacing w:val="-7"/>
        </w:rPr>
        <w:t> </w:t>
      </w:r>
      <w:r>
        <w:rPr/>
        <w:t>performs</w:t>
      </w:r>
      <w:r>
        <w:rPr>
          <w:spacing w:val="-7"/>
        </w:rPr>
        <w:t> </w:t>
      </w:r>
      <w:r>
        <w:rPr/>
        <w:t>a</w:t>
      </w:r>
      <w:r>
        <w:rPr>
          <w:spacing w:val="-7"/>
        </w:rPr>
        <w:t> </w:t>
      </w:r>
      <w:r>
        <w:rPr/>
        <w:t>beam</w:t>
      </w:r>
      <w:r>
        <w:rPr>
          <w:spacing w:val="-7"/>
        </w:rPr>
        <w:t> </w:t>
      </w:r>
      <w:r>
        <w:rPr/>
        <w:t>search</w:t>
      </w:r>
      <w:r>
        <w:rPr>
          <w:spacing w:val="-7"/>
        </w:rPr>
        <w:t> </w:t>
      </w:r>
      <w:r>
        <w:rPr/>
        <w:t>over</w:t>
      </w:r>
      <w:r>
        <w:rPr>
          <w:spacing w:val="-7"/>
        </w:rPr>
        <w:t> </w:t>
      </w:r>
      <w:r>
        <w:rPr/>
        <w:t>conjunctions</w:t>
      </w:r>
      <w:r>
        <w:rPr>
          <w:spacing w:val="-7"/>
        </w:rPr>
        <w:t> </w:t>
      </w:r>
      <w:r>
        <w:rPr/>
        <w:t>of</w:t>
      </w:r>
      <w:r>
        <w:rPr>
          <w:spacing w:val="-7"/>
        </w:rPr>
        <w:t> </w:t>
      </w:r>
      <w:r>
        <w:rPr/>
        <w:t>feature-bin</w:t>
      </w:r>
      <w:r>
        <w:rPr>
          <w:spacing w:val="-7"/>
        </w:rPr>
        <w:t> </w:t>
      </w:r>
      <w:r>
        <w:rPr/>
        <w:t>conditions,</w:t>
      </w:r>
      <w:r>
        <w:rPr>
          <w:spacing w:val="-7"/>
        </w:rPr>
        <w:t> </w:t>
      </w:r>
      <w:r>
        <w:rPr/>
        <w:t>evaluating</w:t>
      </w:r>
      <w:r>
        <w:rPr>
          <w:spacing w:val="-7"/>
        </w:rPr>
        <w:t> </w:t>
      </w:r>
      <w:r>
        <w:rPr/>
        <w:t>each </w:t>
      </w:r>
      <w:r>
        <w:rPr>
          <w:spacing w:val="-2"/>
        </w:rPr>
        <w:t>candidate</w:t>
      </w:r>
      <w:r>
        <w:rPr>
          <w:spacing w:val="-5"/>
        </w:rPr>
        <w:t> </w:t>
      </w:r>
      <w:r>
        <w:rPr>
          <w:spacing w:val="-2"/>
        </w:rPr>
        <w:t>subgroup</w:t>
      </w:r>
      <w:r>
        <w:rPr>
          <w:spacing w:val="-5"/>
        </w:rPr>
        <w:t> </w:t>
      </w:r>
      <w:r>
        <w:rPr>
          <w:spacing w:val="-2"/>
        </w:rPr>
        <w:t>using</w:t>
      </w:r>
      <w:r>
        <w:rPr>
          <w:spacing w:val="-5"/>
        </w:rPr>
        <w:t> </w:t>
      </w:r>
      <w:r>
        <w:rPr>
          <w:spacing w:val="-2"/>
        </w:rPr>
        <w:t>a</w:t>
      </w:r>
      <w:r>
        <w:rPr>
          <w:spacing w:val="-5"/>
        </w:rPr>
        <w:t> </w:t>
      </w:r>
      <w:r>
        <w:rPr>
          <w:spacing w:val="-2"/>
        </w:rPr>
        <w:t>two-sample</w:t>
      </w:r>
      <w:r>
        <w:rPr>
          <w:spacing w:val="-5"/>
        </w:rPr>
        <w:t> </w:t>
      </w:r>
      <w:r>
        <w:rPr>
          <w:spacing w:val="-2"/>
        </w:rPr>
        <w:t>KS</w:t>
      </w:r>
      <w:r>
        <w:rPr>
          <w:spacing w:val="-5"/>
        </w:rPr>
        <w:t> </w:t>
      </w:r>
      <w:r>
        <w:rPr>
          <w:spacing w:val="-2"/>
        </w:rPr>
        <w:t>test</w:t>
      </w:r>
      <w:r>
        <w:rPr>
          <w:spacing w:val="-5"/>
        </w:rPr>
        <w:t> </w:t>
      </w:r>
      <w:r>
        <w:rPr>
          <w:spacing w:val="-2"/>
        </w:rPr>
        <w:t>against</w:t>
      </w:r>
      <w:r>
        <w:rPr>
          <w:spacing w:val="-5"/>
        </w:rPr>
        <w:t> </w:t>
      </w:r>
      <w:r>
        <w:rPr>
          <w:spacing w:val="-2"/>
        </w:rPr>
        <w:t>the</w:t>
      </w:r>
      <w:r>
        <w:rPr>
          <w:spacing w:val="-5"/>
        </w:rPr>
        <w:t> </w:t>
      </w:r>
      <w:r>
        <w:rPr>
          <w:spacing w:val="-2"/>
        </w:rPr>
        <w:t>global</w:t>
      </w:r>
      <w:r>
        <w:rPr>
          <w:spacing w:val="-5"/>
        </w:rPr>
        <w:t> </w:t>
      </w:r>
      <w:r>
        <w:rPr>
          <w:spacing w:val="-2"/>
        </w:rPr>
        <w:t>distribution.</w:t>
      </w:r>
      <w:r>
        <w:rPr/>
        <w:t> </w:t>
      </w:r>
      <w:r>
        <w:rPr>
          <w:spacing w:val="-2"/>
        </w:rPr>
        <w:t>Rules</w:t>
      </w:r>
      <w:r>
        <w:rPr>
          <w:spacing w:val="-5"/>
        </w:rPr>
        <w:t> </w:t>
      </w:r>
      <w:r>
        <w:rPr>
          <w:spacing w:val="-2"/>
        </w:rPr>
        <w:t>are</w:t>
      </w:r>
      <w:r>
        <w:rPr>
          <w:spacing w:val="-5"/>
        </w:rPr>
        <w:t> </w:t>
      </w:r>
      <w:r>
        <w:rPr>
          <w:spacing w:val="-2"/>
        </w:rPr>
        <w:t>retained</w:t>
      </w:r>
      <w:r>
        <w:rPr>
          <w:spacing w:val="-5"/>
        </w:rPr>
        <w:t> </w:t>
      </w:r>
      <w:r>
        <w:rPr>
          <w:spacing w:val="-2"/>
        </w:rPr>
        <w:t>if </w:t>
      </w:r>
      <w:r>
        <w:rPr>
          <w:spacing w:val="-4"/>
        </w:rPr>
        <w:t>they</w:t>
      </w:r>
      <w:r>
        <w:rPr>
          <w:spacing w:val="-10"/>
        </w:rPr>
        <w:t> </w:t>
      </w:r>
      <w:r>
        <w:rPr>
          <w:spacing w:val="-4"/>
        </w:rPr>
        <w:t>pass</w:t>
      </w:r>
      <w:r>
        <w:rPr>
          <w:spacing w:val="-5"/>
        </w:rPr>
        <w:t> </w:t>
      </w:r>
      <w:r>
        <w:rPr>
          <w:spacing w:val="-4"/>
        </w:rPr>
        <w:t>a significance threshold (p </w:t>
      </w:r>
      <w:r>
        <w:rPr>
          <w:rFonts w:ascii="Meiryo UI" w:hAnsi="Meiryo UI"/>
          <w:i/>
          <w:spacing w:val="-4"/>
        </w:rPr>
        <w:t>≤</w:t>
      </w:r>
      <w:r>
        <w:rPr>
          <w:rFonts w:ascii="Meiryo UI" w:hAnsi="Meiryo UI"/>
          <w:i/>
          <w:spacing w:val="-15"/>
        </w:rPr>
        <w:t> </w:t>
      </w:r>
      <w:r>
        <w:rPr>
          <w:spacing w:val="-4"/>
        </w:rPr>
        <w:t>0.10) and a minimum support filter (</w:t>
      </w:r>
      <w:r>
        <w:rPr>
          <w:rFonts w:ascii="Meiryo UI" w:hAnsi="Meiryo UI"/>
          <w:i/>
          <w:spacing w:val="-4"/>
        </w:rPr>
        <w:t>≥</w:t>
      </w:r>
      <w:r>
        <w:rPr>
          <w:rFonts w:ascii="Meiryo UI" w:hAnsi="Meiryo UI"/>
          <w:i/>
          <w:spacing w:val="-15"/>
        </w:rPr>
        <w:t> </w:t>
      </w:r>
      <w:r>
        <w:rPr>
          <w:spacing w:val="-4"/>
        </w:rPr>
        <w:t>15% of observations). </w:t>
      </w:r>
      <w:r>
        <w:rPr/>
        <w:t>The output is a set of interpretable conditional patterns linking climate conditions to shifts in the distribution of production residuals.</w:t>
      </w:r>
    </w:p>
    <w:p>
      <w:pPr>
        <w:pStyle w:val="BodyText"/>
        <w:spacing w:line="312" w:lineRule="auto" w:before="85"/>
        <w:ind w:left="709" w:right="990" w:firstLine="338"/>
        <w:jc w:val="both"/>
      </w:pPr>
      <w:r>
        <w:rPr/>
        <w:t>For</w:t>
      </w:r>
      <w:r>
        <w:rPr>
          <w:spacing w:val="-14"/>
        </w:rPr>
        <w:t> </w:t>
      </w:r>
      <w:r>
        <w:rPr/>
        <w:t>Goal</w:t>
      </w:r>
      <w:r>
        <w:rPr>
          <w:spacing w:val="-14"/>
        </w:rPr>
        <w:t> </w:t>
      </w:r>
      <w:r>
        <w:rPr/>
        <w:t>2</w:t>
      </w:r>
      <w:r>
        <w:rPr>
          <w:spacing w:val="-14"/>
        </w:rPr>
        <w:t> </w:t>
      </w:r>
      <w:r>
        <w:rPr/>
        <w:t>(Predictive</w:t>
      </w:r>
      <w:r>
        <w:rPr>
          <w:spacing w:val="-13"/>
        </w:rPr>
        <w:t> </w:t>
      </w:r>
      <w:r>
        <w:rPr/>
        <w:t>Validation),</w:t>
      </w:r>
      <w:r>
        <w:rPr>
          <w:spacing w:val="-14"/>
        </w:rPr>
        <w:t> </w:t>
      </w:r>
      <w:r>
        <w:rPr/>
        <w:t>the</w:t>
      </w:r>
      <w:r>
        <w:rPr>
          <w:spacing w:val="-14"/>
        </w:rPr>
        <w:t> </w:t>
      </w:r>
      <w:r>
        <w:rPr/>
        <w:t>same</w:t>
      </w:r>
      <w:r>
        <w:rPr>
          <w:spacing w:val="-14"/>
        </w:rPr>
        <w:t> </w:t>
      </w:r>
      <w:r>
        <w:rPr/>
        <w:t>pipeline</w:t>
      </w:r>
      <w:r>
        <w:rPr>
          <w:spacing w:val="-13"/>
        </w:rPr>
        <w:t> </w:t>
      </w:r>
      <w:r>
        <w:rPr/>
        <w:t>runs</w:t>
      </w:r>
      <w:r>
        <w:rPr>
          <w:spacing w:val="-14"/>
        </w:rPr>
        <w:t> </w:t>
      </w:r>
      <w:r>
        <w:rPr/>
        <w:t>within</w:t>
      </w:r>
      <w:r>
        <w:rPr>
          <w:spacing w:val="-14"/>
        </w:rPr>
        <w:t> </w:t>
      </w:r>
      <w:r>
        <w:rPr/>
        <w:t>each</w:t>
      </w:r>
      <w:r>
        <w:rPr>
          <w:spacing w:val="-14"/>
        </w:rPr>
        <w:t> </w:t>
      </w:r>
      <w:r>
        <w:rPr/>
        <w:t>training</w:t>
      </w:r>
      <w:r>
        <w:rPr>
          <w:spacing w:val="-13"/>
        </w:rPr>
        <w:t> </w:t>
      </w:r>
      <w:r>
        <w:rPr/>
        <w:t>fold</w:t>
      </w:r>
      <w:r>
        <w:rPr>
          <w:spacing w:val="-14"/>
        </w:rPr>
        <w:t> </w:t>
      </w:r>
      <w:r>
        <w:rPr/>
        <w:t>rather</w:t>
      </w:r>
      <w:r>
        <w:rPr>
          <w:spacing w:val="-14"/>
        </w:rPr>
        <w:t> </w:t>
      </w:r>
      <w:r>
        <w:rPr/>
        <w:t>than </w:t>
      </w:r>
      <w:r>
        <w:rPr>
          <w:spacing w:val="-2"/>
        </w:rPr>
        <w:t>on</w:t>
      </w:r>
      <w:r>
        <w:rPr>
          <w:spacing w:val="-3"/>
        </w:rPr>
        <w:t> </w:t>
      </w:r>
      <w:r>
        <w:rPr>
          <w:spacing w:val="-2"/>
        </w:rPr>
        <w:t>the</w:t>
      </w:r>
      <w:r>
        <w:rPr>
          <w:spacing w:val="-3"/>
        </w:rPr>
        <w:t> </w:t>
      </w:r>
      <w:r>
        <w:rPr>
          <w:spacing w:val="-2"/>
        </w:rPr>
        <w:t>full</w:t>
      </w:r>
      <w:r>
        <w:rPr>
          <w:spacing w:val="-3"/>
        </w:rPr>
        <w:t> </w:t>
      </w:r>
      <w:r>
        <w:rPr>
          <w:spacing w:val="-2"/>
        </w:rPr>
        <w:t>dataset,</w:t>
      </w:r>
      <w:r>
        <w:rPr>
          <w:spacing w:val="-3"/>
        </w:rPr>
        <w:t> </w:t>
      </w:r>
      <w:r>
        <w:rPr>
          <w:spacing w:val="-2"/>
        </w:rPr>
        <w:t>preventing</w:t>
      </w:r>
      <w:r>
        <w:rPr>
          <w:spacing w:val="-3"/>
        </w:rPr>
        <w:t> </w:t>
      </w:r>
      <w:r>
        <w:rPr>
          <w:spacing w:val="-2"/>
        </w:rPr>
        <w:t>leakage</w:t>
      </w:r>
      <w:r>
        <w:rPr>
          <w:spacing w:val="-3"/>
        </w:rPr>
        <w:t> </w:t>
      </w:r>
      <w:r>
        <w:rPr>
          <w:spacing w:val="-2"/>
        </w:rPr>
        <w:t>of</w:t>
      </w:r>
      <w:r>
        <w:rPr>
          <w:spacing w:val="-3"/>
        </w:rPr>
        <w:t> </w:t>
      </w:r>
      <w:r>
        <w:rPr>
          <w:spacing w:val="-2"/>
        </w:rPr>
        <w:t>test-set</w:t>
      </w:r>
      <w:r>
        <w:rPr>
          <w:spacing w:val="-3"/>
        </w:rPr>
        <w:t> </w:t>
      </w:r>
      <w:r>
        <w:rPr>
          <w:spacing w:val="-2"/>
        </w:rPr>
        <w:t>information. Discretisation,</w:t>
      </w:r>
      <w:r>
        <w:rPr>
          <w:spacing w:val="-3"/>
        </w:rPr>
        <w:t> </w:t>
      </w:r>
      <w:r>
        <w:rPr>
          <w:spacing w:val="-2"/>
        </w:rPr>
        <w:t>feature</w:t>
      </w:r>
      <w:r>
        <w:rPr>
          <w:spacing w:val="-3"/>
        </w:rPr>
        <w:t> </w:t>
      </w:r>
      <w:r>
        <w:rPr>
          <w:spacing w:val="-2"/>
        </w:rPr>
        <w:t>selection,</w:t>
      </w:r>
      <w:r>
        <w:rPr>
          <w:spacing w:val="-3"/>
        </w:rPr>
        <w:t> </w:t>
      </w:r>
      <w:r>
        <w:rPr>
          <w:spacing w:val="-2"/>
        </w:rPr>
        <w:t>and </w:t>
      </w:r>
      <w:r>
        <w:rPr/>
        <w:t>rule induction are all performed on the training fold only. At prediction time, rules that match a test</w:t>
      </w:r>
      <w:r>
        <w:rPr>
          <w:spacing w:val="-4"/>
        </w:rPr>
        <w:t> </w:t>
      </w:r>
      <w:r>
        <w:rPr/>
        <w:t>year’s</w:t>
      </w:r>
      <w:r>
        <w:rPr>
          <w:spacing w:val="-4"/>
        </w:rPr>
        <w:t> </w:t>
      </w:r>
      <w:r>
        <w:rPr/>
        <w:t>conditions</w:t>
      </w:r>
      <w:r>
        <w:rPr>
          <w:spacing w:val="-5"/>
        </w:rPr>
        <w:t> </w:t>
      </w:r>
      <w:r>
        <w:rPr/>
        <w:t>have</w:t>
      </w:r>
      <w:r>
        <w:rPr>
          <w:spacing w:val="-4"/>
        </w:rPr>
        <w:t> </w:t>
      </w:r>
      <w:r>
        <w:rPr/>
        <w:t>their</w:t>
      </w:r>
      <w:r>
        <w:rPr>
          <w:spacing w:val="-4"/>
        </w:rPr>
        <w:t> </w:t>
      </w:r>
      <w:r>
        <w:rPr/>
        <w:t>subgroup</w:t>
      </w:r>
      <w:r>
        <w:rPr>
          <w:spacing w:val="-5"/>
        </w:rPr>
        <w:t> </w:t>
      </w:r>
      <w:r>
        <w:rPr/>
        <w:t>medians</w:t>
      </w:r>
      <w:r>
        <w:rPr>
          <w:spacing w:val="-4"/>
        </w:rPr>
        <w:t> </w:t>
      </w:r>
      <w:r>
        <w:rPr/>
        <w:t>combined</w:t>
      </w:r>
      <w:r>
        <w:rPr>
          <w:spacing w:val="-4"/>
        </w:rPr>
        <w:t> </w:t>
      </w:r>
      <w:r>
        <w:rPr/>
        <w:t>as</w:t>
      </w:r>
      <w:r>
        <w:rPr>
          <w:spacing w:val="-5"/>
        </w:rPr>
        <w:t> </w:t>
      </w:r>
      <w:r>
        <w:rPr/>
        <w:t>a</w:t>
      </w:r>
      <w:r>
        <w:rPr>
          <w:spacing w:val="-4"/>
        </w:rPr>
        <w:t> </w:t>
      </w:r>
      <w:r>
        <w:rPr/>
        <w:t>support-weighted</w:t>
      </w:r>
      <w:r>
        <w:rPr>
          <w:spacing w:val="-4"/>
        </w:rPr>
        <w:t> </w:t>
      </w:r>
      <w:r>
        <w:rPr/>
        <w:t>sum</w:t>
      </w:r>
      <w:r>
        <w:rPr>
          <w:spacing w:val="-5"/>
        </w:rPr>
        <w:t> </w:t>
      </w:r>
      <w:r>
        <w:rPr/>
        <w:t>—</w:t>
      </w:r>
      <w:r>
        <w:rPr>
          <w:spacing w:val="-4"/>
        </w:rPr>
        <w:t> </w:t>
      </w:r>
      <w:r>
        <w:rPr/>
        <w:t>each rule’s</w:t>
      </w:r>
      <w:r>
        <w:rPr>
          <w:spacing w:val="-11"/>
        </w:rPr>
        <w:t> </w:t>
      </w:r>
      <w:r>
        <w:rPr/>
        <w:t>median</w:t>
      </w:r>
      <w:r>
        <w:rPr>
          <w:spacing w:val="-11"/>
        </w:rPr>
        <w:t> </w:t>
      </w:r>
      <w:r>
        <w:rPr/>
        <w:t>residual</w:t>
      </w:r>
      <w:r>
        <w:rPr>
          <w:spacing w:val="-11"/>
        </w:rPr>
        <w:t> </w:t>
      </w:r>
      <w:r>
        <w:rPr/>
        <w:t>weighted</w:t>
      </w:r>
      <w:r>
        <w:rPr>
          <w:spacing w:val="-11"/>
        </w:rPr>
        <w:t> </w:t>
      </w:r>
      <w:r>
        <w:rPr/>
        <w:t>by</w:t>
      </w:r>
      <w:r>
        <w:rPr>
          <w:spacing w:val="-11"/>
        </w:rPr>
        <w:t> </w:t>
      </w:r>
      <w:r>
        <w:rPr/>
        <w:t>its</w:t>
      </w:r>
      <w:r>
        <w:rPr>
          <w:spacing w:val="-11"/>
        </w:rPr>
        <w:t> </w:t>
      </w:r>
      <w:r>
        <w:rPr/>
        <w:t>support</w:t>
      </w:r>
      <w:r>
        <w:rPr>
          <w:spacing w:val="-11"/>
        </w:rPr>
        <w:t> </w:t>
      </w:r>
      <w:r>
        <w:rPr/>
        <w:t>fraction;</w:t>
      </w:r>
      <w:r>
        <w:rPr>
          <w:spacing w:val="-11"/>
        </w:rPr>
        <w:t> </w:t>
      </w:r>
      <w:r>
        <w:rPr/>
        <w:t>if</w:t>
      </w:r>
      <w:r>
        <w:rPr>
          <w:spacing w:val="-10"/>
        </w:rPr>
        <w:t> </w:t>
      </w:r>
      <w:r>
        <w:rPr/>
        <w:t>no</w:t>
      </w:r>
      <w:r>
        <w:rPr>
          <w:spacing w:val="-11"/>
        </w:rPr>
        <w:t> </w:t>
      </w:r>
      <w:r>
        <w:rPr/>
        <w:t>rule</w:t>
      </w:r>
      <w:r>
        <w:rPr>
          <w:spacing w:val="-11"/>
        </w:rPr>
        <w:t> </w:t>
      </w:r>
      <w:r>
        <w:rPr/>
        <w:t>fires,</w:t>
      </w:r>
      <w:r>
        <w:rPr>
          <w:spacing w:val="-11"/>
        </w:rPr>
        <w:t> </w:t>
      </w:r>
      <w:r>
        <w:rPr/>
        <w:t>the</w:t>
      </w:r>
      <w:r>
        <w:rPr>
          <w:spacing w:val="-11"/>
        </w:rPr>
        <w:t> </w:t>
      </w:r>
      <w:r>
        <w:rPr/>
        <w:t>model</w:t>
      </w:r>
      <w:r>
        <w:rPr>
          <w:spacing w:val="-11"/>
        </w:rPr>
        <w:t> </w:t>
      </w:r>
      <w:r>
        <w:rPr/>
        <w:t>falls</w:t>
      </w:r>
      <w:r>
        <w:rPr>
          <w:spacing w:val="-11"/>
        </w:rPr>
        <w:t> </w:t>
      </w:r>
      <w:r>
        <w:rPr/>
        <w:t>back</w:t>
      </w:r>
      <w:r>
        <w:rPr>
          <w:spacing w:val="-11"/>
        </w:rPr>
        <w:t> </w:t>
      </w:r>
      <w:r>
        <w:rPr/>
        <w:t>to</w:t>
      </w:r>
      <w:r>
        <w:rPr>
          <w:spacing w:val="-11"/>
        </w:rPr>
        <w:t> </w:t>
      </w:r>
      <w:r>
        <w:rPr>
          <w:spacing w:val="-5"/>
        </w:rPr>
        <w:t>the</w:t>
      </w:r>
    </w:p>
    <w:p>
      <w:pPr>
        <w:pStyle w:val="BodyText"/>
        <w:spacing w:after="0" w:line="312" w:lineRule="auto"/>
        <w:jc w:val="both"/>
        <w:sectPr>
          <w:pgSz w:w="11910" w:h="16840"/>
          <w:pgMar w:header="1160" w:footer="0" w:top="1420" w:bottom="280" w:left="1275" w:right="425"/>
        </w:sectPr>
      </w:pPr>
    </w:p>
    <w:p>
      <w:pPr>
        <w:pStyle w:val="BodyText"/>
      </w:pPr>
    </w:p>
    <w:p>
      <w:pPr>
        <w:pStyle w:val="BodyText"/>
        <w:spacing w:before="25"/>
      </w:pPr>
    </w:p>
    <w:p>
      <w:pPr>
        <w:pStyle w:val="BodyText"/>
        <w:spacing w:line="312" w:lineRule="auto" w:before="1"/>
        <w:ind w:left="142" w:right="1557"/>
        <w:jc w:val="both"/>
      </w:pPr>
      <w:r>
        <w:rPr/>
        <w:t>training median.</w:t>
      </w:r>
      <w:r>
        <w:rPr>
          <w:spacing w:val="38"/>
        </w:rPr>
        <w:t> </w:t>
      </w:r>
      <w:r>
        <w:rPr/>
        <w:t>The 11 CarenR variants evaluated in this thesis differ from one another in the feature selection step applied within each fold.</w:t>
      </w:r>
    </w:p>
    <w:p>
      <w:pPr>
        <w:pStyle w:val="BodyText"/>
        <w:spacing w:line="312" w:lineRule="auto" w:before="21"/>
        <w:ind w:left="142" w:right="1557" w:firstLine="338"/>
        <w:jc w:val="both"/>
      </w:pPr>
      <w:r>
        <w:rPr>
          <w:spacing w:val="-2"/>
        </w:rPr>
        <w:t>CarenR</w:t>
      </w:r>
      <w:r>
        <w:rPr>
          <w:spacing w:val="-12"/>
        </w:rPr>
        <w:t> </w:t>
      </w:r>
      <w:r>
        <w:rPr>
          <w:spacing w:val="-2"/>
        </w:rPr>
        <w:t>differs</w:t>
      </w:r>
      <w:r>
        <w:rPr>
          <w:spacing w:val="-11"/>
        </w:rPr>
        <w:t> </w:t>
      </w:r>
      <w:r>
        <w:rPr>
          <w:spacing w:val="-2"/>
        </w:rPr>
        <w:t>from</w:t>
      </w:r>
      <w:r>
        <w:rPr>
          <w:spacing w:val="-12"/>
        </w:rPr>
        <w:t> </w:t>
      </w:r>
      <w:r>
        <w:rPr>
          <w:spacing w:val="-2"/>
        </w:rPr>
        <w:t>RIPPER</w:t>
      </w:r>
      <w:r>
        <w:rPr>
          <w:spacing w:val="-11"/>
        </w:rPr>
        <w:t> </w:t>
      </w:r>
      <w:r>
        <w:rPr>
          <w:spacing w:val="-2"/>
        </w:rPr>
        <w:t>and</w:t>
      </w:r>
      <w:r>
        <w:rPr>
          <w:spacing w:val="-12"/>
        </w:rPr>
        <w:t> </w:t>
      </w:r>
      <w:r>
        <w:rPr>
          <w:spacing w:val="-2"/>
        </w:rPr>
        <w:t>M5Rules</w:t>
      </w:r>
      <w:r>
        <w:rPr>
          <w:spacing w:val="-11"/>
        </w:rPr>
        <w:t> </w:t>
      </w:r>
      <w:r>
        <w:rPr>
          <w:spacing w:val="-2"/>
        </w:rPr>
        <w:t>in</w:t>
      </w:r>
      <w:r>
        <w:rPr>
          <w:spacing w:val="-12"/>
        </w:rPr>
        <w:t> </w:t>
      </w:r>
      <w:r>
        <w:rPr>
          <w:spacing w:val="-2"/>
        </w:rPr>
        <w:t>what</w:t>
      </w:r>
      <w:r>
        <w:rPr>
          <w:spacing w:val="-11"/>
        </w:rPr>
        <w:t> </w:t>
      </w:r>
      <w:r>
        <w:rPr>
          <w:spacing w:val="-2"/>
        </w:rPr>
        <w:t>it</w:t>
      </w:r>
      <w:r>
        <w:rPr>
          <w:spacing w:val="-12"/>
        </w:rPr>
        <w:t> </w:t>
      </w:r>
      <w:r>
        <w:rPr>
          <w:spacing w:val="-2"/>
        </w:rPr>
        <w:t>optimises:</w:t>
      </w:r>
      <w:r>
        <w:rPr>
          <w:spacing w:val="2"/>
        </w:rPr>
        <w:t> </w:t>
      </w:r>
      <w:r>
        <w:rPr>
          <w:spacing w:val="-2"/>
        </w:rPr>
        <w:t>it</w:t>
      </w:r>
      <w:r>
        <w:rPr>
          <w:spacing w:val="-12"/>
        </w:rPr>
        <w:t> </w:t>
      </w:r>
      <w:r>
        <w:rPr>
          <w:spacing w:val="-2"/>
        </w:rPr>
        <w:t>asks</w:t>
      </w:r>
      <w:r>
        <w:rPr>
          <w:spacing w:val="-11"/>
        </w:rPr>
        <w:t> </w:t>
      </w:r>
      <w:r>
        <w:rPr>
          <w:spacing w:val="-2"/>
        </w:rPr>
        <w:t>whether</w:t>
      </w:r>
      <w:r>
        <w:rPr>
          <w:spacing w:val="-12"/>
        </w:rPr>
        <w:t> </w:t>
      </w:r>
      <w:r>
        <w:rPr>
          <w:spacing w:val="-2"/>
        </w:rPr>
        <w:t>the</w:t>
      </w:r>
      <w:r>
        <w:rPr>
          <w:spacing w:val="-11"/>
        </w:rPr>
        <w:t> </w:t>
      </w:r>
      <w:r>
        <w:rPr>
          <w:spacing w:val="-2"/>
        </w:rPr>
        <w:t>distribution </w:t>
      </w:r>
      <w:r>
        <w:rPr/>
        <w:t>of production residuals shifts significantly within a subgroup, rather than assigning class labels or minimising squared error.</w:t>
      </w:r>
      <w:r>
        <w:rPr>
          <w:spacing w:val="31"/>
        </w:rPr>
        <w:t> </w:t>
      </w:r>
      <w:r>
        <w:rPr/>
        <w:t>A feature that reliably shifts the distribution mean, even when the distribution</w:t>
      </w:r>
      <w:r>
        <w:rPr>
          <w:spacing w:val="-13"/>
        </w:rPr>
        <w:t> </w:t>
      </w:r>
      <w:r>
        <w:rPr/>
        <w:t>remains</w:t>
      </w:r>
      <w:r>
        <w:rPr>
          <w:spacing w:val="-13"/>
        </w:rPr>
        <w:t> </w:t>
      </w:r>
      <w:r>
        <w:rPr/>
        <w:t>wide</w:t>
      </w:r>
      <w:r>
        <w:rPr>
          <w:spacing w:val="-13"/>
        </w:rPr>
        <w:t> </w:t>
      </w:r>
      <w:r>
        <w:rPr/>
        <w:t>and</w:t>
      </w:r>
      <w:r>
        <w:rPr>
          <w:spacing w:val="-13"/>
        </w:rPr>
        <w:t> </w:t>
      </w:r>
      <w:r>
        <w:rPr/>
        <w:t>overlapping</w:t>
      </w:r>
      <w:r>
        <w:rPr>
          <w:spacing w:val="-13"/>
        </w:rPr>
        <w:t> </w:t>
      </w:r>
      <w:r>
        <w:rPr/>
        <w:t>with</w:t>
      </w:r>
      <w:r>
        <w:rPr>
          <w:spacing w:val="-13"/>
        </w:rPr>
        <w:t> </w:t>
      </w:r>
      <w:r>
        <w:rPr/>
        <w:t>the</w:t>
      </w:r>
      <w:r>
        <w:rPr>
          <w:spacing w:val="-13"/>
        </w:rPr>
        <w:t> </w:t>
      </w:r>
      <w:r>
        <w:rPr/>
        <w:t>global</w:t>
      </w:r>
      <w:r>
        <w:rPr>
          <w:spacing w:val="-13"/>
        </w:rPr>
        <w:t> </w:t>
      </w:r>
      <w:r>
        <w:rPr/>
        <w:t>one,</w:t>
      </w:r>
      <w:r>
        <w:rPr>
          <w:spacing w:val="-13"/>
        </w:rPr>
        <w:t> </w:t>
      </w:r>
      <w:r>
        <w:rPr/>
        <w:t>will</w:t>
      </w:r>
      <w:r>
        <w:rPr>
          <w:spacing w:val="-13"/>
        </w:rPr>
        <w:t> </w:t>
      </w:r>
      <w:r>
        <w:rPr/>
        <w:t>be</w:t>
      </w:r>
      <w:r>
        <w:rPr>
          <w:spacing w:val="-13"/>
        </w:rPr>
        <w:t> </w:t>
      </w:r>
      <w:r>
        <w:rPr/>
        <w:t>detected</w:t>
      </w:r>
      <w:r>
        <w:rPr>
          <w:spacing w:val="-13"/>
        </w:rPr>
        <w:t> </w:t>
      </w:r>
      <w:r>
        <w:rPr/>
        <w:t>by</w:t>
      </w:r>
      <w:r>
        <w:rPr>
          <w:spacing w:val="-13"/>
        </w:rPr>
        <w:t> </w:t>
      </w:r>
      <w:r>
        <w:rPr/>
        <w:t>CarenR</w:t>
      </w:r>
      <w:r>
        <w:rPr>
          <w:spacing w:val="-13"/>
        </w:rPr>
        <w:t> </w:t>
      </w:r>
      <w:r>
        <w:rPr/>
        <w:t>but</w:t>
      </w:r>
      <w:r>
        <w:rPr>
          <w:spacing w:val="-13"/>
        </w:rPr>
        <w:t> </w:t>
      </w:r>
      <w:r>
        <w:rPr/>
        <w:t>not by</w:t>
      </w:r>
      <w:r>
        <w:rPr>
          <w:spacing w:val="-14"/>
        </w:rPr>
        <w:t> </w:t>
      </w:r>
      <w:r>
        <w:rPr/>
        <w:t>classification</w:t>
      </w:r>
      <w:r>
        <w:rPr>
          <w:spacing w:val="-14"/>
        </w:rPr>
        <w:t> </w:t>
      </w:r>
      <w:r>
        <w:rPr/>
        <w:t>or</w:t>
      </w:r>
      <w:r>
        <w:rPr>
          <w:spacing w:val="-14"/>
        </w:rPr>
        <w:t> </w:t>
      </w:r>
      <w:r>
        <w:rPr/>
        <w:t>regression</w:t>
      </w:r>
      <w:r>
        <w:rPr>
          <w:spacing w:val="-13"/>
        </w:rPr>
        <w:t> </w:t>
      </w:r>
      <w:r>
        <w:rPr/>
        <w:t>criteria.</w:t>
      </w:r>
      <w:r>
        <w:rPr>
          <w:spacing w:val="-14"/>
        </w:rPr>
        <w:t> </w:t>
      </w:r>
      <w:r>
        <w:rPr/>
        <w:t>This</w:t>
      </w:r>
      <w:r>
        <w:rPr>
          <w:spacing w:val="-14"/>
        </w:rPr>
        <w:t> </w:t>
      </w:r>
      <w:r>
        <w:rPr/>
        <w:t>is</w:t>
      </w:r>
      <w:r>
        <w:rPr>
          <w:spacing w:val="-14"/>
        </w:rPr>
        <w:t> </w:t>
      </w:r>
      <w:r>
        <w:rPr/>
        <w:t>why</w:t>
      </w:r>
      <w:r>
        <w:rPr>
          <w:spacing w:val="-13"/>
        </w:rPr>
        <w:t> </w:t>
      </w:r>
      <w:r>
        <w:rPr/>
        <w:t>Leaf</w:t>
      </w:r>
      <w:r>
        <w:rPr>
          <w:spacing w:val="-14"/>
        </w:rPr>
        <w:t> </w:t>
      </w:r>
      <w:r>
        <w:rPr/>
        <w:t>Area</w:t>
      </w:r>
      <w:r>
        <w:rPr>
          <w:spacing w:val="-14"/>
        </w:rPr>
        <w:t> </w:t>
      </w:r>
      <w:r>
        <w:rPr/>
        <w:t>Index</w:t>
      </w:r>
      <w:r>
        <w:rPr>
          <w:spacing w:val="-14"/>
        </w:rPr>
        <w:t> </w:t>
      </w:r>
      <w:r>
        <w:rPr/>
        <w:t>(LAI)</w:t>
      </w:r>
      <w:r>
        <w:rPr>
          <w:spacing w:val="-13"/>
        </w:rPr>
        <w:t> </w:t>
      </w:r>
      <w:r>
        <w:rPr/>
        <w:t>at</w:t>
      </w:r>
      <w:r>
        <w:rPr>
          <w:spacing w:val="-14"/>
        </w:rPr>
        <w:t> </w:t>
      </w:r>
      <w:r>
        <w:rPr/>
        <w:t>harvest,</w:t>
      </w:r>
      <w:r>
        <w:rPr>
          <w:spacing w:val="-14"/>
        </w:rPr>
        <w:t> </w:t>
      </w:r>
      <w:r>
        <w:rPr/>
        <w:t>the</w:t>
      </w:r>
      <w:r>
        <w:rPr>
          <w:spacing w:val="-14"/>
        </w:rPr>
        <w:t> </w:t>
      </w:r>
      <w:r>
        <w:rPr/>
        <w:t>dominant </w:t>
      </w:r>
      <w:r>
        <w:rPr>
          <w:spacing w:val="-2"/>
        </w:rPr>
        <w:t>feature</w:t>
      </w:r>
      <w:r>
        <w:rPr>
          <w:spacing w:val="-6"/>
        </w:rPr>
        <w:t> </w:t>
      </w:r>
      <w:r>
        <w:rPr>
          <w:spacing w:val="-2"/>
        </w:rPr>
        <w:t>in</w:t>
      </w:r>
      <w:r>
        <w:rPr>
          <w:spacing w:val="-6"/>
        </w:rPr>
        <w:t> </w:t>
      </w:r>
      <w:r>
        <w:rPr>
          <w:spacing w:val="-2"/>
        </w:rPr>
        <w:t>Vinho</w:t>
      </w:r>
      <w:r>
        <w:rPr>
          <w:spacing w:val="-6"/>
        </w:rPr>
        <w:t> </w:t>
      </w:r>
      <w:r>
        <w:rPr>
          <w:spacing w:val="-2"/>
        </w:rPr>
        <w:t>Verde</w:t>
      </w:r>
      <w:r>
        <w:rPr>
          <w:spacing w:val="-6"/>
        </w:rPr>
        <w:t> </w:t>
      </w:r>
      <w:r>
        <w:rPr>
          <w:spacing w:val="-2"/>
        </w:rPr>
        <w:t>CarenR</w:t>
      </w:r>
      <w:r>
        <w:rPr>
          <w:spacing w:val="-6"/>
        </w:rPr>
        <w:t> </w:t>
      </w:r>
      <w:r>
        <w:rPr>
          <w:spacing w:val="-2"/>
        </w:rPr>
        <w:t>rules,</w:t>
      </w:r>
      <w:r>
        <w:rPr>
          <w:spacing w:val="-6"/>
        </w:rPr>
        <w:t> </w:t>
      </w:r>
      <w:r>
        <w:rPr>
          <w:spacing w:val="-2"/>
        </w:rPr>
        <w:t>is</w:t>
      </w:r>
      <w:r>
        <w:rPr>
          <w:spacing w:val="-6"/>
        </w:rPr>
        <w:t> </w:t>
      </w:r>
      <w:r>
        <w:rPr>
          <w:spacing w:val="-2"/>
        </w:rPr>
        <w:t>not</w:t>
      </w:r>
      <w:r>
        <w:rPr>
          <w:spacing w:val="-6"/>
        </w:rPr>
        <w:t> </w:t>
      </w:r>
      <w:r>
        <w:rPr>
          <w:spacing w:val="-2"/>
        </w:rPr>
        <w:t>selected</w:t>
      </w:r>
      <w:r>
        <w:rPr>
          <w:spacing w:val="-6"/>
        </w:rPr>
        <w:t> </w:t>
      </w:r>
      <w:r>
        <w:rPr>
          <w:spacing w:val="-2"/>
        </w:rPr>
        <w:t>by</w:t>
      </w:r>
      <w:r>
        <w:rPr>
          <w:spacing w:val="-6"/>
        </w:rPr>
        <w:t> </w:t>
      </w:r>
      <w:r>
        <w:rPr>
          <w:spacing w:val="-2"/>
        </w:rPr>
        <w:t>RIPPER</w:t>
      </w:r>
      <w:r>
        <w:rPr>
          <w:spacing w:val="-6"/>
        </w:rPr>
        <w:t> </w:t>
      </w:r>
      <w:r>
        <w:rPr>
          <w:spacing w:val="-2"/>
        </w:rPr>
        <w:t>or</w:t>
      </w:r>
      <w:r>
        <w:rPr>
          <w:spacing w:val="-6"/>
        </w:rPr>
        <w:t> </w:t>
      </w:r>
      <w:r>
        <w:rPr>
          <w:spacing w:val="-2"/>
        </w:rPr>
        <w:t>M5Rules</w:t>
      </w:r>
      <w:r>
        <w:rPr>
          <w:spacing w:val="-6"/>
        </w:rPr>
        <w:t> </w:t>
      </w:r>
      <w:r>
        <w:rPr>
          <w:spacing w:val="-2"/>
        </w:rPr>
        <w:t>despite</w:t>
      </w:r>
      <w:r>
        <w:rPr>
          <w:spacing w:val="-6"/>
        </w:rPr>
        <w:t> </w:t>
      </w:r>
      <w:r>
        <w:rPr>
          <w:spacing w:val="-2"/>
        </w:rPr>
        <w:t>its</w:t>
      </w:r>
      <w:r>
        <w:rPr>
          <w:spacing w:val="-6"/>
        </w:rPr>
        <w:t> </w:t>
      </w:r>
      <w:r>
        <w:rPr>
          <w:spacing w:val="-2"/>
        </w:rPr>
        <w:t>agronomic </w:t>
      </w:r>
      <w:r>
        <w:rPr/>
        <w:t>relevance (Section </w:t>
      </w:r>
      <w:hyperlink w:history="true" w:anchor="_bookmark89">
        <w:r>
          <w:rPr>
            <w:color w:val="8B2C18"/>
          </w:rPr>
          <w:t>4.6.2</w:t>
        </w:r>
      </w:hyperlink>
      <w:r>
        <w:rPr/>
        <w:t>).</w:t>
      </w:r>
    </w:p>
    <w:p>
      <w:pPr>
        <w:pStyle w:val="BodyText"/>
        <w:spacing w:line="312" w:lineRule="auto" w:before="20"/>
        <w:ind w:left="135" w:right="1519" w:firstLine="345"/>
        <w:jc w:val="both"/>
      </w:pPr>
      <w:r>
        <w:rPr/>
        <w:t>CarenR</w:t>
      </w:r>
      <w:r>
        <w:rPr>
          <w:spacing w:val="-6"/>
        </w:rPr>
        <w:t> </w:t>
      </w:r>
      <w:r>
        <w:rPr/>
        <w:t>has</w:t>
      </w:r>
      <w:r>
        <w:rPr>
          <w:spacing w:val="-6"/>
        </w:rPr>
        <w:t> </w:t>
      </w:r>
      <w:r>
        <w:rPr/>
        <w:t>been</w:t>
      </w:r>
      <w:r>
        <w:rPr>
          <w:spacing w:val="-6"/>
        </w:rPr>
        <w:t> </w:t>
      </w:r>
      <w:r>
        <w:rPr/>
        <w:t>applied</w:t>
      </w:r>
      <w:r>
        <w:rPr>
          <w:spacing w:val="-6"/>
        </w:rPr>
        <w:t> </w:t>
      </w:r>
      <w:r>
        <w:rPr/>
        <w:t>in</w:t>
      </w:r>
      <w:r>
        <w:rPr>
          <w:spacing w:val="-6"/>
        </w:rPr>
        <w:t> </w:t>
      </w:r>
      <w:r>
        <w:rPr/>
        <w:t>agricultural</w:t>
      </w:r>
      <w:r>
        <w:rPr>
          <w:spacing w:val="-6"/>
        </w:rPr>
        <w:t> </w:t>
      </w:r>
      <w:r>
        <w:rPr/>
        <w:t>settings</w:t>
      </w:r>
      <w:r>
        <w:rPr>
          <w:spacing w:val="-6"/>
        </w:rPr>
        <w:t> </w:t>
      </w:r>
      <w:r>
        <w:rPr/>
        <w:t>in</w:t>
      </w:r>
      <w:r>
        <w:rPr>
          <w:spacing w:val="-6"/>
        </w:rPr>
        <w:t> </w:t>
      </w:r>
      <w:r>
        <w:rPr/>
        <w:t>previous</w:t>
      </w:r>
      <w:r>
        <w:rPr>
          <w:spacing w:val="-6"/>
        </w:rPr>
        <w:t> </w:t>
      </w:r>
      <w:r>
        <w:rPr/>
        <w:t>work</w:t>
      </w:r>
      <w:r>
        <w:rPr>
          <w:spacing w:val="-6"/>
        </w:rPr>
        <w:t> </w:t>
      </w:r>
      <w:r>
        <w:rPr/>
        <w:t>by</w:t>
      </w:r>
      <w:r>
        <w:rPr>
          <w:spacing w:val="-6"/>
        </w:rPr>
        <w:t> </w:t>
      </w:r>
      <w:r>
        <w:rPr/>
        <w:t>the</w:t>
      </w:r>
      <w:r>
        <w:rPr>
          <w:spacing w:val="-6"/>
        </w:rPr>
        <w:t> </w:t>
      </w:r>
      <w:r>
        <w:rPr/>
        <w:t>research</w:t>
      </w:r>
      <w:r>
        <w:rPr>
          <w:spacing w:val="-6"/>
        </w:rPr>
        <w:t> </w:t>
      </w:r>
      <w:r>
        <w:rPr/>
        <w:t>group</w:t>
      </w:r>
      <w:r>
        <w:rPr>
          <w:spacing w:val="-6"/>
        </w:rPr>
        <w:t> </w:t>
      </w:r>
      <w:r>
        <w:rPr/>
        <w:t>at</w:t>
      </w:r>
      <w:r>
        <w:rPr>
          <w:spacing w:val="-6"/>
        </w:rPr>
        <w:t> </w:t>
      </w:r>
      <w:r>
        <w:rPr/>
        <w:t>the University of Porto (</w:t>
      </w:r>
      <w:hyperlink w:history="true" w:anchor="_bookmark227">
        <w:r>
          <w:rPr>
            <w:color w:val="8B2C18"/>
          </w:rPr>
          <w:t>Moreira et al.</w:t>
        </w:r>
      </w:hyperlink>
      <w:r>
        <w:rPr/>
        <w:t>, </w:t>
      </w:r>
      <w:hyperlink w:history="true" w:anchor="_bookmark227">
        <w:r>
          <w:rPr>
            <w:color w:val="8B2C18"/>
          </w:rPr>
          <w:t>2022</w:t>
        </w:r>
      </w:hyperlink>
      <w:r>
        <w:rPr/>
        <w:t>), primarily in the context of viticulture rule discovery. The</w:t>
      </w:r>
      <w:r>
        <w:rPr>
          <w:spacing w:val="-13"/>
        </w:rPr>
        <w:t> </w:t>
      </w:r>
      <w:r>
        <w:rPr/>
        <w:t>present</w:t>
      </w:r>
      <w:r>
        <w:rPr>
          <w:spacing w:val="-13"/>
        </w:rPr>
        <w:t> </w:t>
      </w:r>
      <w:r>
        <w:rPr/>
        <w:t>thesis</w:t>
      </w:r>
      <w:r>
        <w:rPr>
          <w:spacing w:val="-13"/>
        </w:rPr>
        <w:t> </w:t>
      </w:r>
      <w:r>
        <w:rPr/>
        <w:t>represents</w:t>
      </w:r>
      <w:r>
        <w:rPr>
          <w:spacing w:val="-13"/>
        </w:rPr>
        <w:t> </w:t>
      </w:r>
      <w:r>
        <w:rPr/>
        <w:t>its</w:t>
      </w:r>
      <w:r>
        <w:rPr>
          <w:spacing w:val="-13"/>
        </w:rPr>
        <w:t> </w:t>
      </w:r>
      <w:r>
        <w:rPr/>
        <w:t>first</w:t>
      </w:r>
      <w:r>
        <w:rPr>
          <w:spacing w:val="-13"/>
        </w:rPr>
        <w:t> </w:t>
      </w:r>
      <w:r>
        <w:rPr/>
        <w:t>systematic</w:t>
      </w:r>
      <w:r>
        <w:rPr>
          <w:spacing w:val="-13"/>
        </w:rPr>
        <w:t> </w:t>
      </w:r>
      <w:r>
        <w:rPr/>
        <w:t>evaluation</w:t>
      </w:r>
      <w:r>
        <w:rPr>
          <w:spacing w:val="-13"/>
        </w:rPr>
        <w:t> </w:t>
      </w:r>
      <w:r>
        <w:rPr/>
        <w:t>in</w:t>
      </w:r>
      <w:r>
        <w:rPr>
          <w:spacing w:val="-13"/>
        </w:rPr>
        <w:t> </w:t>
      </w:r>
      <w:r>
        <w:rPr/>
        <w:t>a</w:t>
      </w:r>
      <w:r>
        <w:rPr>
          <w:spacing w:val="-13"/>
        </w:rPr>
        <w:t> </w:t>
      </w:r>
      <w:r>
        <w:rPr/>
        <w:t>walk-forward</w:t>
      </w:r>
      <w:r>
        <w:rPr>
          <w:spacing w:val="-13"/>
        </w:rPr>
        <w:t> </w:t>
      </w:r>
      <w:r>
        <w:rPr/>
        <w:t>predictive</w:t>
      </w:r>
      <w:r>
        <w:rPr>
          <w:spacing w:val="-13"/>
        </w:rPr>
        <w:t> </w:t>
      </w:r>
      <w:r>
        <w:rPr/>
        <w:t>validation </w:t>
      </w:r>
      <w:r>
        <w:rPr>
          <w:spacing w:val="-2"/>
        </w:rPr>
        <w:t>framework</w:t>
      </w:r>
      <w:r>
        <w:rPr>
          <w:spacing w:val="-8"/>
        </w:rPr>
        <w:t> </w:t>
      </w:r>
      <w:r>
        <w:rPr>
          <w:spacing w:val="-2"/>
        </w:rPr>
        <w:t>across</w:t>
      </w:r>
      <w:r>
        <w:rPr>
          <w:spacing w:val="-8"/>
        </w:rPr>
        <w:t> </w:t>
      </w:r>
      <w:r>
        <w:rPr>
          <w:spacing w:val="-2"/>
        </w:rPr>
        <w:t>two</w:t>
      </w:r>
      <w:r>
        <w:rPr>
          <w:spacing w:val="-8"/>
        </w:rPr>
        <w:t> </w:t>
      </w:r>
      <w:r>
        <w:rPr>
          <w:spacing w:val="-2"/>
        </w:rPr>
        <w:t>contrasting</w:t>
      </w:r>
      <w:r>
        <w:rPr>
          <w:spacing w:val="-8"/>
        </w:rPr>
        <w:t> </w:t>
      </w:r>
      <w:r>
        <w:rPr>
          <w:spacing w:val="-2"/>
        </w:rPr>
        <w:t>wine</w:t>
      </w:r>
      <w:r>
        <w:rPr>
          <w:spacing w:val="-8"/>
        </w:rPr>
        <w:t> </w:t>
      </w:r>
      <w:r>
        <w:rPr>
          <w:spacing w:val="-2"/>
        </w:rPr>
        <w:t>regions,</w:t>
      </w:r>
      <w:r>
        <w:rPr>
          <w:spacing w:val="-7"/>
        </w:rPr>
        <w:t> </w:t>
      </w:r>
      <w:r>
        <w:rPr>
          <w:spacing w:val="-2"/>
        </w:rPr>
        <w:t>with</w:t>
      </w:r>
      <w:r>
        <w:rPr>
          <w:spacing w:val="-8"/>
        </w:rPr>
        <w:t> </w:t>
      </w:r>
      <w:r>
        <w:rPr>
          <w:spacing w:val="-2"/>
        </w:rPr>
        <w:t>explicit</w:t>
      </w:r>
      <w:r>
        <w:rPr>
          <w:spacing w:val="-8"/>
        </w:rPr>
        <w:t> </w:t>
      </w:r>
      <w:r>
        <w:rPr>
          <w:spacing w:val="-2"/>
        </w:rPr>
        <w:t>statistical</w:t>
      </w:r>
      <w:r>
        <w:rPr>
          <w:spacing w:val="-8"/>
        </w:rPr>
        <w:t> </w:t>
      </w:r>
      <w:r>
        <w:rPr>
          <w:spacing w:val="-2"/>
        </w:rPr>
        <w:t>testing</w:t>
      </w:r>
      <w:r>
        <w:rPr>
          <w:spacing w:val="-8"/>
        </w:rPr>
        <w:t> </w:t>
      </w:r>
      <w:r>
        <w:rPr>
          <w:spacing w:val="-2"/>
        </w:rPr>
        <w:t>and</w:t>
      </w:r>
      <w:r>
        <w:rPr>
          <w:spacing w:val="-8"/>
        </w:rPr>
        <w:t> </w:t>
      </w:r>
      <w:r>
        <w:rPr>
          <w:spacing w:val="-2"/>
        </w:rPr>
        <w:t>era-composition analysis.</w:t>
      </w:r>
    </w:p>
    <w:p>
      <w:pPr>
        <w:pStyle w:val="BodyText"/>
      </w:pPr>
    </w:p>
    <w:p>
      <w:pPr>
        <w:pStyle w:val="BodyText"/>
        <w:spacing w:before="12"/>
      </w:pPr>
    </w:p>
    <w:p>
      <w:pPr>
        <w:pStyle w:val="Heading2"/>
        <w:numPr>
          <w:ilvl w:val="1"/>
          <w:numId w:val="16"/>
        </w:numPr>
        <w:tabs>
          <w:tab w:pos="787" w:val="left" w:leader="none"/>
        </w:tabs>
        <w:spacing w:line="240" w:lineRule="auto" w:before="0" w:after="0"/>
        <w:ind w:left="787" w:right="0" w:hanging="645"/>
        <w:jc w:val="left"/>
      </w:pPr>
      <w:bookmarkStart w:name="2.7 Positioning and Research Gap" w:id="43"/>
      <w:bookmarkEnd w:id="43"/>
      <w:r>
        <w:rPr>
          <w:b w:val="0"/>
        </w:rPr>
      </w:r>
      <w:bookmarkStart w:name="_bookmark19" w:id="44"/>
      <w:bookmarkEnd w:id="44"/>
      <w:r>
        <w:rPr>
          <w:b w:val="0"/>
        </w:rPr>
      </w:r>
      <w:r>
        <w:rPr/>
        <w:t>Positioning</w:t>
      </w:r>
      <w:r>
        <w:rPr>
          <w:spacing w:val="16"/>
        </w:rPr>
        <w:t> </w:t>
      </w:r>
      <w:r>
        <w:rPr/>
        <w:t>and</w:t>
      </w:r>
      <w:r>
        <w:rPr>
          <w:spacing w:val="16"/>
        </w:rPr>
        <w:t> </w:t>
      </w:r>
      <w:r>
        <w:rPr/>
        <w:t>Research</w:t>
      </w:r>
      <w:r>
        <w:rPr>
          <w:spacing w:val="16"/>
        </w:rPr>
        <w:t> </w:t>
      </w:r>
      <w:r>
        <w:rPr>
          <w:spacing w:val="-5"/>
        </w:rPr>
        <w:t>Gap</w:t>
      </w:r>
    </w:p>
    <w:p>
      <w:pPr>
        <w:pStyle w:val="BodyText"/>
        <w:spacing w:before="9"/>
        <w:rPr>
          <w:b/>
          <w:sz w:val="28"/>
        </w:rPr>
      </w:pPr>
    </w:p>
    <w:p>
      <w:pPr>
        <w:pStyle w:val="BodyText"/>
        <w:spacing w:line="312" w:lineRule="auto"/>
        <w:ind w:left="142" w:right="1519" w:hanging="7"/>
        <w:jc w:val="both"/>
      </w:pPr>
      <w:r>
        <w:rPr/>
        <w:t>Table </w:t>
      </w:r>
      <w:hyperlink w:history="true" w:anchor="_bookmark20">
        <w:r>
          <w:rPr>
            <w:color w:val="8B2C18"/>
          </w:rPr>
          <w:t>2.1</w:t>
        </w:r>
      </w:hyperlink>
      <w:r>
        <w:rPr>
          <w:color w:val="8B2C18"/>
        </w:rPr>
        <w:t> </w:t>
      </w:r>
      <w:r>
        <w:rPr/>
        <w:t>situates this thesis within the broader landscape of literature reviewed in this </w:t>
      </w:r>
      <w:r>
        <w:rPr/>
        <w:t>chapter. Each stream is scored on whether it produces directly interpretable models, whether it handles a continuous</w:t>
      </w:r>
      <w:r>
        <w:rPr>
          <w:spacing w:val="-12"/>
        </w:rPr>
        <w:t> </w:t>
      </w:r>
      <w:r>
        <w:rPr/>
        <w:t>target</w:t>
      </w:r>
      <w:r>
        <w:rPr>
          <w:spacing w:val="-12"/>
        </w:rPr>
        <w:t> </w:t>
      </w:r>
      <w:r>
        <w:rPr/>
        <w:t>variable,</w:t>
      </w:r>
      <w:r>
        <w:rPr>
          <w:spacing w:val="-12"/>
        </w:rPr>
        <w:t> </w:t>
      </w:r>
      <w:r>
        <w:rPr/>
        <w:t>and</w:t>
      </w:r>
      <w:r>
        <w:rPr>
          <w:spacing w:val="-12"/>
        </w:rPr>
        <w:t> </w:t>
      </w:r>
      <w:r>
        <w:rPr/>
        <w:t>whether</w:t>
      </w:r>
      <w:r>
        <w:rPr>
          <w:spacing w:val="-12"/>
        </w:rPr>
        <w:t> </w:t>
      </w:r>
      <w:r>
        <w:rPr/>
        <w:t>it</w:t>
      </w:r>
      <w:r>
        <w:rPr>
          <w:spacing w:val="-12"/>
        </w:rPr>
        <w:t> </w:t>
      </w:r>
      <w:r>
        <w:rPr/>
        <w:t>has</w:t>
      </w:r>
      <w:r>
        <w:rPr>
          <w:spacing w:val="-12"/>
        </w:rPr>
        <w:t> </w:t>
      </w:r>
      <w:r>
        <w:rPr/>
        <w:t>been</w:t>
      </w:r>
      <w:r>
        <w:rPr>
          <w:spacing w:val="-12"/>
        </w:rPr>
        <w:t> </w:t>
      </w:r>
      <w:r>
        <w:rPr/>
        <w:t>applied</w:t>
      </w:r>
      <w:r>
        <w:rPr>
          <w:spacing w:val="-12"/>
        </w:rPr>
        <w:t> </w:t>
      </w:r>
      <w:r>
        <w:rPr/>
        <w:t>to</w:t>
      </w:r>
      <w:r>
        <w:rPr>
          <w:spacing w:val="-12"/>
        </w:rPr>
        <w:t> </w:t>
      </w:r>
      <w:r>
        <w:rPr/>
        <w:t>long</w:t>
      </w:r>
      <w:r>
        <w:rPr>
          <w:spacing w:val="-12"/>
        </w:rPr>
        <w:t> </w:t>
      </w:r>
      <w:r>
        <w:rPr/>
        <w:t>multi-decadal</w:t>
      </w:r>
      <w:r>
        <w:rPr>
          <w:spacing w:val="-12"/>
        </w:rPr>
        <w:t> </w:t>
      </w:r>
      <w:r>
        <w:rPr/>
        <w:t>series</w:t>
      </w:r>
      <w:r>
        <w:rPr>
          <w:spacing w:val="-12"/>
        </w:rPr>
        <w:t> </w:t>
      </w:r>
      <w:r>
        <w:rPr/>
        <w:t>of</w:t>
      </w:r>
      <w:r>
        <w:rPr>
          <w:spacing w:val="-12"/>
        </w:rPr>
        <w:t> </w:t>
      </w:r>
      <w:r>
        <w:rPr/>
        <w:t>the</w:t>
      </w:r>
      <w:r>
        <w:rPr>
          <w:spacing w:val="-12"/>
        </w:rPr>
        <w:t> </w:t>
      </w:r>
      <w:r>
        <w:rPr/>
        <w:t>kind studied here.</w:t>
      </w:r>
    </w:p>
    <w:p>
      <w:pPr>
        <w:spacing w:before="141"/>
        <w:ind w:left="987" w:right="0" w:firstLine="0"/>
        <w:jc w:val="both"/>
        <w:rPr>
          <w:sz w:val="20"/>
        </w:rPr>
      </w:pPr>
      <w:bookmarkStart w:name="_bookmark20" w:id="45"/>
      <w:bookmarkEnd w:id="45"/>
      <w:r>
        <w:rPr/>
      </w:r>
      <w:r>
        <w:rPr>
          <w:b/>
          <w:sz w:val="20"/>
        </w:rPr>
        <w:t>Table</w:t>
      </w:r>
      <w:r>
        <w:rPr>
          <w:b/>
          <w:spacing w:val="-9"/>
          <w:sz w:val="20"/>
        </w:rPr>
        <w:t> </w:t>
      </w:r>
      <w:r>
        <w:rPr>
          <w:b/>
          <w:sz w:val="20"/>
        </w:rPr>
        <w:t>2.1:</w:t>
      </w:r>
      <w:r>
        <w:rPr>
          <w:b/>
          <w:spacing w:val="1"/>
          <w:sz w:val="20"/>
        </w:rPr>
        <w:t> </w:t>
      </w:r>
      <w:r>
        <w:rPr>
          <w:sz w:val="20"/>
        </w:rPr>
        <w:t>Literature</w:t>
      </w:r>
      <w:r>
        <w:rPr>
          <w:spacing w:val="-8"/>
          <w:sz w:val="20"/>
        </w:rPr>
        <w:t> </w:t>
      </w:r>
      <w:r>
        <w:rPr>
          <w:sz w:val="20"/>
        </w:rPr>
        <w:t>map</w:t>
      </w:r>
      <w:r>
        <w:rPr>
          <w:spacing w:val="-9"/>
          <w:sz w:val="20"/>
        </w:rPr>
        <w:t> </w:t>
      </w:r>
      <w:r>
        <w:rPr>
          <w:sz w:val="20"/>
        </w:rPr>
        <w:t>positioning</w:t>
      </w:r>
      <w:r>
        <w:rPr>
          <w:spacing w:val="-9"/>
          <w:sz w:val="20"/>
        </w:rPr>
        <w:t> </w:t>
      </w:r>
      <w:r>
        <w:rPr>
          <w:sz w:val="20"/>
        </w:rPr>
        <w:t>this</w:t>
      </w:r>
      <w:r>
        <w:rPr>
          <w:spacing w:val="-8"/>
          <w:sz w:val="20"/>
        </w:rPr>
        <w:t> </w:t>
      </w:r>
      <w:r>
        <w:rPr>
          <w:sz w:val="20"/>
        </w:rPr>
        <w:t>thesis</w:t>
      </w:r>
      <w:r>
        <w:rPr>
          <w:spacing w:val="-9"/>
          <w:sz w:val="20"/>
        </w:rPr>
        <w:t> </w:t>
      </w:r>
      <w:r>
        <w:rPr>
          <w:sz w:val="20"/>
        </w:rPr>
        <w:t>relative</w:t>
      </w:r>
      <w:r>
        <w:rPr>
          <w:spacing w:val="-9"/>
          <w:sz w:val="20"/>
        </w:rPr>
        <w:t> </w:t>
      </w:r>
      <w:r>
        <w:rPr>
          <w:sz w:val="20"/>
        </w:rPr>
        <w:t>to</w:t>
      </w:r>
      <w:r>
        <w:rPr>
          <w:spacing w:val="-9"/>
          <w:sz w:val="20"/>
        </w:rPr>
        <w:t> </w:t>
      </w:r>
      <w:r>
        <w:rPr>
          <w:sz w:val="20"/>
        </w:rPr>
        <w:t>existing</w:t>
      </w:r>
      <w:r>
        <w:rPr>
          <w:spacing w:val="-8"/>
          <w:sz w:val="20"/>
        </w:rPr>
        <w:t> </w:t>
      </w:r>
      <w:r>
        <w:rPr>
          <w:sz w:val="20"/>
        </w:rPr>
        <w:t>research</w:t>
      </w:r>
      <w:r>
        <w:rPr>
          <w:spacing w:val="-9"/>
          <w:sz w:val="20"/>
        </w:rPr>
        <w:t> </w:t>
      </w:r>
      <w:r>
        <w:rPr>
          <w:spacing w:val="-2"/>
          <w:sz w:val="20"/>
        </w:rPr>
        <w:t>streams.</w:t>
      </w:r>
    </w:p>
    <w:p>
      <w:pPr>
        <w:pStyle w:val="BodyText"/>
        <w:spacing w:before="6"/>
        <w:rPr>
          <w:sz w:val="20"/>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13"/>
        <w:gridCol w:w="1396"/>
        <w:gridCol w:w="1467"/>
        <w:gridCol w:w="1244"/>
        <w:gridCol w:w="1203"/>
        <w:gridCol w:w="1480"/>
      </w:tblGrid>
      <w:tr>
        <w:trPr>
          <w:trHeight w:val="597" w:hRule="atLeast"/>
        </w:trPr>
        <w:tc>
          <w:tcPr>
            <w:tcW w:w="1713" w:type="dxa"/>
            <w:tcBorders>
              <w:top w:val="single" w:sz="8" w:space="0" w:color="000000"/>
              <w:bottom w:val="single" w:sz="6" w:space="0" w:color="000000"/>
            </w:tcBorders>
          </w:tcPr>
          <w:p>
            <w:pPr>
              <w:pStyle w:val="TableParagraph"/>
              <w:spacing w:before="57"/>
              <w:ind w:left="119"/>
              <w:rPr>
                <w:b/>
                <w:sz w:val="20"/>
              </w:rPr>
            </w:pPr>
            <w:r>
              <w:rPr>
                <w:b/>
                <w:spacing w:val="-2"/>
                <w:sz w:val="20"/>
              </w:rPr>
              <w:t>Research</w:t>
            </w:r>
            <w:r>
              <w:rPr>
                <w:b/>
                <w:spacing w:val="3"/>
                <w:sz w:val="20"/>
              </w:rPr>
              <w:t> </w:t>
            </w:r>
            <w:r>
              <w:rPr>
                <w:b/>
                <w:spacing w:val="-2"/>
                <w:sz w:val="20"/>
              </w:rPr>
              <w:t>stream</w:t>
            </w:r>
          </w:p>
        </w:tc>
        <w:tc>
          <w:tcPr>
            <w:tcW w:w="1396" w:type="dxa"/>
            <w:tcBorders>
              <w:top w:val="single" w:sz="8" w:space="0" w:color="000000"/>
              <w:bottom w:val="single" w:sz="6" w:space="0" w:color="000000"/>
            </w:tcBorders>
          </w:tcPr>
          <w:p>
            <w:pPr>
              <w:pStyle w:val="TableParagraph"/>
              <w:spacing w:before="57"/>
              <w:ind w:left="119"/>
              <w:rPr>
                <w:b/>
                <w:sz w:val="20"/>
              </w:rPr>
            </w:pPr>
            <w:r>
              <w:rPr>
                <w:b/>
                <w:sz w:val="20"/>
              </w:rPr>
              <w:t>Primary</w:t>
            </w:r>
            <w:r>
              <w:rPr>
                <w:b/>
                <w:spacing w:val="-9"/>
                <w:sz w:val="20"/>
              </w:rPr>
              <w:t> </w:t>
            </w:r>
            <w:r>
              <w:rPr>
                <w:b/>
                <w:spacing w:val="-4"/>
                <w:sz w:val="20"/>
              </w:rPr>
              <w:t>goal</w:t>
            </w:r>
          </w:p>
        </w:tc>
        <w:tc>
          <w:tcPr>
            <w:tcW w:w="1467" w:type="dxa"/>
            <w:tcBorders>
              <w:top w:val="single" w:sz="8" w:space="0" w:color="000000"/>
              <w:bottom w:val="single" w:sz="6" w:space="0" w:color="000000"/>
            </w:tcBorders>
          </w:tcPr>
          <w:p>
            <w:pPr>
              <w:pStyle w:val="TableParagraph"/>
              <w:spacing w:before="57"/>
              <w:ind w:left="72" w:right="24"/>
              <w:jc w:val="center"/>
              <w:rPr>
                <w:b/>
                <w:sz w:val="20"/>
              </w:rPr>
            </w:pPr>
            <w:r>
              <w:rPr>
                <w:b/>
                <w:spacing w:val="-2"/>
                <w:sz w:val="20"/>
              </w:rPr>
              <w:t>Interpretable?</w:t>
            </w:r>
          </w:p>
        </w:tc>
        <w:tc>
          <w:tcPr>
            <w:tcW w:w="1244" w:type="dxa"/>
            <w:tcBorders>
              <w:top w:val="single" w:sz="8" w:space="0" w:color="000000"/>
              <w:bottom w:val="single" w:sz="6" w:space="0" w:color="000000"/>
            </w:tcBorders>
          </w:tcPr>
          <w:p>
            <w:pPr>
              <w:pStyle w:val="TableParagraph"/>
              <w:spacing w:line="249" w:lineRule="auto" w:before="57"/>
              <w:ind w:left="294" w:right="150" w:hanging="190"/>
              <w:rPr>
                <w:b/>
                <w:sz w:val="20"/>
              </w:rPr>
            </w:pPr>
            <w:r>
              <w:rPr>
                <w:b/>
                <w:spacing w:val="-2"/>
                <w:sz w:val="20"/>
              </w:rPr>
              <w:t>Continuous target?</w:t>
            </w:r>
          </w:p>
        </w:tc>
        <w:tc>
          <w:tcPr>
            <w:tcW w:w="1203" w:type="dxa"/>
            <w:tcBorders>
              <w:top w:val="single" w:sz="8" w:space="0" w:color="000000"/>
              <w:bottom w:val="single" w:sz="6" w:space="0" w:color="000000"/>
            </w:tcBorders>
          </w:tcPr>
          <w:p>
            <w:pPr>
              <w:pStyle w:val="TableParagraph"/>
              <w:spacing w:line="249" w:lineRule="auto" w:before="57"/>
              <w:ind w:left="375" w:right="126" w:hanging="222"/>
              <w:rPr>
                <w:b/>
                <w:sz w:val="20"/>
              </w:rPr>
            </w:pPr>
            <w:r>
              <w:rPr>
                <w:b/>
                <w:spacing w:val="-2"/>
                <w:sz w:val="20"/>
              </w:rPr>
              <w:t>Long-</w:t>
            </w:r>
            <w:r>
              <w:rPr>
                <w:b/>
                <w:spacing w:val="-2"/>
                <w:sz w:val="20"/>
              </w:rPr>
              <w:t>term data?</w:t>
            </w:r>
          </w:p>
        </w:tc>
        <w:tc>
          <w:tcPr>
            <w:tcW w:w="1480" w:type="dxa"/>
            <w:tcBorders>
              <w:top w:val="single" w:sz="8" w:space="0" w:color="000000"/>
              <w:bottom w:val="single" w:sz="6" w:space="0" w:color="000000"/>
            </w:tcBorders>
          </w:tcPr>
          <w:p>
            <w:pPr>
              <w:pStyle w:val="TableParagraph"/>
              <w:spacing w:line="249" w:lineRule="auto" w:before="57"/>
              <w:ind w:left="131" w:right="101"/>
              <w:rPr>
                <w:b/>
                <w:sz w:val="20"/>
              </w:rPr>
            </w:pPr>
            <w:r>
              <w:rPr>
                <w:b/>
                <w:spacing w:val="-4"/>
                <w:sz w:val="20"/>
              </w:rPr>
              <w:t>Representative </w:t>
            </w:r>
            <w:r>
              <w:rPr>
                <w:b/>
                <w:spacing w:val="-2"/>
                <w:sz w:val="20"/>
              </w:rPr>
              <w:t>references</w:t>
            </w:r>
          </w:p>
        </w:tc>
      </w:tr>
      <w:tr>
        <w:trPr>
          <w:trHeight w:val="1266" w:hRule="atLeast"/>
        </w:trPr>
        <w:tc>
          <w:tcPr>
            <w:tcW w:w="1713" w:type="dxa"/>
            <w:tcBorders>
              <w:top w:val="single" w:sz="6" w:space="0" w:color="000000"/>
            </w:tcBorders>
          </w:tcPr>
          <w:p>
            <w:pPr>
              <w:pStyle w:val="TableParagraph"/>
              <w:spacing w:line="249" w:lineRule="auto" w:before="56"/>
              <w:ind w:left="119" w:right="772"/>
              <w:rPr>
                <w:sz w:val="20"/>
              </w:rPr>
            </w:pPr>
            <w:r>
              <w:rPr>
                <w:spacing w:val="-2"/>
                <w:sz w:val="20"/>
              </w:rPr>
              <w:t>Statistical regression</w:t>
            </w:r>
          </w:p>
        </w:tc>
        <w:tc>
          <w:tcPr>
            <w:tcW w:w="1396" w:type="dxa"/>
            <w:tcBorders>
              <w:top w:val="single" w:sz="6" w:space="0" w:color="000000"/>
            </w:tcBorders>
          </w:tcPr>
          <w:p>
            <w:pPr>
              <w:pStyle w:val="TableParagraph"/>
              <w:spacing w:before="56"/>
              <w:ind w:left="119"/>
              <w:rPr>
                <w:sz w:val="20"/>
              </w:rPr>
            </w:pPr>
            <w:r>
              <w:rPr>
                <w:spacing w:val="-2"/>
                <w:sz w:val="20"/>
              </w:rPr>
              <w:t>Prediction</w:t>
            </w:r>
          </w:p>
        </w:tc>
        <w:tc>
          <w:tcPr>
            <w:tcW w:w="1467" w:type="dxa"/>
            <w:tcBorders>
              <w:top w:val="single" w:sz="6" w:space="0" w:color="000000"/>
            </w:tcBorders>
          </w:tcPr>
          <w:p>
            <w:pPr>
              <w:pStyle w:val="TableParagraph"/>
              <w:spacing w:before="56"/>
              <w:ind w:left="48" w:right="72"/>
              <w:jc w:val="center"/>
              <w:rPr>
                <w:sz w:val="20"/>
              </w:rPr>
            </w:pPr>
            <w:r>
              <w:rPr>
                <w:spacing w:val="-5"/>
                <w:sz w:val="20"/>
              </w:rPr>
              <w:t>Yes</w:t>
            </w:r>
          </w:p>
        </w:tc>
        <w:tc>
          <w:tcPr>
            <w:tcW w:w="1244" w:type="dxa"/>
            <w:tcBorders>
              <w:top w:val="single" w:sz="6" w:space="0" w:color="000000"/>
            </w:tcBorders>
          </w:tcPr>
          <w:p>
            <w:pPr>
              <w:pStyle w:val="TableParagraph"/>
              <w:spacing w:before="56"/>
              <w:ind w:right="46"/>
              <w:jc w:val="center"/>
              <w:rPr>
                <w:sz w:val="20"/>
              </w:rPr>
            </w:pPr>
            <w:r>
              <w:rPr>
                <w:spacing w:val="-5"/>
                <w:sz w:val="20"/>
              </w:rPr>
              <w:t>Yes</w:t>
            </w:r>
          </w:p>
        </w:tc>
        <w:tc>
          <w:tcPr>
            <w:tcW w:w="1203" w:type="dxa"/>
            <w:tcBorders>
              <w:top w:val="single" w:sz="6" w:space="0" w:color="000000"/>
            </w:tcBorders>
          </w:tcPr>
          <w:p>
            <w:pPr>
              <w:pStyle w:val="TableParagraph"/>
              <w:spacing w:before="56"/>
              <w:ind w:left="24"/>
              <w:jc w:val="center"/>
              <w:rPr>
                <w:sz w:val="20"/>
              </w:rPr>
            </w:pPr>
            <w:r>
              <w:rPr>
                <w:spacing w:val="-5"/>
                <w:sz w:val="20"/>
              </w:rPr>
              <w:t>Yes</w:t>
            </w:r>
          </w:p>
        </w:tc>
        <w:tc>
          <w:tcPr>
            <w:tcW w:w="1480" w:type="dxa"/>
            <w:tcBorders>
              <w:top w:val="single" w:sz="6" w:space="0" w:color="000000"/>
            </w:tcBorders>
          </w:tcPr>
          <w:p>
            <w:pPr>
              <w:pStyle w:val="TableParagraph"/>
              <w:tabs>
                <w:tab w:pos="1218" w:val="left" w:leader="none"/>
              </w:tabs>
              <w:spacing w:line="249" w:lineRule="auto" w:before="56"/>
              <w:ind w:left="131" w:right="101"/>
              <w:rPr>
                <w:sz w:val="20"/>
              </w:rPr>
            </w:pPr>
            <w:r>
              <w:rPr>
                <w:spacing w:val="-2"/>
                <w:sz w:val="20"/>
              </w:rPr>
              <w:t>Cunha</w:t>
            </w:r>
            <w:r>
              <w:rPr>
                <w:sz w:val="20"/>
              </w:rPr>
              <w:tab/>
            </w:r>
            <w:r>
              <w:rPr>
                <w:spacing w:val="-10"/>
                <w:sz w:val="20"/>
              </w:rPr>
              <w:t>&amp;</w:t>
            </w:r>
            <w:r>
              <w:rPr>
                <w:spacing w:val="-2"/>
                <w:sz w:val="20"/>
              </w:rPr>
              <w:t> Richter 2016/2020;</w:t>
            </w:r>
          </w:p>
          <w:p>
            <w:pPr>
              <w:pStyle w:val="TableParagraph"/>
              <w:spacing w:line="230" w:lineRule="exact" w:before="0"/>
              <w:ind w:left="131"/>
              <w:rPr>
                <w:sz w:val="20"/>
              </w:rPr>
            </w:pPr>
            <w:r>
              <w:rPr>
                <w:sz w:val="20"/>
              </w:rPr>
              <w:t>Santos</w:t>
            </w:r>
            <w:r>
              <w:rPr>
                <w:spacing w:val="46"/>
                <w:sz w:val="20"/>
              </w:rPr>
              <w:t>  </w:t>
            </w:r>
            <w:r>
              <w:rPr>
                <w:sz w:val="20"/>
              </w:rPr>
              <w:t>et</w:t>
            </w:r>
            <w:r>
              <w:rPr>
                <w:spacing w:val="46"/>
                <w:sz w:val="20"/>
              </w:rPr>
              <w:t>  </w:t>
            </w:r>
            <w:r>
              <w:rPr>
                <w:spacing w:val="-5"/>
                <w:sz w:val="20"/>
              </w:rPr>
              <w:t>al.</w:t>
            </w:r>
          </w:p>
          <w:p>
            <w:pPr>
              <w:pStyle w:val="TableParagraph"/>
              <w:spacing w:before="9"/>
              <w:ind w:left="131"/>
              <w:rPr>
                <w:sz w:val="20"/>
              </w:rPr>
            </w:pPr>
            <w:r>
              <w:rPr>
                <w:spacing w:val="-4"/>
                <w:sz w:val="20"/>
              </w:rPr>
              <w:t>2011</w:t>
            </w:r>
          </w:p>
        </w:tc>
      </w:tr>
      <w:tr>
        <w:trPr>
          <w:trHeight w:val="741" w:hRule="atLeast"/>
        </w:trPr>
        <w:tc>
          <w:tcPr>
            <w:tcW w:w="1713" w:type="dxa"/>
          </w:tcPr>
          <w:p>
            <w:pPr>
              <w:pStyle w:val="TableParagraph"/>
              <w:spacing w:line="249" w:lineRule="auto" w:before="9"/>
              <w:ind w:left="119"/>
              <w:rPr>
                <w:sz w:val="20"/>
              </w:rPr>
            </w:pPr>
            <w:r>
              <w:rPr>
                <w:spacing w:val="-2"/>
                <w:sz w:val="20"/>
              </w:rPr>
              <w:t>Modern</w:t>
            </w:r>
            <w:r>
              <w:rPr>
                <w:spacing w:val="-11"/>
                <w:sz w:val="20"/>
              </w:rPr>
              <w:t> </w:t>
            </w:r>
            <w:r>
              <w:rPr>
                <w:spacing w:val="-2"/>
                <w:sz w:val="20"/>
              </w:rPr>
              <w:t>ML</w:t>
            </w:r>
            <w:r>
              <w:rPr>
                <w:spacing w:val="-10"/>
                <w:sz w:val="20"/>
              </w:rPr>
              <w:t> </w:t>
            </w:r>
            <w:r>
              <w:rPr>
                <w:spacing w:val="-2"/>
                <w:sz w:val="20"/>
              </w:rPr>
              <w:t>(RF, </w:t>
            </w:r>
            <w:r>
              <w:rPr>
                <w:sz w:val="20"/>
              </w:rPr>
              <w:t>LSTM, SVM)</w:t>
            </w:r>
          </w:p>
        </w:tc>
        <w:tc>
          <w:tcPr>
            <w:tcW w:w="1396" w:type="dxa"/>
          </w:tcPr>
          <w:p>
            <w:pPr>
              <w:pStyle w:val="TableParagraph"/>
              <w:spacing w:before="9"/>
              <w:ind w:left="119"/>
              <w:rPr>
                <w:sz w:val="20"/>
              </w:rPr>
            </w:pPr>
            <w:r>
              <w:rPr>
                <w:spacing w:val="-2"/>
                <w:sz w:val="20"/>
              </w:rPr>
              <w:t>Prediction</w:t>
            </w:r>
          </w:p>
        </w:tc>
        <w:tc>
          <w:tcPr>
            <w:tcW w:w="1467" w:type="dxa"/>
          </w:tcPr>
          <w:p>
            <w:pPr>
              <w:pStyle w:val="TableParagraph"/>
              <w:spacing w:before="9"/>
              <w:ind w:left="48" w:right="72"/>
              <w:jc w:val="center"/>
              <w:rPr>
                <w:sz w:val="20"/>
              </w:rPr>
            </w:pPr>
            <w:r>
              <w:rPr>
                <w:spacing w:val="-2"/>
                <w:sz w:val="20"/>
              </w:rPr>
              <w:t>Limited</w:t>
            </w:r>
          </w:p>
        </w:tc>
        <w:tc>
          <w:tcPr>
            <w:tcW w:w="1244" w:type="dxa"/>
          </w:tcPr>
          <w:p>
            <w:pPr>
              <w:pStyle w:val="TableParagraph"/>
              <w:spacing w:before="9"/>
              <w:ind w:right="46"/>
              <w:jc w:val="center"/>
              <w:rPr>
                <w:sz w:val="20"/>
              </w:rPr>
            </w:pPr>
            <w:r>
              <w:rPr>
                <w:spacing w:val="-5"/>
                <w:sz w:val="20"/>
              </w:rPr>
              <w:t>Yes</w:t>
            </w:r>
          </w:p>
        </w:tc>
        <w:tc>
          <w:tcPr>
            <w:tcW w:w="1203" w:type="dxa"/>
          </w:tcPr>
          <w:p>
            <w:pPr>
              <w:pStyle w:val="TableParagraph"/>
              <w:spacing w:before="9"/>
              <w:ind w:left="24" w:right="1"/>
              <w:jc w:val="center"/>
              <w:rPr>
                <w:sz w:val="20"/>
              </w:rPr>
            </w:pPr>
            <w:r>
              <w:rPr>
                <w:spacing w:val="-2"/>
                <w:sz w:val="20"/>
              </w:rPr>
              <w:t>Partial</w:t>
            </w:r>
          </w:p>
        </w:tc>
        <w:tc>
          <w:tcPr>
            <w:tcW w:w="1480" w:type="dxa"/>
          </w:tcPr>
          <w:p>
            <w:pPr>
              <w:pStyle w:val="TableParagraph"/>
              <w:spacing w:line="240" w:lineRule="exact" w:before="1"/>
              <w:ind w:left="131" w:right="81"/>
              <w:jc w:val="both"/>
              <w:rPr>
                <w:sz w:val="20"/>
              </w:rPr>
            </w:pPr>
            <w:r>
              <w:rPr>
                <w:sz w:val="20"/>
              </w:rPr>
              <w:t>Lopes et </w:t>
            </w:r>
            <w:r>
              <w:rPr>
                <w:sz w:val="20"/>
              </w:rPr>
              <w:t>al. 2024;</w:t>
            </w:r>
            <w:r>
              <w:rPr>
                <w:spacing w:val="-3"/>
                <w:sz w:val="20"/>
              </w:rPr>
              <w:t> </w:t>
            </w:r>
            <w:r>
              <w:rPr>
                <w:sz w:val="20"/>
              </w:rPr>
              <w:t>Santos</w:t>
            </w:r>
            <w:r>
              <w:rPr>
                <w:spacing w:val="-3"/>
                <w:sz w:val="20"/>
              </w:rPr>
              <w:t> </w:t>
            </w:r>
            <w:r>
              <w:rPr>
                <w:sz w:val="20"/>
              </w:rPr>
              <w:t>et </w:t>
            </w:r>
            <w:r>
              <w:rPr>
                <w:spacing w:val="-4"/>
                <w:sz w:val="20"/>
              </w:rPr>
              <w:t>al.</w:t>
            </w:r>
          </w:p>
        </w:tc>
      </w:tr>
      <w:tr>
        <w:trPr>
          <w:trHeight w:val="502" w:hRule="atLeast"/>
        </w:trPr>
        <w:tc>
          <w:tcPr>
            <w:tcW w:w="1713" w:type="dxa"/>
          </w:tcPr>
          <w:p>
            <w:pPr>
              <w:pStyle w:val="TableParagraph"/>
              <w:spacing w:line="240" w:lineRule="exact" w:before="2"/>
              <w:ind w:left="119"/>
              <w:rPr>
                <w:sz w:val="20"/>
              </w:rPr>
            </w:pPr>
            <w:r>
              <w:rPr>
                <w:sz w:val="20"/>
              </w:rPr>
              <w:t>Explainable</w:t>
            </w:r>
            <w:r>
              <w:rPr>
                <w:spacing w:val="-13"/>
                <w:sz w:val="20"/>
              </w:rPr>
              <w:t> </w:t>
            </w:r>
            <w:r>
              <w:rPr>
                <w:sz w:val="20"/>
              </w:rPr>
              <w:t>AI</w:t>
            </w:r>
            <w:r>
              <w:rPr>
                <w:spacing w:val="-12"/>
                <w:sz w:val="20"/>
              </w:rPr>
              <w:t> </w:t>
            </w:r>
            <w:r>
              <w:rPr>
                <w:sz w:val="20"/>
              </w:rPr>
              <w:t>/ </w:t>
            </w:r>
            <w:r>
              <w:rPr>
                <w:spacing w:val="-4"/>
                <w:sz w:val="20"/>
              </w:rPr>
              <w:t>SHAP</w:t>
            </w:r>
          </w:p>
        </w:tc>
        <w:tc>
          <w:tcPr>
            <w:tcW w:w="1396" w:type="dxa"/>
          </w:tcPr>
          <w:p>
            <w:pPr>
              <w:pStyle w:val="TableParagraph"/>
              <w:spacing w:line="240" w:lineRule="exact" w:before="2"/>
              <w:ind w:left="119" w:right="346"/>
              <w:rPr>
                <w:sz w:val="20"/>
              </w:rPr>
            </w:pPr>
            <w:r>
              <w:rPr>
                <w:spacing w:val="-2"/>
                <w:sz w:val="20"/>
              </w:rPr>
              <w:t>Post-hoc explanation</w:t>
            </w:r>
          </w:p>
        </w:tc>
        <w:tc>
          <w:tcPr>
            <w:tcW w:w="1467" w:type="dxa"/>
          </w:tcPr>
          <w:p>
            <w:pPr>
              <w:pStyle w:val="TableParagraph"/>
              <w:spacing w:before="9"/>
              <w:ind w:left="48" w:right="72"/>
              <w:jc w:val="center"/>
              <w:rPr>
                <w:sz w:val="20"/>
              </w:rPr>
            </w:pPr>
            <w:r>
              <w:rPr>
                <w:spacing w:val="-2"/>
                <w:sz w:val="20"/>
              </w:rPr>
              <w:t>Partial</w:t>
            </w:r>
          </w:p>
        </w:tc>
        <w:tc>
          <w:tcPr>
            <w:tcW w:w="1244" w:type="dxa"/>
          </w:tcPr>
          <w:p>
            <w:pPr>
              <w:pStyle w:val="TableParagraph"/>
              <w:spacing w:before="9"/>
              <w:ind w:right="46"/>
              <w:jc w:val="center"/>
              <w:rPr>
                <w:sz w:val="20"/>
              </w:rPr>
            </w:pPr>
            <w:r>
              <w:rPr>
                <w:spacing w:val="-5"/>
                <w:sz w:val="20"/>
              </w:rPr>
              <w:t>Yes</w:t>
            </w:r>
          </w:p>
        </w:tc>
        <w:tc>
          <w:tcPr>
            <w:tcW w:w="1203" w:type="dxa"/>
          </w:tcPr>
          <w:p>
            <w:pPr>
              <w:pStyle w:val="TableParagraph"/>
              <w:spacing w:before="9"/>
              <w:ind w:left="24" w:right="1"/>
              <w:jc w:val="center"/>
              <w:rPr>
                <w:sz w:val="20"/>
              </w:rPr>
            </w:pPr>
            <w:r>
              <w:rPr>
                <w:spacing w:val="-5"/>
                <w:sz w:val="20"/>
              </w:rPr>
              <w:t>No</w:t>
            </w:r>
          </w:p>
        </w:tc>
        <w:tc>
          <w:tcPr>
            <w:tcW w:w="1480" w:type="dxa"/>
          </w:tcPr>
          <w:p>
            <w:pPr>
              <w:pStyle w:val="TableParagraph"/>
              <w:spacing w:before="9"/>
              <w:ind w:left="131"/>
              <w:rPr>
                <w:sz w:val="20"/>
              </w:rPr>
            </w:pPr>
            <w:r>
              <w:rPr>
                <w:sz w:val="20"/>
              </w:rPr>
              <w:t>Molnar</w:t>
            </w:r>
            <w:r>
              <w:rPr>
                <w:spacing w:val="-7"/>
                <w:sz w:val="20"/>
              </w:rPr>
              <w:t> </w:t>
            </w:r>
            <w:r>
              <w:rPr>
                <w:spacing w:val="-4"/>
                <w:sz w:val="20"/>
              </w:rPr>
              <w:t>2019</w:t>
            </w:r>
          </w:p>
        </w:tc>
      </w:tr>
      <w:tr>
        <w:trPr>
          <w:trHeight w:val="741" w:hRule="atLeast"/>
        </w:trPr>
        <w:tc>
          <w:tcPr>
            <w:tcW w:w="1713" w:type="dxa"/>
          </w:tcPr>
          <w:p>
            <w:pPr>
              <w:pStyle w:val="TableParagraph"/>
              <w:spacing w:line="249" w:lineRule="auto" w:before="9"/>
              <w:ind w:left="119" w:right="812"/>
              <w:rPr>
                <w:sz w:val="20"/>
              </w:rPr>
            </w:pPr>
            <w:r>
              <w:rPr>
                <w:spacing w:val="-2"/>
                <w:sz w:val="20"/>
              </w:rPr>
              <w:t>Subgroup discovery</w:t>
            </w:r>
          </w:p>
        </w:tc>
        <w:tc>
          <w:tcPr>
            <w:tcW w:w="1396" w:type="dxa"/>
          </w:tcPr>
          <w:p>
            <w:pPr>
              <w:pStyle w:val="TableParagraph"/>
              <w:spacing w:line="249" w:lineRule="auto" w:before="9"/>
              <w:ind w:left="119" w:right="497"/>
              <w:rPr>
                <w:sz w:val="20"/>
              </w:rPr>
            </w:pPr>
            <w:r>
              <w:rPr>
                <w:spacing w:val="-2"/>
                <w:sz w:val="20"/>
              </w:rPr>
              <w:t>Pattern discovery</w:t>
            </w:r>
          </w:p>
        </w:tc>
        <w:tc>
          <w:tcPr>
            <w:tcW w:w="1467" w:type="dxa"/>
          </w:tcPr>
          <w:p>
            <w:pPr>
              <w:pStyle w:val="TableParagraph"/>
              <w:spacing w:before="9"/>
              <w:ind w:left="48" w:right="72"/>
              <w:jc w:val="center"/>
              <w:rPr>
                <w:sz w:val="20"/>
              </w:rPr>
            </w:pPr>
            <w:r>
              <w:rPr>
                <w:spacing w:val="-5"/>
                <w:sz w:val="20"/>
              </w:rPr>
              <w:t>Yes</w:t>
            </w:r>
          </w:p>
        </w:tc>
        <w:tc>
          <w:tcPr>
            <w:tcW w:w="1244" w:type="dxa"/>
          </w:tcPr>
          <w:p>
            <w:pPr>
              <w:pStyle w:val="TableParagraph"/>
              <w:spacing w:before="9"/>
              <w:ind w:right="46"/>
              <w:jc w:val="center"/>
              <w:rPr>
                <w:sz w:val="20"/>
              </w:rPr>
            </w:pPr>
            <w:r>
              <w:rPr>
                <w:spacing w:val="-2"/>
                <w:sz w:val="20"/>
              </w:rPr>
              <w:t>Partial</w:t>
            </w:r>
          </w:p>
        </w:tc>
        <w:tc>
          <w:tcPr>
            <w:tcW w:w="1203" w:type="dxa"/>
          </w:tcPr>
          <w:p>
            <w:pPr>
              <w:pStyle w:val="TableParagraph"/>
              <w:spacing w:before="9"/>
              <w:ind w:left="24" w:right="1"/>
              <w:jc w:val="center"/>
              <w:rPr>
                <w:sz w:val="20"/>
              </w:rPr>
            </w:pPr>
            <w:r>
              <w:rPr>
                <w:spacing w:val="-5"/>
                <w:sz w:val="20"/>
              </w:rPr>
              <w:t>No</w:t>
            </w:r>
          </w:p>
        </w:tc>
        <w:tc>
          <w:tcPr>
            <w:tcW w:w="1480" w:type="dxa"/>
          </w:tcPr>
          <w:p>
            <w:pPr>
              <w:pStyle w:val="TableParagraph"/>
              <w:spacing w:line="249" w:lineRule="auto" w:before="9"/>
              <w:ind w:left="131" w:right="101"/>
              <w:rPr>
                <w:sz w:val="20"/>
              </w:rPr>
            </w:pPr>
            <w:r>
              <w:rPr>
                <w:sz w:val="20"/>
              </w:rPr>
              <w:t>Lavrac</w:t>
            </w:r>
            <w:r>
              <w:rPr>
                <w:spacing w:val="80"/>
                <w:sz w:val="20"/>
              </w:rPr>
              <w:t> </w:t>
            </w:r>
            <w:r>
              <w:rPr>
                <w:sz w:val="20"/>
              </w:rPr>
              <w:t>et</w:t>
            </w:r>
            <w:r>
              <w:rPr>
                <w:spacing w:val="80"/>
                <w:sz w:val="20"/>
              </w:rPr>
              <w:t> </w:t>
            </w:r>
            <w:r>
              <w:rPr>
                <w:sz w:val="20"/>
              </w:rPr>
              <w:t>al. 2004;</w:t>
            </w:r>
            <w:r>
              <w:rPr>
                <w:spacing w:val="75"/>
                <w:w w:val="150"/>
                <w:sz w:val="20"/>
              </w:rPr>
              <w:t> </w:t>
            </w:r>
            <w:r>
              <w:rPr>
                <w:spacing w:val="-2"/>
                <w:sz w:val="20"/>
              </w:rPr>
              <w:t>Herrera</w:t>
            </w:r>
          </w:p>
          <w:p>
            <w:pPr>
              <w:pStyle w:val="TableParagraph"/>
              <w:spacing w:before="0"/>
              <w:ind w:left="131"/>
              <w:rPr>
                <w:sz w:val="20"/>
              </w:rPr>
            </w:pPr>
            <w:r>
              <w:rPr>
                <w:sz w:val="20"/>
              </w:rPr>
              <w:t>et</w:t>
            </w:r>
            <w:r>
              <w:rPr>
                <w:spacing w:val="-3"/>
                <w:sz w:val="20"/>
              </w:rPr>
              <w:t> </w:t>
            </w:r>
            <w:r>
              <w:rPr>
                <w:sz w:val="20"/>
              </w:rPr>
              <w:t>al.</w:t>
            </w:r>
            <w:r>
              <w:rPr>
                <w:spacing w:val="-3"/>
                <w:sz w:val="20"/>
              </w:rPr>
              <w:t> </w:t>
            </w:r>
            <w:r>
              <w:rPr>
                <w:spacing w:val="-4"/>
                <w:sz w:val="20"/>
              </w:rPr>
              <w:t>2011</w:t>
            </w:r>
          </w:p>
        </w:tc>
      </w:tr>
      <w:tr>
        <w:trPr>
          <w:trHeight w:val="741" w:hRule="atLeast"/>
        </w:trPr>
        <w:tc>
          <w:tcPr>
            <w:tcW w:w="1713" w:type="dxa"/>
          </w:tcPr>
          <w:p>
            <w:pPr>
              <w:pStyle w:val="TableParagraph"/>
              <w:spacing w:line="249" w:lineRule="auto" w:before="9"/>
              <w:ind w:left="119" w:right="111"/>
              <w:rPr>
                <w:sz w:val="20"/>
              </w:rPr>
            </w:pPr>
            <w:r>
              <w:rPr>
                <w:spacing w:val="-2"/>
                <w:sz w:val="20"/>
              </w:rPr>
              <w:t>Exceptional</w:t>
            </w:r>
            <w:r>
              <w:rPr>
                <w:spacing w:val="-11"/>
                <w:sz w:val="20"/>
              </w:rPr>
              <w:t> </w:t>
            </w:r>
            <w:r>
              <w:rPr>
                <w:spacing w:val="-2"/>
                <w:sz w:val="20"/>
              </w:rPr>
              <w:t>model mining</w:t>
            </w:r>
          </w:p>
        </w:tc>
        <w:tc>
          <w:tcPr>
            <w:tcW w:w="1396" w:type="dxa"/>
          </w:tcPr>
          <w:p>
            <w:pPr>
              <w:pStyle w:val="TableParagraph"/>
              <w:spacing w:line="249" w:lineRule="auto" w:before="9"/>
              <w:ind w:left="119" w:right="497"/>
              <w:rPr>
                <w:sz w:val="20"/>
              </w:rPr>
            </w:pPr>
            <w:r>
              <w:rPr>
                <w:spacing w:val="-2"/>
                <w:sz w:val="20"/>
              </w:rPr>
              <w:t>Pattern discovery</w:t>
            </w:r>
          </w:p>
        </w:tc>
        <w:tc>
          <w:tcPr>
            <w:tcW w:w="1467" w:type="dxa"/>
          </w:tcPr>
          <w:p>
            <w:pPr>
              <w:pStyle w:val="TableParagraph"/>
              <w:spacing w:before="9"/>
              <w:ind w:left="48" w:right="72"/>
              <w:jc w:val="center"/>
              <w:rPr>
                <w:sz w:val="20"/>
              </w:rPr>
            </w:pPr>
            <w:r>
              <w:rPr>
                <w:spacing w:val="-5"/>
                <w:sz w:val="20"/>
              </w:rPr>
              <w:t>Yes</w:t>
            </w:r>
          </w:p>
        </w:tc>
        <w:tc>
          <w:tcPr>
            <w:tcW w:w="1244" w:type="dxa"/>
          </w:tcPr>
          <w:p>
            <w:pPr>
              <w:pStyle w:val="TableParagraph"/>
              <w:spacing w:before="9"/>
              <w:ind w:right="46"/>
              <w:jc w:val="center"/>
              <w:rPr>
                <w:sz w:val="20"/>
              </w:rPr>
            </w:pPr>
            <w:r>
              <w:rPr>
                <w:spacing w:val="-5"/>
                <w:sz w:val="20"/>
              </w:rPr>
              <w:t>Yes</w:t>
            </w:r>
          </w:p>
        </w:tc>
        <w:tc>
          <w:tcPr>
            <w:tcW w:w="1203" w:type="dxa"/>
          </w:tcPr>
          <w:p>
            <w:pPr>
              <w:pStyle w:val="TableParagraph"/>
              <w:spacing w:before="9"/>
              <w:ind w:left="24" w:right="1"/>
              <w:jc w:val="center"/>
              <w:rPr>
                <w:sz w:val="20"/>
              </w:rPr>
            </w:pPr>
            <w:r>
              <w:rPr>
                <w:spacing w:val="-2"/>
                <w:sz w:val="20"/>
              </w:rPr>
              <w:t>Partial</w:t>
            </w:r>
          </w:p>
        </w:tc>
        <w:tc>
          <w:tcPr>
            <w:tcW w:w="1480" w:type="dxa"/>
          </w:tcPr>
          <w:p>
            <w:pPr>
              <w:pStyle w:val="TableParagraph"/>
              <w:spacing w:line="249" w:lineRule="auto" w:before="9"/>
              <w:ind w:left="131"/>
              <w:rPr>
                <w:sz w:val="20"/>
              </w:rPr>
            </w:pPr>
            <w:r>
              <w:rPr>
                <w:sz w:val="20"/>
              </w:rPr>
              <w:t>Duivesteijn</w:t>
            </w:r>
            <w:r>
              <w:rPr>
                <w:spacing w:val="80"/>
                <w:sz w:val="20"/>
              </w:rPr>
              <w:t> </w:t>
            </w:r>
            <w:r>
              <w:rPr>
                <w:sz w:val="20"/>
              </w:rPr>
              <w:t>et al.</w:t>
            </w:r>
            <w:r>
              <w:rPr>
                <w:spacing w:val="40"/>
                <w:sz w:val="20"/>
              </w:rPr>
              <w:t> </w:t>
            </w:r>
            <w:r>
              <w:rPr>
                <w:sz w:val="20"/>
              </w:rPr>
              <w:t>2016;</w:t>
            </w:r>
            <w:r>
              <w:rPr>
                <w:spacing w:val="61"/>
                <w:sz w:val="20"/>
              </w:rPr>
              <w:t> </w:t>
            </w:r>
            <w:r>
              <w:rPr>
                <w:spacing w:val="-4"/>
                <w:sz w:val="20"/>
              </w:rPr>
              <w:t>Zim-</w:t>
            </w:r>
          </w:p>
          <w:p>
            <w:pPr>
              <w:pStyle w:val="TableParagraph"/>
              <w:spacing w:before="0"/>
              <w:ind w:left="131"/>
              <w:rPr>
                <w:sz w:val="20"/>
              </w:rPr>
            </w:pPr>
            <w:r>
              <w:rPr>
                <w:sz w:val="20"/>
              </w:rPr>
              <w:t>mermann</w:t>
            </w:r>
            <w:r>
              <w:rPr>
                <w:spacing w:val="-9"/>
                <w:sz w:val="20"/>
              </w:rPr>
              <w:t> </w:t>
            </w:r>
            <w:r>
              <w:rPr>
                <w:spacing w:val="-4"/>
                <w:sz w:val="20"/>
              </w:rPr>
              <w:t>2019</w:t>
            </w:r>
          </w:p>
        </w:tc>
      </w:tr>
      <w:tr>
        <w:trPr>
          <w:trHeight w:val="788" w:hRule="atLeast"/>
        </w:trPr>
        <w:tc>
          <w:tcPr>
            <w:tcW w:w="1713" w:type="dxa"/>
            <w:tcBorders>
              <w:bottom w:val="single" w:sz="8" w:space="0" w:color="000000"/>
            </w:tcBorders>
          </w:tcPr>
          <w:p>
            <w:pPr>
              <w:pStyle w:val="TableParagraph"/>
              <w:spacing w:line="249" w:lineRule="auto" w:before="9"/>
              <w:ind w:left="112" w:firstLine="6"/>
              <w:rPr>
                <w:sz w:val="20"/>
              </w:rPr>
            </w:pPr>
            <w:r>
              <w:rPr>
                <w:spacing w:val="-2"/>
                <w:sz w:val="20"/>
              </w:rPr>
              <w:t>Distribution</w:t>
            </w:r>
            <w:r>
              <w:rPr>
                <w:spacing w:val="-11"/>
                <w:sz w:val="20"/>
              </w:rPr>
              <w:t> </w:t>
            </w:r>
            <w:r>
              <w:rPr>
                <w:spacing w:val="-2"/>
                <w:sz w:val="20"/>
              </w:rPr>
              <w:t>rules (CarenR)</w:t>
            </w:r>
          </w:p>
        </w:tc>
        <w:tc>
          <w:tcPr>
            <w:tcW w:w="1396" w:type="dxa"/>
            <w:tcBorders>
              <w:bottom w:val="single" w:sz="8" w:space="0" w:color="000000"/>
            </w:tcBorders>
          </w:tcPr>
          <w:p>
            <w:pPr>
              <w:pStyle w:val="TableParagraph"/>
              <w:spacing w:line="249" w:lineRule="auto" w:before="9"/>
              <w:ind w:left="119"/>
              <w:rPr>
                <w:sz w:val="20"/>
              </w:rPr>
            </w:pPr>
            <w:r>
              <w:rPr>
                <w:spacing w:val="-2"/>
                <w:sz w:val="20"/>
              </w:rPr>
              <w:t>Discovery</w:t>
            </w:r>
            <w:r>
              <w:rPr>
                <w:spacing w:val="-11"/>
                <w:sz w:val="20"/>
              </w:rPr>
              <w:t> </w:t>
            </w:r>
            <w:r>
              <w:rPr>
                <w:spacing w:val="-2"/>
                <w:sz w:val="20"/>
              </w:rPr>
              <w:t>+ prediction</w:t>
            </w:r>
          </w:p>
        </w:tc>
        <w:tc>
          <w:tcPr>
            <w:tcW w:w="1467" w:type="dxa"/>
            <w:tcBorders>
              <w:bottom w:val="single" w:sz="8" w:space="0" w:color="000000"/>
            </w:tcBorders>
          </w:tcPr>
          <w:p>
            <w:pPr>
              <w:pStyle w:val="TableParagraph"/>
              <w:spacing w:before="9"/>
              <w:ind w:left="48" w:right="72"/>
              <w:jc w:val="center"/>
              <w:rPr>
                <w:sz w:val="20"/>
              </w:rPr>
            </w:pPr>
            <w:r>
              <w:rPr>
                <w:spacing w:val="-5"/>
                <w:sz w:val="20"/>
              </w:rPr>
              <w:t>Yes</w:t>
            </w:r>
          </w:p>
        </w:tc>
        <w:tc>
          <w:tcPr>
            <w:tcW w:w="1244" w:type="dxa"/>
            <w:tcBorders>
              <w:bottom w:val="single" w:sz="8" w:space="0" w:color="000000"/>
            </w:tcBorders>
          </w:tcPr>
          <w:p>
            <w:pPr>
              <w:pStyle w:val="TableParagraph"/>
              <w:spacing w:before="9"/>
              <w:ind w:right="46"/>
              <w:jc w:val="center"/>
              <w:rPr>
                <w:sz w:val="20"/>
              </w:rPr>
            </w:pPr>
            <w:r>
              <w:rPr>
                <w:spacing w:val="-5"/>
                <w:sz w:val="20"/>
              </w:rPr>
              <w:t>Yes</w:t>
            </w:r>
          </w:p>
        </w:tc>
        <w:tc>
          <w:tcPr>
            <w:tcW w:w="1203" w:type="dxa"/>
            <w:tcBorders>
              <w:bottom w:val="single" w:sz="8" w:space="0" w:color="000000"/>
            </w:tcBorders>
          </w:tcPr>
          <w:p>
            <w:pPr>
              <w:pStyle w:val="TableParagraph"/>
              <w:spacing w:before="9"/>
              <w:ind w:left="24" w:right="1"/>
              <w:jc w:val="center"/>
              <w:rPr>
                <w:sz w:val="20"/>
              </w:rPr>
            </w:pPr>
            <w:r>
              <w:rPr>
                <w:spacing w:val="-5"/>
                <w:sz w:val="20"/>
              </w:rPr>
              <w:t>Yes</w:t>
            </w:r>
          </w:p>
        </w:tc>
        <w:tc>
          <w:tcPr>
            <w:tcW w:w="1480" w:type="dxa"/>
            <w:tcBorders>
              <w:bottom w:val="single" w:sz="8" w:space="0" w:color="000000"/>
            </w:tcBorders>
          </w:tcPr>
          <w:p>
            <w:pPr>
              <w:pStyle w:val="TableParagraph"/>
              <w:spacing w:line="249" w:lineRule="auto" w:before="9"/>
              <w:ind w:left="131" w:right="81"/>
              <w:jc w:val="both"/>
              <w:rPr>
                <w:b/>
                <w:sz w:val="20"/>
              </w:rPr>
            </w:pPr>
            <w:r>
              <w:rPr>
                <w:sz w:val="20"/>
              </w:rPr>
              <w:t>Jorge et </w:t>
            </w:r>
            <w:r>
              <w:rPr>
                <w:sz w:val="20"/>
              </w:rPr>
              <w:t>al. 2006 — </w:t>
            </w:r>
            <w:r>
              <w:rPr>
                <w:b/>
                <w:sz w:val="20"/>
              </w:rPr>
              <w:t>this </w:t>
            </w:r>
            <w:r>
              <w:rPr>
                <w:b/>
                <w:spacing w:val="-2"/>
                <w:sz w:val="20"/>
              </w:rPr>
              <w:t>thesis</w:t>
            </w:r>
          </w:p>
        </w:tc>
      </w:tr>
    </w:tbl>
    <w:p>
      <w:pPr>
        <w:pStyle w:val="TableParagraph"/>
        <w:spacing w:after="0" w:line="249" w:lineRule="auto"/>
        <w:jc w:val="both"/>
        <w:rPr>
          <w:b/>
          <w:sz w:val="20"/>
        </w:rPr>
        <w:sectPr>
          <w:pgSz w:w="11910" w:h="16840"/>
          <w:pgMar w:header="1160" w:footer="0" w:top="1420" w:bottom="280" w:left="1275" w:right="425"/>
        </w:sectPr>
      </w:pPr>
    </w:p>
    <w:p>
      <w:pPr>
        <w:pStyle w:val="BodyText"/>
      </w:pPr>
    </w:p>
    <w:p>
      <w:pPr>
        <w:pStyle w:val="BodyText"/>
        <w:spacing w:before="25"/>
      </w:pPr>
    </w:p>
    <w:p>
      <w:pPr>
        <w:pStyle w:val="BodyText"/>
        <w:spacing w:line="312" w:lineRule="auto" w:before="1"/>
        <w:ind w:left="709" w:right="954" w:firstLine="338"/>
        <w:jc w:val="both"/>
      </w:pPr>
      <w:r>
        <w:rPr/>
        <w:t>No existing stream combines all five properties simultaneously.</w:t>
      </w:r>
      <w:r>
        <w:rPr>
          <w:spacing w:val="40"/>
        </w:rPr>
        <w:t> </w:t>
      </w:r>
      <w:r>
        <w:rPr/>
        <w:t>This thesis applies CarenR to</w:t>
      </w:r>
      <w:r>
        <w:rPr>
          <w:spacing w:val="-1"/>
        </w:rPr>
        <w:t> </w:t>
      </w:r>
      <w:r>
        <w:rPr/>
        <w:t>two</w:t>
      </w:r>
      <w:r>
        <w:rPr>
          <w:spacing w:val="-1"/>
        </w:rPr>
        <w:t> </w:t>
      </w:r>
      <w:r>
        <w:rPr/>
        <w:t>Portuguese</w:t>
      </w:r>
      <w:r>
        <w:rPr>
          <w:spacing w:val="-1"/>
        </w:rPr>
        <w:t> </w:t>
      </w:r>
      <w:r>
        <w:rPr/>
        <w:t>wine</w:t>
      </w:r>
      <w:r>
        <w:rPr>
          <w:spacing w:val="-1"/>
        </w:rPr>
        <w:t> </w:t>
      </w:r>
      <w:r>
        <w:rPr/>
        <w:t>regions</w:t>
      </w:r>
      <w:r>
        <w:rPr>
          <w:spacing w:val="-1"/>
        </w:rPr>
        <w:t> </w:t>
      </w:r>
      <w:r>
        <w:rPr/>
        <w:t>spanning</w:t>
      </w:r>
      <w:r>
        <w:rPr>
          <w:spacing w:val="-1"/>
        </w:rPr>
        <w:t> </w:t>
      </w:r>
      <w:r>
        <w:rPr/>
        <w:t>80–89</w:t>
      </w:r>
      <w:r>
        <w:rPr>
          <w:spacing w:val="-1"/>
        </w:rPr>
        <w:t> </w:t>
      </w:r>
      <w:r>
        <w:rPr/>
        <w:t>years,</w:t>
      </w:r>
      <w:r>
        <w:rPr>
          <w:spacing w:val="-1"/>
        </w:rPr>
        <w:t> </w:t>
      </w:r>
      <w:r>
        <w:rPr/>
        <w:t>contributing</w:t>
      </w:r>
      <w:r>
        <w:rPr>
          <w:spacing w:val="-1"/>
        </w:rPr>
        <w:t> </w:t>
      </w:r>
      <w:r>
        <w:rPr/>
        <w:t>(1)</w:t>
      </w:r>
      <w:r>
        <w:rPr>
          <w:spacing w:val="-1"/>
        </w:rPr>
        <w:t> </w:t>
      </w:r>
      <w:r>
        <w:rPr/>
        <w:t>the</w:t>
      </w:r>
      <w:r>
        <w:rPr>
          <w:spacing w:val="-1"/>
        </w:rPr>
        <w:t> </w:t>
      </w:r>
      <w:r>
        <w:rPr/>
        <w:t>first</w:t>
      </w:r>
      <w:r>
        <w:rPr>
          <w:spacing w:val="-1"/>
        </w:rPr>
        <w:t> </w:t>
      </w:r>
      <w:r>
        <w:rPr/>
        <w:t>systematic</w:t>
      </w:r>
      <w:r>
        <w:rPr>
          <w:spacing w:val="-1"/>
        </w:rPr>
        <w:t> </w:t>
      </w:r>
      <w:r>
        <w:rPr/>
        <w:t>walk-forward evaluation of distributional subgroup discovery for wine production forecasting with phenology-informed</w:t>
      </w:r>
      <w:r>
        <w:rPr>
          <w:spacing w:val="-4"/>
        </w:rPr>
        <w:t> </w:t>
      </w:r>
      <w:r>
        <w:rPr/>
        <w:t>feature</w:t>
      </w:r>
      <w:r>
        <w:rPr>
          <w:spacing w:val="-4"/>
        </w:rPr>
        <w:t> </w:t>
      </w:r>
      <w:r>
        <w:rPr/>
        <w:t>engineering,</w:t>
      </w:r>
      <w:r>
        <w:rPr>
          <w:spacing w:val="-4"/>
        </w:rPr>
        <w:t> </w:t>
      </w:r>
      <w:r>
        <w:rPr/>
        <w:t>(2)</w:t>
      </w:r>
      <w:r>
        <w:rPr>
          <w:spacing w:val="-4"/>
        </w:rPr>
        <w:t> </w:t>
      </w:r>
      <w:r>
        <w:rPr/>
        <w:t>a</w:t>
      </w:r>
      <w:r>
        <w:rPr>
          <w:spacing w:val="-4"/>
        </w:rPr>
        <w:t> </w:t>
      </w:r>
      <w:r>
        <w:rPr/>
        <w:t>two-decision</w:t>
      </w:r>
      <w:r>
        <w:rPr>
          <w:spacing w:val="-4"/>
        </w:rPr>
        <w:t> </w:t>
      </w:r>
      <w:r>
        <w:rPr/>
        <w:t>decomposition</w:t>
      </w:r>
      <w:r>
        <w:rPr>
          <w:spacing w:val="-4"/>
        </w:rPr>
        <w:t> </w:t>
      </w:r>
      <w:r>
        <w:rPr/>
        <w:t>framework</w:t>
      </w:r>
      <w:r>
        <w:rPr>
          <w:spacing w:val="-4"/>
        </w:rPr>
        <w:t> </w:t>
      </w:r>
      <w:r>
        <w:rPr/>
        <w:t>that</w:t>
      </w:r>
      <w:r>
        <w:rPr>
          <w:spacing w:val="-4"/>
        </w:rPr>
        <w:t> </w:t>
      </w:r>
      <w:r>
        <w:rPr/>
        <w:t>diag-noses</w:t>
      </w:r>
      <w:r>
        <w:rPr>
          <w:spacing w:val="-2"/>
        </w:rPr>
        <w:t> </w:t>
      </w:r>
      <w:r>
        <w:rPr/>
        <w:t>when</w:t>
      </w:r>
      <w:r>
        <w:rPr>
          <w:spacing w:val="-2"/>
        </w:rPr>
        <w:t> </w:t>
      </w:r>
      <w:r>
        <w:rPr/>
        <w:t>and</w:t>
      </w:r>
      <w:r>
        <w:rPr>
          <w:spacing w:val="-2"/>
        </w:rPr>
        <w:t> </w:t>
      </w:r>
      <w:r>
        <w:rPr/>
        <w:t>why</w:t>
      </w:r>
      <w:r>
        <w:rPr>
          <w:spacing w:val="-2"/>
        </w:rPr>
        <w:t> </w:t>
      </w:r>
      <w:r>
        <w:rPr/>
        <w:t>rule-based</w:t>
      </w:r>
      <w:r>
        <w:rPr>
          <w:spacing w:val="-2"/>
        </w:rPr>
        <w:t> </w:t>
      </w:r>
      <w:r>
        <w:rPr/>
        <w:t>prediction</w:t>
      </w:r>
      <w:r>
        <w:rPr>
          <w:spacing w:val="-2"/>
        </w:rPr>
        <w:t> </w:t>
      </w:r>
      <w:r>
        <w:rPr/>
        <w:t>succeeds</w:t>
      </w:r>
      <w:r>
        <w:rPr>
          <w:spacing w:val="-2"/>
        </w:rPr>
        <w:t> </w:t>
      </w:r>
      <w:r>
        <w:rPr/>
        <w:t>or</w:t>
      </w:r>
      <w:r>
        <w:rPr>
          <w:spacing w:val="-2"/>
        </w:rPr>
        <w:t> </w:t>
      </w:r>
      <w:r>
        <w:rPr/>
        <w:t>fails,</w:t>
      </w:r>
      <w:r>
        <w:rPr>
          <w:spacing w:val="-2"/>
        </w:rPr>
        <w:t> </w:t>
      </w:r>
      <w:r>
        <w:rPr/>
        <w:t>and</w:t>
      </w:r>
      <w:r>
        <w:rPr>
          <w:spacing w:val="-2"/>
        </w:rPr>
        <w:t> </w:t>
      </w:r>
      <w:r>
        <w:rPr/>
        <w:t>(3)</w:t>
      </w:r>
      <w:r>
        <w:rPr>
          <w:spacing w:val="-2"/>
        </w:rPr>
        <w:t> </w:t>
      </w:r>
      <w:r>
        <w:rPr/>
        <w:t>a</w:t>
      </w:r>
      <w:r>
        <w:rPr>
          <w:spacing w:val="-2"/>
        </w:rPr>
        <w:t> </w:t>
      </w:r>
      <w:r>
        <w:rPr/>
        <w:t>cross-regional</w:t>
      </w:r>
      <w:r>
        <w:rPr>
          <w:spacing w:val="-2"/>
        </w:rPr>
        <w:t> </w:t>
      </w:r>
      <w:r>
        <w:rPr/>
        <w:t>comparison that reveals how structural production history interacts with climate signal availability.</w:t>
      </w:r>
    </w:p>
    <w:p>
      <w:pPr>
        <w:pStyle w:val="BodyText"/>
      </w:pPr>
    </w:p>
    <w:p>
      <w:pPr>
        <w:pStyle w:val="BodyText"/>
        <w:spacing w:before="108"/>
      </w:pPr>
    </w:p>
    <w:p>
      <w:pPr>
        <w:pStyle w:val="Heading2"/>
        <w:numPr>
          <w:ilvl w:val="1"/>
          <w:numId w:val="16"/>
        </w:numPr>
        <w:tabs>
          <w:tab w:pos="1354" w:val="left" w:leader="none"/>
        </w:tabs>
        <w:spacing w:line="240" w:lineRule="auto" w:before="0" w:after="0"/>
        <w:ind w:left="1354" w:right="0" w:hanging="645"/>
        <w:jc w:val="left"/>
      </w:pPr>
      <w:bookmarkStart w:name="2.8 Portuguese Viticulture Industry Stru" w:id="46"/>
      <w:bookmarkEnd w:id="46"/>
      <w:r>
        <w:rPr>
          <w:b w:val="0"/>
        </w:rPr>
      </w:r>
      <w:bookmarkStart w:name="_bookmark21" w:id="47"/>
      <w:bookmarkEnd w:id="47"/>
      <w:r>
        <w:rPr>
          <w:b w:val="0"/>
        </w:rPr>
      </w:r>
      <w:r>
        <w:rPr/>
        <w:t>Portuguese</w:t>
      </w:r>
      <w:r>
        <w:rPr>
          <w:spacing w:val="16"/>
        </w:rPr>
        <w:t> </w:t>
      </w:r>
      <w:r>
        <w:rPr/>
        <w:t>Viticulture</w:t>
      </w:r>
      <w:r>
        <w:rPr>
          <w:spacing w:val="16"/>
        </w:rPr>
        <w:t> </w:t>
      </w:r>
      <w:r>
        <w:rPr/>
        <w:t>Industry</w:t>
      </w:r>
      <w:r>
        <w:rPr>
          <w:spacing w:val="17"/>
        </w:rPr>
        <w:t> </w:t>
      </w:r>
      <w:r>
        <w:rPr/>
        <w:t>Structure</w:t>
      </w:r>
      <w:r>
        <w:rPr>
          <w:spacing w:val="16"/>
        </w:rPr>
        <w:t> </w:t>
      </w:r>
      <w:r>
        <w:rPr/>
        <w:t>and</w:t>
      </w:r>
      <w:r>
        <w:rPr>
          <w:spacing w:val="16"/>
        </w:rPr>
        <w:t> </w:t>
      </w:r>
      <w:r>
        <w:rPr>
          <w:spacing w:val="-2"/>
        </w:rPr>
        <w:t>Policy</w:t>
      </w:r>
    </w:p>
    <w:p>
      <w:pPr>
        <w:pStyle w:val="BodyText"/>
        <w:spacing w:before="41"/>
        <w:rPr>
          <w:b/>
          <w:sz w:val="28"/>
        </w:rPr>
      </w:pPr>
    </w:p>
    <w:p>
      <w:pPr>
        <w:pStyle w:val="BodyText"/>
        <w:spacing w:line="312" w:lineRule="auto"/>
        <w:ind w:left="701" w:right="990" w:firstLine="1"/>
        <w:jc w:val="both"/>
      </w:pPr>
      <w:r>
        <w:rPr/>
        <w:t>The structural production trends observed in the two study regions, a persistent increase in the Douro</w:t>
      </w:r>
      <w:r>
        <w:rPr>
          <w:spacing w:val="-11"/>
        </w:rPr>
        <w:t> </w:t>
      </w:r>
      <w:r>
        <w:rPr/>
        <w:t>and</w:t>
      </w:r>
      <w:r>
        <w:rPr>
          <w:spacing w:val="-11"/>
        </w:rPr>
        <w:t> </w:t>
      </w:r>
      <w:r>
        <w:rPr/>
        <w:t>a</w:t>
      </w:r>
      <w:r>
        <w:rPr>
          <w:spacing w:val="-11"/>
        </w:rPr>
        <w:t> </w:t>
      </w:r>
      <w:r>
        <w:rPr/>
        <w:t>sharp</w:t>
      </w:r>
      <w:r>
        <w:rPr>
          <w:spacing w:val="-11"/>
        </w:rPr>
        <w:t> </w:t>
      </w:r>
      <w:r>
        <w:rPr/>
        <w:t>decline</w:t>
      </w:r>
      <w:r>
        <w:rPr>
          <w:spacing w:val="-11"/>
        </w:rPr>
        <w:t> </w:t>
      </w:r>
      <w:r>
        <w:rPr/>
        <w:t>in</w:t>
      </w:r>
      <w:r>
        <w:rPr>
          <w:spacing w:val="-11"/>
        </w:rPr>
        <w:t> </w:t>
      </w:r>
      <w:r>
        <w:rPr/>
        <w:t>Vinho</w:t>
      </w:r>
      <w:r>
        <w:rPr>
          <w:spacing w:val="-11"/>
        </w:rPr>
        <w:t> </w:t>
      </w:r>
      <w:r>
        <w:rPr/>
        <w:t>Verde,</w:t>
      </w:r>
      <w:r>
        <w:rPr>
          <w:spacing w:val="-11"/>
        </w:rPr>
        <w:t> </w:t>
      </w:r>
      <w:r>
        <w:rPr/>
        <w:t>cannot</w:t>
      </w:r>
      <w:r>
        <w:rPr>
          <w:spacing w:val="-11"/>
        </w:rPr>
        <w:t> </w:t>
      </w:r>
      <w:r>
        <w:rPr/>
        <w:t>be</w:t>
      </w:r>
      <w:r>
        <w:rPr>
          <w:spacing w:val="-11"/>
        </w:rPr>
        <w:t> </w:t>
      </w:r>
      <w:r>
        <w:rPr/>
        <w:t>attributed</w:t>
      </w:r>
      <w:r>
        <w:rPr>
          <w:spacing w:val="-11"/>
        </w:rPr>
        <w:t> </w:t>
      </w:r>
      <w:r>
        <w:rPr/>
        <w:t>to</w:t>
      </w:r>
      <w:r>
        <w:rPr>
          <w:spacing w:val="-11"/>
        </w:rPr>
        <w:t> </w:t>
      </w:r>
      <w:r>
        <w:rPr/>
        <w:t>climate</w:t>
      </w:r>
      <w:r>
        <w:rPr>
          <w:spacing w:val="-11"/>
        </w:rPr>
        <w:t> </w:t>
      </w:r>
      <w:r>
        <w:rPr/>
        <w:t>alone. Both</w:t>
      </w:r>
      <w:r>
        <w:rPr>
          <w:spacing w:val="-11"/>
        </w:rPr>
        <w:t> </w:t>
      </w:r>
      <w:r>
        <w:rPr/>
        <w:t>trajectories </w:t>
      </w:r>
      <w:r>
        <w:rPr>
          <w:spacing w:val="-2"/>
        </w:rPr>
        <w:t>were</w:t>
      </w:r>
      <w:r>
        <w:rPr>
          <w:spacing w:val="-10"/>
        </w:rPr>
        <w:t> </w:t>
      </w:r>
      <w:r>
        <w:rPr>
          <w:spacing w:val="-2"/>
        </w:rPr>
        <w:t>substantially</w:t>
      </w:r>
      <w:r>
        <w:rPr>
          <w:spacing w:val="-10"/>
        </w:rPr>
        <w:t> </w:t>
      </w:r>
      <w:r>
        <w:rPr>
          <w:spacing w:val="-2"/>
        </w:rPr>
        <w:t>shaped</w:t>
      </w:r>
      <w:r>
        <w:rPr>
          <w:spacing w:val="-10"/>
        </w:rPr>
        <w:t> </w:t>
      </w:r>
      <w:r>
        <w:rPr>
          <w:spacing w:val="-2"/>
        </w:rPr>
        <w:t>by</w:t>
      </w:r>
      <w:r>
        <w:rPr>
          <w:spacing w:val="-10"/>
        </w:rPr>
        <w:t> </w:t>
      </w:r>
      <w:r>
        <w:rPr>
          <w:spacing w:val="-2"/>
        </w:rPr>
        <w:t>regulatory,</w:t>
      </w:r>
      <w:r>
        <w:rPr>
          <w:spacing w:val="-10"/>
        </w:rPr>
        <w:t> </w:t>
      </w:r>
      <w:r>
        <w:rPr>
          <w:spacing w:val="-2"/>
        </w:rPr>
        <w:t>economic,</w:t>
      </w:r>
      <w:r>
        <w:rPr>
          <w:spacing w:val="-10"/>
        </w:rPr>
        <w:t> </w:t>
      </w:r>
      <w:r>
        <w:rPr>
          <w:spacing w:val="-2"/>
        </w:rPr>
        <w:t>and</w:t>
      </w:r>
      <w:r>
        <w:rPr>
          <w:spacing w:val="-10"/>
        </w:rPr>
        <w:t> </w:t>
      </w:r>
      <w:r>
        <w:rPr>
          <w:spacing w:val="-2"/>
        </w:rPr>
        <w:t>demographic</w:t>
      </w:r>
      <w:r>
        <w:rPr>
          <w:spacing w:val="-10"/>
        </w:rPr>
        <w:t> </w:t>
      </w:r>
      <w:r>
        <w:rPr>
          <w:spacing w:val="-2"/>
        </w:rPr>
        <w:t>forces</w:t>
      </w:r>
      <w:r>
        <w:rPr>
          <w:spacing w:val="-10"/>
        </w:rPr>
        <w:t> </w:t>
      </w:r>
      <w:r>
        <w:rPr>
          <w:spacing w:val="-2"/>
        </w:rPr>
        <w:t>that</w:t>
      </w:r>
      <w:r>
        <w:rPr>
          <w:spacing w:val="-10"/>
        </w:rPr>
        <w:t> </w:t>
      </w:r>
      <w:r>
        <w:rPr>
          <w:spacing w:val="-2"/>
        </w:rPr>
        <w:t>are</w:t>
      </w:r>
      <w:r>
        <w:rPr>
          <w:spacing w:val="-10"/>
        </w:rPr>
        <w:t> </w:t>
      </w:r>
      <w:r>
        <w:rPr>
          <w:spacing w:val="-2"/>
        </w:rPr>
        <w:t>independent</w:t>
      </w:r>
      <w:r>
        <w:rPr>
          <w:spacing w:val="-10"/>
        </w:rPr>
        <w:t> </w:t>
      </w:r>
      <w:r>
        <w:rPr>
          <w:spacing w:val="-2"/>
        </w:rPr>
        <w:t>of </w:t>
      </w:r>
      <w:r>
        <w:rPr/>
        <w:t>meteorological</w:t>
      </w:r>
      <w:r>
        <w:rPr>
          <w:spacing w:val="-2"/>
        </w:rPr>
        <w:t> </w:t>
      </w:r>
      <w:r>
        <w:rPr/>
        <w:t>conditions. Understanding</w:t>
      </w:r>
      <w:r>
        <w:rPr>
          <w:spacing w:val="-2"/>
        </w:rPr>
        <w:t> </w:t>
      </w:r>
      <w:r>
        <w:rPr/>
        <w:t>these</w:t>
      </w:r>
      <w:r>
        <w:rPr>
          <w:spacing w:val="-2"/>
        </w:rPr>
        <w:t> </w:t>
      </w:r>
      <w:r>
        <w:rPr/>
        <w:t>structural</w:t>
      </w:r>
      <w:r>
        <w:rPr>
          <w:spacing w:val="-2"/>
        </w:rPr>
        <w:t> </w:t>
      </w:r>
      <w:r>
        <w:rPr/>
        <w:t>drivers</w:t>
      </w:r>
      <w:r>
        <w:rPr>
          <w:spacing w:val="-2"/>
        </w:rPr>
        <w:t> </w:t>
      </w:r>
      <w:r>
        <w:rPr/>
        <w:t>is</w:t>
      </w:r>
      <w:r>
        <w:rPr>
          <w:spacing w:val="-2"/>
        </w:rPr>
        <w:t> </w:t>
      </w:r>
      <w:r>
        <w:rPr/>
        <w:t>essential</w:t>
      </w:r>
      <w:r>
        <w:rPr>
          <w:spacing w:val="-2"/>
        </w:rPr>
        <w:t> </w:t>
      </w:r>
      <w:r>
        <w:rPr/>
        <w:t>for</w:t>
      </w:r>
      <w:r>
        <w:rPr>
          <w:spacing w:val="-2"/>
        </w:rPr>
        <w:t> </w:t>
      </w:r>
      <w:r>
        <w:rPr/>
        <w:t>interpreting</w:t>
      </w:r>
      <w:r>
        <w:rPr>
          <w:spacing w:val="-2"/>
        </w:rPr>
        <w:t> </w:t>
      </w:r>
      <w:r>
        <w:rPr/>
        <w:t>the era confound identified throughout this thesis and for correctly attributing the limitations of the predictive models.</w:t>
      </w:r>
    </w:p>
    <w:p>
      <w:pPr>
        <w:pStyle w:val="BodyText"/>
      </w:pPr>
    </w:p>
    <w:p>
      <w:pPr>
        <w:pStyle w:val="BodyText"/>
        <w:spacing w:before="24"/>
      </w:pPr>
    </w:p>
    <w:p>
      <w:pPr>
        <w:pStyle w:val="Heading3"/>
        <w:numPr>
          <w:ilvl w:val="2"/>
          <w:numId w:val="16"/>
        </w:numPr>
        <w:tabs>
          <w:tab w:pos="1426" w:val="left" w:leader="none"/>
        </w:tabs>
        <w:spacing w:line="240" w:lineRule="auto" w:before="0" w:after="0"/>
        <w:ind w:left="1426" w:right="0" w:hanging="717"/>
        <w:jc w:val="left"/>
      </w:pPr>
      <w:bookmarkStart w:name="2.8.1 Douro Region: Regulatory and Marke" w:id="48"/>
      <w:bookmarkEnd w:id="48"/>
      <w:r>
        <w:rPr>
          <w:b w:val="0"/>
        </w:rPr>
      </w:r>
      <w:bookmarkStart w:name="_bookmark22" w:id="49"/>
      <w:bookmarkEnd w:id="49"/>
      <w:r>
        <w:rPr>
          <w:b w:val="0"/>
        </w:rPr>
      </w:r>
      <w:r>
        <w:rPr/>
        <w:t>Douro</w:t>
      </w:r>
      <w:r>
        <w:rPr>
          <w:spacing w:val="-10"/>
        </w:rPr>
        <w:t> </w:t>
      </w:r>
      <w:r>
        <w:rPr/>
        <w:t>Region:</w:t>
      </w:r>
      <w:r>
        <w:rPr>
          <w:spacing w:val="3"/>
        </w:rPr>
        <w:t> </w:t>
      </w:r>
      <w:r>
        <w:rPr/>
        <w:t>Regulatory</w:t>
      </w:r>
      <w:r>
        <w:rPr>
          <w:spacing w:val="-10"/>
        </w:rPr>
        <w:t> </w:t>
      </w:r>
      <w:r>
        <w:rPr/>
        <w:t>and</w:t>
      </w:r>
      <w:r>
        <w:rPr>
          <w:spacing w:val="-9"/>
        </w:rPr>
        <w:t> </w:t>
      </w:r>
      <w:r>
        <w:rPr/>
        <w:t>Market</w:t>
      </w:r>
      <w:r>
        <w:rPr>
          <w:spacing w:val="-10"/>
        </w:rPr>
        <w:t> </w:t>
      </w:r>
      <w:r>
        <w:rPr>
          <w:spacing w:val="-2"/>
        </w:rPr>
        <w:t>Drivers</w:t>
      </w:r>
    </w:p>
    <w:p>
      <w:pPr>
        <w:pStyle w:val="BodyText"/>
        <w:spacing w:before="17"/>
        <w:rPr>
          <w:b/>
          <w:sz w:val="24"/>
        </w:rPr>
      </w:pPr>
    </w:p>
    <w:p>
      <w:pPr>
        <w:pStyle w:val="BodyText"/>
        <w:spacing w:line="312" w:lineRule="auto"/>
        <w:ind w:left="701" w:right="952" w:firstLine="1"/>
        <w:jc w:val="both"/>
      </w:pPr>
      <w:r>
        <w:rPr/>
        <w:t>The</w:t>
      </w:r>
      <w:r>
        <w:rPr>
          <w:spacing w:val="-2"/>
        </w:rPr>
        <w:t> </w:t>
      </w:r>
      <w:r>
        <w:rPr/>
        <w:t>Douro</w:t>
      </w:r>
      <w:r>
        <w:rPr>
          <w:spacing w:val="-2"/>
        </w:rPr>
        <w:t> </w:t>
      </w:r>
      <w:r>
        <w:rPr/>
        <w:t>wine</w:t>
      </w:r>
      <w:r>
        <w:rPr>
          <w:spacing w:val="-2"/>
        </w:rPr>
        <w:t> </w:t>
      </w:r>
      <w:r>
        <w:rPr/>
        <w:t>region</w:t>
      </w:r>
      <w:r>
        <w:rPr>
          <w:spacing w:val="-2"/>
        </w:rPr>
        <w:t> </w:t>
      </w:r>
      <w:r>
        <w:rPr/>
        <w:t>has</w:t>
      </w:r>
      <w:r>
        <w:rPr>
          <w:spacing w:val="-2"/>
        </w:rPr>
        <w:t> </w:t>
      </w:r>
      <w:r>
        <w:rPr/>
        <w:t>been</w:t>
      </w:r>
      <w:r>
        <w:rPr>
          <w:spacing w:val="-2"/>
        </w:rPr>
        <w:t> </w:t>
      </w:r>
      <w:r>
        <w:rPr/>
        <w:t>formally</w:t>
      </w:r>
      <w:r>
        <w:rPr>
          <w:spacing w:val="-2"/>
        </w:rPr>
        <w:t> </w:t>
      </w:r>
      <w:r>
        <w:rPr/>
        <w:t>demarcated</w:t>
      </w:r>
      <w:r>
        <w:rPr>
          <w:spacing w:val="-2"/>
        </w:rPr>
        <w:t> </w:t>
      </w:r>
      <w:r>
        <w:rPr/>
        <w:t>since</w:t>
      </w:r>
      <w:r>
        <w:rPr>
          <w:spacing w:val="-2"/>
        </w:rPr>
        <w:t> </w:t>
      </w:r>
      <w:r>
        <w:rPr/>
        <w:t>1756,</w:t>
      </w:r>
      <w:r>
        <w:rPr>
          <w:spacing w:val="-2"/>
        </w:rPr>
        <w:t> </w:t>
      </w:r>
      <w:r>
        <w:rPr/>
        <w:t>making</w:t>
      </w:r>
      <w:r>
        <w:rPr>
          <w:spacing w:val="-2"/>
        </w:rPr>
        <w:t> </w:t>
      </w:r>
      <w:r>
        <w:rPr/>
        <w:t>it</w:t>
      </w:r>
      <w:r>
        <w:rPr>
          <w:spacing w:val="-2"/>
        </w:rPr>
        <w:t> </w:t>
      </w:r>
      <w:r>
        <w:rPr/>
        <w:t>one</w:t>
      </w:r>
      <w:r>
        <w:rPr>
          <w:spacing w:val="-2"/>
        </w:rPr>
        <w:t> </w:t>
      </w:r>
      <w:r>
        <w:rPr/>
        <w:t>of</w:t>
      </w:r>
      <w:r>
        <w:rPr>
          <w:spacing w:val="-2"/>
        </w:rPr>
        <w:t> </w:t>
      </w:r>
      <w:r>
        <w:rPr/>
        <w:t>the</w:t>
      </w:r>
      <w:r>
        <w:rPr>
          <w:spacing w:val="-2"/>
        </w:rPr>
        <w:t> </w:t>
      </w:r>
      <w:r>
        <w:rPr/>
        <w:t>first</w:t>
      </w:r>
      <w:r>
        <w:rPr>
          <w:spacing w:val="-2"/>
        </w:rPr>
        <w:t> </w:t>
      </w:r>
      <w:r>
        <w:rPr/>
        <w:t>wine appellations in the world. The most significant modern regulatory influence on production is the Port</w:t>
      </w:r>
      <w:r>
        <w:rPr>
          <w:spacing w:val="-12"/>
        </w:rPr>
        <w:t> </w:t>
      </w:r>
      <w:r>
        <w:rPr/>
        <w:t>wine</w:t>
      </w:r>
      <w:r>
        <w:rPr>
          <w:spacing w:val="-12"/>
        </w:rPr>
        <w:t> </w:t>
      </w:r>
      <w:r>
        <w:rPr/>
        <w:t>benefício</w:t>
      </w:r>
      <w:r>
        <w:rPr>
          <w:spacing w:val="-12"/>
        </w:rPr>
        <w:t> </w:t>
      </w:r>
      <w:r>
        <w:rPr/>
        <w:t>system,</w:t>
      </w:r>
      <w:r>
        <w:rPr>
          <w:spacing w:val="-12"/>
        </w:rPr>
        <w:t> </w:t>
      </w:r>
      <w:r>
        <w:rPr/>
        <w:t>administered</w:t>
      </w:r>
      <w:r>
        <w:rPr>
          <w:spacing w:val="-12"/>
        </w:rPr>
        <w:t> </w:t>
      </w:r>
      <w:r>
        <w:rPr/>
        <w:t>by</w:t>
      </w:r>
      <w:r>
        <w:rPr>
          <w:spacing w:val="-12"/>
        </w:rPr>
        <w:t> </w:t>
      </w:r>
      <w:r>
        <w:rPr/>
        <w:t>the</w:t>
      </w:r>
      <w:r>
        <w:rPr>
          <w:spacing w:val="-12"/>
        </w:rPr>
        <w:t> </w:t>
      </w:r>
      <w:r>
        <w:rPr/>
        <w:t>Instituto</w:t>
      </w:r>
      <w:r>
        <w:rPr>
          <w:spacing w:val="-12"/>
        </w:rPr>
        <w:t> </w:t>
      </w:r>
      <w:r>
        <w:rPr/>
        <w:t>dos</w:t>
      </w:r>
      <w:r>
        <w:rPr>
          <w:spacing w:val="-12"/>
        </w:rPr>
        <w:t> </w:t>
      </w:r>
      <w:r>
        <w:rPr/>
        <w:t>Vinhos</w:t>
      </w:r>
      <w:r>
        <w:rPr>
          <w:spacing w:val="-12"/>
        </w:rPr>
        <w:t> </w:t>
      </w:r>
      <w:r>
        <w:rPr/>
        <w:t>do</w:t>
      </w:r>
      <w:r>
        <w:rPr>
          <w:spacing w:val="-12"/>
        </w:rPr>
        <w:t> </w:t>
      </w:r>
      <w:r>
        <w:rPr/>
        <w:t>Douro</w:t>
      </w:r>
      <w:r>
        <w:rPr>
          <w:spacing w:val="-12"/>
        </w:rPr>
        <w:t> </w:t>
      </w:r>
      <w:r>
        <w:rPr/>
        <w:t>e</w:t>
      </w:r>
      <w:r>
        <w:rPr>
          <w:spacing w:val="-12"/>
        </w:rPr>
        <w:t> </w:t>
      </w:r>
      <w:r>
        <w:rPr/>
        <w:t>do</w:t>
      </w:r>
      <w:r>
        <w:rPr>
          <w:spacing w:val="-12"/>
        </w:rPr>
        <w:t> </w:t>
      </w:r>
      <w:r>
        <w:rPr/>
        <w:t>Porto</w:t>
      </w:r>
      <w:r>
        <w:rPr>
          <w:spacing w:val="-12"/>
        </w:rPr>
        <w:t> </w:t>
      </w:r>
      <w:r>
        <w:rPr/>
        <w:t>(IVDP). The benefício is an annual administrative quota that determines how much of the Douro’s grape </w:t>
      </w:r>
      <w:r>
        <w:rPr>
          <w:spacing w:val="-4"/>
        </w:rPr>
        <w:t>harvest</w:t>
      </w:r>
      <w:r>
        <w:rPr>
          <w:spacing w:val="-5"/>
        </w:rPr>
        <w:t> </w:t>
      </w:r>
      <w:r>
        <w:rPr>
          <w:spacing w:val="-4"/>
        </w:rPr>
        <w:t>may</w:t>
      </w:r>
      <w:r>
        <w:rPr>
          <w:spacing w:val="-5"/>
        </w:rPr>
        <w:t> </w:t>
      </w:r>
      <w:r>
        <w:rPr>
          <w:spacing w:val="-4"/>
        </w:rPr>
        <w:t>be</w:t>
      </w:r>
      <w:r>
        <w:rPr>
          <w:spacing w:val="-5"/>
        </w:rPr>
        <w:t> </w:t>
      </w:r>
      <w:r>
        <w:rPr>
          <w:spacing w:val="-4"/>
        </w:rPr>
        <w:t>used</w:t>
      </w:r>
      <w:r>
        <w:rPr>
          <w:spacing w:val="-5"/>
        </w:rPr>
        <w:t> </w:t>
      </w:r>
      <w:r>
        <w:rPr>
          <w:spacing w:val="-4"/>
        </w:rPr>
        <w:t>to</w:t>
      </w:r>
      <w:r>
        <w:rPr>
          <w:spacing w:val="-5"/>
        </w:rPr>
        <w:t> </w:t>
      </w:r>
      <w:r>
        <w:rPr>
          <w:spacing w:val="-4"/>
        </w:rPr>
        <w:t>produce</w:t>
      </w:r>
      <w:r>
        <w:rPr>
          <w:spacing w:val="-5"/>
        </w:rPr>
        <w:t> </w:t>
      </w:r>
      <w:r>
        <w:rPr>
          <w:spacing w:val="-4"/>
        </w:rPr>
        <w:t>Port</w:t>
      </w:r>
      <w:r>
        <w:rPr>
          <w:spacing w:val="-5"/>
        </w:rPr>
        <w:t> </w:t>
      </w:r>
      <w:r>
        <w:rPr>
          <w:spacing w:val="-4"/>
        </w:rPr>
        <w:t>wine, which</w:t>
      </w:r>
      <w:r>
        <w:rPr>
          <w:spacing w:val="-5"/>
        </w:rPr>
        <w:t> </w:t>
      </w:r>
      <w:r>
        <w:rPr>
          <w:spacing w:val="-4"/>
        </w:rPr>
        <w:t>commands</w:t>
      </w:r>
      <w:r>
        <w:rPr>
          <w:spacing w:val="-5"/>
        </w:rPr>
        <w:t> </w:t>
      </w:r>
      <w:r>
        <w:rPr>
          <w:spacing w:val="-4"/>
        </w:rPr>
        <w:t>a</w:t>
      </w:r>
      <w:r>
        <w:rPr>
          <w:spacing w:val="-5"/>
        </w:rPr>
        <w:t> </w:t>
      </w:r>
      <w:r>
        <w:rPr>
          <w:spacing w:val="-4"/>
        </w:rPr>
        <w:t>premium</w:t>
      </w:r>
      <w:r>
        <w:rPr>
          <w:spacing w:val="-5"/>
        </w:rPr>
        <w:t> </w:t>
      </w:r>
      <w:r>
        <w:rPr>
          <w:spacing w:val="-4"/>
        </w:rPr>
        <w:t>price</w:t>
      </w:r>
      <w:r>
        <w:rPr>
          <w:spacing w:val="-5"/>
        </w:rPr>
        <w:t> </w:t>
      </w:r>
      <w:r>
        <w:rPr>
          <w:spacing w:val="-4"/>
        </w:rPr>
        <w:t>over</w:t>
      </w:r>
      <w:r>
        <w:rPr>
          <w:spacing w:val="-5"/>
        </w:rPr>
        <w:t> </w:t>
      </w:r>
      <w:r>
        <w:rPr>
          <w:spacing w:val="-4"/>
        </w:rPr>
        <w:t>unfortified</w:t>
      </w:r>
      <w:r>
        <w:rPr>
          <w:spacing w:val="-5"/>
        </w:rPr>
        <w:t> </w:t>
      </w:r>
      <w:r>
        <w:rPr>
          <w:spacing w:val="-4"/>
        </w:rPr>
        <w:t>Douro </w:t>
      </w:r>
      <w:r>
        <w:rPr/>
        <w:t>wines.</w:t>
      </w:r>
      <w:r>
        <w:rPr>
          <w:spacing w:val="-2"/>
        </w:rPr>
        <w:t> </w:t>
      </w:r>
      <w:r>
        <w:rPr/>
        <w:t>The</w:t>
      </w:r>
      <w:r>
        <w:rPr>
          <w:spacing w:val="-12"/>
        </w:rPr>
        <w:t> </w:t>
      </w:r>
      <w:r>
        <w:rPr/>
        <w:t>quota</w:t>
      </w:r>
      <w:r>
        <w:rPr>
          <w:spacing w:val="-12"/>
        </w:rPr>
        <w:t> </w:t>
      </w:r>
      <w:r>
        <w:rPr/>
        <w:t>is</w:t>
      </w:r>
      <w:r>
        <w:rPr>
          <w:spacing w:val="-12"/>
        </w:rPr>
        <w:t> </w:t>
      </w:r>
      <w:r>
        <w:rPr/>
        <w:t>set</w:t>
      </w:r>
      <w:r>
        <w:rPr>
          <w:spacing w:val="-12"/>
        </w:rPr>
        <w:t> </w:t>
      </w:r>
      <w:r>
        <w:rPr/>
        <w:t>annually</w:t>
      </w:r>
      <w:r>
        <w:rPr>
          <w:spacing w:val="-12"/>
        </w:rPr>
        <w:t> </w:t>
      </w:r>
      <w:r>
        <w:rPr/>
        <w:t>by</w:t>
      </w:r>
      <w:r>
        <w:rPr>
          <w:spacing w:val="-12"/>
        </w:rPr>
        <w:t> </w:t>
      </w:r>
      <w:r>
        <w:rPr/>
        <w:t>the</w:t>
      </w:r>
      <w:r>
        <w:rPr>
          <w:spacing w:val="-12"/>
        </w:rPr>
        <w:t> </w:t>
      </w:r>
      <w:r>
        <w:rPr/>
        <w:t>IVDP</w:t>
      </w:r>
      <w:r>
        <w:rPr>
          <w:spacing w:val="-12"/>
        </w:rPr>
        <w:t> </w:t>
      </w:r>
      <w:r>
        <w:rPr/>
        <w:t>based</w:t>
      </w:r>
      <w:r>
        <w:rPr>
          <w:spacing w:val="-12"/>
        </w:rPr>
        <w:t> </w:t>
      </w:r>
      <w:r>
        <w:rPr/>
        <w:t>on</w:t>
      </w:r>
      <w:r>
        <w:rPr>
          <w:spacing w:val="-12"/>
        </w:rPr>
        <w:t> </w:t>
      </w:r>
      <w:r>
        <w:rPr/>
        <w:t>market</w:t>
      </w:r>
      <w:r>
        <w:rPr>
          <w:spacing w:val="-12"/>
        </w:rPr>
        <w:t> </w:t>
      </w:r>
      <w:r>
        <w:rPr/>
        <w:t>conditions,</w:t>
      </w:r>
      <w:r>
        <w:rPr>
          <w:spacing w:val="-12"/>
        </w:rPr>
        <w:t> </w:t>
      </w:r>
      <w:r>
        <w:rPr/>
        <w:t>stock</w:t>
      </w:r>
      <w:r>
        <w:rPr>
          <w:spacing w:val="-12"/>
        </w:rPr>
        <w:t> </w:t>
      </w:r>
      <w:r>
        <w:rPr/>
        <w:t>levels,</w:t>
      </w:r>
      <w:r>
        <w:rPr>
          <w:spacing w:val="-12"/>
        </w:rPr>
        <w:t> </w:t>
      </w:r>
      <w:r>
        <w:rPr/>
        <w:t>and</w:t>
      </w:r>
      <w:r>
        <w:rPr>
          <w:spacing w:val="-12"/>
        </w:rPr>
        <w:t> </w:t>
      </w:r>
      <w:r>
        <w:rPr/>
        <w:t>quality assessments,</w:t>
      </w:r>
      <w:r>
        <w:rPr>
          <w:spacing w:val="31"/>
        </w:rPr>
        <w:t> </w:t>
      </w:r>
      <w:r>
        <w:rPr/>
        <w:t>and</w:t>
      </w:r>
      <w:r>
        <w:rPr>
          <w:spacing w:val="27"/>
        </w:rPr>
        <w:t> </w:t>
      </w:r>
      <w:r>
        <w:rPr/>
        <w:t>has</w:t>
      </w:r>
      <w:r>
        <w:rPr>
          <w:spacing w:val="27"/>
        </w:rPr>
        <w:t> </w:t>
      </w:r>
      <w:r>
        <w:rPr/>
        <w:t>varied</w:t>
      </w:r>
      <w:r>
        <w:rPr>
          <w:spacing w:val="27"/>
        </w:rPr>
        <w:t> </w:t>
      </w:r>
      <w:r>
        <w:rPr/>
        <w:t>substantially</w:t>
      </w:r>
      <w:r>
        <w:rPr>
          <w:spacing w:val="27"/>
        </w:rPr>
        <w:t> </w:t>
      </w:r>
      <w:r>
        <w:rPr/>
        <w:t>across</w:t>
      </w:r>
      <w:r>
        <w:rPr>
          <w:spacing w:val="26"/>
        </w:rPr>
        <w:t> </w:t>
      </w:r>
      <w:r>
        <w:rPr/>
        <w:t>decades.</w:t>
      </w:r>
      <w:r>
        <w:rPr>
          <w:spacing w:val="80"/>
        </w:rPr>
        <w:t> </w:t>
      </w:r>
      <w:r>
        <w:rPr/>
        <w:t>Because</w:t>
      </w:r>
      <w:r>
        <w:rPr>
          <w:spacing w:val="27"/>
        </w:rPr>
        <w:t> </w:t>
      </w:r>
      <w:r>
        <w:rPr/>
        <w:t>Port</w:t>
      </w:r>
      <w:r>
        <w:rPr>
          <w:spacing w:val="26"/>
        </w:rPr>
        <w:t> </w:t>
      </w:r>
      <w:r>
        <w:rPr/>
        <w:t>production</w:t>
      </w:r>
      <w:r>
        <w:rPr>
          <w:spacing w:val="27"/>
        </w:rPr>
        <w:t> </w:t>
      </w:r>
      <w:r>
        <w:rPr/>
        <w:t>represents a significant fraction of total Douro output, the benefício quota partially decouples observed production</w:t>
      </w:r>
      <w:r>
        <w:rPr>
          <w:spacing w:val="21"/>
        </w:rPr>
        <w:t> </w:t>
      </w:r>
      <w:r>
        <w:rPr/>
        <w:t>from</w:t>
      </w:r>
      <w:r>
        <w:rPr>
          <w:spacing w:val="22"/>
        </w:rPr>
        <w:t> </w:t>
      </w:r>
      <w:r>
        <w:rPr/>
        <w:t>pure</w:t>
      </w:r>
      <w:r>
        <w:rPr>
          <w:spacing w:val="21"/>
        </w:rPr>
        <w:t> </w:t>
      </w:r>
      <w:r>
        <w:rPr/>
        <w:t>climate</w:t>
      </w:r>
      <w:r>
        <w:rPr>
          <w:spacing w:val="21"/>
        </w:rPr>
        <w:t> </w:t>
      </w:r>
      <w:r>
        <w:rPr/>
        <w:t>effects.</w:t>
      </w:r>
      <w:r>
        <w:rPr>
          <w:spacing w:val="70"/>
        </w:rPr>
        <w:t> </w:t>
      </w:r>
      <w:r>
        <w:rPr/>
        <w:t>In</w:t>
      </w:r>
      <w:r>
        <w:rPr>
          <w:spacing w:val="21"/>
        </w:rPr>
        <w:t> </w:t>
      </w:r>
      <w:r>
        <w:rPr/>
        <w:t>years</w:t>
      </w:r>
      <w:r>
        <w:rPr>
          <w:spacing w:val="21"/>
        </w:rPr>
        <w:t> </w:t>
      </w:r>
      <w:r>
        <w:rPr/>
        <w:t>where</w:t>
      </w:r>
      <w:r>
        <w:rPr>
          <w:spacing w:val="21"/>
        </w:rPr>
        <w:t> </w:t>
      </w:r>
      <w:r>
        <w:rPr/>
        <w:t>Port</w:t>
      </w:r>
      <w:r>
        <w:rPr>
          <w:spacing w:val="22"/>
        </w:rPr>
        <w:t> </w:t>
      </w:r>
      <w:r>
        <w:rPr/>
        <w:t>quota</w:t>
      </w:r>
      <w:r>
        <w:rPr>
          <w:spacing w:val="21"/>
        </w:rPr>
        <w:t> </w:t>
      </w:r>
      <w:r>
        <w:rPr/>
        <w:t>is</w:t>
      </w:r>
      <w:r>
        <w:rPr>
          <w:spacing w:val="21"/>
        </w:rPr>
        <w:t> </w:t>
      </w:r>
      <w:r>
        <w:rPr/>
        <w:t>restricted,</w:t>
      </w:r>
      <w:r>
        <w:rPr>
          <w:spacing w:val="26"/>
        </w:rPr>
        <w:t> </w:t>
      </w:r>
      <w:r>
        <w:rPr/>
        <w:t>total</w:t>
      </w:r>
      <w:r>
        <w:rPr>
          <w:spacing w:val="21"/>
        </w:rPr>
        <w:t> </w:t>
      </w:r>
      <w:r>
        <w:rPr/>
        <w:t>production is administratively capped regardless of how favourable the climate was.</w:t>
      </w:r>
      <w:r>
        <w:rPr>
          <w:spacing w:val="40"/>
        </w:rPr>
        <w:t> </w:t>
      </w:r>
      <w:r>
        <w:rPr/>
        <w:t>This administrative component is not captured by any of the meteorological features in the dataset and represents an unobserved structural covariate.</w:t>
      </w:r>
    </w:p>
    <w:p>
      <w:pPr>
        <w:pStyle w:val="BodyText"/>
        <w:spacing w:line="312" w:lineRule="auto" w:before="35"/>
        <w:ind w:left="701" w:right="990" w:firstLine="346"/>
        <w:jc w:val="both"/>
      </w:pPr>
      <w:r>
        <w:rPr/>
        <w:t>The</w:t>
      </w:r>
      <w:r>
        <w:rPr>
          <w:spacing w:val="-2"/>
        </w:rPr>
        <w:t> </w:t>
      </w:r>
      <w:r>
        <w:rPr/>
        <w:t>second</w:t>
      </w:r>
      <w:r>
        <w:rPr>
          <w:spacing w:val="-2"/>
        </w:rPr>
        <w:t> </w:t>
      </w:r>
      <w:r>
        <w:rPr/>
        <w:t>major</w:t>
      </w:r>
      <w:r>
        <w:rPr>
          <w:spacing w:val="-2"/>
        </w:rPr>
        <w:t> </w:t>
      </w:r>
      <w:r>
        <w:rPr/>
        <w:t>structural</w:t>
      </w:r>
      <w:r>
        <w:rPr>
          <w:spacing w:val="-2"/>
        </w:rPr>
        <w:t> </w:t>
      </w:r>
      <w:r>
        <w:rPr/>
        <w:t>driver</w:t>
      </w:r>
      <w:r>
        <w:rPr>
          <w:spacing w:val="-2"/>
        </w:rPr>
        <w:t> </w:t>
      </w:r>
      <w:r>
        <w:rPr/>
        <w:t>of</w:t>
      </w:r>
      <w:r>
        <w:rPr>
          <w:spacing w:val="-2"/>
        </w:rPr>
        <w:t> </w:t>
      </w:r>
      <w:r>
        <w:rPr/>
        <w:t>RDD</w:t>
      </w:r>
      <w:r>
        <w:rPr>
          <w:spacing w:val="-2"/>
        </w:rPr>
        <w:t> </w:t>
      </w:r>
      <w:r>
        <w:rPr/>
        <w:t>production</w:t>
      </w:r>
      <w:r>
        <w:rPr>
          <w:spacing w:val="-2"/>
        </w:rPr>
        <w:t> </w:t>
      </w:r>
      <w:r>
        <w:rPr/>
        <w:t>growth</w:t>
      </w:r>
      <w:r>
        <w:rPr>
          <w:spacing w:val="-2"/>
        </w:rPr>
        <w:t> </w:t>
      </w:r>
      <w:r>
        <w:rPr/>
        <w:t>was</w:t>
      </w:r>
      <w:r>
        <w:rPr>
          <w:spacing w:val="-2"/>
        </w:rPr>
        <w:t> </w:t>
      </w:r>
      <w:r>
        <w:rPr/>
        <w:t>the</w:t>
      </w:r>
      <w:r>
        <w:rPr>
          <w:spacing w:val="-2"/>
        </w:rPr>
        <w:t> </w:t>
      </w:r>
      <w:r>
        <w:rPr/>
        <w:t>creation</w:t>
      </w:r>
      <w:r>
        <w:rPr>
          <w:spacing w:val="-2"/>
        </w:rPr>
        <w:t> </w:t>
      </w:r>
      <w:r>
        <w:rPr/>
        <w:t>of</w:t>
      </w:r>
      <w:r>
        <w:rPr>
          <w:spacing w:val="-2"/>
        </w:rPr>
        <w:t> </w:t>
      </w:r>
      <w:r>
        <w:rPr/>
        <w:t>the</w:t>
      </w:r>
      <w:r>
        <w:rPr>
          <w:spacing w:val="-2"/>
        </w:rPr>
        <w:t> </w:t>
      </w:r>
      <w:r>
        <w:rPr/>
        <w:t>Douro DOC (Denominação de Origem Controlada, Controlled Designation of Origin) for unfortified table</w:t>
      </w:r>
      <w:r>
        <w:rPr>
          <w:spacing w:val="-6"/>
        </w:rPr>
        <w:t> </w:t>
      </w:r>
      <w:r>
        <w:rPr/>
        <w:t>wines</w:t>
      </w:r>
      <w:r>
        <w:rPr>
          <w:spacing w:val="-6"/>
        </w:rPr>
        <w:t> </w:t>
      </w:r>
      <w:r>
        <w:rPr/>
        <w:t>in</w:t>
      </w:r>
      <w:r>
        <w:rPr>
          <w:spacing w:val="-6"/>
        </w:rPr>
        <w:t> </w:t>
      </w:r>
      <w:r>
        <w:rPr/>
        <w:t>1979. Before</w:t>
      </w:r>
      <w:r>
        <w:rPr>
          <w:spacing w:val="-6"/>
        </w:rPr>
        <w:t> </w:t>
      </w:r>
      <w:r>
        <w:rPr/>
        <w:t>this</w:t>
      </w:r>
      <w:r>
        <w:rPr>
          <w:spacing w:val="-6"/>
        </w:rPr>
        <w:t> </w:t>
      </w:r>
      <w:r>
        <w:rPr/>
        <w:t>designation,</w:t>
      </w:r>
      <w:r>
        <w:rPr>
          <w:spacing w:val="-6"/>
        </w:rPr>
        <w:t> </w:t>
      </w:r>
      <w:r>
        <w:rPr/>
        <w:t>Douro</w:t>
      </w:r>
      <w:r>
        <w:rPr>
          <w:spacing w:val="-6"/>
        </w:rPr>
        <w:t> </w:t>
      </w:r>
      <w:r>
        <w:rPr/>
        <w:t>grapes</w:t>
      </w:r>
      <w:r>
        <w:rPr>
          <w:spacing w:val="-6"/>
        </w:rPr>
        <w:t> </w:t>
      </w:r>
      <w:r>
        <w:rPr/>
        <w:t>were</w:t>
      </w:r>
      <w:r>
        <w:rPr>
          <w:spacing w:val="-6"/>
        </w:rPr>
        <w:t> </w:t>
      </w:r>
      <w:r>
        <w:rPr/>
        <w:t>used</w:t>
      </w:r>
      <w:r>
        <w:rPr>
          <w:spacing w:val="-6"/>
        </w:rPr>
        <w:t> </w:t>
      </w:r>
      <w:r>
        <w:rPr/>
        <w:t>almost</w:t>
      </w:r>
      <w:r>
        <w:rPr>
          <w:spacing w:val="-6"/>
        </w:rPr>
        <w:t> </w:t>
      </w:r>
      <w:r>
        <w:rPr/>
        <w:t>exclusively</w:t>
      </w:r>
      <w:r>
        <w:rPr>
          <w:spacing w:val="-6"/>
        </w:rPr>
        <w:t> </w:t>
      </w:r>
      <w:r>
        <w:rPr/>
        <w:t>for</w:t>
      </w:r>
      <w:r>
        <w:rPr>
          <w:spacing w:val="-6"/>
        </w:rPr>
        <w:t> </w:t>
      </w:r>
      <w:r>
        <w:rPr/>
        <w:t>Port wine. The</w:t>
      </w:r>
      <w:r>
        <w:rPr>
          <w:spacing w:val="-7"/>
        </w:rPr>
        <w:t> </w:t>
      </w:r>
      <w:r>
        <w:rPr/>
        <w:t>Douro</w:t>
      </w:r>
      <w:r>
        <w:rPr>
          <w:spacing w:val="-7"/>
        </w:rPr>
        <w:t> </w:t>
      </w:r>
      <w:r>
        <w:rPr/>
        <w:t>DOC</w:t>
      </w:r>
      <w:r>
        <w:rPr>
          <w:spacing w:val="-7"/>
        </w:rPr>
        <w:t> </w:t>
      </w:r>
      <w:r>
        <w:rPr/>
        <w:t>enabled</w:t>
      </w:r>
      <w:r>
        <w:rPr>
          <w:spacing w:val="-7"/>
        </w:rPr>
        <w:t> </w:t>
      </w:r>
      <w:r>
        <w:rPr/>
        <w:t>Port</w:t>
      </w:r>
      <w:r>
        <w:rPr>
          <w:spacing w:val="-7"/>
        </w:rPr>
        <w:t> </w:t>
      </w:r>
      <w:r>
        <w:rPr/>
        <w:t>wine</w:t>
      </w:r>
      <w:r>
        <w:rPr>
          <w:spacing w:val="-7"/>
        </w:rPr>
        <w:t> </w:t>
      </w:r>
      <w:r>
        <w:rPr/>
        <w:t>houses</w:t>
      </w:r>
      <w:r>
        <w:rPr>
          <w:spacing w:val="-7"/>
        </w:rPr>
        <w:t> </w:t>
      </w:r>
      <w:r>
        <w:rPr/>
        <w:t>and</w:t>
      </w:r>
      <w:r>
        <w:rPr>
          <w:spacing w:val="-7"/>
        </w:rPr>
        <w:t> </w:t>
      </w:r>
      <w:r>
        <w:rPr/>
        <w:t>independent</w:t>
      </w:r>
      <w:r>
        <w:rPr>
          <w:spacing w:val="-7"/>
        </w:rPr>
        <w:t> </w:t>
      </w:r>
      <w:r>
        <w:rPr/>
        <w:t>producers</w:t>
      </w:r>
      <w:r>
        <w:rPr>
          <w:spacing w:val="-7"/>
        </w:rPr>
        <w:t> </w:t>
      </w:r>
      <w:r>
        <w:rPr/>
        <w:t>to</w:t>
      </w:r>
      <w:r>
        <w:rPr>
          <w:spacing w:val="-7"/>
        </w:rPr>
        <w:t> </w:t>
      </w:r>
      <w:r>
        <w:rPr/>
        <w:t>bottle</w:t>
      </w:r>
      <w:r>
        <w:rPr>
          <w:spacing w:val="-7"/>
        </w:rPr>
        <w:t> </w:t>
      </w:r>
      <w:r>
        <w:rPr/>
        <w:t>and</w:t>
      </w:r>
      <w:r>
        <w:rPr>
          <w:spacing w:val="-7"/>
        </w:rPr>
        <w:t> </w:t>
      </w:r>
      <w:r>
        <w:rPr/>
        <w:t>market premium dry red and white table wines from the region, opening new market channels.</w:t>
      </w:r>
      <w:r>
        <w:rPr>
          <w:spacing w:val="40"/>
        </w:rPr>
        <w:t> </w:t>
      </w:r>
      <w:r>
        <w:rPr/>
        <w:t>From</w:t>
      </w:r>
      <w:r>
        <w:rPr>
          <w:spacing w:val="40"/>
        </w:rPr>
        <w:t> </w:t>
      </w:r>
      <w:r>
        <w:rPr/>
        <w:t>the 1980s onward, Douro table wine production grew rapidly alongside Port, contributing to the </w:t>
      </w:r>
      <w:r>
        <w:rPr>
          <w:spacing w:val="-2"/>
        </w:rPr>
        <w:t>gradual</w:t>
      </w:r>
      <w:r>
        <w:rPr>
          <w:spacing w:val="-5"/>
        </w:rPr>
        <w:t> </w:t>
      </w:r>
      <w:r>
        <w:rPr>
          <w:spacing w:val="-2"/>
        </w:rPr>
        <w:t>increase</w:t>
      </w:r>
      <w:r>
        <w:rPr>
          <w:spacing w:val="-5"/>
        </w:rPr>
        <w:t> </w:t>
      </w:r>
      <w:r>
        <w:rPr>
          <w:spacing w:val="-2"/>
        </w:rPr>
        <w:t>in</w:t>
      </w:r>
      <w:r>
        <w:rPr>
          <w:spacing w:val="-5"/>
        </w:rPr>
        <w:t> </w:t>
      </w:r>
      <w:r>
        <w:rPr>
          <w:spacing w:val="-2"/>
        </w:rPr>
        <w:t>total</w:t>
      </w:r>
      <w:r>
        <w:rPr>
          <w:spacing w:val="-5"/>
        </w:rPr>
        <w:t> </w:t>
      </w:r>
      <w:r>
        <w:rPr>
          <w:spacing w:val="-2"/>
        </w:rPr>
        <w:t>regional</w:t>
      </w:r>
      <w:r>
        <w:rPr>
          <w:spacing w:val="-5"/>
        </w:rPr>
        <w:t> </w:t>
      </w:r>
      <w:r>
        <w:rPr>
          <w:spacing w:val="-2"/>
        </w:rPr>
        <w:t>production</w:t>
      </w:r>
      <w:r>
        <w:rPr>
          <w:spacing w:val="-5"/>
        </w:rPr>
        <w:t> </w:t>
      </w:r>
      <w:r>
        <w:rPr>
          <w:spacing w:val="-2"/>
        </w:rPr>
        <w:t>documented</w:t>
      </w:r>
      <w:r>
        <w:rPr>
          <w:spacing w:val="-5"/>
        </w:rPr>
        <w:t> </w:t>
      </w:r>
      <w:r>
        <w:rPr>
          <w:spacing w:val="-2"/>
        </w:rPr>
        <w:t>in</w:t>
      </w:r>
      <w:r>
        <w:rPr>
          <w:spacing w:val="-5"/>
        </w:rPr>
        <w:t> </w:t>
      </w:r>
      <w:r>
        <w:rPr>
          <w:spacing w:val="-2"/>
        </w:rPr>
        <w:t>Appendix</w:t>
      </w:r>
      <w:r>
        <w:rPr>
          <w:spacing w:val="-5"/>
        </w:rPr>
        <w:t> </w:t>
      </w:r>
      <w:hyperlink w:history="true" w:anchor="_bookmark163">
        <w:r>
          <w:rPr>
            <w:color w:val="8B2C18"/>
            <w:spacing w:val="-2"/>
          </w:rPr>
          <w:t>B</w:t>
        </w:r>
      </w:hyperlink>
      <w:r>
        <w:rPr>
          <w:spacing w:val="-2"/>
        </w:rPr>
        <w:t>.</w:t>
      </w:r>
      <w:r>
        <w:rPr>
          <w:spacing w:val="-5"/>
        </w:rPr>
        <w:t> </w:t>
      </w:r>
      <w:r>
        <w:rPr>
          <w:spacing w:val="-2"/>
        </w:rPr>
        <w:t>This</w:t>
      </w:r>
      <w:r>
        <w:rPr>
          <w:spacing w:val="-5"/>
        </w:rPr>
        <w:t> </w:t>
      </w:r>
      <w:r>
        <w:rPr>
          <w:spacing w:val="-2"/>
        </w:rPr>
        <w:t>structural</w:t>
      </w:r>
      <w:r>
        <w:rPr>
          <w:spacing w:val="-5"/>
        </w:rPr>
        <w:t> </w:t>
      </w:r>
      <w:r>
        <w:rPr>
          <w:spacing w:val="-2"/>
        </w:rPr>
        <w:t>expansion </w:t>
      </w:r>
      <w:r>
        <w:rPr/>
        <w:t>is</w:t>
      </w:r>
      <w:r>
        <w:rPr>
          <w:spacing w:val="-10"/>
        </w:rPr>
        <w:t> </w:t>
      </w:r>
      <w:r>
        <w:rPr/>
        <w:t>largely</w:t>
      </w:r>
      <w:r>
        <w:rPr>
          <w:spacing w:val="-10"/>
        </w:rPr>
        <w:t> </w:t>
      </w:r>
      <w:r>
        <w:rPr/>
        <w:t>responsible</w:t>
      </w:r>
      <w:r>
        <w:rPr>
          <w:spacing w:val="-11"/>
        </w:rPr>
        <w:t> </w:t>
      </w:r>
      <w:r>
        <w:rPr/>
        <w:t>for</w:t>
      </w:r>
      <w:r>
        <w:rPr>
          <w:spacing w:val="-10"/>
        </w:rPr>
        <w:t> </w:t>
      </w:r>
      <w:r>
        <w:rPr/>
        <w:t>the</w:t>
      </w:r>
      <w:r>
        <w:rPr>
          <w:spacing w:val="-10"/>
        </w:rPr>
        <w:t> </w:t>
      </w:r>
      <w:r>
        <w:rPr/>
        <w:t>upward</w:t>
      </w:r>
      <w:r>
        <w:rPr>
          <w:spacing w:val="-11"/>
        </w:rPr>
        <w:t> </w:t>
      </w:r>
      <w:r>
        <w:rPr/>
        <w:t>trend</w:t>
      </w:r>
      <w:r>
        <w:rPr>
          <w:spacing w:val="-10"/>
        </w:rPr>
        <w:t> </w:t>
      </w:r>
      <w:r>
        <w:rPr/>
        <w:t>in</w:t>
      </w:r>
      <w:r>
        <w:rPr>
          <w:spacing w:val="-10"/>
        </w:rPr>
        <w:t> </w:t>
      </w:r>
      <w:r>
        <w:rPr/>
        <w:t>the</w:t>
      </w:r>
      <w:r>
        <w:rPr>
          <w:spacing w:val="-11"/>
        </w:rPr>
        <w:t> </w:t>
      </w:r>
      <w:r>
        <w:rPr/>
        <w:t>RDD</w:t>
      </w:r>
      <w:r>
        <w:rPr>
          <w:spacing w:val="-10"/>
        </w:rPr>
        <w:t> </w:t>
      </w:r>
      <w:r>
        <w:rPr/>
        <w:t>production</w:t>
      </w:r>
      <w:r>
        <w:rPr>
          <w:spacing w:val="-10"/>
        </w:rPr>
        <w:t> </w:t>
      </w:r>
      <w:r>
        <w:rPr/>
        <w:t>series</w:t>
      </w:r>
      <w:r>
        <w:rPr>
          <w:spacing w:val="-11"/>
        </w:rPr>
        <w:t> </w:t>
      </w:r>
      <w:r>
        <w:rPr/>
        <w:t>and</w:t>
      </w:r>
      <w:r>
        <w:rPr>
          <w:spacing w:val="-10"/>
        </w:rPr>
        <w:t> </w:t>
      </w:r>
      <w:r>
        <w:rPr/>
        <w:t>is</w:t>
      </w:r>
      <w:r>
        <w:rPr>
          <w:spacing w:val="-10"/>
        </w:rPr>
        <w:t> </w:t>
      </w:r>
      <w:r>
        <w:rPr/>
        <w:t>the</w:t>
      </w:r>
      <w:r>
        <w:rPr>
          <w:spacing w:val="-11"/>
        </w:rPr>
        <w:t> </w:t>
      </w:r>
      <w:r>
        <w:rPr/>
        <w:t>primary</w:t>
      </w:r>
      <w:r>
        <w:rPr>
          <w:spacing w:val="-10"/>
        </w:rPr>
        <w:t> </w:t>
      </w:r>
      <w:r>
        <w:rPr/>
        <w:t>reason the RDD time series is less confounded by non-climate structural changes than the RVV series.</w:t>
      </w:r>
    </w:p>
    <w:p>
      <w:pPr>
        <w:pStyle w:val="BodyText"/>
        <w:spacing w:after="0" w:line="312" w:lineRule="auto"/>
        <w:jc w:val="both"/>
        <w:sectPr>
          <w:headerReference w:type="default" r:id="rId36"/>
          <w:headerReference w:type="even" r:id="rId37"/>
          <w:pgSz w:w="11910" w:h="16840"/>
          <w:pgMar w:header="1160" w:footer="0" w:top="1420" w:bottom="280" w:left="1275" w:right="425"/>
          <w:pgNumType w:start="11"/>
        </w:sectPr>
      </w:pPr>
    </w:p>
    <w:p>
      <w:pPr>
        <w:pStyle w:val="BodyText"/>
        <w:spacing w:before="237"/>
        <w:rPr>
          <w:sz w:val="24"/>
        </w:rPr>
      </w:pPr>
    </w:p>
    <w:p>
      <w:pPr>
        <w:pStyle w:val="Heading3"/>
        <w:numPr>
          <w:ilvl w:val="2"/>
          <w:numId w:val="16"/>
        </w:numPr>
        <w:tabs>
          <w:tab w:pos="859" w:val="left" w:leader="none"/>
        </w:tabs>
        <w:spacing w:line="240" w:lineRule="auto" w:before="0" w:after="0"/>
        <w:ind w:left="859" w:right="0" w:hanging="717"/>
        <w:jc w:val="left"/>
      </w:pPr>
      <w:bookmarkStart w:name="2.8.2 Vinho Verde Region: EU Policy and " w:id="50"/>
      <w:bookmarkEnd w:id="50"/>
      <w:r>
        <w:rPr>
          <w:b w:val="0"/>
        </w:rPr>
      </w:r>
      <w:bookmarkStart w:name="_bookmark23" w:id="51"/>
      <w:bookmarkEnd w:id="51"/>
      <w:r>
        <w:rPr>
          <w:b w:val="0"/>
        </w:rPr>
      </w:r>
      <w:r>
        <w:rPr/>
        <w:t>Vinho</w:t>
      </w:r>
      <w:r>
        <w:rPr>
          <w:spacing w:val="-13"/>
        </w:rPr>
        <w:t> </w:t>
      </w:r>
      <w:r>
        <w:rPr/>
        <w:t>Verde</w:t>
      </w:r>
      <w:r>
        <w:rPr>
          <w:spacing w:val="-12"/>
        </w:rPr>
        <w:t> </w:t>
      </w:r>
      <w:r>
        <w:rPr/>
        <w:t>Region:</w:t>
      </w:r>
      <w:r>
        <w:rPr>
          <w:spacing w:val="-1"/>
        </w:rPr>
        <w:t> </w:t>
      </w:r>
      <w:r>
        <w:rPr/>
        <w:t>EU</w:t>
      </w:r>
      <w:r>
        <w:rPr>
          <w:spacing w:val="-12"/>
        </w:rPr>
        <w:t> </w:t>
      </w:r>
      <w:r>
        <w:rPr/>
        <w:t>Policy</w:t>
      </w:r>
      <w:r>
        <w:rPr>
          <w:spacing w:val="-12"/>
        </w:rPr>
        <w:t> </w:t>
      </w:r>
      <w:r>
        <w:rPr/>
        <w:t>and</w:t>
      </w:r>
      <w:r>
        <w:rPr>
          <w:spacing w:val="-13"/>
        </w:rPr>
        <w:t> </w:t>
      </w:r>
      <w:r>
        <w:rPr/>
        <w:t>Structural</w:t>
      </w:r>
      <w:r>
        <w:rPr>
          <w:spacing w:val="-12"/>
        </w:rPr>
        <w:t> </w:t>
      </w:r>
      <w:r>
        <w:rPr>
          <w:spacing w:val="-2"/>
        </w:rPr>
        <w:t>Transformation</w:t>
      </w:r>
    </w:p>
    <w:p>
      <w:pPr>
        <w:pStyle w:val="BodyText"/>
        <w:spacing w:before="157"/>
        <w:rPr>
          <w:b/>
          <w:sz w:val="24"/>
        </w:rPr>
      </w:pPr>
    </w:p>
    <w:p>
      <w:pPr>
        <w:pStyle w:val="BodyText"/>
        <w:spacing w:line="312" w:lineRule="auto"/>
        <w:ind w:left="142" w:right="1549" w:hanging="7"/>
        <w:jc w:val="both"/>
      </w:pPr>
      <w:r>
        <w:rPr/>
        <w:t>The Vinho Verde region’s dramatic production decline from the 1960s to around 800 mhl </w:t>
      </w:r>
      <w:r>
        <w:rPr/>
        <w:t>by</w:t>
      </w:r>
      <w:r>
        <w:rPr>
          <w:spacing w:val="80"/>
        </w:rPr>
        <w:t> </w:t>
      </w:r>
      <w:r>
        <w:rPr/>
        <w:t>the 2010s is one of the most striking structural transformations in Portuguese viticulture. Three interacting</w:t>
      </w:r>
      <w:r>
        <w:rPr>
          <w:spacing w:val="-6"/>
        </w:rPr>
        <w:t> </w:t>
      </w:r>
      <w:r>
        <w:rPr/>
        <w:t>factors</w:t>
      </w:r>
      <w:r>
        <w:rPr>
          <w:spacing w:val="-6"/>
        </w:rPr>
        <w:t> </w:t>
      </w:r>
      <w:r>
        <w:rPr/>
        <w:t>explain</w:t>
      </w:r>
      <w:r>
        <w:rPr>
          <w:spacing w:val="-6"/>
        </w:rPr>
        <w:t> </w:t>
      </w:r>
      <w:r>
        <w:rPr/>
        <w:t>the</w:t>
      </w:r>
      <w:r>
        <w:rPr>
          <w:spacing w:val="-6"/>
        </w:rPr>
        <w:t> </w:t>
      </w:r>
      <w:r>
        <w:rPr/>
        <w:t>collapse</w:t>
      </w:r>
      <w:r>
        <w:rPr>
          <w:spacing w:val="-6"/>
        </w:rPr>
        <w:t> </w:t>
      </w:r>
      <w:r>
        <w:rPr/>
        <w:t>from</w:t>
      </w:r>
      <w:r>
        <w:rPr>
          <w:spacing w:val="-6"/>
        </w:rPr>
        <w:t> </w:t>
      </w:r>
      <w:r>
        <w:rPr/>
        <w:t>approximately</w:t>
      </w:r>
      <w:r>
        <w:rPr>
          <w:spacing w:val="-6"/>
        </w:rPr>
        <w:t> </w:t>
      </w:r>
      <w:r>
        <w:rPr/>
        <w:t>2,300</w:t>
      </w:r>
      <w:r>
        <w:rPr>
          <w:spacing w:val="-6"/>
        </w:rPr>
        <w:t> </w:t>
      </w:r>
      <w:r>
        <w:rPr/>
        <w:t>mhl</w:t>
      </w:r>
      <w:r>
        <w:rPr>
          <w:spacing w:val="-6"/>
        </w:rPr>
        <w:t> </w:t>
      </w:r>
      <w:r>
        <w:rPr/>
        <w:t>in</w:t>
      </w:r>
      <w:r>
        <w:rPr>
          <w:spacing w:val="-6"/>
        </w:rPr>
        <w:t> </w:t>
      </w:r>
      <w:r>
        <w:rPr/>
        <w:t>the</w:t>
      </w:r>
      <w:r>
        <w:rPr>
          <w:spacing w:val="-6"/>
        </w:rPr>
        <w:t> </w:t>
      </w:r>
      <w:r>
        <w:rPr/>
        <w:t>1960s</w:t>
      </w:r>
      <w:r>
        <w:rPr>
          <w:spacing w:val="-6"/>
        </w:rPr>
        <w:t> </w:t>
      </w:r>
      <w:r>
        <w:rPr/>
        <w:t>to</w:t>
      </w:r>
      <w:r>
        <w:rPr>
          <w:spacing w:val="-6"/>
        </w:rPr>
        <w:t> </w:t>
      </w:r>
      <w:r>
        <w:rPr/>
        <w:t>around</w:t>
      </w:r>
      <w:r>
        <w:rPr>
          <w:spacing w:val="-6"/>
        </w:rPr>
        <w:t> </w:t>
      </w:r>
      <w:r>
        <w:rPr/>
        <w:t>800 mhl today.</w:t>
      </w:r>
    </w:p>
    <w:p>
      <w:pPr>
        <w:pStyle w:val="BodyText"/>
        <w:spacing w:line="312" w:lineRule="auto" w:before="108"/>
        <w:ind w:left="125" w:right="1519" w:firstLine="355"/>
        <w:jc w:val="both"/>
      </w:pPr>
      <w:r>
        <w:rPr/>
        <w:t>Portugal’s</w:t>
      </w:r>
      <w:r>
        <w:rPr>
          <w:spacing w:val="-14"/>
        </w:rPr>
        <w:t> </w:t>
      </w:r>
      <w:r>
        <w:rPr/>
        <w:t>accession</w:t>
      </w:r>
      <w:r>
        <w:rPr>
          <w:spacing w:val="-14"/>
        </w:rPr>
        <w:t> </w:t>
      </w:r>
      <w:r>
        <w:rPr/>
        <w:t>to</w:t>
      </w:r>
      <w:r>
        <w:rPr>
          <w:spacing w:val="-14"/>
        </w:rPr>
        <w:t> </w:t>
      </w:r>
      <w:r>
        <w:rPr/>
        <w:t>the</w:t>
      </w:r>
      <w:r>
        <w:rPr>
          <w:spacing w:val="-13"/>
        </w:rPr>
        <w:t> </w:t>
      </w:r>
      <w:r>
        <w:rPr/>
        <w:t>European</w:t>
      </w:r>
      <w:r>
        <w:rPr>
          <w:spacing w:val="-14"/>
        </w:rPr>
        <w:t> </w:t>
      </w:r>
      <w:r>
        <w:rPr/>
        <w:t>Economic</w:t>
      </w:r>
      <w:r>
        <w:rPr>
          <w:spacing w:val="-14"/>
        </w:rPr>
        <w:t> </w:t>
      </w:r>
      <w:r>
        <w:rPr/>
        <w:t>Community</w:t>
      </w:r>
      <w:r>
        <w:rPr>
          <w:spacing w:val="-14"/>
        </w:rPr>
        <w:t> </w:t>
      </w:r>
      <w:r>
        <w:rPr/>
        <w:t>(now</w:t>
      </w:r>
      <w:r>
        <w:rPr>
          <w:spacing w:val="-13"/>
        </w:rPr>
        <w:t> </w:t>
      </w:r>
      <w:r>
        <w:rPr/>
        <w:t>European</w:t>
      </w:r>
      <w:r>
        <w:rPr>
          <w:spacing w:val="-14"/>
        </w:rPr>
        <w:t> </w:t>
      </w:r>
      <w:r>
        <w:rPr/>
        <w:t>Union)</w:t>
      </w:r>
      <w:r>
        <w:rPr>
          <w:spacing w:val="-14"/>
        </w:rPr>
        <w:t> </w:t>
      </w:r>
      <w:r>
        <w:rPr/>
        <w:t>in</w:t>
      </w:r>
      <w:r>
        <w:rPr>
          <w:spacing w:val="-14"/>
        </w:rPr>
        <w:t> </w:t>
      </w:r>
      <w:r>
        <w:rPr/>
        <w:t>January </w:t>
      </w:r>
      <w:r>
        <w:rPr>
          <w:spacing w:val="-4"/>
        </w:rPr>
        <w:t>1986</w:t>
      </w:r>
      <w:r>
        <w:rPr>
          <w:spacing w:val="-8"/>
        </w:rPr>
        <w:t> </w:t>
      </w:r>
      <w:r>
        <w:rPr>
          <w:spacing w:val="-4"/>
        </w:rPr>
        <w:t>triggered</w:t>
      </w:r>
      <w:r>
        <w:rPr>
          <w:spacing w:val="-8"/>
        </w:rPr>
        <w:t> </w:t>
      </w:r>
      <w:r>
        <w:rPr>
          <w:spacing w:val="-4"/>
        </w:rPr>
        <w:t>a</w:t>
      </w:r>
      <w:r>
        <w:rPr>
          <w:spacing w:val="-8"/>
        </w:rPr>
        <w:t> </w:t>
      </w:r>
      <w:r>
        <w:rPr>
          <w:spacing w:val="-4"/>
        </w:rPr>
        <w:t>sequence</w:t>
      </w:r>
      <w:r>
        <w:rPr>
          <w:spacing w:val="-8"/>
        </w:rPr>
        <w:t> </w:t>
      </w:r>
      <w:r>
        <w:rPr>
          <w:spacing w:val="-4"/>
        </w:rPr>
        <w:t>of</w:t>
      </w:r>
      <w:r>
        <w:rPr>
          <w:spacing w:val="-8"/>
        </w:rPr>
        <w:t> </w:t>
      </w:r>
      <w:r>
        <w:rPr>
          <w:spacing w:val="-4"/>
        </w:rPr>
        <w:t>structural</w:t>
      </w:r>
      <w:r>
        <w:rPr>
          <w:spacing w:val="-8"/>
        </w:rPr>
        <w:t> </w:t>
      </w:r>
      <w:r>
        <w:rPr>
          <w:spacing w:val="-4"/>
        </w:rPr>
        <w:t>adjustments</w:t>
      </w:r>
      <w:r>
        <w:rPr>
          <w:spacing w:val="-8"/>
        </w:rPr>
        <w:t> </w:t>
      </w:r>
      <w:r>
        <w:rPr>
          <w:spacing w:val="-4"/>
        </w:rPr>
        <w:t>that</w:t>
      </w:r>
      <w:r>
        <w:rPr>
          <w:spacing w:val="-8"/>
        </w:rPr>
        <w:t> </w:t>
      </w:r>
      <w:r>
        <w:rPr>
          <w:spacing w:val="-4"/>
        </w:rPr>
        <w:t>profoundly</w:t>
      </w:r>
      <w:r>
        <w:rPr>
          <w:spacing w:val="-8"/>
        </w:rPr>
        <w:t> </w:t>
      </w:r>
      <w:r>
        <w:rPr>
          <w:spacing w:val="-4"/>
        </w:rPr>
        <w:t>reshaped</w:t>
      </w:r>
      <w:r>
        <w:rPr>
          <w:spacing w:val="-8"/>
        </w:rPr>
        <w:t> </w:t>
      </w:r>
      <w:r>
        <w:rPr>
          <w:spacing w:val="-4"/>
        </w:rPr>
        <w:t>the</w:t>
      </w:r>
      <w:r>
        <w:rPr>
          <w:spacing w:val="-8"/>
        </w:rPr>
        <w:t> </w:t>
      </w:r>
      <w:r>
        <w:rPr>
          <w:spacing w:val="-4"/>
        </w:rPr>
        <w:t>RVV.</w:t>
      </w:r>
      <w:r>
        <w:rPr>
          <w:spacing w:val="-8"/>
        </w:rPr>
        <w:t> </w:t>
      </w:r>
      <w:r>
        <w:rPr>
          <w:spacing w:val="-4"/>
        </w:rPr>
        <w:t>The</w:t>
      </w:r>
      <w:r>
        <w:rPr>
          <w:spacing w:val="-8"/>
        </w:rPr>
        <w:t> </w:t>
      </w:r>
      <w:r>
        <w:rPr>
          <w:spacing w:val="-4"/>
        </w:rPr>
        <w:t>Common </w:t>
      </w:r>
      <w:r>
        <w:rPr>
          <w:spacing w:val="-2"/>
        </w:rPr>
        <w:t>Agricultural</w:t>
      </w:r>
      <w:r>
        <w:rPr>
          <w:spacing w:val="-12"/>
        </w:rPr>
        <w:t> </w:t>
      </w:r>
      <w:r>
        <w:rPr>
          <w:spacing w:val="-2"/>
        </w:rPr>
        <w:t>Policy</w:t>
      </w:r>
      <w:r>
        <w:rPr>
          <w:spacing w:val="-12"/>
        </w:rPr>
        <w:t> </w:t>
      </w:r>
      <w:r>
        <w:rPr>
          <w:spacing w:val="-2"/>
        </w:rPr>
        <w:t>(CAP)</w:t>
      </w:r>
      <w:r>
        <w:rPr>
          <w:spacing w:val="-12"/>
        </w:rPr>
        <w:t> </w:t>
      </w:r>
      <w:r>
        <w:rPr>
          <w:spacing w:val="-2"/>
        </w:rPr>
        <w:t>introduced</w:t>
      </w:r>
      <w:r>
        <w:rPr>
          <w:spacing w:val="-11"/>
        </w:rPr>
        <w:t> </w:t>
      </w:r>
      <w:r>
        <w:rPr>
          <w:spacing w:val="-2"/>
        </w:rPr>
        <w:t>grubbing-up</w:t>
      </w:r>
      <w:r>
        <w:rPr>
          <w:spacing w:val="-12"/>
        </w:rPr>
        <w:t> </w:t>
      </w:r>
      <w:r>
        <w:rPr>
          <w:spacing w:val="-2"/>
        </w:rPr>
        <w:t>subsidies,</w:t>
      </w:r>
      <w:r>
        <w:rPr>
          <w:spacing w:val="-12"/>
        </w:rPr>
        <w:t> </w:t>
      </w:r>
      <w:r>
        <w:rPr>
          <w:spacing w:val="-2"/>
        </w:rPr>
        <w:t>payments</w:t>
      </w:r>
      <w:r>
        <w:rPr>
          <w:spacing w:val="-12"/>
        </w:rPr>
        <w:t> </w:t>
      </w:r>
      <w:r>
        <w:rPr>
          <w:spacing w:val="-2"/>
        </w:rPr>
        <w:t>to</w:t>
      </w:r>
      <w:r>
        <w:rPr>
          <w:spacing w:val="-11"/>
        </w:rPr>
        <w:t> </w:t>
      </w:r>
      <w:r>
        <w:rPr>
          <w:spacing w:val="-2"/>
        </w:rPr>
        <w:t>farmers</w:t>
      </w:r>
      <w:r>
        <w:rPr>
          <w:spacing w:val="-12"/>
        </w:rPr>
        <w:t> </w:t>
      </w:r>
      <w:r>
        <w:rPr>
          <w:spacing w:val="-2"/>
        </w:rPr>
        <w:t>who</w:t>
      </w:r>
      <w:r>
        <w:rPr>
          <w:spacing w:val="-12"/>
        </w:rPr>
        <w:t> </w:t>
      </w:r>
      <w:r>
        <w:rPr>
          <w:spacing w:val="-2"/>
        </w:rPr>
        <w:t>permanently </w:t>
      </w:r>
      <w:r>
        <w:rPr/>
        <w:t>removed vineyard plantings, as part of an effort to reduce wine surpluses across member states. The</w:t>
      </w:r>
      <w:r>
        <w:rPr>
          <w:spacing w:val="-7"/>
        </w:rPr>
        <w:t> </w:t>
      </w:r>
      <w:r>
        <w:rPr/>
        <w:t>Vinho</w:t>
      </w:r>
      <w:r>
        <w:rPr>
          <w:spacing w:val="-7"/>
        </w:rPr>
        <w:t> </w:t>
      </w:r>
      <w:r>
        <w:rPr/>
        <w:t>Verde</w:t>
      </w:r>
      <w:r>
        <w:rPr>
          <w:spacing w:val="-7"/>
        </w:rPr>
        <w:t> </w:t>
      </w:r>
      <w:r>
        <w:rPr/>
        <w:t>region,</w:t>
      </w:r>
      <w:r>
        <w:rPr>
          <w:spacing w:val="-7"/>
        </w:rPr>
        <w:t> </w:t>
      </w:r>
      <w:r>
        <w:rPr/>
        <w:t>dominated</w:t>
      </w:r>
      <w:r>
        <w:rPr>
          <w:spacing w:val="-7"/>
        </w:rPr>
        <w:t> </w:t>
      </w:r>
      <w:r>
        <w:rPr/>
        <w:t>by</w:t>
      </w:r>
      <w:r>
        <w:rPr>
          <w:spacing w:val="-7"/>
        </w:rPr>
        <w:t> </w:t>
      </w:r>
      <w:r>
        <w:rPr/>
        <w:t>small</w:t>
      </w:r>
      <w:r>
        <w:rPr>
          <w:spacing w:val="-7"/>
        </w:rPr>
        <w:t> </w:t>
      </w:r>
      <w:r>
        <w:rPr/>
        <w:t>family-operated</w:t>
      </w:r>
      <w:r>
        <w:rPr>
          <w:spacing w:val="-7"/>
        </w:rPr>
        <w:t> </w:t>
      </w:r>
      <w:r>
        <w:rPr/>
        <w:t>plots</w:t>
      </w:r>
      <w:r>
        <w:rPr>
          <w:spacing w:val="-7"/>
        </w:rPr>
        <w:t> </w:t>
      </w:r>
      <w:r>
        <w:rPr/>
        <w:t>producing</w:t>
      </w:r>
      <w:r>
        <w:rPr>
          <w:spacing w:val="-7"/>
        </w:rPr>
        <w:t> </w:t>
      </w:r>
      <w:r>
        <w:rPr/>
        <w:t>bulk</w:t>
      </w:r>
      <w:r>
        <w:rPr>
          <w:spacing w:val="-7"/>
        </w:rPr>
        <w:t> </w:t>
      </w:r>
      <w:r>
        <w:rPr/>
        <w:t>wine</w:t>
      </w:r>
      <w:r>
        <w:rPr>
          <w:spacing w:val="-7"/>
        </w:rPr>
        <w:t> </w:t>
      </w:r>
      <w:r>
        <w:rPr/>
        <w:t>for</w:t>
      </w:r>
      <w:r>
        <w:rPr>
          <w:spacing w:val="-7"/>
        </w:rPr>
        <w:t> </w:t>
      </w:r>
      <w:r>
        <w:rPr/>
        <w:t>local and low-value export markets, was particularly exposed to these incentives. Thousands of small producers</w:t>
      </w:r>
      <w:r>
        <w:rPr>
          <w:spacing w:val="-8"/>
        </w:rPr>
        <w:t> </w:t>
      </w:r>
      <w:r>
        <w:rPr/>
        <w:t>received</w:t>
      </w:r>
      <w:r>
        <w:rPr>
          <w:spacing w:val="-8"/>
        </w:rPr>
        <w:t> </w:t>
      </w:r>
      <w:r>
        <w:rPr/>
        <w:t>grubbing-up</w:t>
      </w:r>
      <w:r>
        <w:rPr>
          <w:spacing w:val="-8"/>
        </w:rPr>
        <w:t> </w:t>
      </w:r>
      <w:r>
        <w:rPr/>
        <w:t>payments</w:t>
      </w:r>
      <w:r>
        <w:rPr>
          <w:spacing w:val="-8"/>
        </w:rPr>
        <w:t> </w:t>
      </w:r>
      <w:r>
        <w:rPr/>
        <w:t>and</w:t>
      </w:r>
      <w:r>
        <w:rPr>
          <w:spacing w:val="-8"/>
        </w:rPr>
        <w:t> </w:t>
      </w:r>
      <w:r>
        <w:rPr/>
        <w:t>removed</w:t>
      </w:r>
      <w:r>
        <w:rPr>
          <w:spacing w:val="-8"/>
        </w:rPr>
        <w:t> </w:t>
      </w:r>
      <w:r>
        <w:rPr/>
        <w:t>vineyards</w:t>
      </w:r>
      <w:r>
        <w:rPr>
          <w:spacing w:val="-8"/>
        </w:rPr>
        <w:t> </w:t>
      </w:r>
      <w:r>
        <w:rPr/>
        <w:t>that</w:t>
      </w:r>
      <w:r>
        <w:rPr>
          <w:spacing w:val="-8"/>
        </w:rPr>
        <w:t> </w:t>
      </w:r>
      <w:r>
        <w:rPr/>
        <w:t>were</w:t>
      </w:r>
      <w:r>
        <w:rPr>
          <w:spacing w:val="-8"/>
        </w:rPr>
        <w:t> </w:t>
      </w:r>
      <w:r>
        <w:rPr/>
        <w:t>marginally</w:t>
      </w:r>
      <w:r>
        <w:rPr>
          <w:spacing w:val="-8"/>
        </w:rPr>
        <w:t> </w:t>
      </w:r>
      <w:r>
        <w:rPr/>
        <w:t>profitable or required high labour input, accelerating a process of plot abandonment that had already begun with rural exodus in the 1960s and 1970s.</w:t>
      </w:r>
    </w:p>
    <w:p>
      <w:pPr>
        <w:pStyle w:val="BodyText"/>
        <w:spacing w:line="312" w:lineRule="auto" w:before="106"/>
        <w:ind w:left="142" w:right="1557" w:firstLine="338"/>
        <w:jc w:val="both"/>
      </w:pPr>
      <w:r>
        <w:rPr/>
        <w:t>The EU quality standards introduced post-accession also penalised the traditional high-</w:t>
      </w:r>
      <w:r>
        <w:rPr/>
        <w:t>yield </w:t>
      </w:r>
      <w:r>
        <w:rPr>
          <w:spacing w:val="-2"/>
        </w:rPr>
        <w:t>pergola</w:t>
      </w:r>
      <w:r>
        <w:rPr>
          <w:spacing w:val="-12"/>
        </w:rPr>
        <w:t> </w:t>
      </w:r>
      <w:r>
        <w:rPr>
          <w:spacing w:val="-2"/>
        </w:rPr>
        <w:t>(ramada)</w:t>
      </w:r>
      <w:r>
        <w:rPr>
          <w:spacing w:val="-12"/>
        </w:rPr>
        <w:t> </w:t>
      </w:r>
      <w:r>
        <w:rPr>
          <w:spacing w:val="-2"/>
        </w:rPr>
        <w:t>training</w:t>
      </w:r>
      <w:r>
        <w:rPr>
          <w:spacing w:val="-12"/>
        </w:rPr>
        <w:t> </w:t>
      </w:r>
      <w:r>
        <w:rPr>
          <w:spacing w:val="-2"/>
        </w:rPr>
        <w:t>system</w:t>
      </w:r>
      <w:r>
        <w:rPr>
          <w:spacing w:val="-11"/>
        </w:rPr>
        <w:t> </w:t>
      </w:r>
      <w:r>
        <w:rPr>
          <w:spacing w:val="-2"/>
        </w:rPr>
        <w:t>used</w:t>
      </w:r>
      <w:r>
        <w:rPr>
          <w:spacing w:val="-12"/>
        </w:rPr>
        <w:t> </w:t>
      </w:r>
      <w:r>
        <w:rPr>
          <w:spacing w:val="-2"/>
        </w:rPr>
        <w:t>across</w:t>
      </w:r>
      <w:r>
        <w:rPr>
          <w:spacing w:val="-12"/>
        </w:rPr>
        <w:t> </w:t>
      </w:r>
      <w:r>
        <w:rPr>
          <w:spacing w:val="-2"/>
        </w:rPr>
        <w:t>the</w:t>
      </w:r>
      <w:r>
        <w:rPr>
          <w:spacing w:val="-12"/>
        </w:rPr>
        <w:t> </w:t>
      </w:r>
      <w:r>
        <w:rPr>
          <w:spacing w:val="-2"/>
        </w:rPr>
        <w:t>Minho.</w:t>
      </w:r>
      <w:r>
        <w:rPr>
          <w:spacing w:val="-11"/>
        </w:rPr>
        <w:t> </w:t>
      </w:r>
      <w:r>
        <w:rPr>
          <w:spacing w:val="-2"/>
        </w:rPr>
        <w:t>Pergola</w:t>
      </w:r>
      <w:r>
        <w:rPr>
          <w:spacing w:val="-12"/>
        </w:rPr>
        <w:t> </w:t>
      </w:r>
      <w:r>
        <w:rPr>
          <w:spacing w:val="-2"/>
        </w:rPr>
        <w:t>systems,</w:t>
      </w:r>
      <w:r>
        <w:rPr>
          <w:spacing w:val="-12"/>
        </w:rPr>
        <w:t> </w:t>
      </w:r>
      <w:r>
        <w:rPr>
          <w:spacing w:val="-2"/>
        </w:rPr>
        <w:t>which</w:t>
      </w:r>
      <w:r>
        <w:rPr>
          <w:spacing w:val="-12"/>
        </w:rPr>
        <w:t> </w:t>
      </w:r>
      <w:r>
        <w:rPr>
          <w:spacing w:val="-2"/>
        </w:rPr>
        <w:t>train</w:t>
      </w:r>
      <w:r>
        <w:rPr>
          <w:spacing w:val="-11"/>
        </w:rPr>
        <w:t> </w:t>
      </w:r>
      <w:r>
        <w:rPr>
          <w:spacing w:val="-2"/>
        </w:rPr>
        <w:t>vines</w:t>
      </w:r>
      <w:r>
        <w:rPr>
          <w:spacing w:val="-12"/>
        </w:rPr>
        <w:t> </w:t>
      </w:r>
      <w:r>
        <w:rPr>
          <w:spacing w:val="-2"/>
        </w:rPr>
        <w:t>on</w:t>
      </w:r>
      <w:r>
        <w:rPr>
          <w:spacing w:val="-12"/>
        </w:rPr>
        <w:t> </w:t>
      </w:r>
      <w:r>
        <w:rPr>
          <w:spacing w:val="-2"/>
        </w:rPr>
        <w:t>high </w:t>
      </w:r>
      <w:r>
        <w:rPr>
          <w:spacing w:val="-4"/>
        </w:rPr>
        <w:t>horizontal trellises above ground level, maximise vegetative growth and can produce 15,000–20,000 </w:t>
      </w:r>
      <w:r>
        <w:rPr/>
        <w:t>kg/ha,</w:t>
      </w:r>
      <w:r>
        <w:rPr>
          <w:spacing w:val="-14"/>
        </w:rPr>
        <w:t> </w:t>
      </w:r>
      <w:r>
        <w:rPr/>
        <w:t>far</w:t>
      </w:r>
      <w:r>
        <w:rPr>
          <w:spacing w:val="-14"/>
        </w:rPr>
        <w:t> </w:t>
      </w:r>
      <w:r>
        <w:rPr/>
        <w:t>above</w:t>
      </w:r>
      <w:r>
        <w:rPr>
          <w:spacing w:val="-14"/>
        </w:rPr>
        <w:t> </w:t>
      </w:r>
      <w:r>
        <w:rPr/>
        <w:t>the</w:t>
      </w:r>
      <w:r>
        <w:rPr>
          <w:spacing w:val="-13"/>
        </w:rPr>
        <w:t> </w:t>
      </w:r>
      <w:r>
        <w:rPr/>
        <w:t>yield</w:t>
      </w:r>
      <w:r>
        <w:rPr>
          <w:spacing w:val="-14"/>
        </w:rPr>
        <w:t> </w:t>
      </w:r>
      <w:r>
        <w:rPr/>
        <w:t>limits</w:t>
      </w:r>
      <w:r>
        <w:rPr>
          <w:spacing w:val="-14"/>
        </w:rPr>
        <w:t> </w:t>
      </w:r>
      <w:r>
        <w:rPr/>
        <w:t>imposed</w:t>
      </w:r>
      <w:r>
        <w:rPr>
          <w:spacing w:val="-14"/>
        </w:rPr>
        <w:t> </w:t>
      </w:r>
      <w:r>
        <w:rPr/>
        <w:t>by</w:t>
      </w:r>
      <w:r>
        <w:rPr>
          <w:spacing w:val="-13"/>
        </w:rPr>
        <w:t> </w:t>
      </w:r>
      <w:r>
        <w:rPr/>
        <w:t>EU</w:t>
      </w:r>
      <w:r>
        <w:rPr>
          <w:spacing w:val="-14"/>
        </w:rPr>
        <w:t> </w:t>
      </w:r>
      <w:r>
        <w:rPr/>
        <w:t>quality</w:t>
      </w:r>
      <w:r>
        <w:rPr>
          <w:spacing w:val="-14"/>
        </w:rPr>
        <w:t> </w:t>
      </w:r>
      <w:r>
        <w:rPr/>
        <w:t>regulations</w:t>
      </w:r>
      <w:r>
        <w:rPr>
          <w:spacing w:val="-14"/>
        </w:rPr>
        <w:t> </w:t>
      </w:r>
      <w:r>
        <w:rPr/>
        <w:t>for</w:t>
      </w:r>
      <w:r>
        <w:rPr>
          <w:spacing w:val="-13"/>
        </w:rPr>
        <w:t> </w:t>
      </w:r>
      <w:r>
        <w:rPr/>
        <w:t>premium</w:t>
      </w:r>
      <w:r>
        <w:rPr>
          <w:spacing w:val="-14"/>
        </w:rPr>
        <w:t> </w:t>
      </w:r>
      <w:r>
        <w:rPr/>
        <w:t>appellations.</w:t>
      </w:r>
      <w:r>
        <w:rPr>
          <w:spacing w:val="-4"/>
        </w:rPr>
        <w:t> </w:t>
      </w:r>
      <w:r>
        <w:rPr/>
        <w:t>The incentive to qualify for premium designations drove a progressive conversion from pergola to lower-yield</w:t>
      </w:r>
      <w:r>
        <w:rPr>
          <w:spacing w:val="-6"/>
        </w:rPr>
        <w:t> </w:t>
      </w:r>
      <w:r>
        <w:rPr/>
        <w:t>espalier</w:t>
      </w:r>
      <w:r>
        <w:rPr>
          <w:spacing w:val="-6"/>
        </w:rPr>
        <w:t> </w:t>
      </w:r>
      <w:r>
        <w:rPr/>
        <w:t>(cordon)</w:t>
      </w:r>
      <w:r>
        <w:rPr>
          <w:spacing w:val="-6"/>
        </w:rPr>
        <w:t> </w:t>
      </w:r>
      <w:r>
        <w:rPr/>
        <w:t>training</w:t>
      </w:r>
      <w:r>
        <w:rPr>
          <w:spacing w:val="-6"/>
        </w:rPr>
        <w:t> </w:t>
      </w:r>
      <w:r>
        <w:rPr/>
        <w:t>systems,</w:t>
      </w:r>
      <w:r>
        <w:rPr>
          <w:spacing w:val="-6"/>
        </w:rPr>
        <w:t> </w:t>
      </w:r>
      <w:r>
        <w:rPr/>
        <w:t>which</w:t>
      </w:r>
      <w:r>
        <w:rPr>
          <w:spacing w:val="-6"/>
        </w:rPr>
        <w:t> </w:t>
      </w:r>
      <w:r>
        <w:rPr/>
        <w:t>produce</w:t>
      </w:r>
      <w:r>
        <w:rPr>
          <w:spacing w:val="-6"/>
        </w:rPr>
        <w:t> </w:t>
      </w:r>
      <w:r>
        <w:rPr/>
        <w:t>6,000–10,000</w:t>
      </w:r>
      <w:r>
        <w:rPr>
          <w:spacing w:val="-6"/>
        </w:rPr>
        <w:t> </w:t>
      </w:r>
      <w:r>
        <w:rPr/>
        <w:t>kg/ha. This</w:t>
      </w:r>
      <w:r>
        <w:rPr>
          <w:spacing w:val="-6"/>
        </w:rPr>
        <w:t> </w:t>
      </w:r>
      <w:r>
        <w:rPr/>
        <w:t>training </w:t>
      </w:r>
      <w:r>
        <w:rPr>
          <w:spacing w:val="-2"/>
        </w:rPr>
        <w:t>system</w:t>
      </w:r>
      <w:r>
        <w:rPr>
          <w:spacing w:val="-10"/>
        </w:rPr>
        <w:t> </w:t>
      </w:r>
      <w:r>
        <w:rPr>
          <w:spacing w:val="-2"/>
        </w:rPr>
        <w:t>transition</w:t>
      </w:r>
      <w:r>
        <w:rPr>
          <w:spacing w:val="-10"/>
        </w:rPr>
        <w:t> </w:t>
      </w:r>
      <w:r>
        <w:rPr>
          <w:spacing w:val="-2"/>
        </w:rPr>
        <w:t>reduced</w:t>
      </w:r>
      <w:r>
        <w:rPr>
          <w:spacing w:val="-10"/>
        </w:rPr>
        <w:t> </w:t>
      </w:r>
      <w:r>
        <w:rPr>
          <w:spacing w:val="-2"/>
        </w:rPr>
        <w:t>per-hectare</w:t>
      </w:r>
      <w:r>
        <w:rPr>
          <w:spacing w:val="-10"/>
        </w:rPr>
        <w:t> </w:t>
      </w:r>
      <w:r>
        <w:rPr>
          <w:spacing w:val="-2"/>
        </w:rPr>
        <w:t>yields</w:t>
      </w:r>
      <w:r>
        <w:rPr>
          <w:spacing w:val="-10"/>
        </w:rPr>
        <w:t> </w:t>
      </w:r>
      <w:r>
        <w:rPr>
          <w:spacing w:val="-2"/>
        </w:rPr>
        <w:t>structurally,</w:t>
      </w:r>
      <w:r>
        <w:rPr>
          <w:spacing w:val="-10"/>
        </w:rPr>
        <w:t> </w:t>
      </w:r>
      <w:r>
        <w:rPr>
          <w:spacing w:val="-2"/>
        </w:rPr>
        <w:t>independently</w:t>
      </w:r>
      <w:r>
        <w:rPr>
          <w:spacing w:val="-10"/>
        </w:rPr>
        <w:t> </w:t>
      </w:r>
      <w:r>
        <w:rPr>
          <w:spacing w:val="-2"/>
        </w:rPr>
        <w:t>of</w:t>
      </w:r>
      <w:r>
        <w:rPr>
          <w:spacing w:val="-10"/>
        </w:rPr>
        <w:t> </w:t>
      </w:r>
      <w:r>
        <w:rPr>
          <w:spacing w:val="-2"/>
        </w:rPr>
        <w:t>climate,</w:t>
      </w:r>
      <w:r>
        <w:rPr>
          <w:spacing w:val="-10"/>
        </w:rPr>
        <w:t> </w:t>
      </w:r>
      <w:r>
        <w:rPr>
          <w:spacing w:val="-2"/>
        </w:rPr>
        <w:t>and</w:t>
      </w:r>
      <w:r>
        <w:rPr>
          <w:spacing w:val="-10"/>
        </w:rPr>
        <w:t> </w:t>
      </w:r>
      <w:r>
        <w:rPr>
          <w:spacing w:val="-2"/>
        </w:rPr>
        <w:t>is</w:t>
      </w:r>
      <w:r>
        <w:rPr>
          <w:spacing w:val="-10"/>
        </w:rPr>
        <w:t> </w:t>
      </w:r>
      <w:r>
        <w:rPr>
          <w:spacing w:val="-2"/>
        </w:rPr>
        <w:t>estimated </w:t>
      </w:r>
      <w:r>
        <w:rPr/>
        <w:t>to have contributed substantially to the post-1986 production decline.</w:t>
      </w:r>
    </w:p>
    <w:p>
      <w:pPr>
        <w:pStyle w:val="BodyText"/>
        <w:spacing w:line="312" w:lineRule="auto" w:before="107"/>
        <w:ind w:left="134" w:right="1530" w:firstLine="346"/>
        <w:jc w:val="both"/>
      </w:pPr>
      <w:r>
        <w:rPr/>
        <w:t>The</w:t>
      </w:r>
      <w:r>
        <w:rPr>
          <w:spacing w:val="-14"/>
        </w:rPr>
        <w:t> </w:t>
      </w:r>
      <w:r>
        <w:rPr/>
        <w:t>third</w:t>
      </w:r>
      <w:r>
        <w:rPr>
          <w:spacing w:val="-14"/>
        </w:rPr>
        <w:t> </w:t>
      </w:r>
      <w:r>
        <w:rPr/>
        <w:t>factor</w:t>
      </w:r>
      <w:r>
        <w:rPr>
          <w:spacing w:val="-14"/>
        </w:rPr>
        <w:t> </w:t>
      </w:r>
      <w:r>
        <w:rPr/>
        <w:t>was</w:t>
      </w:r>
      <w:r>
        <w:rPr>
          <w:spacing w:val="-13"/>
        </w:rPr>
        <w:t> </w:t>
      </w:r>
      <w:r>
        <w:rPr/>
        <w:t>demographic.</w:t>
      </w:r>
      <w:r>
        <w:rPr>
          <w:spacing w:val="-4"/>
        </w:rPr>
        <w:t> </w:t>
      </w:r>
      <w:r>
        <w:rPr/>
        <w:t>The</w:t>
      </w:r>
      <w:r>
        <w:rPr>
          <w:spacing w:val="-14"/>
        </w:rPr>
        <w:t> </w:t>
      </w:r>
      <w:r>
        <w:rPr/>
        <w:t>Minho</w:t>
      </w:r>
      <w:r>
        <w:rPr>
          <w:spacing w:val="-14"/>
        </w:rPr>
        <w:t> </w:t>
      </w:r>
      <w:r>
        <w:rPr/>
        <w:t>region</w:t>
      </w:r>
      <w:r>
        <w:rPr>
          <w:spacing w:val="-14"/>
        </w:rPr>
        <w:t> </w:t>
      </w:r>
      <w:r>
        <w:rPr/>
        <w:t>had</w:t>
      </w:r>
      <w:r>
        <w:rPr>
          <w:spacing w:val="-13"/>
        </w:rPr>
        <w:t> </w:t>
      </w:r>
      <w:r>
        <w:rPr/>
        <w:t>experienced</w:t>
      </w:r>
      <w:r>
        <w:rPr>
          <w:spacing w:val="-14"/>
        </w:rPr>
        <w:t> </w:t>
      </w:r>
      <w:r>
        <w:rPr/>
        <w:t>significant</w:t>
      </w:r>
      <w:r>
        <w:rPr>
          <w:spacing w:val="-14"/>
        </w:rPr>
        <w:t> </w:t>
      </w:r>
      <w:r>
        <w:rPr/>
        <w:t>rural</w:t>
      </w:r>
      <w:r>
        <w:rPr>
          <w:spacing w:val="-14"/>
        </w:rPr>
        <w:t> </w:t>
      </w:r>
      <w:r>
        <w:rPr/>
        <w:t>exodus from the 1960s onward as workers migrated to urban centres and abroad.</w:t>
      </w:r>
      <w:r>
        <w:rPr>
          <w:spacing w:val="40"/>
        </w:rPr>
        <w:t> </w:t>
      </w:r>
      <w:r>
        <w:rPr/>
        <w:t>The generation that maintained</w:t>
      </w:r>
      <w:r>
        <w:rPr>
          <w:spacing w:val="-5"/>
        </w:rPr>
        <w:t> </w:t>
      </w:r>
      <w:r>
        <w:rPr/>
        <w:t>the</w:t>
      </w:r>
      <w:r>
        <w:rPr>
          <w:spacing w:val="-5"/>
        </w:rPr>
        <w:t> </w:t>
      </w:r>
      <w:r>
        <w:rPr/>
        <w:t>region’s</w:t>
      </w:r>
      <w:r>
        <w:rPr>
          <w:spacing w:val="-4"/>
        </w:rPr>
        <w:t> </w:t>
      </w:r>
      <w:r>
        <w:rPr/>
        <w:t>characteristic</w:t>
      </w:r>
      <w:r>
        <w:rPr>
          <w:spacing w:val="-4"/>
        </w:rPr>
        <w:t> </w:t>
      </w:r>
      <w:r>
        <w:rPr/>
        <w:t>small,</w:t>
      </w:r>
      <w:r>
        <w:rPr>
          <w:spacing w:val="-4"/>
        </w:rPr>
        <w:t> </w:t>
      </w:r>
      <w:r>
        <w:rPr/>
        <w:t>labour-intensive</w:t>
      </w:r>
      <w:r>
        <w:rPr>
          <w:spacing w:val="-4"/>
        </w:rPr>
        <w:t> </w:t>
      </w:r>
      <w:r>
        <w:rPr/>
        <w:t>plots</w:t>
      </w:r>
      <w:r>
        <w:rPr>
          <w:spacing w:val="-4"/>
        </w:rPr>
        <w:t> </w:t>
      </w:r>
      <w:r>
        <w:rPr/>
        <w:t>retired</w:t>
      </w:r>
      <w:r>
        <w:rPr>
          <w:spacing w:val="-4"/>
        </w:rPr>
        <w:t> </w:t>
      </w:r>
      <w:r>
        <w:rPr/>
        <w:t>or</w:t>
      </w:r>
      <w:r>
        <w:rPr>
          <w:spacing w:val="-4"/>
        </w:rPr>
        <w:t> </w:t>
      </w:r>
      <w:r>
        <w:rPr/>
        <w:t>emigrated,</w:t>
      </w:r>
      <w:r>
        <w:rPr>
          <w:spacing w:val="-4"/>
        </w:rPr>
        <w:t> </w:t>
      </w:r>
      <w:r>
        <w:rPr/>
        <w:t>and</w:t>
      </w:r>
      <w:r>
        <w:rPr>
          <w:spacing w:val="-4"/>
        </w:rPr>
        <w:t> </w:t>
      </w:r>
      <w:r>
        <w:rPr/>
        <w:t>their children</w:t>
      </w:r>
      <w:r>
        <w:rPr>
          <w:spacing w:val="-11"/>
        </w:rPr>
        <w:t> </w:t>
      </w:r>
      <w:r>
        <w:rPr/>
        <w:t>often</w:t>
      </w:r>
      <w:r>
        <w:rPr>
          <w:spacing w:val="-11"/>
        </w:rPr>
        <w:t> </w:t>
      </w:r>
      <w:r>
        <w:rPr/>
        <w:t>did</w:t>
      </w:r>
      <w:r>
        <w:rPr>
          <w:spacing w:val="-11"/>
        </w:rPr>
        <w:t> </w:t>
      </w:r>
      <w:r>
        <w:rPr/>
        <w:t>not</w:t>
      </w:r>
      <w:r>
        <w:rPr>
          <w:spacing w:val="-11"/>
        </w:rPr>
        <w:t> </w:t>
      </w:r>
      <w:r>
        <w:rPr/>
        <w:t>continue</w:t>
      </w:r>
      <w:r>
        <w:rPr>
          <w:spacing w:val="-11"/>
        </w:rPr>
        <w:t> </w:t>
      </w:r>
      <w:r>
        <w:rPr/>
        <w:t>the</w:t>
      </w:r>
      <w:r>
        <w:rPr>
          <w:spacing w:val="-11"/>
        </w:rPr>
        <w:t> </w:t>
      </w:r>
      <w:r>
        <w:rPr/>
        <w:t>viticultural</w:t>
      </w:r>
      <w:r>
        <w:rPr>
          <w:spacing w:val="-11"/>
        </w:rPr>
        <w:t> </w:t>
      </w:r>
      <w:r>
        <w:rPr/>
        <w:t>tradition.</w:t>
      </w:r>
      <w:r>
        <w:rPr>
          <w:spacing w:val="-1"/>
        </w:rPr>
        <w:t> </w:t>
      </w:r>
      <w:r>
        <w:rPr/>
        <w:t>Plot</w:t>
      </w:r>
      <w:r>
        <w:rPr>
          <w:spacing w:val="-11"/>
        </w:rPr>
        <w:t> </w:t>
      </w:r>
      <w:r>
        <w:rPr/>
        <w:t>fragmentation</w:t>
      </w:r>
      <w:r>
        <w:rPr>
          <w:spacing w:val="-11"/>
        </w:rPr>
        <w:t> </w:t>
      </w:r>
      <w:r>
        <w:rPr/>
        <w:t>—</w:t>
      </w:r>
      <w:r>
        <w:rPr>
          <w:spacing w:val="-11"/>
        </w:rPr>
        <w:t> </w:t>
      </w:r>
      <w:r>
        <w:rPr/>
        <w:t>the</w:t>
      </w:r>
      <w:r>
        <w:rPr>
          <w:spacing w:val="-11"/>
        </w:rPr>
        <w:t> </w:t>
      </w:r>
      <w:r>
        <w:rPr/>
        <w:t>division</w:t>
      </w:r>
      <w:r>
        <w:rPr>
          <w:spacing w:val="-11"/>
        </w:rPr>
        <w:t> </w:t>
      </w:r>
      <w:r>
        <w:rPr/>
        <w:t>of</w:t>
      </w:r>
      <w:r>
        <w:rPr>
          <w:spacing w:val="-11"/>
        </w:rPr>
        <w:t> </w:t>
      </w:r>
      <w:r>
        <w:rPr/>
        <w:t>land into</w:t>
      </w:r>
      <w:r>
        <w:rPr>
          <w:spacing w:val="-5"/>
        </w:rPr>
        <w:t> </w:t>
      </w:r>
      <w:r>
        <w:rPr/>
        <w:t>numerous</w:t>
      </w:r>
      <w:r>
        <w:rPr>
          <w:spacing w:val="-5"/>
        </w:rPr>
        <w:t> </w:t>
      </w:r>
      <w:r>
        <w:rPr/>
        <w:t>small,</w:t>
      </w:r>
      <w:r>
        <w:rPr>
          <w:spacing w:val="-5"/>
        </w:rPr>
        <w:t> </w:t>
      </w:r>
      <w:r>
        <w:rPr/>
        <w:t>scattered</w:t>
      </w:r>
      <w:r>
        <w:rPr>
          <w:spacing w:val="-5"/>
        </w:rPr>
        <w:t> </w:t>
      </w:r>
      <w:r>
        <w:rPr/>
        <w:t>parcels</w:t>
      </w:r>
      <w:r>
        <w:rPr>
          <w:spacing w:val="-5"/>
        </w:rPr>
        <w:t> </w:t>
      </w:r>
      <w:r>
        <w:rPr/>
        <w:t>across</w:t>
      </w:r>
      <w:r>
        <w:rPr>
          <w:spacing w:val="-5"/>
        </w:rPr>
        <w:t> </w:t>
      </w:r>
      <w:r>
        <w:rPr/>
        <w:t>multiple</w:t>
      </w:r>
      <w:r>
        <w:rPr>
          <w:spacing w:val="-5"/>
        </w:rPr>
        <w:t> </w:t>
      </w:r>
      <w:r>
        <w:rPr/>
        <w:t>owners</w:t>
      </w:r>
      <w:r>
        <w:rPr>
          <w:spacing w:val="-5"/>
        </w:rPr>
        <w:t> </w:t>
      </w:r>
      <w:r>
        <w:rPr/>
        <w:t>—</w:t>
      </w:r>
      <w:r>
        <w:rPr>
          <w:spacing w:val="-5"/>
        </w:rPr>
        <w:t> </w:t>
      </w:r>
      <w:r>
        <w:rPr/>
        <w:t>has</w:t>
      </w:r>
      <w:r>
        <w:rPr>
          <w:spacing w:val="-5"/>
        </w:rPr>
        <w:t> </w:t>
      </w:r>
      <w:r>
        <w:rPr/>
        <w:t>historically</w:t>
      </w:r>
      <w:r>
        <w:rPr>
          <w:spacing w:val="-5"/>
        </w:rPr>
        <w:t> </w:t>
      </w:r>
      <w:r>
        <w:rPr/>
        <w:t>been</w:t>
      </w:r>
      <w:r>
        <w:rPr>
          <w:spacing w:val="-5"/>
        </w:rPr>
        <w:t> </w:t>
      </w:r>
      <w:r>
        <w:rPr/>
        <w:t>among</w:t>
      </w:r>
      <w:r>
        <w:rPr>
          <w:spacing w:val="-5"/>
        </w:rPr>
        <w:t> </w:t>
      </w:r>
      <w:r>
        <w:rPr/>
        <w:t>the </w:t>
      </w:r>
      <w:r>
        <w:rPr>
          <w:spacing w:val="-2"/>
        </w:rPr>
        <w:t>most</w:t>
      </w:r>
      <w:r>
        <w:rPr>
          <w:spacing w:val="-5"/>
        </w:rPr>
        <w:t> </w:t>
      </w:r>
      <w:r>
        <w:rPr>
          <w:spacing w:val="-2"/>
        </w:rPr>
        <w:t>pronounced</w:t>
      </w:r>
      <w:r>
        <w:rPr>
          <w:spacing w:val="-5"/>
        </w:rPr>
        <w:t> </w:t>
      </w:r>
      <w:r>
        <w:rPr>
          <w:spacing w:val="-2"/>
        </w:rPr>
        <w:t>in</w:t>
      </w:r>
      <w:r>
        <w:rPr>
          <w:spacing w:val="-5"/>
        </w:rPr>
        <w:t> </w:t>
      </w:r>
      <w:r>
        <w:rPr>
          <w:spacing w:val="-2"/>
        </w:rPr>
        <w:t>Portugal</w:t>
      </w:r>
      <w:r>
        <w:rPr>
          <w:spacing w:val="-5"/>
        </w:rPr>
        <w:t> </w:t>
      </w:r>
      <w:r>
        <w:rPr>
          <w:spacing w:val="-2"/>
        </w:rPr>
        <w:t>in</w:t>
      </w:r>
      <w:r>
        <w:rPr>
          <w:spacing w:val="-5"/>
        </w:rPr>
        <w:t> </w:t>
      </w:r>
      <w:r>
        <w:rPr>
          <w:spacing w:val="-2"/>
        </w:rPr>
        <w:t>the</w:t>
      </w:r>
      <w:r>
        <w:rPr>
          <w:spacing w:val="-5"/>
        </w:rPr>
        <w:t> </w:t>
      </w:r>
      <w:r>
        <w:rPr>
          <w:spacing w:val="-2"/>
        </w:rPr>
        <w:t>Minho</w:t>
      </w:r>
      <w:r>
        <w:rPr>
          <w:spacing w:val="-5"/>
        </w:rPr>
        <w:t> </w:t>
      </w:r>
      <w:r>
        <w:rPr>
          <w:spacing w:val="-2"/>
        </w:rPr>
        <w:t>region,</w:t>
      </w:r>
      <w:r>
        <w:rPr>
          <w:spacing w:val="-5"/>
        </w:rPr>
        <w:t> </w:t>
      </w:r>
      <w:r>
        <w:rPr>
          <w:spacing w:val="-2"/>
        </w:rPr>
        <w:t>with</w:t>
      </w:r>
      <w:r>
        <w:rPr>
          <w:spacing w:val="-5"/>
        </w:rPr>
        <w:t> </w:t>
      </w:r>
      <w:r>
        <w:rPr>
          <w:spacing w:val="-2"/>
        </w:rPr>
        <w:t>individual</w:t>
      </w:r>
      <w:r>
        <w:rPr>
          <w:spacing w:val="-5"/>
        </w:rPr>
        <w:t> </w:t>
      </w:r>
      <w:r>
        <w:rPr>
          <w:spacing w:val="-2"/>
        </w:rPr>
        <w:t>parcels</w:t>
      </w:r>
      <w:r>
        <w:rPr>
          <w:spacing w:val="-5"/>
        </w:rPr>
        <w:t> </w:t>
      </w:r>
      <w:r>
        <w:rPr>
          <w:spacing w:val="-2"/>
        </w:rPr>
        <w:t>often</w:t>
      </w:r>
      <w:r>
        <w:rPr>
          <w:spacing w:val="-5"/>
        </w:rPr>
        <w:t> </w:t>
      </w:r>
      <w:r>
        <w:rPr>
          <w:spacing w:val="-2"/>
        </w:rPr>
        <w:t>below</w:t>
      </w:r>
      <w:r>
        <w:rPr>
          <w:spacing w:val="-5"/>
        </w:rPr>
        <w:t> </w:t>
      </w:r>
      <w:r>
        <w:rPr>
          <w:spacing w:val="-2"/>
        </w:rPr>
        <w:t>0.1</w:t>
      </w:r>
      <w:r>
        <w:rPr>
          <w:spacing w:val="-5"/>
        </w:rPr>
        <w:t> </w:t>
      </w:r>
      <w:r>
        <w:rPr>
          <w:spacing w:val="-2"/>
        </w:rPr>
        <w:t>hectares, </w:t>
      </w:r>
      <w:r>
        <w:rPr/>
        <w:t>making</w:t>
      </w:r>
      <w:r>
        <w:rPr>
          <w:spacing w:val="-8"/>
        </w:rPr>
        <w:t> </w:t>
      </w:r>
      <w:r>
        <w:rPr/>
        <w:t>consolidation</w:t>
      </w:r>
      <w:r>
        <w:rPr>
          <w:spacing w:val="-8"/>
        </w:rPr>
        <w:t> </w:t>
      </w:r>
      <w:r>
        <w:rPr/>
        <w:t>difficult</w:t>
      </w:r>
      <w:r>
        <w:rPr>
          <w:spacing w:val="-8"/>
        </w:rPr>
        <w:t> </w:t>
      </w:r>
      <w:r>
        <w:rPr/>
        <w:t>and</w:t>
      </w:r>
      <w:r>
        <w:rPr>
          <w:spacing w:val="-8"/>
        </w:rPr>
        <w:t> </w:t>
      </w:r>
      <w:r>
        <w:rPr/>
        <w:t>increased</w:t>
      </w:r>
      <w:r>
        <w:rPr>
          <w:spacing w:val="-8"/>
        </w:rPr>
        <w:t> </w:t>
      </w:r>
      <w:r>
        <w:rPr/>
        <w:t>the</w:t>
      </w:r>
      <w:r>
        <w:rPr>
          <w:spacing w:val="-8"/>
        </w:rPr>
        <w:t> </w:t>
      </w:r>
      <w:r>
        <w:rPr/>
        <w:t>per-unit</w:t>
      </w:r>
      <w:r>
        <w:rPr>
          <w:spacing w:val="-8"/>
        </w:rPr>
        <w:t> </w:t>
      </w:r>
      <w:r>
        <w:rPr/>
        <w:t>cost</w:t>
      </w:r>
      <w:r>
        <w:rPr>
          <w:spacing w:val="-8"/>
        </w:rPr>
        <w:t> </w:t>
      </w:r>
      <w:r>
        <w:rPr/>
        <w:t>of</w:t>
      </w:r>
      <w:r>
        <w:rPr>
          <w:spacing w:val="-8"/>
        </w:rPr>
        <w:t> </w:t>
      </w:r>
      <w:r>
        <w:rPr/>
        <w:t>cultivation. Many</w:t>
      </w:r>
      <w:r>
        <w:rPr>
          <w:spacing w:val="-8"/>
        </w:rPr>
        <w:t> </w:t>
      </w:r>
      <w:r>
        <w:rPr/>
        <w:t>marginal</w:t>
      </w:r>
      <w:r>
        <w:rPr>
          <w:spacing w:val="-8"/>
        </w:rPr>
        <w:t> </w:t>
      </w:r>
      <w:r>
        <w:rPr/>
        <w:t>plots were</w:t>
      </w:r>
      <w:r>
        <w:rPr>
          <w:spacing w:val="-2"/>
        </w:rPr>
        <w:t> </w:t>
      </w:r>
      <w:r>
        <w:rPr/>
        <w:t>simply</w:t>
      </w:r>
      <w:r>
        <w:rPr>
          <w:spacing w:val="-2"/>
        </w:rPr>
        <w:t> </w:t>
      </w:r>
      <w:r>
        <w:rPr/>
        <w:t>abandoned,</w:t>
      </w:r>
      <w:r>
        <w:rPr>
          <w:spacing w:val="-2"/>
        </w:rPr>
        <w:t> </w:t>
      </w:r>
      <w:r>
        <w:rPr/>
        <w:t>reducing</w:t>
      </w:r>
      <w:r>
        <w:rPr>
          <w:spacing w:val="-2"/>
        </w:rPr>
        <w:t> </w:t>
      </w:r>
      <w:r>
        <w:rPr/>
        <w:t>the</w:t>
      </w:r>
      <w:r>
        <w:rPr>
          <w:spacing w:val="-2"/>
        </w:rPr>
        <w:t> </w:t>
      </w:r>
      <w:r>
        <w:rPr/>
        <w:t>effective</w:t>
      </w:r>
      <w:r>
        <w:rPr>
          <w:spacing w:val="-2"/>
        </w:rPr>
        <w:t> </w:t>
      </w:r>
      <w:r>
        <w:rPr/>
        <w:t>cultivated</w:t>
      </w:r>
      <w:r>
        <w:rPr>
          <w:spacing w:val="-2"/>
        </w:rPr>
        <w:t> </w:t>
      </w:r>
      <w:r>
        <w:rPr/>
        <w:t>area</w:t>
      </w:r>
      <w:r>
        <w:rPr>
          <w:spacing w:val="-2"/>
        </w:rPr>
        <w:t> </w:t>
      </w:r>
      <w:r>
        <w:rPr/>
        <w:t>and</w:t>
      </w:r>
      <w:r>
        <w:rPr>
          <w:spacing w:val="-2"/>
        </w:rPr>
        <w:t> </w:t>
      </w:r>
      <w:r>
        <w:rPr/>
        <w:t>contributing</w:t>
      </w:r>
      <w:r>
        <w:rPr>
          <w:spacing w:val="-2"/>
        </w:rPr>
        <w:t> </w:t>
      </w:r>
      <w:r>
        <w:rPr/>
        <w:t>to</w:t>
      </w:r>
      <w:r>
        <w:rPr>
          <w:spacing w:val="-2"/>
        </w:rPr>
        <w:t> </w:t>
      </w:r>
      <w:r>
        <w:rPr/>
        <w:t>the</w:t>
      </w:r>
      <w:r>
        <w:rPr>
          <w:spacing w:val="-2"/>
        </w:rPr>
        <w:t> </w:t>
      </w:r>
      <w:r>
        <w:rPr/>
        <w:t>production decline independently of the EU policy shock.</w:t>
      </w:r>
    </w:p>
    <w:p>
      <w:pPr>
        <w:pStyle w:val="BodyText"/>
        <w:spacing w:line="312" w:lineRule="auto" w:before="106"/>
        <w:ind w:left="142" w:right="1530" w:firstLine="338"/>
        <w:jc w:val="both"/>
      </w:pPr>
      <w:r>
        <w:rPr/>
        <w:t>These</w:t>
      </w:r>
      <w:r>
        <w:rPr>
          <w:spacing w:val="-14"/>
        </w:rPr>
        <w:t> </w:t>
      </w:r>
      <w:r>
        <w:rPr/>
        <w:t>structural</w:t>
      </w:r>
      <w:r>
        <w:rPr>
          <w:spacing w:val="-14"/>
        </w:rPr>
        <w:t> </w:t>
      </w:r>
      <w:r>
        <w:rPr/>
        <w:t>factors</w:t>
      </w:r>
      <w:r>
        <w:rPr>
          <w:spacing w:val="-14"/>
        </w:rPr>
        <w:t> </w:t>
      </w:r>
      <w:r>
        <w:rPr/>
        <w:t>directly</w:t>
      </w:r>
      <w:r>
        <w:rPr>
          <w:spacing w:val="-13"/>
        </w:rPr>
        <w:t> </w:t>
      </w:r>
      <w:r>
        <w:rPr/>
        <w:t>explain</w:t>
      </w:r>
      <w:r>
        <w:rPr>
          <w:spacing w:val="-14"/>
        </w:rPr>
        <w:t> </w:t>
      </w:r>
      <w:r>
        <w:rPr/>
        <w:t>why</w:t>
      </w:r>
      <w:r>
        <w:rPr>
          <w:spacing w:val="-14"/>
        </w:rPr>
        <w:t> </w:t>
      </w:r>
      <w:r>
        <w:rPr/>
        <w:t>the</w:t>
      </w:r>
      <w:r>
        <w:rPr>
          <w:spacing w:val="-14"/>
        </w:rPr>
        <w:t> </w:t>
      </w:r>
      <w:r>
        <w:rPr/>
        <w:t>era</w:t>
      </w:r>
      <w:r>
        <w:rPr>
          <w:spacing w:val="-13"/>
        </w:rPr>
        <w:t> </w:t>
      </w:r>
      <w:r>
        <w:rPr/>
        <w:t>confound</w:t>
      </w:r>
      <w:r>
        <w:rPr>
          <w:spacing w:val="-14"/>
        </w:rPr>
        <w:t> </w:t>
      </w:r>
      <w:r>
        <w:rPr/>
        <w:t>is</w:t>
      </w:r>
      <w:r>
        <w:rPr>
          <w:spacing w:val="-14"/>
        </w:rPr>
        <w:t> </w:t>
      </w:r>
      <w:r>
        <w:rPr/>
        <w:t>substantially</w:t>
      </w:r>
      <w:r>
        <w:rPr>
          <w:spacing w:val="-14"/>
        </w:rPr>
        <w:t> </w:t>
      </w:r>
      <w:r>
        <w:rPr/>
        <w:t>stronger</w:t>
      </w:r>
      <w:r>
        <w:rPr>
          <w:spacing w:val="-13"/>
        </w:rPr>
        <w:t> </w:t>
      </w:r>
      <w:r>
        <w:rPr/>
        <w:t>in</w:t>
      </w:r>
      <w:r>
        <w:rPr>
          <w:spacing w:val="-14"/>
        </w:rPr>
        <w:t> </w:t>
      </w:r>
      <w:r>
        <w:rPr/>
        <w:t>RVV </w:t>
      </w:r>
      <w:r>
        <w:rPr>
          <w:spacing w:val="-2"/>
        </w:rPr>
        <w:t>than</w:t>
      </w:r>
      <w:r>
        <w:rPr>
          <w:spacing w:val="-11"/>
        </w:rPr>
        <w:t> </w:t>
      </w:r>
      <w:r>
        <w:rPr>
          <w:spacing w:val="-2"/>
        </w:rPr>
        <w:t>in</w:t>
      </w:r>
      <w:r>
        <w:rPr>
          <w:spacing w:val="-12"/>
        </w:rPr>
        <w:t> </w:t>
      </w:r>
      <w:r>
        <w:rPr>
          <w:spacing w:val="-2"/>
        </w:rPr>
        <w:t>RDD:</w:t>
      </w:r>
      <w:r>
        <w:rPr>
          <w:spacing w:val="-11"/>
        </w:rPr>
        <w:t> </w:t>
      </w:r>
      <w:r>
        <w:rPr>
          <w:spacing w:val="-2"/>
        </w:rPr>
        <w:t>the</w:t>
      </w:r>
      <w:r>
        <w:rPr>
          <w:spacing w:val="-11"/>
        </w:rPr>
        <w:t> </w:t>
      </w:r>
      <w:r>
        <w:rPr>
          <w:spacing w:val="-2"/>
        </w:rPr>
        <w:t>production</w:t>
      </w:r>
      <w:r>
        <w:rPr>
          <w:spacing w:val="-11"/>
        </w:rPr>
        <w:t> </w:t>
      </w:r>
      <w:r>
        <w:rPr>
          <w:spacing w:val="-2"/>
        </w:rPr>
        <w:t>decline</w:t>
      </w:r>
      <w:r>
        <w:rPr>
          <w:spacing w:val="-11"/>
        </w:rPr>
        <w:t> </w:t>
      </w:r>
      <w:r>
        <w:rPr>
          <w:spacing w:val="-2"/>
        </w:rPr>
        <w:t>in</w:t>
      </w:r>
      <w:r>
        <w:rPr>
          <w:spacing w:val="-12"/>
        </w:rPr>
        <w:t> </w:t>
      </w:r>
      <w:r>
        <w:rPr>
          <w:spacing w:val="-2"/>
        </w:rPr>
        <w:t>Vinho</w:t>
      </w:r>
      <w:r>
        <w:rPr>
          <w:spacing w:val="-11"/>
        </w:rPr>
        <w:t> </w:t>
      </w:r>
      <w:r>
        <w:rPr>
          <w:spacing w:val="-2"/>
        </w:rPr>
        <w:t>Verde</w:t>
      </w:r>
      <w:r>
        <w:rPr>
          <w:spacing w:val="-11"/>
        </w:rPr>
        <w:t> </w:t>
      </w:r>
      <w:r>
        <w:rPr>
          <w:spacing w:val="-2"/>
        </w:rPr>
        <w:t>is</w:t>
      </w:r>
      <w:r>
        <w:rPr>
          <w:spacing w:val="-11"/>
        </w:rPr>
        <w:t> </w:t>
      </w:r>
      <w:r>
        <w:rPr>
          <w:spacing w:val="-2"/>
        </w:rPr>
        <w:t>predominantly</w:t>
      </w:r>
      <w:r>
        <w:rPr>
          <w:spacing w:val="-12"/>
        </w:rPr>
        <w:t> </w:t>
      </w:r>
      <w:r>
        <w:rPr>
          <w:spacing w:val="-2"/>
        </w:rPr>
        <w:t>driven</w:t>
      </w:r>
      <w:r>
        <w:rPr>
          <w:spacing w:val="-12"/>
        </w:rPr>
        <w:t> </w:t>
      </w:r>
      <w:r>
        <w:rPr>
          <w:spacing w:val="-2"/>
        </w:rPr>
        <w:t>by</w:t>
      </w:r>
      <w:r>
        <w:rPr>
          <w:spacing w:val="-11"/>
        </w:rPr>
        <w:t> </w:t>
      </w:r>
      <w:r>
        <w:rPr>
          <w:spacing w:val="-2"/>
        </w:rPr>
        <w:t>non-climate</w:t>
      </w:r>
      <w:r>
        <w:rPr>
          <w:spacing w:val="-12"/>
        </w:rPr>
        <w:t> </w:t>
      </w:r>
      <w:r>
        <w:rPr>
          <w:spacing w:val="-2"/>
        </w:rPr>
        <w:t>forces, </w:t>
      </w:r>
      <w:r>
        <w:rPr/>
        <w:t>creating</w:t>
      </w:r>
      <w:r>
        <w:rPr>
          <w:spacing w:val="-14"/>
        </w:rPr>
        <w:t> </w:t>
      </w:r>
      <w:r>
        <w:rPr/>
        <w:t>a</w:t>
      </w:r>
      <w:r>
        <w:rPr>
          <w:spacing w:val="-14"/>
        </w:rPr>
        <w:t> </w:t>
      </w:r>
      <w:r>
        <w:rPr/>
        <w:t>strong</w:t>
      </w:r>
      <w:r>
        <w:rPr>
          <w:spacing w:val="-14"/>
        </w:rPr>
        <w:t> </w:t>
      </w:r>
      <w:r>
        <w:rPr/>
        <w:t>co-variation</w:t>
      </w:r>
      <w:r>
        <w:rPr>
          <w:spacing w:val="-13"/>
        </w:rPr>
        <w:t> </w:t>
      </w:r>
      <w:r>
        <w:rPr/>
        <w:t>between</w:t>
      </w:r>
      <w:r>
        <w:rPr>
          <w:spacing w:val="-14"/>
        </w:rPr>
        <w:t> </w:t>
      </w:r>
      <w:r>
        <w:rPr/>
        <w:t>era</w:t>
      </w:r>
      <w:r>
        <w:rPr>
          <w:spacing w:val="-14"/>
        </w:rPr>
        <w:t> </w:t>
      </w:r>
      <w:r>
        <w:rPr/>
        <w:t>membership</w:t>
      </w:r>
      <w:r>
        <w:rPr>
          <w:spacing w:val="-14"/>
        </w:rPr>
        <w:t> </w:t>
      </w:r>
      <w:r>
        <w:rPr/>
        <w:t>and</w:t>
      </w:r>
      <w:r>
        <w:rPr>
          <w:spacing w:val="-13"/>
        </w:rPr>
        <w:t> </w:t>
      </w:r>
      <w:r>
        <w:rPr/>
        <w:t>climate</w:t>
      </w:r>
      <w:r>
        <w:rPr>
          <w:spacing w:val="-14"/>
        </w:rPr>
        <w:t> </w:t>
      </w:r>
      <w:r>
        <w:rPr/>
        <w:t>variables</w:t>
      </w:r>
      <w:r>
        <w:rPr>
          <w:spacing w:val="-14"/>
        </w:rPr>
        <w:t> </w:t>
      </w:r>
      <w:r>
        <w:rPr/>
        <w:t>that</w:t>
      </w:r>
      <w:r>
        <w:rPr>
          <w:spacing w:val="-14"/>
        </w:rPr>
        <w:t> </w:t>
      </w:r>
      <w:r>
        <w:rPr/>
        <w:t>makes</w:t>
      </w:r>
      <w:r>
        <w:rPr>
          <w:spacing w:val="-13"/>
        </w:rPr>
        <w:t> </w:t>
      </w:r>
      <w:r>
        <w:rPr/>
        <w:t>it</w:t>
      </w:r>
      <w:r>
        <w:rPr>
          <w:spacing w:val="-14"/>
        </w:rPr>
        <w:t> </w:t>
      </w:r>
      <w:r>
        <w:rPr/>
        <w:t>difficult </w:t>
      </w:r>
      <w:r>
        <w:rPr>
          <w:spacing w:val="-2"/>
        </w:rPr>
        <w:t>to</w:t>
      </w:r>
      <w:r>
        <w:rPr>
          <w:spacing w:val="-11"/>
        </w:rPr>
        <w:t> </w:t>
      </w:r>
      <w:r>
        <w:rPr>
          <w:spacing w:val="-2"/>
        </w:rPr>
        <w:t>disentangle</w:t>
      </w:r>
      <w:r>
        <w:rPr>
          <w:spacing w:val="-11"/>
        </w:rPr>
        <w:t> </w:t>
      </w:r>
      <w:r>
        <w:rPr>
          <w:spacing w:val="-2"/>
        </w:rPr>
        <w:t>genuine</w:t>
      </w:r>
      <w:r>
        <w:rPr>
          <w:spacing w:val="-12"/>
        </w:rPr>
        <w:t> </w:t>
      </w:r>
      <w:r>
        <w:rPr>
          <w:spacing w:val="-2"/>
        </w:rPr>
        <w:t>inter-annual</w:t>
      </w:r>
      <w:r>
        <w:rPr>
          <w:spacing w:val="-11"/>
        </w:rPr>
        <w:t> </w:t>
      </w:r>
      <w:r>
        <w:rPr>
          <w:spacing w:val="-2"/>
        </w:rPr>
        <w:t>climate</w:t>
      </w:r>
      <w:r>
        <w:rPr>
          <w:spacing w:val="-11"/>
        </w:rPr>
        <w:t> </w:t>
      </w:r>
      <w:r>
        <w:rPr>
          <w:spacing w:val="-2"/>
        </w:rPr>
        <w:t>effects</w:t>
      </w:r>
      <w:r>
        <w:rPr>
          <w:spacing w:val="-12"/>
        </w:rPr>
        <w:t> </w:t>
      </w:r>
      <w:r>
        <w:rPr>
          <w:spacing w:val="-2"/>
        </w:rPr>
        <w:t>from</w:t>
      </w:r>
      <w:r>
        <w:rPr>
          <w:spacing w:val="-11"/>
        </w:rPr>
        <w:t> </w:t>
      </w:r>
      <w:r>
        <w:rPr>
          <w:spacing w:val="-2"/>
        </w:rPr>
        <w:t>structural</w:t>
      </w:r>
      <w:r>
        <w:rPr>
          <w:spacing w:val="-11"/>
        </w:rPr>
        <w:t> </w:t>
      </w:r>
      <w:r>
        <w:rPr>
          <w:spacing w:val="-2"/>
        </w:rPr>
        <w:t>level</w:t>
      </w:r>
      <w:r>
        <w:rPr>
          <w:spacing w:val="-11"/>
        </w:rPr>
        <w:t> </w:t>
      </w:r>
      <w:r>
        <w:rPr>
          <w:spacing w:val="-2"/>
        </w:rPr>
        <w:t>changes.</w:t>
      </w:r>
      <w:r>
        <w:rPr>
          <w:spacing w:val="3"/>
        </w:rPr>
        <w:t> </w:t>
      </w:r>
      <w:r>
        <w:rPr>
          <w:spacing w:val="-2"/>
        </w:rPr>
        <w:t>The</w:t>
      </w:r>
      <w:r>
        <w:rPr>
          <w:spacing w:val="-11"/>
        </w:rPr>
        <w:t> </w:t>
      </w:r>
      <w:r>
        <w:rPr>
          <w:spacing w:val="-2"/>
        </w:rPr>
        <w:t>models</w:t>
      </w:r>
      <w:r>
        <w:rPr>
          <w:spacing w:val="-11"/>
        </w:rPr>
        <w:t> </w:t>
      </w:r>
      <w:r>
        <w:rPr>
          <w:spacing w:val="-2"/>
        </w:rPr>
        <w:t>in</w:t>
      </w:r>
      <w:r>
        <w:rPr>
          <w:spacing w:val="-11"/>
        </w:rPr>
        <w:t> </w:t>
      </w:r>
      <w:r>
        <w:rPr>
          <w:spacing w:val="-2"/>
        </w:rPr>
        <w:t>this </w:t>
      </w:r>
      <w:r>
        <w:rPr/>
        <w:t>thesis</w:t>
      </w:r>
      <w:r>
        <w:rPr>
          <w:spacing w:val="-6"/>
        </w:rPr>
        <w:t> </w:t>
      </w:r>
      <w:r>
        <w:rPr/>
        <w:t>acknowledge</w:t>
      </w:r>
      <w:r>
        <w:rPr>
          <w:spacing w:val="-6"/>
        </w:rPr>
        <w:t> </w:t>
      </w:r>
      <w:r>
        <w:rPr/>
        <w:t>and</w:t>
      </w:r>
      <w:r>
        <w:rPr>
          <w:spacing w:val="-6"/>
        </w:rPr>
        <w:t> </w:t>
      </w:r>
      <w:r>
        <w:rPr/>
        <w:t>partially</w:t>
      </w:r>
      <w:r>
        <w:rPr>
          <w:spacing w:val="-6"/>
        </w:rPr>
        <w:t> </w:t>
      </w:r>
      <w:r>
        <w:rPr/>
        <w:t>address</w:t>
      </w:r>
      <w:r>
        <w:rPr>
          <w:spacing w:val="-6"/>
        </w:rPr>
        <w:t> </w:t>
      </w:r>
      <w:r>
        <w:rPr/>
        <w:t>this</w:t>
      </w:r>
      <w:r>
        <w:rPr>
          <w:spacing w:val="-6"/>
        </w:rPr>
        <w:t> </w:t>
      </w:r>
      <w:r>
        <w:rPr/>
        <w:t>confound</w:t>
      </w:r>
      <w:r>
        <w:rPr>
          <w:spacing w:val="-6"/>
        </w:rPr>
        <w:t> </w:t>
      </w:r>
      <w:r>
        <w:rPr/>
        <w:t>through</w:t>
      </w:r>
      <w:r>
        <w:rPr>
          <w:spacing w:val="-6"/>
        </w:rPr>
        <w:t> </w:t>
      </w:r>
      <w:r>
        <w:rPr/>
        <w:t>linear</w:t>
      </w:r>
      <w:r>
        <w:rPr>
          <w:spacing w:val="-6"/>
        </w:rPr>
        <w:t> </w:t>
      </w:r>
      <w:r>
        <w:rPr/>
        <w:t>detrending</w:t>
      </w:r>
      <w:r>
        <w:rPr>
          <w:spacing w:val="-6"/>
        </w:rPr>
        <w:t> </w:t>
      </w:r>
      <w:r>
        <w:rPr/>
        <w:t>and</w:t>
      </w:r>
      <w:r>
        <w:rPr>
          <w:spacing w:val="-6"/>
        </w:rPr>
        <w:t> </w:t>
      </w:r>
      <w:r>
        <w:rPr/>
        <w:t>the</w:t>
      </w:r>
      <w:r>
        <w:rPr>
          <w:spacing w:val="-6"/>
        </w:rPr>
        <w:t> </w:t>
      </w:r>
      <w:r>
        <w:rPr/>
        <w:t>LOESS sensitivity analysis, but fully removing it would require incorporating vineyard area, number of certified producers, and training system composition as explicit detrending covariates.</w:t>
      </w:r>
    </w:p>
    <w:p>
      <w:pPr>
        <w:pStyle w:val="BodyText"/>
        <w:spacing w:after="0" w:line="312" w:lineRule="auto"/>
        <w:jc w:val="both"/>
        <w:sectPr>
          <w:pgSz w:w="11910" w:h="16840"/>
          <w:pgMar w:header="1160" w:footer="0" w:top="1420" w:bottom="280" w:left="1275" w:right="425"/>
        </w:sectPr>
      </w:pPr>
    </w:p>
    <w:p>
      <w:pPr>
        <w:pStyle w:val="BodyText"/>
        <w:spacing w:before="153"/>
        <w:rPr>
          <w:sz w:val="28"/>
        </w:rPr>
      </w:pPr>
    </w:p>
    <w:p>
      <w:pPr>
        <w:pStyle w:val="Heading2"/>
        <w:numPr>
          <w:ilvl w:val="1"/>
          <w:numId w:val="16"/>
        </w:numPr>
        <w:tabs>
          <w:tab w:pos="1354" w:val="left" w:leader="none"/>
        </w:tabs>
        <w:spacing w:line="240" w:lineRule="auto" w:before="1" w:after="0"/>
        <w:ind w:left="1354" w:right="0" w:hanging="645"/>
        <w:jc w:val="left"/>
      </w:pPr>
      <w:bookmarkStart w:name="2.9 Time Series Properties and Evaluatio" w:id="52"/>
      <w:bookmarkEnd w:id="52"/>
      <w:r>
        <w:rPr>
          <w:b w:val="0"/>
        </w:rPr>
      </w:r>
      <w:bookmarkStart w:name="_bookmark24" w:id="53"/>
      <w:bookmarkEnd w:id="53"/>
      <w:r>
        <w:rPr>
          <w:b w:val="0"/>
        </w:rPr>
      </w:r>
      <w:r>
        <w:rPr/>
        <w:t>Time</w:t>
      </w:r>
      <w:r>
        <w:rPr>
          <w:spacing w:val="15"/>
        </w:rPr>
        <w:t> </w:t>
      </w:r>
      <w:r>
        <w:rPr/>
        <w:t>Series</w:t>
      </w:r>
      <w:r>
        <w:rPr>
          <w:spacing w:val="15"/>
        </w:rPr>
        <w:t> </w:t>
      </w:r>
      <w:r>
        <w:rPr/>
        <w:t>Properties</w:t>
      </w:r>
      <w:r>
        <w:rPr>
          <w:spacing w:val="16"/>
        </w:rPr>
        <w:t> </w:t>
      </w:r>
      <w:r>
        <w:rPr/>
        <w:t>and</w:t>
      </w:r>
      <w:r>
        <w:rPr>
          <w:spacing w:val="15"/>
        </w:rPr>
        <w:t> </w:t>
      </w:r>
      <w:r>
        <w:rPr/>
        <w:t>Evaluation</w:t>
      </w:r>
      <w:r>
        <w:rPr>
          <w:spacing w:val="15"/>
        </w:rPr>
        <w:t> </w:t>
      </w:r>
      <w:r>
        <w:rPr>
          <w:spacing w:val="-2"/>
        </w:rPr>
        <w:t>Methodology</w:t>
      </w:r>
    </w:p>
    <w:p>
      <w:pPr>
        <w:pStyle w:val="BodyText"/>
        <w:spacing w:line="312" w:lineRule="auto" w:before="314"/>
        <w:ind w:left="709" w:right="986" w:hanging="8"/>
        <w:jc w:val="both"/>
      </w:pPr>
      <w:r>
        <w:rPr/>
        <w:t>Annual</w:t>
      </w:r>
      <w:r>
        <w:rPr>
          <w:spacing w:val="-3"/>
        </w:rPr>
        <w:t> </w:t>
      </w:r>
      <w:r>
        <w:rPr/>
        <w:t>wine</w:t>
      </w:r>
      <w:r>
        <w:rPr>
          <w:spacing w:val="-3"/>
        </w:rPr>
        <w:t> </w:t>
      </w:r>
      <w:r>
        <w:rPr/>
        <w:t>production</w:t>
      </w:r>
      <w:r>
        <w:rPr>
          <w:spacing w:val="-3"/>
        </w:rPr>
        <w:t> </w:t>
      </w:r>
      <w:r>
        <w:rPr/>
        <w:t>data</w:t>
      </w:r>
      <w:r>
        <w:rPr>
          <w:spacing w:val="-3"/>
        </w:rPr>
        <w:t> </w:t>
      </w:r>
      <w:r>
        <w:rPr/>
        <w:t>is</w:t>
      </w:r>
      <w:r>
        <w:rPr>
          <w:spacing w:val="-3"/>
        </w:rPr>
        <w:t> </w:t>
      </w:r>
      <w:r>
        <w:rPr/>
        <w:t>a</w:t>
      </w:r>
      <w:r>
        <w:rPr>
          <w:spacing w:val="-3"/>
        </w:rPr>
        <w:t> </w:t>
      </w:r>
      <w:r>
        <w:rPr/>
        <w:t>time</w:t>
      </w:r>
      <w:r>
        <w:rPr>
          <w:spacing w:val="-3"/>
        </w:rPr>
        <w:t> </w:t>
      </w:r>
      <w:r>
        <w:rPr/>
        <w:t>series</w:t>
      </w:r>
      <w:r>
        <w:rPr>
          <w:spacing w:val="-3"/>
        </w:rPr>
        <w:t> </w:t>
      </w:r>
      <w:r>
        <w:rPr/>
        <w:t>with</w:t>
      </w:r>
      <w:r>
        <w:rPr>
          <w:spacing w:val="-3"/>
        </w:rPr>
        <w:t> </w:t>
      </w:r>
      <w:r>
        <w:rPr/>
        <w:t>properties</w:t>
      </w:r>
      <w:r>
        <w:rPr>
          <w:spacing w:val="-3"/>
        </w:rPr>
        <w:t> </w:t>
      </w:r>
      <w:r>
        <w:rPr/>
        <w:t>that</w:t>
      </w:r>
      <w:r>
        <w:rPr>
          <w:spacing w:val="-3"/>
        </w:rPr>
        <w:t> </w:t>
      </w:r>
      <w:r>
        <w:rPr/>
        <w:t>have</w:t>
      </w:r>
      <w:r>
        <w:rPr>
          <w:spacing w:val="-3"/>
        </w:rPr>
        <w:t> </w:t>
      </w:r>
      <w:r>
        <w:rPr/>
        <w:t>important</w:t>
      </w:r>
      <w:r>
        <w:rPr>
          <w:spacing w:val="-3"/>
        </w:rPr>
        <w:t> </w:t>
      </w:r>
      <w:r>
        <w:rPr/>
        <w:t>implications</w:t>
      </w:r>
      <w:r>
        <w:rPr>
          <w:spacing w:val="-3"/>
        </w:rPr>
        <w:t> </w:t>
      </w:r>
      <w:r>
        <w:rPr/>
        <w:t>for model evaluation.</w:t>
      </w:r>
      <w:r>
        <w:rPr>
          <w:spacing w:val="31"/>
        </w:rPr>
        <w:t> </w:t>
      </w:r>
      <w:r>
        <w:rPr/>
        <w:t>This section reviews the relevant concepts and motivates the methodological choices made in Chapter </w:t>
      </w:r>
      <w:hyperlink w:history="true" w:anchor="_bookmark28">
        <w:r>
          <w:rPr>
            <w:color w:val="8B2C18"/>
          </w:rPr>
          <w:t>3</w:t>
        </w:r>
      </w:hyperlink>
      <w:r>
        <w:rPr/>
        <w:t>.</w:t>
      </w:r>
    </w:p>
    <w:p>
      <w:pPr>
        <w:pStyle w:val="BodyText"/>
        <w:spacing w:before="135"/>
      </w:pPr>
    </w:p>
    <w:p>
      <w:pPr>
        <w:pStyle w:val="Heading3"/>
        <w:numPr>
          <w:ilvl w:val="2"/>
          <w:numId w:val="16"/>
        </w:numPr>
        <w:tabs>
          <w:tab w:pos="1426" w:val="left" w:leader="none"/>
        </w:tabs>
        <w:spacing w:line="240" w:lineRule="auto" w:before="0" w:after="0"/>
        <w:ind w:left="1426" w:right="0" w:hanging="717"/>
        <w:jc w:val="left"/>
      </w:pPr>
      <w:bookmarkStart w:name="2.9.1 Non-Stationarity and Structural Br" w:id="54"/>
      <w:bookmarkEnd w:id="54"/>
      <w:r>
        <w:rPr>
          <w:b w:val="0"/>
        </w:rPr>
      </w:r>
      <w:bookmarkStart w:name="_bookmark25" w:id="55"/>
      <w:bookmarkEnd w:id="55"/>
      <w:r>
        <w:rPr>
          <w:b w:val="0"/>
        </w:rPr>
      </w:r>
      <w:r>
        <w:rPr/>
        <w:t>Non-Stationarity</w:t>
      </w:r>
      <w:r>
        <w:rPr>
          <w:spacing w:val="-12"/>
        </w:rPr>
        <w:t> </w:t>
      </w:r>
      <w:r>
        <w:rPr/>
        <w:t>and</w:t>
      </w:r>
      <w:r>
        <w:rPr>
          <w:spacing w:val="-12"/>
        </w:rPr>
        <w:t> </w:t>
      </w:r>
      <w:r>
        <w:rPr/>
        <w:t>Structural</w:t>
      </w:r>
      <w:r>
        <w:rPr>
          <w:spacing w:val="-11"/>
        </w:rPr>
        <w:t> </w:t>
      </w:r>
      <w:r>
        <w:rPr>
          <w:spacing w:val="-2"/>
        </w:rPr>
        <w:t>Breaks</w:t>
      </w:r>
    </w:p>
    <w:p>
      <w:pPr>
        <w:pStyle w:val="BodyText"/>
        <w:spacing w:line="312" w:lineRule="auto" w:before="245"/>
        <w:ind w:left="701" w:right="962"/>
        <w:jc w:val="both"/>
      </w:pPr>
      <w:r>
        <w:rPr/>
        <w:t>A time series is stationary if its mean, variance, and autocovariance structure do not change over time.</w:t>
      </w:r>
      <w:r>
        <w:rPr>
          <w:spacing w:val="80"/>
        </w:rPr>
        <w:t> </w:t>
      </w:r>
      <w:r>
        <w:rPr/>
        <w:t>Both</w:t>
      </w:r>
      <w:r>
        <w:rPr>
          <w:spacing w:val="27"/>
        </w:rPr>
        <w:t> </w:t>
      </w:r>
      <w:r>
        <w:rPr/>
        <w:t>regional</w:t>
      </w:r>
      <w:r>
        <w:rPr>
          <w:spacing w:val="27"/>
        </w:rPr>
        <w:t> </w:t>
      </w:r>
      <w:r>
        <w:rPr/>
        <w:t>production</w:t>
      </w:r>
      <w:r>
        <w:rPr>
          <w:spacing w:val="28"/>
        </w:rPr>
        <w:t> </w:t>
      </w:r>
      <w:r>
        <w:rPr/>
        <w:t>series</w:t>
      </w:r>
      <w:r>
        <w:rPr>
          <w:spacing w:val="27"/>
        </w:rPr>
        <w:t> </w:t>
      </w:r>
      <w:r>
        <w:rPr/>
        <w:t>are</w:t>
      </w:r>
      <w:r>
        <w:rPr>
          <w:spacing w:val="28"/>
        </w:rPr>
        <w:t> </w:t>
      </w:r>
      <w:r>
        <w:rPr/>
        <w:t>non-stationary</w:t>
      </w:r>
      <w:r>
        <w:rPr>
          <w:spacing w:val="28"/>
        </w:rPr>
        <w:t> </w:t>
      </w:r>
      <w:r>
        <w:rPr/>
        <w:t>in</w:t>
      </w:r>
      <w:r>
        <w:rPr>
          <w:spacing w:val="27"/>
        </w:rPr>
        <w:t> </w:t>
      </w:r>
      <w:r>
        <w:rPr/>
        <w:t>the</w:t>
      </w:r>
      <w:r>
        <w:rPr>
          <w:spacing w:val="28"/>
        </w:rPr>
        <w:t> </w:t>
      </w:r>
      <w:r>
        <w:rPr/>
        <w:t>strict</w:t>
      </w:r>
      <w:r>
        <w:rPr>
          <w:spacing w:val="27"/>
        </w:rPr>
        <w:t> </w:t>
      </w:r>
      <w:r>
        <w:rPr/>
        <w:t>sense.</w:t>
      </w:r>
      <w:r>
        <w:rPr>
          <w:spacing w:val="80"/>
        </w:rPr>
        <w:t> </w:t>
      </w:r>
      <w:r>
        <w:rPr/>
        <w:t>The</w:t>
      </w:r>
      <w:r>
        <w:rPr>
          <w:spacing w:val="28"/>
        </w:rPr>
        <w:t> </w:t>
      </w:r>
      <w:r>
        <w:rPr/>
        <w:t>RDD</w:t>
      </w:r>
      <w:r>
        <w:rPr>
          <w:spacing w:val="27"/>
        </w:rPr>
        <w:t> </w:t>
      </w:r>
      <w:r>
        <w:rPr/>
        <w:t>series has a positive mean trend and the RVV series has a strongly negative trend.</w:t>
      </w:r>
      <w:r>
        <w:rPr>
          <w:spacing w:val="40"/>
        </w:rPr>
        <w:t> </w:t>
      </w:r>
      <w:r>
        <w:rPr/>
        <w:t>More subtly, both series exhibit structural breaks, abrupt changes in the level or trend that cannot be attributed to normal year-to-year variability.</w:t>
      </w:r>
      <w:r>
        <w:rPr>
          <w:spacing w:val="40"/>
        </w:rPr>
        <w:t> </w:t>
      </w:r>
      <w:r>
        <w:rPr/>
        <w:t>In the RVV series, the most prominent structural break occurs</w:t>
      </w:r>
      <w:r>
        <w:rPr>
          <w:spacing w:val="40"/>
        </w:rPr>
        <w:t> </w:t>
      </w:r>
      <w:r>
        <w:rPr/>
        <w:t>in the mid-1980s, coinciding with EU accession and the subsequent grubbing-up subsidies.</w:t>
      </w:r>
      <w:r>
        <w:rPr>
          <w:spacing w:val="40"/>
        </w:rPr>
        <w:t> </w:t>
      </w:r>
      <w:r>
        <w:rPr/>
        <w:t>In the RDD series, no sharp structural break is evident in the decade-level averages (Appendix </w:t>
      </w:r>
      <w:hyperlink w:history="true" w:anchor="_bookmark163">
        <w:r>
          <w:rPr>
            <w:color w:val="8B2C18"/>
          </w:rPr>
          <w:t>B</w:t>
        </w:r>
      </w:hyperlink>
      <w:r>
        <w:rPr/>
        <w:t>, Table</w:t>
      </w:r>
      <w:r>
        <w:rPr>
          <w:spacing w:val="-11"/>
        </w:rPr>
        <w:t> </w:t>
      </w:r>
      <w:hyperlink w:history="true" w:anchor="_bookmark167">
        <w:r>
          <w:rPr>
            <w:color w:val="8B2C18"/>
          </w:rPr>
          <w:t>B.2</w:t>
        </w:r>
      </w:hyperlink>
      <w:r>
        <w:rPr/>
        <w:t>);</w:t>
      </w:r>
      <w:r>
        <w:rPr>
          <w:spacing w:val="-11"/>
        </w:rPr>
        <w:t> </w:t>
      </w:r>
      <w:r>
        <w:rPr/>
        <w:t>instead,</w:t>
      </w:r>
      <w:r>
        <w:rPr>
          <w:spacing w:val="-11"/>
        </w:rPr>
        <w:t> </w:t>
      </w:r>
      <w:r>
        <w:rPr/>
        <w:t>production</w:t>
      </w:r>
      <w:r>
        <w:rPr>
          <w:spacing w:val="-11"/>
        </w:rPr>
        <w:t> </w:t>
      </w:r>
      <w:r>
        <w:rPr/>
        <w:t>follows</w:t>
      </w:r>
      <w:r>
        <w:rPr>
          <w:spacing w:val="-11"/>
        </w:rPr>
        <w:t> </w:t>
      </w:r>
      <w:r>
        <w:rPr/>
        <w:t>a</w:t>
      </w:r>
      <w:r>
        <w:rPr>
          <w:spacing w:val="-11"/>
        </w:rPr>
        <w:t> </w:t>
      </w:r>
      <w:r>
        <w:rPr/>
        <w:t>gradual</w:t>
      </w:r>
      <w:r>
        <w:rPr>
          <w:spacing w:val="-11"/>
        </w:rPr>
        <w:t> </w:t>
      </w:r>
      <w:r>
        <w:rPr/>
        <w:t>upward</w:t>
      </w:r>
      <w:r>
        <w:rPr>
          <w:spacing w:val="-11"/>
        </w:rPr>
        <w:t> </w:t>
      </w:r>
      <w:r>
        <w:rPr/>
        <w:t>trend</w:t>
      </w:r>
      <w:r>
        <w:rPr>
          <w:spacing w:val="-11"/>
        </w:rPr>
        <w:t> </w:t>
      </w:r>
      <w:r>
        <w:rPr/>
        <w:t>from</w:t>
      </w:r>
      <w:r>
        <w:rPr>
          <w:spacing w:val="-11"/>
        </w:rPr>
        <w:t> </w:t>
      </w:r>
      <w:r>
        <w:rPr/>
        <w:t>the</w:t>
      </w:r>
      <w:r>
        <w:rPr>
          <w:spacing w:val="-11"/>
        </w:rPr>
        <w:t> </w:t>
      </w:r>
      <w:r>
        <w:rPr/>
        <w:t>1950s</w:t>
      </w:r>
      <w:r>
        <w:rPr>
          <w:spacing w:val="-11"/>
        </w:rPr>
        <w:t> </w:t>
      </w:r>
      <w:r>
        <w:rPr/>
        <w:t>onward,</w:t>
      </w:r>
      <w:r>
        <w:rPr>
          <w:spacing w:val="-11"/>
        </w:rPr>
        <w:t> </w:t>
      </w:r>
      <w:r>
        <w:rPr/>
        <w:t>consistent with incremental regulatory and market expansion rather than a single discrete transition.</w:t>
      </w:r>
    </w:p>
    <w:p>
      <w:pPr>
        <w:pStyle w:val="BodyText"/>
        <w:spacing w:line="312" w:lineRule="auto" w:before="11"/>
        <w:ind w:left="702" w:right="952" w:firstLine="345"/>
        <w:jc w:val="both"/>
      </w:pPr>
      <w:r>
        <w:rPr/>
        <w:t>Non-stationarity poses a direct challenge for machine learning models: a model trained on data</w:t>
      </w:r>
      <w:r>
        <w:rPr>
          <w:spacing w:val="-5"/>
        </w:rPr>
        <w:t> </w:t>
      </w:r>
      <w:r>
        <w:rPr/>
        <w:t>from</w:t>
      </w:r>
      <w:r>
        <w:rPr>
          <w:spacing w:val="-5"/>
        </w:rPr>
        <w:t> </w:t>
      </w:r>
      <w:r>
        <w:rPr/>
        <w:t>one</w:t>
      </w:r>
      <w:r>
        <w:rPr>
          <w:spacing w:val="-5"/>
        </w:rPr>
        <w:t> </w:t>
      </w:r>
      <w:r>
        <w:rPr/>
        <w:t>period</w:t>
      </w:r>
      <w:r>
        <w:rPr>
          <w:spacing w:val="-5"/>
        </w:rPr>
        <w:t> </w:t>
      </w:r>
      <w:r>
        <w:rPr/>
        <w:t>of</w:t>
      </w:r>
      <w:r>
        <w:rPr>
          <w:spacing w:val="-5"/>
        </w:rPr>
        <w:t> </w:t>
      </w:r>
      <w:r>
        <w:rPr/>
        <w:t>a</w:t>
      </w:r>
      <w:r>
        <w:rPr>
          <w:spacing w:val="-5"/>
        </w:rPr>
        <w:t> </w:t>
      </w:r>
      <w:r>
        <w:rPr/>
        <w:t>non-stationary</w:t>
      </w:r>
      <w:r>
        <w:rPr>
          <w:spacing w:val="-5"/>
        </w:rPr>
        <w:t> </w:t>
      </w:r>
      <w:r>
        <w:rPr/>
        <w:t>series</w:t>
      </w:r>
      <w:r>
        <w:rPr>
          <w:spacing w:val="-5"/>
        </w:rPr>
        <w:t> </w:t>
      </w:r>
      <w:r>
        <w:rPr/>
        <w:t>may</w:t>
      </w:r>
      <w:r>
        <w:rPr>
          <w:spacing w:val="-5"/>
        </w:rPr>
        <w:t> </w:t>
      </w:r>
      <w:r>
        <w:rPr/>
        <w:t>not</w:t>
      </w:r>
      <w:r>
        <w:rPr>
          <w:spacing w:val="-5"/>
        </w:rPr>
        <w:t> </w:t>
      </w:r>
      <w:r>
        <w:rPr/>
        <w:t>generalise</w:t>
      </w:r>
      <w:r>
        <w:rPr>
          <w:spacing w:val="-5"/>
        </w:rPr>
        <w:t> </w:t>
      </w:r>
      <w:r>
        <w:rPr/>
        <w:t>to</w:t>
      </w:r>
      <w:r>
        <w:rPr>
          <w:spacing w:val="-5"/>
        </w:rPr>
        <w:t> </w:t>
      </w:r>
      <w:r>
        <w:rPr/>
        <w:t>data</w:t>
      </w:r>
      <w:r>
        <w:rPr>
          <w:spacing w:val="-5"/>
        </w:rPr>
        <w:t> </w:t>
      </w:r>
      <w:r>
        <w:rPr/>
        <w:t>from</w:t>
      </w:r>
      <w:r>
        <w:rPr>
          <w:spacing w:val="-5"/>
        </w:rPr>
        <w:t> </w:t>
      </w:r>
      <w:r>
        <w:rPr/>
        <w:t>a</w:t>
      </w:r>
      <w:r>
        <w:rPr>
          <w:spacing w:val="-5"/>
        </w:rPr>
        <w:t> </w:t>
      </w:r>
      <w:r>
        <w:rPr/>
        <w:t>different</w:t>
      </w:r>
      <w:r>
        <w:rPr>
          <w:spacing w:val="-5"/>
        </w:rPr>
        <w:t> </w:t>
      </w:r>
      <w:r>
        <w:rPr/>
        <w:t>period. The standard practice in such settings is to remove the deterministic trend component before modelling, leaving stationary residuals that represent genuine inter-annual variation around the structural</w:t>
      </w:r>
      <w:r>
        <w:rPr>
          <w:spacing w:val="-7"/>
        </w:rPr>
        <w:t> </w:t>
      </w:r>
      <w:r>
        <w:rPr/>
        <w:t>trajectory. This</w:t>
      </w:r>
      <w:r>
        <w:rPr>
          <w:spacing w:val="-7"/>
        </w:rPr>
        <w:t> </w:t>
      </w:r>
      <w:r>
        <w:rPr/>
        <w:t>is</w:t>
      </w:r>
      <w:r>
        <w:rPr>
          <w:spacing w:val="-7"/>
        </w:rPr>
        <w:t> </w:t>
      </w:r>
      <w:r>
        <w:rPr/>
        <w:t>precisely</w:t>
      </w:r>
      <w:r>
        <w:rPr>
          <w:spacing w:val="-7"/>
        </w:rPr>
        <w:t> </w:t>
      </w:r>
      <w:r>
        <w:rPr/>
        <w:t>the</w:t>
      </w:r>
      <w:r>
        <w:rPr>
          <w:spacing w:val="-7"/>
        </w:rPr>
        <w:t> </w:t>
      </w:r>
      <w:r>
        <w:rPr/>
        <w:t>role</w:t>
      </w:r>
      <w:r>
        <w:rPr>
          <w:spacing w:val="-7"/>
        </w:rPr>
        <w:t> </w:t>
      </w:r>
      <w:r>
        <w:rPr/>
        <w:t>of</w:t>
      </w:r>
      <w:r>
        <w:rPr>
          <w:spacing w:val="-7"/>
        </w:rPr>
        <w:t> </w:t>
      </w:r>
      <w:r>
        <w:rPr/>
        <w:t>the</w:t>
      </w:r>
      <w:r>
        <w:rPr>
          <w:spacing w:val="-7"/>
        </w:rPr>
        <w:t> </w:t>
      </w:r>
      <w:r>
        <w:rPr/>
        <w:t>detrending</w:t>
      </w:r>
      <w:r>
        <w:rPr>
          <w:spacing w:val="-7"/>
        </w:rPr>
        <w:t> </w:t>
      </w:r>
      <w:r>
        <w:rPr/>
        <w:t>step</w:t>
      </w:r>
      <w:r>
        <w:rPr>
          <w:spacing w:val="-7"/>
        </w:rPr>
        <w:t> </w:t>
      </w:r>
      <w:r>
        <w:rPr/>
        <w:t>described</w:t>
      </w:r>
      <w:r>
        <w:rPr>
          <w:spacing w:val="-7"/>
        </w:rPr>
        <w:t> </w:t>
      </w:r>
      <w:r>
        <w:rPr/>
        <w:t>in</w:t>
      </w:r>
      <w:r>
        <w:rPr>
          <w:spacing w:val="-7"/>
        </w:rPr>
        <w:t> </w:t>
      </w:r>
      <w:r>
        <w:rPr/>
        <w:t>Section</w:t>
      </w:r>
      <w:r>
        <w:rPr>
          <w:spacing w:val="-7"/>
        </w:rPr>
        <w:t> </w:t>
      </w:r>
      <w:hyperlink w:history="true" w:anchor="_bookmark35">
        <w:r>
          <w:rPr>
            <w:color w:val="8B2C18"/>
          </w:rPr>
          <w:t>3.3</w:t>
        </w:r>
      </w:hyperlink>
      <w:r>
        <w:rPr/>
        <w:t>. The appropriateness of linear vs.</w:t>
      </w:r>
      <w:r>
        <w:rPr>
          <w:spacing w:val="40"/>
        </w:rPr>
        <w:t> </w:t>
      </w:r>
      <w:r>
        <w:rPr/>
        <w:t>flexible detrending depends on the shape of the structural trend, a question examined empirically through the LOESS sensitivity analysis in Section </w:t>
      </w:r>
      <w:hyperlink w:history="true" w:anchor="_bookmark113">
        <w:r>
          <w:rPr>
            <w:color w:val="8B2C18"/>
          </w:rPr>
          <w:t>5.5</w:t>
        </w:r>
      </w:hyperlink>
      <w:r>
        <w:rPr/>
        <w:t>.</w:t>
      </w:r>
    </w:p>
    <w:p>
      <w:pPr>
        <w:pStyle w:val="BodyText"/>
        <w:spacing w:before="134"/>
      </w:pPr>
    </w:p>
    <w:p>
      <w:pPr>
        <w:pStyle w:val="Heading3"/>
        <w:numPr>
          <w:ilvl w:val="2"/>
          <w:numId w:val="16"/>
        </w:numPr>
        <w:tabs>
          <w:tab w:pos="1426" w:val="left" w:leader="none"/>
        </w:tabs>
        <w:spacing w:line="240" w:lineRule="auto" w:before="0" w:after="0"/>
        <w:ind w:left="1426" w:right="0" w:hanging="717"/>
        <w:jc w:val="left"/>
      </w:pPr>
      <w:bookmarkStart w:name="2.9.2 Why Random Cross-Validation Is Inv" w:id="56"/>
      <w:bookmarkEnd w:id="56"/>
      <w:r>
        <w:rPr>
          <w:b w:val="0"/>
        </w:rPr>
      </w:r>
      <w:bookmarkStart w:name="_bookmark26" w:id="57"/>
      <w:bookmarkEnd w:id="57"/>
      <w:r>
        <w:rPr>
          <w:b w:val="0"/>
        </w:rPr>
      </w:r>
      <w:r>
        <w:rPr>
          <w:spacing w:val="-2"/>
        </w:rPr>
        <w:t>Why</w:t>
      </w:r>
      <w:r>
        <w:rPr>
          <w:spacing w:val="-5"/>
        </w:rPr>
        <w:t> </w:t>
      </w:r>
      <w:r>
        <w:rPr>
          <w:spacing w:val="-2"/>
        </w:rPr>
        <w:t>Random</w:t>
      </w:r>
      <w:r>
        <w:rPr>
          <w:spacing w:val="-4"/>
        </w:rPr>
        <w:t> </w:t>
      </w:r>
      <w:r>
        <w:rPr>
          <w:spacing w:val="-2"/>
        </w:rPr>
        <w:t>Cross-Validation</w:t>
      </w:r>
      <w:r>
        <w:rPr>
          <w:spacing w:val="-4"/>
        </w:rPr>
        <w:t> </w:t>
      </w:r>
      <w:r>
        <w:rPr>
          <w:spacing w:val="-2"/>
        </w:rPr>
        <w:t>Is</w:t>
      </w:r>
      <w:r>
        <w:rPr>
          <w:spacing w:val="-4"/>
        </w:rPr>
        <w:t> </w:t>
      </w:r>
      <w:r>
        <w:rPr>
          <w:spacing w:val="-2"/>
        </w:rPr>
        <w:t>Invalid</w:t>
      </w:r>
      <w:r>
        <w:rPr>
          <w:spacing w:val="-4"/>
        </w:rPr>
        <w:t> </w:t>
      </w:r>
      <w:r>
        <w:rPr>
          <w:spacing w:val="-2"/>
        </w:rPr>
        <w:t>for</w:t>
      </w:r>
      <w:r>
        <w:rPr>
          <w:spacing w:val="-4"/>
        </w:rPr>
        <w:t> </w:t>
      </w:r>
      <w:r>
        <w:rPr>
          <w:spacing w:val="-2"/>
        </w:rPr>
        <w:t>Time</w:t>
      </w:r>
      <w:r>
        <w:rPr>
          <w:spacing w:val="-4"/>
        </w:rPr>
        <w:t> </w:t>
      </w:r>
      <w:r>
        <w:rPr>
          <w:spacing w:val="-2"/>
        </w:rPr>
        <w:t>Series</w:t>
      </w:r>
    </w:p>
    <w:p>
      <w:pPr>
        <w:pStyle w:val="BodyText"/>
        <w:spacing w:line="312" w:lineRule="auto" w:before="245"/>
        <w:ind w:left="703" w:right="990" w:hanging="2"/>
        <w:jc w:val="both"/>
      </w:pPr>
      <w:r>
        <w:rPr>
          <w:spacing w:val="-4"/>
        </w:rPr>
        <w:t>The</w:t>
      </w:r>
      <w:r>
        <w:rPr>
          <w:spacing w:val="-6"/>
        </w:rPr>
        <w:t> </w:t>
      </w:r>
      <w:r>
        <w:rPr>
          <w:spacing w:val="-4"/>
        </w:rPr>
        <w:t>standard</w:t>
      </w:r>
      <w:r>
        <w:rPr>
          <w:spacing w:val="-6"/>
        </w:rPr>
        <w:t> </w:t>
      </w:r>
      <w:r>
        <w:rPr>
          <w:spacing w:val="-4"/>
        </w:rPr>
        <w:t>approach</w:t>
      </w:r>
      <w:r>
        <w:rPr>
          <w:spacing w:val="-6"/>
        </w:rPr>
        <w:t> </w:t>
      </w:r>
      <w:r>
        <w:rPr>
          <w:spacing w:val="-4"/>
        </w:rPr>
        <w:t>to</w:t>
      </w:r>
      <w:r>
        <w:rPr>
          <w:spacing w:val="-6"/>
        </w:rPr>
        <w:t> </w:t>
      </w:r>
      <w:r>
        <w:rPr>
          <w:spacing w:val="-4"/>
        </w:rPr>
        <w:t>model</w:t>
      </w:r>
      <w:r>
        <w:rPr>
          <w:spacing w:val="-6"/>
        </w:rPr>
        <w:t> </w:t>
      </w:r>
      <w:r>
        <w:rPr>
          <w:spacing w:val="-4"/>
        </w:rPr>
        <w:t>evaluation</w:t>
      </w:r>
      <w:r>
        <w:rPr>
          <w:spacing w:val="-6"/>
        </w:rPr>
        <w:t> </w:t>
      </w:r>
      <w:r>
        <w:rPr>
          <w:spacing w:val="-4"/>
        </w:rPr>
        <w:t>in</w:t>
      </w:r>
      <w:r>
        <w:rPr>
          <w:spacing w:val="-6"/>
        </w:rPr>
        <w:t> </w:t>
      </w:r>
      <w:r>
        <w:rPr>
          <w:spacing w:val="-4"/>
        </w:rPr>
        <w:t>machine</w:t>
      </w:r>
      <w:r>
        <w:rPr>
          <w:spacing w:val="-6"/>
        </w:rPr>
        <w:t> </w:t>
      </w:r>
      <w:r>
        <w:rPr>
          <w:spacing w:val="-4"/>
        </w:rPr>
        <w:t>learning, k-fold</w:t>
      </w:r>
      <w:r>
        <w:rPr>
          <w:spacing w:val="-6"/>
        </w:rPr>
        <w:t> </w:t>
      </w:r>
      <w:r>
        <w:rPr>
          <w:spacing w:val="-4"/>
        </w:rPr>
        <w:t>cross-validation</w:t>
      </w:r>
      <w:r>
        <w:rPr>
          <w:spacing w:val="-6"/>
        </w:rPr>
        <w:t> </w:t>
      </w:r>
      <w:r>
        <w:rPr>
          <w:spacing w:val="-4"/>
        </w:rPr>
        <w:t>with</w:t>
      </w:r>
      <w:r>
        <w:rPr>
          <w:spacing w:val="-6"/>
        </w:rPr>
        <w:t> </w:t>
      </w:r>
      <w:r>
        <w:rPr>
          <w:spacing w:val="-4"/>
        </w:rPr>
        <w:t>random </w:t>
      </w:r>
      <w:r>
        <w:rPr/>
        <w:t>assignment</w:t>
      </w:r>
      <w:r>
        <w:rPr>
          <w:spacing w:val="-16"/>
        </w:rPr>
        <w:t> </w:t>
      </w:r>
      <w:r>
        <w:rPr/>
        <w:t>of</w:t>
      </w:r>
      <w:r>
        <w:rPr>
          <w:spacing w:val="-14"/>
        </w:rPr>
        <w:t> </w:t>
      </w:r>
      <w:r>
        <w:rPr/>
        <w:t>observations</w:t>
      </w:r>
      <w:r>
        <w:rPr>
          <w:spacing w:val="-14"/>
        </w:rPr>
        <w:t> </w:t>
      </w:r>
      <w:r>
        <w:rPr/>
        <w:t>to</w:t>
      </w:r>
      <w:r>
        <w:rPr>
          <w:spacing w:val="-13"/>
        </w:rPr>
        <w:t> </w:t>
      </w:r>
      <w:r>
        <w:rPr/>
        <w:t>folds,</w:t>
      </w:r>
      <w:r>
        <w:rPr>
          <w:spacing w:val="-14"/>
        </w:rPr>
        <w:t> </w:t>
      </w:r>
      <w:r>
        <w:rPr/>
        <w:t>is</w:t>
      </w:r>
      <w:r>
        <w:rPr>
          <w:spacing w:val="-14"/>
        </w:rPr>
        <w:t> </w:t>
      </w:r>
      <w:r>
        <w:rPr/>
        <w:t>inappropriate</w:t>
      </w:r>
      <w:r>
        <w:rPr>
          <w:spacing w:val="-14"/>
        </w:rPr>
        <w:t> </w:t>
      </w:r>
      <w:r>
        <w:rPr/>
        <w:t>for</w:t>
      </w:r>
      <w:r>
        <w:rPr>
          <w:spacing w:val="-13"/>
        </w:rPr>
        <w:t> </w:t>
      </w:r>
      <w:r>
        <w:rPr/>
        <w:t>time</w:t>
      </w:r>
      <w:r>
        <w:rPr>
          <w:spacing w:val="-14"/>
        </w:rPr>
        <w:t> </w:t>
      </w:r>
      <w:r>
        <w:rPr/>
        <w:t>series</w:t>
      </w:r>
      <w:r>
        <w:rPr>
          <w:spacing w:val="-14"/>
        </w:rPr>
        <w:t> </w:t>
      </w:r>
      <w:r>
        <w:rPr/>
        <w:t>data.</w:t>
      </w:r>
      <w:r>
        <w:rPr>
          <w:spacing w:val="-14"/>
        </w:rPr>
        <w:t> </w:t>
      </w:r>
      <w:r>
        <w:rPr/>
        <w:t>Random</w:t>
      </w:r>
      <w:r>
        <w:rPr>
          <w:spacing w:val="-13"/>
        </w:rPr>
        <w:t> </w:t>
      </w:r>
      <w:r>
        <w:rPr/>
        <w:t>cross-validation implicitly</w:t>
      </w:r>
      <w:r>
        <w:rPr>
          <w:spacing w:val="-13"/>
        </w:rPr>
        <w:t> </w:t>
      </w:r>
      <w:r>
        <w:rPr/>
        <w:t>assumes</w:t>
      </w:r>
      <w:r>
        <w:rPr>
          <w:spacing w:val="-13"/>
        </w:rPr>
        <w:t> </w:t>
      </w:r>
      <w:r>
        <w:rPr/>
        <w:t>that</w:t>
      </w:r>
      <w:r>
        <w:rPr>
          <w:spacing w:val="-13"/>
        </w:rPr>
        <w:t> </w:t>
      </w:r>
      <w:r>
        <w:rPr/>
        <w:t>observations</w:t>
      </w:r>
      <w:r>
        <w:rPr>
          <w:spacing w:val="-13"/>
        </w:rPr>
        <w:t> </w:t>
      </w:r>
      <w:r>
        <w:rPr/>
        <w:t>are</w:t>
      </w:r>
      <w:r>
        <w:rPr>
          <w:spacing w:val="-13"/>
        </w:rPr>
        <w:t> </w:t>
      </w:r>
      <w:r>
        <w:rPr/>
        <w:t>exchangeable:</w:t>
      </w:r>
      <w:r>
        <w:rPr>
          <w:spacing w:val="-2"/>
        </w:rPr>
        <w:t> </w:t>
      </w:r>
      <w:r>
        <w:rPr/>
        <w:t>that</w:t>
      </w:r>
      <w:r>
        <w:rPr>
          <w:spacing w:val="-13"/>
        </w:rPr>
        <w:t> </w:t>
      </w:r>
      <w:r>
        <w:rPr/>
        <w:t>a</w:t>
      </w:r>
      <w:r>
        <w:rPr>
          <w:spacing w:val="-13"/>
        </w:rPr>
        <w:t> </w:t>
      </w:r>
      <w:r>
        <w:rPr/>
        <w:t>model</w:t>
      </w:r>
      <w:r>
        <w:rPr>
          <w:spacing w:val="-13"/>
        </w:rPr>
        <w:t> </w:t>
      </w:r>
      <w:r>
        <w:rPr/>
        <w:t>trained</w:t>
      </w:r>
      <w:r>
        <w:rPr>
          <w:spacing w:val="-13"/>
        </w:rPr>
        <w:t> </w:t>
      </w:r>
      <w:r>
        <w:rPr/>
        <w:t>on</w:t>
      </w:r>
      <w:r>
        <w:rPr>
          <w:spacing w:val="-13"/>
        </w:rPr>
        <w:t> </w:t>
      </w:r>
      <w:r>
        <w:rPr/>
        <w:t>a</w:t>
      </w:r>
      <w:r>
        <w:rPr>
          <w:spacing w:val="-13"/>
        </w:rPr>
        <w:t> </w:t>
      </w:r>
      <w:r>
        <w:rPr/>
        <w:t>random</w:t>
      </w:r>
      <w:r>
        <w:rPr>
          <w:spacing w:val="-13"/>
        </w:rPr>
        <w:t> </w:t>
      </w:r>
      <w:r>
        <w:rPr/>
        <w:t>subset</w:t>
      </w:r>
      <w:r>
        <w:rPr>
          <w:spacing w:val="-13"/>
        </w:rPr>
        <w:t> </w:t>
      </w:r>
      <w:r>
        <w:rPr/>
        <w:t>of years</w:t>
      </w:r>
      <w:r>
        <w:rPr>
          <w:spacing w:val="-4"/>
        </w:rPr>
        <w:t> </w:t>
      </w:r>
      <w:r>
        <w:rPr/>
        <w:t>can</w:t>
      </w:r>
      <w:r>
        <w:rPr>
          <w:spacing w:val="-4"/>
        </w:rPr>
        <w:t> </w:t>
      </w:r>
      <w:r>
        <w:rPr/>
        <w:t>validly</w:t>
      </w:r>
      <w:r>
        <w:rPr>
          <w:spacing w:val="-4"/>
        </w:rPr>
        <w:t> </w:t>
      </w:r>
      <w:r>
        <w:rPr/>
        <w:t>predict</w:t>
      </w:r>
      <w:r>
        <w:rPr>
          <w:spacing w:val="-4"/>
        </w:rPr>
        <w:t> </w:t>
      </w:r>
      <w:r>
        <w:rPr/>
        <w:t>another</w:t>
      </w:r>
      <w:r>
        <w:rPr>
          <w:spacing w:val="-4"/>
        </w:rPr>
        <w:t> </w:t>
      </w:r>
      <w:r>
        <w:rPr/>
        <w:t>random</w:t>
      </w:r>
      <w:r>
        <w:rPr>
          <w:spacing w:val="-4"/>
        </w:rPr>
        <w:t> </w:t>
      </w:r>
      <w:r>
        <w:rPr/>
        <w:t>subset. This</w:t>
      </w:r>
      <w:r>
        <w:rPr>
          <w:spacing w:val="-4"/>
        </w:rPr>
        <w:t> </w:t>
      </w:r>
      <w:r>
        <w:rPr/>
        <w:t>assumption</w:t>
      </w:r>
      <w:r>
        <w:rPr>
          <w:spacing w:val="-4"/>
        </w:rPr>
        <w:t> </w:t>
      </w:r>
      <w:r>
        <w:rPr/>
        <w:t>is</w:t>
      </w:r>
      <w:r>
        <w:rPr>
          <w:spacing w:val="-4"/>
        </w:rPr>
        <w:t> </w:t>
      </w:r>
      <w:r>
        <w:rPr/>
        <w:t>violated</w:t>
      </w:r>
      <w:r>
        <w:rPr>
          <w:spacing w:val="-4"/>
        </w:rPr>
        <w:t> </w:t>
      </w:r>
      <w:r>
        <w:rPr/>
        <w:t>in</w:t>
      </w:r>
      <w:r>
        <w:rPr>
          <w:spacing w:val="-4"/>
        </w:rPr>
        <w:t> </w:t>
      </w:r>
      <w:r>
        <w:rPr/>
        <w:t>at</w:t>
      </w:r>
      <w:r>
        <w:rPr>
          <w:spacing w:val="-4"/>
        </w:rPr>
        <w:t> </w:t>
      </w:r>
      <w:r>
        <w:rPr/>
        <w:t>least</w:t>
      </w:r>
      <w:r>
        <w:rPr>
          <w:spacing w:val="-4"/>
        </w:rPr>
        <w:t> </w:t>
      </w:r>
      <w:r>
        <w:rPr/>
        <w:t>two</w:t>
      </w:r>
      <w:r>
        <w:rPr>
          <w:spacing w:val="-4"/>
        </w:rPr>
        <w:t> </w:t>
      </w:r>
      <w:r>
        <w:rPr/>
        <w:t>ways for wine production time series.</w:t>
      </w:r>
    </w:p>
    <w:p>
      <w:pPr>
        <w:pStyle w:val="BodyText"/>
        <w:spacing w:line="312" w:lineRule="auto" w:before="12"/>
        <w:ind w:left="703" w:right="990" w:firstLine="344"/>
        <w:jc w:val="both"/>
      </w:pPr>
      <w:r>
        <w:rPr/>
        <w:t>First, temporal autocorrelation means that adjacent years are more similar to each other than randomly selected years. A model that is "tested" on a year immediately surrounded by training years</w:t>
      </w:r>
      <w:r>
        <w:rPr>
          <w:spacing w:val="-14"/>
        </w:rPr>
        <w:t> </w:t>
      </w:r>
      <w:r>
        <w:rPr/>
        <w:t>will</w:t>
      </w:r>
      <w:r>
        <w:rPr>
          <w:spacing w:val="-14"/>
        </w:rPr>
        <w:t> </w:t>
      </w:r>
      <w:r>
        <w:rPr/>
        <w:t>have</w:t>
      </w:r>
      <w:r>
        <w:rPr>
          <w:spacing w:val="-14"/>
        </w:rPr>
        <w:t> </w:t>
      </w:r>
      <w:r>
        <w:rPr/>
        <w:t>access,</w:t>
      </w:r>
      <w:r>
        <w:rPr>
          <w:spacing w:val="-13"/>
        </w:rPr>
        <w:t> </w:t>
      </w:r>
      <w:r>
        <w:rPr/>
        <w:t>through</w:t>
      </w:r>
      <w:r>
        <w:rPr>
          <w:spacing w:val="-14"/>
        </w:rPr>
        <w:t> </w:t>
      </w:r>
      <w:r>
        <w:rPr/>
        <w:t>temporal</w:t>
      </w:r>
      <w:r>
        <w:rPr>
          <w:spacing w:val="-14"/>
        </w:rPr>
        <w:t> </w:t>
      </w:r>
      <w:r>
        <w:rPr/>
        <w:t>proximity,</w:t>
      </w:r>
      <w:r>
        <w:rPr>
          <w:spacing w:val="-14"/>
        </w:rPr>
        <w:t> </w:t>
      </w:r>
      <w:r>
        <w:rPr/>
        <w:t>to</w:t>
      </w:r>
      <w:r>
        <w:rPr>
          <w:spacing w:val="-13"/>
        </w:rPr>
        <w:t> </w:t>
      </w:r>
      <w:r>
        <w:rPr/>
        <w:t>information</w:t>
      </w:r>
      <w:r>
        <w:rPr>
          <w:spacing w:val="-14"/>
        </w:rPr>
        <w:t> </w:t>
      </w:r>
      <w:r>
        <w:rPr/>
        <w:t>that</w:t>
      </w:r>
      <w:r>
        <w:rPr>
          <w:spacing w:val="-14"/>
        </w:rPr>
        <w:t> </w:t>
      </w:r>
      <w:r>
        <w:rPr/>
        <w:t>would</w:t>
      </w:r>
      <w:r>
        <w:rPr>
          <w:spacing w:val="-14"/>
        </w:rPr>
        <w:t> </w:t>
      </w:r>
      <w:r>
        <w:rPr/>
        <w:t>not</w:t>
      </w:r>
      <w:r>
        <w:rPr>
          <w:spacing w:val="-13"/>
        </w:rPr>
        <w:t> </w:t>
      </w:r>
      <w:r>
        <w:rPr/>
        <w:t>be</w:t>
      </w:r>
      <w:r>
        <w:rPr>
          <w:spacing w:val="-14"/>
        </w:rPr>
        <w:t> </w:t>
      </w:r>
      <w:r>
        <w:rPr/>
        <w:t>available</w:t>
      </w:r>
      <w:r>
        <w:rPr>
          <w:spacing w:val="-14"/>
        </w:rPr>
        <w:t> </w:t>
      </w:r>
      <w:r>
        <w:rPr/>
        <w:t>in</w:t>
      </w:r>
      <w:r>
        <w:rPr>
          <w:spacing w:val="-14"/>
        </w:rPr>
        <w:t> </w:t>
      </w:r>
      <w:r>
        <w:rPr/>
        <w:t>a genuine forecasting application. This inflates apparent model performance.</w:t>
      </w:r>
    </w:p>
    <w:p>
      <w:pPr>
        <w:pStyle w:val="BodyText"/>
        <w:spacing w:line="312" w:lineRule="auto" w:before="13"/>
        <w:ind w:left="709" w:right="990" w:firstLine="338"/>
        <w:jc w:val="both"/>
      </w:pPr>
      <w:r>
        <w:rPr/>
        <w:t>Second,</w:t>
      </w:r>
      <w:r>
        <w:rPr>
          <w:spacing w:val="-9"/>
        </w:rPr>
        <w:t> </w:t>
      </w:r>
      <w:r>
        <w:rPr/>
        <w:t>the</w:t>
      </w:r>
      <w:r>
        <w:rPr>
          <w:spacing w:val="-9"/>
        </w:rPr>
        <w:t> </w:t>
      </w:r>
      <w:r>
        <w:rPr/>
        <w:t>structural</w:t>
      </w:r>
      <w:r>
        <w:rPr>
          <w:spacing w:val="-9"/>
        </w:rPr>
        <w:t> </w:t>
      </w:r>
      <w:r>
        <w:rPr/>
        <w:t>non-stationarity</w:t>
      </w:r>
      <w:r>
        <w:rPr>
          <w:spacing w:val="-9"/>
        </w:rPr>
        <w:t> </w:t>
      </w:r>
      <w:r>
        <w:rPr/>
        <w:t>described</w:t>
      </w:r>
      <w:r>
        <w:rPr>
          <w:spacing w:val="-9"/>
        </w:rPr>
        <w:t> </w:t>
      </w:r>
      <w:r>
        <w:rPr/>
        <w:t>above</w:t>
      </w:r>
      <w:r>
        <w:rPr>
          <w:spacing w:val="-9"/>
        </w:rPr>
        <w:t> </w:t>
      </w:r>
      <w:r>
        <w:rPr/>
        <w:t>means</w:t>
      </w:r>
      <w:r>
        <w:rPr>
          <w:spacing w:val="-9"/>
        </w:rPr>
        <w:t> </w:t>
      </w:r>
      <w:r>
        <w:rPr/>
        <w:t>that</w:t>
      </w:r>
      <w:r>
        <w:rPr>
          <w:spacing w:val="-9"/>
        </w:rPr>
        <w:t> </w:t>
      </w:r>
      <w:r>
        <w:rPr/>
        <w:t>the</w:t>
      </w:r>
      <w:r>
        <w:rPr>
          <w:spacing w:val="-9"/>
        </w:rPr>
        <w:t> </w:t>
      </w:r>
      <w:r>
        <w:rPr/>
        <w:t>statistical</w:t>
      </w:r>
      <w:r>
        <w:rPr>
          <w:spacing w:val="-9"/>
        </w:rPr>
        <w:t> </w:t>
      </w:r>
      <w:r>
        <w:rPr/>
        <w:t>properties</w:t>
      </w:r>
      <w:r>
        <w:rPr>
          <w:spacing w:val="-9"/>
        </w:rPr>
        <w:t> </w:t>
      </w:r>
      <w:r>
        <w:rPr/>
        <w:t>of the series change over time.</w:t>
      </w:r>
      <w:r>
        <w:rPr>
          <w:spacing w:val="30"/>
        </w:rPr>
        <w:t> </w:t>
      </w:r>
      <w:r>
        <w:rPr/>
        <w:t>A model trained on a random mixture of early-era and modern-era observations</w:t>
      </w:r>
      <w:r>
        <w:rPr>
          <w:spacing w:val="-14"/>
        </w:rPr>
        <w:t> </w:t>
      </w:r>
      <w:r>
        <w:rPr/>
        <w:t>is</w:t>
      </w:r>
      <w:r>
        <w:rPr>
          <w:spacing w:val="-14"/>
        </w:rPr>
        <w:t> </w:t>
      </w:r>
      <w:r>
        <w:rPr/>
        <w:t>effectively</w:t>
      </w:r>
      <w:r>
        <w:rPr>
          <w:spacing w:val="-14"/>
        </w:rPr>
        <w:t> </w:t>
      </w:r>
      <w:r>
        <w:rPr/>
        <w:t>trained</w:t>
      </w:r>
      <w:r>
        <w:rPr>
          <w:spacing w:val="-13"/>
        </w:rPr>
        <w:t> </w:t>
      </w:r>
      <w:r>
        <w:rPr/>
        <w:t>on</w:t>
      </w:r>
      <w:r>
        <w:rPr>
          <w:spacing w:val="-14"/>
        </w:rPr>
        <w:t> </w:t>
      </w:r>
      <w:r>
        <w:rPr/>
        <w:t>a</w:t>
      </w:r>
      <w:r>
        <w:rPr>
          <w:spacing w:val="-14"/>
        </w:rPr>
        <w:t> </w:t>
      </w:r>
      <w:r>
        <w:rPr/>
        <w:t>stationary</w:t>
      </w:r>
      <w:r>
        <w:rPr>
          <w:spacing w:val="-14"/>
        </w:rPr>
        <w:t> </w:t>
      </w:r>
      <w:r>
        <w:rPr/>
        <w:t>average</w:t>
      </w:r>
      <w:r>
        <w:rPr>
          <w:spacing w:val="-13"/>
        </w:rPr>
        <w:t> </w:t>
      </w:r>
      <w:r>
        <w:rPr/>
        <w:t>of</w:t>
      </w:r>
      <w:r>
        <w:rPr>
          <w:spacing w:val="-14"/>
        </w:rPr>
        <w:t> </w:t>
      </w:r>
      <w:r>
        <w:rPr/>
        <w:t>two</w:t>
      </w:r>
      <w:r>
        <w:rPr>
          <w:spacing w:val="-14"/>
        </w:rPr>
        <w:t> </w:t>
      </w:r>
      <w:r>
        <w:rPr/>
        <w:t>different</w:t>
      </w:r>
      <w:r>
        <w:rPr>
          <w:spacing w:val="-14"/>
        </w:rPr>
        <w:t> </w:t>
      </w:r>
      <w:r>
        <w:rPr/>
        <w:t>regimes,</w:t>
      </w:r>
      <w:r>
        <w:rPr>
          <w:spacing w:val="-13"/>
        </w:rPr>
        <w:t> </w:t>
      </w:r>
      <w:r>
        <w:rPr/>
        <w:t>which</w:t>
      </w:r>
      <w:r>
        <w:rPr>
          <w:spacing w:val="-14"/>
        </w:rPr>
        <w:t> </w:t>
      </w:r>
      <w:r>
        <w:rPr/>
        <w:t>does</w:t>
      </w:r>
      <w:r>
        <w:rPr>
          <w:spacing w:val="-14"/>
        </w:rPr>
        <w:t> </w:t>
      </w:r>
      <w:r>
        <w:rPr/>
        <w:t>not correspond</w:t>
      </w:r>
      <w:r>
        <w:rPr>
          <w:spacing w:val="-6"/>
        </w:rPr>
        <w:t> </w:t>
      </w:r>
      <w:r>
        <w:rPr/>
        <w:t>to</w:t>
      </w:r>
      <w:r>
        <w:rPr>
          <w:spacing w:val="-6"/>
        </w:rPr>
        <w:t> </w:t>
      </w:r>
      <w:r>
        <w:rPr/>
        <w:t>any</w:t>
      </w:r>
      <w:r>
        <w:rPr>
          <w:spacing w:val="-6"/>
        </w:rPr>
        <w:t> </w:t>
      </w:r>
      <w:r>
        <w:rPr/>
        <w:t>real</w:t>
      </w:r>
      <w:r>
        <w:rPr>
          <w:spacing w:val="-6"/>
        </w:rPr>
        <w:t> </w:t>
      </w:r>
      <w:r>
        <w:rPr/>
        <w:t>forecasting</w:t>
      </w:r>
      <w:r>
        <w:rPr>
          <w:spacing w:val="-6"/>
        </w:rPr>
        <w:t> </w:t>
      </w:r>
      <w:r>
        <w:rPr/>
        <w:t>scenario. In</w:t>
      </w:r>
      <w:r>
        <w:rPr>
          <w:spacing w:val="-6"/>
        </w:rPr>
        <w:t> </w:t>
      </w:r>
      <w:r>
        <w:rPr/>
        <w:t>practice,</w:t>
      </w:r>
      <w:r>
        <w:rPr>
          <w:spacing w:val="-6"/>
        </w:rPr>
        <w:t> </w:t>
      </w:r>
      <w:r>
        <w:rPr/>
        <w:t>a</w:t>
      </w:r>
      <w:r>
        <w:rPr>
          <w:spacing w:val="-6"/>
        </w:rPr>
        <w:t> </w:t>
      </w:r>
      <w:r>
        <w:rPr/>
        <w:t>forecaster</w:t>
      </w:r>
      <w:r>
        <w:rPr>
          <w:spacing w:val="-6"/>
        </w:rPr>
        <w:t> </w:t>
      </w:r>
      <w:r>
        <w:rPr/>
        <w:t>always</w:t>
      </w:r>
      <w:r>
        <w:rPr>
          <w:spacing w:val="-6"/>
        </w:rPr>
        <w:t> </w:t>
      </w:r>
      <w:r>
        <w:rPr/>
        <w:t>trains</w:t>
      </w:r>
      <w:r>
        <w:rPr>
          <w:spacing w:val="-6"/>
        </w:rPr>
        <w:t> </w:t>
      </w:r>
      <w:r>
        <w:rPr/>
        <w:t>on</w:t>
      </w:r>
      <w:r>
        <w:rPr>
          <w:spacing w:val="-6"/>
        </w:rPr>
        <w:t> </w:t>
      </w:r>
      <w:r>
        <w:rPr/>
        <w:t>the</w:t>
      </w:r>
      <w:r>
        <w:rPr>
          <w:spacing w:val="-6"/>
        </w:rPr>
        <w:t> </w:t>
      </w:r>
      <w:r>
        <w:rPr/>
        <w:t>past</w:t>
      </w:r>
      <w:r>
        <w:rPr>
          <w:spacing w:val="-6"/>
        </w:rPr>
        <w:t> </w:t>
      </w:r>
      <w:r>
        <w:rPr/>
        <w:t>and predicts the future, not on a random mixture of years across the full history.</w:t>
      </w:r>
    </w:p>
    <w:p>
      <w:pPr>
        <w:pStyle w:val="BodyText"/>
        <w:spacing w:after="0" w:line="312" w:lineRule="auto"/>
        <w:jc w:val="both"/>
        <w:sectPr>
          <w:headerReference w:type="default" r:id="rId38"/>
          <w:headerReference w:type="even" r:id="rId39"/>
          <w:pgSz w:w="11910" w:h="16840"/>
          <w:pgMar w:header="1160" w:footer="0" w:top="1420" w:bottom="280" w:left="1275" w:right="425"/>
          <w:pgNumType w:start="13"/>
        </w:sectPr>
      </w:pPr>
    </w:p>
    <w:p>
      <w:pPr>
        <w:pStyle w:val="BodyText"/>
        <w:spacing w:before="221"/>
      </w:pPr>
    </w:p>
    <w:p>
      <w:pPr>
        <w:pStyle w:val="BodyText"/>
        <w:spacing w:line="328" w:lineRule="exact" w:before="1"/>
        <w:ind w:left="142" w:right="1520" w:firstLine="338"/>
        <w:jc w:val="both"/>
      </w:pPr>
      <w:r>
        <w:rPr/>
        <w:t>Walk-forward (expanding window) cross-validation addresses both problems by strictly </w:t>
      </w:r>
      <w:r>
        <w:rPr/>
        <w:t>re-specting the temporal ordering of observations:</w:t>
      </w:r>
      <w:r>
        <w:rPr>
          <w:spacing w:val="40"/>
        </w:rPr>
        <w:t> </w:t>
      </w:r>
      <w:r>
        <w:rPr/>
        <w:t>the model is always trained on all years up to time</w:t>
      </w:r>
      <w:r>
        <w:rPr>
          <w:spacing w:val="-5"/>
        </w:rPr>
        <w:t> </w:t>
      </w:r>
      <w:r>
        <w:rPr>
          <w:i/>
        </w:rPr>
        <w:t>t </w:t>
      </w:r>
      <w:r>
        <w:rPr/>
        <w:t>and evaluated on year </w:t>
      </w:r>
      <w:r>
        <w:rPr>
          <w:i/>
        </w:rPr>
        <w:t>t</w:t>
      </w:r>
      <w:r>
        <w:rPr>
          <w:i/>
          <w:spacing w:val="-3"/>
        </w:rPr>
        <w:t> </w:t>
      </w:r>
      <w:r>
        <w:rPr>
          <w:rFonts w:ascii="Lucida Sans Unicode"/>
        </w:rPr>
        <w:t>+</w:t>
      </w:r>
      <w:r>
        <w:rPr>
          <w:rFonts w:ascii="Lucida Sans Unicode"/>
          <w:spacing w:val="-18"/>
        </w:rPr>
        <w:t> </w:t>
      </w:r>
      <w:r>
        <w:rPr/>
        <w:t>1 or later.</w:t>
      </w:r>
      <w:r>
        <w:rPr>
          <w:spacing w:val="40"/>
        </w:rPr>
        <w:t> </w:t>
      </w:r>
      <w:r>
        <w:rPr/>
        <w:t>This is the methodology adopted in Chapter </w:t>
      </w:r>
      <w:hyperlink w:history="true" w:anchor="_bookmark28">
        <w:r>
          <w:rPr>
            <w:color w:val="8B2C18"/>
          </w:rPr>
          <w:t>3</w:t>
        </w:r>
      </w:hyperlink>
      <w:r>
        <w:rPr>
          <w:color w:val="8B2C18"/>
        </w:rPr>
        <w:t> </w:t>
      </w:r>
      <w:r>
        <w:rPr/>
        <w:t>and represents</w:t>
      </w:r>
      <w:r>
        <w:rPr>
          <w:spacing w:val="-14"/>
        </w:rPr>
        <w:t> </w:t>
      </w:r>
      <w:r>
        <w:rPr/>
        <w:t>the</w:t>
      </w:r>
      <w:r>
        <w:rPr>
          <w:spacing w:val="-14"/>
        </w:rPr>
        <w:t> </w:t>
      </w:r>
      <w:r>
        <w:rPr/>
        <w:t>methodologically</w:t>
      </w:r>
      <w:r>
        <w:rPr>
          <w:spacing w:val="-14"/>
        </w:rPr>
        <w:t> </w:t>
      </w:r>
      <w:r>
        <w:rPr/>
        <w:t>correct</w:t>
      </w:r>
      <w:r>
        <w:rPr>
          <w:spacing w:val="-13"/>
        </w:rPr>
        <w:t> </w:t>
      </w:r>
      <w:r>
        <w:rPr/>
        <w:t>approach</w:t>
      </w:r>
      <w:r>
        <w:rPr>
          <w:spacing w:val="-14"/>
        </w:rPr>
        <w:t> </w:t>
      </w:r>
      <w:r>
        <w:rPr/>
        <w:t>for</w:t>
      </w:r>
      <w:r>
        <w:rPr>
          <w:spacing w:val="-14"/>
        </w:rPr>
        <w:t> </w:t>
      </w:r>
      <w:r>
        <w:rPr/>
        <w:t>time</w:t>
      </w:r>
      <w:r>
        <w:rPr>
          <w:spacing w:val="-14"/>
        </w:rPr>
        <w:t> </w:t>
      </w:r>
      <w:r>
        <w:rPr/>
        <w:t>series</w:t>
      </w:r>
      <w:r>
        <w:rPr>
          <w:spacing w:val="-13"/>
        </w:rPr>
        <w:t> </w:t>
      </w:r>
      <w:r>
        <w:rPr/>
        <w:t>model</w:t>
      </w:r>
      <w:r>
        <w:rPr>
          <w:spacing w:val="-14"/>
        </w:rPr>
        <w:t> </w:t>
      </w:r>
      <w:r>
        <w:rPr/>
        <w:t>evaluation.</w:t>
      </w:r>
      <w:r>
        <w:rPr>
          <w:spacing w:val="-5"/>
        </w:rPr>
        <w:t> </w:t>
      </w:r>
      <w:r>
        <w:rPr/>
        <w:t>The</w:t>
      </w:r>
      <w:r>
        <w:rPr>
          <w:spacing w:val="-14"/>
        </w:rPr>
        <w:t> </w:t>
      </w:r>
      <w:r>
        <w:rPr/>
        <w:t>expanding rather</w:t>
      </w:r>
      <w:r>
        <w:rPr>
          <w:spacing w:val="-2"/>
        </w:rPr>
        <w:t> </w:t>
      </w:r>
      <w:r>
        <w:rPr/>
        <w:t>than</w:t>
      </w:r>
      <w:r>
        <w:rPr>
          <w:spacing w:val="-2"/>
        </w:rPr>
        <w:t> </w:t>
      </w:r>
      <w:r>
        <w:rPr/>
        <w:t>rolling</w:t>
      </w:r>
      <w:r>
        <w:rPr>
          <w:spacing w:val="-2"/>
        </w:rPr>
        <w:t> </w:t>
      </w:r>
      <w:r>
        <w:rPr/>
        <w:t>(fixed-window)</w:t>
      </w:r>
      <w:r>
        <w:rPr>
          <w:spacing w:val="-2"/>
        </w:rPr>
        <w:t> </w:t>
      </w:r>
      <w:r>
        <w:rPr/>
        <w:t>variant</w:t>
      </w:r>
      <w:r>
        <w:rPr>
          <w:spacing w:val="-2"/>
        </w:rPr>
        <w:t> </w:t>
      </w:r>
      <w:r>
        <w:rPr/>
        <w:t>was</w:t>
      </w:r>
      <w:r>
        <w:rPr>
          <w:spacing w:val="-2"/>
        </w:rPr>
        <w:t> </w:t>
      </w:r>
      <w:r>
        <w:rPr/>
        <w:t>chosen</w:t>
      </w:r>
      <w:r>
        <w:rPr>
          <w:spacing w:val="-2"/>
        </w:rPr>
        <w:t> </w:t>
      </w:r>
      <w:r>
        <w:rPr/>
        <w:t>because</w:t>
      </w:r>
      <w:r>
        <w:rPr>
          <w:spacing w:val="-2"/>
        </w:rPr>
        <w:t> </w:t>
      </w:r>
      <w:r>
        <w:rPr/>
        <w:t>the</w:t>
      </w:r>
      <w:r>
        <w:rPr>
          <w:spacing w:val="-2"/>
        </w:rPr>
        <w:t> </w:t>
      </w:r>
      <w:r>
        <w:rPr/>
        <w:t>relevant</w:t>
      </w:r>
      <w:r>
        <w:rPr>
          <w:spacing w:val="-2"/>
        </w:rPr>
        <w:t> </w:t>
      </w:r>
      <w:r>
        <w:rPr/>
        <w:t>climate</w:t>
      </w:r>
      <w:r>
        <w:rPr>
          <w:spacing w:val="-2"/>
        </w:rPr>
        <w:t> </w:t>
      </w:r>
      <w:r>
        <w:rPr/>
        <w:t>patterns</w:t>
      </w:r>
      <w:r>
        <w:rPr>
          <w:spacing w:val="-2"/>
        </w:rPr>
        <w:t> </w:t>
      </w:r>
      <w:r>
        <w:rPr/>
        <w:t>were expected to be relatively stable over the study period (each additional year of training data adds </w:t>
      </w:r>
      <w:r>
        <w:rPr>
          <w:spacing w:val="-2"/>
        </w:rPr>
        <w:t>information</w:t>
      </w:r>
      <w:r>
        <w:rPr>
          <w:spacing w:val="-7"/>
        </w:rPr>
        <w:t> </w:t>
      </w:r>
      <w:r>
        <w:rPr>
          <w:spacing w:val="-2"/>
        </w:rPr>
        <w:t>without</w:t>
      </w:r>
      <w:r>
        <w:rPr>
          <w:spacing w:val="-7"/>
        </w:rPr>
        <w:t> </w:t>
      </w:r>
      <w:r>
        <w:rPr>
          <w:spacing w:val="-2"/>
        </w:rPr>
        <w:t>obsoleting</w:t>
      </w:r>
      <w:r>
        <w:rPr>
          <w:spacing w:val="-7"/>
        </w:rPr>
        <w:t> </w:t>
      </w:r>
      <w:r>
        <w:rPr>
          <w:spacing w:val="-2"/>
        </w:rPr>
        <w:t>the</w:t>
      </w:r>
      <w:r>
        <w:rPr>
          <w:spacing w:val="-7"/>
        </w:rPr>
        <w:t> </w:t>
      </w:r>
      <w:r>
        <w:rPr>
          <w:spacing w:val="-2"/>
        </w:rPr>
        <w:t>oldest</w:t>
      </w:r>
      <w:r>
        <w:rPr>
          <w:spacing w:val="-7"/>
        </w:rPr>
        <w:t> </w:t>
      </w:r>
      <w:r>
        <w:rPr>
          <w:spacing w:val="-2"/>
        </w:rPr>
        <w:t>observations),</w:t>
      </w:r>
      <w:r>
        <w:rPr>
          <w:spacing w:val="-7"/>
        </w:rPr>
        <w:t> </w:t>
      </w:r>
      <w:r>
        <w:rPr>
          <w:spacing w:val="-2"/>
        </w:rPr>
        <w:t>and</w:t>
      </w:r>
      <w:r>
        <w:rPr>
          <w:spacing w:val="-7"/>
        </w:rPr>
        <w:t> </w:t>
      </w:r>
      <w:r>
        <w:rPr>
          <w:spacing w:val="-2"/>
        </w:rPr>
        <w:t>because</w:t>
      </w:r>
      <w:r>
        <w:rPr>
          <w:spacing w:val="-7"/>
        </w:rPr>
        <w:t> </w:t>
      </w:r>
      <w:r>
        <w:rPr>
          <w:spacing w:val="-2"/>
        </w:rPr>
        <w:t>the</w:t>
      </w:r>
      <w:r>
        <w:rPr>
          <w:spacing w:val="-7"/>
        </w:rPr>
        <w:t> </w:t>
      </w:r>
      <w:r>
        <w:rPr>
          <w:spacing w:val="-2"/>
        </w:rPr>
        <w:t>expanding</w:t>
      </w:r>
      <w:r>
        <w:rPr>
          <w:spacing w:val="-7"/>
        </w:rPr>
        <w:t> </w:t>
      </w:r>
      <w:r>
        <w:rPr>
          <w:spacing w:val="-2"/>
        </w:rPr>
        <w:t>window</w:t>
      </w:r>
      <w:r>
        <w:rPr>
          <w:spacing w:val="-7"/>
        </w:rPr>
        <w:t> </w:t>
      </w:r>
      <w:r>
        <w:rPr>
          <w:spacing w:val="-2"/>
        </w:rPr>
        <w:t>avoids </w:t>
      </w:r>
      <w:r>
        <w:rPr/>
        <w:t>the instability of very short training windows in the early scenarios.</w:t>
      </w:r>
    </w:p>
    <w:p>
      <w:pPr>
        <w:pStyle w:val="BodyText"/>
        <w:spacing w:before="119"/>
      </w:pPr>
    </w:p>
    <w:p>
      <w:pPr>
        <w:pStyle w:val="Heading3"/>
        <w:numPr>
          <w:ilvl w:val="2"/>
          <w:numId w:val="16"/>
        </w:numPr>
        <w:tabs>
          <w:tab w:pos="859" w:val="left" w:leader="none"/>
        </w:tabs>
        <w:spacing w:line="240" w:lineRule="auto" w:before="0" w:after="0"/>
        <w:ind w:left="859" w:right="0" w:hanging="717"/>
        <w:jc w:val="left"/>
      </w:pPr>
      <w:bookmarkStart w:name="2.9.3 The Naive Baseline and What It Mea" w:id="58"/>
      <w:bookmarkEnd w:id="58"/>
      <w:r>
        <w:rPr>
          <w:b w:val="0"/>
        </w:rPr>
      </w:r>
      <w:bookmarkStart w:name="_bookmark27" w:id="59"/>
      <w:bookmarkEnd w:id="59"/>
      <w:r>
        <w:rPr>
          <w:b w:val="0"/>
        </w:rPr>
      </w:r>
      <w:r>
        <w:rPr/>
        <w:t>The</w:t>
      </w:r>
      <w:r>
        <w:rPr>
          <w:spacing w:val="-7"/>
        </w:rPr>
        <w:t> </w:t>
      </w:r>
      <w:r>
        <w:rPr/>
        <w:t>Naive</w:t>
      </w:r>
      <w:r>
        <w:rPr>
          <w:spacing w:val="-7"/>
        </w:rPr>
        <w:t> </w:t>
      </w:r>
      <w:r>
        <w:rPr/>
        <w:t>Baseline</w:t>
      </w:r>
      <w:r>
        <w:rPr>
          <w:spacing w:val="-7"/>
        </w:rPr>
        <w:t> </w:t>
      </w:r>
      <w:r>
        <w:rPr/>
        <w:t>and</w:t>
      </w:r>
      <w:r>
        <w:rPr>
          <w:spacing w:val="-7"/>
        </w:rPr>
        <w:t> </w:t>
      </w:r>
      <w:r>
        <w:rPr/>
        <w:t>What</w:t>
      </w:r>
      <w:r>
        <w:rPr>
          <w:spacing w:val="-7"/>
        </w:rPr>
        <w:t> </w:t>
      </w:r>
      <w:r>
        <w:rPr/>
        <w:t>It</w:t>
      </w:r>
      <w:r>
        <w:rPr>
          <w:spacing w:val="-7"/>
        </w:rPr>
        <w:t> </w:t>
      </w:r>
      <w:r>
        <w:rPr>
          <w:spacing w:val="-2"/>
        </w:rPr>
        <w:t>Measures</w:t>
      </w:r>
    </w:p>
    <w:p>
      <w:pPr>
        <w:pStyle w:val="BodyText"/>
        <w:spacing w:line="312" w:lineRule="auto" w:before="219"/>
        <w:ind w:left="142" w:right="1557" w:hanging="8"/>
        <w:jc w:val="both"/>
      </w:pPr>
      <w:r>
        <w:rPr/>
        <w:t>A</w:t>
      </w:r>
      <w:r>
        <w:rPr>
          <w:spacing w:val="-2"/>
        </w:rPr>
        <w:t> </w:t>
      </w:r>
      <w:r>
        <w:rPr/>
        <w:t>central</w:t>
      </w:r>
      <w:r>
        <w:rPr>
          <w:spacing w:val="-2"/>
        </w:rPr>
        <w:t> </w:t>
      </w:r>
      <w:r>
        <w:rPr/>
        <w:t>benchmark</w:t>
      </w:r>
      <w:r>
        <w:rPr>
          <w:spacing w:val="-2"/>
        </w:rPr>
        <w:t> </w:t>
      </w:r>
      <w:r>
        <w:rPr/>
        <w:t>throughout</w:t>
      </w:r>
      <w:r>
        <w:rPr>
          <w:spacing w:val="-2"/>
        </w:rPr>
        <w:t> </w:t>
      </w:r>
      <w:r>
        <w:rPr/>
        <w:t>this</w:t>
      </w:r>
      <w:r>
        <w:rPr>
          <w:spacing w:val="-2"/>
        </w:rPr>
        <w:t> </w:t>
      </w:r>
      <w:r>
        <w:rPr/>
        <w:t>thesis</w:t>
      </w:r>
      <w:r>
        <w:rPr>
          <w:spacing w:val="-2"/>
        </w:rPr>
        <w:t> </w:t>
      </w:r>
      <w:r>
        <w:rPr/>
        <w:t>is</w:t>
      </w:r>
      <w:r>
        <w:rPr>
          <w:spacing w:val="-2"/>
        </w:rPr>
        <w:t> </w:t>
      </w:r>
      <w:r>
        <w:rPr/>
        <w:t>the</w:t>
      </w:r>
      <w:r>
        <w:rPr>
          <w:spacing w:val="-2"/>
        </w:rPr>
        <w:t> </w:t>
      </w:r>
      <w:r>
        <w:rPr/>
        <w:t>Naive_Median</w:t>
      </w:r>
      <w:r>
        <w:rPr>
          <w:spacing w:val="-2"/>
        </w:rPr>
        <w:t> </w:t>
      </w:r>
      <w:r>
        <w:rPr/>
        <w:t>baseline,</w:t>
      </w:r>
      <w:r>
        <w:rPr>
          <w:spacing w:val="-2"/>
        </w:rPr>
        <w:t> </w:t>
      </w:r>
      <w:r>
        <w:rPr/>
        <w:t>the</w:t>
      </w:r>
      <w:r>
        <w:rPr>
          <w:spacing w:val="-2"/>
        </w:rPr>
        <w:t> </w:t>
      </w:r>
      <w:r>
        <w:rPr/>
        <w:t>model</w:t>
      </w:r>
      <w:r>
        <w:rPr>
          <w:spacing w:val="-2"/>
        </w:rPr>
        <w:t> </w:t>
      </w:r>
      <w:r>
        <w:rPr/>
        <w:t>that</w:t>
      </w:r>
      <w:r>
        <w:rPr>
          <w:spacing w:val="-2"/>
        </w:rPr>
        <w:t> </w:t>
      </w:r>
      <w:r>
        <w:rPr/>
        <w:t>always </w:t>
      </w:r>
      <w:r>
        <w:rPr>
          <w:spacing w:val="-2"/>
        </w:rPr>
        <w:t>predicts</w:t>
      </w:r>
      <w:r>
        <w:rPr>
          <w:spacing w:val="-9"/>
        </w:rPr>
        <w:t> </w:t>
      </w:r>
      <w:r>
        <w:rPr>
          <w:spacing w:val="-2"/>
        </w:rPr>
        <w:t>the</w:t>
      </w:r>
      <w:r>
        <w:rPr>
          <w:spacing w:val="-9"/>
        </w:rPr>
        <w:t> </w:t>
      </w:r>
      <w:r>
        <w:rPr>
          <w:spacing w:val="-2"/>
        </w:rPr>
        <w:t>training-set</w:t>
      </w:r>
      <w:r>
        <w:rPr>
          <w:spacing w:val="-9"/>
        </w:rPr>
        <w:t> </w:t>
      </w:r>
      <w:r>
        <w:rPr>
          <w:spacing w:val="-2"/>
        </w:rPr>
        <w:t>median</w:t>
      </w:r>
      <w:r>
        <w:rPr>
          <w:spacing w:val="-9"/>
        </w:rPr>
        <w:t> </w:t>
      </w:r>
      <w:r>
        <w:rPr>
          <w:spacing w:val="-2"/>
        </w:rPr>
        <w:t>residual</w:t>
      </w:r>
      <w:r>
        <w:rPr>
          <w:spacing w:val="-9"/>
        </w:rPr>
        <w:t> </w:t>
      </w:r>
      <w:r>
        <w:rPr>
          <w:spacing w:val="-2"/>
        </w:rPr>
        <w:t>(approximately</w:t>
      </w:r>
      <w:r>
        <w:rPr>
          <w:spacing w:val="-9"/>
        </w:rPr>
        <w:t> </w:t>
      </w:r>
      <w:r>
        <w:rPr>
          <w:spacing w:val="-2"/>
        </w:rPr>
        <w:t>zero</w:t>
      </w:r>
      <w:r>
        <w:rPr>
          <w:spacing w:val="-9"/>
        </w:rPr>
        <w:t> </w:t>
      </w:r>
      <w:r>
        <w:rPr>
          <w:spacing w:val="-2"/>
        </w:rPr>
        <w:t>after</w:t>
      </w:r>
      <w:r>
        <w:rPr>
          <w:spacing w:val="-9"/>
        </w:rPr>
        <w:t> </w:t>
      </w:r>
      <w:r>
        <w:rPr>
          <w:spacing w:val="-2"/>
        </w:rPr>
        <w:t>detrending,</w:t>
      </w:r>
      <w:r>
        <w:rPr>
          <w:spacing w:val="-9"/>
        </w:rPr>
        <w:t> </w:t>
      </w:r>
      <w:r>
        <w:rPr>
          <w:spacing w:val="-2"/>
        </w:rPr>
        <w:t>i.e. "on</w:t>
      </w:r>
      <w:r>
        <w:rPr>
          <w:spacing w:val="-9"/>
        </w:rPr>
        <w:t> </w:t>
      </w:r>
      <w:r>
        <w:rPr>
          <w:spacing w:val="-2"/>
        </w:rPr>
        <w:t>trend"). </w:t>
      </w:r>
      <w:r>
        <w:rPr>
          <w:spacing w:val="-2"/>
        </w:rPr>
        <w:t>This </w:t>
      </w:r>
      <w:r>
        <w:rPr/>
        <w:t>baseline</w:t>
      </w:r>
      <w:r>
        <w:rPr>
          <w:spacing w:val="-6"/>
        </w:rPr>
        <w:t> </w:t>
      </w:r>
      <w:r>
        <w:rPr/>
        <w:t>has</w:t>
      </w:r>
      <w:r>
        <w:rPr>
          <w:spacing w:val="-6"/>
        </w:rPr>
        <w:t> </w:t>
      </w:r>
      <w:r>
        <w:rPr/>
        <w:t>an</w:t>
      </w:r>
      <w:r>
        <w:rPr>
          <w:spacing w:val="-6"/>
        </w:rPr>
        <w:t> </w:t>
      </w:r>
      <w:r>
        <w:rPr/>
        <w:t>important</w:t>
      </w:r>
      <w:r>
        <w:rPr>
          <w:spacing w:val="-6"/>
        </w:rPr>
        <w:t> </w:t>
      </w:r>
      <w:r>
        <w:rPr/>
        <w:t>theoretical</w:t>
      </w:r>
      <w:r>
        <w:rPr>
          <w:spacing w:val="-6"/>
        </w:rPr>
        <w:t> </w:t>
      </w:r>
      <w:r>
        <w:rPr/>
        <w:t>property: the</w:t>
      </w:r>
      <w:r>
        <w:rPr>
          <w:spacing w:val="-6"/>
        </w:rPr>
        <w:t> </w:t>
      </w:r>
      <w:r>
        <w:rPr/>
        <w:t>median</w:t>
      </w:r>
      <w:r>
        <w:rPr>
          <w:spacing w:val="-6"/>
        </w:rPr>
        <w:t> </w:t>
      </w:r>
      <w:r>
        <w:rPr/>
        <w:t>minimises</w:t>
      </w:r>
      <w:r>
        <w:rPr>
          <w:spacing w:val="-6"/>
        </w:rPr>
        <w:t> </w:t>
      </w:r>
      <w:r>
        <w:rPr/>
        <w:t>mean</w:t>
      </w:r>
      <w:r>
        <w:rPr>
          <w:spacing w:val="-6"/>
        </w:rPr>
        <w:t> </w:t>
      </w:r>
      <w:r>
        <w:rPr/>
        <w:t>absolute</w:t>
      </w:r>
      <w:r>
        <w:rPr>
          <w:spacing w:val="-6"/>
        </w:rPr>
        <w:t> </w:t>
      </w:r>
      <w:r>
        <w:rPr/>
        <w:t>error</w:t>
      </w:r>
      <w:r>
        <w:rPr>
          <w:spacing w:val="-6"/>
        </w:rPr>
        <w:t> </w:t>
      </w:r>
      <w:r>
        <w:rPr/>
        <w:t>among all constant predictors.</w:t>
      </w:r>
      <w:r>
        <w:rPr>
          <w:spacing w:val="33"/>
        </w:rPr>
        <w:t> </w:t>
      </w:r>
      <w:r>
        <w:rPr/>
        <w:t>Therefore, no model that predicts a constant for every year can beat the Naive_Median on MAE, and any model that beats it must be doing so by identifying non-trivial structure in the data.</w:t>
      </w:r>
    </w:p>
    <w:p>
      <w:pPr>
        <w:pStyle w:val="BodyText"/>
        <w:spacing w:line="312" w:lineRule="auto"/>
        <w:ind w:left="142" w:right="1540" w:firstLine="338"/>
        <w:jc w:val="right"/>
      </w:pPr>
      <w:r>
        <w:rPr/>
        <w:t>The Naive_Median MAE can be interpreted as the minimum error achievable by any model that</w:t>
      </w:r>
      <w:r>
        <w:rPr>
          <w:spacing w:val="-10"/>
        </w:rPr>
        <w:t> </w:t>
      </w:r>
      <w:r>
        <w:rPr/>
        <w:t>ignores</w:t>
      </w:r>
      <w:r>
        <w:rPr>
          <w:spacing w:val="-10"/>
        </w:rPr>
        <w:t> </w:t>
      </w:r>
      <w:r>
        <w:rPr/>
        <w:t>the</w:t>
      </w:r>
      <w:r>
        <w:rPr>
          <w:spacing w:val="-10"/>
        </w:rPr>
        <w:t> </w:t>
      </w:r>
      <w:r>
        <w:rPr/>
        <w:t>climate</w:t>
      </w:r>
      <w:r>
        <w:rPr>
          <w:spacing w:val="-10"/>
        </w:rPr>
        <w:t> </w:t>
      </w:r>
      <w:r>
        <w:rPr/>
        <w:t>features</w:t>
      </w:r>
      <w:r>
        <w:rPr>
          <w:spacing w:val="-10"/>
        </w:rPr>
        <w:t> </w:t>
      </w:r>
      <w:r>
        <w:rPr/>
        <w:t>entirely</w:t>
      </w:r>
      <w:r>
        <w:rPr>
          <w:spacing w:val="-10"/>
        </w:rPr>
        <w:t> </w:t>
      </w:r>
      <w:r>
        <w:rPr/>
        <w:t>—</w:t>
      </w:r>
      <w:r>
        <w:rPr>
          <w:spacing w:val="-10"/>
        </w:rPr>
        <w:t> </w:t>
      </w:r>
      <w:r>
        <w:rPr/>
        <w:t>it</w:t>
      </w:r>
      <w:r>
        <w:rPr>
          <w:spacing w:val="-10"/>
        </w:rPr>
        <w:t> </w:t>
      </w:r>
      <w:r>
        <w:rPr/>
        <w:t>represents</w:t>
      </w:r>
      <w:r>
        <w:rPr>
          <w:spacing w:val="-10"/>
        </w:rPr>
        <w:t> </w:t>
      </w:r>
      <w:r>
        <w:rPr/>
        <w:t>the</w:t>
      </w:r>
      <w:r>
        <w:rPr>
          <w:spacing w:val="-10"/>
        </w:rPr>
        <w:t> </w:t>
      </w:r>
      <w:r>
        <w:rPr/>
        <w:t>"cost</w:t>
      </w:r>
      <w:r>
        <w:rPr>
          <w:spacing w:val="-10"/>
        </w:rPr>
        <w:t> </w:t>
      </w:r>
      <w:r>
        <w:rPr/>
        <w:t>of</w:t>
      </w:r>
      <w:r>
        <w:rPr>
          <w:spacing w:val="-10"/>
        </w:rPr>
        <w:t> </w:t>
      </w:r>
      <w:r>
        <w:rPr/>
        <w:t>not</w:t>
      </w:r>
      <w:r>
        <w:rPr>
          <w:spacing w:val="-10"/>
        </w:rPr>
        <w:t> </w:t>
      </w:r>
      <w:r>
        <w:rPr/>
        <w:t>knowing</w:t>
      </w:r>
      <w:r>
        <w:rPr>
          <w:spacing w:val="-10"/>
        </w:rPr>
        <w:t> </w:t>
      </w:r>
      <w:r>
        <w:rPr/>
        <w:t>the</w:t>
      </w:r>
      <w:r>
        <w:rPr>
          <w:spacing w:val="-10"/>
        </w:rPr>
        <w:t> </w:t>
      </w:r>
      <w:r>
        <w:rPr/>
        <w:t>climate"</w:t>
      </w:r>
      <w:r>
        <w:rPr>
          <w:spacing w:val="-10"/>
        </w:rPr>
        <w:t> </w:t>
      </w:r>
      <w:r>
        <w:rPr/>
        <w:t>in</w:t>
      </w:r>
      <w:r>
        <w:rPr>
          <w:spacing w:val="-10"/>
        </w:rPr>
        <w:t> </w:t>
      </w:r>
      <w:r>
        <w:rPr/>
        <w:t>a </w:t>
      </w:r>
      <w:r>
        <w:rPr>
          <w:spacing w:val="-2"/>
        </w:rPr>
        <w:t>given</w:t>
      </w:r>
      <w:r>
        <w:rPr>
          <w:spacing w:val="-12"/>
        </w:rPr>
        <w:t> </w:t>
      </w:r>
      <w:r>
        <w:rPr>
          <w:spacing w:val="-2"/>
        </w:rPr>
        <w:t>scenario.</w:t>
      </w:r>
      <w:r>
        <w:rPr>
          <w:spacing w:val="2"/>
        </w:rPr>
        <w:t> </w:t>
      </w:r>
      <w:r>
        <w:rPr>
          <w:spacing w:val="-2"/>
        </w:rPr>
        <w:t>If</w:t>
      </w:r>
      <w:r>
        <w:rPr>
          <w:spacing w:val="-12"/>
        </w:rPr>
        <w:t> </w:t>
      </w:r>
      <w:r>
        <w:rPr>
          <w:spacing w:val="-2"/>
        </w:rPr>
        <w:t>the</w:t>
      </w:r>
      <w:r>
        <w:rPr>
          <w:spacing w:val="-12"/>
        </w:rPr>
        <w:t> </w:t>
      </w:r>
      <w:r>
        <w:rPr>
          <w:spacing w:val="-2"/>
        </w:rPr>
        <w:t>MAE</w:t>
      </w:r>
      <w:r>
        <w:rPr>
          <w:spacing w:val="-11"/>
        </w:rPr>
        <w:t> </w:t>
      </w:r>
      <w:r>
        <w:rPr>
          <w:spacing w:val="-2"/>
        </w:rPr>
        <w:t>from</w:t>
      </w:r>
      <w:r>
        <w:rPr>
          <w:spacing w:val="-12"/>
        </w:rPr>
        <w:t> </w:t>
      </w:r>
      <w:r>
        <w:rPr>
          <w:spacing w:val="-2"/>
        </w:rPr>
        <w:t>a</w:t>
      </w:r>
      <w:r>
        <w:rPr>
          <w:spacing w:val="-12"/>
        </w:rPr>
        <w:t> </w:t>
      </w:r>
      <w:r>
        <w:rPr>
          <w:spacing w:val="-2"/>
        </w:rPr>
        <w:t>climate-aware</w:t>
      </w:r>
      <w:r>
        <w:rPr>
          <w:spacing w:val="-11"/>
        </w:rPr>
        <w:t> </w:t>
      </w:r>
      <w:r>
        <w:rPr>
          <w:spacing w:val="-2"/>
        </w:rPr>
        <w:t>model</w:t>
      </w:r>
      <w:r>
        <w:rPr>
          <w:spacing w:val="-12"/>
        </w:rPr>
        <w:t> </w:t>
      </w:r>
      <w:r>
        <w:rPr>
          <w:spacing w:val="-2"/>
        </w:rPr>
        <w:t>is</w:t>
      </w:r>
      <w:r>
        <w:rPr>
          <w:spacing w:val="-12"/>
        </w:rPr>
        <w:t> </w:t>
      </w:r>
      <w:r>
        <w:rPr>
          <w:spacing w:val="-2"/>
        </w:rPr>
        <w:t>lower</w:t>
      </w:r>
      <w:r>
        <w:rPr>
          <w:spacing w:val="-11"/>
        </w:rPr>
        <w:t> </w:t>
      </w:r>
      <w:r>
        <w:rPr>
          <w:spacing w:val="-2"/>
        </w:rPr>
        <w:t>than</w:t>
      </w:r>
      <w:r>
        <w:rPr>
          <w:spacing w:val="-12"/>
        </w:rPr>
        <w:t> </w:t>
      </w:r>
      <w:r>
        <w:rPr>
          <w:spacing w:val="-2"/>
        </w:rPr>
        <w:t>the</w:t>
      </w:r>
      <w:r>
        <w:rPr>
          <w:spacing w:val="-12"/>
        </w:rPr>
        <w:t> </w:t>
      </w:r>
      <w:r>
        <w:rPr>
          <w:spacing w:val="-2"/>
        </w:rPr>
        <w:t>Naive_Median,</w:t>
      </w:r>
      <w:r>
        <w:rPr>
          <w:spacing w:val="-10"/>
        </w:rPr>
        <w:t> </w:t>
      </w:r>
      <w:r>
        <w:rPr>
          <w:spacing w:val="-2"/>
        </w:rPr>
        <w:t>the</w:t>
      </w:r>
      <w:r>
        <w:rPr>
          <w:spacing w:val="-12"/>
        </w:rPr>
        <w:t> </w:t>
      </w:r>
      <w:r>
        <w:rPr>
          <w:spacing w:val="-2"/>
        </w:rPr>
        <w:t>model </w:t>
      </w:r>
      <w:r>
        <w:rPr/>
        <w:t>has</w:t>
      </w:r>
      <w:r>
        <w:rPr>
          <w:spacing w:val="-11"/>
        </w:rPr>
        <w:t> </w:t>
      </w:r>
      <w:r>
        <w:rPr/>
        <w:t>successfully</w:t>
      </w:r>
      <w:r>
        <w:rPr>
          <w:spacing w:val="-11"/>
        </w:rPr>
        <w:t> </w:t>
      </w:r>
      <w:r>
        <w:rPr/>
        <w:t>extracted</w:t>
      </w:r>
      <w:r>
        <w:rPr>
          <w:spacing w:val="-11"/>
        </w:rPr>
        <w:t> </w:t>
      </w:r>
      <w:r>
        <w:rPr/>
        <w:t>information</w:t>
      </w:r>
      <w:r>
        <w:rPr>
          <w:spacing w:val="-11"/>
        </w:rPr>
        <w:t> </w:t>
      </w:r>
      <w:r>
        <w:rPr/>
        <w:t>from</w:t>
      </w:r>
      <w:r>
        <w:rPr>
          <w:spacing w:val="-11"/>
        </w:rPr>
        <w:t> </w:t>
      </w:r>
      <w:r>
        <w:rPr/>
        <w:t>the</w:t>
      </w:r>
      <w:r>
        <w:rPr>
          <w:spacing w:val="-11"/>
        </w:rPr>
        <w:t> </w:t>
      </w:r>
      <w:r>
        <w:rPr/>
        <w:t>climate</w:t>
      </w:r>
      <w:r>
        <w:rPr>
          <w:spacing w:val="-11"/>
        </w:rPr>
        <w:t> </w:t>
      </w:r>
      <w:r>
        <w:rPr/>
        <w:t>features</w:t>
      </w:r>
      <w:r>
        <w:rPr>
          <w:spacing w:val="-11"/>
        </w:rPr>
        <w:t> </w:t>
      </w:r>
      <w:r>
        <w:rPr/>
        <w:t>that</w:t>
      </w:r>
      <w:r>
        <w:rPr>
          <w:spacing w:val="-11"/>
        </w:rPr>
        <w:t> </w:t>
      </w:r>
      <w:r>
        <w:rPr/>
        <w:t>reduces</w:t>
      </w:r>
      <w:r>
        <w:rPr>
          <w:spacing w:val="-11"/>
        </w:rPr>
        <w:t> </w:t>
      </w:r>
      <w:r>
        <w:rPr/>
        <w:t>prediction</w:t>
      </w:r>
      <w:r>
        <w:rPr>
          <w:spacing w:val="-11"/>
        </w:rPr>
        <w:t> </w:t>
      </w:r>
      <w:r>
        <w:rPr/>
        <w:t>error. If</w:t>
      </w:r>
      <w:r>
        <w:rPr>
          <w:spacing w:val="-11"/>
        </w:rPr>
        <w:t> </w:t>
      </w:r>
      <w:r>
        <w:rPr/>
        <w:t>it is</w:t>
      </w:r>
      <w:r>
        <w:rPr>
          <w:spacing w:val="-9"/>
        </w:rPr>
        <w:t> </w:t>
      </w:r>
      <w:r>
        <w:rPr/>
        <w:t>higher,</w:t>
      </w:r>
      <w:r>
        <w:rPr>
          <w:spacing w:val="-9"/>
        </w:rPr>
        <w:t> </w:t>
      </w:r>
      <w:r>
        <w:rPr/>
        <w:t>the</w:t>
      </w:r>
      <w:r>
        <w:rPr>
          <w:spacing w:val="-9"/>
        </w:rPr>
        <w:t> </w:t>
      </w:r>
      <w:r>
        <w:rPr/>
        <w:t>model</w:t>
      </w:r>
      <w:r>
        <w:rPr>
          <w:spacing w:val="-9"/>
        </w:rPr>
        <w:t> </w:t>
      </w:r>
      <w:r>
        <w:rPr/>
        <w:t>has</w:t>
      </w:r>
      <w:r>
        <w:rPr>
          <w:spacing w:val="-9"/>
        </w:rPr>
        <w:t> </w:t>
      </w:r>
      <w:r>
        <w:rPr/>
        <w:t>actively</w:t>
      </w:r>
      <w:r>
        <w:rPr>
          <w:spacing w:val="-9"/>
        </w:rPr>
        <w:t> </w:t>
      </w:r>
      <w:r>
        <w:rPr/>
        <w:t>misused</w:t>
      </w:r>
      <w:r>
        <w:rPr>
          <w:spacing w:val="-9"/>
        </w:rPr>
        <w:t> </w:t>
      </w:r>
      <w:r>
        <w:rPr/>
        <w:t>the</w:t>
      </w:r>
      <w:r>
        <w:rPr>
          <w:spacing w:val="-9"/>
        </w:rPr>
        <w:t> </w:t>
      </w:r>
      <w:r>
        <w:rPr/>
        <w:t>climate</w:t>
      </w:r>
      <w:r>
        <w:rPr>
          <w:spacing w:val="-9"/>
        </w:rPr>
        <w:t> </w:t>
      </w:r>
      <w:r>
        <w:rPr/>
        <w:t>information,</w:t>
      </w:r>
      <w:r>
        <w:rPr>
          <w:spacing w:val="-9"/>
        </w:rPr>
        <w:t> </w:t>
      </w:r>
      <w:r>
        <w:rPr/>
        <w:t>adding</w:t>
      </w:r>
      <w:r>
        <w:rPr>
          <w:spacing w:val="-9"/>
        </w:rPr>
        <w:t> </w:t>
      </w:r>
      <w:r>
        <w:rPr/>
        <w:t>noise</w:t>
      </w:r>
      <w:r>
        <w:rPr>
          <w:spacing w:val="-9"/>
        </w:rPr>
        <w:t> </w:t>
      </w:r>
      <w:r>
        <w:rPr/>
        <w:t>rather</w:t>
      </w:r>
      <w:r>
        <w:rPr>
          <w:spacing w:val="-9"/>
        </w:rPr>
        <w:t> </w:t>
      </w:r>
      <w:r>
        <w:rPr/>
        <w:t>than</w:t>
      </w:r>
      <w:r>
        <w:rPr>
          <w:spacing w:val="-9"/>
        </w:rPr>
        <w:t> </w:t>
      </w:r>
      <w:r>
        <w:rPr/>
        <w:t>signal. The fact that no model consistently beats the Naive_Median in this study therefore means not that climate is irrelevant to wine production (the CarenR rules demonstrate it is not) but that the climate signal is insufficient in magnitude and consistency to overcome year-to-year production noise in a held-out forecasting evaluation.</w:t>
      </w:r>
      <w:r>
        <w:rPr>
          <w:spacing w:val="36"/>
        </w:rPr>
        <w:t> </w:t>
      </w:r>
      <w:r>
        <w:rPr/>
        <w:t>This distinction between "the signal exists" and "the signal</w:t>
      </w:r>
      <w:r>
        <w:rPr>
          <w:spacing w:val="-3"/>
        </w:rPr>
        <w:t> </w:t>
      </w:r>
      <w:r>
        <w:rPr/>
        <w:t>is</w:t>
      </w:r>
      <w:r>
        <w:rPr>
          <w:spacing w:val="-2"/>
        </w:rPr>
        <w:t> </w:t>
      </w:r>
      <w:r>
        <w:rPr/>
        <w:t>strong</w:t>
      </w:r>
      <w:r>
        <w:rPr>
          <w:spacing w:val="-3"/>
        </w:rPr>
        <w:t> </w:t>
      </w:r>
      <w:r>
        <w:rPr/>
        <w:t>enough</w:t>
      </w:r>
      <w:r>
        <w:rPr>
          <w:spacing w:val="-2"/>
        </w:rPr>
        <w:t> </w:t>
      </w:r>
      <w:r>
        <w:rPr/>
        <w:t>to</w:t>
      </w:r>
      <w:r>
        <w:rPr>
          <w:spacing w:val="-3"/>
        </w:rPr>
        <w:t> </w:t>
      </w:r>
      <w:r>
        <w:rPr/>
        <w:t>beat</w:t>
      </w:r>
      <w:r>
        <w:rPr>
          <w:spacing w:val="-2"/>
        </w:rPr>
        <w:t> </w:t>
      </w:r>
      <w:r>
        <w:rPr/>
        <w:t>the</w:t>
      </w:r>
      <w:r>
        <w:rPr>
          <w:spacing w:val="-3"/>
        </w:rPr>
        <w:t> </w:t>
      </w:r>
      <w:r>
        <w:rPr/>
        <w:t>baseline"</w:t>
      </w:r>
      <w:r>
        <w:rPr>
          <w:spacing w:val="-2"/>
        </w:rPr>
        <w:t> </w:t>
      </w:r>
      <w:r>
        <w:rPr/>
        <w:t>is</w:t>
      </w:r>
      <w:r>
        <w:rPr>
          <w:spacing w:val="-3"/>
        </w:rPr>
        <w:t> </w:t>
      </w:r>
      <w:r>
        <w:rPr/>
        <w:t>the</w:t>
      </w:r>
      <w:r>
        <w:rPr>
          <w:spacing w:val="-2"/>
        </w:rPr>
        <w:t> </w:t>
      </w:r>
      <w:r>
        <w:rPr/>
        <w:t>central</w:t>
      </w:r>
      <w:r>
        <w:rPr>
          <w:spacing w:val="-2"/>
        </w:rPr>
        <w:t> </w:t>
      </w:r>
      <w:r>
        <w:rPr/>
        <w:t>finding</w:t>
      </w:r>
      <w:r>
        <w:rPr>
          <w:spacing w:val="-3"/>
        </w:rPr>
        <w:t> </w:t>
      </w:r>
      <w:r>
        <w:rPr/>
        <w:t>of</w:t>
      </w:r>
      <w:r>
        <w:rPr>
          <w:spacing w:val="-2"/>
        </w:rPr>
        <w:t> </w:t>
      </w:r>
      <w:r>
        <w:rPr/>
        <w:t>Chapter</w:t>
      </w:r>
      <w:r>
        <w:rPr>
          <w:spacing w:val="-3"/>
        </w:rPr>
        <w:t> </w:t>
      </w:r>
      <w:hyperlink w:history="true" w:anchor="_bookmark96">
        <w:r>
          <w:rPr>
            <w:color w:val="8B2C18"/>
          </w:rPr>
          <w:t>5</w:t>
        </w:r>
      </w:hyperlink>
      <w:r>
        <w:rPr>
          <w:color w:val="8B2C18"/>
          <w:spacing w:val="-2"/>
        </w:rPr>
        <w:t> </w:t>
      </w:r>
      <w:r>
        <w:rPr/>
        <w:t>and</w:t>
      </w:r>
      <w:r>
        <w:rPr>
          <w:spacing w:val="-3"/>
        </w:rPr>
        <w:t> </w:t>
      </w:r>
      <w:r>
        <w:rPr/>
        <w:t>motivates</w:t>
      </w:r>
      <w:r>
        <w:rPr>
          <w:spacing w:val="-2"/>
        </w:rPr>
        <w:t> </w:t>
      </w:r>
      <w:r>
        <w:rPr>
          <w:spacing w:val="-5"/>
        </w:rPr>
        <w:t>the</w:t>
      </w:r>
    </w:p>
    <w:p>
      <w:pPr>
        <w:pStyle w:val="BodyText"/>
        <w:spacing w:line="251" w:lineRule="exact"/>
        <w:ind w:left="142"/>
        <w:jc w:val="both"/>
      </w:pPr>
      <w:r>
        <w:rPr/>
        <w:t>two-decision</w:t>
      </w:r>
      <w:r>
        <w:rPr>
          <w:spacing w:val="-12"/>
        </w:rPr>
        <w:t> </w:t>
      </w:r>
      <w:r>
        <w:rPr/>
        <w:t>decomposition</w:t>
      </w:r>
      <w:r>
        <w:rPr>
          <w:spacing w:val="-11"/>
        </w:rPr>
        <w:t> </w:t>
      </w:r>
      <w:r>
        <w:rPr/>
        <w:t>framework</w:t>
      </w:r>
      <w:r>
        <w:rPr>
          <w:spacing w:val="-12"/>
        </w:rPr>
        <w:t> </w:t>
      </w:r>
      <w:r>
        <w:rPr/>
        <w:t>described</w:t>
      </w:r>
      <w:r>
        <w:rPr>
          <w:spacing w:val="-11"/>
        </w:rPr>
        <w:t> </w:t>
      </w:r>
      <w:r>
        <w:rPr/>
        <w:t>in</w:t>
      </w:r>
      <w:r>
        <w:rPr>
          <w:spacing w:val="-12"/>
        </w:rPr>
        <w:t> </w:t>
      </w:r>
      <w:r>
        <w:rPr/>
        <w:t>Section</w:t>
      </w:r>
      <w:r>
        <w:rPr>
          <w:spacing w:val="-11"/>
        </w:rPr>
        <w:t> </w:t>
      </w:r>
      <w:hyperlink w:history="true" w:anchor="_bookmark35">
        <w:r>
          <w:rPr>
            <w:color w:val="8B2C18"/>
            <w:spacing w:val="-4"/>
          </w:rPr>
          <w:t>3.3</w:t>
        </w:r>
      </w:hyperlink>
      <w:r>
        <w:rPr>
          <w:spacing w:val="-4"/>
        </w:rPr>
        <w:t>.</w:t>
      </w:r>
    </w:p>
    <w:p>
      <w:pPr>
        <w:pStyle w:val="BodyText"/>
        <w:spacing w:after="0" w:line="251" w:lineRule="exact"/>
        <w:jc w:val="both"/>
        <w:sectPr>
          <w:pgSz w:w="11910" w:h="16840"/>
          <w:pgMar w:header="1160" w:footer="0" w:top="1420" w:bottom="280" w:left="1275" w:right="425"/>
        </w:sectPr>
      </w:pPr>
    </w:p>
    <w:p>
      <w:pPr>
        <w:pStyle w:val="BodyText"/>
        <w:rPr>
          <w:sz w:val="41"/>
        </w:rPr>
      </w:pPr>
    </w:p>
    <w:p>
      <w:pPr>
        <w:pStyle w:val="BodyText"/>
        <w:rPr>
          <w:sz w:val="41"/>
        </w:rPr>
      </w:pPr>
    </w:p>
    <w:p>
      <w:pPr>
        <w:pStyle w:val="BodyText"/>
        <w:spacing w:before="58"/>
        <w:rPr>
          <w:sz w:val="41"/>
        </w:rPr>
      </w:pPr>
    </w:p>
    <w:p>
      <w:pPr>
        <w:spacing w:before="0"/>
        <w:ind w:left="709" w:right="0" w:firstLine="0"/>
        <w:jc w:val="left"/>
        <w:rPr>
          <w:b/>
          <w:sz w:val="41"/>
        </w:rPr>
      </w:pPr>
      <w:bookmarkStart w:name="3 Data and Methodology" w:id="60"/>
      <w:bookmarkEnd w:id="60"/>
      <w:r>
        <w:rPr/>
      </w:r>
      <w:bookmarkStart w:name="_bookmark28" w:id="61"/>
      <w:bookmarkEnd w:id="61"/>
      <w:r>
        <w:rPr/>
      </w:r>
      <w:r>
        <w:rPr>
          <w:b/>
          <w:sz w:val="41"/>
        </w:rPr>
        <w:t>Chapter </w:t>
      </w:r>
      <w:r>
        <w:rPr>
          <w:b/>
          <w:spacing w:val="-10"/>
          <w:sz w:val="41"/>
        </w:rPr>
        <w:t>3</w:t>
      </w:r>
    </w:p>
    <w:p>
      <w:pPr>
        <w:pStyle w:val="BodyText"/>
        <w:spacing w:before="139"/>
        <w:rPr>
          <w:b/>
          <w:sz w:val="41"/>
        </w:rPr>
      </w:pPr>
    </w:p>
    <w:p>
      <w:pPr>
        <w:pStyle w:val="Heading1"/>
      </w:pPr>
      <w:r>
        <w:rPr/>
        <w:t>Data</w:t>
      </w:r>
      <w:r>
        <w:rPr>
          <w:spacing w:val="9"/>
        </w:rPr>
        <w:t> </w:t>
      </w:r>
      <w:r>
        <w:rPr/>
        <w:t>and</w:t>
      </w:r>
      <w:r>
        <w:rPr>
          <w:spacing w:val="10"/>
        </w:rPr>
        <w:t> </w:t>
      </w:r>
      <w:r>
        <w:rPr>
          <w:spacing w:val="-2"/>
        </w:rPr>
        <w:t>Methodology</w:t>
      </w:r>
    </w:p>
    <w:p>
      <w:pPr>
        <w:pStyle w:val="BodyText"/>
        <w:spacing w:before="284"/>
        <w:rPr>
          <w:b/>
          <w:sz w:val="49"/>
        </w:rPr>
      </w:pPr>
    </w:p>
    <w:p>
      <w:pPr>
        <w:pStyle w:val="BodyText"/>
        <w:spacing w:line="312" w:lineRule="auto"/>
        <w:ind w:left="709" w:right="954" w:hanging="7"/>
        <w:jc w:val="both"/>
      </w:pPr>
      <w:r>
        <w:rPr/>
        <w:t>This chapter describes the datasets, feature engineering pipeline, detrending methodology, </w:t>
      </w:r>
      <w:r>
        <w:rPr/>
        <w:t>rule-</w:t>
      </w:r>
      <w:r>
        <w:rPr>
          <w:spacing w:val="-2"/>
        </w:rPr>
        <w:t>learning</w:t>
      </w:r>
      <w:r>
        <w:rPr>
          <w:spacing w:val="-12"/>
        </w:rPr>
        <w:t> </w:t>
      </w:r>
      <w:r>
        <w:rPr>
          <w:spacing w:val="-2"/>
        </w:rPr>
        <w:t>algorithms,</w:t>
      </w:r>
      <w:r>
        <w:rPr>
          <w:spacing w:val="-12"/>
        </w:rPr>
        <w:t> </w:t>
      </w:r>
      <w:r>
        <w:rPr>
          <w:spacing w:val="-2"/>
        </w:rPr>
        <w:t>walk-forward</w:t>
      </w:r>
      <w:r>
        <w:rPr>
          <w:spacing w:val="-12"/>
        </w:rPr>
        <w:t> </w:t>
      </w:r>
      <w:r>
        <w:rPr>
          <w:spacing w:val="-2"/>
        </w:rPr>
        <w:t>validation</w:t>
      </w:r>
      <w:r>
        <w:rPr>
          <w:spacing w:val="-11"/>
        </w:rPr>
        <w:t> </w:t>
      </w:r>
      <w:r>
        <w:rPr>
          <w:spacing w:val="-2"/>
        </w:rPr>
        <w:t>protocol,</w:t>
      </w:r>
      <w:r>
        <w:rPr>
          <w:spacing w:val="-12"/>
        </w:rPr>
        <w:t> </w:t>
      </w:r>
      <w:r>
        <w:rPr>
          <w:spacing w:val="-2"/>
        </w:rPr>
        <w:t>baseline</w:t>
      </w:r>
      <w:r>
        <w:rPr>
          <w:spacing w:val="-12"/>
        </w:rPr>
        <w:t> </w:t>
      </w:r>
      <w:r>
        <w:rPr>
          <w:spacing w:val="-2"/>
        </w:rPr>
        <w:t>models,</w:t>
      </w:r>
      <w:r>
        <w:rPr>
          <w:spacing w:val="-12"/>
        </w:rPr>
        <w:t> </w:t>
      </w:r>
      <w:r>
        <w:rPr>
          <w:spacing w:val="-2"/>
        </w:rPr>
        <w:t>and</w:t>
      </w:r>
      <w:r>
        <w:rPr>
          <w:spacing w:val="-11"/>
        </w:rPr>
        <w:t> </w:t>
      </w:r>
      <w:r>
        <w:rPr>
          <w:spacing w:val="-2"/>
        </w:rPr>
        <w:t>evaluation</w:t>
      </w:r>
      <w:r>
        <w:rPr>
          <w:spacing w:val="-12"/>
        </w:rPr>
        <w:t> </w:t>
      </w:r>
      <w:r>
        <w:rPr>
          <w:spacing w:val="-2"/>
        </w:rPr>
        <w:t>metrics</w:t>
      </w:r>
      <w:r>
        <w:rPr>
          <w:spacing w:val="-12"/>
        </w:rPr>
        <w:t> </w:t>
      </w:r>
      <w:r>
        <w:rPr>
          <w:spacing w:val="-2"/>
        </w:rPr>
        <w:t>used throughout</w:t>
      </w:r>
      <w:r>
        <w:rPr>
          <w:spacing w:val="-6"/>
        </w:rPr>
        <w:t> </w:t>
      </w:r>
      <w:r>
        <w:rPr>
          <w:spacing w:val="-2"/>
        </w:rPr>
        <w:t>the</w:t>
      </w:r>
      <w:r>
        <w:rPr>
          <w:spacing w:val="-6"/>
        </w:rPr>
        <w:t> </w:t>
      </w:r>
      <w:r>
        <w:rPr>
          <w:spacing w:val="-2"/>
        </w:rPr>
        <w:t>thesis.</w:t>
      </w:r>
      <w:r>
        <w:rPr/>
        <w:t> </w:t>
      </w:r>
      <w:r>
        <w:rPr>
          <w:spacing w:val="-2"/>
        </w:rPr>
        <w:t>Section</w:t>
      </w:r>
      <w:r>
        <w:rPr>
          <w:spacing w:val="-6"/>
        </w:rPr>
        <w:t> </w:t>
      </w:r>
      <w:hyperlink w:history="true" w:anchor="_bookmark36">
        <w:r>
          <w:rPr>
            <w:color w:val="8B2C18"/>
            <w:spacing w:val="-2"/>
          </w:rPr>
          <w:t>3.4</w:t>
        </w:r>
      </w:hyperlink>
      <w:r>
        <w:rPr>
          <w:color w:val="8B2C18"/>
          <w:spacing w:val="-6"/>
        </w:rPr>
        <w:t> </w:t>
      </w:r>
      <w:r>
        <w:rPr>
          <w:spacing w:val="-2"/>
        </w:rPr>
        <w:t>provides</w:t>
      </w:r>
      <w:r>
        <w:rPr>
          <w:spacing w:val="-6"/>
        </w:rPr>
        <w:t> </w:t>
      </w:r>
      <w:r>
        <w:rPr>
          <w:spacing w:val="-2"/>
        </w:rPr>
        <w:t>a</w:t>
      </w:r>
      <w:r>
        <w:rPr>
          <w:spacing w:val="-6"/>
        </w:rPr>
        <w:t> </w:t>
      </w:r>
      <w:r>
        <w:rPr>
          <w:spacing w:val="-2"/>
        </w:rPr>
        <w:t>detailed</w:t>
      </w:r>
      <w:r>
        <w:rPr>
          <w:spacing w:val="-6"/>
        </w:rPr>
        <w:t> </w:t>
      </w:r>
      <w:r>
        <w:rPr>
          <w:spacing w:val="-2"/>
        </w:rPr>
        <w:t>technical</w:t>
      </w:r>
      <w:r>
        <w:rPr>
          <w:spacing w:val="-6"/>
        </w:rPr>
        <w:t> </w:t>
      </w:r>
      <w:r>
        <w:rPr>
          <w:spacing w:val="-2"/>
        </w:rPr>
        <w:t>description</w:t>
      </w:r>
      <w:r>
        <w:rPr>
          <w:spacing w:val="-6"/>
        </w:rPr>
        <w:t> </w:t>
      </w:r>
      <w:r>
        <w:rPr>
          <w:spacing w:val="-2"/>
        </w:rPr>
        <w:t>of</w:t>
      </w:r>
      <w:r>
        <w:rPr>
          <w:spacing w:val="-6"/>
        </w:rPr>
        <w:t> </w:t>
      </w:r>
      <w:r>
        <w:rPr>
          <w:spacing w:val="-2"/>
        </w:rPr>
        <w:t>all</w:t>
      </w:r>
      <w:r>
        <w:rPr>
          <w:spacing w:val="-6"/>
        </w:rPr>
        <w:t> </w:t>
      </w:r>
      <w:r>
        <w:rPr>
          <w:spacing w:val="-2"/>
        </w:rPr>
        <w:t>three</w:t>
      </w:r>
      <w:r>
        <w:rPr>
          <w:spacing w:val="-6"/>
        </w:rPr>
        <w:t> </w:t>
      </w:r>
      <w:r>
        <w:rPr>
          <w:spacing w:val="-2"/>
        </w:rPr>
        <w:t>rule-learning </w:t>
      </w:r>
      <w:r>
        <w:rPr/>
        <w:t>algorithms, including their internal mechanics, how they differ from one another, and why those differences matter for interpreting the results in Chapters </w:t>
      </w:r>
      <w:hyperlink w:history="true" w:anchor="_bookmark68">
        <w:r>
          <w:rPr>
            <w:color w:val="8B2C18"/>
          </w:rPr>
          <w:t>4</w:t>
        </w:r>
      </w:hyperlink>
      <w:r>
        <w:rPr>
          <w:color w:val="8B2C18"/>
        </w:rPr>
        <w:t> </w:t>
      </w:r>
      <w:r>
        <w:rPr/>
        <w:t>and </w:t>
      </w:r>
      <w:hyperlink w:history="true" w:anchor="_bookmark96">
        <w:r>
          <w:rPr>
            <w:color w:val="8B2C18"/>
          </w:rPr>
          <w:t>5</w:t>
        </w:r>
      </w:hyperlink>
      <w:r>
        <w:rPr/>
        <w:t>.</w:t>
      </w:r>
    </w:p>
    <w:p>
      <w:pPr>
        <w:pStyle w:val="BodyText"/>
      </w:pPr>
    </w:p>
    <w:p>
      <w:pPr>
        <w:pStyle w:val="BodyText"/>
        <w:spacing w:before="84"/>
      </w:pPr>
    </w:p>
    <w:p>
      <w:pPr>
        <w:pStyle w:val="Heading2"/>
        <w:numPr>
          <w:ilvl w:val="1"/>
          <w:numId w:val="17"/>
        </w:numPr>
        <w:tabs>
          <w:tab w:pos="1354" w:val="left" w:leader="none"/>
        </w:tabs>
        <w:spacing w:line="240" w:lineRule="auto" w:before="0" w:after="0"/>
        <w:ind w:left="1354" w:right="0" w:hanging="645"/>
        <w:jc w:val="left"/>
      </w:pPr>
      <w:bookmarkStart w:name="3.1 Study Regions and Data" w:id="62"/>
      <w:bookmarkEnd w:id="62"/>
      <w:r>
        <w:rPr>
          <w:b w:val="0"/>
        </w:rPr>
      </w:r>
      <w:bookmarkStart w:name="_bookmark29" w:id="63"/>
      <w:bookmarkEnd w:id="63"/>
      <w:r>
        <w:rPr>
          <w:b w:val="0"/>
        </w:rPr>
      </w:r>
      <w:r>
        <w:rPr/>
        <w:t>Study</w:t>
      </w:r>
      <w:r>
        <w:rPr>
          <w:spacing w:val="15"/>
        </w:rPr>
        <w:t> </w:t>
      </w:r>
      <w:r>
        <w:rPr/>
        <w:t>Regions</w:t>
      </w:r>
      <w:r>
        <w:rPr>
          <w:spacing w:val="15"/>
        </w:rPr>
        <w:t> </w:t>
      </w:r>
      <w:r>
        <w:rPr/>
        <w:t>and</w:t>
      </w:r>
      <w:r>
        <w:rPr>
          <w:spacing w:val="15"/>
        </w:rPr>
        <w:t> </w:t>
      </w:r>
      <w:r>
        <w:rPr>
          <w:spacing w:val="-4"/>
        </w:rPr>
        <w:t>Data</w:t>
      </w:r>
    </w:p>
    <w:p>
      <w:pPr>
        <w:pStyle w:val="BodyText"/>
        <w:spacing w:before="32"/>
        <w:rPr>
          <w:b/>
          <w:sz w:val="28"/>
        </w:rPr>
      </w:pPr>
    </w:p>
    <w:p>
      <w:pPr>
        <w:pStyle w:val="BodyText"/>
        <w:spacing w:line="312" w:lineRule="auto"/>
        <w:ind w:left="709" w:right="990" w:hanging="7"/>
        <w:jc w:val="both"/>
      </w:pPr>
      <w:r>
        <w:rPr/>
        <w:t>This study examines two geographically and climatically distinct Portuguese wine regions: the </w:t>
      </w:r>
      <w:r>
        <w:rPr>
          <w:spacing w:val="-4"/>
        </w:rPr>
        <w:t>Douro</w:t>
      </w:r>
      <w:r>
        <w:rPr>
          <w:spacing w:val="-5"/>
        </w:rPr>
        <w:t> </w:t>
      </w:r>
      <w:r>
        <w:rPr>
          <w:spacing w:val="-4"/>
        </w:rPr>
        <w:t>Demarcated</w:t>
      </w:r>
      <w:r>
        <w:rPr>
          <w:spacing w:val="-5"/>
        </w:rPr>
        <w:t> </w:t>
      </w:r>
      <w:r>
        <w:rPr>
          <w:spacing w:val="-4"/>
        </w:rPr>
        <w:t>Region</w:t>
      </w:r>
      <w:r>
        <w:rPr>
          <w:spacing w:val="-5"/>
        </w:rPr>
        <w:t> </w:t>
      </w:r>
      <w:r>
        <w:rPr>
          <w:spacing w:val="-4"/>
        </w:rPr>
        <w:t>(RDD)</w:t>
      </w:r>
      <w:r>
        <w:rPr>
          <w:spacing w:val="-5"/>
        </w:rPr>
        <w:t> </w:t>
      </w:r>
      <w:r>
        <w:rPr>
          <w:spacing w:val="-4"/>
        </w:rPr>
        <w:t>and</w:t>
      </w:r>
      <w:r>
        <w:rPr>
          <w:spacing w:val="-5"/>
        </w:rPr>
        <w:t> </w:t>
      </w:r>
      <w:r>
        <w:rPr>
          <w:spacing w:val="-4"/>
        </w:rPr>
        <w:t>the</w:t>
      </w:r>
      <w:r>
        <w:rPr>
          <w:spacing w:val="-5"/>
        </w:rPr>
        <w:t> </w:t>
      </w:r>
      <w:r>
        <w:rPr>
          <w:spacing w:val="-4"/>
        </w:rPr>
        <w:t>Vinho</w:t>
      </w:r>
      <w:r>
        <w:rPr>
          <w:spacing w:val="-5"/>
        </w:rPr>
        <w:t> </w:t>
      </w:r>
      <w:r>
        <w:rPr>
          <w:spacing w:val="-4"/>
        </w:rPr>
        <w:t>Verde</w:t>
      </w:r>
      <w:r>
        <w:rPr>
          <w:spacing w:val="-5"/>
        </w:rPr>
        <w:t> </w:t>
      </w:r>
      <w:r>
        <w:rPr>
          <w:spacing w:val="-4"/>
        </w:rPr>
        <w:t>Region (RVV).</w:t>
      </w:r>
      <w:r>
        <w:rPr>
          <w:spacing w:val="-5"/>
        </w:rPr>
        <w:t> </w:t>
      </w:r>
      <w:r>
        <w:rPr>
          <w:spacing w:val="-4"/>
        </w:rPr>
        <w:t>The</w:t>
      </w:r>
      <w:r>
        <w:rPr>
          <w:spacing w:val="-5"/>
        </w:rPr>
        <w:t> </w:t>
      </w:r>
      <w:r>
        <w:rPr>
          <w:spacing w:val="-4"/>
        </w:rPr>
        <w:t>RDD</w:t>
      </w:r>
      <w:r>
        <w:rPr>
          <w:spacing w:val="-5"/>
        </w:rPr>
        <w:t> </w:t>
      </w:r>
      <w:r>
        <w:rPr>
          <w:spacing w:val="-4"/>
        </w:rPr>
        <w:t>dataset</w:t>
      </w:r>
      <w:r>
        <w:rPr>
          <w:spacing w:val="-5"/>
        </w:rPr>
        <w:t> </w:t>
      </w:r>
      <w:r>
        <w:rPr>
          <w:spacing w:val="-4"/>
        </w:rPr>
        <w:t>covers</w:t>
      </w:r>
      <w:r>
        <w:rPr>
          <w:spacing w:val="-5"/>
        </w:rPr>
        <w:t> </w:t>
      </w:r>
      <w:r>
        <w:rPr>
          <w:spacing w:val="-4"/>
        </w:rPr>
        <w:t>89 </w:t>
      </w:r>
      <w:r>
        <w:rPr>
          <w:spacing w:val="-2"/>
        </w:rPr>
        <w:t>annual</w:t>
      </w:r>
      <w:r>
        <w:rPr>
          <w:spacing w:val="-12"/>
        </w:rPr>
        <w:t> </w:t>
      </w:r>
      <w:r>
        <w:rPr>
          <w:spacing w:val="-2"/>
        </w:rPr>
        <w:t>observations</w:t>
      </w:r>
      <w:r>
        <w:rPr>
          <w:spacing w:val="-12"/>
        </w:rPr>
        <w:t> </w:t>
      </w:r>
      <w:r>
        <w:rPr>
          <w:spacing w:val="-2"/>
        </w:rPr>
        <w:t>from</w:t>
      </w:r>
      <w:r>
        <w:rPr>
          <w:spacing w:val="-12"/>
        </w:rPr>
        <w:t> </w:t>
      </w:r>
      <w:r>
        <w:rPr>
          <w:spacing w:val="-2"/>
        </w:rPr>
        <w:t>1934</w:t>
      </w:r>
      <w:r>
        <w:rPr>
          <w:spacing w:val="-11"/>
        </w:rPr>
        <w:t> </w:t>
      </w:r>
      <w:r>
        <w:rPr>
          <w:spacing w:val="-2"/>
        </w:rPr>
        <w:t>to</w:t>
      </w:r>
      <w:r>
        <w:rPr>
          <w:spacing w:val="-12"/>
        </w:rPr>
        <w:t> </w:t>
      </w:r>
      <w:r>
        <w:rPr>
          <w:spacing w:val="-2"/>
        </w:rPr>
        <w:t>2022.</w:t>
      </w:r>
      <w:r>
        <w:rPr/>
        <w:t> </w:t>
      </w:r>
      <w:r>
        <w:rPr>
          <w:spacing w:val="-2"/>
        </w:rPr>
        <w:t>The</w:t>
      </w:r>
      <w:r>
        <w:rPr>
          <w:spacing w:val="-12"/>
        </w:rPr>
        <w:t> </w:t>
      </w:r>
      <w:r>
        <w:rPr>
          <w:spacing w:val="-2"/>
        </w:rPr>
        <w:t>RVV</w:t>
      </w:r>
      <w:r>
        <w:rPr>
          <w:spacing w:val="-12"/>
        </w:rPr>
        <w:t> </w:t>
      </w:r>
      <w:r>
        <w:rPr>
          <w:spacing w:val="-2"/>
        </w:rPr>
        <w:t>dataset</w:t>
      </w:r>
      <w:r>
        <w:rPr>
          <w:spacing w:val="-12"/>
        </w:rPr>
        <w:t> </w:t>
      </w:r>
      <w:r>
        <w:rPr>
          <w:spacing w:val="-2"/>
        </w:rPr>
        <w:t>covers</w:t>
      </w:r>
      <w:r>
        <w:rPr>
          <w:spacing w:val="-11"/>
        </w:rPr>
        <w:t> </w:t>
      </w:r>
      <w:r>
        <w:rPr>
          <w:spacing w:val="-2"/>
        </w:rPr>
        <w:t>80</w:t>
      </w:r>
      <w:r>
        <w:rPr>
          <w:spacing w:val="-12"/>
        </w:rPr>
        <w:t> </w:t>
      </w:r>
      <w:r>
        <w:rPr>
          <w:spacing w:val="-2"/>
        </w:rPr>
        <w:t>annual</w:t>
      </w:r>
      <w:r>
        <w:rPr>
          <w:spacing w:val="-12"/>
        </w:rPr>
        <w:t> </w:t>
      </w:r>
      <w:r>
        <w:rPr>
          <w:spacing w:val="-2"/>
        </w:rPr>
        <w:t>observations</w:t>
      </w:r>
      <w:r>
        <w:rPr>
          <w:spacing w:val="-12"/>
        </w:rPr>
        <w:t> </w:t>
      </w:r>
      <w:r>
        <w:rPr>
          <w:spacing w:val="-2"/>
        </w:rPr>
        <w:t>from</w:t>
      </w:r>
      <w:r>
        <w:rPr>
          <w:spacing w:val="-11"/>
        </w:rPr>
        <w:t> </w:t>
      </w:r>
      <w:r>
        <w:rPr>
          <w:spacing w:val="-2"/>
        </w:rPr>
        <w:t>1942 </w:t>
      </w:r>
      <w:r>
        <w:rPr/>
        <w:t>to</w:t>
      </w:r>
      <w:r>
        <w:rPr>
          <w:spacing w:val="-4"/>
        </w:rPr>
        <w:t> </w:t>
      </w:r>
      <w:r>
        <w:rPr/>
        <w:t>2021. Both</w:t>
      </w:r>
      <w:r>
        <w:rPr>
          <w:spacing w:val="-4"/>
        </w:rPr>
        <w:t> </w:t>
      </w:r>
      <w:r>
        <w:rPr/>
        <w:t>datasets</w:t>
      </w:r>
      <w:r>
        <w:rPr>
          <w:spacing w:val="-4"/>
        </w:rPr>
        <w:t> </w:t>
      </w:r>
      <w:r>
        <w:rPr/>
        <w:t>consist</w:t>
      </w:r>
      <w:r>
        <w:rPr>
          <w:spacing w:val="-4"/>
        </w:rPr>
        <w:t> </w:t>
      </w:r>
      <w:r>
        <w:rPr/>
        <w:t>of</w:t>
      </w:r>
      <w:r>
        <w:rPr>
          <w:spacing w:val="-4"/>
        </w:rPr>
        <w:t> </w:t>
      </w:r>
      <w:r>
        <w:rPr/>
        <w:t>one</w:t>
      </w:r>
      <w:r>
        <w:rPr>
          <w:spacing w:val="-4"/>
        </w:rPr>
        <w:t> </w:t>
      </w:r>
      <w:r>
        <w:rPr/>
        <w:t>observation</w:t>
      </w:r>
      <w:r>
        <w:rPr>
          <w:spacing w:val="-4"/>
        </w:rPr>
        <w:t> </w:t>
      </w:r>
      <w:r>
        <w:rPr/>
        <w:t>per</w:t>
      </w:r>
      <w:r>
        <w:rPr>
          <w:spacing w:val="-4"/>
        </w:rPr>
        <w:t> </w:t>
      </w:r>
      <w:r>
        <w:rPr/>
        <w:t>year,</w:t>
      </w:r>
      <w:r>
        <w:rPr>
          <w:spacing w:val="-4"/>
        </w:rPr>
        <w:t> </w:t>
      </w:r>
      <w:r>
        <w:rPr/>
        <w:t>where</w:t>
      </w:r>
      <w:r>
        <w:rPr>
          <w:spacing w:val="-4"/>
        </w:rPr>
        <w:t> </w:t>
      </w:r>
      <w:r>
        <w:rPr/>
        <w:t>each</w:t>
      </w:r>
      <w:r>
        <w:rPr>
          <w:spacing w:val="-4"/>
        </w:rPr>
        <w:t> </w:t>
      </w:r>
      <w:r>
        <w:rPr/>
        <w:t>observation</w:t>
      </w:r>
      <w:r>
        <w:rPr>
          <w:spacing w:val="-4"/>
        </w:rPr>
        <w:t> </w:t>
      </w:r>
      <w:r>
        <w:rPr/>
        <w:t>contains</w:t>
      </w:r>
      <w:r>
        <w:rPr>
          <w:spacing w:val="-4"/>
        </w:rPr>
        <w:t> </w:t>
      </w:r>
      <w:r>
        <w:rPr/>
        <w:t>a</w:t>
      </w:r>
      <w:r>
        <w:rPr>
          <w:spacing w:val="-4"/>
        </w:rPr>
        <w:t> </w:t>
      </w:r>
      <w:r>
        <w:rPr/>
        <w:t>set of</w:t>
      </w:r>
      <w:r>
        <w:rPr>
          <w:spacing w:val="-11"/>
        </w:rPr>
        <w:t> </w:t>
      </w:r>
      <w:r>
        <w:rPr/>
        <w:t>meteorological</w:t>
      </w:r>
      <w:r>
        <w:rPr>
          <w:spacing w:val="-11"/>
        </w:rPr>
        <w:t> </w:t>
      </w:r>
      <w:r>
        <w:rPr/>
        <w:t>and</w:t>
      </w:r>
      <w:r>
        <w:rPr>
          <w:spacing w:val="-11"/>
        </w:rPr>
        <w:t> </w:t>
      </w:r>
      <w:r>
        <w:rPr/>
        <w:t>phenological</w:t>
      </w:r>
      <w:r>
        <w:rPr>
          <w:spacing w:val="-11"/>
        </w:rPr>
        <w:t> </w:t>
      </w:r>
      <w:r>
        <w:rPr/>
        <w:t>covariates</w:t>
      </w:r>
      <w:r>
        <w:rPr>
          <w:spacing w:val="-11"/>
        </w:rPr>
        <w:t> </w:t>
      </w:r>
      <w:r>
        <w:rPr/>
        <w:t>together</w:t>
      </w:r>
      <w:r>
        <w:rPr>
          <w:spacing w:val="-11"/>
        </w:rPr>
        <w:t> </w:t>
      </w:r>
      <w:r>
        <w:rPr/>
        <w:t>with</w:t>
      </w:r>
      <w:r>
        <w:rPr>
          <w:spacing w:val="-11"/>
        </w:rPr>
        <w:t> </w:t>
      </w:r>
      <w:r>
        <w:rPr/>
        <w:t>annual</w:t>
      </w:r>
      <w:r>
        <w:rPr>
          <w:spacing w:val="-11"/>
        </w:rPr>
        <w:t> </w:t>
      </w:r>
      <w:r>
        <w:rPr/>
        <w:t>wine</w:t>
      </w:r>
      <w:r>
        <w:rPr>
          <w:spacing w:val="-11"/>
        </w:rPr>
        <w:t> </w:t>
      </w:r>
      <w:r>
        <w:rPr/>
        <w:t>production</w:t>
      </w:r>
      <w:r>
        <w:rPr>
          <w:spacing w:val="-11"/>
        </w:rPr>
        <w:t> </w:t>
      </w:r>
      <w:r>
        <w:rPr/>
        <w:t>in</w:t>
      </w:r>
      <w:r>
        <w:rPr>
          <w:spacing w:val="-11"/>
        </w:rPr>
        <w:t> </w:t>
      </w:r>
      <w:r>
        <w:rPr/>
        <w:t>thousands of</w:t>
      </w:r>
      <w:r>
        <w:rPr>
          <w:spacing w:val="-9"/>
        </w:rPr>
        <w:t> </w:t>
      </w:r>
      <w:r>
        <w:rPr/>
        <w:t>hectolitres</w:t>
      </w:r>
      <w:r>
        <w:rPr>
          <w:spacing w:val="-9"/>
        </w:rPr>
        <w:t> </w:t>
      </w:r>
      <w:r>
        <w:rPr/>
        <w:t>(mhl)</w:t>
      </w:r>
      <w:r>
        <w:rPr>
          <w:spacing w:val="-9"/>
        </w:rPr>
        <w:t> </w:t>
      </w:r>
      <w:r>
        <w:rPr/>
        <w:t>as</w:t>
      </w:r>
      <w:r>
        <w:rPr>
          <w:spacing w:val="-9"/>
        </w:rPr>
        <w:t> </w:t>
      </w:r>
      <w:r>
        <w:rPr/>
        <w:t>the</w:t>
      </w:r>
      <w:r>
        <w:rPr>
          <w:spacing w:val="-9"/>
        </w:rPr>
        <w:t> </w:t>
      </w:r>
      <w:r>
        <w:rPr/>
        <w:t>response</w:t>
      </w:r>
      <w:r>
        <w:rPr>
          <w:spacing w:val="-9"/>
        </w:rPr>
        <w:t> </w:t>
      </w:r>
      <w:r>
        <w:rPr/>
        <w:t>variable. Table</w:t>
      </w:r>
      <w:r>
        <w:rPr>
          <w:spacing w:val="-9"/>
        </w:rPr>
        <w:t> </w:t>
      </w:r>
      <w:hyperlink w:history="true" w:anchor="_bookmark30">
        <w:r>
          <w:rPr>
            <w:color w:val="8B2C18"/>
          </w:rPr>
          <w:t>3.1</w:t>
        </w:r>
      </w:hyperlink>
      <w:r>
        <w:rPr>
          <w:color w:val="8B2C18"/>
          <w:spacing w:val="-9"/>
        </w:rPr>
        <w:t> </w:t>
      </w:r>
      <w:r>
        <w:rPr/>
        <w:t>summarises</w:t>
      </w:r>
      <w:r>
        <w:rPr>
          <w:spacing w:val="-9"/>
        </w:rPr>
        <w:t> </w:t>
      </w:r>
      <w:r>
        <w:rPr/>
        <w:t>the</w:t>
      </w:r>
      <w:r>
        <w:rPr>
          <w:spacing w:val="-9"/>
        </w:rPr>
        <w:t> </w:t>
      </w:r>
      <w:r>
        <w:rPr/>
        <w:t>key</w:t>
      </w:r>
      <w:r>
        <w:rPr>
          <w:spacing w:val="-9"/>
        </w:rPr>
        <w:t> </w:t>
      </w:r>
      <w:r>
        <w:rPr/>
        <w:t>characteristics</w:t>
      </w:r>
      <w:r>
        <w:rPr>
          <w:spacing w:val="-9"/>
        </w:rPr>
        <w:t> </w:t>
      </w:r>
      <w:r>
        <w:rPr/>
        <w:t>of</w:t>
      </w:r>
      <w:r>
        <w:rPr>
          <w:spacing w:val="-9"/>
        </w:rPr>
        <w:t> </w:t>
      </w:r>
      <w:r>
        <w:rPr/>
        <w:t>both </w:t>
      </w:r>
      <w:r>
        <w:rPr>
          <w:spacing w:val="-2"/>
        </w:rPr>
        <w:t>datasets.</w:t>
      </w:r>
    </w:p>
    <w:p>
      <w:pPr>
        <w:spacing w:before="164"/>
        <w:ind w:left="1177" w:right="0" w:firstLine="0"/>
        <w:jc w:val="both"/>
        <w:rPr>
          <w:sz w:val="20"/>
        </w:rPr>
      </w:pPr>
      <w:bookmarkStart w:name="_bookmark30" w:id="64"/>
      <w:bookmarkEnd w:id="64"/>
      <w:r>
        <w:rPr/>
      </w:r>
      <w:r>
        <w:rPr>
          <w:b/>
          <w:sz w:val="20"/>
        </w:rPr>
        <w:t>Table</w:t>
      </w:r>
      <w:r>
        <w:rPr>
          <w:b/>
          <w:spacing w:val="-12"/>
          <w:sz w:val="20"/>
        </w:rPr>
        <w:t> </w:t>
      </w:r>
      <w:r>
        <w:rPr>
          <w:b/>
          <w:sz w:val="20"/>
        </w:rPr>
        <w:t>3.1:</w:t>
      </w:r>
      <w:r>
        <w:rPr>
          <w:b/>
          <w:spacing w:val="-1"/>
          <w:sz w:val="20"/>
        </w:rPr>
        <w:t> </w:t>
      </w:r>
      <w:r>
        <w:rPr>
          <w:sz w:val="20"/>
        </w:rPr>
        <w:t>Dataset</w:t>
      </w:r>
      <w:r>
        <w:rPr>
          <w:spacing w:val="-11"/>
          <w:sz w:val="20"/>
        </w:rPr>
        <w:t> </w:t>
      </w:r>
      <w:r>
        <w:rPr>
          <w:sz w:val="20"/>
        </w:rPr>
        <w:t>characteristics</w:t>
      </w:r>
      <w:r>
        <w:rPr>
          <w:spacing w:val="-11"/>
          <w:sz w:val="20"/>
        </w:rPr>
        <w:t> </w:t>
      </w:r>
      <w:r>
        <w:rPr>
          <w:sz w:val="20"/>
        </w:rPr>
        <w:t>for</w:t>
      </w:r>
      <w:r>
        <w:rPr>
          <w:spacing w:val="-11"/>
          <w:sz w:val="20"/>
        </w:rPr>
        <w:t> </w:t>
      </w:r>
      <w:r>
        <w:rPr>
          <w:sz w:val="20"/>
        </w:rPr>
        <w:t>the</w:t>
      </w:r>
      <w:r>
        <w:rPr>
          <w:spacing w:val="-11"/>
          <w:sz w:val="20"/>
        </w:rPr>
        <w:t> </w:t>
      </w:r>
      <w:r>
        <w:rPr>
          <w:sz w:val="20"/>
        </w:rPr>
        <w:t>Douro</w:t>
      </w:r>
      <w:r>
        <w:rPr>
          <w:spacing w:val="-12"/>
          <w:sz w:val="20"/>
        </w:rPr>
        <w:t> </w:t>
      </w:r>
      <w:r>
        <w:rPr>
          <w:sz w:val="20"/>
        </w:rPr>
        <w:t>(RDD)</w:t>
      </w:r>
      <w:r>
        <w:rPr>
          <w:spacing w:val="-11"/>
          <w:sz w:val="20"/>
        </w:rPr>
        <w:t> </w:t>
      </w:r>
      <w:r>
        <w:rPr>
          <w:sz w:val="20"/>
        </w:rPr>
        <w:t>and</w:t>
      </w:r>
      <w:r>
        <w:rPr>
          <w:spacing w:val="-11"/>
          <w:sz w:val="20"/>
        </w:rPr>
        <w:t> </w:t>
      </w:r>
      <w:r>
        <w:rPr>
          <w:sz w:val="20"/>
        </w:rPr>
        <w:t>Vinho</w:t>
      </w:r>
      <w:r>
        <w:rPr>
          <w:spacing w:val="-11"/>
          <w:sz w:val="20"/>
        </w:rPr>
        <w:t> </w:t>
      </w:r>
      <w:r>
        <w:rPr>
          <w:sz w:val="20"/>
        </w:rPr>
        <w:t>Verde</w:t>
      </w:r>
      <w:r>
        <w:rPr>
          <w:spacing w:val="-11"/>
          <w:sz w:val="20"/>
        </w:rPr>
        <w:t> </w:t>
      </w:r>
      <w:r>
        <w:rPr>
          <w:sz w:val="20"/>
        </w:rPr>
        <w:t>(RVV)</w:t>
      </w:r>
      <w:r>
        <w:rPr>
          <w:spacing w:val="-11"/>
          <w:sz w:val="20"/>
        </w:rPr>
        <w:t> </w:t>
      </w:r>
      <w:r>
        <w:rPr>
          <w:sz w:val="20"/>
        </w:rPr>
        <w:t>study</w:t>
      </w:r>
      <w:r>
        <w:rPr>
          <w:spacing w:val="-11"/>
          <w:sz w:val="20"/>
        </w:rPr>
        <w:t> </w:t>
      </w:r>
      <w:r>
        <w:rPr>
          <w:spacing w:val="-2"/>
          <w:sz w:val="20"/>
        </w:rPr>
        <w:t>regions.</w:t>
      </w:r>
    </w:p>
    <w:p>
      <w:pPr>
        <w:pStyle w:val="BodyText"/>
        <w:spacing w:before="5"/>
        <w:rPr>
          <w:sz w:val="18"/>
        </w:rPr>
      </w:pPr>
      <w:r>
        <w:rPr>
          <w:sz w:val="18"/>
        </w:rPr>
        <mc:AlternateContent>
          <mc:Choice Requires="wps">
            <w:drawing>
              <wp:anchor distT="0" distB="0" distL="0" distR="0" allowOverlap="1" layoutInCell="1" locked="0" behindDoc="1" simplePos="0" relativeHeight="487593984">
                <wp:simplePos x="0" y="0"/>
                <wp:positionH relativeFrom="page">
                  <wp:posOffset>1260005</wp:posOffset>
                </wp:positionH>
                <wp:positionV relativeFrom="paragraph">
                  <wp:posOffset>150068</wp:posOffset>
                </wp:positionV>
                <wp:extent cx="5400040" cy="127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1.816412pt;width:425.2pt;height:.1pt;mso-position-horizontal-relative:page;mso-position-vertical-relative:paragraph;z-index:-15722496;mso-wrap-distance-left:0;mso-wrap-distance-right:0" id="docshape50" coordorigin="1984,236" coordsize="8504,0" path="m1984,236l10488,236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7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45"/>
        <w:gridCol w:w="2677"/>
        <w:gridCol w:w="3683"/>
      </w:tblGrid>
      <w:tr>
        <w:trPr>
          <w:trHeight w:val="346" w:hRule="atLeast"/>
        </w:trPr>
        <w:tc>
          <w:tcPr>
            <w:tcW w:w="2145" w:type="dxa"/>
            <w:tcBorders>
              <w:top w:val="nil"/>
              <w:left w:val="nil"/>
              <w:right w:val="single" w:sz="4" w:space="0" w:color="000000"/>
            </w:tcBorders>
          </w:tcPr>
          <w:p>
            <w:pPr>
              <w:pStyle w:val="TableParagraph"/>
              <w:spacing w:before="31"/>
              <w:ind w:left="119"/>
              <w:rPr>
                <w:sz w:val="20"/>
              </w:rPr>
            </w:pPr>
            <w:r>
              <w:rPr>
                <w:spacing w:val="-2"/>
                <w:sz w:val="20"/>
              </w:rPr>
              <w:t>Characteristic</w:t>
            </w:r>
          </w:p>
        </w:tc>
        <w:tc>
          <w:tcPr>
            <w:tcW w:w="2677" w:type="dxa"/>
            <w:tcBorders>
              <w:top w:val="nil"/>
              <w:left w:val="single" w:sz="4" w:space="0" w:color="000000"/>
              <w:right w:val="single" w:sz="4" w:space="0" w:color="000000"/>
            </w:tcBorders>
          </w:tcPr>
          <w:p>
            <w:pPr>
              <w:pStyle w:val="TableParagraph"/>
              <w:spacing w:before="31"/>
              <w:ind w:left="118"/>
              <w:rPr>
                <w:sz w:val="20"/>
              </w:rPr>
            </w:pPr>
            <w:r>
              <w:rPr>
                <w:sz w:val="20"/>
              </w:rPr>
              <w:t>RDD</w:t>
            </w:r>
            <w:r>
              <w:rPr>
                <w:spacing w:val="-6"/>
                <w:sz w:val="20"/>
              </w:rPr>
              <w:t> </w:t>
            </w:r>
            <w:r>
              <w:rPr>
                <w:spacing w:val="-2"/>
                <w:sz w:val="20"/>
              </w:rPr>
              <w:t>(Douro)</w:t>
            </w:r>
          </w:p>
        </w:tc>
        <w:tc>
          <w:tcPr>
            <w:tcW w:w="3683" w:type="dxa"/>
            <w:tcBorders>
              <w:top w:val="nil"/>
              <w:left w:val="single" w:sz="4" w:space="0" w:color="000000"/>
              <w:right w:val="nil"/>
            </w:tcBorders>
          </w:tcPr>
          <w:p>
            <w:pPr>
              <w:pStyle w:val="TableParagraph"/>
              <w:spacing w:before="31"/>
              <w:ind w:left="118"/>
              <w:rPr>
                <w:sz w:val="20"/>
              </w:rPr>
            </w:pPr>
            <w:r>
              <w:rPr>
                <w:spacing w:val="-4"/>
                <w:sz w:val="20"/>
              </w:rPr>
              <w:t>RVV</w:t>
            </w:r>
            <w:r>
              <w:rPr>
                <w:spacing w:val="-2"/>
                <w:sz w:val="20"/>
              </w:rPr>
              <w:t> </w:t>
            </w:r>
            <w:r>
              <w:rPr>
                <w:spacing w:val="-4"/>
                <w:sz w:val="20"/>
              </w:rPr>
              <w:t>(Vinho</w:t>
            </w:r>
            <w:r>
              <w:rPr>
                <w:spacing w:val="-2"/>
                <w:sz w:val="20"/>
              </w:rPr>
              <w:t> </w:t>
            </w:r>
            <w:r>
              <w:rPr>
                <w:spacing w:val="-4"/>
                <w:sz w:val="20"/>
              </w:rPr>
              <w:t>Verde)</w:t>
            </w:r>
          </w:p>
        </w:tc>
      </w:tr>
    </w:tbl>
    <w:p>
      <w:pPr>
        <w:pStyle w:val="BodyText"/>
        <w:spacing w:before="10"/>
        <w:rPr>
          <w:sz w:val="4"/>
        </w:rPr>
      </w:pPr>
    </w:p>
    <w:tbl>
      <w:tblPr>
        <w:tblW w:w="0" w:type="auto"/>
        <w:jc w:val="left"/>
        <w:tblInd w:w="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45"/>
        <w:gridCol w:w="2677"/>
        <w:gridCol w:w="3683"/>
      </w:tblGrid>
      <w:tr>
        <w:trPr>
          <w:trHeight w:val="308" w:hRule="atLeast"/>
        </w:trPr>
        <w:tc>
          <w:tcPr>
            <w:tcW w:w="2145" w:type="dxa"/>
            <w:tcBorders>
              <w:right w:val="single" w:sz="4" w:space="0" w:color="000000"/>
            </w:tcBorders>
          </w:tcPr>
          <w:p>
            <w:pPr>
              <w:pStyle w:val="TableParagraph"/>
              <w:spacing w:before="31"/>
              <w:ind w:left="119"/>
              <w:rPr>
                <w:sz w:val="20"/>
              </w:rPr>
            </w:pPr>
            <w:r>
              <w:rPr>
                <w:spacing w:val="-2"/>
                <w:sz w:val="20"/>
              </w:rPr>
              <w:t>Period</w:t>
            </w:r>
          </w:p>
        </w:tc>
        <w:tc>
          <w:tcPr>
            <w:tcW w:w="2677" w:type="dxa"/>
            <w:tcBorders>
              <w:left w:val="single" w:sz="4" w:space="0" w:color="000000"/>
              <w:right w:val="single" w:sz="4" w:space="0" w:color="000000"/>
            </w:tcBorders>
          </w:tcPr>
          <w:p>
            <w:pPr>
              <w:pStyle w:val="TableParagraph"/>
              <w:spacing w:before="31"/>
              <w:ind w:left="118"/>
              <w:rPr>
                <w:sz w:val="20"/>
              </w:rPr>
            </w:pPr>
            <w:r>
              <w:rPr>
                <w:spacing w:val="-2"/>
                <w:sz w:val="20"/>
              </w:rPr>
              <w:t>1934–</w:t>
            </w:r>
            <w:r>
              <w:rPr>
                <w:spacing w:val="-4"/>
                <w:sz w:val="20"/>
              </w:rPr>
              <w:t>2022</w:t>
            </w:r>
          </w:p>
        </w:tc>
        <w:tc>
          <w:tcPr>
            <w:tcW w:w="3683" w:type="dxa"/>
            <w:tcBorders>
              <w:left w:val="single" w:sz="4" w:space="0" w:color="000000"/>
            </w:tcBorders>
          </w:tcPr>
          <w:p>
            <w:pPr>
              <w:pStyle w:val="TableParagraph"/>
              <w:spacing w:before="31"/>
              <w:ind w:left="118"/>
              <w:rPr>
                <w:sz w:val="20"/>
              </w:rPr>
            </w:pPr>
            <w:r>
              <w:rPr>
                <w:spacing w:val="-2"/>
                <w:sz w:val="20"/>
              </w:rPr>
              <w:t>1942–</w:t>
            </w:r>
            <w:r>
              <w:rPr>
                <w:spacing w:val="-4"/>
                <w:sz w:val="20"/>
              </w:rPr>
              <w:t>2021</w:t>
            </w:r>
          </w:p>
        </w:tc>
      </w:tr>
      <w:tr>
        <w:trPr>
          <w:trHeight w:val="310" w:hRule="atLeast"/>
        </w:trPr>
        <w:tc>
          <w:tcPr>
            <w:tcW w:w="2145" w:type="dxa"/>
            <w:tcBorders>
              <w:right w:val="single" w:sz="4" w:space="0" w:color="000000"/>
            </w:tcBorders>
          </w:tcPr>
          <w:p>
            <w:pPr>
              <w:pStyle w:val="TableParagraph"/>
              <w:ind w:left="119"/>
              <w:rPr>
                <w:sz w:val="20"/>
              </w:rPr>
            </w:pPr>
            <w:r>
              <w:rPr>
                <w:spacing w:val="-2"/>
                <w:sz w:val="20"/>
              </w:rPr>
              <w:t>Observations</w:t>
            </w:r>
            <w:r>
              <w:rPr>
                <w:spacing w:val="7"/>
                <w:sz w:val="20"/>
              </w:rPr>
              <w:t> </w:t>
            </w:r>
            <w:r>
              <w:rPr>
                <w:spacing w:val="-5"/>
                <w:sz w:val="20"/>
              </w:rPr>
              <w:t>(n)</w:t>
            </w:r>
          </w:p>
        </w:tc>
        <w:tc>
          <w:tcPr>
            <w:tcW w:w="2677" w:type="dxa"/>
            <w:tcBorders>
              <w:left w:val="single" w:sz="4" w:space="0" w:color="000000"/>
              <w:right w:val="single" w:sz="4" w:space="0" w:color="000000"/>
            </w:tcBorders>
          </w:tcPr>
          <w:p>
            <w:pPr>
              <w:pStyle w:val="TableParagraph"/>
              <w:ind w:left="118"/>
              <w:rPr>
                <w:sz w:val="20"/>
              </w:rPr>
            </w:pPr>
            <w:r>
              <w:rPr>
                <w:sz w:val="20"/>
              </w:rPr>
              <w:t>89</w:t>
            </w:r>
            <w:r>
              <w:rPr>
                <w:spacing w:val="-3"/>
                <w:sz w:val="20"/>
              </w:rPr>
              <w:t> </w:t>
            </w:r>
            <w:r>
              <w:rPr>
                <w:spacing w:val="-2"/>
                <w:sz w:val="20"/>
              </w:rPr>
              <w:t>years</w:t>
            </w:r>
          </w:p>
        </w:tc>
        <w:tc>
          <w:tcPr>
            <w:tcW w:w="3683" w:type="dxa"/>
            <w:tcBorders>
              <w:left w:val="single" w:sz="4" w:space="0" w:color="000000"/>
            </w:tcBorders>
          </w:tcPr>
          <w:p>
            <w:pPr>
              <w:pStyle w:val="TableParagraph"/>
              <w:ind w:left="118"/>
              <w:rPr>
                <w:sz w:val="20"/>
              </w:rPr>
            </w:pPr>
            <w:r>
              <w:rPr>
                <w:sz w:val="20"/>
              </w:rPr>
              <w:t>80</w:t>
            </w:r>
            <w:r>
              <w:rPr>
                <w:spacing w:val="-3"/>
                <w:sz w:val="20"/>
              </w:rPr>
              <w:t> </w:t>
            </w:r>
            <w:r>
              <w:rPr>
                <w:spacing w:val="-2"/>
                <w:sz w:val="20"/>
              </w:rPr>
              <w:t>years</w:t>
            </w:r>
          </w:p>
        </w:tc>
      </w:tr>
      <w:tr>
        <w:trPr>
          <w:trHeight w:val="310" w:hRule="atLeast"/>
        </w:trPr>
        <w:tc>
          <w:tcPr>
            <w:tcW w:w="2145" w:type="dxa"/>
            <w:tcBorders>
              <w:right w:val="single" w:sz="4" w:space="0" w:color="000000"/>
            </w:tcBorders>
          </w:tcPr>
          <w:p>
            <w:pPr>
              <w:pStyle w:val="TableParagraph"/>
              <w:ind w:left="119"/>
              <w:rPr>
                <w:sz w:val="20"/>
              </w:rPr>
            </w:pPr>
            <w:r>
              <w:rPr>
                <w:sz w:val="20"/>
              </w:rPr>
              <w:t>Climate</w:t>
            </w:r>
            <w:r>
              <w:rPr>
                <w:spacing w:val="-8"/>
                <w:sz w:val="20"/>
              </w:rPr>
              <w:t> </w:t>
            </w:r>
            <w:r>
              <w:rPr>
                <w:spacing w:val="-4"/>
                <w:sz w:val="20"/>
              </w:rPr>
              <w:t>type</w:t>
            </w:r>
          </w:p>
        </w:tc>
        <w:tc>
          <w:tcPr>
            <w:tcW w:w="2677" w:type="dxa"/>
            <w:tcBorders>
              <w:left w:val="single" w:sz="4" w:space="0" w:color="000000"/>
              <w:right w:val="single" w:sz="4" w:space="0" w:color="000000"/>
            </w:tcBorders>
          </w:tcPr>
          <w:p>
            <w:pPr>
              <w:pStyle w:val="TableParagraph"/>
              <w:ind w:left="118"/>
              <w:rPr>
                <w:sz w:val="20"/>
              </w:rPr>
            </w:pPr>
            <w:r>
              <w:rPr>
                <w:sz w:val="20"/>
              </w:rPr>
              <w:t>Continental</w:t>
            </w:r>
            <w:r>
              <w:rPr>
                <w:spacing w:val="-9"/>
                <w:sz w:val="20"/>
              </w:rPr>
              <w:t> </w:t>
            </w:r>
            <w:r>
              <w:rPr>
                <w:sz w:val="20"/>
              </w:rPr>
              <w:t>/</w:t>
            </w:r>
            <w:r>
              <w:rPr>
                <w:spacing w:val="-8"/>
                <w:sz w:val="20"/>
              </w:rPr>
              <w:t> </w:t>
            </w:r>
            <w:r>
              <w:rPr>
                <w:sz w:val="20"/>
              </w:rPr>
              <w:t>semi-</w:t>
            </w:r>
            <w:r>
              <w:rPr>
                <w:spacing w:val="-4"/>
                <w:sz w:val="20"/>
              </w:rPr>
              <w:t>arid</w:t>
            </w:r>
          </w:p>
        </w:tc>
        <w:tc>
          <w:tcPr>
            <w:tcW w:w="3683" w:type="dxa"/>
            <w:tcBorders>
              <w:left w:val="single" w:sz="4" w:space="0" w:color="000000"/>
            </w:tcBorders>
          </w:tcPr>
          <w:p>
            <w:pPr>
              <w:pStyle w:val="TableParagraph"/>
              <w:ind w:left="118"/>
              <w:rPr>
                <w:sz w:val="20"/>
              </w:rPr>
            </w:pPr>
            <w:r>
              <w:rPr>
                <w:spacing w:val="-2"/>
                <w:sz w:val="20"/>
              </w:rPr>
              <w:t>Temperate</w:t>
            </w:r>
            <w:r>
              <w:rPr>
                <w:spacing w:val="-6"/>
                <w:sz w:val="20"/>
              </w:rPr>
              <w:t> </w:t>
            </w:r>
            <w:r>
              <w:rPr>
                <w:spacing w:val="-2"/>
                <w:sz w:val="20"/>
              </w:rPr>
              <w:t>Atlantic</w:t>
            </w:r>
          </w:p>
        </w:tc>
      </w:tr>
      <w:tr>
        <w:trPr>
          <w:trHeight w:val="310" w:hRule="atLeast"/>
        </w:trPr>
        <w:tc>
          <w:tcPr>
            <w:tcW w:w="2145" w:type="dxa"/>
            <w:tcBorders>
              <w:right w:val="single" w:sz="4" w:space="0" w:color="000000"/>
            </w:tcBorders>
          </w:tcPr>
          <w:p>
            <w:pPr>
              <w:pStyle w:val="TableParagraph"/>
              <w:ind w:left="119"/>
              <w:rPr>
                <w:sz w:val="20"/>
              </w:rPr>
            </w:pPr>
            <w:r>
              <w:rPr>
                <w:sz w:val="20"/>
              </w:rPr>
              <w:t>Production</w:t>
            </w:r>
            <w:r>
              <w:rPr>
                <w:spacing w:val="-10"/>
                <w:sz w:val="20"/>
              </w:rPr>
              <w:t> </w:t>
            </w:r>
            <w:r>
              <w:rPr>
                <w:spacing w:val="-2"/>
                <w:sz w:val="20"/>
              </w:rPr>
              <w:t>trend</w:t>
            </w:r>
          </w:p>
        </w:tc>
        <w:tc>
          <w:tcPr>
            <w:tcW w:w="2677" w:type="dxa"/>
            <w:tcBorders>
              <w:left w:val="single" w:sz="4" w:space="0" w:color="000000"/>
              <w:right w:val="single" w:sz="4" w:space="0" w:color="000000"/>
            </w:tcBorders>
          </w:tcPr>
          <w:p>
            <w:pPr>
              <w:pStyle w:val="TableParagraph"/>
              <w:ind w:left="118"/>
              <w:rPr>
                <w:sz w:val="20"/>
              </w:rPr>
            </w:pPr>
            <w:r>
              <w:rPr>
                <w:sz w:val="20"/>
              </w:rPr>
              <w:t>+80%</w:t>
            </w:r>
            <w:r>
              <w:rPr>
                <w:spacing w:val="-10"/>
                <w:sz w:val="20"/>
              </w:rPr>
              <w:t> </w:t>
            </w:r>
            <w:r>
              <w:rPr>
                <w:sz w:val="20"/>
              </w:rPr>
              <w:t>increase</w:t>
            </w:r>
            <w:r>
              <w:rPr>
                <w:spacing w:val="-10"/>
                <w:sz w:val="20"/>
              </w:rPr>
              <w:t> </w:t>
            </w:r>
            <w:r>
              <w:rPr>
                <w:sz w:val="20"/>
              </w:rPr>
              <w:t>(1930s–</w:t>
            </w:r>
            <w:r>
              <w:rPr>
                <w:spacing w:val="-2"/>
                <w:sz w:val="20"/>
              </w:rPr>
              <w:t>2010s)</w:t>
            </w:r>
          </w:p>
        </w:tc>
        <w:tc>
          <w:tcPr>
            <w:tcW w:w="3683" w:type="dxa"/>
            <w:tcBorders>
              <w:left w:val="single" w:sz="4" w:space="0" w:color="000000"/>
            </w:tcBorders>
          </w:tcPr>
          <w:p>
            <w:pPr>
              <w:pStyle w:val="TableParagraph"/>
              <w:ind w:left="118"/>
              <w:rPr>
                <w:sz w:val="20"/>
              </w:rPr>
            </w:pPr>
            <w:r>
              <w:rPr>
                <w:sz w:val="20"/>
              </w:rPr>
              <w:t>-65%</w:t>
            </w:r>
            <w:r>
              <w:rPr>
                <w:spacing w:val="-10"/>
                <w:sz w:val="20"/>
              </w:rPr>
              <w:t> </w:t>
            </w:r>
            <w:r>
              <w:rPr>
                <w:sz w:val="20"/>
              </w:rPr>
              <w:t>decline</w:t>
            </w:r>
            <w:r>
              <w:rPr>
                <w:spacing w:val="-9"/>
                <w:sz w:val="20"/>
              </w:rPr>
              <w:t> </w:t>
            </w:r>
            <w:r>
              <w:rPr>
                <w:sz w:val="20"/>
              </w:rPr>
              <w:t>(1960s–</w:t>
            </w:r>
            <w:r>
              <w:rPr>
                <w:spacing w:val="-2"/>
                <w:sz w:val="20"/>
              </w:rPr>
              <w:t>2020s)</w:t>
            </w:r>
          </w:p>
        </w:tc>
      </w:tr>
      <w:tr>
        <w:trPr>
          <w:trHeight w:val="310" w:hRule="atLeast"/>
        </w:trPr>
        <w:tc>
          <w:tcPr>
            <w:tcW w:w="2145" w:type="dxa"/>
            <w:tcBorders>
              <w:right w:val="single" w:sz="4" w:space="0" w:color="000000"/>
            </w:tcBorders>
          </w:tcPr>
          <w:p>
            <w:pPr>
              <w:pStyle w:val="TableParagraph"/>
              <w:ind w:left="119"/>
              <w:rPr>
                <w:sz w:val="20"/>
              </w:rPr>
            </w:pPr>
            <w:r>
              <w:rPr>
                <w:spacing w:val="-2"/>
                <w:sz w:val="20"/>
              </w:rPr>
              <w:t>Walk-forward</w:t>
            </w:r>
            <w:r>
              <w:rPr>
                <w:spacing w:val="-7"/>
                <w:sz w:val="20"/>
              </w:rPr>
              <w:t> </w:t>
            </w:r>
            <w:r>
              <w:rPr>
                <w:spacing w:val="-2"/>
                <w:sz w:val="20"/>
              </w:rPr>
              <w:t>scenarios</w:t>
            </w:r>
          </w:p>
        </w:tc>
        <w:tc>
          <w:tcPr>
            <w:tcW w:w="2677" w:type="dxa"/>
            <w:tcBorders>
              <w:left w:val="single" w:sz="4" w:space="0" w:color="000000"/>
              <w:right w:val="single" w:sz="4" w:space="0" w:color="000000"/>
            </w:tcBorders>
          </w:tcPr>
          <w:p>
            <w:pPr>
              <w:pStyle w:val="TableParagraph"/>
              <w:ind w:left="118"/>
              <w:rPr>
                <w:sz w:val="20"/>
              </w:rPr>
            </w:pPr>
            <w:r>
              <w:rPr>
                <w:spacing w:val="-5"/>
                <w:sz w:val="20"/>
              </w:rPr>
              <w:t>18</w:t>
            </w:r>
          </w:p>
        </w:tc>
        <w:tc>
          <w:tcPr>
            <w:tcW w:w="3683" w:type="dxa"/>
            <w:tcBorders>
              <w:left w:val="single" w:sz="4" w:space="0" w:color="000000"/>
            </w:tcBorders>
          </w:tcPr>
          <w:p>
            <w:pPr>
              <w:pStyle w:val="TableParagraph"/>
              <w:ind w:left="118"/>
              <w:rPr>
                <w:sz w:val="20"/>
              </w:rPr>
            </w:pPr>
            <w:r>
              <w:rPr>
                <w:spacing w:val="-5"/>
                <w:sz w:val="20"/>
              </w:rPr>
              <w:t>16</w:t>
            </w:r>
          </w:p>
        </w:tc>
      </w:tr>
      <w:tr>
        <w:trPr>
          <w:trHeight w:val="348" w:hRule="atLeast"/>
        </w:trPr>
        <w:tc>
          <w:tcPr>
            <w:tcW w:w="2145" w:type="dxa"/>
            <w:tcBorders>
              <w:bottom w:val="single" w:sz="8" w:space="0" w:color="000000"/>
              <w:right w:val="single" w:sz="4" w:space="0" w:color="000000"/>
            </w:tcBorders>
          </w:tcPr>
          <w:p>
            <w:pPr>
              <w:pStyle w:val="TableParagraph"/>
              <w:ind w:left="119"/>
              <w:rPr>
                <w:sz w:val="20"/>
              </w:rPr>
            </w:pPr>
            <w:r>
              <w:rPr>
                <w:sz w:val="20"/>
              </w:rPr>
              <w:t>Response</w:t>
            </w:r>
            <w:r>
              <w:rPr>
                <w:spacing w:val="-9"/>
                <w:sz w:val="20"/>
              </w:rPr>
              <w:t> </w:t>
            </w:r>
            <w:r>
              <w:rPr>
                <w:spacing w:val="-2"/>
                <w:sz w:val="20"/>
              </w:rPr>
              <w:t>variable</w:t>
            </w:r>
          </w:p>
        </w:tc>
        <w:tc>
          <w:tcPr>
            <w:tcW w:w="2677" w:type="dxa"/>
            <w:tcBorders>
              <w:left w:val="single" w:sz="4" w:space="0" w:color="000000"/>
              <w:bottom w:val="single" w:sz="8" w:space="0" w:color="000000"/>
              <w:right w:val="single" w:sz="4" w:space="0" w:color="000000"/>
            </w:tcBorders>
          </w:tcPr>
          <w:p>
            <w:pPr>
              <w:pStyle w:val="TableParagraph"/>
              <w:ind w:left="118"/>
              <w:rPr>
                <w:sz w:val="20"/>
              </w:rPr>
            </w:pPr>
            <w:r>
              <w:rPr>
                <w:sz w:val="20"/>
              </w:rPr>
              <w:t>Annual</w:t>
            </w:r>
            <w:r>
              <w:rPr>
                <w:spacing w:val="-8"/>
                <w:sz w:val="20"/>
              </w:rPr>
              <w:t> </w:t>
            </w:r>
            <w:r>
              <w:rPr>
                <w:sz w:val="20"/>
              </w:rPr>
              <w:t>wine</w:t>
            </w:r>
            <w:r>
              <w:rPr>
                <w:spacing w:val="-7"/>
                <w:sz w:val="20"/>
              </w:rPr>
              <w:t> </w:t>
            </w:r>
            <w:r>
              <w:rPr>
                <w:sz w:val="20"/>
              </w:rPr>
              <w:t>production</w:t>
            </w:r>
            <w:r>
              <w:rPr>
                <w:spacing w:val="-7"/>
                <w:sz w:val="20"/>
              </w:rPr>
              <w:t> </w:t>
            </w:r>
            <w:r>
              <w:rPr>
                <w:spacing w:val="-4"/>
                <w:sz w:val="20"/>
              </w:rPr>
              <w:t>(mhl)</w:t>
            </w:r>
          </w:p>
        </w:tc>
        <w:tc>
          <w:tcPr>
            <w:tcW w:w="3683" w:type="dxa"/>
            <w:tcBorders>
              <w:left w:val="single" w:sz="4" w:space="0" w:color="000000"/>
              <w:bottom w:val="single" w:sz="8" w:space="0" w:color="000000"/>
            </w:tcBorders>
          </w:tcPr>
          <w:p>
            <w:pPr>
              <w:pStyle w:val="TableParagraph"/>
              <w:ind w:left="118"/>
              <w:rPr>
                <w:sz w:val="20"/>
              </w:rPr>
            </w:pPr>
            <w:r>
              <w:rPr>
                <w:sz w:val="20"/>
              </w:rPr>
              <w:t>Annual</w:t>
            </w:r>
            <w:r>
              <w:rPr>
                <w:spacing w:val="-8"/>
                <w:sz w:val="20"/>
              </w:rPr>
              <w:t> </w:t>
            </w:r>
            <w:r>
              <w:rPr>
                <w:sz w:val="20"/>
              </w:rPr>
              <w:t>wine</w:t>
            </w:r>
            <w:r>
              <w:rPr>
                <w:spacing w:val="-7"/>
                <w:sz w:val="20"/>
              </w:rPr>
              <w:t> </w:t>
            </w:r>
            <w:r>
              <w:rPr>
                <w:sz w:val="20"/>
              </w:rPr>
              <w:t>production</w:t>
            </w:r>
            <w:r>
              <w:rPr>
                <w:spacing w:val="-7"/>
                <w:sz w:val="20"/>
              </w:rPr>
              <w:t> </w:t>
            </w:r>
            <w:r>
              <w:rPr>
                <w:spacing w:val="-4"/>
                <w:sz w:val="20"/>
              </w:rPr>
              <w:t>(mhl)</w:t>
            </w:r>
          </w:p>
        </w:tc>
      </w:tr>
    </w:tbl>
    <w:p>
      <w:pPr>
        <w:pStyle w:val="BodyText"/>
        <w:spacing w:before="209"/>
        <w:rPr>
          <w:sz w:val="20"/>
        </w:rPr>
      </w:pPr>
    </w:p>
    <w:p>
      <w:pPr>
        <w:pStyle w:val="BodyText"/>
        <w:spacing w:line="312" w:lineRule="auto"/>
        <w:ind w:left="709" w:right="990" w:firstLine="338"/>
      </w:pPr>
      <w:r>
        <w:rPr/>
        <w:t>Figures</w:t>
      </w:r>
      <w:r>
        <w:rPr>
          <w:spacing w:val="-11"/>
        </w:rPr>
        <w:t> </w:t>
      </w:r>
      <w:hyperlink w:history="true" w:anchor="_bookmark31">
        <w:r>
          <w:rPr>
            <w:color w:val="8B2C18"/>
          </w:rPr>
          <w:t>3.1</w:t>
        </w:r>
      </w:hyperlink>
      <w:r>
        <w:rPr>
          <w:color w:val="8B2C18"/>
          <w:spacing w:val="-11"/>
        </w:rPr>
        <w:t> </w:t>
      </w:r>
      <w:r>
        <w:rPr/>
        <w:t>and</w:t>
      </w:r>
      <w:r>
        <w:rPr>
          <w:spacing w:val="-11"/>
        </w:rPr>
        <w:t> </w:t>
      </w:r>
      <w:hyperlink w:history="true" w:anchor="_bookmark32">
        <w:r>
          <w:rPr>
            <w:color w:val="8B2C18"/>
          </w:rPr>
          <w:t>3.2</w:t>
        </w:r>
      </w:hyperlink>
      <w:r>
        <w:rPr>
          <w:color w:val="8B2C18"/>
          <w:spacing w:val="-11"/>
        </w:rPr>
        <w:t> </w:t>
      </w:r>
      <w:r>
        <w:rPr/>
        <w:t>show</w:t>
      </w:r>
      <w:r>
        <w:rPr>
          <w:spacing w:val="-11"/>
        </w:rPr>
        <w:t> </w:t>
      </w:r>
      <w:r>
        <w:rPr/>
        <w:t>the</w:t>
      </w:r>
      <w:r>
        <w:rPr>
          <w:spacing w:val="-11"/>
        </w:rPr>
        <w:t> </w:t>
      </w:r>
      <w:r>
        <w:rPr/>
        <w:t>annual</w:t>
      </w:r>
      <w:r>
        <w:rPr>
          <w:spacing w:val="-11"/>
        </w:rPr>
        <w:t> </w:t>
      </w:r>
      <w:r>
        <w:rPr/>
        <w:t>production</w:t>
      </w:r>
      <w:r>
        <w:rPr>
          <w:spacing w:val="-11"/>
        </w:rPr>
        <w:t> </w:t>
      </w:r>
      <w:r>
        <w:rPr/>
        <w:t>time</w:t>
      </w:r>
      <w:r>
        <w:rPr>
          <w:spacing w:val="-11"/>
        </w:rPr>
        <w:t> </w:t>
      </w:r>
      <w:r>
        <w:rPr/>
        <w:t>series</w:t>
      </w:r>
      <w:r>
        <w:rPr>
          <w:spacing w:val="-11"/>
        </w:rPr>
        <w:t> </w:t>
      </w:r>
      <w:r>
        <w:rPr/>
        <w:t>for</w:t>
      </w:r>
      <w:r>
        <w:rPr>
          <w:spacing w:val="-11"/>
        </w:rPr>
        <w:t> </w:t>
      </w:r>
      <w:r>
        <w:rPr/>
        <w:t>the</w:t>
      </w:r>
      <w:r>
        <w:rPr>
          <w:spacing w:val="-11"/>
        </w:rPr>
        <w:t> </w:t>
      </w:r>
      <w:r>
        <w:rPr/>
        <w:t>two</w:t>
      </w:r>
      <w:r>
        <w:rPr>
          <w:spacing w:val="-11"/>
        </w:rPr>
        <w:t> </w:t>
      </w:r>
      <w:r>
        <w:rPr/>
        <w:t>regions,</w:t>
      </w:r>
      <w:r>
        <w:rPr>
          <w:spacing w:val="-11"/>
        </w:rPr>
        <w:t> </w:t>
      </w:r>
      <w:r>
        <w:rPr/>
        <w:t>illustrating</w:t>
      </w:r>
      <w:r>
        <w:rPr>
          <w:spacing w:val="-11"/>
        </w:rPr>
        <w:t> </w:t>
      </w:r>
      <w:r>
        <w:rPr/>
        <w:t>the opposing structural trends summarised in Table </w:t>
      </w:r>
      <w:hyperlink w:history="true" w:anchor="_bookmark30">
        <w:r>
          <w:rPr>
            <w:color w:val="8B2C18"/>
          </w:rPr>
          <w:t>3.1</w:t>
        </w:r>
      </w:hyperlink>
      <w:r>
        <w:rPr/>
        <w:t>.</w:t>
      </w:r>
    </w:p>
    <w:p>
      <w:pPr>
        <w:pStyle w:val="BodyText"/>
        <w:spacing w:before="16"/>
      </w:pPr>
    </w:p>
    <w:p>
      <w:pPr>
        <w:pStyle w:val="BodyText"/>
        <w:ind w:left="601" w:right="882"/>
        <w:jc w:val="center"/>
      </w:pPr>
      <w:r>
        <w:rPr>
          <w:spacing w:val="-5"/>
        </w:rPr>
        <w:t>15</w:t>
      </w:r>
    </w:p>
    <w:p>
      <w:pPr>
        <w:pStyle w:val="BodyText"/>
        <w:spacing w:after="0"/>
        <w:jc w:val="center"/>
        <w:sectPr>
          <w:headerReference w:type="default" r:id="rId40"/>
          <w:pgSz w:w="11910" w:h="16840"/>
          <w:pgMar w:header="0" w:footer="0" w:top="1920" w:bottom="280" w:left="1275" w:right="425"/>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
        <w:rPr>
          <w:sz w:val="20"/>
        </w:rPr>
      </w:pPr>
    </w:p>
    <w:p>
      <w:pPr>
        <w:spacing w:line="240" w:lineRule="auto"/>
        <w:ind w:left="820" w:right="0" w:firstLine="0"/>
        <w:rPr>
          <w:sz w:val="20"/>
        </w:rPr>
      </w:pPr>
      <w:r>
        <w:rPr>
          <w:sz w:val="20"/>
        </w:rPr>
        <w:drawing>
          <wp:inline distT="0" distB="0" distL="0" distR="0">
            <wp:extent cx="4230528" cy="1867090"/>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43" cstate="print"/>
                    <a:stretch>
                      <a:fillRect/>
                    </a:stretch>
                  </pic:blipFill>
                  <pic:spPr>
                    <a:xfrm>
                      <a:off x="0" y="0"/>
                      <a:ext cx="4230528" cy="1867090"/>
                    </a:xfrm>
                    <a:prstGeom prst="rect">
                      <a:avLst/>
                    </a:prstGeom>
                  </pic:spPr>
                </pic:pic>
              </a:graphicData>
            </a:graphic>
          </wp:inline>
        </w:drawing>
      </w:r>
      <w:r>
        <w:rPr>
          <w:sz w:val="20"/>
        </w:rPr>
      </w:r>
    </w:p>
    <w:p>
      <w:pPr>
        <w:spacing w:before="214"/>
        <w:ind w:left="1339" w:right="0" w:firstLine="0"/>
        <w:jc w:val="left"/>
        <w:rPr>
          <w:sz w:val="20"/>
        </w:rPr>
      </w:pPr>
      <w:bookmarkStart w:name="_bookmark31" w:id="65"/>
      <w:bookmarkEnd w:id="65"/>
      <w:r>
        <w:rPr/>
      </w:r>
      <w:r>
        <w:rPr>
          <w:b/>
          <w:sz w:val="20"/>
        </w:rPr>
        <w:t>Figure</w:t>
      </w:r>
      <w:r>
        <w:rPr>
          <w:b/>
          <w:spacing w:val="-7"/>
          <w:sz w:val="20"/>
        </w:rPr>
        <w:t> </w:t>
      </w:r>
      <w:r>
        <w:rPr>
          <w:b/>
          <w:sz w:val="20"/>
        </w:rPr>
        <w:t>3.1:</w:t>
      </w:r>
      <w:r>
        <w:rPr>
          <w:b/>
          <w:spacing w:val="4"/>
          <w:sz w:val="20"/>
        </w:rPr>
        <w:t> </w:t>
      </w:r>
      <w:r>
        <w:rPr>
          <w:sz w:val="20"/>
        </w:rPr>
        <w:t>Production</w:t>
      </w:r>
      <w:r>
        <w:rPr>
          <w:spacing w:val="-7"/>
          <w:sz w:val="20"/>
        </w:rPr>
        <w:t> </w:t>
      </w:r>
      <w:r>
        <w:rPr>
          <w:sz w:val="20"/>
        </w:rPr>
        <w:t>time</w:t>
      </w:r>
      <w:r>
        <w:rPr>
          <w:spacing w:val="-7"/>
          <w:sz w:val="20"/>
        </w:rPr>
        <w:t> </w:t>
      </w:r>
      <w:r>
        <w:rPr>
          <w:sz w:val="20"/>
        </w:rPr>
        <w:t>series</w:t>
      </w:r>
      <w:r>
        <w:rPr>
          <w:spacing w:val="-7"/>
          <w:sz w:val="20"/>
        </w:rPr>
        <w:t> </w:t>
      </w:r>
      <w:r>
        <w:rPr>
          <w:sz w:val="20"/>
        </w:rPr>
        <w:t>for</w:t>
      </w:r>
      <w:r>
        <w:rPr>
          <w:spacing w:val="-6"/>
          <w:sz w:val="20"/>
        </w:rPr>
        <w:t> </w:t>
      </w:r>
      <w:r>
        <w:rPr>
          <w:sz w:val="20"/>
        </w:rPr>
        <w:t>the</w:t>
      </w:r>
      <w:r>
        <w:rPr>
          <w:spacing w:val="-7"/>
          <w:sz w:val="20"/>
        </w:rPr>
        <w:t> </w:t>
      </w:r>
      <w:r>
        <w:rPr>
          <w:sz w:val="20"/>
        </w:rPr>
        <w:t>Douro</w:t>
      </w:r>
      <w:r>
        <w:rPr>
          <w:spacing w:val="-7"/>
          <w:sz w:val="20"/>
        </w:rPr>
        <w:t> </w:t>
      </w:r>
      <w:r>
        <w:rPr>
          <w:sz w:val="20"/>
        </w:rPr>
        <w:t>(RDD)</w:t>
      </w:r>
      <w:r>
        <w:rPr>
          <w:spacing w:val="-7"/>
          <w:sz w:val="20"/>
        </w:rPr>
        <w:t> </w:t>
      </w:r>
      <w:r>
        <w:rPr>
          <w:sz w:val="20"/>
        </w:rPr>
        <w:t>region,</w:t>
      </w:r>
      <w:r>
        <w:rPr>
          <w:spacing w:val="-6"/>
          <w:sz w:val="20"/>
        </w:rPr>
        <w:t> </w:t>
      </w:r>
      <w:r>
        <w:rPr>
          <w:sz w:val="20"/>
        </w:rPr>
        <w:t>1934–</w:t>
      </w:r>
      <w:r>
        <w:rPr>
          <w:spacing w:val="-2"/>
          <w:sz w:val="20"/>
        </w:rPr>
        <w:t>2022.</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8"/>
        <w:rPr>
          <w:sz w:val="20"/>
        </w:rPr>
      </w:pPr>
      <w:r>
        <w:rPr>
          <w:sz w:val="20"/>
        </w:rPr>
        <w:drawing>
          <wp:anchor distT="0" distB="0" distL="0" distR="0" allowOverlap="1" layoutInCell="1" locked="0" behindDoc="1" simplePos="0" relativeHeight="487594496">
            <wp:simplePos x="0" y="0"/>
            <wp:positionH relativeFrom="page">
              <wp:posOffset>1330489</wp:posOffset>
            </wp:positionH>
            <wp:positionV relativeFrom="paragraph">
              <wp:posOffset>185822</wp:posOffset>
            </wp:positionV>
            <wp:extent cx="4230528" cy="1867090"/>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44" cstate="print"/>
                    <a:stretch>
                      <a:fillRect/>
                    </a:stretch>
                  </pic:blipFill>
                  <pic:spPr>
                    <a:xfrm>
                      <a:off x="0" y="0"/>
                      <a:ext cx="4230528" cy="1867090"/>
                    </a:xfrm>
                    <a:prstGeom prst="rect">
                      <a:avLst/>
                    </a:prstGeom>
                  </pic:spPr>
                </pic:pic>
              </a:graphicData>
            </a:graphic>
          </wp:anchor>
        </w:drawing>
      </w:r>
    </w:p>
    <w:p>
      <w:pPr>
        <w:spacing w:before="215"/>
        <w:ind w:left="1101" w:right="0" w:firstLine="0"/>
        <w:jc w:val="left"/>
        <w:rPr>
          <w:sz w:val="20"/>
        </w:rPr>
      </w:pPr>
      <w:bookmarkStart w:name="_bookmark32" w:id="66"/>
      <w:bookmarkEnd w:id="66"/>
      <w:r>
        <w:rPr/>
      </w:r>
      <w:r>
        <w:rPr>
          <w:b/>
          <w:sz w:val="20"/>
        </w:rPr>
        <w:t>Figure</w:t>
      </w:r>
      <w:r>
        <w:rPr>
          <w:b/>
          <w:spacing w:val="-12"/>
          <w:sz w:val="20"/>
        </w:rPr>
        <w:t> </w:t>
      </w:r>
      <w:r>
        <w:rPr>
          <w:b/>
          <w:sz w:val="20"/>
        </w:rPr>
        <w:t>3.2:</w:t>
      </w:r>
      <w:r>
        <w:rPr>
          <w:b/>
          <w:spacing w:val="-1"/>
          <w:sz w:val="20"/>
        </w:rPr>
        <w:t> </w:t>
      </w:r>
      <w:r>
        <w:rPr>
          <w:sz w:val="20"/>
        </w:rPr>
        <w:t>Production</w:t>
      </w:r>
      <w:r>
        <w:rPr>
          <w:spacing w:val="-12"/>
          <w:sz w:val="20"/>
        </w:rPr>
        <w:t> </w:t>
      </w:r>
      <w:r>
        <w:rPr>
          <w:sz w:val="20"/>
        </w:rPr>
        <w:t>time</w:t>
      </w:r>
      <w:r>
        <w:rPr>
          <w:spacing w:val="-11"/>
          <w:sz w:val="20"/>
        </w:rPr>
        <w:t> </w:t>
      </w:r>
      <w:r>
        <w:rPr>
          <w:sz w:val="20"/>
        </w:rPr>
        <w:t>series</w:t>
      </w:r>
      <w:r>
        <w:rPr>
          <w:spacing w:val="-11"/>
          <w:sz w:val="20"/>
        </w:rPr>
        <w:t> </w:t>
      </w:r>
      <w:r>
        <w:rPr>
          <w:sz w:val="20"/>
        </w:rPr>
        <w:t>for</w:t>
      </w:r>
      <w:r>
        <w:rPr>
          <w:spacing w:val="-11"/>
          <w:sz w:val="20"/>
        </w:rPr>
        <w:t> </w:t>
      </w:r>
      <w:r>
        <w:rPr>
          <w:sz w:val="20"/>
        </w:rPr>
        <w:t>the</w:t>
      </w:r>
      <w:r>
        <w:rPr>
          <w:spacing w:val="-11"/>
          <w:sz w:val="20"/>
        </w:rPr>
        <w:t> </w:t>
      </w:r>
      <w:r>
        <w:rPr>
          <w:sz w:val="20"/>
        </w:rPr>
        <w:t>Vinho</w:t>
      </w:r>
      <w:r>
        <w:rPr>
          <w:spacing w:val="-11"/>
          <w:sz w:val="20"/>
        </w:rPr>
        <w:t> </w:t>
      </w:r>
      <w:r>
        <w:rPr>
          <w:sz w:val="20"/>
        </w:rPr>
        <w:t>Verde</w:t>
      </w:r>
      <w:r>
        <w:rPr>
          <w:spacing w:val="-12"/>
          <w:sz w:val="20"/>
        </w:rPr>
        <w:t> </w:t>
      </w:r>
      <w:r>
        <w:rPr>
          <w:sz w:val="20"/>
        </w:rPr>
        <w:t>(RVV)</w:t>
      </w:r>
      <w:r>
        <w:rPr>
          <w:spacing w:val="-11"/>
          <w:sz w:val="20"/>
        </w:rPr>
        <w:t> </w:t>
      </w:r>
      <w:r>
        <w:rPr>
          <w:sz w:val="20"/>
        </w:rPr>
        <w:t>region,</w:t>
      </w:r>
      <w:r>
        <w:rPr>
          <w:spacing w:val="-11"/>
          <w:sz w:val="20"/>
        </w:rPr>
        <w:t> </w:t>
      </w:r>
      <w:r>
        <w:rPr>
          <w:sz w:val="20"/>
        </w:rPr>
        <w:t>1942–</w:t>
      </w:r>
      <w:r>
        <w:rPr>
          <w:spacing w:val="-2"/>
          <w:sz w:val="20"/>
        </w:rPr>
        <w:t>2021.</w:t>
      </w:r>
    </w:p>
    <w:p>
      <w:pPr>
        <w:spacing w:after="0"/>
        <w:jc w:val="left"/>
        <w:rPr>
          <w:sz w:val="20"/>
        </w:rPr>
        <w:sectPr>
          <w:headerReference w:type="even" r:id="rId41"/>
          <w:headerReference w:type="default" r:id="rId42"/>
          <w:pgSz w:w="11910" w:h="16840"/>
          <w:pgMar w:header="1160" w:footer="0" w:top="1420" w:bottom="280" w:left="1275" w:right="425"/>
          <w:pgNumType w:start="16"/>
        </w:sectPr>
      </w:pPr>
    </w:p>
    <w:p>
      <w:pPr>
        <w:pStyle w:val="BodyText"/>
        <w:spacing w:before="153"/>
        <w:rPr>
          <w:sz w:val="28"/>
        </w:rPr>
      </w:pPr>
    </w:p>
    <w:p>
      <w:pPr>
        <w:pStyle w:val="Heading2"/>
        <w:numPr>
          <w:ilvl w:val="1"/>
          <w:numId w:val="17"/>
        </w:numPr>
        <w:tabs>
          <w:tab w:pos="1354" w:val="left" w:leader="none"/>
        </w:tabs>
        <w:spacing w:line="240" w:lineRule="auto" w:before="1" w:after="0"/>
        <w:ind w:left="1354" w:right="0" w:hanging="645"/>
        <w:jc w:val="left"/>
      </w:pPr>
      <w:bookmarkStart w:name="3.2 Feature Engineering" w:id="67"/>
      <w:bookmarkEnd w:id="67"/>
      <w:r>
        <w:rPr>
          <w:b w:val="0"/>
        </w:rPr>
      </w:r>
      <w:bookmarkStart w:name="_bookmark33" w:id="68"/>
      <w:bookmarkEnd w:id="68"/>
      <w:r>
        <w:rPr>
          <w:b w:val="0"/>
        </w:rPr>
      </w:r>
      <w:r>
        <w:rPr/>
        <w:t>Feature</w:t>
      </w:r>
      <w:r>
        <w:rPr>
          <w:spacing w:val="5"/>
        </w:rPr>
        <w:t> </w:t>
      </w:r>
      <w:r>
        <w:rPr>
          <w:spacing w:val="-2"/>
        </w:rPr>
        <w:t>Engineering</w:t>
      </w:r>
    </w:p>
    <w:p>
      <w:pPr>
        <w:pStyle w:val="BodyText"/>
        <w:spacing w:line="312" w:lineRule="auto" w:before="296"/>
        <w:ind w:left="701" w:right="962" w:firstLine="7"/>
        <w:jc w:val="both"/>
      </w:pPr>
      <w:r>
        <w:rPr/>
        <w:t>Covariates were constructed from daily temperature, rainfall, and soil water balance records, supplemented</w:t>
      </w:r>
      <w:r>
        <w:rPr>
          <w:spacing w:val="-4"/>
        </w:rPr>
        <w:t> </w:t>
      </w:r>
      <w:r>
        <w:rPr/>
        <w:t>by</w:t>
      </w:r>
      <w:r>
        <w:rPr>
          <w:spacing w:val="-4"/>
        </w:rPr>
        <w:t> </w:t>
      </w:r>
      <w:r>
        <w:rPr/>
        <w:t>Leaf</w:t>
      </w:r>
      <w:r>
        <w:rPr>
          <w:spacing w:val="-4"/>
        </w:rPr>
        <w:t> </w:t>
      </w:r>
      <w:r>
        <w:rPr/>
        <w:t>Area</w:t>
      </w:r>
      <w:r>
        <w:rPr>
          <w:spacing w:val="-4"/>
        </w:rPr>
        <w:t> </w:t>
      </w:r>
      <w:r>
        <w:rPr/>
        <w:t>Index</w:t>
      </w:r>
      <w:r>
        <w:rPr>
          <w:spacing w:val="-4"/>
        </w:rPr>
        <w:t> </w:t>
      </w:r>
      <w:r>
        <w:rPr/>
        <w:t>(LAI)</w:t>
      </w:r>
      <w:r>
        <w:rPr>
          <w:spacing w:val="-4"/>
        </w:rPr>
        <w:t> </w:t>
      </w:r>
      <w:r>
        <w:rPr/>
        <w:t>estimates</w:t>
      </w:r>
      <w:r>
        <w:rPr>
          <w:spacing w:val="-4"/>
        </w:rPr>
        <w:t> </w:t>
      </w:r>
      <w:r>
        <w:rPr/>
        <w:t>from</w:t>
      </w:r>
      <w:r>
        <w:rPr>
          <w:spacing w:val="-4"/>
        </w:rPr>
        <w:t> </w:t>
      </w:r>
      <w:r>
        <w:rPr/>
        <w:t>a</w:t>
      </w:r>
      <w:r>
        <w:rPr>
          <w:spacing w:val="-4"/>
        </w:rPr>
        <w:t> </w:t>
      </w:r>
      <w:r>
        <w:rPr/>
        <w:t>vine</w:t>
      </w:r>
      <w:r>
        <w:rPr>
          <w:spacing w:val="-4"/>
        </w:rPr>
        <w:t> </w:t>
      </w:r>
      <w:r>
        <w:rPr/>
        <w:t>phenological</w:t>
      </w:r>
      <w:r>
        <w:rPr>
          <w:spacing w:val="-4"/>
        </w:rPr>
        <w:t> </w:t>
      </w:r>
      <w:r>
        <w:rPr/>
        <w:t>model. All</w:t>
      </w:r>
      <w:r>
        <w:rPr>
          <w:spacing w:val="-4"/>
        </w:rPr>
        <w:t> </w:t>
      </w:r>
      <w:r>
        <w:rPr/>
        <w:t>variables </w:t>
      </w:r>
      <w:r>
        <w:rPr>
          <w:spacing w:val="-2"/>
        </w:rPr>
        <w:t>were</w:t>
      </w:r>
      <w:r>
        <w:rPr>
          <w:spacing w:val="-9"/>
        </w:rPr>
        <w:t> </w:t>
      </w:r>
      <w:r>
        <w:rPr>
          <w:spacing w:val="-2"/>
        </w:rPr>
        <w:t>aggregated</w:t>
      </w:r>
      <w:r>
        <w:rPr>
          <w:spacing w:val="-9"/>
        </w:rPr>
        <w:t> </w:t>
      </w:r>
      <w:r>
        <w:rPr>
          <w:spacing w:val="-2"/>
        </w:rPr>
        <w:t>over</w:t>
      </w:r>
      <w:r>
        <w:rPr>
          <w:spacing w:val="-9"/>
        </w:rPr>
        <w:t> </w:t>
      </w:r>
      <w:r>
        <w:rPr>
          <w:spacing w:val="-2"/>
        </w:rPr>
        <w:t>windows</w:t>
      </w:r>
      <w:r>
        <w:rPr>
          <w:spacing w:val="-9"/>
        </w:rPr>
        <w:t> </w:t>
      </w:r>
      <w:r>
        <w:rPr>
          <w:spacing w:val="-2"/>
        </w:rPr>
        <w:t>defined</w:t>
      </w:r>
      <w:r>
        <w:rPr>
          <w:spacing w:val="-9"/>
        </w:rPr>
        <w:t> </w:t>
      </w:r>
      <w:r>
        <w:rPr>
          <w:spacing w:val="-2"/>
        </w:rPr>
        <w:t>by</w:t>
      </w:r>
      <w:r>
        <w:rPr>
          <w:spacing w:val="-9"/>
        </w:rPr>
        <w:t> </w:t>
      </w:r>
      <w:r>
        <w:rPr>
          <w:spacing w:val="-2"/>
        </w:rPr>
        <w:t>phenological</w:t>
      </w:r>
      <w:r>
        <w:rPr>
          <w:spacing w:val="-9"/>
        </w:rPr>
        <w:t> </w:t>
      </w:r>
      <w:r>
        <w:rPr>
          <w:spacing w:val="-2"/>
        </w:rPr>
        <w:t>stage</w:t>
      </w:r>
      <w:r>
        <w:rPr>
          <w:spacing w:val="-9"/>
        </w:rPr>
        <w:t> </w:t>
      </w:r>
      <w:r>
        <w:rPr>
          <w:spacing w:val="-2"/>
        </w:rPr>
        <w:t>and</w:t>
      </w:r>
      <w:r>
        <w:rPr>
          <w:spacing w:val="-10"/>
        </w:rPr>
        <w:t> </w:t>
      </w:r>
      <w:r>
        <w:rPr>
          <w:spacing w:val="-2"/>
        </w:rPr>
        <w:t>calendar</w:t>
      </w:r>
      <w:r>
        <w:rPr>
          <w:spacing w:val="-9"/>
        </w:rPr>
        <w:t> </w:t>
      </w:r>
      <w:r>
        <w:rPr>
          <w:spacing w:val="-2"/>
        </w:rPr>
        <w:t>date,</w:t>
      </w:r>
      <w:r>
        <w:rPr>
          <w:spacing w:val="-9"/>
        </w:rPr>
        <w:t> </w:t>
      </w:r>
      <w:r>
        <w:rPr>
          <w:spacing w:val="-2"/>
        </w:rPr>
        <w:t>producing</w:t>
      </w:r>
      <w:r>
        <w:rPr>
          <w:spacing w:val="-9"/>
        </w:rPr>
        <w:t> </w:t>
      </w:r>
      <w:r>
        <w:rPr>
          <w:spacing w:val="-2"/>
        </w:rPr>
        <w:t>features </w:t>
      </w:r>
      <w:r>
        <w:rPr/>
        <w:t>that correspond to agronomically meaningful periods of vine development. The feature naming convention encodes the variable type, phenological stage, year offset (current or previous year), and window width; for example, swa_hv_y1_b20 denotes soil water availability (swa) in the 20 days before (b20) harvest (hv) in the current year (y1).</w:t>
      </w:r>
    </w:p>
    <w:p>
      <w:pPr>
        <w:pStyle w:val="BodyText"/>
        <w:spacing w:before="2"/>
        <w:ind w:left="709" w:firstLine="338"/>
        <w:jc w:val="both"/>
      </w:pPr>
      <w:r>
        <w:rPr/>
        <w:t>Feature</w:t>
      </w:r>
      <w:r>
        <w:rPr>
          <w:spacing w:val="22"/>
        </w:rPr>
        <w:t> </w:t>
      </w:r>
      <w:r>
        <w:rPr/>
        <w:t>families</w:t>
      </w:r>
      <w:r>
        <w:rPr>
          <w:spacing w:val="22"/>
        </w:rPr>
        <w:t> </w:t>
      </w:r>
      <w:r>
        <w:rPr/>
        <w:t>included:</w:t>
      </w:r>
      <w:r>
        <w:rPr>
          <w:spacing w:val="55"/>
        </w:rPr>
        <w:t> </w:t>
      </w:r>
      <w:r>
        <w:rPr/>
        <w:t>mean</w:t>
      </w:r>
      <w:r>
        <w:rPr>
          <w:spacing w:val="22"/>
        </w:rPr>
        <w:t> </w:t>
      </w:r>
      <w:r>
        <w:rPr/>
        <w:t>and</w:t>
      </w:r>
      <w:r>
        <w:rPr>
          <w:spacing w:val="22"/>
        </w:rPr>
        <w:t> </w:t>
      </w:r>
      <w:r>
        <w:rPr/>
        <w:t>minimum</w:t>
      </w:r>
      <w:r>
        <w:rPr>
          <w:spacing w:val="22"/>
        </w:rPr>
        <w:t> </w:t>
      </w:r>
      <w:r>
        <w:rPr/>
        <w:t>temperature</w:t>
      </w:r>
      <w:r>
        <w:rPr>
          <w:spacing w:val="22"/>
        </w:rPr>
        <w:t> </w:t>
      </w:r>
      <w:r>
        <w:rPr/>
        <w:t>at</w:t>
      </w:r>
      <w:r>
        <w:rPr>
          <w:spacing w:val="22"/>
        </w:rPr>
        <w:t> </w:t>
      </w:r>
      <w:r>
        <w:rPr/>
        <w:t>each</w:t>
      </w:r>
      <w:r>
        <w:rPr>
          <w:spacing w:val="22"/>
        </w:rPr>
        <w:t> </w:t>
      </w:r>
      <w:r>
        <w:rPr/>
        <w:t>phenological</w:t>
      </w:r>
      <w:r>
        <w:rPr>
          <w:spacing w:val="22"/>
        </w:rPr>
        <w:t> </w:t>
      </w:r>
      <w:r>
        <w:rPr>
          <w:spacing w:val="-2"/>
        </w:rPr>
        <w:t>window;</w:t>
      </w:r>
    </w:p>
    <w:p>
      <w:pPr>
        <w:pStyle w:val="BodyText"/>
        <w:spacing w:line="328" w:lineRule="exact" w:before="19"/>
        <w:ind w:left="709" w:right="990"/>
        <w:jc w:val="both"/>
      </w:pPr>
      <w:r>
        <w:rPr/>
        <w:t>total</w:t>
      </w:r>
      <w:r>
        <w:rPr>
          <w:spacing w:val="-3"/>
        </w:rPr>
        <w:t> </w:t>
      </w:r>
      <w:r>
        <w:rPr/>
        <w:t>rainfall</w:t>
      </w:r>
      <w:r>
        <w:rPr>
          <w:spacing w:val="-3"/>
        </w:rPr>
        <w:t> </w:t>
      </w:r>
      <w:r>
        <w:rPr/>
        <w:t>and</w:t>
      </w:r>
      <w:r>
        <w:rPr>
          <w:spacing w:val="-3"/>
        </w:rPr>
        <w:t> </w:t>
      </w:r>
      <w:r>
        <w:rPr/>
        <w:t>number</w:t>
      </w:r>
      <w:r>
        <w:rPr>
          <w:spacing w:val="-3"/>
        </w:rPr>
        <w:t> </w:t>
      </w:r>
      <w:r>
        <w:rPr/>
        <w:t>of</w:t>
      </w:r>
      <w:r>
        <w:rPr>
          <w:spacing w:val="-3"/>
        </w:rPr>
        <w:t> </w:t>
      </w:r>
      <w:r>
        <w:rPr/>
        <w:t>wet</w:t>
      </w:r>
      <w:r>
        <w:rPr>
          <w:spacing w:val="-3"/>
        </w:rPr>
        <w:t> </w:t>
      </w:r>
      <w:r>
        <w:rPr/>
        <w:t>days</w:t>
      </w:r>
      <w:r>
        <w:rPr>
          <w:spacing w:val="-3"/>
        </w:rPr>
        <w:t> </w:t>
      </w:r>
      <w:r>
        <w:rPr/>
        <w:t>(days</w:t>
      </w:r>
      <w:r>
        <w:rPr>
          <w:spacing w:val="-3"/>
        </w:rPr>
        <w:t> </w:t>
      </w:r>
      <w:r>
        <w:rPr/>
        <w:t>with</w:t>
      </w:r>
      <w:r>
        <w:rPr>
          <w:spacing w:val="-3"/>
        </w:rPr>
        <w:t> </w:t>
      </w:r>
      <w:r>
        <w:rPr/>
        <w:t>rainfall</w:t>
      </w:r>
      <w:r>
        <w:rPr>
          <w:spacing w:val="-3"/>
        </w:rPr>
        <w:t> </w:t>
      </w:r>
      <w:r>
        <w:rPr/>
        <w:t>&gt;</w:t>
      </w:r>
      <w:r>
        <w:rPr>
          <w:spacing w:val="-3"/>
        </w:rPr>
        <w:t> </w:t>
      </w:r>
      <w:r>
        <w:rPr/>
        <w:t>1</w:t>
      </w:r>
      <w:r>
        <w:rPr>
          <w:spacing w:val="-3"/>
        </w:rPr>
        <w:t> </w:t>
      </w:r>
      <w:r>
        <w:rPr/>
        <w:t>mm);</w:t>
      </w:r>
      <w:r>
        <w:rPr>
          <w:spacing w:val="-3"/>
        </w:rPr>
        <w:t> </w:t>
      </w:r>
      <w:r>
        <w:rPr/>
        <w:t>soil</w:t>
      </w:r>
      <w:r>
        <w:rPr>
          <w:spacing w:val="-3"/>
        </w:rPr>
        <w:t> </w:t>
      </w:r>
      <w:r>
        <w:rPr/>
        <w:t>water</w:t>
      </w:r>
      <w:r>
        <w:rPr>
          <w:spacing w:val="-3"/>
        </w:rPr>
        <w:t> </w:t>
      </w:r>
      <w:r>
        <w:rPr/>
        <w:t>availability</w:t>
      </w:r>
      <w:r>
        <w:rPr>
          <w:spacing w:val="-3"/>
        </w:rPr>
        <w:t> </w:t>
      </w:r>
      <w:r>
        <w:rPr/>
        <w:t>(mm)</w:t>
      </w:r>
      <w:r>
        <w:rPr>
          <w:spacing w:val="-3"/>
        </w:rPr>
        <w:t> </w:t>
      </w:r>
      <w:r>
        <w:rPr/>
        <w:t>at </w:t>
      </w:r>
      <w:r>
        <w:rPr>
          <w:spacing w:val="-4"/>
        </w:rPr>
        <w:t>budburst,</w:t>
      </w:r>
      <w:r>
        <w:rPr>
          <w:spacing w:val="-6"/>
        </w:rPr>
        <w:t> </w:t>
      </w:r>
      <w:r>
        <w:rPr>
          <w:spacing w:val="-4"/>
        </w:rPr>
        <w:t>flowering,</w:t>
      </w:r>
      <w:r>
        <w:rPr>
          <w:spacing w:val="-6"/>
        </w:rPr>
        <w:t> </w:t>
      </w:r>
      <w:r>
        <w:rPr>
          <w:spacing w:val="-4"/>
        </w:rPr>
        <w:t>veraison,</w:t>
      </w:r>
      <w:r>
        <w:rPr>
          <w:spacing w:val="-6"/>
        </w:rPr>
        <w:t> </w:t>
      </w:r>
      <w:r>
        <w:rPr>
          <w:spacing w:val="-4"/>
        </w:rPr>
        <w:t>and</w:t>
      </w:r>
      <w:r>
        <w:rPr>
          <w:spacing w:val="-7"/>
        </w:rPr>
        <w:t> </w:t>
      </w:r>
      <w:r>
        <w:rPr>
          <w:spacing w:val="-4"/>
        </w:rPr>
        <w:t>harvest;</w:t>
      </w:r>
      <w:r>
        <w:rPr>
          <w:spacing w:val="-5"/>
        </w:rPr>
        <w:t> </w:t>
      </w:r>
      <w:r>
        <w:rPr>
          <w:spacing w:val="-4"/>
        </w:rPr>
        <w:t>accumulated</w:t>
      </w:r>
      <w:r>
        <w:rPr>
          <w:spacing w:val="-7"/>
        </w:rPr>
        <w:t> </w:t>
      </w:r>
      <w:r>
        <w:rPr>
          <w:spacing w:val="-4"/>
        </w:rPr>
        <w:t>heat</w:t>
      </w:r>
      <w:r>
        <w:rPr>
          <w:spacing w:val="-7"/>
        </w:rPr>
        <w:t> </w:t>
      </w:r>
      <w:r>
        <w:rPr>
          <w:spacing w:val="-4"/>
        </w:rPr>
        <w:t>degree-days</w:t>
      </w:r>
      <w:r>
        <w:rPr>
          <w:spacing w:val="-7"/>
        </w:rPr>
        <w:t> </w:t>
      </w:r>
      <w:r>
        <w:rPr>
          <w:spacing w:val="-4"/>
        </w:rPr>
        <w:t>above</w:t>
      </w:r>
      <w:r>
        <w:rPr>
          <w:spacing w:val="-7"/>
        </w:rPr>
        <w:t> </w:t>
      </w:r>
      <w:r>
        <w:rPr>
          <w:spacing w:val="-4"/>
        </w:rPr>
        <w:t>35</w:t>
      </w:r>
      <w:r>
        <w:rPr>
          <w:rFonts w:ascii="Meiryo UI" w:hAnsi="Meiryo UI"/>
          <w:i/>
          <w:spacing w:val="-4"/>
          <w:vertAlign w:val="superscript"/>
        </w:rPr>
        <w:t>◦</w:t>
      </w:r>
      <w:r>
        <w:rPr>
          <w:spacing w:val="-4"/>
          <w:vertAlign w:val="baseline"/>
        </w:rPr>
        <w:t>C</w:t>
      </w:r>
      <w:r>
        <w:rPr>
          <w:spacing w:val="-7"/>
          <w:vertAlign w:val="baseline"/>
        </w:rPr>
        <w:t> </w:t>
      </w:r>
      <w:r>
        <w:rPr>
          <w:spacing w:val="-4"/>
          <w:vertAlign w:val="baseline"/>
        </w:rPr>
        <w:t>and</w:t>
      </w:r>
      <w:r>
        <w:rPr>
          <w:spacing w:val="-7"/>
          <w:vertAlign w:val="baseline"/>
        </w:rPr>
        <w:t> </w:t>
      </w:r>
      <w:r>
        <w:rPr>
          <w:spacing w:val="-4"/>
          <w:vertAlign w:val="baseline"/>
        </w:rPr>
        <w:t>cold</w:t>
      </w:r>
      <w:r>
        <w:rPr>
          <w:spacing w:val="-7"/>
          <w:vertAlign w:val="baseline"/>
        </w:rPr>
        <w:t> </w:t>
      </w:r>
      <w:r>
        <w:rPr>
          <w:spacing w:val="-4"/>
          <w:vertAlign w:val="baseline"/>
        </w:rPr>
        <w:t>days </w:t>
      </w:r>
      <w:r>
        <w:rPr>
          <w:vertAlign w:val="baseline"/>
        </w:rPr>
        <w:t>below</w:t>
      </w:r>
      <w:r>
        <w:rPr>
          <w:spacing w:val="-2"/>
          <w:vertAlign w:val="baseline"/>
        </w:rPr>
        <w:t> </w:t>
      </w:r>
      <w:r>
        <w:rPr>
          <w:vertAlign w:val="baseline"/>
        </w:rPr>
        <w:t>15</w:t>
      </w:r>
      <w:r>
        <w:rPr>
          <w:rFonts w:ascii="Meiryo UI" w:hAnsi="Meiryo UI"/>
          <w:i/>
          <w:vertAlign w:val="superscript"/>
        </w:rPr>
        <w:t>◦</w:t>
      </w:r>
      <w:r>
        <w:rPr>
          <w:vertAlign w:val="baseline"/>
        </w:rPr>
        <w:t>C;</w:t>
      </w:r>
      <w:r>
        <w:rPr>
          <w:spacing w:val="-2"/>
          <w:vertAlign w:val="baseline"/>
        </w:rPr>
        <w:t> </w:t>
      </w:r>
      <w:r>
        <w:rPr>
          <w:vertAlign w:val="baseline"/>
        </w:rPr>
        <w:t>and</w:t>
      </w:r>
      <w:r>
        <w:rPr>
          <w:spacing w:val="-2"/>
          <w:vertAlign w:val="baseline"/>
        </w:rPr>
        <w:t> </w:t>
      </w:r>
      <w:r>
        <w:rPr>
          <w:vertAlign w:val="baseline"/>
        </w:rPr>
        <w:t>LAI</w:t>
      </w:r>
      <w:r>
        <w:rPr>
          <w:spacing w:val="-2"/>
          <w:vertAlign w:val="baseline"/>
        </w:rPr>
        <w:t> </w:t>
      </w:r>
      <w:r>
        <w:rPr>
          <w:vertAlign w:val="baseline"/>
        </w:rPr>
        <w:t>at</w:t>
      </w:r>
      <w:r>
        <w:rPr>
          <w:spacing w:val="-2"/>
          <w:vertAlign w:val="baseline"/>
        </w:rPr>
        <w:t> </w:t>
      </w:r>
      <w:r>
        <w:rPr>
          <w:vertAlign w:val="baseline"/>
        </w:rPr>
        <w:t>budburst</w:t>
      </w:r>
      <w:r>
        <w:rPr>
          <w:spacing w:val="-2"/>
          <w:vertAlign w:val="baseline"/>
        </w:rPr>
        <w:t> </w:t>
      </w:r>
      <w:r>
        <w:rPr>
          <w:vertAlign w:val="baseline"/>
        </w:rPr>
        <w:t>and</w:t>
      </w:r>
      <w:r>
        <w:rPr>
          <w:spacing w:val="-2"/>
          <w:vertAlign w:val="baseline"/>
        </w:rPr>
        <w:t> </w:t>
      </w:r>
      <w:r>
        <w:rPr>
          <w:vertAlign w:val="baseline"/>
        </w:rPr>
        <w:t>flowering. Lagged</w:t>
      </w:r>
      <w:r>
        <w:rPr>
          <w:spacing w:val="-2"/>
          <w:vertAlign w:val="baseline"/>
        </w:rPr>
        <w:t> </w:t>
      </w:r>
      <w:r>
        <w:rPr>
          <w:vertAlign w:val="baseline"/>
        </w:rPr>
        <w:t>versions</w:t>
      </w:r>
      <w:r>
        <w:rPr>
          <w:spacing w:val="-2"/>
          <w:vertAlign w:val="baseline"/>
        </w:rPr>
        <w:t> </w:t>
      </w:r>
      <w:r>
        <w:rPr>
          <w:vertAlign w:val="baseline"/>
        </w:rPr>
        <w:t>of</w:t>
      </w:r>
      <w:r>
        <w:rPr>
          <w:spacing w:val="-2"/>
          <w:vertAlign w:val="baseline"/>
        </w:rPr>
        <w:t> </w:t>
      </w:r>
      <w:r>
        <w:rPr>
          <w:vertAlign w:val="baseline"/>
        </w:rPr>
        <w:t>selected</w:t>
      </w:r>
      <w:r>
        <w:rPr>
          <w:spacing w:val="-2"/>
          <w:vertAlign w:val="baseline"/>
        </w:rPr>
        <w:t> </w:t>
      </w:r>
      <w:r>
        <w:rPr>
          <w:vertAlign w:val="baseline"/>
        </w:rPr>
        <w:t>features</w:t>
      </w:r>
      <w:r>
        <w:rPr>
          <w:spacing w:val="-2"/>
          <w:vertAlign w:val="baseline"/>
        </w:rPr>
        <w:t> </w:t>
      </w:r>
      <w:r>
        <w:rPr>
          <w:vertAlign w:val="baseline"/>
        </w:rPr>
        <w:t>(previous growing</w:t>
      </w:r>
      <w:r>
        <w:rPr>
          <w:spacing w:val="-1"/>
          <w:vertAlign w:val="baseline"/>
        </w:rPr>
        <w:t> </w:t>
      </w:r>
      <w:r>
        <w:rPr>
          <w:vertAlign w:val="baseline"/>
        </w:rPr>
        <w:t>season,</w:t>
      </w:r>
      <w:r>
        <w:rPr>
          <w:spacing w:val="-1"/>
          <w:vertAlign w:val="baseline"/>
        </w:rPr>
        <w:t> </w:t>
      </w:r>
      <w:r>
        <w:rPr>
          <w:vertAlign w:val="baseline"/>
        </w:rPr>
        <w:t>denoted</w:t>
      </w:r>
      <w:r>
        <w:rPr>
          <w:spacing w:val="-1"/>
          <w:vertAlign w:val="baseline"/>
        </w:rPr>
        <w:t> </w:t>
      </w:r>
      <w:r>
        <w:rPr>
          <w:vertAlign w:val="baseline"/>
        </w:rPr>
        <w:t>y0)</w:t>
      </w:r>
      <w:r>
        <w:rPr>
          <w:spacing w:val="-1"/>
          <w:vertAlign w:val="baseline"/>
        </w:rPr>
        <w:t> </w:t>
      </w:r>
      <w:r>
        <w:rPr>
          <w:vertAlign w:val="baseline"/>
        </w:rPr>
        <w:t>were</w:t>
      </w:r>
      <w:r>
        <w:rPr>
          <w:spacing w:val="-1"/>
          <w:vertAlign w:val="baseline"/>
        </w:rPr>
        <w:t> </w:t>
      </w:r>
      <w:r>
        <w:rPr>
          <w:vertAlign w:val="baseline"/>
        </w:rPr>
        <w:t>included</w:t>
      </w:r>
      <w:r>
        <w:rPr>
          <w:spacing w:val="-1"/>
          <w:vertAlign w:val="baseline"/>
        </w:rPr>
        <w:t> </w:t>
      </w:r>
      <w:r>
        <w:rPr>
          <w:vertAlign w:val="baseline"/>
        </w:rPr>
        <w:t>to</w:t>
      </w:r>
      <w:r>
        <w:rPr>
          <w:spacing w:val="-1"/>
          <w:vertAlign w:val="baseline"/>
        </w:rPr>
        <w:t> </w:t>
      </w:r>
      <w:r>
        <w:rPr>
          <w:vertAlign w:val="baseline"/>
        </w:rPr>
        <w:t>capture</w:t>
      </w:r>
      <w:r>
        <w:rPr>
          <w:spacing w:val="-1"/>
          <w:vertAlign w:val="baseline"/>
        </w:rPr>
        <w:t> </w:t>
      </w:r>
      <w:r>
        <w:rPr>
          <w:vertAlign w:val="baseline"/>
        </w:rPr>
        <w:t>carryover</w:t>
      </w:r>
      <w:r>
        <w:rPr>
          <w:spacing w:val="-1"/>
          <w:vertAlign w:val="baseline"/>
        </w:rPr>
        <w:t> </w:t>
      </w:r>
      <w:r>
        <w:rPr>
          <w:vertAlign w:val="baseline"/>
        </w:rPr>
        <w:t>effects</w:t>
      </w:r>
      <w:r>
        <w:rPr>
          <w:spacing w:val="-1"/>
          <w:vertAlign w:val="baseline"/>
        </w:rPr>
        <w:t> </w:t>
      </w:r>
      <w:r>
        <w:rPr>
          <w:vertAlign w:val="baseline"/>
        </w:rPr>
        <w:t>from</w:t>
      </w:r>
      <w:r>
        <w:rPr>
          <w:spacing w:val="-1"/>
          <w:vertAlign w:val="baseline"/>
        </w:rPr>
        <w:t> </w:t>
      </w:r>
      <w:r>
        <w:rPr>
          <w:vertAlign w:val="baseline"/>
        </w:rPr>
        <w:t>the</w:t>
      </w:r>
      <w:r>
        <w:rPr>
          <w:spacing w:val="-1"/>
          <w:vertAlign w:val="baseline"/>
        </w:rPr>
        <w:t> </w:t>
      </w:r>
      <w:r>
        <w:rPr>
          <w:vertAlign w:val="baseline"/>
        </w:rPr>
        <w:t>prior</w:t>
      </w:r>
      <w:r>
        <w:rPr>
          <w:spacing w:val="-1"/>
          <w:vertAlign w:val="baseline"/>
        </w:rPr>
        <w:t> </w:t>
      </w:r>
      <w:r>
        <w:rPr>
          <w:vertAlign w:val="baseline"/>
        </w:rPr>
        <w:t>year. The final feature matrix contained 59 candidate predictors per region.</w:t>
      </w:r>
    </w:p>
    <w:p>
      <w:pPr>
        <w:pStyle w:val="BodyText"/>
        <w:spacing w:before="139"/>
      </w:pPr>
    </w:p>
    <w:p>
      <w:pPr>
        <w:pStyle w:val="Heading3"/>
        <w:numPr>
          <w:ilvl w:val="2"/>
          <w:numId w:val="17"/>
        </w:numPr>
        <w:tabs>
          <w:tab w:pos="1426" w:val="left" w:leader="none"/>
        </w:tabs>
        <w:spacing w:line="240" w:lineRule="auto" w:before="1" w:after="0"/>
        <w:ind w:left="1426" w:right="0" w:hanging="717"/>
        <w:jc w:val="left"/>
      </w:pPr>
      <w:bookmarkStart w:name="3.2.1 Autocorrelation Structure of the R" w:id="69"/>
      <w:bookmarkEnd w:id="69"/>
      <w:r>
        <w:rPr>
          <w:b w:val="0"/>
        </w:rPr>
      </w:r>
      <w:bookmarkStart w:name="_bookmark34" w:id="70"/>
      <w:bookmarkEnd w:id="70"/>
      <w:r>
        <w:rPr>
          <w:b w:val="0"/>
        </w:rPr>
      </w:r>
      <w:r>
        <w:rPr/>
        <w:t>Autocorrelation</w:t>
      </w:r>
      <w:r>
        <w:rPr>
          <w:spacing w:val="-15"/>
        </w:rPr>
        <w:t> </w:t>
      </w:r>
      <w:r>
        <w:rPr/>
        <w:t>Structure</w:t>
      </w:r>
      <w:r>
        <w:rPr>
          <w:spacing w:val="-14"/>
        </w:rPr>
        <w:t> </w:t>
      </w:r>
      <w:r>
        <w:rPr/>
        <w:t>of</w:t>
      </w:r>
      <w:r>
        <w:rPr>
          <w:spacing w:val="-15"/>
        </w:rPr>
        <w:t> </w:t>
      </w:r>
      <w:r>
        <w:rPr/>
        <w:t>the</w:t>
      </w:r>
      <w:r>
        <w:rPr>
          <w:spacing w:val="-14"/>
        </w:rPr>
        <w:t> </w:t>
      </w:r>
      <w:r>
        <w:rPr>
          <w:spacing w:val="-2"/>
        </w:rPr>
        <w:t>Residuals</w:t>
      </w:r>
    </w:p>
    <w:p>
      <w:pPr>
        <w:pStyle w:val="BodyText"/>
        <w:spacing w:line="307" w:lineRule="auto" w:before="226"/>
        <w:ind w:left="703" w:right="977" w:firstLine="5"/>
        <w:jc w:val="both"/>
      </w:pPr>
      <w:r>
        <w:rPr/>
        <w:t>Before designing the previous-year (y0) features, the autocorrelation structure of the linearly </w:t>
      </w:r>
      <w:r>
        <w:rPr>
          <w:spacing w:val="-2"/>
        </w:rPr>
        <w:t>detrended</w:t>
      </w:r>
      <w:r>
        <w:rPr>
          <w:spacing w:val="-6"/>
        </w:rPr>
        <w:t> </w:t>
      </w:r>
      <w:r>
        <w:rPr>
          <w:spacing w:val="-2"/>
        </w:rPr>
        <w:t>production</w:t>
      </w:r>
      <w:r>
        <w:rPr>
          <w:spacing w:val="-6"/>
        </w:rPr>
        <w:t> </w:t>
      </w:r>
      <w:r>
        <w:rPr>
          <w:spacing w:val="-2"/>
        </w:rPr>
        <w:t>residuals</w:t>
      </w:r>
      <w:r>
        <w:rPr>
          <w:spacing w:val="-6"/>
        </w:rPr>
        <w:t> </w:t>
      </w:r>
      <w:r>
        <w:rPr>
          <w:spacing w:val="-2"/>
        </w:rPr>
        <w:t>was</w:t>
      </w:r>
      <w:r>
        <w:rPr>
          <w:spacing w:val="-6"/>
        </w:rPr>
        <w:t> </w:t>
      </w:r>
      <w:r>
        <w:rPr>
          <w:spacing w:val="-2"/>
        </w:rPr>
        <w:t>examined</w:t>
      </w:r>
      <w:r>
        <w:rPr>
          <w:spacing w:val="-6"/>
        </w:rPr>
        <w:t> </w:t>
      </w:r>
      <w:r>
        <w:rPr>
          <w:spacing w:val="-2"/>
        </w:rPr>
        <w:t>to</w:t>
      </w:r>
      <w:r>
        <w:rPr>
          <w:spacing w:val="-6"/>
        </w:rPr>
        <w:t> </w:t>
      </w:r>
      <w:r>
        <w:rPr>
          <w:spacing w:val="-2"/>
        </w:rPr>
        <w:t>determine</w:t>
      </w:r>
      <w:r>
        <w:rPr>
          <w:spacing w:val="-6"/>
        </w:rPr>
        <w:t> </w:t>
      </w:r>
      <w:r>
        <w:rPr>
          <w:spacing w:val="-2"/>
        </w:rPr>
        <w:t>which</w:t>
      </w:r>
      <w:r>
        <w:rPr>
          <w:spacing w:val="-6"/>
        </w:rPr>
        <w:t> </w:t>
      </w:r>
      <w:r>
        <w:rPr>
          <w:spacing w:val="-2"/>
        </w:rPr>
        <w:t>lags</w:t>
      </w:r>
      <w:r>
        <w:rPr>
          <w:spacing w:val="-6"/>
        </w:rPr>
        <w:t> </w:t>
      </w:r>
      <w:r>
        <w:rPr>
          <w:spacing w:val="-2"/>
        </w:rPr>
        <w:t>carry</w:t>
      </w:r>
      <w:r>
        <w:rPr>
          <w:spacing w:val="-6"/>
        </w:rPr>
        <w:t> </w:t>
      </w:r>
      <w:r>
        <w:rPr>
          <w:spacing w:val="-2"/>
        </w:rPr>
        <w:t>statistically</w:t>
      </w:r>
      <w:r>
        <w:rPr>
          <w:spacing w:val="-6"/>
        </w:rPr>
        <w:t> </w:t>
      </w:r>
      <w:r>
        <w:rPr>
          <w:spacing w:val="-2"/>
        </w:rPr>
        <w:t>significant </w:t>
      </w:r>
      <w:r>
        <w:rPr/>
        <w:t>serial</w:t>
      </w:r>
      <w:r>
        <w:rPr>
          <w:spacing w:val="-1"/>
        </w:rPr>
        <w:t> </w:t>
      </w:r>
      <w:r>
        <w:rPr/>
        <w:t>dependence. This</w:t>
      </w:r>
      <w:r>
        <w:rPr>
          <w:spacing w:val="-1"/>
        </w:rPr>
        <w:t> </w:t>
      </w:r>
      <w:r>
        <w:rPr/>
        <w:t>analysis</w:t>
      </w:r>
      <w:r>
        <w:rPr>
          <w:spacing w:val="-1"/>
        </w:rPr>
        <w:t> </w:t>
      </w:r>
      <w:r>
        <w:rPr/>
        <w:t>was</w:t>
      </w:r>
      <w:r>
        <w:rPr>
          <w:spacing w:val="-1"/>
        </w:rPr>
        <w:t> </w:t>
      </w:r>
      <w:r>
        <w:rPr/>
        <w:t>performed</w:t>
      </w:r>
      <w:r>
        <w:rPr>
          <w:spacing w:val="-1"/>
        </w:rPr>
        <w:t> </w:t>
      </w:r>
      <w:r>
        <w:rPr/>
        <w:t>on</w:t>
      </w:r>
      <w:r>
        <w:rPr>
          <w:spacing w:val="-1"/>
        </w:rPr>
        <w:t> </w:t>
      </w:r>
      <w:r>
        <w:rPr/>
        <w:t>the</w:t>
      </w:r>
      <w:r>
        <w:rPr>
          <w:spacing w:val="-1"/>
        </w:rPr>
        <w:t> </w:t>
      </w:r>
      <w:r>
        <w:rPr/>
        <w:t>target</w:t>
      </w:r>
      <w:r>
        <w:rPr>
          <w:spacing w:val="-1"/>
        </w:rPr>
        <w:t> </w:t>
      </w:r>
      <w:r>
        <w:rPr/>
        <w:t>variable</w:t>
      </w:r>
      <w:r>
        <w:rPr>
          <w:spacing w:val="-1"/>
        </w:rPr>
        <w:t> </w:t>
      </w:r>
      <w:r>
        <w:rPr/>
        <w:t>only</w:t>
      </w:r>
      <w:r>
        <w:rPr>
          <w:spacing w:val="-1"/>
        </w:rPr>
        <w:t> </w:t>
      </w:r>
      <w:r>
        <w:rPr/>
        <w:t>—</w:t>
      </w:r>
      <w:r>
        <w:rPr>
          <w:spacing w:val="-1"/>
        </w:rPr>
        <w:t> </w:t>
      </w:r>
      <w:r>
        <w:rPr/>
        <w:t>not</w:t>
      </w:r>
      <w:r>
        <w:rPr>
          <w:spacing w:val="-1"/>
        </w:rPr>
        <w:t> </w:t>
      </w:r>
      <w:r>
        <w:rPr/>
        <w:t>on</w:t>
      </w:r>
      <w:r>
        <w:rPr>
          <w:spacing w:val="-1"/>
        </w:rPr>
        <w:t> </w:t>
      </w:r>
      <w:r>
        <w:rPr/>
        <w:t>the</w:t>
      </w:r>
      <w:r>
        <w:rPr>
          <w:spacing w:val="-1"/>
        </w:rPr>
        <w:t> </w:t>
      </w:r>
      <w:r>
        <w:rPr/>
        <w:t>climate features.</w:t>
      </w:r>
      <w:r>
        <w:rPr>
          <w:spacing w:val="40"/>
        </w:rPr>
        <w:t> </w:t>
      </w:r>
      <w:r>
        <w:rPr/>
        <w:t>It served two purposes: (1) providing empirical confirmation that lag-1 production autocorrelation</w:t>
      </w:r>
      <w:r>
        <w:rPr>
          <w:spacing w:val="-4"/>
        </w:rPr>
        <w:t> </w:t>
      </w:r>
      <w:r>
        <w:rPr/>
        <w:t>is</w:t>
      </w:r>
      <w:r>
        <w:rPr>
          <w:spacing w:val="-4"/>
        </w:rPr>
        <w:t> </w:t>
      </w:r>
      <w:r>
        <w:rPr/>
        <w:t>negligible,</w:t>
      </w:r>
      <w:r>
        <w:rPr>
          <w:spacing w:val="-4"/>
        </w:rPr>
        <w:t> </w:t>
      </w:r>
      <w:r>
        <w:rPr/>
        <w:t>supporting</w:t>
      </w:r>
      <w:r>
        <w:rPr>
          <w:spacing w:val="-4"/>
        </w:rPr>
        <w:t> </w:t>
      </w:r>
      <w:r>
        <w:rPr/>
        <w:t>the</w:t>
      </w:r>
      <w:r>
        <w:rPr>
          <w:spacing w:val="-4"/>
        </w:rPr>
        <w:t> </w:t>
      </w:r>
      <w:r>
        <w:rPr/>
        <w:t>use</w:t>
      </w:r>
      <w:r>
        <w:rPr>
          <w:spacing w:val="-4"/>
        </w:rPr>
        <w:t> </w:t>
      </w:r>
      <w:r>
        <w:rPr/>
        <w:t>of</w:t>
      </w:r>
      <w:r>
        <w:rPr>
          <w:spacing w:val="-4"/>
        </w:rPr>
        <w:t> </w:t>
      </w:r>
      <w:r>
        <w:rPr/>
        <w:t>climate</w:t>
      </w:r>
      <w:r>
        <w:rPr>
          <w:spacing w:val="-4"/>
        </w:rPr>
        <w:t> </w:t>
      </w:r>
      <w:r>
        <w:rPr/>
        <w:t>features</w:t>
      </w:r>
      <w:r>
        <w:rPr>
          <w:spacing w:val="-4"/>
        </w:rPr>
        <w:t> </w:t>
      </w:r>
      <w:r>
        <w:rPr/>
        <w:t>rather</w:t>
      </w:r>
      <w:r>
        <w:rPr>
          <w:spacing w:val="-4"/>
        </w:rPr>
        <w:t> </w:t>
      </w:r>
      <w:r>
        <w:rPr/>
        <w:t>than</w:t>
      </w:r>
      <w:r>
        <w:rPr>
          <w:spacing w:val="-4"/>
        </w:rPr>
        <w:t> </w:t>
      </w:r>
      <w:r>
        <w:rPr/>
        <w:t>lagged</w:t>
      </w:r>
      <w:r>
        <w:rPr>
          <w:spacing w:val="-4"/>
        </w:rPr>
        <w:t> </w:t>
      </w:r>
      <w:r>
        <w:rPr/>
        <w:t>production </w:t>
      </w:r>
      <w:r>
        <w:rPr>
          <w:spacing w:val="-2"/>
        </w:rPr>
        <w:t>values</w:t>
      </w:r>
      <w:r>
        <w:rPr>
          <w:spacing w:val="-11"/>
        </w:rPr>
        <w:t> </w:t>
      </w:r>
      <w:r>
        <w:rPr>
          <w:spacing w:val="-2"/>
        </w:rPr>
        <w:t>as</w:t>
      </w:r>
      <w:r>
        <w:rPr>
          <w:spacing w:val="-11"/>
        </w:rPr>
        <w:t> </w:t>
      </w:r>
      <w:r>
        <w:rPr>
          <w:spacing w:val="-2"/>
        </w:rPr>
        <w:t>predictors;</w:t>
      </w:r>
      <w:r>
        <w:rPr>
          <w:spacing w:val="-10"/>
        </w:rPr>
        <w:t> </w:t>
      </w:r>
      <w:r>
        <w:rPr>
          <w:spacing w:val="-2"/>
        </w:rPr>
        <w:t>and</w:t>
      </w:r>
      <w:r>
        <w:rPr>
          <w:spacing w:val="-11"/>
        </w:rPr>
        <w:t> </w:t>
      </w:r>
      <w:r>
        <w:rPr>
          <w:spacing w:val="-2"/>
        </w:rPr>
        <w:t>(2)</w:t>
      </w:r>
      <w:r>
        <w:rPr>
          <w:spacing w:val="-11"/>
        </w:rPr>
        <w:t> </w:t>
      </w:r>
      <w:r>
        <w:rPr>
          <w:spacing w:val="-2"/>
        </w:rPr>
        <w:t>revealing</w:t>
      </w:r>
      <w:r>
        <w:rPr>
          <w:spacing w:val="-11"/>
        </w:rPr>
        <w:t> </w:t>
      </w:r>
      <w:r>
        <w:rPr>
          <w:spacing w:val="-2"/>
        </w:rPr>
        <w:t>longer-period</w:t>
      </w:r>
      <w:r>
        <w:rPr>
          <w:spacing w:val="-11"/>
        </w:rPr>
        <w:t> </w:t>
      </w:r>
      <w:r>
        <w:rPr>
          <w:spacing w:val="-2"/>
        </w:rPr>
        <w:t>cyclical</w:t>
      </w:r>
      <w:r>
        <w:rPr>
          <w:spacing w:val="-11"/>
        </w:rPr>
        <w:t> </w:t>
      </w:r>
      <w:r>
        <w:rPr>
          <w:spacing w:val="-2"/>
        </w:rPr>
        <w:t>structure</w:t>
      </w:r>
      <w:r>
        <w:rPr>
          <w:spacing w:val="-11"/>
        </w:rPr>
        <w:t> </w:t>
      </w:r>
      <w:r>
        <w:rPr>
          <w:spacing w:val="-2"/>
        </w:rPr>
        <w:t>that</w:t>
      </w:r>
      <w:r>
        <w:rPr>
          <w:spacing w:val="-11"/>
        </w:rPr>
        <w:t> </w:t>
      </w:r>
      <w:r>
        <w:rPr>
          <w:spacing w:val="-2"/>
        </w:rPr>
        <w:t>motivated</w:t>
      </w:r>
      <w:r>
        <w:rPr>
          <w:spacing w:val="-11"/>
        </w:rPr>
        <w:t> </w:t>
      </w:r>
      <w:r>
        <w:rPr>
          <w:spacing w:val="-2"/>
        </w:rPr>
        <w:t>the</w:t>
      </w:r>
      <w:r>
        <w:rPr>
          <w:spacing w:val="-11"/>
        </w:rPr>
        <w:t> </w:t>
      </w:r>
      <w:r>
        <w:rPr>
          <w:rFonts w:ascii="Courier New" w:hAnsi="Courier New"/>
          <w:spacing w:val="-2"/>
        </w:rPr>
        <w:t>CarenR_ </w:t>
      </w:r>
      <w:r>
        <w:rPr>
          <w:rFonts w:ascii="Courier New" w:hAnsi="Courier New"/>
        </w:rPr>
        <w:t>Dist_Lag</w:t>
      </w:r>
      <w:r>
        <w:rPr>
          <w:rFonts w:ascii="Courier New" w:hAnsi="Courier New"/>
          <w:spacing w:val="-38"/>
        </w:rPr>
        <w:t> </w:t>
      </w:r>
      <w:r>
        <w:rPr/>
        <w:t>variant (Section </w:t>
      </w:r>
      <w:hyperlink w:history="true" w:anchor="_bookmark125">
        <w:r>
          <w:rPr>
            <w:color w:val="8B2C18"/>
          </w:rPr>
          <w:t>5.10</w:t>
        </w:r>
      </w:hyperlink>
      <w:r>
        <w:rPr/>
        <w:t>).</w:t>
      </w:r>
    </w:p>
    <w:p>
      <w:pPr>
        <w:pStyle w:val="BodyText"/>
        <w:spacing w:line="178" w:lineRule="exact" w:before="1"/>
        <w:ind w:left="1047"/>
        <w:jc w:val="both"/>
      </w:pPr>
      <w:r>
        <w:rPr>
          <w:spacing w:val="-4"/>
        </w:rPr>
        <w:t>The</w:t>
      </w:r>
      <w:r>
        <w:rPr>
          <w:spacing w:val="-13"/>
        </w:rPr>
        <w:t> </w:t>
      </w:r>
      <w:r>
        <w:rPr>
          <w:spacing w:val="-4"/>
        </w:rPr>
        <w:t>ACF</w:t>
      </w:r>
      <w:r>
        <w:rPr>
          <w:spacing w:val="-13"/>
        </w:rPr>
        <w:t> </w:t>
      </w:r>
      <w:r>
        <w:rPr>
          <w:spacing w:val="-4"/>
        </w:rPr>
        <w:t>and</w:t>
      </w:r>
      <w:r>
        <w:rPr>
          <w:spacing w:val="-13"/>
        </w:rPr>
        <w:t> </w:t>
      </w:r>
      <w:r>
        <w:rPr>
          <w:spacing w:val="-4"/>
        </w:rPr>
        <w:t>PACF</w:t>
      </w:r>
      <w:r>
        <w:rPr>
          <w:spacing w:val="-13"/>
        </w:rPr>
        <w:t> </w:t>
      </w:r>
      <w:r>
        <w:rPr>
          <w:spacing w:val="-4"/>
        </w:rPr>
        <w:t>of</w:t>
      </w:r>
      <w:r>
        <w:rPr>
          <w:spacing w:val="-13"/>
        </w:rPr>
        <w:t> </w:t>
      </w:r>
      <w:r>
        <w:rPr>
          <w:spacing w:val="-4"/>
        </w:rPr>
        <w:t>the</w:t>
      </w:r>
      <w:r>
        <w:rPr>
          <w:spacing w:val="-13"/>
        </w:rPr>
        <w:t> </w:t>
      </w:r>
      <w:r>
        <w:rPr>
          <w:spacing w:val="-4"/>
        </w:rPr>
        <w:t>linearly</w:t>
      </w:r>
      <w:r>
        <w:rPr>
          <w:spacing w:val="-13"/>
        </w:rPr>
        <w:t> </w:t>
      </w:r>
      <w:r>
        <w:rPr>
          <w:spacing w:val="-4"/>
        </w:rPr>
        <w:t>detrended</w:t>
      </w:r>
      <w:r>
        <w:rPr>
          <w:spacing w:val="-13"/>
        </w:rPr>
        <w:t> </w:t>
      </w:r>
      <w:r>
        <w:rPr>
          <w:spacing w:val="-4"/>
        </w:rPr>
        <w:t>residuals</w:t>
      </w:r>
      <w:r>
        <w:rPr>
          <w:spacing w:val="-13"/>
        </w:rPr>
        <w:t> </w:t>
      </w:r>
      <w:r>
        <w:rPr>
          <w:spacing w:val="-4"/>
        </w:rPr>
        <w:t>(up</w:t>
      </w:r>
      <w:r>
        <w:rPr>
          <w:spacing w:val="-13"/>
        </w:rPr>
        <w:t> </w:t>
      </w:r>
      <w:r>
        <w:rPr>
          <w:spacing w:val="-4"/>
        </w:rPr>
        <w:t>to</w:t>
      </w:r>
      <w:r>
        <w:rPr>
          <w:spacing w:val="-13"/>
        </w:rPr>
        <w:t> </w:t>
      </w:r>
      <w:r>
        <w:rPr>
          <w:spacing w:val="-4"/>
        </w:rPr>
        <w:t>lag</w:t>
      </w:r>
      <w:r>
        <w:rPr>
          <w:spacing w:val="-13"/>
        </w:rPr>
        <w:t> </w:t>
      </w:r>
      <w:r>
        <w:rPr>
          <w:spacing w:val="-4"/>
        </w:rPr>
        <w:t>12</w:t>
      </w:r>
      <w:r>
        <w:rPr>
          <w:spacing w:val="-13"/>
        </w:rPr>
        <w:t> </w:t>
      </w:r>
      <w:r>
        <w:rPr>
          <w:spacing w:val="-4"/>
        </w:rPr>
        <w:t>years,</w:t>
      </w:r>
      <w:r>
        <w:rPr>
          <w:spacing w:val="-10"/>
        </w:rPr>
        <w:t> </w:t>
      </w:r>
      <w:r>
        <w:rPr>
          <w:spacing w:val="-4"/>
        </w:rPr>
        <w:t>95%</w:t>
      </w:r>
      <w:r>
        <w:rPr>
          <w:spacing w:val="-13"/>
        </w:rPr>
        <w:t> </w:t>
      </w:r>
      <w:r>
        <w:rPr>
          <w:spacing w:val="-4"/>
        </w:rPr>
        <w:t>confidence</w:t>
      </w:r>
      <w:r>
        <w:rPr>
          <w:spacing w:val="-13"/>
        </w:rPr>
        <w:t> </w:t>
      </w:r>
      <w:r>
        <w:rPr>
          <w:spacing w:val="-4"/>
        </w:rPr>
        <w:t>bands</w:t>
      </w:r>
    </w:p>
    <w:p>
      <w:pPr>
        <w:spacing w:line="433" w:lineRule="exact" w:before="0"/>
        <w:ind w:left="709" w:right="0" w:firstLine="0"/>
        <w:jc w:val="both"/>
        <w:rPr>
          <w:sz w:val="22"/>
        </w:rPr>
      </w:pPr>
      <w:r>
        <w:rPr>
          <w:sz w:val="22"/>
        </w:rPr>
        <mc:AlternateContent>
          <mc:Choice Requires="wps">
            <w:drawing>
              <wp:anchor distT="0" distB="0" distL="0" distR="0" allowOverlap="1" layoutInCell="1" locked="0" behindDoc="1" simplePos="0" relativeHeight="479855104">
                <wp:simplePos x="0" y="0"/>
                <wp:positionH relativeFrom="page">
                  <wp:posOffset>1798523</wp:posOffset>
                </wp:positionH>
                <wp:positionV relativeFrom="paragraph">
                  <wp:posOffset>124024</wp:posOffset>
                </wp:positionV>
                <wp:extent cx="69850" cy="127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69850" cy="1270"/>
                        </a:xfrm>
                        <a:custGeom>
                          <a:avLst/>
                          <a:gdLst/>
                          <a:ahLst/>
                          <a:cxnLst/>
                          <a:rect l="l" t="t" r="r" b="b"/>
                          <a:pathLst>
                            <a:path w="69850" h="0">
                              <a:moveTo>
                                <a:pt x="0" y="0"/>
                              </a:moveTo>
                              <a:lnTo>
                                <a:pt x="69278" y="0"/>
                              </a:lnTo>
                            </a:path>
                          </a:pathLst>
                        </a:custGeom>
                        <a:ln w="53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61376" from="141.615997pt,9.765684pt" to="147.070997pt,9.765684pt" stroked="true" strokeweight=".425pt" strokecolor="#000000">
                <v:stroke dashstyle="solid"/>
                <w10:wrap type="none"/>
              </v:line>
            </w:pict>
          </mc:Fallback>
        </mc:AlternateContent>
      </w:r>
      <w:r>
        <w:rPr>
          <w:rFonts w:ascii="Meiryo UI" w:hAnsi="Meiryo UI"/>
          <w:i/>
          <w:spacing w:val="-2"/>
          <w:sz w:val="22"/>
        </w:rPr>
        <w:t>±</w:t>
      </w:r>
      <w:r>
        <w:rPr>
          <w:spacing w:val="-2"/>
          <w:sz w:val="22"/>
        </w:rPr>
        <w:t>1</w:t>
      </w:r>
      <w:r>
        <w:rPr>
          <w:rFonts w:ascii="Meiryo UI" w:hAnsi="Meiryo UI"/>
          <w:i/>
          <w:spacing w:val="-2"/>
          <w:sz w:val="22"/>
        </w:rPr>
        <w:t>.</w:t>
      </w:r>
      <w:r>
        <w:rPr>
          <w:spacing w:val="-2"/>
          <w:sz w:val="22"/>
        </w:rPr>
        <w:t>96</w:t>
      </w:r>
      <w:r>
        <w:rPr>
          <w:rFonts w:ascii="Meiryo UI" w:hAnsi="Meiryo UI"/>
          <w:i/>
          <w:spacing w:val="-2"/>
          <w:sz w:val="22"/>
        </w:rPr>
        <w:t>/</w:t>
      </w:r>
      <w:r>
        <w:rPr>
          <w:rFonts w:ascii="Meiryo UI" w:hAnsi="Meiryo UI"/>
          <w:i/>
          <w:spacing w:val="-2"/>
          <w:position w:val="16"/>
          <w:sz w:val="22"/>
        </w:rPr>
        <w:t>√</w:t>
      </w:r>
      <w:r>
        <w:rPr>
          <w:i/>
          <w:spacing w:val="-2"/>
          <w:sz w:val="22"/>
        </w:rPr>
        <w:t>n</w:t>
      </w:r>
      <w:r>
        <w:rPr>
          <w:spacing w:val="-2"/>
          <w:sz w:val="22"/>
        </w:rPr>
        <w:t>)</w:t>
      </w:r>
      <w:r>
        <w:rPr>
          <w:spacing w:val="-12"/>
          <w:sz w:val="22"/>
        </w:rPr>
        <w:t> </w:t>
      </w:r>
      <w:r>
        <w:rPr>
          <w:spacing w:val="-2"/>
          <w:sz w:val="22"/>
        </w:rPr>
        <w:t>show</w:t>
      </w:r>
      <w:r>
        <w:rPr>
          <w:spacing w:val="-9"/>
          <w:sz w:val="22"/>
        </w:rPr>
        <w:t> </w:t>
      </w:r>
      <w:r>
        <w:rPr>
          <w:spacing w:val="-2"/>
          <w:sz w:val="22"/>
        </w:rPr>
        <w:t>two</w:t>
      </w:r>
      <w:r>
        <w:rPr>
          <w:spacing w:val="-7"/>
          <w:sz w:val="22"/>
        </w:rPr>
        <w:t> </w:t>
      </w:r>
      <w:r>
        <w:rPr>
          <w:spacing w:val="-2"/>
          <w:sz w:val="22"/>
        </w:rPr>
        <w:t>key</w:t>
      </w:r>
      <w:r>
        <w:rPr>
          <w:spacing w:val="-8"/>
          <w:sz w:val="22"/>
        </w:rPr>
        <w:t> </w:t>
      </w:r>
      <w:r>
        <w:rPr>
          <w:spacing w:val="-2"/>
          <w:sz w:val="22"/>
        </w:rPr>
        <w:t>findings.</w:t>
      </w:r>
      <w:r>
        <w:rPr>
          <w:spacing w:val="5"/>
          <w:sz w:val="22"/>
        </w:rPr>
        <w:t> </w:t>
      </w:r>
      <w:r>
        <w:rPr>
          <w:b/>
          <w:spacing w:val="-2"/>
          <w:sz w:val="22"/>
        </w:rPr>
        <w:t>Lag</w:t>
      </w:r>
      <w:r>
        <w:rPr>
          <w:b/>
          <w:spacing w:val="-8"/>
          <w:sz w:val="22"/>
        </w:rPr>
        <w:t> </w:t>
      </w:r>
      <w:r>
        <w:rPr>
          <w:b/>
          <w:spacing w:val="-2"/>
          <w:sz w:val="22"/>
        </w:rPr>
        <w:t>1</w:t>
      </w:r>
      <w:r>
        <w:rPr>
          <w:b/>
          <w:spacing w:val="-7"/>
          <w:sz w:val="22"/>
        </w:rPr>
        <w:t> </w:t>
      </w:r>
      <w:r>
        <w:rPr>
          <w:b/>
          <w:spacing w:val="-2"/>
          <w:sz w:val="22"/>
        </w:rPr>
        <w:t>is</w:t>
      </w:r>
      <w:r>
        <w:rPr>
          <w:b/>
          <w:spacing w:val="-8"/>
          <w:sz w:val="22"/>
        </w:rPr>
        <w:t> </w:t>
      </w:r>
      <w:r>
        <w:rPr>
          <w:b/>
          <w:spacing w:val="-2"/>
          <w:sz w:val="22"/>
        </w:rPr>
        <w:t>not</w:t>
      </w:r>
      <w:r>
        <w:rPr>
          <w:b/>
          <w:spacing w:val="-7"/>
          <w:sz w:val="22"/>
        </w:rPr>
        <w:t> </w:t>
      </w:r>
      <w:r>
        <w:rPr>
          <w:b/>
          <w:spacing w:val="-2"/>
          <w:sz w:val="22"/>
        </w:rPr>
        <w:t>significant</w:t>
      </w:r>
      <w:r>
        <w:rPr>
          <w:b/>
          <w:spacing w:val="-7"/>
          <w:sz w:val="22"/>
        </w:rPr>
        <w:t> </w:t>
      </w:r>
      <w:r>
        <w:rPr>
          <w:spacing w:val="-2"/>
          <w:sz w:val="22"/>
        </w:rPr>
        <w:t>in</w:t>
      </w:r>
      <w:r>
        <w:rPr>
          <w:spacing w:val="-8"/>
          <w:sz w:val="22"/>
        </w:rPr>
        <w:t> </w:t>
      </w:r>
      <w:r>
        <w:rPr>
          <w:spacing w:val="-2"/>
          <w:sz w:val="22"/>
        </w:rPr>
        <w:t>either</w:t>
      </w:r>
      <w:r>
        <w:rPr>
          <w:spacing w:val="-8"/>
          <w:sz w:val="22"/>
        </w:rPr>
        <w:t> </w:t>
      </w:r>
      <w:r>
        <w:rPr>
          <w:spacing w:val="-2"/>
          <w:sz w:val="22"/>
        </w:rPr>
        <w:t>region</w:t>
      </w:r>
      <w:r>
        <w:rPr>
          <w:spacing w:val="-7"/>
          <w:sz w:val="22"/>
        </w:rPr>
        <w:t> </w:t>
      </w:r>
      <w:r>
        <w:rPr>
          <w:spacing w:val="-2"/>
          <w:sz w:val="22"/>
        </w:rPr>
        <w:t>(RDD:</w:t>
      </w:r>
      <w:r>
        <w:rPr>
          <w:spacing w:val="-8"/>
          <w:sz w:val="22"/>
        </w:rPr>
        <w:t> </w:t>
      </w:r>
      <w:r>
        <w:rPr>
          <w:spacing w:val="-2"/>
          <w:sz w:val="22"/>
        </w:rPr>
        <w:t>ACF</w:t>
      </w:r>
      <w:r>
        <w:rPr>
          <w:spacing w:val="-7"/>
          <w:sz w:val="22"/>
        </w:rPr>
        <w:t> </w:t>
      </w:r>
      <w:r>
        <w:rPr>
          <w:rFonts w:ascii="Lucida Sans Unicode" w:hAnsi="Lucida Sans Unicode"/>
          <w:spacing w:val="-2"/>
          <w:sz w:val="22"/>
        </w:rPr>
        <w:t>=</w:t>
      </w:r>
      <w:r>
        <w:rPr>
          <w:rFonts w:ascii="Lucida Sans Unicode" w:hAnsi="Lucida Sans Unicode"/>
          <w:spacing w:val="-22"/>
          <w:sz w:val="22"/>
        </w:rPr>
        <w:t> </w:t>
      </w:r>
      <w:r>
        <w:rPr>
          <w:rFonts w:ascii="Lucida Sans Unicode" w:hAnsi="Lucida Sans Unicode"/>
          <w:spacing w:val="-2"/>
          <w:sz w:val="22"/>
        </w:rPr>
        <w:t>+</w:t>
      </w:r>
      <w:r>
        <w:rPr>
          <w:spacing w:val="-2"/>
          <w:sz w:val="22"/>
        </w:rPr>
        <w:t>0</w:t>
      </w:r>
      <w:r>
        <w:rPr>
          <w:rFonts w:ascii="Meiryo UI" w:hAnsi="Meiryo UI"/>
          <w:i/>
          <w:spacing w:val="-2"/>
          <w:sz w:val="22"/>
        </w:rPr>
        <w:t>.</w:t>
      </w:r>
      <w:r>
        <w:rPr>
          <w:spacing w:val="-2"/>
          <w:sz w:val="22"/>
        </w:rPr>
        <w:t>08;</w:t>
      </w:r>
    </w:p>
    <w:p>
      <w:pPr>
        <w:pStyle w:val="BodyText"/>
        <w:spacing w:line="348" w:lineRule="exact"/>
        <w:ind w:left="709"/>
        <w:jc w:val="both"/>
      </w:pPr>
      <w:r>
        <w:rPr/>
        <w:t>RVV:</w:t>
      </w:r>
      <w:r>
        <w:rPr>
          <w:spacing w:val="-14"/>
        </w:rPr>
        <w:t> </w:t>
      </w:r>
      <w:r>
        <w:rPr/>
        <w:t>ACF</w:t>
      </w:r>
      <w:r>
        <w:rPr>
          <w:spacing w:val="-9"/>
        </w:rPr>
        <w:t> </w:t>
      </w:r>
      <w:r>
        <w:rPr>
          <w:rFonts w:ascii="Lucida Sans Unicode" w:hAnsi="Lucida Sans Unicode"/>
        </w:rPr>
        <w:t>=</w:t>
      </w:r>
      <w:r>
        <w:rPr>
          <w:rFonts w:ascii="Lucida Sans Unicode" w:hAnsi="Lucida Sans Unicode"/>
          <w:spacing w:val="-21"/>
        </w:rPr>
        <w:t> </w:t>
      </w:r>
      <w:r>
        <w:rPr>
          <w:rFonts w:ascii="Lucida Sans Unicode" w:hAnsi="Lucida Sans Unicode"/>
        </w:rPr>
        <w:t>+</w:t>
      </w:r>
      <w:r>
        <w:rPr/>
        <w:t>0</w:t>
      </w:r>
      <w:r>
        <w:rPr>
          <w:rFonts w:ascii="Meiryo UI" w:hAnsi="Meiryo UI"/>
          <w:i/>
        </w:rPr>
        <w:t>.</w:t>
      </w:r>
      <w:r>
        <w:rPr/>
        <w:t>19,</w:t>
      </w:r>
      <w:r>
        <w:rPr>
          <w:spacing w:val="-8"/>
        </w:rPr>
        <w:t> </w:t>
      </w:r>
      <w:r>
        <w:rPr/>
        <w:t>both</w:t>
      </w:r>
      <w:r>
        <w:rPr>
          <w:spacing w:val="-8"/>
        </w:rPr>
        <w:t> </w:t>
      </w:r>
      <w:r>
        <w:rPr/>
        <w:t>below</w:t>
      </w:r>
      <w:r>
        <w:rPr>
          <w:spacing w:val="-8"/>
        </w:rPr>
        <w:t> </w:t>
      </w:r>
      <w:r>
        <w:rPr/>
        <w:t>the</w:t>
      </w:r>
      <w:r>
        <w:rPr>
          <w:spacing w:val="-8"/>
        </w:rPr>
        <w:t> </w:t>
      </w:r>
      <w:r>
        <w:rPr/>
        <w:t>confidence</w:t>
      </w:r>
      <w:r>
        <w:rPr>
          <w:spacing w:val="-8"/>
        </w:rPr>
        <w:t> </w:t>
      </w:r>
      <w:r>
        <w:rPr/>
        <w:t>threshold).</w:t>
      </w:r>
      <w:r>
        <w:rPr>
          <w:spacing w:val="4"/>
        </w:rPr>
        <w:t> </w:t>
      </w:r>
      <w:r>
        <w:rPr/>
        <w:t>This</w:t>
      </w:r>
      <w:r>
        <w:rPr>
          <w:spacing w:val="-8"/>
        </w:rPr>
        <w:t> </w:t>
      </w:r>
      <w:r>
        <w:rPr/>
        <w:t>means</w:t>
      </w:r>
      <w:r>
        <w:rPr>
          <w:spacing w:val="-8"/>
        </w:rPr>
        <w:t> </w:t>
      </w:r>
      <w:r>
        <w:rPr/>
        <w:t>that</w:t>
      </w:r>
      <w:r>
        <w:rPr>
          <w:spacing w:val="-9"/>
        </w:rPr>
        <w:t> </w:t>
      </w:r>
      <w:r>
        <w:rPr/>
        <w:t>knowing</w:t>
      </w:r>
      <w:r>
        <w:rPr>
          <w:spacing w:val="-8"/>
        </w:rPr>
        <w:t> </w:t>
      </w:r>
      <w:r>
        <w:rPr/>
        <w:t>last</w:t>
      </w:r>
      <w:r>
        <w:rPr>
          <w:spacing w:val="-8"/>
        </w:rPr>
        <w:t> </w:t>
      </w:r>
      <w:r>
        <w:rPr>
          <w:spacing w:val="-2"/>
        </w:rPr>
        <w:t>year’s</w:t>
      </w:r>
    </w:p>
    <w:p>
      <w:pPr>
        <w:pStyle w:val="BodyText"/>
        <w:spacing w:before="26"/>
        <w:ind w:left="701" w:firstLine="7"/>
        <w:jc w:val="both"/>
      </w:pPr>
      <w:r>
        <w:rPr/>
        <w:t>production</w:t>
      </w:r>
      <w:r>
        <w:rPr>
          <w:spacing w:val="8"/>
        </w:rPr>
        <w:t> </w:t>
      </w:r>
      <w:r>
        <w:rPr/>
        <w:t>does</w:t>
      </w:r>
      <w:r>
        <w:rPr>
          <w:spacing w:val="9"/>
        </w:rPr>
        <w:t> </w:t>
      </w:r>
      <w:r>
        <w:rPr/>
        <w:t>not</w:t>
      </w:r>
      <w:r>
        <w:rPr>
          <w:spacing w:val="9"/>
        </w:rPr>
        <w:t> </w:t>
      </w:r>
      <w:r>
        <w:rPr/>
        <w:t>reliably</w:t>
      </w:r>
      <w:r>
        <w:rPr>
          <w:spacing w:val="9"/>
        </w:rPr>
        <w:t> </w:t>
      </w:r>
      <w:r>
        <w:rPr/>
        <w:t>predict</w:t>
      </w:r>
      <w:r>
        <w:rPr>
          <w:spacing w:val="9"/>
        </w:rPr>
        <w:t> </w:t>
      </w:r>
      <w:r>
        <w:rPr/>
        <w:t>the</w:t>
      </w:r>
      <w:r>
        <w:rPr>
          <w:spacing w:val="9"/>
        </w:rPr>
        <w:t> </w:t>
      </w:r>
      <w:r>
        <w:rPr/>
        <w:t>current</w:t>
      </w:r>
      <w:r>
        <w:rPr>
          <w:spacing w:val="9"/>
        </w:rPr>
        <w:t> </w:t>
      </w:r>
      <w:r>
        <w:rPr/>
        <w:t>year’s</w:t>
      </w:r>
      <w:r>
        <w:rPr>
          <w:spacing w:val="9"/>
        </w:rPr>
        <w:t> </w:t>
      </w:r>
      <w:r>
        <w:rPr/>
        <w:t>deviation</w:t>
      </w:r>
      <w:r>
        <w:rPr>
          <w:spacing w:val="9"/>
        </w:rPr>
        <w:t> </w:t>
      </w:r>
      <w:r>
        <w:rPr/>
        <w:t>from</w:t>
      </w:r>
      <w:r>
        <w:rPr>
          <w:spacing w:val="9"/>
        </w:rPr>
        <w:t> </w:t>
      </w:r>
      <w:r>
        <w:rPr/>
        <w:t>trend,</w:t>
      </w:r>
      <w:r>
        <w:rPr>
          <w:spacing w:val="11"/>
        </w:rPr>
        <w:t> </w:t>
      </w:r>
      <w:r>
        <w:rPr/>
        <w:t>directly</w:t>
      </w:r>
      <w:r>
        <w:rPr>
          <w:spacing w:val="9"/>
        </w:rPr>
        <w:t> </w:t>
      </w:r>
      <w:r>
        <w:rPr>
          <w:spacing w:val="-2"/>
        </w:rPr>
        <w:t>explaining</w:t>
      </w:r>
    </w:p>
    <w:p>
      <w:pPr>
        <w:pStyle w:val="BodyText"/>
        <w:spacing w:line="328" w:lineRule="exact" w:before="19"/>
        <w:ind w:left="709" w:right="952" w:hanging="8"/>
        <w:jc w:val="both"/>
      </w:pPr>
      <w:r>
        <w:rPr/>
        <w:t>why</w:t>
      </w:r>
      <w:r>
        <w:rPr>
          <w:spacing w:val="-4"/>
        </w:rPr>
        <w:t> </w:t>
      </w:r>
      <w:r>
        <w:rPr/>
        <w:t>the</w:t>
      </w:r>
      <w:r>
        <w:rPr>
          <w:spacing w:val="-4"/>
        </w:rPr>
        <w:t> </w:t>
      </w:r>
      <w:r>
        <w:rPr/>
        <w:t>Naive</w:t>
      </w:r>
      <w:r>
        <w:rPr>
          <w:spacing w:val="-4"/>
        </w:rPr>
        <w:t> </w:t>
      </w:r>
      <w:r>
        <w:rPr/>
        <w:t>“last</w:t>
      </w:r>
      <w:r>
        <w:rPr>
          <w:spacing w:val="-4"/>
        </w:rPr>
        <w:t> </w:t>
      </w:r>
      <w:r>
        <w:rPr/>
        <w:t>value”</w:t>
      </w:r>
      <w:r>
        <w:rPr>
          <w:spacing w:val="-4"/>
        </w:rPr>
        <w:t> </w:t>
      </w:r>
      <w:r>
        <w:rPr/>
        <w:t>baseline</w:t>
      </w:r>
      <w:r>
        <w:rPr>
          <w:spacing w:val="-4"/>
        </w:rPr>
        <w:t> </w:t>
      </w:r>
      <w:r>
        <w:rPr/>
        <w:t>underperforms</w:t>
      </w:r>
      <w:r>
        <w:rPr>
          <w:spacing w:val="-4"/>
        </w:rPr>
        <w:t> </w:t>
      </w:r>
      <w:r>
        <w:rPr/>
        <w:t>Naive_Median</w:t>
      </w:r>
      <w:r>
        <w:rPr>
          <w:spacing w:val="-4"/>
        </w:rPr>
        <w:t> </w:t>
      </w:r>
      <w:r>
        <w:rPr/>
        <w:t>(Table</w:t>
      </w:r>
      <w:r>
        <w:rPr>
          <w:spacing w:val="-4"/>
        </w:rPr>
        <w:t> </w:t>
      </w:r>
      <w:hyperlink w:history="true" w:anchor="_bookmark100">
        <w:r>
          <w:rPr>
            <w:color w:val="8B2C18"/>
          </w:rPr>
          <w:t>5.1</w:t>
        </w:r>
      </w:hyperlink>
      <w:r>
        <w:rPr/>
        <w:t>: Naive</w:t>
      </w:r>
      <w:r>
        <w:rPr>
          <w:spacing w:val="-4"/>
        </w:rPr>
        <w:t> </w:t>
      </w:r>
      <w:r>
        <w:rPr/>
        <w:t>199</w:t>
      </w:r>
      <w:r>
        <w:rPr>
          <w:spacing w:val="-4"/>
        </w:rPr>
        <w:t> </w:t>
      </w:r>
      <w:r>
        <w:rPr/>
        <w:t>mhl</w:t>
      </w:r>
      <w:r>
        <w:rPr>
          <w:spacing w:val="-4"/>
        </w:rPr>
        <w:t> </w:t>
      </w:r>
      <w:r>
        <w:rPr/>
        <w:t>vs. Naive_Median</w:t>
      </w:r>
      <w:r>
        <w:rPr>
          <w:spacing w:val="-16"/>
        </w:rPr>
        <w:t> </w:t>
      </w:r>
      <w:r>
        <w:rPr/>
        <w:t>184</w:t>
      </w:r>
      <w:r>
        <w:rPr>
          <w:spacing w:val="-14"/>
        </w:rPr>
        <w:t> </w:t>
      </w:r>
      <w:r>
        <w:rPr/>
        <w:t>mhl</w:t>
      </w:r>
      <w:r>
        <w:rPr>
          <w:spacing w:val="-14"/>
        </w:rPr>
        <w:t> </w:t>
      </w:r>
      <w:r>
        <w:rPr/>
        <w:t>for</w:t>
      </w:r>
      <w:r>
        <w:rPr>
          <w:spacing w:val="-13"/>
        </w:rPr>
        <w:t> </w:t>
      </w:r>
      <w:r>
        <w:rPr/>
        <w:t>RDD).</w:t>
      </w:r>
      <w:r>
        <w:rPr>
          <w:spacing w:val="-14"/>
        </w:rPr>
        <w:t> </w:t>
      </w:r>
      <w:r>
        <w:rPr>
          <w:b/>
        </w:rPr>
        <w:t>Lags</w:t>
      </w:r>
      <w:r>
        <w:rPr>
          <w:b/>
          <w:spacing w:val="-14"/>
        </w:rPr>
        <w:t> </w:t>
      </w:r>
      <w:r>
        <w:rPr>
          <w:b/>
        </w:rPr>
        <w:t>5–6</w:t>
      </w:r>
      <w:r>
        <w:rPr>
          <w:b/>
          <w:spacing w:val="-14"/>
        </w:rPr>
        <w:t> </w:t>
      </w:r>
      <w:r>
        <w:rPr>
          <w:b/>
        </w:rPr>
        <w:t>are</w:t>
      </w:r>
      <w:r>
        <w:rPr>
          <w:b/>
          <w:spacing w:val="-13"/>
        </w:rPr>
        <w:t> </w:t>
      </w:r>
      <w:r>
        <w:rPr>
          <w:b/>
        </w:rPr>
        <w:t>significant</w:t>
      </w:r>
      <w:r>
        <w:rPr>
          <w:b/>
          <w:spacing w:val="-14"/>
        </w:rPr>
        <w:t> </w:t>
      </w:r>
      <w:r>
        <w:rPr>
          <w:b/>
        </w:rPr>
        <w:t>in</w:t>
      </w:r>
      <w:r>
        <w:rPr>
          <w:b/>
          <w:spacing w:val="-14"/>
        </w:rPr>
        <w:t> </w:t>
      </w:r>
      <w:r>
        <w:rPr>
          <w:b/>
        </w:rPr>
        <w:t>both</w:t>
      </w:r>
      <w:r>
        <w:rPr>
          <w:b/>
          <w:spacing w:val="-14"/>
        </w:rPr>
        <w:t> </w:t>
      </w:r>
      <w:r>
        <w:rPr>
          <w:b/>
        </w:rPr>
        <w:t>regions</w:t>
      </w:r>
      <w:r>
        <w:rPr>
          <w:b/>
          <w:spacing w:val="-13"/>
        </w:rPr>
        <w:t> </w:t>
      </w:r>
      <w:r>
        <w:rPr/>
        <w:t>(ACF</w:t>
      </w:r>
      <w:r>
        <w:rPr>
          <w:spacing w:val="-14"/>
        </w:rPr>
        <w:t> </w:t>
      </w:r>
      <w:r>
        <w:rPr/>
        <w:t>at</w:t>
      </w:r>
      <w:r>
        <w:rPr>
          <w:spacing w:val="-14"/>
        </w:rPr>
        <w:t> </w:t>
      </w:r>
      <w:r>
        <w:rPr/>
        <w:t>lag</w:t>
      </w:r>
      <w:r>
        <w:rPr>
          <w:spacing w:val="-14"/>
        </w:rPr>
        <w:t> </w:t>
      </w:r>
      <w:r>
        <w:rPr/>
        <w:t>5:</w:t>
      </w:r>
      <w:r>
        <w:rPr>
          <w:spacing w:val="-13"/>
        </w:rPr>
        <w:t> </w:t>
      </w:r>
      <w:r>
        <w:rPr>
          <w:rFonts w:ascii="Lucida Sans Unicode" w:hAnsi="Lucida Sans Unicode"/>
        </w:rPr>
        <w:t>+</w:t>
      </w:r>
      <w:r>
        <w:rPr/>
        <w:t>0</w:t>
      </w:r>
      <w:r>
        <w:rPr>
          <w:rFonts w:ascii="Meiryo UI" w:hAnsi="Meiryo UI"/>
          <w:i/>
        </w:rPr>
        <w:t>.</w:t>
      </w:r>
      <w:r>
        <w:rPr/>
        <w:t>22 for RDD, </w:t>
      </w:r>
      <w:r>
        <w:rPr>
          <w:rFonts w:ascii="Lucida Sans Unicode" w:hAnsi="Lucida Sans Unicode"/>
        </w:rPr>
        <w:t>+</w:t>
      </w:r>
      <w:r>
        <w:rPr/>
        <w:t>0</w:t>
      </w:r>
      <w:r>
        <w:rPr>
          <w:rFonts w:ascii="Meiryo UI" w:hAnsi="Meiryo UI"/>
          <w:i/>
        </w:rPr>
        <w:t>.</w:t>
      </w:r>
      <w:r>
        <w:rPr/>
        <w:t>30 for RVV), consistent with the </w:t>
      </w:r>
      <w:r>
        <w:rPr>
          <w:rFonts w:ascii="Meiryo UI" w:hAnsi="Meiryo UI"/>
          <w:i/>
        </w:rPr>
        <w:t>∼</w:t>
      </w:r>
      <w:r>
        <w:rPr/>
        <w:t>5.7-year dominant production cycle identified by</w:t>
      </w:r>
      <w:r>
        <w:rPr>
          <w:spacing w:val="-14"/>
        </w:rPr>
        <w:t> </w:t>
      </w:r>
      <w:hyperlink w:history="true" w:anchor="_bookmark218">
        <w:r>
          <w:rPr>
            <w:color w:val="8B2C18"/>
          </w:rPr>
          <w:t>Cunha</w:t>
        </w:r>
        <w:r>
          <w:rPr>
            <w:color w:val="8B2C18"/>
            <w:spacing w:val="-14"/>
          </w:rPr>
          <w:t> </w:t>
        </w:r>
        <w:r>
          <w:rPr>
            <w:color w:val="8B2C18"/>
          </w:rPr>
          <w:t>et al.</w:t>
        </w:r>
      </w:hyperlink>
      <w:r>
        <w:rPr>
          <w:color w:val="8B2C18"/>
        </w:rPr>
        <w:t> </w:t>
      </w:r>
      <w:r>
        <w:rPr/>
        <w:t>(</w:t>
      </w:r>
      <w:hyperlink w:history="true" w:anchor="_bookmark218">
        <w:r>
          <w:rPr>
            <w:color w:val="8B2C18"/>
          </w:rPr>
          <w:t>2020</w:t>
        </w:r>
      </w:hyperlink>
      <w:r>
        <w:rPr/>
        <w:t>).</w:t>
      </w:r>
      <w:r>
        <w:rPr>
          <w:spacing w:val="25"/>
        </w:rPr>
        <w:t> </w:t>
      </w:r>
      <w:r>
        <w:rPr/>
        <w:t>The </w:t>
      </w:r>
      <w:r>
        <w:rPr>
          <w:rFonts w:ascii="Courier New" w:hAnsi="Courier New"/>
        </w:rPr>
        <w:t>CarenR_Dist_Lag</w:t>
      </w:r>
      <w:r>
        <w:rPr>
          <w:rFonts w:ascii="Courier New" w:hAnsi="Courier New"/>
          <w:spacing w:val="-33"/>
        </w:rPr>
        <w:t> </w:t>
      </w:r>
      <w:r>
        <w:rPr/>
        <w:t>variant was designed to exploit this cycle by augmenting the feature set with ACF-selected lagged residuals; it ranked 5th in RDD and 8th in RVV,</w:t>
      </w:r>
      <w:r>
        <w:rPr>
          <w:spacing w:val="-3"/>
        </w:rPr>
        <w:t> </w:t>
      </w:r>
      <w:r>
        <w:rPr/>
        <w:t>suggesting</w:t>
      </w:r>
      <w:r>
        <w:rPr>
          <w:spacing w:val="-3"/>
        </w:rPr>
        <w:t> </w:t>
      </w:r>
      <w:r>
        <w:rPr/>
        <w:t>the</w:t>
      </w:r>
      <w:r>
        <w:rPr>
          <w:spacing w:val="-3"/>
        </w:rPr>
        <w:t> </w:t>
      </w:r>
      <w:r>
        <w:rPr/>
        <w:t>cycle</w:t>
      </w:r>
      <w:r>
        <w:rPr>
          <w:spacing w:val="-3"/>
        </w:rPr>
        <w:t> </w:t>
      </w:r>
      <w:r>
        <w:rPr/>
        <w:t>is</w:t>
      </w:r>
      <w:r>
        <w:rPr>
          <w:spacing w:val="-3"/>
        </w:rPr>
        <w:t> </w:t>
      </w:r>
      <w:r>
        <w:rPr/>
        <w:t>statistically</w:t>
      </w:r>
      <w:r>
        <w:rPr>
          <w:spacing w:val="-3"/>
        </w:rPr>
        <w:t> </w:t>
      </w:r>
      <w:r>
        <w:rPr/>
        <w:t>present</w:t>
      </w:r>
      <w:r>
        <w:rPr>
          <w:spacing w:val="-3"/>
        </w:rPr>
        <w:t> </w:t>
      </w:r>
      <w:r>
        <w:rPr/>
        <w:t>but</w:t>
      </w:r>
      <w:r>
        <w:rPr>
          <w:spacing w:val="-3"/>
        </w:rPr>
        <w:t> </w:t>
      </w:r>
      <w:r>
        <w:rPr/>
        <w:t>does</w:t>
      </w:r>
      <w:r>
        <w:rPr>
          <w:spacing w:val="-3"/>
        </w:rPr>
        <w:t> </w:t>
      </w:r>
      <w:r>
        <w:rPr/>
        <w:t>not</w:t>
      </w:r>
      <w:r>
        <w:rPr>
          <w:spacing w:val="-3"/>
        </w:rPr>
        <w:t> </w:t>
      </w:r>
      <w:r>
        <w:rPr/>
        <w:t>translate</w:t>
      </w:r>
      <w:r>
        <w:rPr>
          <w:spacing w:val="-3"/>
        </w:rPr>
        <w:t> </w:t>
      </w:r>
      <w:r>
        <w:rPr/>
        <w:t>into</w:t>
      </w:r>
      <w:r>
        <w:rPr>
          <w:spacing w:val="-3"/>
        </w:rPr>
        <w:t> </w:t>
      </w:r>
      <w:r>
        <w:rPr/>
        <w:t>a</w:t>
      </w:r>
      <w:r>
        <w:rPr>
          <w:spacing w:val="-3"/>
        </w:rPr>
        <w:t> </w:t>
      </w:r>
      <w:r>
        <w:rPr/>
        <w:t>reliably</w:t>
      </w:r>
      <w:r>
        <w:rPr>
          <w:spacing w:val="-3"/>
        </w:rPr>
        <w:t> </w:t>
      </w:r>
      <w:r>
        <w:rPr/>
        <w:t>exploitable predictive signal relative to the domain-knowledge-based y0 features.</w:t>
      </w:r>
    </w:p>
    <w:p>
      <w:pPr>
        <w:pStyle w:val="BodyText"/>
        <w:spacing w:before="225"/>
      </w:pPr>
    </w:p>
    <w:p>
      <w:pPr>
        <w:pStyle w:val="Heading2"/>
        <w:numPr>
          <w:ilvl w:val="1"/>
          <w:numId w:val="17"/>
        </w:numPr>
        <w:tabs>
          <w:tab w:pos="1354" w:val="left" w:leader="none"/>
        </w:tabs>
        <w:spacing w:line="240" w:lineRule="auto" w:before="0" w:after="0"/>
        <w:ind w:left="1354" w:right="0" w:hanging="645"/>
        <w:jc w:val="left"/>
      </w:pPr>
      <w:bookmarkStart w:name="3.3 Detrending and the Two-Decision Deco" w:id="71"/>
      <w:bookmarkEnd w:id="71"/>
      <w:r>
        <w:rPr>
          <w:b w:val="0"/>
        </w:rPr>
      </w:r>
      <w:bookmarkStart w:name="_bookmark35" w:id="72"/>
      <w:bookmarkEnd w:id="72"/>
      <w:r>
        <w:rPr>
          <w:b w:val="0"/>
        </w:rPr>
      </w:r>
      <w:r>
        <w:rPr/>
        <w:t>Detrending</w:t>
      </w:r>
      <w:r>
        <w:rPr>
          <w:spacing w:val="12"/>
        </w:rPr>
        <w:t> </w:t>
      </w:r>
      <w:r>
        <w:rPr/>
        <w:t>and</w:t>
      </w:r>
      <w:r>
        <w:rPr>
          <w:spacing w:val="12"/>
        </w:rPr>
        <w:t> </w:t>
      </w:r>
      <w:r>
        <w:rPr/>
        <w:t>the</w:t>
      </w:r>
      <w:r>
        <w:rPr>
          <w:spacing w:val="12"/>
        </w:rPr>
        <w:t> </w:t>
      </w:r>
      <w:r>
        <w:rPr/>
        <w:t>Two-Decision</w:t>
      </w:r>
      <w:r>
        <w:rPr>
          <w:spacing w:val="13"/>
        </w:rPr>
        <w:t> </w:t>
      </w:r>
      <w:r>
        <w:rPr>
          <w:spacing w:val="-2"/>
        </w:rPr>
        <w:t>Decomposition</w:t>
      </w:r>
    </w:p>
    <w:p>
      <w:pPr>
        <w:pStyle w:val="BodyText"/>
        <w:spacing w:line="232" w:lineRule="auto" w:before="238"/>
        <w:ind w:left="709" w:right="954" w:hanging="8"/>
        <w:jc w:val="both"/>
      </w:pPr>
      <w:r>
        <w:rPr/>
        <w:t>All</w:t>
      </w:r>
      <w:r>
        <w:rPr>
          <w:spacing w:val="-14"/>
        </w:rPr>
        <w:t> </w:t>
      </w:r>
      <w:r>
        <w:rPr/>
        <w:t>models</w:t>
      </w:r>
      <w:r>
        <w:rPr>
          <w:spacing w:val="-14"/>
        </w:rPr>
        <w:t> </w:t>
      </w:r>
      <w:r>
        <w:rPr/>
        <w:t>operate</w:t>
      </w:r>
      <w:r>
        <w:rPr>
          <w:spacing w:val="-14"/>
        </w:rPr>
        <w:t> </w:t>
      </w:r>
      <w:r>
        <w:rPr/>
        <w:t>on</w:t>
      </w:r>
      <w:r>
        <w:rPr>
          <w:spacing w:val="-13"/>
        </w:rPr>
        <w:t> </w:t>
      </w:r>
      <w:r>
        <w:rPr/>
        <w:t>linearly</w:t>
      </w:r>
      <w:r>
        <w:rPr>
          <w:spacing w:val="-14"/>
        </w:rPr>
        <w:t> </w:t>
      </w:r>
      <w:r>
        <w:rPr/>
        <w:t>detrended</w:t>
      </w:r>
      <w:r>
        <w:rPr>
          <w:spacing w:val="-14"/>
        </w:rPr>
        <w:t> </w:t>
      </w:r>
      <w:r>
        <w:rPr/>
        <w:t>residuals</w:t>
      </w:r>
      <w:r>
        <w:rPr>
          <w:spacing w:val="-14"/>
        </w:rPr>
        <w:t> </w:t>
      </w:r>
      <w:r>
        <w:rPr>
          <w:i/>
        </w:rPr>
        <w:t>r</w:t>
      </w:r>
      <w:r>
        <w:rPr>
          <w:i/>
          <w:vertAlign w:val="subscript"/>
        </w:rPr>
        <w:t>t</w:t>
      </w:r>
      <w:r>
        <w:rPr>
          <w:i/>
          <w:spacing w:val="-12"/>
          <w:vertAlign w:val="baseline"/>
        </w:rPr>
        <w:t> </w:t>
      </w:r>
      <w:r>
        <w:rPr>
          <w:rFonts w:ascii="Lucida Sans Unicode" w:hAnsi="Lucida Sans Unicode"/>
          <w:vertAlign w:val="baseline"/>
        </w:rPr>
        <w:t>=</w:t>
      </w:r>
      <w:r>
        <w:rPr>
          <w:rFonts w:ascii="Lucida Sans Unicode" w:hAnsi="Lucida Sans Unicode"/>
          <w:spacing w:val="-17"/>
          <w:vertAlign w:val="baseline"/>
        </w:rPr>
        <w:t> </w:t>
      </w:r>
      <w:r>
        <w:rPr>
          <w:i/>
          <w:vertAlign w:val="baseline"/>
        </w:rPr>
        <w:t>y</w:t>
      </w:r>
      <w:r>
        <w:rPr>
          <w:i/>
          <w:vertAlign w:val="subscript"/>
        </w:rPr>
        <w:t>t</w:t>
      </w:r>
      <w:r>
        <w:rPr>
          <w:i/>
          <w:spacing w:val="-10"/>
          <w:vertAlign w:val="baseline"/>
        </w:rPr>
        <w:t> </w:t>
      </w:r>
      <w:r>
        <w:rPr>
          <w:rFonts w:ascii="Meiryo UI" w:hAnsi="Meiryo UI"/>
          <w:i/>
          <w:vertAlign w:val="baseline"/>
        </w:rPr>
        <w:t>−</w:t>
      </w:r>
      <w:r>
        <w:rPr>
          <w:rFonts w:ascii="Meiryo UI" w:hAnsi="Meiryo UI"/>
          <w:i/>
          <w:spacing w:val="-19"/>
          <w:vertAlign w:val="baseline"/>
        </w:rPr>
        <w:t> </w:t>
      </w:r>
      <w:r>
        <w:rPr>
          <w:rFonts w:ascii="Lucida Sans Unicode" w:hAnsi="Lucida Sans Unicode"/>
          <w:vertAlign w:val="baseline"/>
        </w:rPr>
        <w:t>(</w:t>
      </w:r>
      <w:r>
        <w:rPr>
          <w:i/>
          <w:vertAlign w:val="baseline"/>
        </w:rPr>
        <w:t>α</w:t>
      </w:r>
      <w:r>
        <w:rPr>
          <w:i/>
          <w:spacing w:val="-13"/>
          <w:vertAlign w:val="baseline"/>
        </w:rPr>
        <w:t> </w:t>
      </w:r>
      <w:r>
        <w:rPr>
          <w:rFonts w:ascii="Lucida Sans Unicode" w:hAnsi="Lucida Sans Unicode"/>
          <w:vertAlign w:val="baseline"/>
        </w:rPr>
        <w:t>+</w:t>
      </w:r>
      <w:r>
        <w:rPr>
          <w:rFonts w:ascii="Lucida Sans Unicode" w:hAnsi="Lucida Sans Unicode"/>
          <w:spacing w:val="-18"/>
          <w:vertAlign w:val="baseline"/>
        </w:rPr>
        <w:t> </w:t>
      </w:r>
      <w:r>
        <w:rPr>
          <w:i/>
          <w:vertAlign w:val="baseline"/>
        </w:rPr>
        <w:t>βt</w:t>
      </w:r>
      <w:r>
        <w:rPr>
          <w:rFonts w:ascii="Lucida Sans Unicode" w:hAnsi="Lucida Sans Unicode"/>
          <w:vertAlign w:val="baseline"/>
        </w:rPr>
        <w:t>)</w:t>
      </w:r>
      <w:r>
        <w:rPr>
          <w:vertAlign w:val="baseline"/>
        </w:rPr>
        <w:t>,</w:t>
      </w:r>
      <w:r>
        <w:rPr>
          <w:spacing w:val="-7"/>
          <w:vertAlign w:val="baseline"/>
        </w:rPr>
        <w:t> </w:t>
      </w:r>
      <w:r>
        <w:rPr>
          <w:vertAlign w:val="baseline"/>
        </w:rPr>
        <w:t>where</w:t>
      </w:r>
      <w:r>
        <w:rPr>
          <w:spacing w:val="-8"/>
          <w:vertAlign w:val="baseline"/>
        </w:rPr>
        <w:t> </w:t>
      </w:r>
      <w:r>
        <w:rPr>
          <w:i/>
          <w:vertAlign w:val="baseline"/>
        </w:rPr>
        <w:t>y</w:t>
      </w:r>
      <w:r>
        <w:rPr>
          <w:i/>
          <w:vertAlign w:val="subscript"/>
        </w:rPr>
        <w:t>t</w:t>
      </w:r>
      <w:r>
        <w:rPr>
          <w:i/>
          <w:spacing w:val="11"/>
          <w:vertAlign w:val="baseline"/>
        </w:rPr>
        <w:t> </w:t>
      </w:r>
      <w:r>
        <w:rPr>
          <w:vertAlign w:val="baseline"/>
        </w:rPr>
        <w:t>is</w:t>
      </w:r>
      <w:r>
        <w:rPr>
          <w:spacing w:val="-8"/>
          <w:vertAlign w:val="baseline"/>
        </w:rPr>
        <w:t> </w:t>
      </w:r>
      <w:r>
        <w:rPr>
          <w:vertAlign w:val="baseline"/>
        </w:rPr>
        <w:t>observed</w:t>
      </w:r>
      <w:r>
        <w:rPr>
          <w:spacing w:val="-8"/>
          <w:vertAlign w:val="baseline"/>
        </w:rPr>
        <w:t> </w:t>
      </w:r>
      <w:r>
        <w:rPr>
          <w:vertAlign w:val="baseline"/>
        </w:rPr>
        <w:t>produc-tion and </w:t>
      </w:r>
      <w:r>
        <w:rPr>
          <w:i/>
          <w:vertAlign w:val="baseline"/>
        </w:rPr>
        <w:t>α </w:t>
      </w:r>
      <w:r>
        <w:rPr>
          <w:rFonts w:ascii="Lucida Sans Unicode" w:hAnsi="Lucida Sans Unicode"/>
          <w:vertAlign w:val="baseline"/>
        </w:rPr>
        <w:t>+</w:t>
      </w:r>
      <w:r>
        <w:rPr>
          <w:rFonts w:ascii="Lucida Sans Unicode" w:hAnsi="Lucida Sans Unicode"/>
          <w:spacing w:val="-34"/>
          <w:vertAlign w:val="baseline"/>
        </w:rPr>
        <w:t> </w:t>
      </w:r>
      <w:r>
        <w:rPr>
          <w:i/>
          <w:spacing w:val="10"/>
          <w:vertAlign w:val="baseline"/>
        </w:rPr>
        <w:t>βt</w:t>
      </w:r>
      <w:r>
        <w:rPr>
          <w:i/>
          <w:spacing w:val="27"/>
          <w:vertAlign w:val="baseline"/>
        </w:rPr>
        <w:t> </w:t>
      </w:r>
      <w:r>
        <w:rPr>
          <w:vertAlign w:val="baseline"/>
        </w:rPr>
        <w:t>is the OLS linear trend estimated on the training set.</w:t>
      </w:r>
      <w:r>
        <w:rPr>
          <w:spacing w:val="40"/>
          <w:vertAlign w:val="baseline"/>
        </w:rPr>
        <w:t> </w:t>
      </w:r>
      <w:r>
        <w:rPr>
          <w:vertAlign w:val="baseline"/>
        </w:rPr>
        <w:t>Predictions are converted</w:t>
      </w:r>
    </w:p>
    <w:p>
      <w:pPr>
        <w:pStyle w:val="BodyText"/>
        <w:spacing w:after="0" w:line="232" w:lineRule="auto"/>
        <w:jc w:val="both"/>
        <w:sectPr>
          <w:pgSz w:w="11910" w:h="16840"/>
          <w:pgMar w:header="1160" w:footer="0" w:top="1420" w:bottom="280" w:left="1275" w:right="425"/>
        </w:sectPr>
      </w:pPr>
    </w:p>
    <w:p>
      <w:pPr>
        <w:pStyle w:val="BodyText"/>
        <w:spacing w:before="243"/>
      </w:pPr>
    </w:p>
    <w:p>
      <w:pPr>
        <w:pStyle w:val="BodyText"/>
        <w:spacing w:line="259" w:lineRule="auto"/>
        <w:ind w:left="142" w:right="1557"/>
        <w:jc w:val="both"/>
      </w:pPr>
      <w:r>
        <w:rPr>
          <w:spacing w:val="-2"/>
        </w:rPr>
        <w:t>back</w:t>
      </w:r>
      <w:r>
        <w:rPr>
          <w:spacing w:val="-12"/>
        </w:rPr>
        <w:t> </w:t>
      </w:r>
      <w:r>
        <w:rPr>
          <w:spacing w:val="-2"/>
        </w:rPr>
        <w:t>to</w:t>
      </w:r>
      <w:r>
        <w:rPr>
          <w:spacing w:val="-12"/>
        </w:rPr>
        <w:t> </w:t>
      </w:r>
      <w:r>
        <w:rPr>
          <w:spacing w:val="-2"/>
        </w:rPr>
        <w:t>the</w:t>
      </w:r>
      <w:r>
        <w:rPr>
          <w:spacing w:val="-12"/>
        </w:rPr>
        <w:t> </w:t>
      </w:r>
      <w:r>
        <w:rPr>
          <w:spacing w:val="-2"/>
        </w:rPr>
        <w:t>original</w:t>
      </w:r>
      <w:r>
        <w:rPr>
          <w:spacing w:val="-11"/>
        </w:rPr>
        <w:t> </w:t>
      </w:r>
      <w:r>
        <w:rPr>
          <w:spacing w:val="-2"/>
        </w:rPr>
        <w:t>scale</w:t>
      </w:r>
      <w:r>
        <w:rPr>
          <w:spacing w:val="-12"/>
        </w:rPr>
        <w:t> </w:t>
      </w:r>
      <w:r>
        <w:rPr>
          <w:spacing w:val="-2"/>
        </w:rPr>
        <w:t>by</w:t>
      </w:r>
      <w:r>
        <w:rPr>
          <w:spacing w:val="-12"/>
        </w:rPr>
        <w:t> </w:t>
      </w:r>
      <w:r>
        <w:rPr>
          <w:spacing w:val="-2"/>
        </w:rPr>
        <w:t>adding</w:t>
      </w:r>
      <w:r>
        <w:rPr>
          <w:spacing w:val="-12"/>
        </w:rPr>
        <w:t> </w:t>
      </w:r>
      <w:r>
        <w:rPr>
          <w:spacing w:val="-2"/>
        </w:rPr>
        <w:t>the</w:t>
      </w:r>
      <w:r>
        <w:rPr>
          <w:spacing w:val="-11"/>
        </w:rPr>
        <w:t> </w:t>
      </w:r>
      <w:r>
        <w:rPr>
          <w:spacing w:val="-2"/>
        </w:rPr>
        <w:t>projected</w:t>
      </w:r>
      <w:r>
        <w:rPr>
          <w:spacing w:val="-12"/>
        </w:rPr>
        <w:t> </w:t>
      </w:r>
      <w:r>
        <w:rPr>
          <w:spacing w:val="-2"/>
        </w:rPr>
        <w:t>trend</w:t>
      </w:r>
      <w:r>
        <w:rPr>
          <w:spacing w:val="-12"/>
        </w:rPr>
        <w:t> </w:t>
      </w:r>
      <w:r>
        <w:rPr>
          <w:spacing w:val="-2"/>
        </w:rPr>
        <w:t>value:</w:t>
      </w:r>
      <w:r>
        <w:rPr/>
        <w:t> </w:t>
      </w:r>
      <w:r>
        <w:rPr>
          <w:i/>
          <w:spacing w:val="-2"/>
        </w:rPr>
        <w:t>y</w:t>
      </w:r>
      <w:r>
        <w:rPr>
          <w:spacing w:val="-2"/>
        </w:rPr>
        <w:t>ˆ</w:t>
      </w:r>
      <w:r>
        <w:rPr>
          <w:i/>
          <w:spacing w:val="-2"/>
          <w:vertAlign w:val="subscript"/>
        </w:rPr>
        <w:t>t</w:t>
      </w:r>
      <w:r>
        <w:rPr>
          <w:i/>
          <w:spacing w:val="9"/>
          <w:vertAlign w:val="baseline"/>
        </w:rPr>
        <w:t> </w:t>
      </w:r>
      <w:r>
        <w:rPr>
          <w:rFonts w:ascii="Lucida Sans Unicode" w:hAnsi="Lucida Sans Unicode"/>
          <w:spacing w:val="-2"/>
          <w:vertAlign w:val="baseline"/>
        </w:rPr>
        <w:t>=</w:t>
      </w:r>
      <w:r>
        <w:rPr>
          <w:rFonts w:ascii="Lucida Sans Unicode" w:hAnsi="Lucida Sans Unicode"/>
          <w:spacing w:val="-16"/>
          <w:vertAlign w:val="baseline"/>
        </w:rPr>
        <w:t> </w:t>
      </w:r>
      <w:r>
        <w:rPr>
          <w:i/>
          <w:spacing w:val="-2"/>
          <w:vertAlign w:val="baseline"/>
        </w:rPr>
        <w:t>r</w:t>
      </w:r>
      <w:r>
        <w:rPr>
          <w:i/>
          <w:spacing w:val="-2"/>
          <w:vertAlign w:val="subscript"/>
        </w:rPr>
        <w:t>t</w:t>
      </w:r>
      <w:r>
        <w:rPr>
          <w:i/>
          <w:spacing w:val="-9"/>
          <w:vertAlign w:val="baseline"/>
        </w:rPr>
        <w:t> </w:t>
      </w:r>
      <w:r>
        <w:rPr>
          <w:rFonts w:ascii="Lucida Sans Unicode" w:hAnsi="Lucida Sans Unicode"/>
          <w:spacing w:val="-2"/>
          <w:vertAlign w:val="baseline"/>
        </w:rPr>
        <w:t>+</w:t>
      </w:r>
      <w:r>
        <w:rPr>
          <w:rFonts w:ascii="Lucida Sans Unicode" w:hAnsi="Lucida Sans Unicode"/>
          <w:spacing w:val="-16"/>
          <w:vertAlign w:val="baseline"/>
        </w:rPr>
        <w:t> </w:t>
      </w:r>
      <w:r>
        <w:rPr>
          <w:rFonts w:ascii="Lucida Sans Unicode" w:hAnsi="Lucida Sans Unicode"/>
          <w:spacing w:val="-2"/>
          <w:vertAlign w:val="baseline"/>
        </w:rPr>
        <w:t>(</w:t>
      </w:r>
      <w:r>
        <w:rPr>
          <w:i/>
          <w:spacing w:val="-2"/>
          <w:vertAlign w:val="baseline"/>
        </w:rPr>
        <w:t>α</w:t>
      </w:r>
      <w:r>
        <w:rPr>
          <w:i/>
          <w:spacing w:val="-12"/>
          <w:vertAlign w:val="baseline"/>
        </w:rPr>
        <w:t> </w:t>
      </w:r>
      <w:r>
        <w:rPr>
          <w:rFonts w:ascii="Lucida Sans Unicode" w:hAnsi="Lucida Sans Unicode"/>
          <w:spacing w:val="-2"/>
          <w:vertAlign w:val="baseline"/>
        </w:rPr>
        <w:t>+</w:t>
      </w:r>
      <w:r>
        <w:rPr>
          <w:rFonts w:ascii="Lucida Sans Unicode" w:hAnsi="Lucida Sans Unicode"/>
          <w:spacing w:val="-15"/>
          <w:vertAlign w:val="baseline"/>
        </w:rPr>
        <w:t> </w:t>
      </w:r>
      <w:r>
        <w:rPr>
          <w:i/>
          <w:spacing w:val="-2"/>
          <w:vertAlign w:val="baseline"/>
        </w:rPr>
        <w:t>βt</w:t>
      </w:r>
      <w:r>
        <w:rPr>
          <w:rFonts w:ascii="Lucida Sans Unicode" w:hAnsi="Lucida Sans Unicode"/>
          <w:spacing w:val="-2"/>
          <w:vertAlign w:val="baseline"/>
        </w:rPr>
        <w:t>)</w:t>
      </w:r>
      <w:r>
        <w:rPr>
          <w:spacing w:val="-2"/>
          <w:vertAlign w:val="baseline"/>
        </w:rPr>
        <w:t>.</w:t>
      </w:r>
      <w:r>
        <w:rPr>
          <w:spacing w:val="8"/>
          <w:vertAlign w:val="baseline"/>
        </w:rPr>
        <w:t> </w:t>
      </w:r>
      <w:r>
        <w:rPr>
          <w:spacing w:val="-2"/>
          <w:vertAlign w:val="baseline"/>
        </w:rPr>
        <w:t>All</w:t>
      </w:r>
      <w:r>
        <w:rPr>
          <w:spacing w:val="-6"/>
          <w:vertAlign w:val="baseline"/>
        </w:rPr>
        <w:t> </w:t>
      </w:r>
      <w:r>
        <w:rPr>
          <w:spacing w:val="-2"/>
          <w:vertAlign w:val="baseline"/>
        </w:rPr>
        <w:t>preprocessing </w:t>
      </w:r>
      <w:r>
        <w:rPr>
          <w:vertAlign w:val="baseline"/>
        </w:rPr>
        <w:t>steps</w:t>
      </w:r>
      <w:r>
        <w:rPr>
          <w:spacing w:val="-6"/>
          <w:vertAlign w:val="baseline"/>
        </w:rPr>
        <w:t> </w:t>
      </w:r>
      <w:r>
        <w:rPr>
          <w:vertAlign w:val="baseline"/>
        </w:rPr>
        <w:t>are</w:t>
      </w:r>
      <w:r>
        <w:rPr>
          <w:spacing w:val="-6"/>
          <w:vertAlign w:val="baseline"/>
        </w:rPr>
        <w:t> </w:t>
      </w:r>
      <w:r>
        <w:rPr>
          <w:vertAlign w:val="baseline"/>
        </w:rPr>
        <w:t>performed</w:t>
      </w:r>
      <w:r>
        <w:rPr>
          <w:spacing w:val="-6"/>
          <w:vertAlign w:val="baseline"/>
        </w:rPr>
        <w:t> </w:t>
      </w:r>
      <w:r>
        <w:rPr>
          <w:vertAlign w:val="baseline"/>
        </w:rPr>
        <w:t>exclusively</w:t>
      </w:r>
      <w:r>
        <w:rPr>
          <w:spacing w:val="-6"/>
          <w:vertAlign w:val="baseline"/>
        </w:rPr>
        <w:t> </w:t>
      </w:r>
      <w:r>
        <w:rPr>
          <w:vertAlign w:val="baseline"/>
        </w:rPr>
        <w:t>on</w:t>
      </w:r>
      <w:r>
        <w:rPr>
          <w:spacing w:val="-6"/>
          <w:vertAlign w:val="baseline"/>
        </w:rPr>
        <w:t> </w:t>
      </w:r>
      <w:r>
        <w:rPr>
          <w:vertAlign w:val="baseline"/>
        </w:rPr>
        <w:t>the</w:t>
      </w:r>
      <w:r>
        <w:rPr>
          <w:spacing w:val="-6"/>
          <w:vertAlign w:val="baseline"/>
        </w:rPr>
        <w:t> </w:t>
      </w:r>
      <w:r>
        <w:rPr>
          <w:vertAlign w:val="baseline"/>
        </w:rPr>
        <w:t>training</w:t>
      </w:r>
      <w:r>
        <w:rPr>
          <w:spacing w:val="-6"/>
          <w:vertAlign w:val="baseline"/>
        </w:rPr>
        <w:t> </w:t>
      </w:r>
      <w:r>
        <w:rPr>
          <w:vertAlign w:val="baseline"/>
        </w:rPr>
        <w:t>fold</w:t>
      </w:r>
      <w:r>
        <w:rPr>
          <w:spacing w:val="-6"/>
          <w:vertAlign w:val="baseline"/>
        </w:rPr>
        <w:t> </w:t>
      </w:r>
      <w:r>
        <w:rPr>
          <w:vertAlign w:val="baseline"/>
        </w:rPr>
        <w:t>within</w:t>
      </w:r>
      <w:r>
        <w:rPr>
          <w:spacing w:val="-6"/>
          <w:vertAlign w:val="baseline"/>
        </w:rPr>
        <w:t> </w:t>
      </w:r>
      <w:r>
        <w:rPr>
          <w:vertAlign w:val="baseline"/>
        </w:rPr>
        <w:t>each</w:t>
      </w:r>
      <w:r>
        <w:rPr>
          <w:spacing w:val="-6"/>
          <w:vertAlign w:val="baseline"/>
        </w:rPr>
        <w:t> </w:t>
      </w:r>
      <w:r>
        <w:rPr>
          <w:vertAlign w:val="baseline"/>
        </w:rPr>
        <w:t>scenario</w:t>
      </w:r>
      <w:r>
        <w:rPr>
          <w:spacing w:val="-6"/>
          <w:vertAlign w:val="baseline"/>
        </w:rPr>
        <w:t> </w:t>
      </w:r>
      <w:r>
        <w:rPr>
          <w:vertAlign w:val="baseline"/>
        </w:rPr>
        <w:t>to</w:t>
      </w:r>
      <w:r>
        <w:rPr>
          <w:spacing w:val="-6"/>
          <w:vertAlign w:val="baseline"/>
        </w:rPr>
        <w:t> </w:t>
      </w:r>
      <w:r>
        <w:rPr>
          <w:vertAlign w:val="baseline"/>
        </w:rPr>
        <w:t>prevent</w:t>
      </w:r>
      <w:r>
        <w:rPr>
          <w:spacing w:val="-6"/>
          <w:vertAlign w:val="baseline"/>
        </w:rPr>
        <w:t> </w:t>
      </w:r>
      <w:r>
        <w:rPr>
          <w:vertAlign w:val="baseline"/>
        </w:rPr>
        <w:t>data</w:t>
      </w:r>
      <w:r>
        <w:rPr>
          <w:spacing w:val="-6"/>
          <w:vertAlign w:val="baseline"/>
        </w:rPr>
        <w:t> </w:t>
      </w:r>
      <w:r>
        <w:rPr>
          <w:vertAlign w:val="baseline"/>
        </w:rPr>
        <w:t>leakage.</w:t>
      </w:r>
    </w:p>
    <w:p>
      <w:pPr>
        <w:spacing w:line="312" w:lineRule="auto" w:before="70"/>
        <w:ind w:left="142" w:right="1557" w:firstLine="338"/>
        <w:jc w:val="both"/>
        <w:rPr>
          <w:sz w:val="22"/>
        </w:rPr>
      </w:pPr>
      <w:r>
        <w:rPr>
          <w:b/>
          <w:sz w:val="22"/>
        </w:rPr>
        <w:t>Decision</w:t>
      </w:r>
      <w:r>
        <w:rPr>
          <w:b/>
          <w:spacing w:val="-11"/>
          <w:sz w:val="22"/>
        </w:rPr>
        <w:t> </w:t>
      </w:r>
      <w:r>
        <w:rPr>
          <w:b/>
          <w:sz w:val="22"/>
        </w:rPr>
        <w:t>1</w:t>
      </w:r>
      <w:r>
        <w:rPr>
          <w:b/>
          <w:spacing w:val="-11"/>
          <w:sz w:val="22"/>
        </w:rPr>
        <w:t> </w:t>
      </w:r>
      <w:r>
        <w:rPr>
          <w:b/>
          <w:sz w:val="22"/>
        </w:rPr>
        <w:t>—</w:t>
      </w:r>
      <w:r>
        <w:rPr>
          <w:b/>
          <w:spacing w:val="-11"/>
          <w:sz w:val="22"/>
        </w:rPr>
        <w:t> </w:t>
      </w:r>
      <w:r>
        <w:rPr>
          <w:b/>
          <w:sz w:val="22"/>
        </w:rPr>
        <w:t>Trend</w:t>
      </w:r>
      <w:r>
        <w:rPr>
          <w:b/>
          <w:spacing w:val="-11"/>
          <w:sz w:val="22"/>
        </w:rPr>
        <w:t> </w:t>
      </w:r>
      <w:r>
        <w:rPr>
          <w:b/>
          <w:sz w:val="22"/>
        </w:rPr>
        <w:t>modelling: </w:t>
      </w:r>
      <w:r>
        <w:rPr>
          <w:sz w:val="22"/>
        </w:rPr>
        <w:t>how</w:t>
      </w:r>
      <w:r>
        <w:rPr>
          <w:spacing w:val="-11"/>
          <w:sz w:val="22"/>
        </w:rPr>
        <w:t> </w:t>
      </w:r>
      <w:r>
        <w:rPr>
          <w:sz w:val="22"/>
        </w:rPr>
        <w:t>accurately</w:t>
      </w:r>
      <w:r>
        <w:rPr>
          <w:spacing w:val="-11"/>
          <w:sz w:val="22"/>
        </w:rPr>
        <w:t> </w:t>
      </w:r>
      <w:r>
        <w:rPr>
          <w:sz w:val="22"/>
        </w:rPr>
        <w:t>does</w:t>
      </w:r>
      <w:r>
        <w:rPr>
          <w:spacing w:val="-11"/>
          <w:sz w:val="22"/>
        </w:rPr>
        <w:t> </w:t>
      </w:r>
      <w:r>
        <w:rPr>
          <w:sz w:val="22"/>
        </w:rPr>
        <w:t>the</w:t>
      </w:r>
      <w:r>
        <w:rPr>
          <w:spacing w:val="-11"/>
          <w:sz w:val="22"/>
        </w:rPr>
        <w:t> </w:t>
      </w:r>
      <w:r>
        <w:rPr>
          <w:sz w:val="22"/>
        </w:rPr>
        <w:t>training-period</w:t>
      </w:r>
      <w:r>
        <w:rPr>
          <w:spacing w:val="-11"/>
          <w:sz w:val="22"/>
        </w:rPr>
        <w:t> </w:t>
      </w:r>
      <w:r>
        <w:rPr>
          <w:sz w:val="22"/>
        </w:rPr>
        <w:t>trend</w:t>
      </w:r>
      <w:r>
        <w:rPr>
          <w:spacing w:val="-11"/>
          <w:sz w:val="22"/>
        </w:rPr>
        <w:t> </w:t>
      </w:r>
      <w:r>
        <w:rPr>
          <w:sz w:val="22"/>
        </w:rPr>
        <w:t>extrapolate</w:t>
      </w:r>
      <w:r>
        <w:rPr>
          <w:spacing w:val="-11"/>
          <w:sz w:val="22"/>
        </w:rPr>
        <w:t> </w:t>
      </w:r>
      <w:r>
        <w:rPr>
          <w:sz w:val="22"/>
        </w:rPr>
        <w:t>to test years? Measured by Naive_Median MAE.</w:t>
      </w:r>
    </w:p>
    <w:p>
      <w:pPr>
        <w:spacing w:line="312" w:lineRule="auto" w:before="15"/>
        <w:ind w:left="134" w:right="1557" w:firstLine="346"/>
        <w:jc w:val="both"/>
        <w:rPr>
          <w:sz w:val="22"/>
        </w:rPr>
      </w:pPr>
      <w:r>
        <w:rPr>
          <w:b/>
          <w:sz w:val="22"/>
        </w:rPr>
        <w:t>Decision</w:t>
      </w:r>
      <w:r>
        <w:rPr>
          <w:b/>
          <w:spacing w:val="-10"/>
          <w:sz w:val="22"/>
        </w:rPr>
        <w:t> </w:t>
      </w:r>
      <w:r>
        <w:rPr>
          <w:b/>
          <w:sz w:val="22"/>
        </w:rPr>
        <w:t>2</w:t>
      </w:r>
      <w:r>
        <w:rPr>
          <w:b/>
          <w:spacing w:val="-10"/>
          <w:sz w:val="22"/>
        </w:rPr>
        <w:t> </w:t>
      </w:r>
      <w:r>
        <w:rPr>
          <w:b/>
          <w:sz w:val="22"/>
        </w:rPr>
        <w:t>—</w:t>
      </w:r>
      <w:r>
        <w:rPr>
          <w:b/>
          <w:spacing w:val="-10"/>
          <w:sz w:val="22"/>
        </w:rPr>
        <w:t> </w:t>
      </w:r>
      <w:r>
        <w:rPr>
          <w:b/>
          <w:sz w:val="22"/>
        </w:rPr>
        <w:t>Climate</w:t>
      </w:r>
      <w:r>
        <w:rPr>
          <w:b/>
          <w:spacing w:val="-10"/>
          <w:sz w:val="22"/>
        </w:rPr>
        <w:t> </w:t>
      </w:r>
      <w:r>
        <w:rPr>
          <w:b/>
          <w:sz w:val="22"/>
        </w:rPr>
        <w:t>signal</w:t>
      </w:r>
      <w:r>
        <w:rPr>
          <w:b/>
          <w:spacing w:val="-10"/>
          <w:sz w:val="22"/>
        </w:rPr>
        <w:t> </w:t>
      </w:r>
      <w:r>
        <w:rPr>
          <w:b/>
          <w:sz w:val="22"/>
        </w:rPr>
        <w:t>extraction: </w:t>
      </w:r>
      <w:r>
        <w:rPr>
          <w:sz w:val="22"/>
        </w:rPr>
        <w:t>can</w:t>
      </w:r>
      <w:r>
        <w:rPr>
          <w:spacing w:val="-10"/>
          <w:sz w:val="22"/>
        </w:rPr>
        <w:t> </w:t>
      </w:r>
      <w:r>
        <w:rPr>
          <w:sz w:val="22"/>
        </w:rPr>
        <w:t>a</w:t>
      </w:r>
      <w:r>
        <w:rPr>
          <w:spacing w:val="-10"/>
          <w:sz w:val="22"/>
        </w:rPr>
        <w:t> </w:t>
      </w:r>
      <w:r>
        <w:rPr>
          <w:sz w:val="22"/>
        </w:rPr>
        <w:t>rule-based</w:t>
      </w:r>
      <w:r>
        <w:rPr>
          <w:spacing w:val="-10"/>
          <w:sz w:val="22"/>
        </w:rPr>
        <w:t> </w:t>
      </w:r>
      <w:r>
        <w:rPr>
          <w:sz w:val="22"/>
        </w:rPr>
        <w:t>model</w:t>
      </w:r>
      <w:r>
        <w:rPr>
          <w:spacing w:val="-10"/>
          <w:sz w:val="22"/>
        </w:rPr>
        <w:t> </w:t>
      </w:r>
      <w:r>
        <w:rPr>
          <w:sz w:val="22"/>
        </w:rPr>
        <w:t>predict</w:t>
      </w:r>
      <w:r>
        <w:rPr>
          <w:spacing w:val="-10"/>
          <w:sz w:val="22"/>
        </w:rPr>
        <w:t> </w:t>
      </w:r>
      <w:r>
        <w:rPr>
          <w:sz w:val="22"/>
        </w:rPr>
        <w:t>detrended</w:t>
      </w:r>
      <w:r>
        <w:rPr>
          <w:spacing w:val="-10"/>
          <w:sz w:val="22"/>
        </w:rPr>
        <w:t> </w:t>
      </w:r>
      <w:r>
        <w:rPr>
          <w:sz w:val="22"/>
        </w:rPr>
        <w:t>residuals better</w:t>
      </w:r>
      <w:r>
        <w:rPr>
          <w:spacing w:val="-5"/>
          <w:sz w:val="22"/>
        </w:rPr>
        <w:t> </w:t>
      </w:r>
      <w:r>
        <w:rPr>
          <w:sz w:val="22"/>
        </w:rPr>
        <w:t>than</w:t>
      </w:r>
      <w:r>
        <w:rPr>
          <w:spacing w:val="-5"/>
          <w:sz w:val="22"/>
        </w:rPr>
        <w:t> </w:t>
      </w:r>
      <w:r>
        <w:rPr>
          <w:sz w:val="22"/>
        </w:rPr>
        <w:t>zero? Measured</w:t>
      </w:r>
      <w:r>
        <w:rPr>
          <w:spacing w:val="-5"/>
          <w:sz w:val="22"/>
        </w:rPr>
        <w:t> </w:t>
      </w:r>
      <w:r>
        <w:rPr>
          <w:sz w:val="22"/>
        </w:rPr>
        <w:t>by</w:t>
      </w:r>
      <w:r>
        <w:rPr>
          <w:spacing w:val="-5"/>
          <w:sz w:val="22"/>
        </w:rPr>
        <w:t> </w:t>
      </w:r>
      <w:r>
        <w:rPr>
          <w:sz w:val="22"/>
        </w:rPr>
        <w:t>the</w:t>
      </w:r>
      <w:r>
        <w:rPr>
          <w:spacing w:val="-5"/>
          <w:sz w:val="22"/>
        </w:rPr>
        <w:t> </w:t>
      </w:r>
      <w:r>
        <w:rPr>
          <w:sz w:val="22"/>
        </w:rPr>
        <w:t>gap</w:t>
      </w:r>
      <w:r>
        <w:rPr>
          <w:spacing w:val="-5"/>
          <w:sz w:val="22"/>
        </w:rPr>
        <w:t> </w:t>
      </w:r>
      <w:r>
        <w:rPr>
          <w:sz w:val="22"/>
        </w:rPr>
        <w:t>between</w:t>
      </w:r>
      <w:r>
        <w:rPr>
          <w:spacing w:val="-5"/>
          <w:sz w:val="22"/>
        </w:rPr>
        <w:t> </w:t>
      </w:r>
      <w:r>
        <w:rPr>
          <w:sz w:val="22"/>
        </w:rPr>
        <w:t>a</w:t>
      </w:r>
      <w:r>
        <w:rPr>
          <w:spacing w:val="-5"/>
          <w:sz w:val="22"/>
        </w:rPr>
        <w:t> </w:t>
      </w:r>
      <w:r>
        <w:rPr>
          <w:sz w:val="22"/>
        </w:rPr>
        <w:t>model’s</w:t>
      </w:r>
      <w:r>
        <w:rPr>
          <w:spacing w:val="-5"/>
          <w:sz w:val="22"/>
        </w:rPr>
        <w:t> </w:t>
      </w:r>
      <w:r>
        <w:rPr>
          <w:sz w:val="22"/>
        </w:rPr>
        <w:t>weighted</w:t>
      </w:r>
      <w:r>
        <w:rPr>
          <w:spacing w:val="-5"/>
          <w:sz w:val="22"/>
        </w:rPr>
        <w:t> </w:t>
      </w:r>
      <w:r>
        <w:rPr>
          <w:sz w:val="22"/>
        </w:rPr>
        <w:t>MAE</w:t>
      </w:r>
      <w:r>
        <w:rPr>
          <w:spacing w:val="-5"/>
          <w:sz w:val="22"/>
        </w:rPr>
        <w:t> </w:t>
      </w:r>
      <w:r>
        <w:rPr>
          <w:sz w:val="22"/>
        </w:rPr>
        <w:t>and</w:t>
      </w:r>
      <w:r>
        <w:rPr>
          <w:spacing w:val="-5"/>
          <w:sz w:val="22"/>
        </w:rPr>
        <w:t> </w:t>
      </w:r>
      <w:r>
        <w:rPr>
          <w:sz w:val="22"/>
        </w:rPr>
        <w:t>the</w:t>
      </w:r>
      <w:r>
        <w:rPr>
          <w:spacing w:val="-5"/>
          <w:sz w:val="22"/>
        </w:rPr>
        <w:t> </w:t>
      </w:r>
      <w:r>
        <w:rPr>
          <w:sz w:val="22"/>
        </w:rPr>
        <w:t>Naive_Median weighted MAE.</w:t>
      </w:r>
    </w:p>
    <w:p>
      <w:pPr>
        <w:pStyle w:val="BodyText"/>
        <w:spacing w:before="230"/>
      </w:pPr>
    </w:p>
    <w:p>
      <w:pPr>
        <w:pStyle w:val="Heading2"/>
        <w:numPr>
          <w:ilvl w:val="1"/>
          <w:numId w:val="17"/>
        </w:numPr>
        <w:tabs>
          <w:tab w:pos="787" w:val="left" w:leader="none"/>
        </w:tabs>
        <w:spacing w:line="240" w:lineRule="auto" w:before="0" w:after="0"/>
        <w:ind w:left="787" w:right="0" w:hanging="645"/>
        <w:jc w:val="left"/>
      </w:pPr>
      <w:bookmarkStart w:name="3.4 Rule-Learning Algorithms" w:id="73"/>
      <w:bookmarkEnd w:id="73"/>
      <w:r>
        <w:rPr>
          <w:b w:val="0"/>
        </w:rPr>
      </w:r>
      <w:bookmarkStart w:name="_bookmark36" w:id="74"/>
      <w:bookmarkEnd w:id="74"/>
      <w:r>
        <w:rPr>
          <w:b w:val="0"/>
        </w:rPr>
      </w:r>
      <w:r>
        <w:rPr/>
        <w:t>Rule-Learning</w:t>
      </w:r>
      <w:r>
        <w:rPr>
          <w:spacing w:val="31"/>
        </w:rPr>
        <w:t> </w:t>
      </w:r>
      <w:r>
        <w:rPr>
          <w:spacing w:val="-2"/>
        </w:rPr>
        <w:t>Algorithms</w:t>
      </w:r>
    </w:p>
    <w:p>
      <w:pPr>
        <w:pStyle w:val="BodyText"/>
        <w:spacing w:line="312" w:lineRule="auto" w:before="318"/>
        <w:ind w:left="134" w:right="1521" w:firstLine="1"/>
        <w:jc w:val="both"/>
      </w:pPr>
      <w:r>
        <w:rPr/>
        <w:t>Three rule-learning algorithms were evaluated, representing three fundamentally different ap-</w:t>
      </w:r>
      <w:r>
        <w:rPr>
          <w:spacing w:val="-2"/>
        </w:rPr>
        <w:t>proaches</w:t>
      </w:r>
      <w:r>
        <w:rPr>
          <w:spacing w:val="-11"/>
        </w:rPr>
        <w:t> </w:t>
      </w:r>
      <w:r>
        <w:rPr>
          <w:spacing w:val="-2"/>
        </w:rPr>
        <w:t>to</w:t>
      </w:r>
      <w:r>
        <w:rPr>
          <w:spacing w:val="-11"/>
        </w:rPr>
        <w:t> </w:t>
      </w:r>
      <w:r>
        <w:rPr>
          <w:spacing w:val="-2"/>
        </w:rPr>
        <w:t>extracting</w:t>
      </w:r>
      <w:r>
        <w:rPr>
          <w:spacing w:val="-11"/>
        </w:rPr>
        <w:t> </w:t>
      </w:r>
      <w:r>
        <w:rPr>
          <w:spacing w:val="-2"/>
        </w:rPr>
        <w:t>interpretable</w:t>
      </w:r>
      <w:r>
        <w:rPr>
          <w:spacing w:val="-11"/>
        </w:rPr>
        <w:t> </w:t>
      </w:r>
      <w:r>
        <w:rPr>
          <w:spacing w:val="-2"/>
        </w:rPr>
        <w:t>patterns</w:t>
      </w:r>
      <w:r>
        <w:rPr>
          <w:spacing w:val="-11"/>
        </w:rPr>
        <w:t> </w:t>
      </w:r>
      <w:r>
        <w:rPr>
          <w:spacing w:val="-2"/>
        </w:rPr>
        <w:t>from</w:t>
      </w:r>
      <w:r>
        <w:rPr>
          <w:spacing w:val="-11"/>
        </w:rPr>
        <w:t> </w:t>
      </w:r>
      <w:r>
        <w:rPr>
          <w:spacing w:val="-2"/>
        </w:rPr>
        <w:t>the</w:t>
      </w:r>
      <w:r>
        <w:rPr>
          <w:spacing w:val="-11"/>
        </w:rPr>
        <w:t> </w:t>
      </w:r>
      <w:r>
        <w:rPr>
          <w:spacing w:val="-2"/>
        </w:rPr>
        <w:t>same</w:t>
      </w:r>
      <w:r>
        <w:rPr>
          <w:spacing w:val="-11"/>
        </w:rPr>
        <w:t> </w:t>
      </w:r>
      <w:r>
        <w:rPr>
          <w:spacing w:val="-2"/>
        </w:rPr>
        <w:t>data.</w:t>
      </w:r>
      <w:r>
        <w:rPr>
          <w:spacing w:val="4"/>
        </w:rPr>
        <w:t> </w:t>
      </w:r>
      <w:r>
        <w:rPr>
          <w:spacing w:val="-2"/>
        </w:rPr>
        <w:t>Understanding</w:t>
      </w:r>
      <w:r>
        <w:rPr>
          <w:spacing w:val="-11"/>
        </w:rPr>
        <w:t> </w:t>
      </w:r>
      <w:r>
        <w:rPr>
          <w:spacing w:val="-2"/>
        </w:rPr>
        <w:t>how</w:t>
      </w:r>
      <w:r>
        <w:rPr>
          <w:spacing w:val="-11"/>
        </w:rPr>
        <w:t> </w:t>
      </w:r>
      <w:r>
        <w:rPr>
          <w:spacing w:val="-2"/>
        </w:rPr>
        <w:t>each</w:t>
      </w:r>
      <w:r>
        <w:rPr>
          <w:spacing w:val="-11"/>
        </w:rPr>
        <w:t> </w:t>
      </w:r>
      <w:r>
        <w:rPr>
          <w:spacing w:val="-2"/>
        </w:rPr>
        <w:t>algorithm </w:t>
      </w:r>
      <w:r>
        <w:rPr/>
        <w:t>works</w:t>
      </w:r>
      <w:r>
        <w:rPr>
          <w:spacing w:val="-3"/>
        </w:rPr>
        <w:t> </w:t>
      </w:r>
      <w:r>
        <w:rPr/>
        <w:t>internally,</w:t>
      </w:r>
      <w:r>
        <w:rPr>
          <w:spacing w:val="-3"/>
        </w:rPr>
        <w:t> </w:t>
      </w:r>
      <w:r>
        <w:rPr/>
        <w:t>and</w:t>
      </w:r>
      <w:r>
        <w:rPr>
          <w:spacing w:val="-3"/>
        </w:rPr>
        <w:t> </w:t>
      </w:r>
      <w:r>
        <w:rPr/>
        <w:t>specifically</w:t>
      </w:r>
      <w:r>
        <w:rPr>
          <w:spacing w:val="-3"/>
        </w:rPr>
        <w:t> </w:t>
      </w:r>
      <w:r>
        <w:rPr/>
        <w:t>what</w:t>
      </w:r>
      <w:r>
        <w:rPr>
          <w:spacing w:val="-3"/>
        </w:rPr>
        <w:t> </w:t>
      </w:r>
      <w:r>
        <w:rPr/>
        <w:t>question</w:t>
      </w:r>
      <w:r>
        <w:rPr>
          <w:spacing w:val="-3"/>
        </w:rPr>
        <w:t> </w:t>
      </w:r>
      <w:r>
        <w:rPr/>
        <w:t>it</w:t>
      </w:r>
      <w:r>
        <w:rPr>
          <w:spacing w:val="-3"/>
        </w:rPr>
        <w:t> </w:t>
      </w:r>
      <w:r>
        <w:rPr/>
        <w:t>is</w:t>
      </w:r>
      <w:r>
        <w:rPr>
          <w:spacing w:val="-3"/>
        </w:rPr>
        <w:t> </w:t>
      </w:r>
      <w:r>
        <w:rPr/>
        <w:t>designed</w:t>
      </w:r>
      <w:r>
        <w:rPr>
          <w:spacing w:val="-3"/>
        </w:rPr>
        <w:t> </w:t>
      </w:r>
      <w:r>
        <w:rPr/>
        <w:t>to</w:t>
      </w:r>
      <w:r>
        <w:rPr>
          <w:spacing w:val="-3"/>
        </w:rPr>
        <w:t> </w:t>
      </w:r>
      <w:r>
        <w:rPr/>
        <w:t>answer,</w:t>
      </w:r>
      <w:r>
        <w:rPr>
          <w:spacing w:val="-3"/>
        </w:rPr>
        <w:t> </w:t>
      </w:r>
      <w:r>
        <w:rPr/>
        <w:t>is</w:t>
      </w:r>
      <w:r>
        <w:rPr>
          <w:spacing w:val="-3"/>
        </w:rPr>
        <w:t> </w:t>
      </w:r>
      <w:r>
        <w:rPr/>
        <w:t>essential</w:t>
      </w:r>
      <w:r>
        <w:rPr>
          <w:spacing w:val="-3"/>
        </w:rPr>
        <w:t> </w:t>
      </w:r>
      <w:r>
        <w:rPr/>
        <w:t>for</w:t>
      </w:r>
      <w:r>
        <w:rPr>
          <w:spacing w:val="-3"/>
        </w:rPr>
        <w:t> </w:t>
      </w:r>
      <w:r>
        <w:rPr/>
        <w:t>correctly interpreting</w:t>
      </w:r>
      <w:r>
        <w:rPr>
          <w:spacing w:val="-2"/>
        </w:rPr>
        <w:t> </w:t>
      </w:r>
      <w:r>
        <w:rPr/>
        <w:t>the</w:t>
      </w:r>
      <w:r>
        <w:rPr>
          <w:spacing w:val="-2"/>
        </w:rPr>
        <w:t> </w:t>
      </w:r>
      <w:r>
        <w:rPr/>
        <w:t>results</w:t>
      </w:r>
      <w:r>
        <w:rPr>
          <w:spacing w:val="-2"/>
        </w:rPr>
        <w:t> </w:t>
      </w:r>
      <w:r>
        <w:rPr/>
        <w:t>in</w:t>
      </w:r>
      <w:r>
        <w:rPr>
          <w:spacing w:val="-2"/>
        </w:rPr>
        <w:t> </w:t>
      </w:r>
      <w:r>
        <w:rPr/>
        <w:t>Chapter</w:t>
      </w:r>
      <w:r>
        <w:rPr>
          <w:spacing w:val="-2"/>
        </w:rPr>
        <w:t> </w:t>
      </w:r>
      <w:hyperlink w:history="true" w:anchor="_bookmark68">
        <w:r>
          <w:rPr>
            <w:color w:val="8B2C18"/>
          </w:rPr>
          <w:t>4</w:t>
        </w:r>
      </w:hyperlink>
      <w:r>
        <w:rPr>
          <w:color w:val="8B2C18"/>
          <w:spacing w:val="-2"/>
        </w:rPr>
        <w:t> </w:t>
      </w:r>
      <w:r>
        <w:rPr/>
        <w:t>and</w:t>
      </w:r>
      <w:r>
        <w:rPr>
          <w:spacing w:val="-2"/>
        </w:rPr>
        <w:t> </w:t>
      </w:r>
      <w:r>
        <w:rPr/>
        <w:t>the</w:t>
      </w:r>
      <w:r>
        <w:rPr>
          <w:spacing w:val="-2"/>
        </w:rPr>
        <w:t> </w:t>
      </w:r>
      <w:r>
        <w:rPr/>
        <w:t>comparison</w:t>
      </w:r>
      <w:r>
        <w:rPr>
          <w:spacing w:val="-2"/>
        </w:rPr>
        <w:t> </w:t>
      </w:r>
      <w:r>
        <w:rPr/>
        <w:t>in</w:t>
      </w:r>
      <w:r>
        <w:rPr>
          <w:spacing w:val="-2"/>
        </w:rPr>
        <w:t> </w:t>
      </w:r>
      <w:r>
        <w:rPr/>
        <w:t>Section</w:t>
      </w:r>
      <w:r>
        <w:rPr>
          <w:spacing w:val="-2"/>
        </w:rPr>
        <w:t> </w:t>
      </w:r>
      <w:hyperlink w:history="true" w:anchor="_bookmark84">
        <w:r>
          <w:rPr>
            <w:color w:val="8B2C18"/>
          </w:rPr>
          <w:t>4.5</w:t>
        </w:r>
      </w:hyperlink>
      <w:r>
        <w:rPr/>
        <w:t>. Table</w:t>
      </w:r>
      <w:r>
        <w:rPr>
          <w:spacing w:val="-2"/>
        </w:rPr>
        <w:t> </w:t>
      </w:r>
      <w:hyperlink w:history="true" w:anchor="_bookmark38">
        <w:r>
          <w:rPr>
            <w:color w:val="8B2C18"/>
          </w:rPr>
          <w:t>3.2</w:t>
        </w:r>
      </w:hyperlink>
      <w:r>
        <w:rPr>
          <w:color w:val="8B2C18"/>
          <w:spacing w:val="-2"/>
        </w:rPr>
        <w:t> </w:t>
      </w:r>
      <w:r>
        <w:rPr/>
        <w:t>summarises</w:t>
      </w:r>
      <w:r>
        <w:rPr>
          <w:spacing w:val="-2"/>
        </w:rPr>
        <w:t> </w:t>
      </w:r>
      <w:r>
        <w:rPr/>
        <w:t>the key</w:t>
      </w:r>
      <w:r>
        <w:rPr>
          <w:spacing w:val="-5"/>
        </w:rPr>
        <w:t> </w:t>
      </w:r>
      <w:r>
        <w:rPr/>
        <w:t>characteristics</w:t>
      </w:r>
      <w:r>
        <w:rPr>
          <w:spacing w:val="-5"/>
        </w:rPr>
        <w:t> </w:t>
      </w:r>
      <w:r>
        <w:rPr/>
        <w:t>of</w:t>
      </w:r>
      <w:r>
        <w:rPr>
          <w:spacing w:val="-5"/>
        </w:rPr>
        <w:t> </w:t>
      </w:r>
      <w:r>
        <w:rPr/>
        <w:t>all</w:t>
      </w:r>
      <w:r>
        <w:rPr>
          <w:spacing w:val="-5"/>
        </w:rPr>
        <w:t> </w:t>
      </w:r>
      <w:r>
        <w:rPr/>
        <w:t>three</w:t>
      </w:r>
      <w:r>
        <w:rPr>
          <w:spacing w:val="-5"/>
        </w:rPr>
        <w:t> </w:t>
      </w:r>
      <w:r>
        <w:rPr/>
        <w:t>algorithms</w:t>
      </w:r>
      <w:r>
        <w:rPr>
          <w:spacing w:val="-5"/>
        </w:rPr>
        <w:t> </w:t>
      </w:r>
      <w:r>
        <w:rPr/>
        <w:t>before</w:t>
      </w:r>
      <w:r>
        <w:rPr>
          <w:spacing w:val="-5"/>
        </w:rPr>
        <w:t> </w:t>
      </w:r>
      <w:r>
        <w:rPr/>
        <w:t>each</w:t>
      </w:r>
      <w:r>
        <w:rPr>
          <w:spacing w:val="-5"/>
        </w:rPr>
        <w:t> </w:t>
      </w:r>
      <w:r>
        <w:rPr/>
        <w:t>is</w:t>
      </w:r>
      <w:r>
        <w:rPr>
          <w:spacing w:val="-5"/>
        </w:rPr>
        <w:t> </w:t>
      </w:r>
      <w:r>
        <w:rPr/>
        <w:t>described</w:t>
      </w:r>
      <w:r>
        <w:rPr>
          <w:spacing w:val="-5"/>
        </w:rPr>
        <w:t> </w:t>
      </w:r>
      <w:r>
        <w:rPr/>
        <w:t>in</w:t>
      </w:r>
      <w:r>
        <w:rPr>
          <w:spacing w:val="-5"/>
        </w:rPr>
        <w:t> </w:t>
      </w:r>
      <w:r>
        <w:rPr/>
        <w:t>detail. The</w:t>
      </w:r>
      <w:r>
        <w:rPr>
          <w:spacing w:val="-5"/>
        </w:rPr>
        <w:t> </w:t>
      </w:r>
      <w:r>
        <w:rPr/>
        <w:t>two</w:t>
      </w:r>
      <w:r>
        <w:rPr>
          <w:spacing w:val="-5"/>
        </w:rPr>
        <w:t> </w:t>
      </w:r>
      <w:r>
        <w:rPr/>
        <w:t>bottom</w:t>
      </w:r>
      <w:r>
        <w:rPr>
          <w:spacing w:val="-5"/>
        </w:rPr>
        <w:t> </w:t>
      </w:r>
      <w:r>
        <w:rPr/>
        <w:t>rows of</w:t>
      </w:r>
      <w:r>
        <w:rPr>
          <w:spacing w:val="-1"/>
        </w:rPr>
        <w:t> </w:t>
      </w:r>
      <w:r>
        <w:rPr/>
        <w:t>the</w:t>
      </w:r>
      <w:r>
        <w:rPr>
          <w:spacing w:val="-1"/>
        </w:rPr>
        <w:t> </w:t>
      </w:r>
      <w:r>
        <w:rPr/>
        <w:t>table</w:t>
      </w:r>
      <w:r>
        <w:rPr>
          <w:spacing w:val="-1"/>
        </w:rPr>
        <w:t> </w:t>
      </w:r>
      <w:r>
        <w:rPr/>
        <w:t>describe</w:t>
      </w:r>
      <w:r>
        <w:rPr>
          <w:spacing w:val="-1"/>
        </w:rPr>
        <w:t> </w:t>
      </w:r>
      <w:r>
        <w:rPr/>
        <w:t>not</w:t>
      </w:r>
      <w:r>
        <w:rPr>
          <w:spacing w:val="-1"/>
        </w:rPr>
        <w:t> </w:t>
      </w:r>
      <w:r>
        <w:rPr/>
        <w:t>intrinsic</w:t>
      </w:r>
      <w:r>
        <w:rPr>
          <w:spacing w:val="-1"/>
        </w:rPr>
        <w:t> </w:t>
      </w:r>
      <w:r>
        <w:rPr/>
        <w:t>properties</w:t>
      </w:r>
      <w:r>
        <w:rPr>
          <w:spacing w:val="-1"/>
        </w:rPr>
        <w:t> </w:t>
      </w:r>
      <w:r>
        <w:rPr/>
        <w:t>of</w:t>
      </w:r>
      <w:r>
        <w:rPr>
          <w:spacing w:val="-1"/>
        </w:rPr>
        <w:t> </w:t>
      </w:r>
      <w:r>
        <w:rPr/>
        <w:t>the</w:t>
      </w:r>
      <w:r>
        <w:rPr>
          <w:spacing w:val="-1"/>
        </w:rPr>
        <w:t> </w:t>
      </w:r>
      <w:r>
        <w:rPr/>
        <w:t>algorithms</w:t>
      </w:r>
      <w:r>
        <w:rPr>
          <w:spacing w:val="-1"/>
        </w:rPr>
        <w:t> </w:t>
      </w:r>
      <w:r>
        <w:rPr/>
        <w:t>but</w:t>
      </w:r>
      <w:r>
        <w:rPr>
          <w:spacing w:val="-1"/>
        </w:rPr>
        <w:t> </w:t>
      </w:r>
      <w:r>
        <w:rPr/>
        <w:t>how</w:t>
      </w:r>
      <w:r>
        <w:rPr>
          <w:spacing w:val="-1"/>
        </w:rPr>
        <w:t> </w:t>
      </w:r>
      <w:r>
        <w:rPr/>
        <w:t>each</w:t>
      </w:r>
      <w:r>
        <w:rPr>
          <w:spacing w:val="-1"/>
        </w:rPr>
        <w:t> </w:t>
      </w:r>
      <w:r>
        <w:rPr/>
        <w:t>is</w:t>
      </w:r>
      <w:r>
        <w:rPr>
          <w:spacing w:val="-1"/>
        </w:rPr>
        <w:t> </w:t>
      </w:r>
      <w:r>
        <w:rPr/>
        <w:t>operationalised</w:t>
      </w:r>
      <w:r>
        <w:rPr>
          <w:spacing w:val="-1"/>
        </w:rPr>
        <w:t> </w:t>
      </w:r>
      <w:r>
        <w:rPr/>
        <w:t>for numeric forecasting within the prediction framework defined in this thesis.</w:t>
      </w:r>
    </w:p>
    <w:p>
      <w:pPr>
        <w:pStyle w:val="BodyText"/>
        <w:spacing w:before="146"/>
      </w:pPr>
    </w:p>
    <w:p>
      <w:pPr>
        <w:pStyle w:val="Heading3"/>
        <w:numPr>
          <w:ilvl w:val="2"/>
          <w:numId w:val="17"/>
        </w:numPr>
        <w:tabs>
          <w:tab w:pos="859" w:val="left" w:leader="none"/>
        </w:tabs>
        <w:spacing w:line="240" w:lineRule="auto" w:before="0" w:after="0"/>
        <w:ind w:left="859" w:right="0" w:hanging="717"/>
        <w:jc w:val="left"/>
      </w:pPr>
      <w:bookmarkStart w:name="3.4.1 CarenR: Distribution Rules via the" w:id="75"/>
      <w:bookmarkEnd w:id="75"/>
      <w:r>
        <w:rPr>
          <w:b w:val="0"/>
        </w:rPr>
      </w:r>
      <w:bookmarkStart w:name="_bookmark37" w:id="76"/>
      <w:bookmarkEnd w:id="76"/>
      <w:r>
        <w:rPr>
          <w:b w:val="0"/>
        </w:rPr>
      </w:r>
      <w:r>
        <w:rPr/>
        <w:t>CarenR:</w:t>
      </w:r>
      <w:r>
        <w:rPr>
          <w:spacing w:val="-12"/>
        </w:rPr>
        <w:t> </w:t>
      </w:r>
      <w:r>
        <w:rPr/>
        <w:t>Distribution</w:t>
      </w:r>
      <w:r>
        <w:rPr>
          <w:spacing w:val="-10"/>
        </w:rPr>
        <w:t> </w:t>
      </w:r>
      <w:r>
        <w:rPr/>
        <w:t>Rules</w:t>
      </w:r>
      <w:r>
        <w:rPr>
          <w:spacing w:val="-9"/>
        </w:rPr>
        <w:t> </w:t>
      </w:r>
      <w:r>
        <w:rPr/>
        <w:t>via</w:t>
      </w:r>
      <w:r>
        <w:rPr>
          <w:spacing w:val="-10"/>
        </w:rPr>
        <w:t> </w:t>
      </w:r>
      <w:r>
        <w:rPr/>
        <w:t>the</w:t>
      </w:r>
      <w:r>
        <w:rPr>
          <w:spacing w:val="-10"/>
        </w:rPr>
        <w:t> </w:t>
      </w:r>
      <w:r>
        <w:rPr/>
        <w:t>CAREN</w:t>
      </w:r>
      <w:r>
        <w:rPr>
          <w:spacing w:val="-9"/>
        </w:rPr>
        <w:t> </w:t>
      </w:r>
      <w:r>
        <w:rPr>
          <w:spacing w:val="-2"/>
        </w:rPr>
        <w:t>Framework</w:t>
      </w:r>
    </w:p>
    <w:p>
      <w:pPr>
        <w:pStyle w:val="BodyText"/>
        <w:spacing w:line="312" w:lineRule="auto" w:before="248"/>
        <w:ind w:left="142" w:right="1542"/>
        <w:jc w:val="both"/>
      </w:pPr>
      <w:r>
        <w:rPr/>
        <w:t>CarenR</w:t>
      </w:r>
      <w:r>
        <w:rPr>
          <w:spacing w:val="-12"/>
        </w:rPr>
        <w:t> </w:t>
      </w:r>
      <w:r>
        <w:rPr/>
        <w:t>is</w:t>
      </w:r>
      <w:r>
        <w:rPr>
          <w:spacing w:val="-12"/>
        </w:rPr>
        <w:t> </w:t>
      </w:r>
      <w:r>
        <w:rPr/>
        <w:t>built</w:t>
      </w:r>
      <w:r>
        <w:rPr>
          <w:spacing w:val="-12"/>
        </w:rPr>
        <w:t> </w:t>
      </w:r>
      <w:r>
        <w:rPr/>
        <w:t>on</w:t>
      </w:r>
      <w:r>
        <w:rPr>
          <w:spacing w:val="-12"/>
        </w:rPr>
        <w:t> </w:t>
      </w:r>
      <w:r>
        <w:rPr/>
        <w:t>the</w:t>
      </w:r>
      <w:r>
        <w:rPr>
          <w:spacing w:val="-12"/>
        </w:rPr>
        <w:t> </w:t>
      </w:r>
      <w:r>
        <w:rPr/>
        <w:t>CAREN</w:t>
      </w:r>
      <w:r>
        <w:rPr>
          <w:spacing w:val="-12"/>
        </w:rPr>
        <w:t> </w:t>
      </w:r>
      <w:r>
        <w:rPr/>
        <w:t>association</w:t>
      </w:r>
      <w:r>
        <w:rPr>
          <w:spacing w:val="-12"/>
        </w:rPr>
        <w:t> </w:t>
      </w:r>
      <w:r>
        <w:rPr/>
        <w:t>rule</w:t>
      </w:r>
      <w:r>
        <w:rPr>
          <w:spacing w:val="-12"/>
        </w:rPr>
        <w:t> </w:t>
      </w:r>
      <w:r>
        <w:rPr/>
        <w:t>engine,</w:t>
      </w:r>
      <w:r>
        <w:rPr>
          <w:spacing w:val="-12"/>
        </w:rPr>
        <w:t> </w:t>
      </w:r>
      <w:r>
        <w:rPr/>
        <w:t>originally</w:t>
      </w:r>
      <w:r>
        <w:rPr>
          <w:spacing w:val="-12"/>
        </w:rPr>
        <w:t> </w:t>
      </w:r>
      <w:r>
        <w:rPr/>
        <w:t>developed</w:t>
      </w:r>
      <w:r>
        <w:rPr>
          <w:spacing w:val="-12"/>
        </w:rPr>
        <w:t> </w:t>
      </w:r>
      <w:r>
        <w:rPr/>
        <w:t>by</w:t>
      </w:r>
      <w:r>
        <w:rPr>
          <w:spacing w:val="-12"/>
        </w:rPr>
        <w:t> </w:t>
      </w:r>
      <w:hyperlink w:history="true" w:anchor="_bookmark222">
        <w:r>
          <w:rPr>
            <w:color w:val="8B2C18"/>
          </w:rPr>
          <w:t>Jorge</w:t>
        </w:r>
        <w:r>
          <w:rPr>
            <w:color w:val="8B2C18"/>
            <w:spacing w:val="-12"/>
          </w:rPr>
          <w:t> </w:t>
        </w:r>
        <w:r>
          <w:rPr>
            <w:color w:val="8B2C18"/>
          </w:rPr>
          <w:t>et</w:t>
        </w:r>
        <w:r>
          <w:rPr>
            <w:color w:val="8B2C18"/>
            <w:spacing w:val="-12"/>
          </w:rPr>
          <w:t> </w:t>
        </w:r>
        <w:r>
          <w:rPr>
            <w:color w:val="8B2C18"/>
          </w:rPr>
          <w:t>al.</w:t>
        </w:r>
      </w:hyperlink>
      <w:r>
        <w:rPr>
          <w:color w:val="8B2C18"/>
          <w:spacing w:val="-12"/>
        </w:rPr>
        <w:t> </w:t>
      </w:r>
      <w:r>
        <w:rPr/>
        <w:t>(</w:t>
      </w:r>
      <w:hyperlink w:history="true" w:anchor="_bookmark222">
        <w:r>
          <w:rPr>
            <w:color w:val="8B2C18"/>
          </w:rPr>
          <w:t>2006</w:t>
        </w:r>
      </w:hyperlink>
      <w:r>
        <w:rPr/>
        <w:t>) for discovering distribution rules in numeric data.</w:t>
      </w:r>
      <w:r>
        <w:rPr>
          <w:spacing w:val="40"/>
        </w:rPr>
        <w:t> </w:t>
      </w:r>
      <w:r>
        <w:rPr/>
        <w:t>It is the primary algorithm of this thesis and the only one of the three that is specifically designed for continuous response variables without requiring pre-discretisation of the target. This section describes its mechanics in detail.</w:t>
      </w:r>
    </w:p>
    <w:p>
      <w:pPr>
        <w:pStyle w:val="BodyText"/>
        <w:spacing w:line="312" w:lineRule="auto" w:before="15"/>
        <w:ind w:left="142" w:right="1557" w:firstLine="338"/>
        <w:jc w:val="both"/>
      </w:pPr>
      <w:r>
        <w:rPr>
          <w:b/>
          <w:spacing w:val="-2"/>
        </w:rPr>
        <w:t>Conceptual</w:t>
      </w:r>
      <w:r>
        <w:rPr>
          <w:b/>
          <w:spacing w:val="-7"/>
        </w:rPr>
        <w:t> </w:t>
      </w:r>
      <w:r>
        <w:rPr>
          <w:b/>
          <w:spacing w:val="-2"/>
        </w:rPr>
        <w:t>foundation. </w:t>
      </w:r>
      <w:r>
        <w:rPr>
          <w:spacing w:val="-2"/>
        </w:rPr>
        <w:t>Most</w:t>
      </w:r>
      <w:r>
        <w:rPr>
          <w:spacing w:val="-7"/>
        </w:rPr>
        <w:t> </w:t>
      </w:r>
      <w:r>
        <w:rPr>
          <w:spacing w:val="-2"/>
        </w:rPr>
        <w:t>rule-learning</w:t>
      </w:r>
      <w:r>
        <w:rPr>
          <w:spacing w:val="-7"/>
        </w:rPr>
        <w:t> </w:t>
      </w:r>
      <w:r>
        <w:rPr>
          <w:spacing w:val="-2"/>
        </w:rPr>
        <w:t>algorithms</w:t>
      </w:r>
      <w:r>
        <w:rPr>
          <w:spacing w:val="-7"/>
        </w:rPr>
        <w:t> </w:t>
      </w:r>
      <w:r>
        <w:rPr>
          <w:spacing w:val="-2"/>
        </w:rPr>
        <w:t>ask: “what</w:t>
      </w:r>
      <w:r>
        <w:rPr>
          <w:spacing w:val="-7"/>
        </w:rPr>
        <w:t> </w:t>
      </w:r>
      <w:r>
        <w:rPr>
          <w:spacing w:val="-2"/>
        </w:rPr>
        <w:t>value</w:t>
      </w:r>
      <w:r>
        <w:rPr>
          <w:spacing w:val="-7"/>
        </w:rPr>
        <w:t> </w:t>
      </w:r>
      <w:r>
        <w:rPr>
          <w:spacing w:val="-2"/>
        </w:rPr>
        <w:t>does</w:t>
      </w:r>
      <w:r>
        <w:rPr>
          <w:spacing w:val="-7"/>
        </w:rPr>
        <w:t> </w:t>
      </w:r>
      <w:r>
        <w:rPr>
          <w:spacing w:val="-2"/>
        </w:rPr>
        <w:t>this</w:t>
      </w:r>
      <w:r>
        <w:rPr>
          <w:spacing w:val="-7"/>
        </w:rPr>
        <w:t> </w:t>
      </w:r>
      <w:r>
        <w:rPr>
          <w:spacing w:val="-2"/>
        </w:rPr>
        <w:t>observation </w:t>
      </w:r>
      <w:r>
        <w:rPr/>
        <w:t>have?”</w:t>
      </w:r>
      <w:r>
        <w:rPr>
          <w:spacing w:val="40"/>
        </w:rPr>
        <w:t> </w:t>
      </w:r>
      <w:r>
        <w:rPr/>
        <w:t>CarenR asks a different question:</w:t>
      </w:r>
      <w:r>
        <w:rPr>
          <w:spacing w:val="40"/>
        </w:rPr>
        <w:t> </w:t>
      </w:r>
      <w:r>
        <w:rPr/>
        <w:t>“is there a subgroup of observations, defined by </w:t>
      </w:r>
      <w:r>
        <w:rPr/>
        <w:t>a conjunction</w:t>
      </w:r>
      <w:r>
        <w:rPr>
          <w:spacing w:val="19"/>
        </w:rPr>
        <w:t> </w:t>
      </w:r>
      <w:r>
        <w:rPr/>
        <w:t>of</w:t>
      </w:r>
      <w:r>
        <w:rPr>
          <w:spacing w:val="19"/>
        </w:rPr>
        <w:t> </w:t>
      </w:r>
      <w:r>
        <w:rPr/>
        <w:t>input</w:t>
      </w:r>
      <w:r>
        <w:rPr>
          <w:spacing w:val="19"/>
        </w:rPr>
        <w:t> </w:t>
      </w:r>
      <w:r>
        <w:rPr/>
        <w:t>feature</w:t>
      </w:r>
      <w:r>
        <w:rPr>
          <w:spacing w:val="19"/>
        </w:rPr>
        <w:t> </w:t>
      </w:r>
      <w:r>
        <w:rPr/>
        <w:t>conditions,</w:t>
      </w:r>
      <w:r>
        <w:rPr>
          <w:spacing w:val="23"/>
        </w:rPr>
        <w:t> </w:t>
      </w:r>
      <w:r>
        <w:rPr/>
        <w:t>where</w:t>
      </w:r>
      <w:r>
        <w:rPr>
          <w:spacing w:val="19"/>
        </w:rPr>
        <w:t> </w:t>
      </w:r>
      <w:r>
        <w:rPr/>
        <w:t>the</w:t>
      </w:r>
      <w:r>
        <w:rPr>
          <w:spacing w:val="19"/>
        </w:rPr>
        <w:t> </w:t>
      </w:r>
      <w:r>
        <w:rPr/>
        <w:t>statistical</w:t>
      </w:r>
      <w:r>
        <w:rPr>
          <w:spacing w:val="19"/>
        </w:rPr>
        <w:t> </w:t>
      </w:r>
      <w:r>
        <w:rPr/>
        <w:t>distribution</w:t>
      </w:r>
      <w:r>
        <w:rPr>
          <w:spacing w:val="19"/>
        </w:rPr>
        <w:t> </w:t>
      </w:r>
      <w:r>
        <w:rPr/>
        <w:t>of</w:t>
      </w:r>
      <w:r>
        <w:rPr>
          <w:spacing w:val="19"/>
        </w:rPr>
        <w:t> </w:t>
      </w:r>
      <w:r>
        <w:rPr/>
        <w:t>the</w:t>
      </w:r>
      <w:r>
        <w:rPr>
          <w:spacing w:val="19"/>
        </w:rPr>
        <w:t> </w:t>
      </w:r>
      <w:r>
        <w:rPr/>
        <w:t>target</w:t>
      </w:r>
      <w:r>
        <w:rPr>
          <w:spacing w:val="19"/>
        </w:rPr>
        <w:t> </w:t>
      </w:r>
      <w:r>
        <w:rPr/>
        <w:t>variable is significantly different from the distribution across the full dataset?”</w:t>
      </w:r>
      <w:r>
        <w:rPr>
          <w:spacing w:val="40"/>
        </w:rPr>
        <w:t> </w:t>
      </w:r>
      <w:r>
        <w:rPr/>
        <w:t>A CarenR rule does not say “this year will produce X mhl.”</w:t>
      </w:r>
      <w:r>
        <w:rPr>
          <w:spacing w:val="40"/>
        </w:rPr>
        <w:t> </w:t>
      </w:r>
      <w:r>
        <w:rPr/>
        <w:t>It says “in years satisfying these climate conditions, the </w:t>
      </w:r>
      <w:r>
        <w:rPr>
          <w:spacing w:val="-2"/>
        </w:rPr>
        <w:t>production</w:t>
      </w:r>
      <w:r>
        <w:rPr>
          <w:spacing w:val="-7"/>
        </w:rPr>
        <w:t> </w:t>
      </w:r>
      <w:r>
        <w:rPr>
          <w:spacing w:val="-2"/>
        </w:rPr>
        <w:t>distribution</w:t>
      </w:r>
      <w:r>
        <w:rPr>
          <w:spacing w:val="-7"/>
        </w:rPr>
        <w:t> </w:t>
      </w:r>
      <w:r>
        <w:rPr>
          <w:spacing w:val="-2"/>
        </w:rPr>
        <w:t>is</w:t>
      </w:r>
      <w:r>
        <w:rPr>
          <w:spacing w:val="-7"/>
        </w:rPr>
        <w:t> </w:t>
      </w:r>
      <w:r>
        <w:rPr>
          <w:spacing w:val="-2"/>
        </w:rPr>
        <w:t>shifted</w:t>
      </w:r>
      <w:r>
        <w:rPr>
          <w:spacing w:val="-7"/>
        </w:rPr>
        <w:t> </w:t>
      </w:r>
      <w:r>
        <w:rPr>
          <w:spacing w:val="-2"/>
        </w:rPr>
        <w:t>upward</w:t>
      </w:r>
      <w:r>
        <w:rPr>
          <w:spacing w:val="-7"/>
        </w:rPr>
        <w:t> </w:t>
      </w:r>
      <w:r>
        <w:rPr>
          <w:spacing w:val="-2"/>
        </w:rPr>
        <w:t>(or</w:t>
      </w:r>
      <w:r>
        <w:rPr>
          <w:spacing w:val="-7"/>
        </w:rPr>
        <w:t> </w:t>
      </w:r>
      <w:r>
        <w:rPr>
          <w:spacing w:val="-2"/>
        </w:rPr>
        <w:t>downward)</w:t>
      </w:r>
      <w:r>
        <w:rPr>
          <w:spacing w:val="-7"/>
        </w:rPr>
        <w:t> </w:t>
      </w:r>
      <w:r>
        <w:rPr>
          <w:spacing w:val="-2"/>
        </w:rPr>
        <w:t>in</w:t>
      </w:r>
      <w:r>
        <w:rPr>
          <w:spacing w:val="-7"/>
        </w:rPr>
        <w:t> </w:t>
      </w:r>
      <w:r>
        <w:rPr>
          <w:spacing w:val="-2"/>
        </w:rPr>
        <w:t>a</w:t>
      </w:r>
      <w:r>
        <w:rPr>
          <w:spacing w:val="-7"/>
        </w:rPr>
        <w:t> </w:t>
      </w:r>
      <w:r>
        <w:rPr>
          <w:spacing w:val="-2"/>
        </w:rPr>
        <w:t>statistically</w:t>
      </w:r>
      <w:r>
        <w:rPr>
          <w:spacing w:val="-7"/>
        </w:rPr>
        <w:t> </w:t>
      </w:r>
      <w:r>
        <w:rPr>
          <w:spacing w:val="-2"/>
        </w:rPr>
        <w:t>significant</w:t>
      </w:r>
      <w:r>
        <w:rPr>
          <w:spacing w:val="-7"/>
        </w:rPr>
        <w:t> </w:t>
      </w:r>
      <w:r>
        <w:rPr>
          <w:spacing w:val="-2"/>
        </w:rPr>
        <w:t>way,</w:t>
      </w:r>
      <w:r>
        <w:rPr>
          <w:spacing w:val="-7"/>
        </w:rPr>
        <w:t> </w:t>
      </w:r>
      <w:r>
        <w:rPr>
          <w:spacing w:val="-2"/>
        </w:rPr>
        <w:t>the</w:t>
      </w:r>
      <w:r>
        <w:rPr>
          <w:spacing w:val="-7"/>
        </w:rPr>
        <w:t> </w:t>
      </w:r>
      <w:r>
        <w:rPr>
          <w:spacing w:val="-2"/>
        </w:rPr>
        <w:t>entire </w:t>
      </w:r>
      <w:r>
        <w:rPr/>
        <w:t>distributional shape is different — not just the mean.” This distinction between point prediction and distributional shift is fundamental to understanding both the strengths and the limitations of </w:t>
      </w:r>
      <w:r>
        <w:rPr>
          <w:spacing w:val="-2"/>
        </w:rPr>
        <w:t>CarenR.</w:t>
      </w:r>
    </w:p>
    <w:p>
      <w:pPr>
        <w:pStyle w:val="BodyText"/>
        <w:spacing w:line="312" w:lineRule="auto" w:before="14"/>
        <w:ind w:left="142" w:right="1519" w:firstLine="338"/>
        <w:jc w:val="both"/>
      </w:pPr>
      <w:r>
        <w:rPr>
          <w:b/>
        </w:rPr>
        <w:t>Step 1: Feature discretisation.</w:t>
      </w:r>
      <w:r>
        <w:rPr>
          <w:b/>
          <w:spacing w:val="40"/>
        </w:rPr>
        <w:t> </w:t>
      </w:r>
      <w:r>
        <w:rPr/>
        <w:t>CarenR requires discrete (ordinal) input features.</w:t>
      </w:r>
      <w:r>
        <w:rPr>
          <w:spacing w:val="40"/>
        </w:rPr>
        <w:t> </w:t>
      </w:r>
      <w:r>
        <w:rPr/>
        <w:t>Each continuous</w:t>
      </w:r>
      <w:r>
        <w:rPr>
          <w:spacing w:val="-7"/>
        </w:rPr>
        <w:t> </w:t>
      </w:r>
      <w:r>
        <w:rPr/>
        <w:t>climate</w:t>
      </w:r>
      <w:r>
        <w:rPr>
          <w:spacing w:val="-7"/>
        </w:rPr>
        <w:t> </w:t>
      </w:r>
      <w:r>
        <w:rPr/>
        <w:t>feature</w:t>
      </w:r>
      <w:r>
        <w:rPr>
          <w:spacing w:val="-7"/>
        </w:rPr>
        <w:t> </w:t>
      </w:r>
      <w:r>
        <w:rPr/>
        <w:t>is</w:t>
      </w:r>
      <w:r>
        <w:rPr>
          <w:spacing w:val="-7"/>
        </w:rPr>
        <w:t> </w:t>
      </w:r>
      <w:r>
        <w:rPr/>
        <w:t>independently</w:t>
      </w:r>
      <w:r>
        <w:rPr>
          <w:spacing w:val="-7"/>
        </w:rPr>
        <w:t> </w:t>
      </w:r>
      <w:r>
        <w:rPr/>
        <w:t>discretised</w:t>
      </w:r>
      <w:r>
        <w:rPr>
          <w:spacing w:val="-7"/>
        </w:rPr>
        <w:t> </w:t>
      </w:r>
      <w:r>
        <w:rPr/>
        <w:t>into</w:t>
      </w:r>
      <w:r>
        <w:rPr>
          <w:spacing w:val="-7"/>
        </w:rPr>
        <w:t> </w:t>
      </w:r>
      <w:r>
        <w:rPr/>
        <w:t>four</w:t>
      </w:r>
      <w:r>
        <w:rPr>
          <w:spacing w:val="-7"/>
        </w:rPr>
        <w:t> </w:t>
      </w:r>
      <w:r>
        <w:rPr/>
        <w:t>equal-frequency</w:t>
      </w:r>
      <w:r>
        <w:rPr>
          <w:spacing w:val="-7"/>
        </w:rPr>
        <w:t> </w:t>
      </w:r>
      <w:r>
        <w:rPr/>
        <w:t>bins</w:t>
      </w:r>
      <w:r>
        <w:rPr>
          <w:spacing w:val="-7"/>
        </w:rPr>
        <w:t> </w:t>
      </w:r>
      <w:r>
        <w:rPr/>
        <w:t>(quartiles). Equal-frequency binning ensures that each bin contains approximately the same number of ob-servations, avoiding sparse bins at extreme values that would make the KS test unreliable.</w:t>
      </w:r>
      <w:r>
        <w:rPr>
          <w:spacing w:val="40"/>
        </w:rPr>
        <w:t> </w:t>
      </w:r>
      <w:r>
        <w:rPr/>
        <w:t>For example,</w:t>
      </w:r>
      <w:r>
        <w:rPr>
          <w:spacing w:val="-6"/>
        </w:rPr>
        <w:t> </w:t>
      </w:r>
      <w:r>
        <w:rPr/>
        <w:t>the</w:t>
      </w:r>
      <w:r>
        <w:rPr>
          <w:spacing w:val="-6"/>
        </w:rPr>
        <w:t> </w:t>
      </w:r>
      <w:r>
        <w:rPr/>
        <w:t>feature</w:t>
      </w:r>
      <w:r>
        <w:rPr>
          <w:spacing w:val="-6"/>
        </w:rPr>
        <w:t> </w:t>
      </w:r>
      <w:r>
        <w:rPr/>
        <w:t>swa_hv_y1_b20</w:t>
      </w:r>
      <w:r>
        <w:rPr>
          <w:spacing w:val="-6"/>
        </w:rPr>
        <w:t> </w:t>
      </w:r>
      <w:r>
        <w:rPr/>
        <w:t>(soil</w:t>
      </w:r>
      <w:r>
        <w:rPr>
          <w:spacing w:val="-6"/>
        </w:rPr>
        <w:t> </w:t>
      </w:r>
      <w:r>
        <w:rPr/>
        <w:t>water</w:t>
      </w:r>
      <w:r>
        <w:rPr>
          <w:spacing w:val="-6"/>
        </w:rPr>
        <w:t> </w:t>
      </w:r>
      <w:r>
        <w:rPr/>
        <w:t>at</w:t>
      </w:r>
      <w:r>
        <w:rPr>
          <w:spacing w:val="-6"/>
        </w:rPr>
        <w:t> </w:t>
      </w:r>
      <w:r>
        <w:rPr/>
        <w:t>harvest)</w:t>
      </w:r>
      <w:r>
        <w:rPr>
          <w:spacing w:val="-6"/>
        </w:rPr>
        <w:t> </w:t>
      </w:r>
      <w:r>
        <w:rPr/>
        <w:t>might</w:t>
      </w:r>
      <w:r>
        <w:rPr>
          <w:spacing w:val="-6"/>
        </w:rPr>
        <w:t> </w:t>
      </w:r>
      <w:r>
        <w:rPr/>
        <w:t>be</w:t>
      </w:r>
      <w:r>
        <w:rPr>
          <w:spacing w:val="-6"/>
        </w:rPr>
        <w:t> </w:t>
      </w:r>
      <w:r>
        <w:rPr/>
        <w:t>discretised</w:t>
      </w:r>
      <w:r>
        <w:rPr>
          <w:spacing w:val="-6"/>
        </w:rPr>
        <w:t> </w:t>
      </w:r>
      <w:r>
        <w:rPr/>
        <w:t>into</w:t>
      </w:r>
      <w:r>
        <w:rPr>
          <w:spacing w:val="-6"/>
        </w:rPr>
        <w:t> </w:t>
      </w:r>
      <w:r>
        <w:rPr/>
        <w:t>bins</w:t>
      </w:r>
      <w:r>
        <w:rPr>
          <w:spacing w:val="-6"/>
        </w:rPr>
        <w:t> </w:t>
      </w:r>
      <w:r>
        <w:rPr/>
        <w:t>[20–74 mm],</w:t>
      </w:r>
      <w:r>
        <w:rPr>
          <w:spacing w:val="-1"/>
        </w:rPr>
        <w:t> </w:t>
      </w:r>
      <w:r>
        <w:rPr/>
        <w:t>[74–101</w:t>
      </w:r>
      <w:r>
        <w:rPr>
          <w:spacing w:val="-1"/>
        </w:rPr>
        <w:t> </w:t>
      </w:r>
      <w:r>
        <w:rPr/>
        <w:t>mm],</w:t>
      </w:r>
      <w:r>
        <w:rPr>
          <w:spacing w:val="-1"/>
        </w:rPr>
        <w:t> </w:t>
      </w:r>
      <w:r>
        <w:rPr/>
        <w:t>[101–152</w:t>
      </w:r>
      <w:r>
        <w:rPr>
          <w:spacing w:val="-1"/>
        </w:rPr>
        <w:t> </w:t>
      </w:r>
      <w:r>
        <w:rPr/>
        <w:t>mm],</w:t>
      </w:r>
      <w:r>
        <w:rPr>
          <w:spacing w:val="-1"/>
        </w:rPr>
        <w:t> </w:t>
      </w:r>
      <w:r>
        <w:rPr/>
        <w:t>[152–350</w:t>
      </w:r>
      <w:r>
        <w:rPr>
          <w:spacing w:val="-1"/>
        </w:rPr>
        <w:t> </w:t>
      </w:r>
      <w:r>
        <w:rPr/>
        <w:t>mm],</w:t>
      </w:r>
      <w:r>
        <w:rPr>
          <w:spacing w:val="-1"/>
        </w:rPr>
        <w:t> </w:t>
      </w:r>
      <w:r>
        <w:rPr/>
        <w:t>each</w:t>
      </w:r>
      <w:r>
        <w:rPr>
          <w:spacing w:val="-1"/>
        </w:rPr>
        <w:t> </w:t>
      </w:r>
      <w:r>
        <w:rPr/>
        <w:t>containing</w:t>
      </w:r>
      <w:r>
        <w:rPr>
          <w:spacing w:val="-1"/>
        </w:rPr>
        <w:t> </w:t>
      </w:r>
      <w:r>
        <w:rPr/>
        <w:t>approximately</w:t>
      </w:r>
      <w:r>
        <w:rPr>
          <w:spacing w:val="-1"/>
        </w:rPr>
        <w:t> </w:t>
      </w:r>
      <w:r>
        <w:rPr/>
        <w:t>22</w:t>
      </w:r>
      <w:r>
        <w:rPr>
          <w:spacing w:val="-1"/>
        </w:rPr>
        <w:t> </w:t>
      </w:r>
      <w:r>
        <w:rPr/>
        <w:t>of</w:t>
      </w:r>
      <w:r>
        <w:rPr>
          <w:spacing w:val="-1"/>
        </w:rPr>
        <w:t> </w:t>
      </w:r>
      <w:r>
        <w:rPr/>
        <w:t>the</w:t>
      </w:r>
      <w:r>
        <w:rPr>
          <w:spacing w:val="-1"/>
        </w:rPr>
        <w:t> </w:t>
      </w:r>
      <w:r>
        <w:rPr/>
        <w:t>89 </w:t>
      </w:r>
      <w:r>
        <w:rPr>
          <w:spacing w:val="-2"/>
        </w:rPr>
        <w:t>RDD</w:t>
      </w:r>
      <w:r>
        <w:rPr>
          <w:spacing w:val="-8"/>
        </w:rPr>
        <w:t> </w:t>
      </w:r>
      <w:r>
        <w:rPr>
          <w:spacing w:val="-2"/>
        </w:rPr>
        <w:t>observations.</w:t>
      </w:r>
      <w:r>
        <w:rPr/>
        <w:t> </w:t>
      </w:r>
      <w:r>
        <w:rPr>
          <w:spacing w:val="-2"/>
        </w:rPr>
        <w:t>For</w:t>
      </w:r>
      <w:r>
        <w:rPr>
          <w:spacing w:val="-8"/>
        </w:rPr>
        <w:t> </w:t>
      </w:r>
      <w:r>
        <w:rPr>
          <w:spacing w:val="-2"/>
        </w:rPr>
        <w:t>Goal</w:t>
      </w:r>
      <w:r>
        <w:rPr>
          <w:spacing w:val="-8"/>
        </w:rPr>
        <w:t> </w:t>
      </w:r>
      <w:r>
        <w:rPr>
          <w:spacing w:val="-2"/>
        </w:rPr>
        <w:t>1</w:t>
      </w:r>
      <w:r>
        <w:rPr>
          <w:spacing w:val="-8"/>
        </w:rPr>
        <w:t> </w:t>
      </w:r>
      <w:r>
        <w:rPr>
          <w:spacing w:val="-2"/>
        </w:rPr>
        <w:t>(Rule</w:t>
      </w:r>
      <w:r>
        <w:rPr>
          <w:spacing w:val="-8"/>
        </w:rPr>
        <w:t> </w:t>
      </w:r>
      <w:r>
        <w:rPr>
          <w:spacing w:val="-2"/>
        </w:rPr>
        <w:t>Discovery),</w:t>
      </w:r>
      <w:r>
        <w:rPr>
          <w:spacing w:val="-7"/>
        </w:rPr>
        <w:t> </w:t>
      </w:r>
      <w:r>
        <w:rPr>
          <w:spacing w:val="-2"/>
        </w:rPr>
        <w:t>bin</w:t>
      </w:r>
      <w:r>
        <w:rPr>
          <w:spacing w:val="-8"/>
        </w:rPr>
        <w:t> </w:t>
      </w:r>
      <w:r>
        <w:rPr>
          <w:spacing w:val="-2"/>
        </w:rPr>
        <w:t>boundaries</w:t>
      </w:r>
      <w:r>
        <w:rPr>
          <w:spacing w:val="-8"/>
        </w:rPr>
        <w:t> </w:t>
      </w:r>
      <w:r>
        <w:rPr>
          <w:spacing w:val="-2"/>
        </w:rPr>
        <w:t>are</w:t>
      </w:r>
      <w:r>
        <w:rPr>
          <w:spacing w:val="-8"/>
        </w:rPr>
        <w:t> </w:t>
      </w:r>
      <w:r>
        <w:rPr>
          <w:spacing w:val="-2"/>
        </w:rPr>
        <w:t>computed</w:t>
      </w:r>
      <w:r>
        <w:rPr>
          <w:spacing w:val="-8"/>
        </w:rPr>
        <w:t> </w:t>
      </w:r>
      <w:r>
        <w:rPr>
          <w:spacing w:val="-2"/>
        </w:rPr>
        <w:t>on</w:t>
      </w:r>
      <w:r>
        <w:rPr>
          <w:spacing w:val="-8"/>
        </w:rPr>
        <w:t> </w:t>
      </w:r>
      <w:r>
        <w:rPr>
          <w:spacing w:val="-2"/>
        </w:rPr>
        <w:t>the</w:t>
      </w:r>
      <w:r>
        <w:rPr>
          <w:spacing w:val="-8"/>
        </w:rPr>
        <w:t> </w:t>
      </w:r>
      <w:r>
        <w:rPr>
          <w:spacing w:val="-2"/>
        </w:rPr>
        <w:t>full</w:t>
      </w:r>
      <w:r>
        <w:rPr>
          <w:spacing w:val="-8"/>
        </w:rPr>
        <w:t> </w:t>
      </w:r>
      <w:r>
        <w:rPr>
          <w:spacing w:val="-2"/>
        </w:rPr>
        <w:t>historical</w:t>
      </w:r>
    </w:p>
    <w:p>
      <w:pPr>
        <w:pStyle w:val="BodyText"/>
        <w:spacing w:after="0" w:line="312" w:lineRule="auto"/>
        <w:jc w:val="both"/>
        <w:sectPr>
          <w:pgSz w:w="11910" w:h="16840"/>
          <w:pgMar w:header="1160" w:footer="0" w:top="1420" w:bottom="280" w:left="1275" w:right="425"/>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2"/>
        <w:rPr>
          <w:sz w:val="20"/>
        </w:rPr>
      </w:pPr>
    </w:p>
    <w:p>
      <w:pPr>
        <w:spacing w:before="1"/>
        <w:ind w:left="601" w:right="888" w:firstLine="0"/>
        <w:jc w:val="center"/>
        <w:rPr>
          <w:sz w:val="20"/>
        </w:rPr>
      </w:pPr>
      <w:bookmarkStart w:name="_bookmark38" w:id="77"/>
      <w:bookmarkEnd w:id="77"/>
      <w:r>
        <w:rPr/>
      </w:r>
      <w:r>
        <w:rPr>
          <w:b/>
          <w:sz w:val="20"/>
        </w:rPr>
        <w:t>Table</w:t>
      </w:r>
      <w:r>
        <w:rPr>
          <w:b/>
          <w:spacing w:val="-9"/>
          <w:sz w:val="20"/>
        </w:rPr>
        <w:t> </w:t>
      </w:r>
      <w:r>
        <w:rPr>
          <w:b/>
          <w:sz w:val="20"/>
        </w:rPr>
        <w:t>3.2:</w:t>
      </w:r>
      <w:r>
        <w:rPr>
          <w:b/>
          <w:spacing w:val="3"/>
          <w:sz w:val="20"/>
        </w:rPr>
        <w:t> </w:t>
      </w:r>
      <w:r>
        <w:rPr>
          <w:sz w:val="20"/>
        </w:rPr>
        <w:t>Comparison</w:t>
      </w:r>
      <w:r>
        <w:rPr>
          <w:spacing w:val="-8"/>
          <w:sz w:val="20"/>
        </w:rPr>
        <w:t> </w:t>
      </w:r>
      <w:r>
        <w:rPr>
          <w:sz w:val="20"/>
        </w:rPr>
        <w:t>of</w:t>
      </w:r>
      <w:r>
        <w:rPr>
          <w:spacing w:val="-8"/>
          <w:sz w:val="20"/>
        </w:rPr>
        <w:t> </w:t>
      </w:r>
      <w:r>
        <w:rPr>
          <w:sz w:val="20"/>
        </w:rPr>
        <w:t>the</w:t>
      </w:r>
      <w:r>
        <w:rPr>
          <w:spacing w:val="-9"/>
          <w:sz w:val="20"/>
        </w:rPr>
        <w:t> </w:t>
      </w:r>
      <w:r>
        <w:rPr>
          <w:sz w:val="20"/>
        </w:rPr>
        <w:t>three</w:t>
      </w:r>
      <w:r>
        <w:rPr>
          <w:spacing w:val="-8"/>
          <w:sz w:val="20"/>
        </w:rPr>
        <w:t> </w:t>
      </w:r>
      <w:r>
        <w:rPr>
          <w:sz w:val="20"/>
        </w:rPr>
        <w:t>rule-learning</w:t>
      </w:r>
      <w:r>
        <w:rPr>
          <w:spacing w:val="-8"/>
          <w:sz w:val="20"/>
        </w:rPr>
        <w:t> </w:t>
      </w:r>
      <w:r>
        <w:rPr>
          <w:sz w:val="20"/>
        </w:rPr>
        <w:t>algorithms:</w:t>
      </w:r>
      <w:r>
        <w:rPr>
          <w:spacing w:val="3"/>
          <w:sz w:val="20"/>
        </w:rPr>
        <w:t> </w:t>
      </w:r>
      <w:r>
        <w:rPr>
          <w:sz w:val="20"/>
        </w:rPr>
        <w:t>CarenR,</w:t>
      </w:r>
      <w:r>
        <w:rPr>
          <w:spacing w:val="-9"/>
          <w:sz w:val="20"/>
        </w:rPr>
        <w:t> </w:t>
      </w:r>
      <w:r>
        <w:rPr>
          <w:sz w:val="20"/>
        </w:rPr>
        <w:t>RIPPER,</w:t>
      </w:r>
      <w:r>
        <w:rPr>
          <w:spacing w:val="-8"/>
          <w:sz w:val="20"/>
        </w:rPr>
        <w:t> </w:t>
      </w:r>
      <w:r>
        <w:rPr>
          <w:sz w:val="20"/>
        </w:rPr>
        <w:t>and</w:t>
      </w:r>
      <w:r>
        <w:rPr>
          <w:spacing w:val="-8"/>
          <w:sz w:val="20"/>
        </w:rPr>
        <w:t> </w:t>
      </w:r>
      <w:r>
        <w:rPr>
          <w:spacing w:val="-2"/>
          <w:sz w:val="20"/>
        </w:rPr>
        <w:t>M5Rules.</w:t>
      </w:r>
    </w:p>
    <w:p>
      <w:pPr>
        <w:pStyle w:val="BodyText"/>
        <w:spacing w:before="6"/>
        <w:rPr>
          <w:sz w:val="20"/>
        </w:rPr>
      </w:pPr>
    </w:p>
    <w:tbl>
      <w:tblPr>
        <w:tblW w:w="0" w:type="auto"/>
        <w:jc w:val="left"/>
        <w:tblInd w:w="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8"/>
        <w:gridCol w:w="458"/>
        <w:gridCol w:w="2185"/>
        <w:gridCol w:w="2191"/>
        <w:gridCol w:w="2172"/>
      </w:tblGrid>
      <w:tr>
        <w:trPr>
          <w:trHeight w:val="406" w:hRule="atLeast"/>
        </w:trPr>
        <w:tc>
          <w:tcPr>
            <w:tcW w:w="1498" w:type="dxa"/>
            <w:tcBorders>
              <w:top w:val="single" w:sz="8" w:space="0" w:color="000000"/>
              <w:bottom w:val="single" w:sz="6" w:space="0" w:color="000000"/>
            </w:tcBorders>
          </w:tcPr>
          <w:p>
            <w:pPr>
              <w:pStyle w:val="TableParagraph"/>
              <w:spacing w:before="90"/>
              <w:ind w:left="119"/>
              <w:rPr>
                <w:b/>
                <w:sz w:val="20"/>
              </w:rPr>
            </w:pPr>
            <w:r>
              <w:rPr>
                <w:b/>
                <w:spacing w:val="-2"/>
                <w:sz w:val="20"/>
              </w:rPr>
              <w:t>Property</w:t>
            </w:r>
          </w:p>
        </w:tc>
        <w:tc>
          <w:tcPr>
            <w:tcW w:w="458" w:type="dxa"/>
            <w:tcBorders>
              <w:top w:val="single" w:sz="8" w:space="0" w:color="000000"/>
              <w:bottom w:val="single" w:sz="6" w:space="0" w:color="000000"/>
            </w:tcBorders>
          </w:tcPr>
          <w:p>
            <w:pPr>
              <w:pStyle w:val="TableParagraph"/>
              <w:spacing w:before="0"/>
              <w:rPr>
                <w:sz w:val="20"/>
              </w:rPr>
            </w:pPr>
          </w:p>
        </w:tc>
        <w:tc>
          <w:tcPr>
            <w:tcW w:w="2185" w:type="dxa"/>
            <w:tcBorders>
              <w:top w:val="single" w:sz="8" w:space="0" w:color="000000"/>
              <w:bottom w:val="single" w:sz="6" w:space="0" w:color="000000"/>
            </w:tcBorders>
          </w:tcPr>
          <w:p>
            <w:pPr>
              <w:pStyle w:val="TableParagraph"/>
              <w:spacing w:before="90"/>
              <w:ind w:left="103"/>
              <w:rPr>
                <w:b/>
                <w:sz w:val="20"/>
              </w:rPr>
            </w:pPr>
            <w:r>
              <w:rPr>
                <w:b/>
                <w:spacing w:val="-2"/>
                <w:sz w:val="20"/>
              </w:rPr>
              <w:t>CarenR</w:t>
            </w:r>
          </w:p>
        </w:tc>
        <w:tc>
          <w:tcPr>
            <w:tcW w:w="2191" w:type="dxa"/>
            <w:tcBorders>
              <w:top w:val="single" w:sz="8" w:space="0" w:color="000000"/>
              <w:bottom w:val="single" w:sz="6" w:space="0" w:color="000000"/>
            </w:tcBorders>
          </w:tcPr>
          <w:p>
            <w:pPr>
              <w:pStyle w:val="TableParagraph"/>
              <w:spacing w:before="90"/>
              <w:ind w:left="106"/>
              <w:rPr>
                <w:b/>
                <w:sz w:val="20"/>
              </w:rPr>
            </w:pPr>
            <w:r>
              <w:rPr>
                <w:b/>
                <w:spacing w:val="-2"/>
                <w:sz w:val="20"/>
              </w:rPr>
              <w:t>RIPPER</w:t>
            </w:r>
          </w:p>
        </w:tc>
        <w:tc>
          <w:tcPr>
            <w:tcW w:w="2172" w:type="dxa"/>
            <w:tcBorders>
              <w:top w:val="single" w:sz="8" w:space="0" w:color="000000"/>
              <w:bottom w:val="single" w:sz="6" w:space="0" w:color="000000"/>
            </w:tcBorders>
          </w:tcPr>
          <w:p>
            <w:pPr>
              <w:pStyle w:val="TableParagraph"/>
              <w:spacing w:before="90"/>
              <w:ind w:left="103"/>
              <w:rPr>
                <w:b/>
                <w:sz w:val="20"/>
              </w:rPr>
            </w:pPr>
            <w:r>
              <w:rPr>
                <w:b/>
                <w:spacing w:val="-2"/>
                <w:sz w:val="20"/>
              </w:rPr>
              <w:t>M5Rules</w:t>
            </w:r>
          </w:p>
        </w:tc>
      </w:tr>
      <w:tr>
        <w:trPr>
          <w:trHeight w:val="603" w:hRule="atLeast"/>
        </w:trPr>
        <w:tc>
          <w:tcPr>
            <w:tcW w:w="1498" w:type="dxa"/>
            <w:tcBorders>
              <w:top w:val="single" w:sz="6" w:space="0" w:color="000000"/>
            </w:tcBorders>
          </w:tcPr>
          <w:p>
            <w:pPr>
              <w:pStyle w:val="TableParagraph"/>
              <w:spacing w:before="90"/>
              <w:ind w:left="119"/>
              <w:rPr>
                <w:b/>
                <w:sz w:val="20"/>
              </w:rPr>
            </w:pPr>
            <w:r>
              <w:rPr>
                <w:b/>
                <w:spacing w:val="-4"/>
                <w:sz w:val="20"/>
              </w:rPr>
              <w:t>Task</w:t>
            </w:r>
            <w:r>
              <w:rPr>
                <w:b/>
                <w:spacing w:val="-9"/>
                <w:sz w:val="20"/>
              </w:rPr>
              <w:t> </w:t>
            </w:r>
            <w:r>
              <w:rPr>
                <w:b/>
                <w:spacing w:val="-4"/>
                <w:sz w:val="20"/>
              </w:rPr>
              <w:t>type</w:t>
            </w:r>
          </w:p>
        </w:tc>
        <w:tc>
          <w:tcPr>
            <w:tcW w:w="458" w:type="dxa"/>
            <w:tcBorders>
              <w:top w:val="single" w:sz="6" w:space="0" w:color="000000"/>
            </w:tcBorders>
          </w:tcPr>
          <w:p>
            <w:pPr>
              <w:pStyle w:val="TableParagraph"/>
              <w:spacing w:before="0"/>
              <w:rPr>
                <w:sz w:val="20"/>
              </w:rPr>
            </w:pPr>
          </w:p>
        </w:tc>
        <w:tc>
          <w:tcPr>
            <w:tcW w:w="2185" w:type="dxa"/>
            <w:tcBorders>
              <w:top w:val="single" w:sz="6" w:space="0" w:color="000000"/>
            </w:tcBorders>
          </w:tcPr>
          <w:p>
            <w:pPr>
              <w:pStyle w:val="TableParagraph"/>
              <w:spacing w:line="249" w:lineRule="auto" w:before="90"/>
              <w:ind w:left="103"/>
              <w:rPr>
                <w:sz w:val="20"/>
              </w:rPr>
            </w:pPr>
            <w:r>
              <w:rPr>
                <w:sz w:val="20"/>
              </w:rPr>
              <w:t>Distributional </w:t>
            </w:r>
            <w:r>
              <w:rPr>
                <w:sz w:val="20"/>
              </w:rPr>
              <w:t>subgroup </w:t>
            </w:r>
            <w:r>
              <w:rPr>
                <w:spacing w:val="-2"/>
                <w:sz w:val="20"/>
              </w:rPr>
              <w:t>discovery</w:t>
            </w:r>
          </w:p>
        </w:tc>
        <w:tc>
          <w:tcPr>
            <w:tcW w:w="2191" w:type="dxa"/>
            <w:tcBorders>
              <w:top w:val="single" w:sz="6" w:space="0" w:color="000000"/>
            </w:tcBorders>
          </w:tcPr>
          <w:p>
            <w:pPr>
              <w:pStyle w:val="TableParagraph"/>
              <w:spacing w:line="249" w:lineRule="auto" w:before="90"/>
              <w:ind w:left="106"/>
              <w:rPr>
                <w:sz w:val="20"/>
              </w:rPr>
            </w:pPr>
            <w:r>
              <w:rPr>
                <w:sz w:val="20"/>
              </w:rPr>
              <w:t>Classification</w:t>
            </w:r>
            <w:r>
              <w:rPr>
                <w:spacing w:val="-13"/>
                <w:sz w:val="20"/>
              </w:rPr>
              <w:t> </w:t>
            </w:r>
            <w:r>
              <w:rPr>
                <w:sz w:val="20"/>
              </w:rPr>
              <w:t>rule</w:t>
            </w:r>
            <w:r>
              <w:rPr>
                <w:spacing w:val="-12"/>
                <w:sz w:val="20"/>
              </w:rPr>
              <w:t> </w:t>
            </w:r>
            <w:r>
              <w:rPr>
                <w:sz w:val="20"/>
              </w:rPr>
              <w:t>learn-</w:t>
            </w:r>
            <w:r>
              <w:rPr>
                <w:spacing w:val="-4"/>
                <w:sz w:val="20"/>
              </w:rPr>
              <w:t>ing</w:t>
            </w:r>
          </w:p>
        </w:tc>
        <w:tc>
          <w:tcPr>
            <w:tcW w:w="2172" w:type="dxa"/>
            <w:tcBorders>
              <w:top w:val="single" w:sz="6" w:space="0" w:color="000000"/>
            </w:tcBorders>
          </w:tcPr>
          <w:p>
            <w:pPr>
              <w:pStyle w:val="TableParagraph"/>
              <w:spacing w:line="249" w:lineRule="auto" w:before="90"/>
              <w:ind w:left="103"/>
              <w:rPr>
                <w:sz w:val="20"/>
              </w:rPr>
            </w:pPr>
            <w:r>
              <w:rPr>
                <w:sz w:val="20"/>
              </w:rPr>
              <w:t>Piecewise linear </w:t>
            </w:r>
            <w:r>
              <w:rPr>
                <w:sz w:val="20"/>
              </w:rPr>
              <w:t>regres-</w:t>
            </w:r>
            <w:r>
              <w:rPr>
                <w:spacing w:val="-4"/>
                <w:sz w:val="20"/>
              </w:rPr>
              <w:t>sion</w:t>
            </w:r>
          </w:p>
        </w:tc>
      </w:tr>
      <w:tr>
        <w:trPr>
          <w:trHeight w:val="549" w:hRule="atLeast"/>
        </w:trPr>
        <w:tc>
          <w:tcPr>
            <w:tcW w:w="1498" w:type="dxa"/>
          </w:tcPr>
          <w:p>
            <w:pPr>
              <w:pStyle w:val="TableParagraph"/>
              <w:spacing w:before="36"/>
              <w:ind w:left="119"/>
              <w:rPr>
                <w:b/>
                <w:sz w:val="20"/>
              </w:rPr>
            </w:pPr>
            <w:r>
              <w:rPr>
                <w:b/>
                <w:spacing w:val="-4"/>
                <w:sz w:val="20"/>
              </w:rPr>
              <w:t>Target </w:t>
            </w:r>
            <w:r>
              <w:rPr>
                <w:b/>
                <w:spacing w:val="-2"/>
                <w:sz w:val="20"/>
              </w:rPr>
              <w:t>variable</w:t>
            </w:r>
          </w:p>
        </w:tc>
        <w:tc>
          <w:tcPr>
            <w:tcW w:w="458" w:type="dxa"/>
          </w:tcPr>
          <w:p>
            <w:pPr>
              <w:pStyle w:val="TableParagraph"/>
              <w:spacing w:before="0"/>
              <w:rPr>
                <w:sz w:val="20"/>
              </w:rPr>
            </w:pPr>
          </w:p>
        </w:tc>
        <w:tc>
          <w:tcPr>
            <w:tcW w:w="2185" w:type="dxa"/>
          </w:tcPr>
          <w:p>
            <w:pPr>
              <w:pStyle w:val="TableParagraph"/>
              <w:spacing w:line="249" w:lineRule="auto" w:before="36"/>
              <w:ind w:left="103"/>
              <w:rPr>
                <w:sz w:val="20"/>
              </w:rPr>
            </w:pPr>
            <w:r>
              <w:rPr>
                <w:sz w:val="20"/>
              </w:rPr>
              <w:t>Continuous</w:t>
            </w:r>
            <w:r>
              <w:rPr>
                <w:spacing w:val="80"/>
                <w:sz w:val="20"/>
              </w:rPr>
              <w:t> </w:t>
            </w:r>
            <w:r>
              <w:rPr>
                <w:sz w:val="20"/>
              </w:rPr>
              <w:t>(detrended </w:t>
            </w:r>
            <w:r>
              <w:rPr>
                <w:spacing w:val="-2"/>
                <w:sz w:val="20"/>
              </w:rPr>
              <w:t>residuals)</w:t>
            </w:r>
          </w:p>
        </w:tc>
        <w:tc>
          <w:tcPr>
            <w:tcW w:w="2191" w:type="dxa"/>
          </w:tcPr>
          <w:p>
            <w:pPr>
              <w:pStyle w:val="TableParagraph"/>
              <w:spacing w:before="36"/>
              <w:ind w:left="106"/>
              <w:rPr>
                <w:sz w:val="20"/>
              </w:rPr>
            </w:pPr>
            <w:r>
              <w:rPr>
                <w:spacing w:val="-2"/>
                <w:sz w:val="20"/>
              </w:rPr>
              <w:t>Discretised</w:t>
            </w:r>
            <w:r>
              <w:rPr>
                <w:spacing w:val="3"/>
                <w:sz w:val="20"/>
              </w:rPr>
              <w:t> </w:t>
            </w:r>
            <w:r>
              <w:rPr>
                <w:spacing w:val="-2"/>
                <w:sz w:val="20"/>
              </w:rPr>
              <w:t>classes</w:t>
            </w:r>
            <w:r>
              <w:rPr>
                <w:spacing w:val="3"/>
                <w:sz w:val="20"/>
              </w:rPr>
              <w:t> </w:t>
            </w:r>
            <w:r>
              <w:rPr>
                <w:spacing w:val="-4"/>
                <w:sz w:val="20"/>
              </w:rPr>
              <w:t>(Low</w:t>
            </w:r>
          </w:p>
          <w:p>
            <w:pPr>
              <w:pStyle w:val="TableParagraph"/>
              <w:spacing w:before="9"/>
              <w:ind w:left="100"/>
              <w:rPr>
                <w:sz w:val="20"/>
              </w:rPr>
            </w:pPr>
            <w:r>
              <w:rPr>
                <w:sz w:val="20"/>
              </w:rPr>
              <w:t>/</w:t>
            </w:r>
            <w:r>
              <w:rPr>
                <w:spacing w:val="-3"/>
                <w:sz w:val="20"/>
              </w:rPr>
              <w:t> </w:t>
            </w:r>
            <w:r>
              <w:rPr>
                <w:sz w:val="20"/>
              </w:rPr>
              <w:t>Med</w:t>
            </w:r>
            <w:r>
              <w:rPr>
                <w:spacing w:val="-3"/>
                <w:sz w:val="20"/>
              </w:rPr>
              <w:t> </w:t>
            </w:r>
            <w:r>
              <w:rPr>
                <w:sz w:val="20"/>
              </w:rPr>
              <w:t>/</w:t>
            </w:r>
            <w:r>
              <w:rPr>
                <w:spacing w:val="-2"/>
                <w:sz w:val="20"/>
              </w:rPr>
              <w:t> High)</w:t>
            </w:r>
          </w:p>
        </w:tc>
        <w:tc>
          <w:tcPr>
            <w:tcW w:w="2172" w:type="dxa"/>
          </w:tcPr>
          <w:p>
            <w:pPr>
              <w:pStyle w:val="TableParagraph"/>
              <w:spacing w:line="249" w:lineRule="auto" w:before="36"/>
              <w:ind w:left="103"/>
              <w:rPr>
                <w:sz w:val="20"/>
              </w:rPr>
            </w:pPr>
            <w:r>
              <w:rPr>
                <w:sz w:val="20"/>
              </w:rPr>
              <w:t>Continuous</w:t>
            </w:r>
            <w:r>
              <w:rPr>
                <w:spacing w:val="80"/>
                <w:sz w:val="20"/>
              </w:rPr>
              <w:t> </w:t>
            </w:r>
            <w:r>
              <w:rPr>
                <w:sz w:val="20"/>
              </w:rPr>
              <w:t>(detrended </w:t>
            </w:r>
            <w:r>
              <w:rPr>
                <w:spacing w:val="-2"/>
                <w:sz w:val="20"/>
              </w:rPr>
              <w:t>residuals)</w:t>
            </w:r>
          </w:p>
        </w:tc>
      </w:tr>
      <w:tr>
        <w:trPr>
          <w:trHeight w:val="757" w:hRule="atLeast"/>
        </w:trPr>
        <w:tc>
          <w:tcPr>
            <w:tcW w:w="1498" w:type="dxa"/>
          </w:tcPr>
          <w:p>
            <w:pPr>
              <w:pStyle w:val="TableParagraph"/>
              <w:spacing w:line="249" w:lineRule="auto" w:before="36"/>
              <w:ind w:left="119"/>
              <w:rPr>
                <w:b/>
                <w:sz w:val="20"/>
              </w:rPr>
            </w:pPr>
            <w:r>
              <w:rPr>
                <w:b/>
                <w:sz w:val="20"/>
              </w:rPr>
              <w:t>Core</w:t>
            </w:r>
            <w:r>
              <w:rPr>
                <w:b/>
                <w:spacing w:val="73"/>
                <w:sz w:val="20"/>
              </w:rPr>
              <w:t> </w:t>
            </w:r>
            <w:r>
              <w:rPr>
                <w:b/>
                <w:sz w:val="20"/>
              </w:rPr>
              <w:t>question </w:t>
            </w:r>
            <w:r>
              <w:rPr>
                <w:b/>
                <w:spacing w:val="-2"/>
                <w:sz w:val="20"/>
              </w:rPr>
              <w:t>swered</w:t>
            </w:r>
          </w:p>
        </w:tc>
        <w:tc>
          <w:tcPr>
            <w:tcW w:w="458" w:type="dxa"/>
          </w:tcPr>
          <w:p>
            <w:pPr>
              <w:pStyle w:val="TableParagraph"/>
              <w:spacing w:before="36"/>
              <w:ind w:left="73"/>
              <w:rPr>
                <w:b/>
                <w:sz w:val="20"/>
              </w:rPr>
            </w:pPr>
            <w:r>
              <w:rPr>
                <w:b/>
                <w:spacing w:val="-5"/>
                <w:sz w:val="20"/>
              </w:rPr>
              <w:t>an-</w:t>
            </w:r>
          </w:p>
        </w:tc>
        <w:tc>
          <w:tcPr>
            <w:tcW w:w="2185" w:type="dxa"/>
          </w:tcPr>
          <w:p>
            <w:pPr>
              <w:pStyle w:val="TableParagraph"/>
              <w:spacing w:line="240" w:lineRule="atLeast" w:before="17"/>
              <w:ind w:left="103" w:right="97"/>
              <w:jc w:val="both"/>
              <w:rPr>
                <w:sz w:val="20"/>
              </w:rPr>
            </w:pPr>
            <w:r>
              <w:rPr>
                <w:sz w:val="20"/>
              </w:rPr>
              <w:t>When does the shape of the production </w:t>
            </w:r>
            <w:r>
              <w:rPr>
                <w:sz w:val="20"/>
              </w:rPr>
              <w:t>distribu-tion shift significantly?</w:t>
            </w:r>
          </w:p>
        </w:tc>
        <w:tc>
          <w:tcPr>
            <w:tcW w:w="2191" w:type="dxa"/>
          </w:tcPr>
          <w:p>
            <w:pPr>
              <w:pStyle w:val="TableParagraph"/>
              <w:spacing w:line="249" w:lineRule="auto" w:before="36"/>
              <w:ind w:left="106" w:right="106"/>
              <w:rPr>
                <w:sz w:val="20"/>
              </w:rPr>
            </w:pPr>
            <w:r>
              <w:rPr>
                <w:spacing w:val="-4"/>
                <w:sz w:val="20"/>
              </w:rPr>
              <w:t>Which</w:t>
            </w:r>
            <w:r>
              <w:rPr>
                <w:spacing w:val="-11"/>
                <w:sz w:val="20"/>
              </w:rPr>
              <w:t> </w:t>
            </w:r>
            <w:r>
              <w:rPr>
                <w:spacing w:val="-4"/>
                <w:sz w:val="20"/>
              </w:rPr>
              <w:t>climate</w:t>
            </w:r>
            <w:r>
              <w:rPr>
                <w:spacing w:val="-11"/>
                <w:sz w:val="20"/>
              </w:rPr>
              <w:t> </w:t>
            </w:r>
            <w:r>
              <w:rPr>
                <w:spacing w:val="-4"/>
                <w:sz w:val="20"/>
              </w:rPr>
              <w:t>class</w:t>
            </w:r>
            <w:r>
              <w:rPr>
                <w:spacing w:val="-11"/>
                <w:sz w:val="20"/>
              </w:rPr>
              <w:t> </w:t>
            </w:r>
            <w:r>
              <w:rPr>
                <w:spacing w:val="-4"/>
                <w:sz w:val="20"/>
              </w:rPr>
              <w:t>does </w:t>
            </w:r>
            <w:r>
              <w:rPr>
                <w:sz w:val="20"/>
              </w:rPr>
              <w:t>a year belong to?</w:t>
            </w:r>
          </w:p>
        </w:tc>
        <w:tc>
          <w:tcPr>
            <w:tcW w:w="2172" w:type="dxa"/>
          </w:tcPr>
          <w:p>
            <w:pPr>
              <w:pStyle w:val="TableParagraph"/>
              <w:spacing w:line="249" w:lineRule="auto" w:before="36"/>
              <w:ind w:left="103"/>
              <w:rPr>
                <w:sz w:val="20"/>
              </w:rPr>
            </w:pPr>
            <w:r>
              <w:rPr>
                <w:sz w:val="20"/>
              </w:rPr>
              <w:t>What</w:t>
            </w:r>
            <w:r>
              <w:rPr>
                <w:spacing w:val="40"/>
                <w:sz w:val="20"/>
              </w:rPr>
              <w:t> </w:t>
            </w:r>
            <w:r>
              <w:rPr>
                <w:sz w:val="20"/>
              </w:rPr>
              <w:t>exact</w:t>
            </w:r>
            <w:r>
              <w:rPr>
                <w:spacing w:val="40"/>
                <w:sz w:val="20"/>
              </w:rPr>
              <w:t> </w:t>
            </w:r>
            <w:r>
              <w:rPr>
                <w:sz w:val="20"/>
              </w:rPr>
              <w:t>production level does a year have?</w:t>
            </w:r>
          </w:p>
        </w:tc>
      </w:tr>
    </w:tbl>
    <w:p>
      <w:pPr>
        <w:pStyle w:val="TableParagraph"/>
        <w:spacing w:after="0" w:line="249" w:lineRule="auto"/>
        <w:rPr>
          <w:sz w:val="20"/>
        </w:rPr>
        <w:sectPr>
          <w:headerReference w:type="default" r:id="rId45"/>
          <w:headerReference w:type="even" r:id="rId46"/>
          <w:pgSz w:w="11910" w:h="16840"/>
          <w:pgMar w:header="1160" w:footer="0" w:top="1420" w:bottom="280" w:left="1275" w:right="425"/>
          <w:pgNumType w:start="19"/>
        </w:sectPr>
      </w:pPr>
    </w:p>
    <w:p>
      <w:pPr>
        <w:tabs>
          <w:tab w:pos="2768" w:val="left" w:leader="none"/>
        </w:tabs>
        <w:spacing w:before="60"/>
        <w:ind w:left="828" w:right="0" w:firstLine="0"/>
        <w:jc w:val="left"/>
        <w:rPr>
          <w:sz w:val="20"/>
        </w:rPr>
      </w:pPr>
      <w:r>
        <w:rPr>
          <w:b/>
          <w:sz w:val="20"/>
        </w:rPr>
        <w:t>Statistical</w:t>
      </w:r>
      <w:r>
        <w:rPr>
          <w:b/>
          <w:spacing w:val="-10"/>
          <w:sz w:val="20"/>
        </w:rPr>
        <w:t> </w:t>
      </w:r>
      <w:r>
        <w:rPr>
          <w:b/>
          <w:spacing w:val="-2"/>
          <w:sz w:val="20"/>
        </w:rPr>
        <w:t>criterion</w:t>
      </w:r>
      <w:r>
        <w:rPr>
          <w:b/>
          <w:sz w:val="20"/>
        </w:rPr>
        <w:tab/>
      </w:r>
      <w:r>
        <w:rPr>
          <w:sz w:val="20"/>
        </w:rPr>
        <w:t>Kolmogorov–</w:t>
      </w:r>
      <w:r>
        <w:rPr>
          <w:spacing w:val="-2"/>
          <w:sz w:val="20"/>
        </w:rPr>
        <w:t>Smirnov</w:t>
      </w:r>
    </w:p>
    <w:p>
      <w:pPr>
        <w:tabs>
          <w:tab w:pos="4435" w:val="left" w:leader="none"/>
        </w:tabs>
        <w:spacing w:line="199" w:lineRule="auto" w:before="40"/>
        <w:ind w:left="2762" w:right="31" w:firstLine="6"/>
        <w:jc w:val="left"/>
        <w:rPr>
          <w:sz w:val="20"/>
        </w:rPr>
      </w:pPr>
      <w:r>
        <w:rPr>
          <w:spacing w:val="-2"/>
          <w:sz w:val="20"/>
        </w:rPr>
        <w:t>two-sample</w:t>
      </w:r>
      <w:r>
        <w:rPr>
          <w:sz w:val="20"/>
        </w:rPr>
        <w:tab/>
      </w:r>
      <w:r>
        <w:rPr>
          <w:spacing w:val="-4"/>
          <w:sz w:val="20"/>
        </w:rPr>
        <w:t>test </w:t>
      </w:r>
      <w:r>
        <w:rPr>
          <w:sz w:val="20"/>
        </w:rPr>
        <w:t>(</w:t>
      </w:r>
      <w:r>
        <w:rPr>
          <w:i/>
          <w:sz w:val="20"/>
        </w:rPr>
        <w:t>p </w:t>
      </w:r>
      <w:r>
        <w:rPr>
          <w:rFonts w:ascii="Meiryo UI" w:hAnsi="Meiryo UI"/>
          <w:i/>
          <w:sz w:val="20"/>
        </w:rPr>
        <w:t>≤</w:t>
      </w:r>
      <w:r>
        <w:rPr>
          <w:rFonts w:ascii="Meiryo UI" w:hAnsi="Meiryo UI"/>
          <w:i/>
          <w:spacing w:val="-1"/>
          <w:sz w:val="20"/>
        </w:rPr>
        <w:t> </w:t>
      </w:r>
      <w:r>
        <w:rPr>
          <w:sz w:val="20"/>
        </w:rPr>
        <w:t>0</w:t>
      </w:r>
      <w:r>
        <w:rPr>
          <w:rFonts w:ascii="Meiryo UI" w:hAnsi="Meiryo UI"/>
          <w:i/>
          <w:sz w:val="20"/>
        </w:rPr>
        <w:t>.</w:t>
      </w:r>
      <w:r>
        <w:rPr>
          <w:sz w:val="20"/>
        </w:rPr>
        <w:t>10)</w:t>
      </w:r>
    </w:p>
    <w:p>
      <w:pPr>
        <w:tabs>
          <w:tab w:pos="2768" w:val="left" w:leader="none"/>
        </w:tabs>
        <w:spacing w:line="249" w:lineRule="auto" w:before="54"/>
        <w:ind w:left="2768" w:right="0" w:hanging="1940"/>
        <w:jc w:val="left"/>
        <w:rPr>
          <w:sz w:val="20"/>
        </w:rPr>
      </w:pPr>
      <w:r>
        <w:rPr>
          <w:b/>
          <w:sz w:val="20"/>
        </w:rPr>
        <w:t>Rule output</w:t>
        <w:tab/>
      </w:r>
      <w:r>
        <w:rPr>
          <w:sz w:val="20"/>
        </w:rPr>
        <w:t>IF</w:t>
      </w:r>
      <w:r>
        <w:rPr>
          <w:spacing w:val="-13"/>
          <w:sz w:val="20"/>
        </w:rPr>
        <w:t> </w:t>
      </w:r>
      <w:r>
        <w:rPr>
          <w:sz w:val="20"/>
        </w:rPr>
        <w:t>conditions</w:t>
      </w:r>
      <w:r>
        <w:rPr>
          <w:spacing w:val="-12"/>
          <w:sz w:val="20"/>
        </w:rPr>
        <w:t> </w:t>
      </w:r>
      <w:r>
        <w:rPr>
          <w:sz w:val="20"/>
        </w:rPr>
        <w:t>THEN</w:t>
      </w:r>
      <w:r>
        <w:rPr>
          <w:spacing w:val="-13"/>
          <w:sz w:val="20"/>
        </w:rPr>
        <w:t> </w:t>
      </w:r>
      <w:r>
        <w:rPr>
          <w:sz w:val="20"/>
        </w:rPr>
        <w:t>dis-</w:t>
      </w:r>
      <w:r>
        <w:rPr>
          <w:spacing w:val="-2"/>
          <w:sz w:val="20"/>
        </w:rPr>
        <w:t>tribution</w:t>
      </w:r>
      <w:r>
        <w:rPr>
          <w:spacing w:val="-9"/>
          <w:sz w:val="20"/>
        </w:rPr>
        <w:t> </w:t>
      </w:r>
      <w:r>
        <w:rPr>
          <w:spacing w:val="-2"/>
          <w:sz w:val="20"/>
        </w:rPr>
        <w:t>shifts</w:t>
      </w:r>
      <w:r>
        <w:rPr>
          <w:spacing w:val="-8"/>
          <w:sz w:val="20"/>
        </w:rPr>
        <w:t> </w:t>
      </w:r>
      <w:r>
        <w:rPr>
          <w:spacing w:val="-2"/>
          <w:sz w:val="20"/>
        </w:rPr>
        <w:t>up</w:t>
      </w:r>
      <w:r>
        <w:rPr>
          <w:spacing w:val="-8"/>
          <w:sz w:val="20"/>
        </w:rPr>
        <w:t> </w:t>
      </w:r>
      <w:r>
        <w:rPr>
          <w:spacing w:val="-2"/>
          <w:sz w:val="20"/>
        </w:rPr>
        <w:t>/</w:t>
      </w:r>
      <w:r>
        <w:rPr>
          <w:spacing w:val="-9"/>
          <w:sz w:val="20"/>
        </w:rPr>
        <w:t> </w:t>
      </w:r>
      <w:r>
        <w:rPr>
          <w:spacing w:val="-4"/>
          <w:sz w:val="20"/>
        </w:rPr>
        <w:t>down</w:t>
      </w:r>
    </w:p>
    <w:p>
      <w:pPr>
        <w:pStyle w:val="BodyText"/>
        <w:spacing w:before="80"/>
        <w:rPr>
          <w:sz w:val="20"/>
        </w:rPr>
      </w:pPr>
    </w:p>
    <w:p>
      <w:pPr>
        <w:tabs>
          <w:tab w:pos="2768" w:val="left" w:leader="none"/>
          <w:tab w:pos="4242" w:val="left" w:leader="none"/>
        </w:tabs>
        <w:spacing w:before="0"/>
        <w:ind w:left="828" w:right="0" w:firstLine="0"/>
        <w:jc w:val="left"/>
        <w:rPr>
          <w:sz w:val="20"/>
        </w:rPr>
      </w:pPr>
      <w:r>
        <w:rPr>
          <w:b/>
          <w:spacing w:val="-2"/>
          <w:sz w:val="20"/>
        </w:rPr>
        <w:t>Feature</w:t>
      </w:r>
      <w:r>
        <w:rPr>
          <w:b/>
          <w:spacing w:val="-3"/>
          <w:sz w:val="20"/>
        </w:rPr>
        <w:t> </w:t>
      </w:r>
      <w:r>
        <w:rPr>
          <w:b/>
          <w:spacing w:val="-2"/>
          <w:sz w:val="20"/>
        </w:rPr>
        <w:t>input</w:t>
      </w:r>
      <w:r>
        <w:rPr>
          <w:b/>
          <w:sz w:val="20"/>
        </w:rPr>
        <w:tab/>
      </w:r>
      <w:r>
        <w:rPr>
          <w:spacing w:val="-2"/>
          <w:sz w:val="20"/>
        </w:rPr>
        <w:t>Discretised</w:t>
      </w:r>
      <w:r>
        <w:rPr>
          <w:sz w:val="20"/>
        </w:rPr>
        <w:tab/>
      </w:r>
      <w:r>
        <w:rPr>
          <w:spacing w:val="-2"/>
          <w:sz w:val="20"/>
        </w:rPr>
        <w:t>equal-</w:t>
      </w:r>
    </w:p>
    <w:p>
      <w:pPr>
        <w:spacing w:before="9"/>
        <w:ind w:left="2768" w:right="0" w:firstLine="0"/>
        <w:jc w:val="left"/>
        <w:rPr>
          <w:sz w:val="20"/>
        </w:rPr>
      </w:pPr>
      <w:r>
        <w:rPr>
          <w:sz w:val="20"/>
        </w:rPr>
        <w:t>frequency</w:t>
      </w:r>
      <w:r>
        <w:rPr>
          <w:spacing w:val="-12"/>
          <w:sz w:val="20"/>
        </w:rPr>
        <w:t> </w:t>
      </w:r>
      <w:r>
        <w:rPr>
          <w:spacing w:val="-4"/>
          <w:sz w:val="20"/>
        </w:rPr>
        <w:t>bins</w:t>
      </w:r>
    </w:p>
    <w:p>
      <w:pPr>
        <w:tabs>
          <w:tab w:pos="2768" w:val="left" w:leader="none"/>
        </w:tabs>
        <w:spacing w:before="81"/>
        <w:ind w:left="828" w:right="0" w:firstLine="0"/>
        <w:jc w:val="left"/>
        <w:rPr>
          <w:sz w:val="20"/>
        </w:rPr>
      </w:pPr>
      <w:r>
        <w:rPr>
          <w:b/>
          <w:spacing w:val="-2"/>
          <w:sz w:val="20"/>
        </w:rPr>
        <w:t>Interpretability</w:t>
      </w:r>
      <w:r>
        <w:rPr>
          <w:b/>
          <w:sz w:val="20"/>
        </w:rPr>
        <w:tab/>
      </w:r>
      <w:r>
        <w:rPr>
          <w:sz w:val="20"/>
        </w:rPr>
        <w:t>Very</w:t>
      </w:r>
      <w:r>
        <w:rPr>
          <w:spacing w:val="72"/>
          <w:w w:val="150"/>
          <w:sz w:val="20"/>
        </w:rPr>
        <w:t> </w:t>
      </w:r>
      <w:r>
        <w:rPr>
          <w:sz w:val="20"/>
        </w:rPr>
        <w:t>high</w:t>
      </w:r>
      <w:r>
        <w:rPr>
          <w:spacing w:val="73"/>
          <w:w w:val="150"/>
          <w:sz w:val="20"/>
        </w:rPr>
        <w:t> </w:t>
      </w:r>
      <w:r>
        <w:rPr>
          <w:sz w:val="20"/>
        </w:rPr>
        <w:t>—</w:t>
      </w:r>
      <w:r>
        <w:rPr>
          <w:spacing w:val="72"/>
          <w:w w:val="150"/>
          <w:sz w:val="20"/>
        </w:rPr>
        <w:t> </w:t>
      </w:r>
      <w:r>
        <w:rPr>
          <w:spacing w:val="-2"/>
          <w:sz w:val="20"/>
        </w:rPr>
        <w:t>simple</w:t>
      </w:r>
    </w:p>
    <w:p>
      <w:pPr>
        <w:spacing w:line="249" w:lineRule="auto" w:before="9"/>
        <w:ind w:left="2768" w:right="0" w:firstLine="0"/>
        <w:jc w:val="left"/>
        <w:rPr>
          <w:sz w:val="20"/>
        </w:rPr>
      </w:pPr>
      <w:r>
        <w:rPr>
          <w:sz w:val="20"/>
        </w:rPr>
        <w:t>IF/THEN</w:t>
      </w:r>
      <w:r>
        <w:rPr>
          <w:spacing w:val="21"/>
          <w:sz w:val="20"/>
        </w:rPr>
        <w:t> </w:t>
      </w:r>
      <w:r>
        <w:rPr>
          <w:sz w:val="20"/>
        </w:rPr>
        <w:t>with</w:t>
      </w:r>
      <w:r>
        <w:rPr>
          <w:spacing w:val="21"/>
          <w:sz w:val="20"/>
        </w:rPr>
        <w:t> </w:t>
      </w:r>
      <w:r>
        <w:rPr>
          <w:sz w:val="20"/>
        </w:rPr>
        <w:t>distribu-tional evidence</w:t>
      </w:r>
    </w:p>
    <w:p>
      <w:pPr>
        <w:spacing w:line="249" w:lineRule="auto" w:before="60"/>
        <w:ind w:left="159" w:right="0" w:firstLine="6"/>
        <w:jc w:val="both"/>
        <w:rPr>
          <w:sz w:val="20"/>
        </w:rPr>
      </w:pPr>
      <w:r>
        <w:rPr/>
        <w:br w:type="column"/>
      </w:r>
      <w:r>
        <w:rPr>
          <w:sz w:val="20"/>
        </w:rPr>
        <w:t>Information gain / Gini </w:t>
      </w:r>
      <w:r>
        <w:rPr>
          <w:spacing w:val="-4"/>
          <w:sz w:val="20"/>
        </w:rPr>
        <w:t>(FOIL</w:t>
      </w:r>
      <w:r>
        <w:rPr>
          <w:spacing w:val="-9"/>
          <w:sz w:val="20"/>
        </w:rPr>
        <w:t> </w:t>
      </w:r>
      <w:r>
        <w:rPr>
          <w:spacing w:val="-4"/>
          <w:sz w:val="20"/>
        </w:rPr>
        <w:t>gain</w:t>
      </w:r>
      <w:r>
        <w:rPr>
          <w:spacing w:val="-8"/>
          <w:sz w:val="20"/>
        </w:rPr>
        <w:t> </w:t>
      </w:r>
      <w:r>
        <w:rPr>
          <w:spacing w:val="-4"/>
          <w:sz w:val="20"/>
        </w:rPr>
        <w:t>for</w:t>
      </w:r>
      <w:r>
        <w:rPr>
          <w:spacing w:val="-9"/>
          <w:sz w:val="20"/>
        </w:rPr>
        <w:t> </w:t>
      </w:r>
      <w:r>
        <w:rPr>
          <w:spacing w:val="-4"/>
          <w:sz w:val="20"/>
        </w:rPr>
        <w:t>rule</w:t>
      </w:r>
      <w:r>
        <w:rPr>
          <w:spacing w:val="-8"/>
          <w:sz w:val="20"/>
        </w:rPr>
        <w:t> </w:t>
      </w:r>
      <w:r>
        <w:rPr>
          <w:spacing w:val="-4"/>
          <w:sz w:val="20"/>
        </w:rPr>
        <w:t>grow-ing)</w:t>
      </w:r>
    </w:p>
    <w:p>
      <w:pPr>
        <w:spacing w:line="249" w:lineRule="auto" w:before="71"/>
        <w:ind w:left="166" w:right="20" w:firstLine="0"/>
        <w:jc w:val="both"/>
        <w:rPr>
          <w:sz w:val="20"/>
        </w:rPr>
      </w:pPr>
      <w:r>
        <w:rPr>
          <w:sz w:val="20"/>
        </w:rPr>
        <w:t>IF conditions THEN class = Low / Med </w:t>
      </w:r>
      <w:r>
        <w:rPr>
          <w:sz w:val="20"/>
        </w:rPr>
        <w:t>/ </w:t>
      </w:r>
      <w:r>
        <w:rPr>
          <w:spacing w:val="-4"/>
          <w:sz w:val="20"/>
        </w:rPr>
        <w:t>High</w:t>
      </w:r>
    </w:p>
    <w:p>
      <w:pPr>
        <w:spacing w:line="249" w:lineRule="auto" w:before="72"/>
        <w:ind w:left="166" w:right="31" w:firstLine="0"/>
        <w:jc w:val="both"/>
        <w:rPr>
          <w:sz w:val="20"/>
        </w:rPr>
      </w:pPr>
      <w:r>
        <w:rPr>
          <w:sz w:val="20"/>
        </w:rPr>
        <w:t>Continuous </w:t>
      </w:r>
      <w:r>
        <w:rPr>
          <w:sz w:val="20"/>
        </w:rPr>
        <w:t>(RIPPER finds own thresholds)</w:t>
      </w:r>
    </w:p>
    <w:p>
      <w:pPr>
        <w:spacing w:line="249" w:lineRule="auto" w:before="71"/>
        <w:ind w:left="166" w:right="31" w:firstLine="0"/>
        <w:jc w:val="both"/>
        <w:rPr>
          <w:sz w:val="20"/>
        </w:rPr>
      </w:pPr>
      <w:r>
        <w:rPr>
          <w:sz w:val="20"/>
        </w:rPr>
        <w:t>High — </w:t>
      </w:r>
      <w:r>
        <w:rPr>
          <w:sz w:val="20"/>
        </w:rPr>
        <w:t>ordered IF/THEN classification</w:t>
      </w:r>
    </w:p>
    <w:p>
      <w:pPr>
        <w:spacing w:line="249" w:lineRule="auto" w:before="60"/>
        <w:ind w:left="165" w:right="1076" w:firstLine="0"/>
        <w:jc w:val="both"/>
        <w:rPr>
          <w:sz w:val="20"/>
        </w:rPr>
      </w:pPr>
      <w:r>
        <w:rPr/>
        <w:br w:type="column"/>
      </w:r>
      <w:r>
        <w:rPr>
          <w:sz w:val="20"/>
        </w:rPr>
        <w:t>Standard deviation </w:t>
      </w:r>
      <w:r>
        <w:rPr>
          <w:sz w:val="20"/>
        </w:rPr>
        <w:t>re-duction</w:t>
      </w:r>
      <w:r>
        <w:rPr>
          <w:spacing w:val="-13"/>
          <w:sz w:val="20"/>
        </w:rPr>
        <w:t> </w:t>
      </w:r>
      <w:r>
        <w:rPr>
          <w:sz w:val="20"/>
        </w:rPr>
        <w:t>(MSE</w:t>
      </w:r>
      <w:r>
        <w:rPr>
          <w:spacing w:val="-12"/>
          <w:sz w:val="20"/>
        </w:rPr>
        <w:t> </w:t>
      </w:r>
      <w:r>
        <w:rPr>
          <w:sz w:val="20"/>
        </w:rPr>
        <w:t>minimisa-</w:t>
      </w:r>
      <w:r>
        <w:rPr>
          <w:spacing w:val="-2"/>
          <w:sz w:val="20"/>
        </w:rPr>
        <w:t>tion)</w:t>
      </w:r>
    </w:p>
    <w:p>
      <w:pPr>
        <w:spacing w:line="249" w:lineRule="auto" w:before="71"/>
        <w:ind w:left="165" w:right="1106" w:firstLine="0"/>
        <w:jc w:val="both"/>
        <w:rPr>
          <w:sz w:val="20"/>
        </w:rPr>
      </w:pPr>
      <w:r>
        <w:rPr>
          <w:sz w:val="20"/>
        </w:rPr>
        <w:t>IF conditions </w:t>
      </w:r>
      <w:r>
        <w:rPr>
          <w:sz w:val="20"/>
        </w:rPr>
        <w:t>THEN production = linear </w:t>
      </w:r>
      <w:r>
        <w:rPr>
          <w:spacing w:val="-2"/>
          <w:sz w:val="20"/>
        </w:rPr>
        <w:t>model(features)</w:t>
      </w:r>
    </w:p>
    <w:p>
      <w:pPr>
        <w:spacing w:line="249" w:lineRule="auto" w:before="72"/>
        <w:ind w:left="165" w:right="1109" w:firstLine="0"/>
        <w:jc w:val="both"/>
        <w:rPr>
          <w:sz w:val="20"/>
        </w:rPr>
      </w:pPr>
      <w:r>
        <w:rPr>
          <w:sz w:val="20"/>
        </w:rPr>
        <w:t>Continuous </w:t>
      </w:r>
      <w:r>
        <w:rPr>
          <w:sz w:val="20"/>
        </w:rPr>
        <w:t>(M5Rules finds own thresholds)</w:t>
      </w:r>
    </w:p>
    <w:p>
      <w:pPr>
        <w:spacing w:line="249" w:lineRule="auto" w:before="71"/>
        <w:ind w:left="165" w:right="1109" w:firstLine="0"/>
        <w:jc w:val="both"/>
        <w:rPr>
          <w:sz w:val="20"/>
        </w:rPr>
      </w:pPr>
      <w:r>
        <w:rPr>
          <w:sz w:val="20"/>
        </w:rPr>
        <w:t>Medium — </w:t>
      </w:r>
      <w:r>
        <w:rPr>
          <w:sz w:val="20"/>
        </w:rPr>
        <w:t>IF/THEN rules</w:t>
      </w:r>
      <w:r>
        <w:rPr>
          <w:spacing w:val="-4"/>
          <w:sz w:val="20"/>
        </w:rPr>
        <w:t> </w:t>
      </w:r>
      <w:r>
        <w:rPr>
          <w:sz w:val="20"/>
        </w:rPr>
        <w:t>with</w:t>
      </w:r>
      <w:r>
        <w:rPr>
          <w:spacing w:val="-3"/>
          <w:sz w:val="20"/>
        </w:rPr>
        <w:t> </w:t>
      </w:r>
      <w:r>
        <w:rPr>
          <w:sz w:val="20"/>
        </w:rPr>
        <w:t>linear</w:t>
      </w:r>
      <w:r>
        <w:rPr>
          <w:spacing w:val="-4"/>
          <w:sz w:val="20"/>
        </w:rPr>
        <w:t> </w:t>
      </w:r>
      <w:r>
        <w:rPr>
          <w:sz w:val="20"/>
        </w:rPr>
        <w:t>models at leaves</w:t>
      </w:r>
    </w:p>
    <w:p>
      <w:pPr>
        <w:spacing w:after="0" w:line="249" w:lineRule="auto"/>
        <w:jc w:val="both"/>
        <w:rPr>
          <w:sz w:val="20"/>
        </w:rPr>
        <w:sectPr>
          <w:type w:val="continuous"/>
          <w:pgSz w:w="11910" w:h="16840"/>
          <w:pgMar w:header="1160" w:footer="0" w:top="1120" w:bottom="280" w:left="1275" w:right="425"/>
          <w:cols w:num="3" w:equalWidth="0">
            <w:col w:w="4751" w:space="40"/>
            <w:col w:w="2149" w:space="39"/>
            <w:col w:w="3231"/>
          </w:cols>
        </w:sectPr>
      </w:pPr>
    </w:p>
    <w:p>
      <w:pPr>
        <w:pStyle w:val="BodyText"/>
        <w:spacing w:before="3"/>
        <w:rPr>
          <w:sz w:val="7"/>
        </w:rPr>
      </w:pPr>
    </w:p>
    <w:p>
      <w:pPr>
        <w:spacing w:line="20" w:lineRule="exact"/>
        <w:ind w:left="709" w:right="0" w:firstLine="0"/>
        <w:rPr>
          <w:sz w:val="2"/>
        </w:rPr>
      </w:pPr>
      <w:r>
        <w:rPr>
          <w:sz w:val="2"/>
        </w:rPr>
        <mc:AlternateContent>
          <mc:Choice Requires="wps">
            <w:drawing>
              <wp:inline distT="0" distB="0" distL="0" distR="0">
                <wp:extent cx="5400040" cy="6985"/>
                <wp:effectExtent l="9525" t="0" r="635" b="2539"/>
                <wp:docPr id="64" name="Group 64"/>
                <wp:cNvGraphicFramePr>
                  <a:graphicFrameLocks/>
                </wp:cNvGraphicFramePr>
                <a:graphic>
                  <a:graphicData uri="http://schemas.microsoft.com/office/word/2010/wordprocessingGroup">
                    <wpg:wgp>
                      <wpg:cNvPr id="64" name="Group 64"/>
                      <wpg:cNvGrpSpPr/>
                      <wpg:grpSpPr>
                        <a:xfrm>
                          <a:off x="0" y="0"/>
                          <a:ext cx="5400040" cy="6985"/>
                          <a:chExt cx="5400040" cy="6985"/>
                        </a:xfrm>
                      </wpg:grpSpPr>
                      <wps:wsp>
                        <wps:cNvPr id="65" name="Graphic 65"/>
                        <wps:cNvSpPr/>
                        <wps:spPr>
                          <a:xfrm>
                            <a:off x="0" y="3441"/>
                            <a:ext cx="5400040" cy="1270"/>
                          </a:xfrm>
                          <a:custGeom>
                            <a:avLst/>
                            <a:gdLst/>
                            <a:ahLst/>
                            <a:cxnLst/>
                            <a:rect l="l" t="t" r="r" b="b"/>
                            <a:pathLst>
                              <a:path w="5400040" h="0">
                                <a:moveTo>
                                  <a:pt x="0" y="0"/>
                                </a:moveTo>
                                <a:lnTo>
                                  <a:pt x="5400001"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5.2pt;height:.550pt;mso-position-horizontal-relative:char;mso-position-vertical-relative:line" id="docshapegroup59" coordorigin="0,0" coordsize="8504,11">
                <v:line style="position:absolute" from="0,5" to="8504,5" stroked="true" strokeweight=".542pt" strokecolor="#000000">
                  <v:stroke dashstyle="solid"/>
                </v:line>
              </v:group>
            </w:pict>
          </mc:Fallback>
        </mc:AlternateContent>
      </w:r>
      <w:r>
        <w:rPr>
          <w:sz w:val="2"/>
        </w:rPr>
      </w:r>
    </w:p>
    <w:p>
      <w:pPr>
        <w:spacing w:before="77"/>
        <w:ind w:left="828" w:right="0" w:firstLine="0"/>
        <w:jc w:val="left"/>
        <w:rPr>
          <w:i/>
          <w:sz w:val="20"/>
        </w:rPr>
      </w:pPr>
      <w:r>
        <w:rPr>
          <w:i/>
          <w:sz w:val="20"/>
        </w:rPr>
        <mc:AlternateContent>
          <mc:Choice Requires="wps">
            <w:drawing>
              <wp:anchor distT="0" distB="0" distL="0" distR="0" allowOverlap="1" layoutInCell="1" locked="0" behindDoc="0" simplePos="0" relativeHeight="15737344">
                <wp:simplePos x="0" y="0"/>
                <wp:positionH relativeFrom="page">
                  <wp:posOffset>1260005</wp:posOffset>
                </wp:positionH>
                <wp:positionV relativeFrom="paragraph">
                  <wp:posOffset>254190</wp:posOffset>
                </wp:positionV>
                <wp:extent cx="5400040" cy="127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5400040" cy="1270"/>
                        </a:xfrm>
                        <a:custGeom>
                          <a:avLst/>
                          <a:gdLst/>
                          <a:ahLst/>
                          <a:cxnLst/>
                          <a:rect l="l" t="t" r="r" b="b"/>
                          <a:pathLst>
                            <a:path w="5400040" h="0">
                              <a:moveTo>
                                <a:pt x="0" y="0"/>
                              </a:moveTo>
                              <a:lnTo>
                                <a:pt x="5400001"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344" from="99.212997pt,20.014999pt" to="524.409997pt,20.014999pt" stroked="true" strokeweight=".542pt" strokecolor="#000000">
                <v:stroke dashstyle="solid"/>
                <w10:wrap type="none"/>
              </v:line>
            </w:pict>
          </mc:Fallback>
        </mc:AlternateContent>
      </w:r>
      <w:r>
        <w:rPr>
          <w:i/>
          <w:sz w:val="20"/>
        </w:rPr>
        <w:t>Operationalisation</w:t>
      </w:r>
      <w:r>
        <w:rPr>
          <w:i/>
          <w:spacing w:val="-9"/>
          <w:sz w:val="20"/>
        </w:rPr>
        <w:t> </w:t>
      </w:r>
      <w:r>
        <w:rPr>
          <w:i/>
          <w:sz w:val="20"/>
        </w:rPr>
        <w:t>for</w:t>
      </w:r>
      <w:r>
        <w:rPr>
          <w:i/>
          <w:spacing w:val="-8"/>
          <w:sz w:val="20"/>
        </w:rPr>
        <w:t> </w:t>
      </w:r>
      <w:r>
        <w:rPr>
          <w:i/>
          <w:sz w:val="20"/>
        </w:rPr>
        <w:t>prediction</w:t>
      </w:r>
      <w:r>
        <w:rPr>
          <w:i/>
          <w:spacing w:val="-9"/>
          <w:sz w:val="20"/>
        </w:rPr>
        <w:t> </w:t>
      </w:r>
      <w:r>
        <w:rPr>
          <w:i/>
          <w:sz w:val="20"/>
        </w:rPr>
        <w:t>in</w:t>
      </w:r>
      <w:r>
        <w:rPr>
          <w:i/>
          <w:spacing w:val="-8"/>
          <w:sz w:val="20"/>
        </w:rPr>
        <w:t> </w:t>
      </w:r>
      <w:r>
        <w:rPr>
          <w:i/>
          <w:sz w:val="20"/>
        </w:rPr>
        <w:t>this</w:t>
      </w:r>
      <w:r>
        <w:rPr>
          <w:i/>
          <w:spacing w:val="-9"/>
          <w:sz w:val="20"/>
        </w:rPr>
        <w:t> </w:t>
      </w:r>
      <w:r>
        <w:rPr>
          <w:i/>
          <w:sz w:val="20"/>
        </w:rPr>
        <w:t>thesis</w:t>
      </w:r>
      <w:r>
        <w:rPr>
          <w:i/>
          <w:spacing w:val="-8"/>
          <w:sz w:val="20"/>
        </w:rPr>
        <w:t> </w:t>
      </w:r>
      <w:r>
        <w:rPr>
          <w:i/>
          <w:sz w:val="20"/>
        </w:rPr>
        <w:t>(Section</w:t>
      </w:r>
      <w:r>
        <w:rPr>
          <w:i/>
          <w:spacing w:val="-9"/>
          <w:sz w:val="20"/>
        </w:rPr>
        <w:t> </w:t>
      </w:r>
      <w:hyperlink w:history="true" w:anchor="_bookmark47">
        <w:r>
          <w:rPr>
            <w:i/>
            <w:color w:val="8B2C18"/>
            <w:spacing w:val="-2"/>
            <w:sz w:val="20"/>
          </w:rPr>
          <w:t>3.8.1</w:t>
        </w:r>
      </w:hyperlink>
      <w:r>
        <w:rPr>
          <w:i/>
          <w:spacing w:val="-2"/>
          <w:sz w:val="20"/>
        </w:rPr>
        <w:t>)</w:t>
      </w:r>
    </w:p>
    <w:p>
      <w:pPr>
        <w:spacing w:after="0"/>
        <w:jc w:val="left"/>
        <w:rPr>
          <w:i/>
          <w:sz w:val="20"/>
        </w:rPr>
        <w:sectPr>
          <w:type w:val="continuous"/>
          <w:pgSz w:w="11910" w:h="16840"/>
          <w:pgMar w:header="1160" w:footer="0" w:top="1120" w:bottom="280" w:left="1275" w:right="425"/>
        </w:sectPr>
      </w:pPr>
    </w:p>
    <w:p>
      <w:pPr>
        <w:tabs>
          <w:tab w:pos="2768" w:val="left" w:leader="none"/>
        </w:tabs>
        <w:spacing w:before="190"/>
        <w:ind w:left="828" w:right="0" w:firstLine="0"/>
        <w:jc w:val="left"/>
        <w:rPr>
          <w:sz w:val="20"/>
        </w:rPr>
      </w:pPr>
      <w:r>
        <w:rPr>
          <w:b/>
          <w:spacing w:val="-2"/>
          <w:sz w:val="20"/>
        </w:rPr>
        <w:t>Prediction</w:t>
      </w:r>
      <w:r>
        <w:rPr>
          <w:b/>
          <w:spacing w:val="6"/>
          <w:sz w:val="20"/>
        </w:rPr>
        <w:t> </w:t>
      </w:r>
      <w:r>
        <w:rPr>
          <w:b/>
          <w:spacing w:val="-2"/>
          <w:sz w:val="20"/>
        </w:rPr>
        <w:t>output</w:t>
      </w:r>
      <w:r>
        <w:rPr>
          <w:b/>
          <w:sz w:val="20"/>
        </w:rPr>
        <w:tab/>
      </w:r>
      <w:r>
        <w:rPr>
          <w:sz w:val="20"/>
        </w:rPr>
        <w:t>Mean/median</w:t>
      </w:r>
      <w:r>
        <w:rPr>
          <w:spacing w:val="21"/>
          <w:sz w:val="20"/>
        </w:rPr>
        <w:t> </w:t>
      </w:r>
      <w:r>
        <w:rPr>
          <w:sz w:val="20"/>
        </w:rPr>
        <w:t>of</w:t>
      </w:r>
      <w:r>
        <w:rPr>
          <w:spacing w:val="21"/>
          <w:sz w:val="20"/>
        </w:rPr>
        <w:t> </w:t>
      </w:r>
      <w:r>
        <w:rPr>
          <w:spacing w:val="-2"/>
          <w:sz w:val="20"/>
        </w:rPr>
        <w:t>match-</w:t>
      </w:r>
    </w:p>
    <w:p>
      <w:pPr>
        <w:spacing w:before="9"/>
        <w:ind w:left="2768" w:right="0" w:firstLine="0"/>
        <w:jc w:val="left"/>
        <w:rPr>
          <w:sz w:val="20"/>
        </w:rPr>
      </w:pPr>
      <w:r>
        <w:rPr>
          <w:sz w:val="20"/>
        </w:rPr>
        <w:t>ing</w:t>
      </w:r>
      <w:r>
        <w:rPr>
          <w:spacing w:val="-4"/>
          <w:sz w:val="20"/>
        </w:rPr>
        <w:t> </w:t>
      </w:r>
      <w:r>
        <w:rPr>
          <w:spacing w:val="-2"/>
          <w:sz w:val="20"/>
        </w:rPr>
        <w:t>subgroup</w:t>
      </w:r>
    </w:p>
    <w:p>
      <w:pPr>
        <w:spacing w:line="249" w:lineRule="auto" w:before="190"/>
        <w:ind w:left="166" w:right="0" w:firstLine="0"/>
        <w:jc w:val="left"/>
        <w:rPr>
          <w:sz w:val="20"/>
        </w:rPr>
      </w:pPr>
      <w:r>
        <w:rPr/>
        <w:br w:type="column"/>
      </w:r>
      <w:r>
        <w:rPr>
          <w:sz w:val="20"/>
        </w:rPr>
        <w:t>Class</w:t>
      </w:r>
      <w:r>
        <w:rPr>
          <w:spacing w:val="40"/>
          <w:sz w:val="20"/>
        </w:rPr>
        <w:t> </w:t>
      </w:r>
      <w:r>
        <w:rPr>
          <w:sz w:val="20"/>
        </w:rPr>
        <w:t>midpoint</w:t>
      </w:r>
      <w:r>
        <w:rPr>
          <w:spacing w:val="40"/>
          <w:sz w:val="20"/>
        </w:rPr>
        <w:t> </w:t>
      </w:r>
      <w:r>
        <w:rPr>
          <w:sz w:val="20"/>
        </w:rPr>
        <w:t>or</w:t>
      </w:r>
      <w:r>
        <w:rPr>
          <w:spacing w:val="40"/>
          <w:sz w:val="20"/>
        </w:rPr>
        <w:t> </w:t>
      </w:r>
      <w:r>
        <w:rPr>
          <w:sz w:val="20"/>
        </w:rPr>
        <w:t>me-</w:t>
      </w:r>
      <w:r>
        <w:rPr>
          <w:spacing w:val="-4"/>
          <w:sz w:val="20"/>
        </w:rPr>
        <w:t>dian</w:t>
      </w:r>
    </w:p>
    <w:p>
      <w:pPr>
        <w:spacing w:line="249" w:lineRule="auto" w:before="190"/>
        <w:ind w:left="166" w:right="1109" w:firstLine="0"/>
        <w:jc w:val="left"/>
        <w:rPr>
          <w:sz w:val="20"/>
        </w:rPr>
      </w:pPr>
      <w:r>
        <w:rPr/>
        <w:br w:type="column"/>
      </w:r>
      <w:r>
        <w:rPr>
          <w:sz w:val="20"/>
        </w:rPr>
        <w:t>Linear model </w:t>
      </w:r>
      <w:r>
        <w:rPr>
          <w:sz w:val="20"/>
        </w:rPr>
        <w:t>evaluated at feature values</w:t>
      </w:r>
    </w:p>
    <w:p>
      <w:pPr>
        <w:spacing w:after="0" w:line="249" w:lineRule="auto"/>
        <w:jc w:val="left"/>
        <w:rPr>
          <w:sz w:val="20"/>
        </w:rPr>
        <w:sectPr>
          <w:type w:val="continuous"/>
          <w:pgSz w:w="11910" w:h="16840"/>
          <w:pgMar w:header="1160" w:footer="0" w:top="1120" w:bottom="280" w:left="1275" w:right="425"/>
          <w:cols w:num="3" w:equalWidth="0">
            <w:col w:w="4751" w:space="40"/>
            <w:col w:w="2148" w:space="39"/>
            <w:col w:w="3232"/>
          </w:cols>
        </w:sectPr>
      </w:pPr>
    </w:p>
    <w:p>
      <w:pPr>
        <w:spacing w:line="249" w:lineRule="auto" w:before="72"/>
        <w:ind w:left="828" w:right="0" w:firstLine="0"/>
        <w:jc w:val="left"/>
        <w:rPr>
          <w:b/>
          <w:sz w:val="20"/>
        </w:rPr>
      </w:pPr>
      <w:r>
        <w:rPr>
          <w:b/>
          <w:sz w:val="20"/>
        </w:rPr>
        <w:t>Fallback</w:t>
      </w:r>
      <w:r>
        <w:rPr>
          <w:b/>
          <w:spacing w:val="40"/>
          <w:sz w:val="20"/>
        </w:rPr>
        <w:t> </w:t>
      </w:r>
      <w:r>
        <w:rPr>
          <w:b/>
          <w:sz w:val="20"/>
        </w:rPr>
        <w:t>(no</w:t>
      </w:r>
      <w:r>
        <w:rPr>
          <w:b/>
          <w:spacing w:val="40"/>
          <w:sz w:val="20"/>
        </w:rPr>
        <w:t> </w:t>
      </w:r>
      <w:r>
        <w:rPr>
          <w:b/>
          <w:sz w:val="20"/>
        </w:rPr>
        <w:t>rules </w:t>
      </w:r>
      <w:r>
        <w:rPr>
          <w:b/>
          <w:spacing w:val="-2"/>
          <w:sz w:val="20"/>
        </w:rPr>
        <w:t>fire)</w:t>
      </w:r>
    </w:p>
    <w:p>
      <w:pPr>
        <w:tabs>
          <w:tab w:pos="2387" w:val="left" w:leader="none"/>
        </w:tabs>
        <w:spacing w:before="72"/>
        <w:ind w:left="199" w:right="0" w:firstLine="0"/>
        <w:jc w:val="left"/>
        <w:rPr>
          <w:sz w:val="20"/>
        </w:rPr>
      </w:pPr>
      <w:r>
        <w:rPr/>
        <w:br w:type="column"/>
      </w:r>
      <w:r>
        <w:rPr>
          <w:spacing w:val="-4"/>
          <w:sz w:val="20"/>
        </w:rPr>
        <w:t>Training</w:t>
      </w:r>
      <w:r>
        <w:rPr>
          <w:spacing w:val="-1"/>
          <w:sz w:val="20"/>
        </w:rPr>
        <w:t> </w:t>
      </w:r>
      <w:r>
        <w:rPr>
          <w:spacing w:val="-4"/>
          <w:sz w:val="20"/>
        </w:rPr>
        <w:t>median</w:t>
      </w:r>
      <w:r>
        <w:rPr>
          <w:spacing w:val="-1"/>
          <w:sz w:val="20"/>
        </w:rPr>
        <w:t> </w:t>
      </w:r>
      <w:r>
        <w:rPr>
          <w:spacing w:val="-4"/>
          <w:sz w:val="20"/>
        </w:rPr>
        <w:t>residual</w:t>
      </w:r>
      <w:r>
        <w:rPr>
          <w:sz w:val="20"/>
        </w:rPr>
        <w:tab/>
        <w:t>Default</w:t>
      </w:r>
      <w:r>
        <w:rPr>
          <w:spacing w:val="12"/>
          <w:sz w:val="20"/>
        </w:rPr>
        <w:t> </w:t>
      </w:r>
      <w:r>
        <w:rPr>
          <w:sz w:val="20"/>
        </w:rPr>
        <w:t>rule</w:t>
      </w:r>
      <w:r>
        <w:rPr>
          <w:spacing w:val="12"/>
          <w:sz w:val="20"/>
        </w:rPr>
        <w:t> </w:t>
      </w:r>
      <w:r>
        <w:rPr>
          <w:sz w:val="20"/>
        </w:rPr>
        <w:t>(most</w:t>
      </w:r>
      <w:r>
        <w:rPr>
          <w:spacing w:val="12"/>
          <w:sz w:val="20"/>
        </w:rPr>
        <w:t> </w:t>
      </w:r>
      <w:r>
        <w:rPr>
          <w:spacing w:val="-4"/>
          <w:sz w:val="20"/>
        </w:rPr>
        <w:t>com-</w:t>
      </w:r>
    </w:p>
    <w:p>
      <w:pPr>
        <w:spacing w:before="9"/>
        <w:ind w:left="2387" w:right="0" w:firstLine="0"/>
        <w:jc w:val="left"/>
        <w:rPr>
          <w:sz w:val="20"/>
        </w:rPr>
      </w:pPr>
      <w:r>
        <w:rPr>
          <w:sz w:val="20"/>
        </w:rPr>
        <w:t>mon</w:t>
      </w:r>
      <w:r>
        <w:rPr>
          <w:spacing w:val="-5"/>
          <w:sz w:val="20"/>
        </w:rPr>
        <w:t> </w:t>
      </w:r>
      <w:r>
        <w:rPr>
          <w:spacing w:val="-2"/>
          <w:sz w:val="20"/>
        </w:rPr>
        <w:t>class)</w:t>
      </w:r>
    </w:p>
    <w:p>
      <w:pPr>
        <w:spacing w:line="249" w:lineRule="auto" w:before="72"/>
        <w:ind w:left="166" w:right="293" w:firstLine="0"/>
        <w:jc w:val="left"/>
        <w:rPr>
          <w:sz w:val="20"/>
        </w:rPr>
      </w:pPr>
      <w:r>
        <w:rPr/>
        <w:br w:type="column"/>
      </w:r>
      <w:r>
        <w:rPr>
          <w:sz w:val="20"/>
        </w:rPr>
        <w:t>Global</w:t>
      </w:r>
      <w:r>
        <w:rPr>
          <w:spacing w:val="-1"/>
          <w:sz w:val="20"/>
        </w:rPr>
        <w:t> </w:t>
      </w:r>
      <w:r>
        <w:rPr>
          <w:sz w:val="20"/>
        </w:rPr>
        <w:t>linear</w:t>
      </w:r>
      <w:r>
        <w:rPr>
          <w:spacing w:val="-1"/>
          <w:sz w:val="20"/>
        </w:rPr>
        <w:t> </w:t>
      </w:r>
      <w:r>
        <w:rPr>
          <w:sz w:val="20"/>
        </w:rPr>
        <w:t>model</w:t>
      </w:r>
      <w:r>
        <w:rPr>
          <w:spacing w:val="-1"/>
          <w:sz w:val="20"/>
        </w:rPr>
        <w:t> </w:t>
      </w:r>
      <w:r>
        <w:rPr>
          <w:sz w:val="20"/>
        </w:rPr>
        <w:t>(no </w:t>
      </w:r>
      <w:r>
        <w:rPr>
          <w:spacing w:val="-2"/>
          <w:sz w:val="20"/>
        </w:rPr>
        <w:t>conditions)</w:t>
      </w:r>
    </w:p>
    <w:p>
      <w:pPr>
        <w:spacing w:after="0" w:line="249" w:lineRule="auto"/>
        <w:jc w:val="left"/>
        <w:rPr>
          <w:sz w:val="20"/>
        </w:rPr>
        <w:sectPr>
          <w:type w:val="continuous"/>
          <w:pgSz w:w="11910" w:h="16840"/>
          <w:pgMar w:header="1160" w:footer="0" w:top="1120" w:bottom="280" w:left="1275" w:right="425"/>
          <w:cols w:num="3" w:equalWidth="0">
            <w:col w:w="2530" w:space="40"/>
            <w:col w:w="4370" w:space="39"/>
            <w:col w:w="3231"/>
          </w:cols>
        </w:sectPr>
      </w:pPr>
    </w:p>
    <w:p>
      <w:pPr>
        <w:pStyle w:val="BodyText"/>
        <w:spacing w:before="6"/>
        <w:rPr>
          <w:sz w:val="7"/>
        </w:rPr>
      </w:pPr>
    </w:p>
    <w:p>
      <w:pPr>
        <w:spacing w:line="20" w:lineRule="exact"/>
        <w:ind w:left="709" w:right="0" w:firstLine="0"/>
        <w:rPr>
          <w:sz w:val="2"/>
        </w:rPr>
      </w:pPr>
      <w:r>
        <w:rPr>
          <w:sz w:val="2"/>
        </w:rPr>
        <mc:AlternateContent>
          <mc:Choice Requires="wps">
            <w:drawing>
              <wp:inline distT="0" distB="0" distL="0" distR="0">
                <wp:extent cx="5400040" cy="11430"/>
                <wp:effectExtent l="9525" t="0" r="635" b="7620"/>
                <wp:docPr id="67" name="Group 67"/>
                <wp:cNvGraphicFramePr>
                  <a:graphicFrameLocks/>
                </wp:cNvGraphicFramePr>
                <a:graphic>
                  <a:graphicData uri="http://schemas.microsoft.com/office/word/2010/wordprocessingGroup">
                    <wpg:wgp>
                      <wpg:cNvPr id="67" name="Group 67"/>
                      <wpg:cNvGrpSpPr/>
                      <wpg:grpSpPr>
                        <a:xfrm>
                          <a:off x="0" y="0"/>
                          <a:ext cx="5400040" cy="11430"/>
                          <a:chExt cx="5400040" cy="11430"/>
                        </a:xfrm>
                      </wpg:grpSpPr>
                      <wps:wsp>
                        <wps:cNvPr id="68" name="Graphic 68"/>
                        <wps:cNvSpPr/>
                        <wps:spPr>
                          <a:xfrm>
                            <a:off x="0" y="5511"/>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5.2pt;height:.9pt;mso-position-horizontal-relative:char;mso-position-vertical-relative:line" id="docshapegroup60" coordorigin="0,0" coordsize="8504,18">
                <v:line style="position:absolute" from="0,9" to="8504,9" stroked="true" strokeweight=".868pt" strokecolor="#000000">
                  <v:stroke dashstyle="solid"/>
                </v:line>
              </v:group>
            </w:pict>
          </mc:Fallback>
        </mc:AlternateContent>
      </w:r>
      <w:r>
        <w:rPr>
          <w:sz w:val="2"/>
        </w:rPr>
      </w:r>
    </w:p>
    <w:p>
      <w:pPr>
        <w:spacing w:after="0" w:line="20" w:lineRule="exact"/>
        <w:rPr>
          <w:sz w:val="2"/>
        </w:rPr>
        <w:sectPr>
          <w:type w:val="continuous"/>
          <w:pgSz w:w="11910" w:h="16840"/>
          <w:pgMar w:header="1160" w:footer="0" w:top="1120" w:bottom="280" w:left="1275" w:right="425"/>
        </w:sectPr>
      </w:pPr>
    </w:p>
    <w:p>
      <w:pPr>
        <w:pStyle w:val="BodyText"/>
      </w:pPr>
    </w:p>
    <w:p>
      <w:pPr>
        <w:pStyle w:val="BodyText"/>
        <w:spacing w:before="25"/>
      </w:pPr>
    </w:p>
    <w:p>
      <w:pPr>
        <w:pStyle w:val="BodyText"/>
        <w:spacing w:line="312" w:lineRule="auto" w:before="1"/>
        <w:ind w:left="142" w:right="1519"/>
        <w:jc w:val="both"/>
      </w:pPr>
      <w:r>
        <w:rPr>
          <w:spacing w:val="-2"/>
        </w:rPr>
        <w:t>dataset.</w:t>
      </w:r>
      <w:r>
        <w:rPr/>
        <w:t> </w:t>
      </w:r>
      <w:r>
        <w:rPr>
          <w:spacing w:val="-2"/>
        </w:rPr>
        <w:t>For</w:t>
      </w:r>
      <w:r>
        <w:rPr>
          <w:spacing w:val="-11"/>
        </w:rPr>
        <w:t> </w:t>
      </w:r>
      <w:r>
        <w:rPr>
          <w:spacing w:val="-2"/>
        </w:rPr>
        <w:t>Goal</w:t>
      </w:r>
      <w:r>
        <w:rPr>
          <w:spacing w:val="-11"/>
        </w:rPr>
        <w:t> </w:t>
      </w:r>
      <w:r>
        <w:rPr>
          <w:spacing w:val="-2"/>
        </w:rPr>
        <w:t>2</w:t>
      </w:r>
      <w:r>
        <w:rPr>
          <w:spacing w:val="-11"/>
        </w:rPr>
        <w:t> </w:t>
      </w:r>
      <w:r>
        <w:rPr>
          <w:spacing w:val="-2"/>
        </w:rPr>
        <w:t>(Predictive</w:t>
      </w:r>
      <w:r>
        <w:rPr>
          <w:spacing w:val="-11"/>
        </w:rPr>
        <w:t> </w:t>
      </w:r>
      <w:r>
        <w:rPr>
          <w:spacing w:val="-2"/>
        </w:rPr>
        <w:t>Validation),</w:t>
      </w:r>
      <w:r>
        <w:rPr>
          <w:spacing w:val="-10"/>
        </w:rPr>
        <w:t> </w:t>
      </w:r>
      <w:r>
        <w:rPr>
          <w:spacing w:val="-2"/>
        </w:rPr>
        <w:t>bin</w:t>
      </w:r>
      <w:r>
        <w:rPr>
          <w:spacing w:val="-11"/>
        </w:rPr>
        <w:t> </w:t>
      </w:r>
      <w:r>
        <w:rPr>
          <w:spacing w:val="-2"/>
        </w:rPr>
        <w:t>boundaries</w:t>
      </w:r>
      <w:r>
        <w:rPr>
          <w:spacing w:val="-11"/>
        </w:rPr>
        <w:t> </w:t>
      </w:r>
      <w:r>
        <w:rPr>
          <w:spacing w:val="-2"/>
        </w:rPr>
        <w:t>are</w:t>
      </w:r>
      <w:r>
        <w:rPr>
          <w:spacing w:val="-11"/>
        </w:rPr>
        <w:t> </w:t>
      </w:r>
      <w:r>
        <w:rPr>
          <w:spacing w:val="-2"/>
        </w:rPr>
        <w:t>computed</w:t>
      </w:r>
      <w:r>
        <w:rPr>
          <w:spacing w:val="-11"/>
        </w:rPr>
        <w:t> </w:t>
      </w:r>
      <w:r>
        <w:rPr>
          <w:spacing w:val="-2"/>
        </w:rPr>
        <w:t>exclusively</w:t>
      </w:r>
      <w:r>
        <w:rPr>
          <w:spacing w:val="-11"/>
        </w:rPr>
        <w:t> </w:t>
      </w:r>
      <w:r>
        <w:rPr>
          <w:spacing w:val="-2"/>
        </w:rPr>
        <w:t>on</w:t>
      </w:r>
      <w:r>
        <w:rPr>
          <w:spacing w:val="-11"/>
        </w:rPr>
        <w:t> </w:t>
      </w:r>
      <w:r>
        <w:rPr>
          <w:spacing w:val="-2"/>
        </w:rPr>
        <w:t>the</w:t>
      </w:r>
      <w:r>
        <w:rPr>
          <w:spacing w:val="-11"/>
        </w:rPr>
        <w:t> </w:t>
      </w:r>
      <w:r>
        <w:rPr>
          <w:spacing w:val="-2"/>
        </w:rPr>
        <w:t>training fold</w:t>
      </w:r>
      <w:r>
        <w:rPr>
          <w:spacing w:val="-9"/>
        </w:rPr>
        <w:t> </w:t>
      </w:r>
      <w:r>
        <w:rPr>
          <w:spacing w:val="-2"/>
        </w:rPr>
        <w:t>within</w:t>
      </w:r>
      <w:r>
        <w:rPr>
          <w:spacing w:val="-7"/>
        </w:rPr>
        <w:t> </w:t>
      </w:r>
      <w:r>
        <w:rPr>
          <w:spacing w:val="-2"/>
        </w:rPr>
        <w:t>each</w:t>
      </w:r>
      <w:r>
        <w:rPr>
          <w:spacing w:val="-7"/>
        </w:rPr>
        <w:t> </w:t>
      </w:r>
      <w:r>
        <w:rPr>
          <w:spacing w:val="-2"/>
        </w:rPr>
        <w:t>scenario,</w:t>
      </w:r>
      <w:r>
        <w:rPr>
          <w:spacing w:val="-6"/>
        </w:rPr>
        <w:t> </w:t>
      </w:r>
      <w:r>
        <w:rPr>
          <w:spacing w:val="-2"/>
        </w:rPr>
        <w:t>preventing</w:t>
      </w:r>
      <w:r>
        <w:rPr>
          <w:spacing w:val="-7"/>
        </w:rPr>
        <w:t> </w:t>
      </w:r>
      <w:r>
        <w:rPr>
          <w:spacing w:val="-2"/>
        </w:rPr>
        <w:t>any</w:t>
      </w:r>
      <w:r>
        <w:rPr>
          <w:spacing w:val="-7"/>
        </w:rPr>
        <w:t> </w:t>
      </w:r>
      <w:r>
        <w:rPr>
          <w:spacing w:val="-2"/>
        </w:rPr>
        <w:t>leakage</w:t>
      </w:r>
      <w:r>
        <w:rPr>
          <w:spacing w:val="-6"/>
        </w:rPr>
        <w:t> </w:t>
      </w:r>
      <w:r>
        <w:rPr>
          <w:spacing w:val="-2"/>
        </w:rPr>
        <w:t>of</w:t>
      </w:r>
      <w:r>
        <w:rPr>
          <w:spacing w:val="-7"/>
        </w:rPr>
        <w:t> </w:t>
      </w:r>
      <w:r>
        <w:rPr>
          <w:spacing w:val="-2"/>
        </w:rPr>
        <w:t>test-set</w:t>
      </w:r>
      <w:r>
        <w:rPr>
          <w:spacing w:val="-7"/>
        </w:rPr>
        <w:t> </w:t>
      </w:r>
      <w:r>
        <w:rPr>
          <w:spacing w:val="-2"/>
        </w:rPr>
        <w:t>information</w:t>
      </w:r>
      <w:r>
        <w:rPr>
          <w:spacing w:val="-6"/>
        </w:rPr>
        <w:t> </w:t>
      </w:r>
      <w:r>
        <w:rPr>
          <w:spacing w:val="-2"/>
        </w:rPr>
        <w:t>into</w:t>
      </w:r>
      <w:r>
        <w:rPr>
          <w:spacing w:val="-7"/>
        </w:rPr>
        <w:t> </w:t>
      </w:r>
      <w:r>
        <w:rPr>
          <w:spacing w:val="-2"/>
        </w:rPr>
        <w:t>the</w:t>
      </w:r>
      <w:r>
        <w:rPr>
          <w:spacing w:val="-7"/>
        </w:rPr>
        <w:t> </w:t>
      </w:r>
      <w:r>
        <w:rPr>
          <w:spacing w:val="-2"/>
        </w:rPr>
        <w:t>discretisation</w:t>
      </w:r>
      <w:r>
        <w:rPr>
          <w:spacing w:val="-6"/>
        </w:rPr>
        <w:t> </w:t>
      </w:r>
      <w:r>
        <w:rPr>
          <w:spacing w:val="-2"/>
        </w:rPr>
        <w:t>step.</w:t>
      </w:r>
    </w:p>
    <w:p>
      <w:pPr>
        <w:pStyle w:val="BodyText"/>
        <w:spacing w:line="309" w:lineRule="auto" w:before="61"/>
        <w:ind w:left="134" w:right="1519" w:firstLine="346"/>
        <w:jc w:val="both"/>
      </w:pPr>
      <w:r>
        <w:rPr>
          <w:b/>
        </w:rPr>
        <w:t>Step 2: Feature selection (Goal 2 only).</w:t>
      </w:r>
      <w:r>
        <w:rPr>
          <w:b/>
          <w:spacing w:val="40"/>
        </w:rPr>
        <w:t> </w:t>
      </w:r>
      <w:r>
        <w:rPr/>
        <w:t>This step applies only to Goal 2 (Predictive Val-idation).</w:t>
      </w:r>
      <w:r>
        <w:rPr>
          <w:spacing w:val="40"/>
        </w:rPr>
        <w:t> </w:t>
      </w:r>
      <w:r>
        <w:rPr/>
        <w:t>For Goal 1 (Rule Discovery), CarenR operates on all 59 domain-engineered features without further algorithmic filtering — the feature set is defined entirely by viticulture domain knowledge.</w:t>
      </w:r>
      <w:r>
        <w:rPr>
          <w:spacing w:val="37"/>
        </w:rPr>
        <w:t> </w:t>
      </w:r>
      <w:r>
        <w:rPr/>
        <w:t>For Goal 2, with 59 candidate features each discretised into 4 bins, the full itemset search space is combinatorially large, and a feature selection step reduces the feature set before rule induction.</w:t>
      </w:r>
      <w:r>
        <w:rPr>
          <w:spacing w:val="40"/>
        </w:rPr>
        <w:t> </w:t>
      </w:r>
      <w:r>
        <w:rPr/>
        <w:t>This thesis evaluates several selection strategies (described in Table </w:t>
      </w:r>
      <w:hyperlink w:history="true" w:anchor="_bookmark49">
        <w:r>
          <w:rPr>
            <w:color w:val="8B2C18"/>
          </w:rPr>
          <w:t>3.4</w:t>
        </w:r>
      </w:hyperlink>
      <w:r>
        <w:rPr/>
        <w:t>) as dis-tinct CarenR variants.</w:t>
      </w:r>
      <w:r>
        <w:rPr>
          <w:spacing w:val="40"/>
        </w:rPr>
        <w:t> </w:t>
      </w:r>
      <w:r>
        <w:rPr/>
        <w:t>Three selection strategies are evaluated,</w:t>
      </w:r>
      <w:r>
        <w:rPr>
          <w:spacing w:val="23"/>
        </w:rPr>
        <w:t> </w:t>
      </w:r>
      <w:r>
        <w:rPr/>
        <w:t>each reflecting a different way</w:t>
      </w:r>
      <w:r>
        <w:rPr>
          <w:spacing w:val="80"/>
        </w:rPr>
        <w:t> </w:t>
      </w:r>
      <w:r>
        <w:rPr/>
        <w:t>of measuring association between a discrete feature and a continuous target. </w:t>
      </w:r>
      <w:r>
        <w:rPr>
          <w:i/>
        </w:rPr>
        <w:t>η</w:t>
      </w:r>
      <w:r>
        <w:rPr>
          <w:position w:val="8"/>
          <w:sz w:val="16"/>
        </w:rPr>
        <w:t>2</w:t>
      </w:r>
      <w:r>
        <w:rPr/>
        <w:t>-based selection </w:t>
      </w:r>
      <w:r>
        <w:rPr>
          <w:spacing w:val="-2"/>
        </w:rPr>
        <w:t>(eta-squared)</w:t>
      </w:r>
      <w:r>
        <w:rPr>
          <w:spacing w:val="-8"/>
        </w:rPr>
        <w:t> </w:t>
      </w:r>
      <w:r>
        <w:rPr>
          <w:spacing w:val="-2"/>
        </w:rPr>
        <w:t>is</w:t>
      </w:r>
      <w:r>
        <w:rPr>
          <w:spacing w:val="-8"/>
        </w:rPr>
        <w:t> </w:t>
      </w:r>
      <w:r>
        <w:rPr>
          <w:spacing w:val="-2"/>
        </w:rPr>
        <w:t>the</w:t>
      </w:r>
      <w:r>
        <w:rPr>
          <w:spacing w:val="-8"/>
        </w:rPr>
        <w:t> </w:t>
      </w:r>
      <w:r>
        <w:rPr>
          <w:spacing w:val="-2"/>
        </w:rPr>
        <w:t>most</w:t>
      </w:r>
      <w:r>
        <w:rPr>
          <w:spacing w:val="-8"/>
        </w:rPr>
        <w:t> </w:t>
      </w:r>
      <w:r>
        <w:rPr>
          <w:spacing w:val="-2"/>
        </w:rPr>
        <w:t>statistically</w:t>
      </w:r>
      <w:r>
        <w:rPr>
          <w:spacing w:val="-8"/>
        </w:rPr>
        <w:t> </w:t>
      </w:r>
      <w:r>
        <w:rPr>
          <w:spacing w:val="-2"/>
        </w:rPr>
        <w:t>appropriate:</w:t>
      </w:r>
      <w:r>
        <w:rPr/>
        <w:t> </w:t>
      </w:r>
      <w:r>
        <w:rPr>
          <w:spacing w:val="-2"/>
        </w:rPr>
        <w:t>it</w:t>
      </w:r>
      <w:r>
        <w:rPr>
          <w:spacing w:val="-8"/>
        </w:rPr>
        <w:t> </w:t>
      </w:r>
      <w:r>
        <w:rPr>
          <w:spacing w:val="-2"/>
        </w:rPr>
        <w:t>applies</w:t>
      </w:r>
      <w:r>
        <w:rPr>
          <w:spacing w:val="-8"/>
        </w:rPr>
        <w:t> </w:t>
      </w:r>
      <w:r>
        <w:rPr>
          <w:spacing w:val="-2"/>
        </w:rPr>
        <w:t>a</w:t>
      </w:r>
      <w:r>
        <w:rPr>
          <w:spacing w:val="-8"/>
        </w:rPr>
        <w:t> </w:t>
      </w:r>
      <w:r>
        <w:rPr>
          <w:spacing w:val="-2"/>
        </w:rPr>
        <w:t>one-way</w:t>
      </w:r>
      <w:r>
        <w:rPr>
          <w:spacing w:val="-8"/>
        </w:rPr>
        <w:t> </w:t>
      </w:r>
      <w:r>
        <w:rPr>
          <w:spacing w:val="-2"/>
        </w:rPr>
        <w:t>ANOVA</w:t>
      </w:r>
      <w:r>
        <w:rPr>
          <w:spacing w:val="-8"/>
        </w:rPr>
        <w:t> </w:t>
      </w:r>
      <w:r>
        <w:rPr>
          <w:spacing w:val="-2"/>
        </w:rPr>
        <w:t>across</w:t>
      </w:r>
      <w:r>
        <w:rPr>
          <w:spacing w:val="-8"/>
        </w:rPr>
        <w:t> </w:t>
      </w:r>
      <w:r>
        <w:rPr>
          <w:spacing w:val="-2"/>
        </w:rPr>
        <w:t>the</w:t>
      </w:r>
      <w:r>
        <w:rPr>
          <w:spacing w:val="-8"/>
        </w:rPr>
        <w:t> </w:t>
      </w:r>
      <w:r>
        <w:rPr>
          <w:spacing w:val="-2"/>
        </w:rPr>
        <w:t>four</w:t>
      </w:r>
      <w:r>
        <w:rPr>
          <w:spacing w:val="-8"/>
        </w:rPr>
        <w:t> </w:t>
      </w:r>
      <w:r>
        <w:rPr>
          <w:spacing w:val="-2"/>
        </w:rPr>
        <w:t>bins </w:t>
      </w:r>
      <w:r>
        <w:rPr/>
        <w:t>of each feature and measures how much of the variance in the continuous production residual is explained</w:t>
      </w:r>
      <w:r>
        <w:rPr>
          <w:spacing w:val="-7"/>
        </w:rPr>
        <w:t> </w:t>
      </w:r>
      <w:r>
        <w:rPr/>
        <w:t>by</w:t>
      </w:r>
      <w:r>
        <w:rPr>
          <w:spacing w:val="-7"/>
        </w:rPr>
        <w:t> </w:t>
      </w:r>
      <w:r>
        <w:rPr/>
        <w:t>the</w:t>
      </w:r>
      <w:r>
        <w:rPr>
          <w:spacing w:val="-7"/>
        </w:rPr>
        <w:t> </w:t>
      </w:r>
      <w:r>
        <w:rPr/>
        <w:t>discrete</w:t>
      </w:r>
      <w:r>
        <w:rPr>
          <w:spacing w:val="-7"/>
        </w:rPr>
        <w:t> </w:t>
      </w:r>
      <w:r>
        <w:rPr/>
        <w:t>groupings</w:t>
      </w:r>
      <w:r>
        <w:rPr>
          <w:spacing w:val="-7"/>
        </w:rPr>
        <w:t> </w:t>
      </w:r>
      <w:r>
        <w:rPr/>
        <w:t>—</w:t>
      </w:r>
      <w:r>
        <w:rPr>
          <w:spacing w:val="-7"/>
        </w:rPr>
        <w:t> </w:t>
      </w:r>
      <w:r>
        <w:rPr/>
        <w:t>directly</w:t>
      </w:r>
      <w:r>
        <w:rPr>
          <w:spacing w:val="-7"/>
        </w:rPr>
        <w:t> </w:t>
      </w:r>
      <w:r>
        <w:rPr/>
        <w:t>answering</w:t>
      </w:r>
      <w:r>
        <w:rPr>
          <w:spacing w:val="-7"/>
        </w:rPr>
        <w:t> </w:t>
      </w:r>
      <w:r>
        <w:rPr/>
        <w:t>whether</w:t>
      </w:r>
      <w:r>
        <w:rPr>
          <w:spacing w:val="-7"/>
        </w:rPr>
        <w:t> </w:t>
      </w:r>
      <w:r>
        <w:rPr/>
        <w:t>the</w:t>
      </w:r>
      <w:r>
        <w:rPr>
          <w:spacing w:val="-7"/>
        </w:rPr>
        <w:t> </w:t>
      </w:r>
      <w:r>
        <w:rPr/>
        <w:t>bins</w:t>
      </w:r>
      <w:r>
        <w:rPr>
          <w:spacing w:val="-7"/>
        </w:rPr>
        <w:t> </w:t>
      </w:r>
      <w:r>
        <w:rPr/>
        <w:t>produce</w:t>
      </w:r>
      <w:r>
        <w:rPr>
          <w:spacing w:val="-7"/>
        </w:rPr>
        <w:t> </w:t>
      </w:r>
      <w:r>
        <w:rPr/>
        <w:t>meaningfully different</w:t>
      </w:r>
      <w:r>
        <w:rPr>
          <w:spacing w:val="-14"/>
        </w:rPr>
        <w:t> </w:t>
      </w:r>
      <w:r>
        <w:rPr/>
        <w:t>production</w:t>
      </w:r>
      <w:r>
        <w:rPr>
          <w:spacing w:val="-14"/>
        </w:rPr>
        <w:t> </w:t>
      </w:r>
      <w:r>
        <w:rPr/>
        <w:t>distributions.</w:t>
      </w:r>
      <w:r>
        <w:rPr>
          <w:spacing w:val="-8"/>
        </w:rPr>
        <w:t> </w:t>
      </w:r>
      <w:r>
        <w:rPr/>
        <w:t>Pearson</w:t>
      </w:r>
      <w:r>
        <w:rPr>
          <w:spacing w:val="-14"/>
        </w:rPr>
        <w:t> </w:t>
      </w:r>
      <w:r>
        <w:rPr/>
        <w:t>correlation</w:t>
      </w:r>
      <w:r>
        <w:rPr>
          <w:spacing w:val="-13"/>
        </w:rPr>
        <w:t> </w:t>
      </w:r>
      <w:r>
        <w:rPr/>
        <w:t>(|r|</w:t>
      </w:r>
      <w:r>
        <w:rPr>
          <w:spacing w:val="-14"/>
        </w:rPr>
        <w:t> </w:t>
      </w:r>
      <w:r>
        <w:rPr/>
        <w:t>above</w:t>
      </w:r>
      <w:r>
        <w:rPr>
          <w:spacing w:val="-14"/>
        </w:rPr>
        <w:t> </w:t>
      </w:r>
      <w:r>
        <w:rPr/>
        <w:t>the</w:t>
      </w:r>
      <w:r>
        <w:rPr>
          <w:spacing w:val="-14"/>
        </w:rPr>
        <w:t> </w:t>
      </w:r>
      <w:r>
        <w:rPr/>
        <w:t>median</w:t>
      </w:r>
      <w:r>
        <w:rPr>
          <w:spacing w:val="-13"/>
        </w:rPr>
        <w:t> </w:t>
      </w:r>
      <w:r>
        <w:rPr/>
        <w:t>across</w:t>
      </w:r>
      <w:r>
        <w:rPr>
          <w:spacing w:val="-14"/>
        </w:rPr>
        <w:t> </w:t>
      </w:r>
      <w:r>
        <w:rPr/>
        <w:t>all</w:t>
      </w:r>
      <w:r>
        <w:rPr>
          <w:spacing w:val="-14"/>
        </w:rPr>
        <w:t> </w:t>
      </w:r>
      <w:r>
        <w:rPr/>
        <w:t>features)</w:t>
      </w:r>
      <w:r>
        <w:rPr>
          <w:spacing w:val="-14"/>
        </w:rPr>
        <w:t> </w:t>
      </w:r>
      <w:r>
        <w:rPr/>
        <w:t>is</w:t>
      </w:r>
      <w:r>
        <w:rPr>
          <w:spacing w:val="-13"/>
        </w:rPr>
        <w:t> </w:t>
      </w:r>
      <w:r>
        <w:rPr/>
        <w:t>a simpler</w:t>
      </w:r>
      <w:r>
        <w:rPr>
          <w:spacing w:val="-4"/>
        </w:rPr>
        <w:t> </w:t>
      </w:r>
      <w:r>
        <w:rPr/>
        <w:t>approximation</w:t>
      </w:r>
      <w:r>
        <w:rPr>
          <w:spacing w:val="-4"/>
        </w:rPr>
        <w:t> </w:t>
      </w:r>
      <w:r>
        <w:rPr/>
        <w:t>that</w:t>
      </w:r>
      <w:r>
        <w:rPr>
          <w:spacing w:val="-4"/>
        </w:rPr>
        <w:t> </w:t>
      </w:r>
      <w:r>
        <w:rPr/>
        <w:t>treats</w:t>
      </w:r>
      <w:r>
        <w:rPr>
          <w:spacing w:val="-4"/>
        </w:rPr>
        <w:t> </w:t>
      </w:r>
      <w:r>
        <w:rPr/>
        <w:t>bin</w:t>
      </w:r>
      <w:r>
        <w:rPr>
          <w:spacing w:val="-4"/>
        </w:rPr>
        <w:t> </w:t>
      </w:r>
      <w:r>
        <w:rPr/>
        <w:t>numbers</w:t>
      </w:r>
      <w:r>
        <w:rPr>
          <w:spacing w:val="-4"/>
        </w:rPr>
        <w:t> </w:t>
      </w:r>
      <w:r>
        <w:rPr/>
        <w:t>as</w:t>
      </w:r>
      <w:r>
        <w:rPr>
          <w:spacing w:val="-4"/>
        </w:rPr>
        <w:t> </w:t>
      </w:r>
      <w:r>
        <w:rPr/>
        <w:t>equally</w:t>
      </w:r>
      <w:r>
        <w:rPr>
          <w:spacing w:val="-4"/>
        </w:rPr>
        <w:t> </w:t>
      </w:r>
      <w:r>
        <w:rPr/>
        <w:t>spaced</w:t>
      </w:r>
      <w:r>
        <w:rPr>
          <w:spacing w:val="-4"/>
        </w:rPr>
        <w:t> </w:t>
      </w:r>
      <w:r>
        <w:rPr/>
        <w:t>ordinal</w:t>
      </w:r>
      <w:r>
        <w:rPr>
          <w:spacing w:val="-4"/>
        </w:rPr>
        <w:t> </w:t>
      </w:r>
      <w:r>
        <w:rPr/>
        <w:t>values;</w:t>
      </w:r>
      <w:r>
        <w:rPr>
          <w:spacing w:val="-4"/>
        </w:rPr>
        <w:t> </w:t>
      </w:r>
      <w:r>
        <w:rPr/>
        <w:t>it</w:t>
      </w:r>
      <w:r>
        <w:rPr>
          <w:spacing w:val="-4"/>
        </w:rPr>
        <w:t> </w:t>
      </w:r>
      <w:r>
        <w:rPr/>
        <w:t>is</w:t>
      </w:r>
      <w:r>
        <w:rPr>
          <w:spacing w:val="-4"/>
        </w:rPr>
        <w:t> </w:t>
      </w:r>
      <w:r>
        <w:rPr/>
        <w:t>less</w:t>
      </w:r>
      <w:r>
        <w:rPr>
          <w:spacing w:val="-4"/>
        </w:rPr>
        <w:t> </w:t>
      </w:r>
      <w:r>
        <w:rPr/>
        <w:t>rigorous but computationally efficient and tends to identify the same features in practice. Support-filtered </w:t>
      </w:r>
      <w:r>
        <w:rPr>
          <w:spacing w:val="-2"/>
        </w:rPr>
        <w:t>Pearson</w:t>
      </w:r>
      <w:r>
        <w:rPr>
          <w:spacing w:val="-8"/>
        </w:rPr>
        <w:t> </w:t>
      </w:r>
      <w:r>
        <w:rPr>
          <w:spacing w:val="-2"/>
        </w:rPr>
        <w:t>selection</w:t>
      </w:r>
      <w:r>
        <w:rPr>
          <w:spacing w:val="-8"/>
        </w:rPr>
        <w:t> </w:t>
      </w:r>
      <w:r>
        <w:rPr>
          <w:spacing w:val="-2"/>
        </w:rPr>
        <w:t>adds</w:t>
      </w:r>
      <w:r>
        <w:rPr>
          <w:spacing w:val="-8"/>
        </w:rPr>
        <w:t> </w:t>
      </w:r>
      <w:r>
        <w:rPr>
          <w:spacing w:val="-2"/>
        </w:rPr>
        <w:t>a</w:t>
      </w:r>
      <w:r>
        <w:rPr>
          <w:spacing w:val="-9"/>
        </w:rPr>
        <w:t> </w:t>
      </w:r>
      <w:r>
        <w:rPr>
          <w:spacing w:val="-2"/>
        </w:rPr>
        <w:t>coverage</w:t>
      </w:r>
      <w:r>
        <w:rPr>
          <w:spacing w:val="-8"/>
        </w:rPr>
        <w:t> </w:t>
      </w:r>
      <w:r>
        <w:rPr>
          <w:spacing w:val="-2"/>
        </w:rPr>
        <w:t>requirement:</w:t>
      </w:r>
      <w:r>
        <w:rPr>
          <w:spacing w:val="6"/>
        </w:rPr>
        <w:t> </w:t>
      </w:r>
      <w:r>
        <w:rPr>
          <w:spacing w:val="-2"/>
        </w:rPr>
        <w:t>each</w:t>
      </w:r>
      <w:r>
        <w:rPr>
          <w:spacing w:val="-8"/>
        </w:rPr>
        <w:t> </w:t>
      </w:r>
      <w:r>
        <w:rPr>
          <w:spacing w:val="-2"/>
        </w:rPr>
        <w:t>bin</w:t>
      </w:r>
      <w:r>
        <w:rPr>
          <w:spacing w:val="-8"/>
        </w:rPr>
        <w:t> </w:t>
      </w:r>
      <w:r>
        <w:rPr>
          <w:spacing w:val="-2"/>
        </w:rPr>
        <w:t>of</w:t>
      </w:r>
      <w:r>
        <w:rPr>
          <w:spacing w:val="-8"/>
        </w:rPr>
        <w:t> </w:t>
      </w:r>
      <w:r>
        <w:rPr>
          <w:spacing w:val="-2"/>
        </w:rPr>
        <w:t>a</w:t>
      </w:r>
      <w:r>
        <w:rPr>
          <w:spacing w:val="-8"/>
        </w:rPr>
        <w:t> </w:t>
      </w:r>
      <w:r>
        <w:rPr>
          <w:spacing w:val="-2"/>
        </w:rPr>
        <w:t>retained</w:t>
      </w:r>
      <w:r>
        <w:rPr>
          <w:spacing w:val="-8"/>
        </w:rPr>
        <w:t> </w:t>
      </w:r>
      <w:r>
        <w:rPr>
          <w:spacing w:val="-2"/>
        </w:rPr>
        <w:t>feature</w:t>
      </w:r>
      <w:r>
        <w:rPr>
          <w:spacing w:val="-9"/>
        </w:rPr>
        <w:t> </w:t>
      </w:r>
      <w:r>
        <w:rPr>
          <w:spacing w:val="-2"/>
        </w:rPr>
        <w:t>must</w:t>
      </w:r>
      <w:r>
        <w:rPr>
          <w:spacing w:val="-8"/>
        </w:rPr>
        <w:t> </w:t>
      </w:r>
      <w:r>
        <w:rPr>
          <w:spacing w:val="-2"/>
        </w:rPr>
        <w:t>contain</w:t>
      </w:r>
      <w:r>
        <w:rPr>
          <w:spacing w:val="-8"/>
        </w:rPr>
        <w:t> </w:t>
      </w:r>
      <w:r>
        <w:rPr>
          <w:spacing w:val="-2"/>
        </w:rPr>
        <w:t>at</w:t>
      </w:r>
      <w:r>
        <w:rPr>
          <w:spacing w:val="-8"/>
        </w:rPr>
        <w:t> </w:t>
      </w:r>
      <w:r>
        <w:rPr>
          <w:spacing w:val="-2"/>
        </w:rPr>
        <w:t>least</w:t>
      </w:r>
      <w:r>
        <w:rPr>
          <w:spacing w:val="-8"/>
        </w:rPr>
        <w:t> </w:t>
      </w:r>
      <w:r>
        <w:rPr>
          <w:spacing w:val="-2"/>
        </w:rPr>
        <w:t>a </w:t>
      </w:r>
      <w:r>
        <w:rPr/>
        <w:t>minimum</w:t>
      </w:r>
      <w:r>
        <w:rPr>
          <w:spacing w:val="-13"/>
        </w:rPr>
        <w:t> </w:t>
      </w:r>
      <w:r>
        <w:rPr/>
        <w:t>fraction</w:t>
      </w:r>
      <w:r>
        <w:rPr>
          <w:spacing w:val="-13"/>
        </w:rPr>
        <w:t> </w:t>
      </w:r>
      <w:r>
        <w:rPr/>
        <w:t>of</w:t>
      </w:r>
      <w:r>
        <w:rPr>
          <w:spacing w:val="-13"/>
        </w:rPr>
        <w:t> </w:t>
      </w:r>
      <w:r>
        <w:rPr/>
        <w:t>training</w:t>
      </w:r>
      <w:r>
        <w:rPr>
          <w:spacing w:val="-13"/>
        </w:rPr>
        <w:t> </w:t>
      </w:r>
      <w:r>
        <w:rPr/>
        <w:t>observations,</w:t>
      </w:r>
      <w:r>
        <w:rPr>
          <w:spacing w:val="-13"/>
        </w:rPr>
        <w:t> </w:t>
      </w:r>
      <w:r>
        <w:rPr/>
        <w:t>preventing</w:t>
      </w:r>
      <w:r>
        <w:rPr>
          <w:spacing w:val="-13"/>
        </w:rPr>
        <w:t> </w:t>
      </w:r>
      <w:r>
        <w:rPr/>
        <w:t>selection</w:t>
      </w:r>
      <w:r>
        <w:rPr>
          <w:spacing w:val="-13"/>
        </w:rPr>
        <w:t> </w:t>
      </w:r>
      <w:r>
        <w:rPr/>
        <w:t>of</w:t>
      </w:r>
      <w:r>
        <w:rPr>
          <w:spacing w:val="-13"/>
        </w:rPr>
        <w:t> </w:t>
      </w:r>
      <w:r>
        <w:rPr/>
        <w:t>features</w:t>
      </w:r>
      <w:r>
        <w:rPr>
          <w:spacing w:val="-13"/>
        </w:rPr>
        <w:t> </w:t>
      </w:r>
      <w:r>
        <w:rPr/>
        <w:t>with</w:t>
      </w:r>
      <w:r>
        <w:rPr>
          <w:spacing w:val="-13"/>
        </w:rPr>
        <w:t> </w:t>
      </w:r>
      <w:r>
        <w:rPr/>
        <w:t>extreme</w:t>
      </w:r>
      <w:r>
        <w:rPr>
          <w:spacing w:val="-13"/>
        </w:rPr>
        <w:t> </w:t>
      </w:r>
      <w:r>
        <w:rPr/>
        <w:t>or</w:t>
      </w:r>
      <w:r>
        <w:rPr>
          <w:spacing w:val="-13"/>
        </w:rPr>
        <w:t> </w:t>
      </w:r>
      <w:r>
        <w:rPr/>
        <w:t>sparse bin</w:t>
      </w:r>
      <w:r>
        <w:rPr>
          <w:spacing w:val="-9"/>
        </w:rPr>
        <w:t> </w:t>
      </w:r>
      <w:r>
        <w:rPr/>
        <w:t>distributions. The</w:t>
      </w:r>
      <w:r>
        <w:rPr>
          <w:spacing w:val="-9"/>
        </w:rPr>
        <w:t> </w:t>
      </w:r>
      <w:r>
        <w:rPr/>
        <w:t>convergence</w:t>
      </w:r>
      <w:r>
        <w:rPr>
          <w:spacing w:val="-9"/>
        </w:rPr>
        <w:t> </w:t>
      </w:r>
      <w:r>
        <w:rPr/>
        <w:t>of</w:t>
      </w:r>
      <w:r>
        <w:rPr>
          <w:spacing w:val="-9"/>
        </w:rPr>
        <w:t> </w:t>
      </w:r>
      <w:r>
        <w:rPr/>
        <w:t>all</w:t>
      </w:r>
      <w:r>
        <w:rPr>
          <w:spacing w:val="-9"/>
        </w:rPr>
        <w:t> </w:t>
      </w:r>
      <w:r>
        <w:rPr/>
        <w:t>three</w:t>
      </w:r>
      <w:r>
        <w:rPr>
          <w:spacing w:val="-9"/>
        </w:rPr>
        <w:t> </w:t>
      </w:r>
      <w:r>
        <w:rPr/>
        <w:t>strategies</w:t>
      </w:r>
      <w:r>
        <w:rPr>
          <w:spacing w:val="-9"/>
        </w:rPr>
        <w:t> </w:t>
      </w:r>
      <w:r>
        <w:rPr/>
        <w:t>on</w:t>
      </w:r>
      <w:r>
        <w:rPr>
          <w:spacing w:val="-9"/>
        </w:rPr>
        <w:t> </w:t>
      </w:r>
      <w:r>
        <w:rPr/>
        <w:t>the</w:t>
      </w:r>
      <w:r>
        <w:rPr>
          <w:spacing w:val="-9"/>
        </w:rPr>
        <w:t> </w:t>
      </w:r>
      <w:r>
        <w:rPr/>
        <w:t>same</w:t>
      </w:r>
      <w:r>
        <w:rPr>
          <w:spacing w:val="-9"/>
        </w:rPr>
        <w:t> </w:t>
      </w:r>
      <w:r>
        <w:rPr/>
        <w:t>variable</w:t>
      </w:r>
      <w:r>
        <w:rPr>
          <w:spacing w:val="-9"/>
        </w:rPr>
        <w:t> </w:t>
      </w:r>
      <w:r>
        <w:rPr/>
        <w:t>families</w:t>
      </w:r>
      <w:r>
        <w:rPr>
          <w:spacing w:val="-9"/>
        </w:rPr>
        <w:t> </w:t>
      </w:r>
      <w:r>
        <w:rPr/>
        <w:t>(confirmed in</w:t>
      </w:r>
      <w:r>
        <w:rPr>
          <w:spacing w:val="-3"/>
        </w:rPr>
        <w:t> </w:t>
      </w:r>
      <w:r>
        <w:rPr/>
        <w:t>Section</w:t>
      </w:r>
      <w:r>
        <w:rPr>
          <w:spacing w:val="-3"/>
        </w:rPr>
        <w:t> </w:t>
      </w:r>
      <w:hyperlink w:history="true" w:anchor="_bookmark84">
        <w:r>
          <w:rPr>
            <w:color w:val="8B2C18"/>
          </w:rPr>
          <w:t>4.5</w:t>
        </w:r>
      </w:hyperlink>
      <w:r>
        <w:rPr/>
        <w:t>)</w:t>
      </w:r>
      <w:r>
        <w:rPr>
          <w:spacing w:val="-3"/>
        </w:rPr>
        <w:t> </w:t>
      </w:r>
      <w:r>
        <w:rPr/>
        <w:t>is</w:t>
      </w:r>
      <w:r>
        <w:rPr>
          <w:spacing w:val="-3"/>
        </w:rPr>
        <w:t> </w:t>
      </w:r>
      <w:r>
        <w:rPr/>
        <w:t>evidence</w:t>
      </w:r>
      <w:r>
        <w:rPr>
          <w:spacing w:val="-3"/>
        </w:rPr>
        <w:t> </w:t>
      </w:r>
      <w:r>
        <w:rPr/>
        <w:t>that</w:t>
      </w:r>
      <w:r>
        <w:rPr>
          <w:spacing w:val="-3"/>
        </w:rPr>
        <w:t> </w:t>
      </w:r>
      <w:r>
        <w:rPr/>
        <w:t>the</w:t>
      </w:r>
      <w:r>
        <w:rPr>
          <w:spacing w:val="-3"/>
        </w:rPr>
        <w:t> </w:t>
      </w:r>
      <w:r>
        <w:rPr/>
        <w:t>feature</w:t>
      </w:r>
      <w:r>
        <w:rPr>
          <w:spacing w:val="-3"/>
        </w:rPr>
        <w:t> </w:t>
      </w:r>
      <w:r>
        <w:rPr/>
        <w:t>rankings</w:t>
      </w:r>
      <w:r>
        <w:rPr>
          <w:spacing w:val="-3"/>
        </w:rPr>
        <w:t> </w:t>
      </w:r>
      <w:r>
        <w:rPr/>
        <w:t>are</w:t>
      </w:r>
      <w:r>
        <w:rPr>
          <w:spacing w:val="-3"/>
        </w:rPr>
        <w:t> </w:t>
      </w:r>
      <w:r>
        <w:rPr/>
        <w:t>robust</w:t>
      </w:r>
      <w:r>
        <w:rPr>
          <w:spacing w:val="-3"/>
        </w:rPr>
        <w:t> </w:t>
      </w:r>
      <w:r>
        <w:rPr/>
        <w:t>to</w:t>
      </w:r>
      <w:r>
        <w:rPr>
          <w:spacing w:val="-3"/>
        </w:rPr>
        <w:t> </w:t>
      </w:r>
      <w:r>
        <w:rPr/>
        <w:t>the</w:t>
      </w:r>
      <w:r>
        <w:rPr>
          <w:spacing w:val="-3"/>
        </w:rPr>
        <w:t> </w:t>
      </w:r>
      <w:r>
        <w:rPr/>
        <w:t>choice</w:t>
      </w:r>
      <w:r>
        <w:rPr>
          <w:spacing w:val="-3"/>
        </w:rPr>
        <w:t> </w:t>
      </w:r>
      <w:r>
        <w:rPr/>
        <w:t>of</w:t>
      </w:r>
      <w:r>
        <w:rPr>
          <w:spacing w:val="-3"/>
        </w:rPr>
        <w:t> </w:t>
      </w:r>
      <w:r>
        <w:rPr/>
        <w:t>selection</w:t>
      </w:r>
      <w:r>
        <w:rPr>
          <w:spacing w:val="-3"/>
        </w:rPr>
        <w:t> </w:t>
      </w:r>
      <w:r>
        <w:rPr/>
        <w:t>criterion. All feature selection is performed exclusively on training data within each fold.</w:t>
      </w:r>
    </w:p>
    <w:p>
      <w:pPr>
        <w:pStyle w:val="BodyText"/>
        <w:spacing w:line="312" w:lineRule="auto" w:before="83"/>
        <w:ind w:left="135" w:right="1557" w:firstLine="345"/>
        <w:jc w:val="both"/>
      </w:pPr>
      <w:r>
        <w:rPr>
          <w:b/>
          <w:spacing w:val="-2"/>
        </w:rPr>
        <w:t>Step</w:t>
      </w:r>
      <w:r>
        <w:rPr>
          <w:b/>
          <w:spacing w:val="-10"/>
        </w:rPr>
        <w:t> </w:t>
      </w:r>
      <w:r>
        <w:rPr>
          <w:b/>
          <w:spacing w:val="-2"/>
        </w:rPr>
        <w:t>3: Rule</w:t>
      </w:r>
      <w:r>
        <w:rPr>
          <w:b/>
          <w:spacing w:val="-10"/>
        </w:rPr>
        <w:t> </w:t>
      </w:r>
      <w:r>
        <w:rPr>
          <w:b/>
          <w:spacing w:val="-2"/>
        </w:rPr>
        <w:t>induction</w:t>
      </w:r>
      <w:r>
        <w:rPr>
          <w:b/>
          <w:spacing w:val="-10"/>
        </w:rPr>
        <w:t> </w:t>
      </w:r>
      <w:r>
        <w:rPr>
          <w:b/>
          <w:spacing w:val="-2"/>
        </w:rPr>
        <w:t>via</w:t>
      </w:r>
      <w:r>
        <w:rPr>
          <w:b/>
          <w:spacing w:val="-10"/>
        </w:rPr>
        <w:t> </w:t>
      </w:r>
      <w:r>
        <w:rPr>
          <w:b/>
          <w:spacing w:val="-2"/>
        </w:rPr>
        <w:t>subgroup</w:t>
      </w:r>
      <w:r>
        <w:rPr>
          <w:b/>
          <w:spacing w:val="-10"/>
        </w:rPr>
        <w:t> </w:t>
      </w:r>
      <w:r>
        <w:rPr>
          <w:b/>
          <w:spacing w:val="-2"/>
        </w:rPr>
        <w:t>search. </w:t>
      </w:r>
      <w:r>
        <w:rPr>
          <w:spacing w:val="-2"/>
        </w:rPr>
        <w:t>CarenR</w:t>
      </w:r>
      <w:r>
        <w:rPr>
          <w:spacing w:val="-10"/>
        </w:rPr>
        <w:t> </w:t>
      </w:r>
      <w:r>
        <w:rPr>
          <w:spacing w:val="-2"/>
        </w:rPr>
        <w:t>searches</w:t>
      </w:r>
      <w:r>
        <w:rPr>
          <w:spacing w:val="-10"/>
        </w:rPr>
        <w:t> </w:t>
      </w:r>
      <w:r>
        <w:rPr>
          <w:spacing w:val="-2"/>
        </w:rPr>
        <w:t>for</w:t>
      </w:r>
      <w:r>
        <w:rPr>
          <w:spacing w:val="-10"/>
        </w:rPr>
        <w:t> </w:t>
      </w:r>
      <w:r>
        <w:rPr>
          <w:spacing w:val="-2"/>
        </w:rPr>
        <w:t>conjunctions</w:t>
      </w:r>
      <w:r>
        <w:rPr>
          <w:spacing w:val="-10"/>
        </w:rPr>
        <w:t> </w:t>
      </w:r>
      <w:r>
        <w:rPr>
          <w:spacing w:val="-2"/>
        </w:rPr>
        <w:t>of</w:t>
      </w:r>
      <w:r>
        <w:rPr>
          <w:spacing w:val="-10"/>
        </w:rPr>
        <w:t> </w:t>
      </w:r>
      <w:r>
        <w:rPr>
          <w:spacing w:val="-2"/>
        </w:rPr>
        <w:t>feature-bin </w:t>
      </w:r>
      <w:r>
        <w:rPr>
          <w:spacing w:val="-4"/>
        </w:rPr>
        <w:t>conditions (itemsets) that define subgroups with distributional shift in the target variable.</w:t>
      </w:r>
      <w:r>
        <w:rPr>
          <w:spacing w:val="19"/>
        </w:rPr>
        <w:t> </w:t>
      </w:r>
      <w:r>
        <w:rPr>
          <w:spacing w:val="-4"/>
        </w:rPr>
        <w:t>The search </w:t>
      </w:r>
      <w:r>
        <w:rPr/>
        <w:t>proceeds</w:t>
      </w:r>
      <w:r>
        <w:rPr>
          <w:spacing w:val="-9"/>
        </w:rPr>
        <w:t> </w:t>
      </w:r>
      <w:r>
        <w:rPr/>
        <w:t>breadth-first: single-condition</w:t>
      </w:r>
      <w:r>
        <w:rPr>
          <w:spacing w:val="-9"/>
        </w:rPr>
        <w:t> </w:t>
      </w:r>
      <w:r>
        <w:rPr/>
        <w:t>rules</w:t>
      </w:r>
      <w:r>
        <w:rPr>
          <w:spacing w:val="-9"/>
        </w:rPr>
        <w:t> </w:t>
      </w:r>
      <w:r>
        <w:rPr/>
        <w:t>are</w:t>
      </w:r>
      <w:r>
        <w:rPr>
          <w:spacing w:val="-9"/>
        </w:rPr>
        <w:t> </w:t>
      </w:r>
      <w:r>
        <w:rPr/>
        <w:t>evaluated</w:t>
      </w:r>
      <w:r>
        <w:rPr>
          <w:spacing w:val="-9"/>
        </w:rPr>
        <w:t> </w:t>
      </w:r>
      <w:r>
        <w:rPr/>
        <w:t>first,</w:t>
      </w:r>
      <w:r>
        <w:rPr>
          <w:spacing w:val="-9"/>
        </w:rPr>
        <w:t> </w:t>
      </w:r>
      <w:r>
        <w:rPr/>
        <w:t>then</w:t>
      </w:r>
      <w:r>
        <w:rPr>
          <w:spacing w:val="-9"/>
        </w:rPr>
        <w:t> </w:t>
      </w:r>
      <w:r>
        <w:rPr/>
        <w:t>two-condition</w:t>
      </w:r>
      <w:r>
        <w:rPr>
          <w:spacing w:val="-9"/>
        </w:rPr>
        <w:t> </w:t>
      </w:r>
      <w:r>
        <w:rPr/>
        <w:t>conjunctions are formed from the most promising single conditions, and so on up to a maximum rule length (typically</w:t>
      </w:r>
      <w:r>
        <w:rPr>
          <w:spacing w:val="-14"/>
        </w:rPr>
        <w:t> </w:t>
      </w:r>
      <w:r>
        <w:rPr/>
        <w:t>3–4</w:t>
      </w:r>
      <w:r>
        <w:rPr>
          <w:spacing w:val="-14"/>
        </w:rPr>
        <w:t> </w:t>
      </w:r>
      <w:r>
        <w:rPr/>
        <w:t>conditions).</w:t>
      </w:r>
      <w:r>
        <w:rPr>
          <w:spacing w:val="-6"/>
        </w:rPr>
        <w:t> </w:t>
      </w:r>
      <w:r>
        <w:rPr/>
        <w:t>For</w:t>
      </w:r>
      <w:r>
        <w:rPr>
          <w:spacing w:val="-13"/>
        </w:rPr>
        <w:t> </w:t>
      </w:r>
      <w:r>
        <w:rPr/>
        <w:t>each</w:t>
      </w:r>
      <w:r>
        <w:rPr>
          <w:spacing w:val="-14"/>
        </w:rPr>
        <w:t> </w:t>
      </w:r>
      <w:r>
        <w:rPr/>
        <w:t>candidate</w:t>
      </w:r>
      <w:r>
        <w:rPr>
          <w:spacing w:val="-14"/>
        </w:rPr>
        <w:t> </w:t>
      </w:r>
      <w:r>
        <w:rPr/>
        <w:t>subgroup,</w:t>
      </w:r>
      <w:r>
        <w:rPr>
          <w:spacing w:val="-14"/>
        </w:rPr>
        <w:t> </w:t>
      </w:r>
      <w:r>
        <w:rPr/>
        <w:t>the</w:t>
      </w:r>
      <w:r>
        <w:rPr>
          <w:spacing w:val="-13"/>
        </w:rPr>
        <w:t> </w:t>
      </w:r>
      <w:r>
        <w:rPr/>
        <w:t>observations</w:t>
      </w:r>
      <w:r>
        <w:rPr>
          <w:spacing w:val="-14"/>
        </w:rPr>
        <w:t> </w:t>
      </w:r>
      <w:r>
        <w:rPr/>
        <w:t>satisfying</w:t>
      </w:r>
      <w:r>
        <w:rPr>
          <w:spacing w:val="-14"/>
        </w:rPr>
        <w:t> </w:t>
      </w:r>
      <w:r>
        <w:rPr/>
        <w:t>all</w:t>
      </w:r>
      <w:r>
        <w:rPr>
          <w:spacing w:val="-14"/>
        </w:rPr>
        <w:t> </w:t>
      </w:r>
      <w:r>
        <w:rPr/>
        <w:t>conditions are</w:t>
      </w:r>
      <w:r>
        <w:rPr>
          <w:spacing w:val="-12"/>
        </w:rPr>
        <w:t> </w:t>
      </w:r>
      <w:r>
        <w:rPr/>
        <w:t>identified</w:t>
      </w:r>
      <w:r>
        <w:rPr>
          <w:spacing w:val="-12"/>
        </w:rPr>
        <w:t> </w:t>
      </w:r>
      <w:r>
        <w:rPr/>
        <w:t>—</w:t>
      </w:r>
      <w:r>
        <w:rPr>
          <w:spacing w:val="-12"/>
        </w:rPr>
        <w:t> </w:t>
      </w:r>
      <w:r>
        <w:rPr/>
        <w:t>for</w:t>
      </w:r>
      <w:r>
        <w:rPr>
          <w:spacing w:val="-12"/>
        </w:rPr>
        <w:t> </w:t>
      </w:r>
      <w:r>
        <w:rPr/>
        <w:t>Goal</w:t>
      </w:r>
      <w:r>
        <w:rPr>
          <w:spacing w:val="-12"/>
        </w:rPr>
        <w:t> </w:t>
      </w:r>
      <w:r>
        <w:rPr/>
        <w:t>1</w:t>
      </w:r>
      <w:r>
        <w:rPr>
          <w:spacing w:val="-12"/>
        </w:rPr>
        <w:t> </w:t>
      </w:r>
      <w:r>
        <w:rPr/>
        <w:t>this</w:t>
      </w:r>
      <w:r>
        <w:rPr>
          <w:spacing w:val="-12"/>
        </w:rPr>
        <w:t> </w:t>
      </w:r>
      <w:r>
        <w:rPr/>
        <w:t>is</w:t>
      </w:r>
      <w:r>
        <w:rPr>
          <w:spacing w:val="-12"/>
        </w:rPr>
        <w:t> </w:t>
      </w:r>
      <w:r>
        <w:rPr/>
        <w:t>the</w:t>
      </w:r>
      <w:r>
        <w:rPr>
          <w:spacing w:val="-12"/>
        </w:rPr>
        <w:t> </w:t>
      </w:r>
      <w:r>
        <w:rPr/>
        <w:t>full</w:t>
      </w:r>
      <w:r>
        <w:rPr>
          <w:spacing w:val="-12"/>
        </w:rPr>
        <w:t> </w:t>
      </w:r>
      <w:r>
        <w:rPr/>
        <w:t>historical</w:t>
      </w:r>
      <w:r>
        <w:rPr>
          <w:spacing w:val="-12"/>
        </w:rPr>
        <w:t> </w:t>
      </w:r>
      <w:r>
        <w:rPr/>
        <w:t>dataset;</w:t>
      </w:r>
      <w:r>
        <w:rPr>
          <w:spacing w:val="-12"/>
        </w:rPr>
        <w:t> </w:t>
      </w:r>
      <w:r>
        <w:rPr/>
        <w:t>for</w:t>
      </w:r>
      <w:r>
        <w:rPr>
          <w:spacing w:val="-12"/>
        </w:rPr>
        <w:t> </w:t>
      </w:r>
      <w:r>
        <w:rPr/>
        <w:t>Goal</w:t>
      </w:r>
      <w:r>
        <w:rPr>
          <w:spacing w:val="-12"/>
        </w:rPr>
        <w:t> </w:t>
      </w:r>
      <w:r>
        <w:rPr/>
        <w:t>2</w:t>
      </w:r>
      <w:r>
        <w:rPr>
          <w:spacing w:val="-12"/>
        </w:rPr>
        <w:t> </w:t>
      </w:r>
      <w:r>
        <w:rPr/>
        <w:t>it</w:t>
      </w:r>
      <w:r>
        <w:rPr>
          <w:spacing w:val="-12"/>
        </w:rPr>
        <w:t> </w:t>
      </w:r>
      <w:r>
        <w:rPr/>
        <w:t>is</w:t>
      </w:r>
      <w:r>
        <w:rPr>
          <w:spacing w:val="-12"/>
        </w:rPr>
        <w:t> </w:t>
      </w:r>
      <w:r>
        <w:rPr/>
        <w:t>the</w:t>
      </w:r>
      <w:r>
        <w:rPr>
          <w:spacing w:val="-12"/>
        </w:rPr>
        <w:t> </w:t>
      </w:r>
      <w:r>
        <w:rPr/>
        <w:t>training</w:t>
      </w:r>
      <w:r>
        <w:rPr>
          <w:spacing w:val="-12"/>
        </w:rPr>
        <w:t> </w:t>
      </w:r>
      <w:r>
        <w:rPr/>
        <w:t>fold</w:t>
      </w:r>
      <w:r>
        <w:rPr>
          <w:spacing w:val="-12"/>
        </w:rPr>
        <w:t> </w:t>
      </w:r>
      <w:r>
        <w:rPr/>
        <w:t>—</w:t>
      </w:r>
      <w:r>
        <w:rPr>
          <w:spacing w:val="-12"/>
        </w:rPr>
        <w:t> </w:t>
      </w:r>
      <w:r>
        <w:rPr/>
        <w:t>and </w:t>
      </w:r>
      <w:r>
        <w:rPr>
          <w:spacing w:val="-2"/>
        </w:rPr>
        <w:t>a</w:t>
      </w:r>
      <w:r>
        <w:rPr>
          <w:spacing w:val="-8"/>
        </w:rPr>
        <w:t> </w:t>
      </w:r>
      <w:r>
        <w:rPr>
          <w:spacing w:val="-2"/>
        </w:rPr>
        <w:t>two-sample</w:t>
      </w:r>
      <w:r>
        <w:rPr>
          <w:spacing w:val="-8"/>
        </w:rPr>
        <w:t> </w:t>
      </w:r>
      <w:r>
        <w:rPr>
          <w:spacing w:val="-2"/>
        </w:rPr>
        <w:t>Kolmogorov–Smirnov</w:t>
      </w:r>
      <w:r>
        <w:rPr>
          <w:spacing w:val="-8"/>
        </w:rPr>
        <w:t> </w:t>
      </w:r>
      <w:r>
        <w:rPr>
          <w:spacing w:val="-2"/>
        </w:rPr>
        <w:t>(KS)</w:t>
      </w:r>
      <w:r>
        <w:rPr>
          <w:spacing w:val="-8"/>
        </w:rPr>
        <w:t> </w:t>
      </w:r>
      <w:r>
        <w:rPr>
          <w:spacing w:val="-2"/>
        </w:rPr>
        <w:t>test</w:t>
      </w:r>
      <w:r>
        <w:rPr>
          <w:spacing w:val="-8"/>
        </w:rPr>
        <w:t> </w:t>
      </w:r>
      <w:r>
        <w:rPr>
          <w:spacing w:val="-2"/>
        </w:rPr>
        <w:t>is</w:t>
      </w:r>
      <w:r>
        <w:rPr>
          <w:spacing w:val="-8"/>
        </w:rPr>
        <w:t> </w:t>
      </w:r>
      <w:r>
        <w:rPr>
          <w:spacing w:val="-2"/>
        </w:rPr>
        <w:t>performed</w:t>
      </w:r>
      <w:r>
        <w:rPr>
          <w:spacing w:val="-8"/>
        </w:rPr>
        <w:t> </w:t>
      </w:r>
      <w:r>
        <w:rPr>
          <w:spacing w:val="-2"/>
        </w:rPr>
        <w:t>comparing</w:t>
      </w:r>
      <w:r>
        <w:rPr>
          <w:spacing w:val="-8"/>
        </w:rPr>
        <w:t> </w:t>
      </w:r>
      <w:r>
        <w:rPr>
          <w:spacing w:val="-2"/>
        </w:rPr>
        <w:t>the</w:t>
      </w:r>
      <w:r>
        <w:rPr>
          <w:spacing w:val="-8"/>
        </w:rPr>
        <w:t> </w:t>
      </w:r>
      <w:r>
        <w:rPr>
          <w:spacing w:val="-2"/>
        </w:rPr>
        <w:t>target</w:t>
      </w:r>
      <w:r>
        <w:rPr>
          <w:spacing w:val="-8"/>
        </w:rPr>
        <w:t> </w:t>
      </w:r>
      <w:r>
        <w:rPr>
          <w:spacing w:val="-2"/>
        </w:rPr>
        <w:t>distribution</w:t>
      </w:r>
      <w:r>
        <w:rPr>
          <w:spacing w:val="-8"/>
        </w:rPr>
        <w:t> </w:t>
      </w:r>
      <w:r>
        <w:rPr>
          <w:spacing w:val="-2"/>
        </w:rPr>
        <w:t>in</w:t>
      </w:r>
      <w:r>
        <w:rPr>
          <w:spacing w:val="-8"/>
        </w:rPr>
        <w:t> </w:t>
      </w:r>
      <w:r>
        <w:rPr>
          <w:spacing w:val="-2"/>
        </w:rPr>
        <w:t>the </w:t>
      </w:r>
      <w:r>
        <w:rPr/>
        <w:t>subgroup against the global distribution.</w:t>
      </w:r>
    </w:p>
    <w:p>
      <w:pPr>
        <w:pStyle w:val="BodyText"/>
        <w:spacing w:line="312" w:lineRule="auto" w:before="60"/>
        <w:ind w:left="142" w:right="1557" w:firstLine="338"/>
        <w:jc w:val="both"/>
      </w:pPr>
      <w:r>
        <w:rPr>
          <w:b/>
        </w:rPr>
        <w:t>Step</w:t>
      </w:r>
      <w:r>
        <w:rPr>
          <w:b/>
          <w:spacing w:val="-3"/>
        </w:rPr>
        <w:t> </w:t>
      </w:r>
      <w:r>
        <w:rPr>
          <w:b/>
        </w:rPr>
        <w:t>4: The</w:t>
      </w:r>
      <w:r>
        <w:rPr>
          <w:b/>
          <w:spacing w:val="-3"/>
        </w:rPr>
        <w:t> </w:t>
      </w:r>
      <w:r>
        <w:rPr>
          <w:b/>
        </w:rPr>
        <w:t>Kolmogorov–Smirnov</w:t>
      </w:r>
      <w:r>
        <w:rPr>
          <w:b/>
          <w:spacing w:val="-3"/>
        </w:rPr>
        <w:t> </w:t>
      </w:r>
      <w:r>
        <w:rPr>
          <w:b/>
        </w:rPr>
        <w:t>test. </w:t>
      </w:r>
      <w:r>
        <w:rPr/>
        <w:t>The</w:t>
      </w:r>
      <w:r>
        <w:rPr>
          <w:spacing w:val="-3"/>
        </w:rPr>
        <w:t> </w:t>
      </w:r>
      <w:r>
        <w:rPr/>
        <w:t>KS</w:t>
      </w:r>
      <w:r>
        <w:rPr>
          <w:spacing w:val="-3"/>
        </w:rPr>
        <w:t> </w:t>
      </w:r>
      <w:r>
        <w:rPr/>
        <w:t>test</w:t>
      </w:r>
      <w:r>
        <w:rPr>
          <w:spacing w:val="-3"/>
        </w:rPr>
        <w:t> </w:t>
      </w:r>
      <w:r>
        <w:rPr/>
        <w:t>is</w:t>
      </w:r>
      <w:r>
        <w:rPr>
          <w:spacing w:val="-3"/>
        </w:rPr>
        <w:t> </w:t>
      </w:r>
      <w:r>
        <w:rPr/>
        <w:t>a</w:t>
      </w:r>
      <w:r>
        <w:rPr>
          <w:spacing w:val="-3"/>
        </w:rPr>
        <w:t> </w:t>
      </w:r>
      <w:r>
        <w:rPr/>
        <w:t>non-parametric</w:t>
      </w:r>
      <w:r>
        <w:rPr>
          <w:spacing w:val="-3"/>
        </w:rPr>
        <w:t> </w:t>
      </w:r>
      <w:r>
        <w:rPr/>
        <w:t>statistical</w:t>
      </w:r>
      <w:r>
        <w:rPr>
          <w:spacing w:val="-3"/>
        </w:rPr>
        <w:t> </w:t>
      </w:r>
      <w:r>
        <w:rPr/>
        <w:t>test</w:t>
      </w:r>
      <w:r>
        <w:rPr>
          <w:spacing w:val="-3"/>
        </w:rPr>
        <w:t> </w:t>
      </w:r>
      <w:r>
        <w:rPr/>
        <w:t>that compares two empirical cumulative distribution functions (ECDFs).</w:t>
      </w:r>
      <w:r>
        <w:rPr>
          <w:spacing w:val="40"/>
        </w:rPr>
        <w:t> </w:t>
      </w:r>
      <w:r>
        <w:rPr/>
        <w:t>Given a subgroup </w:t>
      </w:r>
      <w:r>
        <w:rPr>
          <w:i/>
        </w:rPr>
        <w:t>S </w:t>
      </w:r>
      <w:r>
        <w:rPr/>
        <w:t>of </w:t>
      </w:r>
      <w:r>
        <w:rPr>
          <w:i/>
        </w:rPr>
        <w:t>n</w:t>
      </w:r>
      <w:r>
        <w:rPr>
          <w:i/>
          <w:vertAlign w:val="subscript"/>
        </w:rPr>
        <w:t>S</w:t>
      </w:r>
      <w:r>
        <w:rPr>
          <w:i/>
          <w:vertAlign w:val="baseline"/>
        </w:rPr>
        <w:t> </w:t>
      </w:r>
      <w:r>
        <w:rPr>
          <w:spacing w:val="-2"/>
          <w:vertAlign w:val="baseline"/>
        </w:rPr>
        <w:t>observations</w:t>
      </w:r>
      <w:r>
        <w:rPr>
          <w:spacing w:val="-8"/>
          <w:vertAlign w:val="baseline"/>
        </w:rPr>
        <w:t> </w:t>
      </w:r>
      <w:r>
        <w:rPr>
          <w:spacing w:val="-2"/>
          <w:vertAlign w:val="baseline"/>
        </w:rPr>
        <w:t>and</w:t>
      </w:r>
      <w:r>
        <w:rPr>
          <w:spacing w:val="-8"/>
          <w:vertAlign w:val="baseline"/>
        </w:rPr>
        <w:t> </w:t>
      </w:r>
      <w:r>
        <w:rPr>
          <w:spacing w:val="-2"/>
          <w:vertAlign w:val="baseline"/>
        </w:rPr>
        <w:t>the</w:t>
      </w:r>
      <w:r>
        <w:rPr>
          <w:spacing w:val="-8"/>
          <w:vertAlign w:val="baseline"/>
        </w:rPr>
        <w:t> </w:t>
      </w:r>
      <w:r>
        <w:rPr>
          <w:spacing w:val="-2"/>
          <w:vertAlign w:val="baseline"/>
        </w:rPr>
        <w:t>global</w:t>
      </w:r>
      <w:r>
        <w:rPr>
          <w:spacing w:val="-8"/>
          <w:vertAlign w:val="baseline"/>
        </w:rPr>
        <w:t> </w:t>
      </w:r>
      <w:r>
        <w:rPr>
          <w:spacing w:val="-2"/>
          <w:vertAlign w:val="baseline"/>
        </w:rPr>
        <w:t>reference</w:t>
      </w:r>
      <w:r>
        <w:rPr>
          <w:spacing w:val="-8"/>
          <w:vertAlign w:val="baseline"/>
        </w:rPr>
        <w:t> </w:t>
      </w:r>
      <w:r>
        <w:rPr>
          <w:spacing w:val="-2"/>
          <w:vertAlign w:val="baseline"/>
        </w:rPr>
        <w:t>set</w:t>
      </w:r>
      <w:r>
        <w:rPr>
          <w:spacing w:val="-8"/>
          <w:vertAlign w:val="baseline"/>
        </w:rPr>
        <w:t> </w:t>
      </w:r>
      <w:r>
        <w:rPr>
          <w:spacing w:val="-2"/>
          <w:vertAlign w:val="baseline"/>
        </w:rPr>
        <w:t>of</w:t>
      </w:r>
      <w:r>
        <w:rPr>
          <w:spacing w:val="-8"/>
          <w:vertAlign w:val="baseline"/>
        </w:rPr>
        <w:t> </w:t>
      </w:r>
      <w:r>
        <w:rPr>
          <w:i/>
          <w:spacing w:val="-2"/>
          <w:vertAlign w:val="baseline"/>
        </w:rPr>
        <w:t>n</w:t>
      </w:r>
      <w:r>
        <w:rPr>
          <w:i/>
          <w:spacing w:val="-2"/>
          <w:vertAlign w:val="subscript"/>
        </w:rPr>
        <w:t>T</w:t>
      </w:r>
      <w:r>
        <w:rPr>
          <w:i/>
          <w:spacing w:val="20"/>
          <w:vertAlign w:val="baseline"/>
        </w:rPr>
        <w:t> </w:t>
      </w:r>
      <w:r>
        <w:rPr>
          <w:spacing w:val="-2"/>
          <w:vertAlign w:val="baseline"/>
        </w:rPr>
        <w:t>observations</w:t>
      </w:r>
      <w:r>
        <w:rPr>
          <w:spacing w:val="-8"/>
          <w:vertAlign w:val="baseline"/>
        </w:rPr>
        <w:t> </w:t>
      </w:r>
      <w:r>
        <w:rPr>
          <w:spacing w:val="-2"/>
          <w:vertAlign w:val="baseline"/>
        </w:rPr>
        <w:t>(the</w:t>
      </w:r>
      <w:r>
        <w:rPr>
          <w:spacing w:val="-8"/>
          <w:vertAlign w:val="baseline"/>
        </w:rPr>
        <w:t> </w:t>
      </w:r>
      <w:r>
        <w:rPr>
          <w:spacing w:val="-2"/>
          <w:vertAlign w:val="baseline"/>
        </w:rPr>
        <w:t>full</w:t>
      </w:r>
      <w:r>
        <w:rPr>
          <w:spacing w:val="-8"/>
          <w:vertAlign w:val="baseline"/>
        </w:rPr>
        <w:t> </w:t>
      </w:r>
      <w:r>
        <w:rPr>
          <w:spacing w:val="-2"/>
          <w:vertAlign w:val="baseline"/>
        </w:rPr>
        <w:t>dataset</w:t>
      </w:r>
      <w:r>
        <w:rPr>
          <w:spacing w:val="-8"/>
          <w:vertAlign w:val="baseline"/>
        </w:rPr>
        <w:t> </w:t>
      </w:r>
      <w:r>
        <w:rPr>
          <w:spacing w:val="-2"/>
          <w:vertAlign w:val="baseline"/>
        </w:rPr>
        <w:t>for</w:t>
      </w:r>
      <w:r>
        <w:rPr>
          <w:spacing w:val="-8"/>
          <w:vertAlign w:val="baseline"/>
        </w:rPr>
        <w:t> </w:t>
      </w:r>
      <w:r>
        <w:rPr>
          <w:spacing w:val="-2"/>
          <w:vertAlign w:val="baseline"/>
        </w:rPr>
        <w:t>Goal</w:t>
      </w:r>
      <w:r>
        <w:rPr>
          <w:spacing w:val="-8"/>
          <w:vertAlign w:val="baseline"/>
        </w:rPr>
        <w:t> </w:t>
      </w:r>
      <w:r>
        <w:rPr>
          <w:spacing w:val="-2"/>
          <w:vertAlign w:val="baseline"/>
        </w:rPr>
        <w:t>1,</w:t>
      </w:r>
      <w:r>
        <w:rPr>
          <w:spacing w:val="-8"/>
          <w:vertAlign w:val="baseline"/>
        </w:rPr>
        <w:t> </w:t>
      </w:r>
      <w:r>
        <w:rPr>
          <w:spacing w:val="-2"/>
          <w:vertAlign w:val="baseline"/>
        </w:rPr>
        <w:t>the</w:t>
      </w:r>
      <w:r>
        <w:rPr>
          <w:spacing w:val="-8"/>
          <w:vertAlign w:val="baseline"/>
        </w:rPr>
        <w:t> </w:t>
      </w:r>
      <w:r>
        <w:rPr>
          <w:spacing w:val="-2"/>
          <w:vertAlign w:val="baseline"/>
        </w:rPr>
        <w:t>training </w:t>
      </w:r>
      <w:r>
        <w:rPr>
          <w:vertAlign w:val="baseline"/>
        </w:rPr>
        <w:t>fold</w:t>
      </w:r>
      <w:r>
        <w:rPr>
          <w:spacing w:val="-3"/>
          <w:vertAlign w:val="baseline"/>
        </w:rPr>
        <w:t> </w:t>
      </w:r>
      <w:r>
        <w:rPr>
          <w:vertAlign w:val="baseline"/>
        </w:rPr>
        <w:t>for</w:t>
      </w:r>
      <w:r>
        <w:rPr>
          <w:spacing w:val="-3"/>
          <w:vertAlign w:val="baseline"/>
        </w:rPr>
        <w:t> </w:t>
      </w:r>
      <w:r>
        <w:rPr>
          <w:vertAlign w:val="baseline"/>
        </w:rPr>
        <w:t>Goal</w:t>
      </w:r>
      <w:r>
        <w:rPr>
          <w:spacing w:val="-3"/>
          <w:vertAlign w:val="baseline"/>
        </w:rPr>
        <w:t> </w:t>
      </w:r>
      <w:r>
        <w:rPr>
          <w:vertAlign w:val="baseline"/>
        </w:rPr>
        <w:t>2),</w:t>
      </w:r>
      <w:r>
        <w:rPr>
          <w:spacing w:val="-3"/>
          <w:vertAlign w:val="baseline"/>
        </w:rPr>
        <w:t> </w:t>
      </w:r>
      <w:r>
        <w:rPr>
          <w:vertAlign w:val="baseline"/>
        </w:rPr>
        <w:t>the</w:t>
      </w:r>
      <w:r>
        <w:rPr>
          <w:spacing w:val="-3"/>
          <w:vertAlign w:val="baseline"/>
        </w:rPr>
        <w:t> </w:t>
      </w:r>
      <w:r>
        <w:rPr>
          <w:vertAlign w:val="baseline"/>
        </w:rPr>
        <w:t>KS</w:t>
      </w:r>
      <w:r>
        <w:rPr>
          <w:spacing w:val="-3"/>
          <w:vertAlign w:val="baseline"/>
        </w:rPr>
        <w:t> </w:t>
      </w:r>
      <w:r>
        <w:rPr>
          <w:vertAlign w:val="baseline"/>
        </w:rPr>
        <w:t>statistic</w:t>
      </w:r>
      <w:r>
        <w:rPr>
          <w:spacing w:val="-3"/>
          <w:vertAlign w:val="baseline"/>
        </w:rPr>
        <w:t> </w:t>
      </w:r>
      <w:r>
        <w:rPr>
          <w:i/>
          <w:vertAlign w:val="baseline"/>
        </w:rPr>
        <w:t>D</w:t>
      </w:r>
      <w:r>
        <w:rPr>
          <w:i/>
          <w:spacing w:val="-3"/>
          <w:vertAlign w:val="baseline"/>
        </w:rPr>
        <w:t> </w:t>
      </w:r>
      <w:r>
        <w:rPr>
          <w:vertAlign w:val="baseline"/>
        </w:rPr>
        <w:t>is</w:t>
      </w:r>
      <w:r>
        <w:rPr>
          <w:spacing w:val="-3"/>
          <w:vertAlign w:val="baseline"/>
        </w:rPr>
        <w:t> </w:t>
      </w:r>
      <w:r>
        <w:rPr>
          <w:vertAlign w:val="baseline"/>
        </w:rPr>
        <w:t>the</w:t>
      </w:r>
      <w:r>
        <w:rPr>
          <w:spacing w:val="-3"/>
          <w:vertAlign w:val="baseline"/>
        </w:rPr>
        <w:t> </w:t>
      </w:r>
      <w:r>
        <w:rPr>
          <w:vertAlign w:val="baseline"/>
        </w:rPr>
        <w:t>maximum</w:t>
      </w:r>
      <w:r>
        <w:rPr>
          <w:spacing w:val="-3"/>
          <w:vertAlign w:val="baseline"/>
        </w:rPr>
        <w:t> </w:t>
      </w:r>
      <w:r>
        <w:rPr>
          <w:vertAlign w:val="baseline"/>
        </w:rPr>
        <w:t>absolute</w:t>
      </w:r>
      <w:r>
        <w:rPr>
          <w:spacing w:val="-3"/>
          <w:vertAlign w:val="baseline"/>
        </w:rPr>
        <w:t> </w:t>
      </w:r>
      <w:r>
        <w:rPr>
          <w:vertAlign w:val="baseline"/>
        </w:rPr>
        <w:t>difference</w:t>
      </w:r>
      <w:r>
        <w:rPr>
          <w:spacing w:val="-3"/>
          <w:vertAlign w:val="baseline"/>
        </w:rPr>
        <w:t> </w:t>
      </w:r>
      <w:r>
        <w:rPr>
          <w:vertAlign w:val="baseline"/>
        </w:rPr>
        <w:t>between</w:t>
      </w:r>
      <w:r>
        <w:rPr>
          <w:spacing w:val="-3"/>
          <w:vertAlign w:val="baseline"/>
        </w:rPr>
        <w:t> </w:t>
      </w:r>
      <w:r>
        <w:rPr>
          <w:vertAlign w:val="baseline"/>
        </w:rPr>
        <w:t>the</w:t>
      </w:r>
      <w:r>
        <w:rPr>
          <w:spacing w:val="-3"/>
          <w:vertAlign w:val="baseline"/>
        </w:rPr>
        <w:t> </w:t>
      </w:r>
      <w:r>
        <w:rPr>
          <w:vertAlign w:val="baseline"/>
        </w:rPr>
        <w:t>two</w:t>
      </w:r>
      <w:r>
        <w:rPr>
          <w:spacing w:val="-3"/>
          <w:vertAlign w:val="baseline"/>
        </w:rPr>
        <w:t> </w:t>
      </w:r>
      <w:r>
        <w:rPr>
          <w:vertAlign w:val="baseline"/>
        </w:rPr>
        <w:t>ECDFs:</w:t>
      </w:r>
    </w:p>
    <w:p>
      <w:pPr>
        <w:pStyle w:val="BodyText"/>
        <w:spacing w:before="71"/>
      </w:pPr>
    </w:p>
    <w:p>
      <w:pPr>
        <w:tabs>
          <w:tab w:pos="8242" w:val="left" w:leader="none"/>
        </w:tabs>
        <w:spacing w:before="0"/>
        <w:ind w:left="3323" w:right="0" w:firstLine="0"/>
        <w:jc w:val="left"/>
        <w:rPr>
          <w:sz w:val="22"/>
        </w:rPr>
      </w:pPr>
      <w:r>
        <w:rPr>
          <w:sz w:val="22"/>
        </w:rPr>
        <mc:AlternateContent>
          <mc:Choice Requires="wps">
            <w:drawing>
              <wp:anchor distT="0" distB="0" distL="0" distR="0" allowOverlap="1" layoutInCell="1" locked="0" behindDoc="1" simplePos="0" relativeHeight="479857152">
                <wp:simplePos x="0" y="0"/>
                <wp:positionH relativeFrom="page">
                  <wp:posOffset>3286036</wp:posOffset>
                </wp:positionH>
                <wp:positionV relativeFrom="paragraph">
                  <wp:posOffset>163417</wp:posOffset>
                </wp:positionV>
                <wp:extent cx="45085" cy="12128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45085" cy="121285"/>
                        </a:xfrm>
                        <a:prstGeom prst="rect">
                          <a:avLst/>
                        </a:prstGeom>
                      </wps:spPr>
                      <wps:txbx>
                        <w:txbxContent>
                          <w:p>
                            <w:pPr>
                              <w:spacing w:line="182" w:lineRule="exact" w:before="0"/>
                              <w:ind w:left="0" w:right="0" w:firstLine="0"/>
                              <w:jc w:val="left"/>
                              <w:rPr>
                                <w:i/>
                                <w:sz w:val="16"/>
                              </w:rPr>
                            </w:pPr>
                            <w:r>
                              <w:rPr>
                                <w:i/>
                                <w:spacing w:val="-12"/>
                                <w:sz w:val="16"/>
                              </w:rPr>
                              <w:t>x</w:t>
                            </w:r>
                          </w:p>
                        </w:txbxContent>
                      </wps:txbx>
                      <wps:bodyPr wrap="square" lIns="0" tIns="0" rIns="0" bIns="0" rtlCol="0">
                        <a:noAutofit/>
                      </wps:bodyPr>
                    </wps:wsp>
                  </a:graphicData>
                </a:graphic>
              </wp:anchor>
            </w:drawing>
          </mc:Choice>
          <mc:Fallback>
            <w:pict>
              <v:shape style="position:absolute;margin-left:258.743011pt;margin-top:12.867555pt;width:3.55pt;height:9.550pt;mso-position-horizontal-relative:page;mso-position-vertical-relative:paragraph;z-index:-23459328" type="#_x0000_t202" id="docshape61" filled="false" stroked="false">
                <v:textbox inset="0,0,0,0">
                  <w:txbxContent>
                    <w:p>
                      <w:pPr>
                        <w:spacing w:line="182" w:lineRule="exact" w:before="0"/>
                        <w:ind w:left="0" w:right="0" w:firstLine="0"/>
                        <w:jc w:val="left"/>
                        <w:rPr>
                          <w:i/>
                          <w:sz w:val="16"/>
                        </w:rPr>
                      </w:pPr>
                      <w:r>
                        <w:rPr>
                          <w:i/>
                          <w:spacing w:val="-12"/>
                          <w:sz w:val="16"/>
                        </w:rPr>
                        <w:t>x</w:t>
                      </w:r>
                    </w:p>
                  </w:txbxContent>
                </v:textbox>
                <w10:wrap type="none"/>
              </v:shape>
            </w:pict>
          </mc:Fallback>
        </mc:AlternateContent>
      </w:r>
      <w:r>
        <w:rPr>
          <w:i/>
          <w:spacing w:val="-4"/>
          <w:sz w:val="22"/>
        </w:rPr>
        <w:t>D</w:t>
      </w:r>
      <w:r>
        <w:rPr>
          <w:i/>
          <w:spacing w:val="-6"/>
          <w:sz w:val="22"/>
        </w:rPr>
        <w:t> </w:t>
      </w:r>
      <w:r>
        <w:rPr>
          <w:rFonts w:ascii="Lucida Sans Unicode" w:hAnsi="Lucida Sans Unicode"/>
          <w:spacing w:val="-4"/>
          <w:sz w:val="22"/>
        </w:rPr>
        <w:t>=</w:t>
      </w:r>
      <w:r>
        <w:rPr>
          <w:rFonts w:ascii="Lucida Sans Unicode" w:hAnsi="Lucida Sans Unicode"/>
          <w:spacing w:val="-21"/>
          <w:sz w:val="22"/>
        </w:rPr>
        <w:t> </w:t>
      </w:r>
      <w:r>
        <w:rPr>
          <w:spacing w:val="-4"/>
          <w:sz w:val="22"/>
        </w:rPr>
        <w:t>max</w:t>
      </w:r>
      <w:r>
        <w:rPr>
          <w:spacing w:val="-31"/>
          <w:sz w:val="22"/>
        </w:rPr>
        <w:t> </w:t>
      </w:r>
      <w:r>
        <w:rPr>
          <w:rFonts w:ascii="Meiryo UI" w:hAnsi="Meiryo UI"/>
          <w:i/>
          <w:spacing w:val="-4"/>
          <w:sz w:val="22"/>
        </w:rPr>
        <w:t>|</w:t>
      </w:r>
      <w:r>
        <w:rPr>
          <w:i/>
          <w:spacing w:val="-4"/>
          <w:sz w:val="22"/>
        </w:rPr>
        <w:t>F</w:t>
      </w:r>
      <w:r>
        <w:rPr>
          <w:i/>
          <w:spacing w:val="-4"/>
          <w:sz w:val="22"/>
          <w:vertAlign w:val="subscript"/>
        </w:rPr>
        <w:t>S</w:t>
      </w:r>
      <w:r>
        <w:rPr>
          <w:rFonts w:ascii="Lucida Sans Unicode" w:hAnsi="Lucida Sans Unicode"/>
          <w:spacing w:val="-4"/>
          <w:sz w:val="22"/>
          <w:vertAlign w:val="baseline"/>
        </w:rPr>
        <w:t>(</w:t>
      </w:r>
      <w:r>
        <w:rPr>
          <w:i/>
          <w:spacing w:val="-4"/>
          <w:sz w:val="22"/>
          <w:vertAlign w:val="baseline"/>
        </w:rPr>
        <w:t>x</w:t>
      </w:r>
      <w:r>
        <w:rPr>
          <w:rFonts w:ascii="Lucida Sans Unicode" w:hAnsi="Lucida Sans Unicode"/>
          <w:spacing w:val="-4"/>
          <w:sz w:val="22"/>
          <w:vertAlign w:val="baseline"/>
        </w:rPr>
        <w:t>)</w:t>
      </w:r>
      <w:r>
        <w:rPr>
          <w:rFonts w:ascii="Lucida Sans Unicode" w:hAnsi="Lucida Sans Unicode"/>
          <w:spacing w:val="-39"/>
          <w:sz w:val="22"/>
          <w:vertAlign w:val="baseline"/>
        </w:rPr>
        <w:t> </w:t>
      </w:r>
      <w:r>
        <w:rPr>
          <w:rFonts w:ascii="Meiryo UI" w:hAnsi="Meiryo UI"/>
          <w:i/>
          <w:spacing w:val="-4"/>
          <w:sz w:val="22"/>
          <w:vertAlign w:val="baseline"/>
        </w:rPr>
        <w:t>−</w:t>
      </w:r>
      <w:r>
        <w:rPr>
          <w:rFonts w:ascii="Meiryo UI" w:hAnsi="Meiryo UI"/>
          <w:i/>
          <w:spacing w:val="-45"/>
          <w:sz w:val="22"/>
          <w:vertAlign w:val="baseline"/>
        </w:rPr>
        <w:t> </w:t>
      </w:r>
      <w:r>
        <w:rPr>
          <w:i/>
          <w:spacing w:val="-4"/>
          <w:sz w:val="22"/>
          <w:vertAlign w:val="baseline"/>
        </w:rPr>
        <w:t>F</w:t>
      </w:r>
      <w:r>
        <w:rPr>
          <w:i/>
          <w:spacing w:val="-4"/>
          <w:sz w:val="22"/>
          <w:vertAlign w:val="subscript"/>
        </w:rPr>
        <w:t>T</w:t>
      </w:r>
      <w:r>
        <w:rPr>
          <w:i/>
          <w:spacing w:val="-24"/>
          <w:sz w:val="22"/>
          <w:vertAlign w:val="baseline"/>
        </w:rPr>
        <w:t> </w:t>
      </w:r>
      <w:r>
        <w:rPr>
          <w:rFonts w:ascii="Lucida Sans Unicode" w:hAnsi="Lucida Sans Unicode"/>
          <w:spacing w:val="-4"/>
          <w:sz w:val="22"/>
          <w:vertAlign w:val="baseline"/>
        </w:rPr>
        <w:t>(</w:t>
      </w:r>
      <w:r>
        <w:rPr>
          <w:i/>
          <w:spacing w:val="-4"/>
          <w:sz w:val="22"/>
          <w:vertAlign w:val="baseline"/>
        </w:rPr>
        <w:t>x</w:t>
      </w:r>
      <w:r>
        <w:rPr>
          <w:rFonts w:ascii="Lucida Sans Unicode" w:hAnsi="Lucida Sans Unicode"/>
          <w:spacing w:val="-4"/>
          <w:sz w:val="22"/>
          <w:vertAlign w:val="baseline"/>
        </w:rPr>
        <w:t>)</w:t>
      </w:r>
      <w:r>
        <w:rPr>
          <w:rFonts w:ascii="Meiryo UI" w:hAnsi="Meiryo UI"/>
          <w:i/>
          <w:spacing w:val="-4"/>
          <w:sz w:val="22"/>
          <w:vertAlign w:val="baseline"/>
        </w:rPr>
        <w:t>|</w:t>
      </w:r>
      <w:r>
        <w:rPr>
          <w:rFonts w:ascii="Meiryo UI" w:hAnsi="Meiryo UI"/>
          <w:i/>
          <w:sz w:val="22"/>
          <w:vertAlign w:val="baseline"/>
        </w:rPr>
        <w:tab/>
      </w:r>
      <w:r>
        <w:rPr>
          <w:spacing w:val="-2"/>
          <w:sz w:val="22"/>
          <w:vertAlign w:val="baseline"/>
        </w:rPr>
        <w:t>(3.1)</w:t>
      </w:r>
    </w:p>
    <w:p>
      <w:pPr>
        <w:pStyle w:val="BodyText"/>
        <w:spacing w:line="328" w:lineRule="exact" w:before="188"/>
        <w:ind w:left="142" w:right="1551" w:firstLine="338"/>
        <w:jc w:val="both"/>
      </w:pPr>
      <w:r>
        <w:rPr/>
        <w:t>where</w:t>
      </w:r>
      <w:r>
        <w:rPr>
          <w:spacing w:val="-14"/>
        </w:rPr>
        <w:t> </w:t>
      </w:r>
      <w:r>
        <w:rPr>
          <w:i/>
        </w:rPr>
        <w:t>F</w:t>
      </w:r>
      <w:r>
        <w:rPr>
          <w:i/>
          <w:vertAlign w:val="subscript"/>
        </w:rPr>
        <w:t>S</w:t>
      </w:r>
      <w:r>
        <w:rPr>
          <w:rFonts w:ascii="Lucida Sans Unicode" w:hAnsi="Lucida Sans Unicode"/>
          <w:vertAlign w:val="baseline"/>
        </w:rPr>
        <w:t>(</w:t>
      </w:r>
      <w:r>
        <w:rPr>
          <w:i/>
          <w:vertAlign w:val="baseline"/>
        </w:rPr>
        <w:t>x</w:t>
      </w:r>
      <w:r>
        <w:rPr>
          <w:rFonts w:ascii="Lucida Sans Unicode" w:hAnsi="Lucida Sans Unicode"/>
          <w:vertAlign w:val="baseline"/>
        </w:rPr>
        <w:t>)</w:t>
      </w:r>
      <w:r>
        <w:rPr>
          <w:rFonts w:ascii="Lucida Sans Unicode" w:hAnsi="Lucida Sans Unicode"/>
          <w:spacing w:val="-18"/>
          <w:vertAlign w:val="baseline"/>
        </w:rPr>
        <w:t> </w:t>
      </w:r>
      <w:r>
        <w:rPr>
          <w:vertAlign w:val="baseline"/>
        </w:rPr>
        <w:t>is</w:t>
      </w:r>
      <w:r>
        <w:rPr>
          <w:spacing w:val="-13"/>
          <w:vertAlign w:val="baseline"/>
        </w:rPr>
        <w:t> </w:t>
      </w:r>
      <w:r>
        <w:rPr>
          <w:vertAlign w:val="baseline"/>
        </w:rPr>
        <w:t>the</w:t>
      </w:r>
      <w:r>
        <w:rPr>
          <w:spacing w:val="-14"/>
          <w:vertAlign w:val="baseline"/>
        </w:rPr>
        <w:t> </w:t>
      </w:r>
      <w:r>
        <w:rPr>
          <w:vertAlign w:val="baseline"/>
        </w:rPr>
        <w:t>empirical</w:t>
      </w:r>
      <w:r>
        <w:rPr>
          <w:spacing w:val="-14"/>
          <w:vertAlign w:val="baseline"/>
        </w:rPr>
        <w:t> </w:t>
      </w:r>
      <w:r>
        <w:rPr>
          <w:vertAlign w:val="baseline"/>
        </w:rPr>
        <w:t>CDF</w:t>
      </w:r>
      <w:r>
        <w:rPr>
          <w:spacing w:val="-10"/>
          <w:vertAlign w:val="baseline"/>
        </w:rPr>
        <w:t> </w:t>
      </w:r>
      <w:r>
        <w:rPr>
          <w:vertAlign w:val="baseline"/>
        </w:rPr>
        <w:t>of</w:t>
      </w:r>
      <w:r>
        <w:rPr>
          <w:spacing w:val="-9"/>
          <w:vertAlign w:val="baseline"/>
        </w:rPr>
        <w:t> </w:t>
      </w:r>
      <w:r>
        <w:rPr>
          <w:vertAlign w:val="baseline"/>
        </w:rPr>
        <w:t>the</w:t>
      </w:r>
      <w:r>
        <w:rPr>
          <w:spacing w:val="-9"/>
          <w:vertAlign w:val="baseline"/>
        </w:rPr>
        <w:t> </w:t>
      </w:r>
      <w:r>
        <w:rPr>
          <w:vertAlign w:val="baseline"/>
        </w:rPr>
        <w:t>target</w:t>
      </w:r>
      <w:r>
        <w:rPr>
          <w:spacing w:val="-9"/>
          <w:vertAlign w:val="baseline"/>
        </w:rPr>
        <w:t> </w:t>
      </w:r>
      <w:r>
        <w:rPr>
          <w:vertAlign w:val="baseline"/>
        </w:rPr>
        <w:t>in</w:t>
      </w:r>
      <w:r>
        <w:rPr>
          <w:spacing w:val="-9"/>
          <w:vertAlign w:val="baseline"/>
        </w:rPr>
        <w:t> </w:t>
      </w:r>
      <w:r>
        <w:rPr>
          <w:vertAlign w:val="baseline"/>
        </w:rPr>
        <w:t>the</w:t>
      </w:r>
      <w:r>
        <w:rPr>
          <w:spacing w:val="-9"/>
          <w:vertAlign w:val="baseline"/>
        </w:rPr>
        <w:t> </w:t>
      </w:r>
      <w:r>
        <w:rPr>
          <w:vertAlign w:val="baseline"/>
        </w:rPr>
        <w:t>subgroup</w:t>
      </w:r>
      <w:r>
        <w:rPr>
          <w:spacing w:val="-9"/>
          <w:vertAlign w:val="baseline"/>
        </w:rPr>
        <w:t> </w:t>
      </w:r>
      <w:r>
        <w:rPr>
          <w:vertAlign w:val="baseline"/>
        </w:rPr>
        <w:t>and</w:t>
      </w:r>
      <w:r>
        <w:rPr>
          <w:spacing w:val="-9"/>
          <w:vertAlign w:val="baseline"/>
        </w:rPr>
        <w:t> </w:t>
      </w:r>
      <w:r>
        <w:rPr>
          <w:i/>
          <w:vertAlign w:val="baseline"/>
        </w:rPr>
        <w:t>F</w:t>
      </w:r>
      <w:r>
        <w:rPr>
          <w:i/>
          <w:vertAlign w:val="subscript"/>
        </w:rPr>
        <w:t>T</w:t>
      </w:r>
      <w:r>
        <w:rPr>
          <w:i/>
          <w:spacing w:val="-14"/>
          <w:vertAlign w:val="baseline"/>
        </w:rPr>
        <w:t> </w:t>
      </w:r>
      <w:r>
        <w:rPr>
          <w:rFonts w:ascii="Lucida Sans Unicode" w:hAnsi="Lucida Sans Unicode"/>
          <w:vertAlign w:val="baseline"/>
        </w:rPr>
        <w:t>(</w:t>
      </w:r>
      <w:r>
        <w:rPr>
          <w:i/>
          <w:vertAlign w:val="baseline"/>
        </w:rPr>
        <w:t>x</w:t>
      </w:r>
      <w:r>
        <w:rPr>
          <w:rFonts w:ascii="Lucida Sans Unicode" w:hAnsi="Lucida Sans Unicode"/>
          <w:vertAlign w:val="baseline"/>
        </w:rPr>
        <w:t>)</w:t>
      </w:r>
      <w:r>
        <w:rPr>
          <w:rFonts w:ascii="Lucida Sans Unicode" w:hAnsi="Lucida Sans Unicode"/>
          <w:spacing w:val="-18"/>
          <w:vertAlign w:val="baseline"/>
        </w:rPr>
        <w:t> </w:t>
      </w:r>
      <w:r>
        <w:rPr>
          <w:vertAlign w:val="baseline"/>
        </w:rPr>
        <w:t>is</w:t>
      </w:r>
      <w:r>
        <w:rPr>
          <w:spacing w:val="-8"/>
          <w:vertAlign w:val="baseline"/>
        </w:rPr>
        <w:t> </w:t>
      </w:r>
      <w:r>
        <w:rPr>
          <w:vertAlign w:val="baseline"/>
        </w:rPr>
        <w:t>the</w:t>
      </w:r>
      <w:r>
        <w:rPr>
          <w:spacing w:val="-9"/>
          <w:vertAlign w:val="baseline"/>
        </w:rPr>
        <w:t> </w:t>
      </w:r>
      <w:r>
        <w:rPr>
          <w:vertAlign w:val="baseline"/>
        </w:rPr>
        <w:t>empirical</w:t>
      </w:r>
      <w:r>
        <w:rPr>
          <w:spacing w:val="-9"/>
          <w:vertAlign w:val="baseline"/>
        </w:rPr>
        <w:t> </w:t>
      </w:r>
      <w:r>
        <w:rPr>
          <w:vertAlign w:val="baseline"/>
        </w:rPr>
        <w:t>CDF in</w:t>
      </w:r>
      <w:r>
        <w:rPr>
          <w:spacing w:val="-5"/>
          <w:vertAlign w:val="baseline"/>
        </w:rPr>
        <w:t> </w:t>
      </w:r>
      <w:r>
        <w:rPr>
          <w:vertAlign w:val="baseline"/>
        </w:rPr>
        <w:t>the</w:t>
      </w:r>
      <w:r>
        <w:rPr>
          <w:spacing w:val="-5"/>
          <w:vertAlign w:val="baseline"/>
        </w:rPr>
        <w:t> </w:t>
      </w:r>
      <w:r>
        <w:rPr>
          <w:vertAlign w:val="baseline"/>
        </w:rPr>
        <w:t>global</w:t>
      </w:r>
      <w:r>
        <w:rPr>
          <w:spacing w:val="-5"/>
          <w:vertAlign w:val="baseline"/>
        </w:rPr>
        <w:t> </w:t>
      </w:r>
      <w:r>
        <w:rPr>
          <w:vertAlign w:val="baseline"/>
        </w:rPr>
        <w:t>set. A</w:t>
      </w:r>
      <w:r>
        <w:rPr>
          <w:spacing w:val="-5"/>
          <w:vertAlign w:val="baseline"/>
        </w:rPr>
        <w:t> </w:t>
      </w:r>
      <w:r>
        <w:rPr>
          <w:vertAlign w:val="baseline"/>
        </w:rPr>
        <w:t>large</w:t>
      </w:r>
      <w:r>
        <w:rPr>
          <w:spacing w:val="-5"/>
          <w:vertAlign w:val="baseline"/>
        </w:rPr>
        <w:t> </w:t>
      </w:r>
      <w:r>
        <w:rPr>
          <w:i/>
          <w:vertAlign w:val="baseline"/>
        </w:rPr>
        <w:t>D</w:t>
      </w:r>
      <w:r>
        <w:rPr>
          <w:i/>
          <w:spacing w:val="-5"/>
          <w:vertAlign w:val="baseline"/>
        </w:rPr>
        <w:t> </w:t>
      </w:r>
      <w:r>
        <w:rPr>
          <w:vertAlign w:val="baseline"/>
        </w:rPr>
        <w:t>indicates</w:t>
      </w:r>
      <w:r>
        <w:rPr>
          <w:spacing w:val="-5"/>
          <w:vertAlign w:val="baseline"/>
        </w:rPr>
        <w:t> </w:t>
      </w:r>
      <w:r>
        <w:rPr>
          <w:vertAlign w:val="baseline"/>
        </w:rPr>
        <w:t>that</w:t>
      </w:r>
      <w:r>
        <w:rPr>
          <w:spacing w:val="-5"/>
          <w:vertAlign w:val="baseline"/>
        </w:rPr>
        <w:t> </w:t>
      </w:r>
      <w:r>
        <w:rPr>
          <w:vertAlign w:val="baseline"/>
        </w:rPr>
        <w:t>the</w:t>
      </w:r>
      <w:r>
        <w:rPr>
          <w:spacing w:val="-5"/>
          <w:vertAlign w:val="baseline"/>
        </w:rPr>
        <w:t> </w:t>
      </w:r>
      <w:r>
        <w:rPr>
          <w:vertAlign w:val="baseline"/>
        </w:rPr>
        <w:t>two</w:t>
      </w:r>
      <w:r>
        <w:rPr>
          <w:spacing w:val="-5"/>
          <w:vertAlign w:val="baseline"/>
        </w:rPr>
        <w:t> </w:t>
      </w:r>
      <w:r>
        <w:rPr>
          <w:vertAlign w:val="baseline"/>
        </w:rPr>
        <w:t>distributions</w:t>
      </w:r>
      <w:r>
        <w:rPr>
          <w:spacing w:val="-5"/>
          <w:vertAlign w:val="baseline"/>
        </w:rPr>
        <w:t> </w:t>
      </w:r>
      <w:r>
        <w:rPr>
          <w:vertAlign w:val="baseline"/>
        </w:rPr>
        <w:t>are</w:t>
      </w:r>
      <w:r>
        <w:rPr>
          <w:spacing w:val="-5"/>
          <w:vertAlign w:val="baseline"/>
        </w:rPr>
        <w:t> </w:t>
      </w:r>
      <w:r>
        <w:rPr>
          <w:vertAlign w:val="baseline"/>
        </w:rPr>
        <w:t>far</w:t>
      </w:r>
      <w:r>
        <w:rPr>
          <w:spacing w:val="-5"/>
          <w:vertAlign w:val="baseline"/>
        </w:rPr>
        <w:t> </w:t>
      </w:r>
      <w:r>
        <w:rPr>
          <w:vertAlign w:val="baseline"/>
        </w:rPr>
        <w:t>apart</w:t>
      </w:r>
      <w:r>
        <w:rPr>
          <w:spacing w:val="-5"/>
          <w:vertAlign w:val="baseline"/>
        </w:rPr>
        <w:t> </w:t>
      </w:r>
      <w:r>
        <w:rPr>
          <w:vertAlign w:val="baseline"/>
        </w:rPr>
        <w:t>—</w:t>
      </w:r>
      <w:r>
        <w:rPr>
          <w:spacing w:val="-5"/>
          <w:vertAlign w:val="baseline"/>
        </w:rPr>
        <w:t> </w:t>
      </w:r>
      <w:r>
        <w:rPr>
          <w:vertAlign w:val="baseline"/>
        </w:rPr>
        <w:t>the</w:t>
      </w:r>
      <w:r>
        <w:rPr>
          <w:spacing w:val="-5"/>
          <w:vertAlign w:val="baseline"/>
        </w:rPr>
        <w:t> </w:t>
      </w:r>
      <w:r>
        <w:rPr>
          <w:vertAlign w:val="baseline"/>
        </w:rPr>
        <w:t>subgroup</w:t>
      </w:r>
      <w:r>
        <w:rPr>
          <w:spacing w:val="-5"/>
          <w:vertAlign w:val="baseline"/>
        </w:rPr>
        <w:t> </w:t>
      </w:r>
      <w:r>
        <w:rPr>
          <w:vertAlign w:val="baseline"/>
        </w:rPr>
        <w:t>has</w:t>
      </w:r>
      <w:r>
        <w:rPr>
          <w:spacing w:val="-5"/>
          <w:vertAlign w:val="baseline"/>
        </w:rPr>
        <w:t> </w:t>
      </w:r>
      <w:r>
        <w:rPr>
          <w:vertAlign w:val="baseline"/>
        </w:rPr>
        <w:t>a systematically</w:t>
      </w:r>
      <w:r>
        <w:rPr>
          <w:spacing w:val="-11"/>
          <w:vertAlign w:val="baseline"/>
        </w:rPr>
        <w:t> </w:t>
      </w:r>
      <w:r>
        <w:rPr>
          <w:vertAlign w:val="baseline"/>
        </w:rPr>
        <w:t>different</w:t>
      </w:r>
      <w:r>
        <w:rPr>
          <w:spacing w:val="-11"/>
          <w:vertAlign w:val="baseline"/>
        </w:rPr>
        <w:t> </w:t>
      </w:r>
      <w:r>
        <w:rPr>
          <w:vertAlign w:val="baseline"/>
        </w:rPr>
        <w:t>pattern</w:t>
      </w:r>
      <w:r>
        <w:rPr>
          <w:spacing w:val="-11"/>
          <w:vertAlign w:val="baseline"/>
        </w:rPr>
        <w:t> </w:t>
      </w:r>
      <w:r>
        <w:rPr>
          <w:vertAlign w:val="baseline"/>
        </w:rPr>
        <w:t>of</w:t>
      </w:r>
      <w:r>
        <w:rPr>
          <w:spacing w:val="-11"/>
          <w:vertAlign w:val="baseline"/>
        </w:rPr>
        <w:t> </w:t>
      </w:r>
      <w:r>
        <w:rPr>
          <w:vertAlign w:val="baseline"/>
        </w:rPr>
        <w:t>production</w:t>
      </w:r>
      <w:r>
        <w:rPr>
          <w:spacing w:val="-11"/>
          <w:vertAlign w:val="baseline"/>
        </w:rPr>
        <w:t> </w:t>
      </w:r>
      <w:r>
        <w:rPr>
          <w:vertAlign w:val="baseline"/>
        </w:rPr>
        <w:t>values.</w:t>
      </w:r>
      <w:r>
        <w:rPr>
          <w:spacing w:val="-1"/>
          <w:vertAlign w:val="baseline"/>
        </w:rPr>
        <w:t> </w:t>
      </w:r>
      <w:r>
        <w:rPr>
          <w:vertAlign w:val="baseline"/>
        </w:rPr>
        <w:t>The </w:t>
      </w:r>
      <w:r>
        <w:rPr>
          <w:i/>
          <w:vertAlign w:val="baseline"/>
        </w:rPr>
        <w:t>p</w:t>
      </w:r>
      <w:r>
        <w:rPr>
          <w:vertAlign w:val="baseline"/>
        </w:rPr>
        <w:t>-value</w:t>
      </w:r>
      <w:r>
        <w:rPr>
          <w:spacing w:val="-11"/>
          <w:vertAlign w:val="baseline"/>
        </w:rPr>
        <w:t> </w:t>
      </w:r>
      <w:r>
        <w:rPr>
          <w:vertAlign w:val="baseline"/>
        </w:rPr>
        <w:t>associated</w:t>
      </w:r>
      <w:r>
        <w:rPr>
          <w:spacing w:val="-11"/>
          <w:vertAlign w:val="baseline"/>
        </w:rPr>
        <w:t> </w:t>
      </w:r>
      <w:r>
        <w:rPr>
          <w:vertAlign w:val="baseline"/>
        </w:rPr>
        <w:t>with</w:t>
      </w:r>
      <w:r>
        <w:rPr>
          <w:spacing w:val="-11"/>
          <w:vertAlign w:val="baseline"/>
        </w:rPr>
        <w:t> </w:t>
      </w:r>
      <w:r>
        <w:rPr>
          <w:i/>
          <w:vertAlign w:val="baseline"/>
        </w:rPr>
        <w:t>D</w:t>
      </w:r>
      <w:r>
        <w:rPr>
          <w:i/>
          <w:spacing w:val="-11"/>
          <w:vertAlign w:val="baseline"/>
        </w:rPr>
        <w:t> </w:t>
      </w:r>
      <w:r>
        <w:rPr>
          <w:vertAlign w:val="baseline"/>
        </w:rPr>
        <w:t>measures</w:t>
      </w:r>
      <w:r>
        <w:rPr>
          <w:spacing w:val="-11"/>
          <w:vertAlign w:val="baseline"/>
        </w:rPr>
        <w:t> </w:t>
      </w:r>
      <w:r>
        <w:rPr>
          <w:vertAlign w:val="baseline"/>
        </w:rPr>
        <w:t>the probability</w:t>
      </w:r>
      <w:r>
        <w:rPr>
          <w:spacing w:val="-7"/>
          <w:vertAlign w:val="baseline"/>
        </w:rPr>
        <w:t> </w:t>
      </w:r>
      <w:r>
        <w:rPr>
          <w:vertAlign w:val="baseline"/>
        </w:rPr>
        <w:t>of</w:t>
      </w:r>
      <w:r>
        <w:rPr>
          <w:spacing w:val="-7"/>
          <w:vertAlign w:val="baseline"/>
        </w:rPr>
        <w:t> </w:t>
      </w:r>
      <w:r>
        <w:rPr>
          <w:vertAlign w:val="baseline"/>
        </w:rPr>
        <w:t>observing</w:t>
      </w:r>
      <w:r>
        <w:rPr>
          <w:spacing w:val="-7"/>
          <w:vertAlign w:val="baseline"/>
        </w:rPr>
        <w:t> </w:t>
      </w:r>
      <w:r>
        <w:rPr>
          <w:vertAlign w:val="baseline"/>
        </w:rPr>
        <w:t>this</w:t>
      </w:r>
      <w:r>
        <w:rPr>
          <w:spacing w:val="-6"/>
          <w:vertAlign w:val="baseline"/>
        </w:rPr>
        <w:t> </w:t>
      </w:r>
      <w:r>
        <w:rPr>
          <w:vertAlign w:val="baseline"/>
        </w:rPr>
        <w:t>large</w:t>
      </w:r>
      <w:r>
        <w:rPr>
          <w:spacing w:val="-7"/>
          <w:vertAlign w:val="baseline"/>
        </w:rPr>
        <w:t> </w:t>
      </w:r>
      <w:r>
        <w:rPr>
          <w:vertAlign w:val="baseline"/>
        </w:rPr>
        <w:t>a</w:t>
      </w:r>
      <w:r>
        <w:rPr>
          <w:spacing w:val="-7"/>
          <w:vertAlign w:val="baseline"/>
        </w:rPr>
        <w:t> </w:t>
      </w:r>
      <w:r>
        <w:rPr>
          <w:vertAlign w:val="baseline"/>
        </w:rPr>
        <w:t>difference</w:t>
      </w:r>
      <w:r>
        <w:rPr>
          <w:spacing w:val="-6"/>
          <w:vertAlign w:val="baseline"/>
        </w:rPr>
        <w:t> </w:t>
      </w:r>
      <w:r>
        <w:rPr>
          <w:vertAlign w:val="baseline"/>
        </w:rPr>
        <w:t>by</w:t>
      </w:r>
      <w:r>
        <w:rPr>
          <w:spacing w:val="-7"/>
          <w:vertAlign w:val="baseline"/>
        </w:rPr>
        <w:t> </w:t>
      </w:r>
      <w:r>
        <w:rPr>
          <w:vertAlign w:val="baseline"/>
        </w:rPr>
        <w:t>chance</w:t>
      </w:r>
      <w:r>
        <w:rPr>
          <w:spacing w:val="-7"/>
          <w:vertAlign w:val="baseline"/>
        </w:rPr>
        <w:t> </w:t>
      </w:r>
      <w:r>
        <w:rPr>
          <w:vertAlign w:val="baseline"/>
        </w:rPr>
        <w:t>if</w:t>
      </w:r>
      <w:r>
        <w:rPr>
          <w:spacing w:val="-7"/>
          <w:vertAlign w:val="baseline"/>
        </w:rPr>
        <w:t> </w:t>
      </w:r>
      <w:r>
        <w:rPr>
          <w:vertAlign w:val="baseline"/>
        </w:rPr>
        <w:t>the</w:t>
      </w:r>
      <w:r>
        <w:rPr>
          <w:spacing w:val="-6"/>
          <w:vertAlign w:val="baseline"/>
        </w:rPr>
        <w:t> </w:t>
      </w:r>
      <w:r>
        <w:rPr>
          <w:vertAlign w:val="baseline"/>
        </w:rPr>
        <w:t>two</w:t>
      </w:r>
      <w:r>
        <w:rPr>
          <w:spacing w:val="-7"/>
          <w:vertAlign w:val="baseline"/>
        </w:rPr>
        <w:t> </w:t>
      </w:r>
      <w:r>
        <w:rPr>
          <w:vertAlign w:val="baseline"/>
        </w:rPr>
        <w:t>samples</w:t>
      </w:r>
      <w:r>
        <w:rPr>
          <w:spacing w:val="-7"/>
          <w:vertAlign w:val="baseline"/>
        </w:rPr>
        <w:t> </w:t>
      </w:r>
      <w:r>
        <w:rPr>
          <w:vertAlign w:val="baseline"/>
        </w:rPr>
        <w:t>were</w:t>
      </w:r>
      <w:r>
        <w:rPr>
          <w:spacing w:val="-6"/>
          <w:vertAlign w:val="baseline"/>
        </w:rPr>
        <w:t> </w:t>
      </w:r>
      <w:r>
        <w:rPr>
          <w:vertAlign w:val="baseline"/>
        </w:rPr>
        <w:t>drawn</w:t>
      </w:r>
      <w:r>
        <w:rPr>
          <w:spacing w:val="-7"/>
          <w:vertAlign w:val="baseline"/>
        </w:rPr>
        <w:t> </w:t>
      </w:r>
      <w:r>
        <w:rPr>
          <w:vertAlign w:val="baseline"/>
        </w:rPr>
        <w:t>from</w:t>
      </w:r>
      <w:r>
        <w:rPr>
          <w:spacing w:val="-7"/>
          <w:vertAlign w:val="baseline"/>
        </w:rPr>
        <w:t> </w:t>
      </w:r>
      <w:r>
        <w:rPr>
          <w:spacing w:val="-5"/>
          <w:vertAlign w:val="baseline"/>
        </w:rPr>
        <w:t>the</w:t>
      </w:r>
    </w:p>
    <w:p>
      <w:pPr>
        <w:pStyle w:val="BodyText"/>
        <w:spacing w:after="0" w:line="328" w:lineRule="exact"/>
        <w:jc w:val="both"/>
        <w:sectPr>
          <w:pgSz w:w="11910" w:h="16840"/>
          <w:pgMar w:header="1160" w:footer="0" w:top="1420" w:bottom="280" w:left="1275" w:right="425"/>
        </w:sectPr>
      </w:pPr>
    </w:p>
    <w:p>
      <w:pPr>
        <w:pStyle w:val="BodyText"/>
        <w:spacing w:before="213"/>
      </w:pPr>
    </w:p>
    <w:p>
      <w:pPr>
        <w:pStyle w:val="BodyText"/>
        <w:spacing w:line="268" w:lineRule="auto"/>
        <w:ind w:left="702" w:right="952" w:firstLine="6"/>
        <w:jc w:val="both"/>
      </w:pPr>
      <w:r>
        <w:rPr/>
        <w:t>same</w:t>
      </w:r>
      <w:r>
        <w:rPr>
          <w:spacing w:val="-14"/>
        </w:rPr>
        <w:t> </w:t>
      </w:r>
      <w:r>
        <w:rPr/>
        <w:t>distribution.</w:t>
      </w:r>
      <w:r>
        <w:rPr>
          <w:spacing w:val="-14"/>
        </w:rPr>
        <w:t> </w:t>
      </w:r>
      <w:r>
        <w:rPr/>
        <w:t>A</w:t>
      </w:r>
      <w:r>
        <w:rPr>
          <w:spacing w:val="-14"/>
        </w:rPr>
        <w:t> </w:t>
      </w:r>
      <w:r>
        <w:rPr/>
        <w:t>rule</w:t>
      </w:r>
      <w:r>
        <w:rPr>
          <w:spacing w:val="-13"/>
        </w:rPr>
        <w:t> </w:t>
      </w:r>
      <w:r>
        <w:rPr/>
        <w:t>is</w:t>
      </w:r>
      <w:r>
        <w:rPr>
          <w:spacing w:val="-14"/>
        </w:rPr>
        <w:t> </w:t>
      </w:r>
      <w:r>
        <w:rPr/>
        <w:t>retained</w:t>
      </w:r>
      <w:r>
        <w:rPr>
          <w:spacing w:val="-14"/>
        </w:rPr>
        <w:t> </w:t>
      </w:r>
      <w:r>
        <w:rPr/>
        <w:t>only</w:t>
      </w:r>
      <w:r>
        <w:rPr>
          <w:spacing w:val="-14"/>
        </w:rPr>
        <w:t> </w:t>
      </w:r>
      <w:r>
        <w:rPr/>
        <w:t>if</w:t>
      </w:r>
      <w:r>
        <w:rPr>
          <w:spacing w:val="-13"/>
        </w:rPr>
        <w:t> </w:t>
      </w:r>
      <w:r>
        <w:rPr>
          <w:i/>
        </w:rPr>
        <w:t>p</w:t>
      </w:r>
      <w:r>
        <w:rPr>
          <w:i/>
          <w:spacing w:val="-14"/>
        </w:rPr>
        <w:t> </w:t>
      </w:r>
      <w:r>
        <w:rPr>
          <w:rFonts w:ascii="Meiryo UI" w:hAnsi="Meiryo UI"/>
          <w:i/>
        </w:rPr>
        <w:t>≤</w:t>
      </w:r>
      <w:r>
        <w:rPr>
          <w:rFonts w:ascii="Meiryo UI" w:hAnsi="Meiryo UI"/>
          <w:i/>
          <w:spacing w:val="-19"/>
        </w:rPr>
        <w:t> </w:t>
      </w:r>
      <w:r>
        <w:rPr/>
        <w:t>0</w:t>
      </w:r>
      <w:r>
        <w:rPr>
          <w:rFonts w:ascii="Meiryo UI" w:hAnsi="Meiryo UI"/>
          <w:i/>
        </w:rPr>
        <w:t>.</w:t>
      </w:r>
      <w:r>
        <w:rPr/>
        <w:t>10</w:t>
      </w:r>
      <w:r>
        <w:rPr>
          <w:spacing w:val="-14"/>
        </w:rPr>
        <w:t> </w:t>
      </w:r>
      <w:r>
        <w:rPr/>
        <w:t>(the</w:t>
      </w:r>
      <w:r>
        <w:rPr>
          <w:spacing w:val="-13"/>
        </w:rPr>
        <w:t> </w:t>
      </w:r>
      <w:r>
        <w:rPr/>
        <w:t>significance</w:t>
      </w:r>
      <w:r>
        <w:rPr>
          <w:spacing w:val="-14"/>
        </w:rPr>
        <w:t> </w:t>
      </w:r>
      <w:r>
        <w:rPr/>
        <w:t>threshold</w:t>
      </w:r>
      <w:r>
        <w:rPr>
          <w:spacing w:val="-14"/>
        </w:rPr>
        <w:t> </w:t>
      </w:r>
      <w:r>
        <w:rPr/>
        <w:t>used</w:t>
      </w:r>
      <w:r>
        <w:rPr>
          <w:spacing w:val="-14"/>
        </w:rPr>
        <w:t> </w:t>
      </w:r>
      <w:r>
        <w:rPr/>
        <w:t>in</w:t>
      </w:r>
      <w:r>
        <w:rPr>
          <w:spacing w:val="-13"/>
        </w:rPr>
        <w:t> </w:t>
      </w:r>
      <w:r>
        <w:rPr/>
        <w:t>this</w:t>
      </w:r>
      <w:r>
        <w:rPr>
          <w:spacing w:val="-14"/>
        </w:rPr>
        <w:t> </w:t>
      </w:r>
      <w:r>
        <w:rPr/>
        <w:t>study). The</w:t>
      </w:r>
      <w:r>
        <w:rPr>
          <w:spacing w:val="-5"/>
        </w:rPr>
        <w:t> </w:t>
      </w:r>
      <w:r>
        <w:rPr/>
        <w:t>KS</w:t>
      </w:r>
      <w:r>
        <w:rPr>
          <w:spacing w:val="-5"/>
        </w:rPr>
        <w:t> </w:t>
      </w:r>
      <w:r>
        <w:rPr/>
        <w:t>test</w:t>
      </w:r>
      <w:r>
        <w:rPr>
          <w:spacing w:val="-5"/>
        </w:rPr>
        <w:t> </w:t>
      </w:r>
      <w:r>
        <w:rPr/>
        <w:t>makes</w:t>
      </w:r>
      <w:r>
        <w:rPr>
          <w:spacing w:val="-5"/>
        </w:rPr>
        <w:t> </w:t>
      </w:r>
      <w:r>
        <w:rPr/>
        <w:t>no</w:t>
      </w:r>
      <w:r>
        <w:rPr>
          <w:spacing w:val="-5"/>
        </w:rPr>
        <w:t> </w:t>
      </w:r>
      <w:r>
        <w:rPr/>
        <w:t>assumption</w:t>
      </w:r>
      <w:r>
        <w:rPr>
          <w:spacing w:val="-5"/>
        </w:rPr>
        <w:t> </w:t>
      </w:r>
      <w:r>
        <w:rPr/>
        <w:t>about</w:t>
      </w:r>
      <w:r>
        <w:rPr>
          <w:spacing w:val="-5"/>
        </w:rPr>
        <w:t> </w:t>
      </w:r>
      <w:r>
        <w:rPr/>
        <w:t>the</w:t>
      </w:r>
      <w:r>
        <w:rPr>
          <w:spacing w:val="-5"/>
        </w:rPr>
        <w:t> </w:t>
      </w:r>
      <w:r>
        <w:rPr/>
        <w:t>shape</w:t>
      </w:r>
      <w:r>
        <w:rPr>
          <w:spacing w:val="-5"/>
        </w:rPr>
        <w:t> </w:t>
      </w:r>
      <w:r>
        <w:rPr/>
        <w:t>of</w:t>
      </w:r>
      <w:r>
        <w:rPr>
          <w:spacing w:val="-5"/>
        </w:rPr>
        <w:t> </w:t>
      </w:r>
      <w:r>
        <w:rPr/>
        <w:t>either</w:t>
      </w:r>
      <w:r>
        <w:rPr>
          <w:spacing w:val="-5"/>
        </w:rPr>
        <w:t> </w:t>
      </w:r>
      <w:r>
        <w:rPr/>
        <w:t>distribution,</w:t>
      </w:r>
      <w:r>
        <w:rPr>
          <w:spacing w:val="-5"/>
        </w:rPr>
        <w:t> </w:t>
      </w:r>
      <w:r>
        <w:rPr/>
        <w:t>which</w:t>
      </w:r>
      <w:r>
        <w:rPr>
          <w:spacing w:val="-5"/>
        </w:rPr>
        <w:t> </w:t>
      </w:r>
      <w:r>
        <w:rPr/>
        <w:t>is</w:t>
      </w:r>
      <w:r>
        <w:rPr>
          <w:spacing w:val="-5"/>
        </w:rPr>
        <w:t> </w:t>
      </w:r>
      <w:r>
        <w:rPr/>
        <w:t>important</w:t>
      </w:r>
      <w:r>
        <w:rPr>
          <w:spacing w:val="-5"/>
        </w:rPr>
        <w:t> </w:t>
      </w:r>
      <w:r>
        <w:rPr/>
        <w:t>given the small sample sizes (</w:t>
      </w:r>
      <w:r>
        <w:rPr>
          <w:i/>
        </w:rPr>
        <w:t>n</w:t>
      </w:r>
      <w:r>
        <w:rPr>
          <w:i/>
          <w:spacing w:val="-1"/>
        </w:rPr>
        <w:t> </w:t>
      </w:r>
      <w:r>
        <w:rPr>
          <w:rFonts w:ascii="Lucida Sans Unicode" w:hAnsi="Lucida Sans Unicode"/>
        </w:rPr>
        <w:t>=</w:t>
      </w:r>
      <w:r>
        <w:rPr>
          <w:rFonts w:ascii="Lucida Sans Unicode" w:hAnsi="Lucida Sans Unicode"/>
          <w:spacing w:val="-16"/>
        </w:rPr>
        <w:t> </w:t>
      </w:r>
      <w:r>
        <w:rPr/>
        <w:t>80–89) and the non-normal distribution of production residuals.</w:t>
      </w:r>
    </w:p>
    <w:p>
      <w:pPr>
        <w:spacing w:line="236" w:lineRule="exact" w:before="0"/>
        <w:ind w:left="1047" w:right="0" w:firstLine="0"/>
        <w:jc w:val="both"/>
        <w:rPr>
          <w:sz w:val="22"/>
        </w:rPr>
      </w:pPr>
      <w:r>
        <w:rPr>
          <w:b/>
          <w:spacing w:val="-2"/>
          <w:sz w:val="22"/>
        </w:rPr>
        <w:t>Step</w:t>
      </w:r>
      <w:r>
        <w:rPr>
          <w:b/>
          <w:spacing w:val="-11"/>
          <w:sz w:val="22"/>
        </w:rPr>
        <w:t> </w:t>
      </w:r>
      <w:r>
        <w:rPr>
          <w:b/>
          <w:spacing w:val="-2"/>
          <w:sz w:val="22"/>
        </w:rPr>
        <w:t>5:</w:t>
      </w:r>
      <w:r>
        <w:rPr>
          <w:b/>
          <w:spacing w:val="1"/>
          <w:sz w:val="22"/>
        </w:rPr>
        <w:t> </w:t>
      </w:r>
      <w:r>
        <w:rPr>
          <w:b/>
          <w:spacing w:val="-2"/>
          <w:sz w:val="22"/>
        </w:rPr>
        <w:t>Support</w:t>
      </w:r>
      <w:r>
        <w:rPr>
          <w:b/>
          <w:spacing w:val="-11"/>
          <w:sz w:val="22"/>
        </w:rPr>
        <w:t> </w:t>
      </w:r>
      <w:r>
        <w:rPr>
          <w:b/>
          <w:spacing w:val="-2"/>
          <w:sz w:val="22"/>
        </w:rPr>
        <w:t>filter.</w:t>
      </w:r>
      <w:r>
        <w:rPr>
          <w:b/>
          <w:spacing w:val="1"/>
          <w:sz w:val="22"/>
        </w:rPr>
        <w:t> </w:t>
      </w:r>
      <w:r>
        <w:rPr>
          <w:spacing w:val="-2"/>
          <w:sz w:val="22"/>
        </w:rPr>
        <w:t>A</w:t>
      </w:r>
      <w:r>
        <w:rPr>
          <w:spacing w:val="-11"/>
          <w:sz w:val="22"/>
        </w:rPr>
        <w:t> </w:t>
      </w:r>
      <w:r>
        <w:rPr>
          <w:spacing w:val="-2"/>
          <w:sz w:val="22"/>
        </w:rPr>
        <w:t>statistically</w:t>
      </w:r>
      <w:r>
        <w:rPr>
          <w:spacing w:val="-11"/>
          <w:sz w:val="22"/>
        </w:rPr>
        <w:t> </w:t>
      </w:r>
      <w:r>
        <w:rPr>
          <w:spacing w:val="-2"/>
          <w:sz w:val="22"/>
        </w:rPr>
        <w:t>significant</w:t>
      </w:r>
      <w:r>
        <w:rPr>
          <w:spacing w:val="-10"/>
          <w:sz w:val="22"/>
        </w:rPr>
        <w:t> </w:t>
      </w:r>
      <w:r>
        <w:rPr>
          <w:spacing w:val="-2"/>
          <w:sz w:val="22"/>
        </w:rPr>
        <w:t>rule</w:t>
      </w:r>
      <w:r>
        <w:rPr>
          <w:spacing w:val="-11"/>
          <w:sz w:val="22"/>
        </w:rPr>
        <w:t> </w:t>
      </w:r>
      <w:r>
        <w:rPr>
          <w:spacing w:val="-2"/>
          <w:sz w:val="22"/>
        </w:rPr>
        <w:t>that</w:t>
      </w:r>
      <w:r>
        <w:rPr>
          <w:spacing w:val="-11"/>
          <w:sz w:val="22"/>
        </w:rPr>
        <w:t> </w:t>
      </w:r>
      <w:r>
        <w:rPr>
          <w:spacing w:val="-2"/>
          <w:sz w:val="22"/>
        </w:rPr>
        <w:t>covers</w:t>
      </w:r>
      <w:r>
        <w:rPr>
          <w:spacing w:val="-11"/>
          <w:sz w:val="22"/>
        </w:rPr>
        <w:t> </w:t>
      </w:r>
      <w:r>
        <w:rPr>
          <w:spacing w:val="-2"/>
          <w:sz w:val="22"/>
        </w:rPr>
        <w:t>only</w:t>
      </w:r>
      <w:r>
        <w:rPr>
          <w:spacing w:val="-11"/>
          <w:sz w:val="22"/>
        </w:rPr>
        <w:t> </w:t>
      </w:r>
      <w:r>
        <w:rPr>
          <w:spacing w:val="-2"/>
          <w:sz w:val="22"/>
        </w:rPr>
        <w:t>two</w:t>
      </w:r>
      <w:r>
        <w:rPr>
          <w:spacing w:val="-10"/>
          <w:sz w:val="22"/>
        </w:rPr>
        <w:t> </w:t>
      </w:r>
      <w:r>
        <w:rPr>
          <w:spacing w:val="-2"/>
          <w:sz w:val="22"/>
        </w:rPr>
        <w:t>or</w:t>
      </w:r>
      <w:r>
        <w:rPr>
          <w:spacing w:val="-11"/>
          <w:sz w:val="22"/>
        </w:rPr>
        <w:t> </w:t>
      </w:r>
      <w:r>
        <w:rPr>
          <w:spacing w:val="-2"/>
          <w:sz w:val="22"/>
        </w:rPr>
        <w:t>three</w:t>
      </w:r>
      <w:r>
        <w:rPr>
          <w:spacing w:val="-11"/>
          <w:sz w:val="22"/>
        </w:rPr>
        <w:t> </w:t>
      </w:r>
      <w:r>
        <w:rPr>
          <w:spacing w:val="-2"/>
          <w:sz w:val="22"/>
        </w:rPr>
        <w:t>observations</w:t>
      </w:r>
    </w:p>
    <w:p>
      <w:pPr>
        <w:pStyle w:val="BodyText"/>
        <w:spacing w:line="312" w:lineRule="auto" w:before="76"/>
        <w:ind w:left="709" w:right="946" w:hanging="8"/>
        <w:jc w:val="both"/>
      </w:pPr>
      <w:r>
        <w:rPr/>
        <w:t>(very low support) is not useful:</w:t>
      </w:r>
      <w:r>
        <w:rPr>
          <w:spacing w:val="13"/>
        </w:rPr>
        <w:t> </w:t>
      </w:r>
      <w:r>
        <w:rPr/>
        <w:t>it describes a pattern too rare to be actionable and is likely to be a chance finding. CarenR therefore applies a minimum support filter: a rule is retained only if it covers</w:t>
      </w:r>
      <w:r>
        <w:rPr>
          <w:spacing w:val="-9"/>
        </w:rPr>
        <w:t> </w:t>
      </w:r>
      <w:r>
        <w:rPr/>
        <w:t>a</w:t>
      </w:r>
      <w:r>
        <w:rPr>
          <w:spacing w:val="-9"/>
        </w:rPr>
        <w:t> </w:t>
      </w:r>
      <w:r>
        <w:rPr/>
        <w:t>minimum</w:t>
      </w:r>
      <w:r>
        <w:rPr>
          <w:spacing w:val="-9"/>
        </w:rPr>
        <w:t> </w:t>
      </w:r>
      <w:r>
        <w:rPr/>
        <w:t>fraction</w:t>
      </w:r>
      <w:r>
        <w:rPr>
          <w:spacing w:val="-9"/>
        </w:rPr>
        <w:t> </w:t>
      </w:r>
      <w:r>
        <w:rPr/>
        <w:t>of</w:t>
      </w:r>
      <w:r>
        <w:rPr>
          <w:spacing w:val="-9"/>
        </w:rPr>
        <w:t> </w:t>
      </w:r>
      <w:r>
        <w:rPr/>
        <w:t>the</w:t>
      </w:r>
      <w:r>
        <w:rPr>
          <w:spacing w:val="-9"/>
        </w:rPr>
        <w:t> </w:t>
      </w:r>
      <w:r>
        <w:rPr/>
        <w:t>reference</w:t>
      </w:r>
      <w:r>
        <w:rPr>
          <w:spacing w:val="-9"/>
        </w:rPr>
        <w:t> </w:t>
      </w:r>
      <w:r>
        <w:rPr/>
        <w:t>observations. The</w:t>
      </w:r>
      <w:r>
        <w:rPr>
          <w:spacing w:val="-9"/>
        </w:rPr>
        <w:t> </w:t>
      </w:r>
      <w:r>
        <w:rPr/>
        <w:t>threshold</w:t>
      </w:r>
      <w:r>
        <w:rPr>
          <w:spacing w:val="-9"/>
        </w:rPr>
        <w:t> </w:t>
      </w:r>
      <w:r>
        <w:rPr/>
        <w:t>value</w:t>
      </w:r>
      <w:r>
        <w:rPr>
          <w:spacing w:val="-9"/>
        </w:rPr>
        <w:t> </w:t>
      </w:r>
      <w:r>
        <w:rPr/>
        <w:t>is</w:t>
      </w:r>
      <w:r>
        <w:rPr>
          <w:spacing w:val="-9"/>
        </w:rPr>
        <w:t> </w:t>
      </w:r>
      <w:r>
        <w:rPr/>
        <w:t>not</w:t>
      </w:r>
      <w:r>
        <w:rPr>
          <w:spacing w:val="-9"/>
        </w:rPr>
        <w:t> </w:t>
      </w:r>
      <w:r>
        <w:rPr/>
        <w:t>prescribed</w:t>
      </w:r>
      <w:r>
        <w:rPr>
          <w:spacing w:val="-9"/>
        </w:rPr>
        <w:t> </w:t>
      </w:r>
      <w:r>
        <w:rPr/>
        <w:t>by the</w:t>
      </w:r>
      <w:r>
        <w:rPr>
          <w:spacing w:val="-13"/>
        </w:rPr>
        <w:t> </w:t>
      </w:r>
      <w:r>
        <w:rPr/>
        <w:t>algorithm</w:t>
      </w:r>
      <w:r>
        <w:rPr>
          <w:spacing w:val="-13"/>
        </w:rPr>
        <w:t> </w:t>
      </w:r>
      <w:r>
        <w:rPr/>
        <w:t>but</w:t>
      </w:r>
      <w:r>
        <w:rPr>
          <w:spacing w:val="-13"/>
        </w:rPr>
        <w:t> </w:t>
      </w:r>
      <w:r>
        <w:rPr/>
        <w:t>is</w:t>
      </w:r>
      <w:r>
        <w:rPr>
          <w:spacing w:val="-13"/>
        </w:rPr>
        <w:t> </w:t>
      </w:r>
      <w:r>
        <w:rPr/>
        <w:t>an</w:t>
      </w:r>
      <w:r>
        <w:rPr>
          <w:spacing w:val="-13"/>
        </w:rPr>
        <w:t> </w:t>
      </w:r>
      <w:r>
        <w:rPr/>
        <w:t>experimental</w:t>
      </w:r>
      <w:r>
        <w:rPr>
          <w:spacing w:val="-13"/>
        </w:rPr>
        <w:t> </w:t>
      </w:r>
      <w:r>
        <w:rPr/>
        <w:t>design</w:t>
      </w:r>
      <w:r>
        <w:rPr>
          <w:spacing w:val="-13"/>
        </w:rPr>
        <w:t> </w:t>
      </w:r>
      <w:r>
        <w:rPr/>
        <w:t>decision</w:t>
      </w:r>
      <w:r>
        <w:rPr>
          <w:spacing w:val="-13"/>
        </w:rPr>
        <w:t> </w:t>
      </w:r>
      <w:r>
        <w:rPr/>
        <w:t>of</w:t>
      </w:r>
      <w:r>
        <w:rPr>
          <w:spacing w:val="-13"/>
        </w:rPr>
        <w:t> </w:t>
      </w:r>
      <w:r>
        <w:rPr/>
        <w:t>this</w:t>
      </w:r>
      <w:r>
        <w:rPr>
          <w:spacing w:val="-13"/>
        </w:rPr>
        <w:t> </w:t>
      </w:r>
      <w:r>
        <w:rPr/>
        <w:t>thesis:</w:t>
      </w:r>
      <w:r>
        <w:rPr>
          <w:spacing w:val="-3"/>
        </w:rPr>
        <w:t> </w:t>
      </w:r>
      <w:r>
        <w:rPr/>
        <w:t>it</w:t>
      </w:r>
      <w:r>
        <w:rPr>
          <w:spacing w:val="-13"/>
        </w:rPr>
        <w:t> </w:t>
      </w:r>
      <w:r>
        <w:rPr/>
        <w:t>was</w:t>
      </w:r>
      <w:r>
        <w:rPr>
          <w:spacing w:val="-13"/>
        </w:rPr>
        <w:t> </w:t>
      </w:r>
      <w:r>
        <w:rPr/>
        <w:t>set</w:t>
      </w:r>
      <w:r>
        <w:rPr>
          <w:spacing w:val="-13"/>
        </w:rPr>
        <w:t> </w:t>
      </w:r>
      <w:r>
        <w:rPr/>
        <w:t>to</w:t>
      </w:r>
      <w:r>
        <w:rPr>
          <w:spacing w:val="-13"/>
        </w:rPr>
        <w:t> </w:t>
      </w:r>
      <w:r>
        <w:rPr/>
        <w:t>15%</w:t>
      </w:r>
      <w:r>
        <w:rPr>
          <w:spacing w:val="-13"/>
        </w:rPr>
        <w:t> </w:t>
      </w:r>
      <w:r>
        <w:rPr/>
        <w:t>(Table</w:t>
      </w:r>
      <w:r>
        <w:rPr>
          <w:spacing w:val="-13"/>
        </w:rPr>
        <w:t> </w:t>
      </w:r>
      <w:hyperlink w:history="true" w:anchor="_bookmark179">
        <w:r>
          <w:rPr>
            <w:color w:val="8B2C18"/>
          </w:rPr>
          <w:t>B.8</w:t>
        </w:r>
      </w:hyperlink>
      <w:r>
        <w:rPr/>
        <w:t>)</w:t>
      </w:r>
      <w:r>
        <w:rPr>
          <w:spacing w:val="-13"/>
        </w:rPr>
        <w:t> </w:t>
      </w:r>
      <w:r>
        <w:rPr/>
        <w:t>— approximately</w:t>
      </w:r>
      <w:r>
        <w:rPr>
          <w:spacing w:val="-9"/>
        </w:rPr>
        <w:t> </w:t>
      </w:r>
      <w:r>
        <w:rPr/>
        <w:t>12–13</w:t>
      </w:r>
      <w:r>
        <w:rPr>
          <w:spacing w:val="-9"/>
        </w:rPr>
        <w:t> </w:t>
      </w:r>
      <w:r>
        <w:rPr/>
        <w:t>years</w:t>
      </w:r>
      <w:r>
        <w:rPr>
          <w:spacing w:val="-9"/>
        </w:rPr>
        <w:t> </w:t>
      </w:r>
      <w:r>
        <w:rPr/>
        <w:t>for</w:t>
      </w:r>
      <w:r>
        <w:rPr>
          <w:spacing w:val="-9"/>
        </w:rPr>
        <w:t> </w:t>
      </w:r>
      <w:r>
        <w:rPr/>
        <w:t>an</w:t>
      </w:r>
      <w:r>
        <w:rPr>
          <w:spacing w:val="-9"/>
        </w:rPr>
        <w:t> </w:t>
      </w:r>
      <w:r>
        <w:rPr/>
        <w:t>89-year</w:t>
      </w:r>
      <w:r>
        <w:rPr>
          <w:spacing w:val="-9"/>
        </w:rPr>
        <w:t> </w:t>
      </w:r>
      <w:r>
        <w:rPr/>
        <w:t>dataset</w:t>
      </w:r>
      <w:r>
        <w:rPr>
          <w:spacing w:val="-9"/>
        </w:rPr>
        <w:t> </w:t>
      </w:r>
      <w:r>
        <w:rPr/>
        <w:t>in</w:t>
      </w:r>
      <w:r>
        <w:rPr>
          <w:spacing w:val="-9"/>
        </w:rPr>
        <w:t> </w:t>
      </w:r>
      <w:r>
        <w:rPr/>
        <w:t>Goal</w:t>
      </w:r>
      <w:r>
        <w:rPr>
          <w:spacing w:val="-9"/>
        </w:rPr>
        <w:t> </w:t>
      </w:r>
      <w:r>
        <w:rPr/>
        <w:t>1,</w:t>
      </w:r>
      <w:r>
        <w:rPr>
          <w:spacing w:val="-9"/>
        </w:rPr>
        <w:t> </w:t>
      </w:r>
      <w:r>
        <w:rPr/>
        <w:t>or</w:t>
      </w:r>
      <w:r>
        <w:rPr>
          <w:spacing w:val="-9"/>
        </w:rPr>
        <w:t> </w:t>
      </w:r>
      <w:r>
        <w:rPr/>
        <w:t>the</w:t>
      </w:r>
      <w:r>
        <w:rPr>
          <w:spacing w:val="-9"/>
        </w:rPr>
        <w:t> </w:t>
      </w:r>
      <w:r>
        <w:rPr/>
        <w:t>equivalent</w:t>
      </w:r>
      <w:r>
        <w:rPr>
          <w:spacing w:val="-9"/>
        </w:rPr>
        <w:t> </w:t>
      </w:r>
      <w:r>
        <w:rPr/>
        <w:t>share</w:t>
      </w:r>
      <w:r>
        <w:rPr>
          <w:spacing w:val="-9"/>
        </w:rPr>
        <w:t> </w:t>
      </w:r>
      <w:r>
        <w:rPr/>
        <w:t>of</w:t>
      </w:r>
      <w:r>
        <w:rPr>
          <w:spacing w:val="-9"/>
        </w:rPr>
        <w:t> </w:t>
      </w:r>
      <w:r>
        <w:rPr/>
        <w:t>the</w:t>
      </w:r>
      <w:r>
        <w:rPr>
          <w:spacing w:val="-9"/>
        </w:rPr>
        <w:t> </w:t>
      </w:r>
      <w:r>
        <w:rPr/>
        <w:t>training fold in Goal 2.</w:t>
      </w:r>
      <w:r>
        <w:rPr>
          <w:spacing w:val="40"/>
        </w:rPr>
        <w:t> </w:t>
      </w:r>
      <w:r>
        <w:rPr/>
        <w:t>This filter ensures that reported rules represent patterns that recur meaningfully across the historical record, not isolated outlier years.</w:t>
      </w:r>
    </w:p>
    <w:p>
      <w:pPr>
        <w:pStyle w:val="BodyText"/>
        <w:spacing w:line="312" w:lineRule="auto"/>
        <w:ind w:left="709" w:right="990" w:firstLine="338"/>
        <w:jc w:val="both"/>
      </w:pPr>
      <w:r>
        <w:rPr>
          <w:b/>
        </w:rPr>
        <w:t>Step 6: Rule output and prediction.</w:t>
      </w:r>
      <w:r>
        <w:rPr>
          <w:b/>
          <w:spacing w:val="36"/>
        </w:rPr>
        <w:t> </w:t>
      </w:r>
      <w:r>
        <w:rPr/>
        <w:t>Each retained rule describes a climate subgroup as a conjunction</w:t>
      </w:r>
      <w:r>
        <w:rPr>
          <w:spacing w:val="-10"/>
        </w:rPr>
        <w:t> </w:t>
      </w:r>
      <w:r>
        <w:rPr/>
        <w:t>of</w:t>
      </w:r>
      <w:r>
        <w:rPr>
          <w:spacing w:val="-10"/>
        </w:rPr>
        <w:t> </w:t>
      </w:r>
      <w:r>
        <w:rPr/>
        <w:t>feature-bin</w:t>
      </w:r>
      <w:r>
        <w:rPr>
          <w:spacing w:val="-10"/>
        </w:rPr>
        <w:t> </w:t>
      </w:r>
      <w:r>
        <w:rPr/>
        <w:t>conditions,</w:t>
      </w:r>
      <w:r>
        <w:rPr>
          <w:spacing w:val="-10"/>
        </w:rPr>
        <w:t> </w:t>
      </w:r>
      <w:r>
        <w:rPr/>
        <w:t>along</w:t>
      </w:r>
      <w:r>
        <w:rPr>
          <w:spacing w:val="-10"/>
        </w:rPr>
        <w:t> </w:t>
      </w:r>
      <w:r>
        <w:rPr/>
        <w:t>with</w:t>
      </w:r>
      <w:r>
        <w:rPr>
          <w:spacing w:val="-10"/>
        </w:rPr>
        <w:t> </w:t>
      </w:r>
      <w:r>
        <w:rPr/>
        <w:t>the</w:t>
      </w:r>
      <w:r>
        <w:rPr>
          <w:spacing w:val="-10"/>
        </w:rPr>
        <w:t> </w:t>
      </w:r>
      <w:r>
        <w:rPr/>
        <w:t>median</w:t>
      </w:r>
      <w:r>
        <w:rPr>
          <w:spacing w:val="-10"/>
        </w:rPr>
        <w:t> </w:t>
      </w:r>
      <w:r>
        <w:rPr/>
        <w:t>residual</w:t>
      </w:r>
      <w:r>
        <w:rPr>
          <w:spacing w:val="-10"/>
        </w:rPr>
        <w:t> </w:t>
      </w:r>
      <w:r>
        <w:rPr/>
        <w:t>of</w:t>
      </w:r>
      <w:r>
        <w:rPr>
          <w:spacing w:val="-10"/>
        </w:rPr>
        <w:t> </w:t>
      </w:r>
      <w:r>
        <w:rPr/>
        <w:t>the</w:t>
      </w:r>
      <w:r>
        <w:rPr>
          <w:spacing w:val="-10"/>
        </w:rPr>
        <w:t> </w:t>
      </w:r>
      <w:r>
        <w:rPr/>
        <w:t>target</w:t>
      </w:r>
      <w:r>
        <w:rPr>
          <w:spacing w:val="-10"/>
        </w:rPr>
        <w:t> </w:t>
      </w:r>
      <w:r>
        <w:rPr/>
        <w:t>variable</w:t>
      </w:r>
      <w:r>
        <w:rPr>
          <w:spacing w:val="-10"/>
        </w:rPr>
        <w:t> </w:t>
      </w:r>
      <w:r>
        <w:rPr/>
        <w:t>within </w:t>
      </w:r>
      <w:r>
        <w:rPr>
          <w:spacing w:val="-2"/>
        </w:rPr>
        <w:t>the</w:t>
      </w:r>
      <w:r>
        <w:rPr>
          <w:spacing w:val="-7"/>
        </w:rPr>
        <w:t> </w:t>
      </w:r>
      <w:r>
        <w:rPr>
          <w:spacing w:val="-2"/>
        </w:rPr>
        <w:t>subgroup</w:t>
      </w:r>
      <w:r>
        <w:rPr>
          <w:spacing w:val="-7"/>
        </w:rPr>
        <w:t> </w:t>
      </w:r>
      <w:r>
        <w:rPr>
          <w:spacing w:val="-2"/>
        </w:rPr>
        <w:t>and</w:t>
      </w:r>
      <w:r>
        <w:rPr>
          <w:spacing w:val="-7"/>
        </w:rPr>
        <w:t> </w:t>
      </w:r>
      <w:r>
        <w:rPr>
          <w:spacing w:val="-2"/>
        </w:rPr>
        <w:t>the</w:t>
      </w:r>
      <w:r>
        <w:rPr>
          <w:spacing w:val="-7"/>
        </w:rPr>
        <w:t> </w:t>
      </w:r>
      <w:r>
        <w:rPr>
          <w:spacing w:val="-2"/>
        </w:rPr>
        <w:t>KS</w:t>
      </w:r>
      <w:r>
        <w:rPr>
          <w:spacing w:val="-7"/>
        </w:rPr>
        <w:t> </w:t>
      </w:r>
      <w:r>
        <w:rPr>
          <w:spacing w:val="-2"/>
        </w:rPr>
        <w:t>p-value.</w:t>
      </w:r>
      <w:r>
        <w:rPr>
          <w:spacing w:val="6"/>
        </w:rPr>
        <w:t> </w:t>
      </w:r>
      <w:r>
        <w:rPr>
          <w:spacing w:val="-2"/>
        </w:rPr>
        <w:t>An</w:t>
      </w:r>
      <w:r>
        <w:rPr>
          <w:spacing w:val="-7"/>
        </w:rPr>
        <w:t> </w:t>
      </w:r>
      <w:r>
        <w:rPr>
          <w:spacing w:val="-2"/>
        </w:rPr>
        <w:t>example</w:t>
      </w:r>
      <w:r>
        <w:rPr>
          <w:spacing w:val="-7"/>
        </w:rPr>
        <w:t> </w:t>
      </w:r>
      <w:r>
        <w:rPr>
          <w:spacing w:val="-2"/>
        </w:rPr>
        <w:t>RDD</w:t>
      </w:r>
      <w:r>
        <w:rPr>
          <w:spacing w:val="-7"/>
        </w:rPr>
        <w:t> </w:t>
      </w:r>
      <w:r>
        <w:rPr>
          <w:spacing w:val="-2"/>
        </w:rPr>
        <w:t>rule</w:t>
      </w:r>
      <w:r>
        <w:rPr>
          <w:spacing w:val="-6"/>
        </w:rPr>
        <w:t> </w:t>
      </w:r>
      <w:r>
        <w:rPr>
          <w:spacing w:val="-2"/>
        </w:rPr>
        <w:t>output</w:t>
      </w:r>
      <w:r>
        <w:rPr>
          <w:spacing w:val="-7"/>
        </w:rPr>
        <w:t> </w:t>
      </w:r>
      <w:r>
        <w:rPr>
          <w:spacing w:val="-2"/>
        </w:rPr>
        <w:t>reads:</w:t>
      </w:r>
      <w:r>
        <w:rPr>
          <w:spacing w:val="5"/>
        </w:rPr>
        <w:t> </w:t>
      </w:r>
      <w:r>
        <w:rPr>
          <w:spacing w:val="-2"/>
        </w:rPr>
        <w:t>“IF</w:t>
      </w:r>
      <w:r>
        <w:rPr>
          <w:spacing w:val="-7"/>
        </w:rPr>
        <w:t> </w:t>
      </w:r>
      <w:r>
        <w:rPr>
          <w:spacing w:val="-2"/>
        </w:rPr>
        <w:t>wet</w:t>
      </w:r>
      <w:r>
        <w:rPr>
          <w:spacing w:val="-6"/>
        </w:rPr>
        <w:t> </w:t>
      </w:r>
      <w:r>
        <w:rPr>
          <w:spacing w:val="-2"/>
        </w:rPr>
        <w:t>days</w:t>
      </w:r>
      <w:r>
        <w:rPr>
          <w:spacing w:val="-7"/>
        </w:rPr>
        <w:t> </w:t>
      </w:r>
      <w:r>
        <w:rPr>
          <w:spacing w:val="-2"/>
        </w:rPr>
        <w:t>post-flowering</w:t>
      </w:r>
    </w:p>
    <w:p>
      <w:pPr>
        <w:pStyle w:val="BodyText"/>
        <w:spacing w:line="297" w:lineRule="exact"/>
        <w:ind w:left="709"/>
        <w:jc w:val="both"/>
      </w:pPr>
      <w:r>
        <w:rPr>
          <w:rFonts w:ascii="Meiryo UI" w:hAnsi="Meiryo UI"/>
          <w:i/>
          <w:spacing w:val="-2"/>
        </w:rPr>
        <w:t>∈</w:t>
      </w:r>
      <w:r>
        <w:rPr>
          <w:rFonts w:ascii="Meiryo UI" w:hAnsi="Meiryo UI"/>
          <w:i/>
          <w:spacing w:val="-21"/>
        </w:rPr>
        <w:t> </w:t>
      </w:r>
      <w:r>
        <w:rPr>
          <w:spacing w:val="-2"/>
        </w:rPr>
        <w:t>[0,</w:t>
      </w:r>
      <w:r>
        <w:rPr>
          <w:spacing w:val="-12"/>
        </w:rPr>
        <w:t> </w:t>
      </w:r>
      <w:r>
        <w:rPr>
          <w:spacing w:val="-2"/>
        </w:rPr>
        <w:t>3.33]</w:t>
      </w:r>
      <w:r>
        <w:rPr>
          <w:spacing w:val="-12"/>
        </w:rPr>
        <w:t> </w:t>
      </w:r>
      <w:r>
        <w:rPr>
          <w:spacing w:val="-2"/>
        </w:rPr>
        <w:t>AND</w:t>
      </w:r>
      <w:r>
        <w:rPr>
          <w:spacing w:val="-12"/>
        </w:rPr>
        <w:t> </w:t>
      </w:r>
      <w:r>
        <w:rPr>
          <w:spacing w:val="-2"/>
        </w:rPr>
        <w:t>wet</w:t>
      </w:r>
      <w:r>
        <w:rPr>
          <w:spacing w:val="-11"/>
        </w:rPr>
        <w:t> </w:t>
      </w:r>
      <w:r>
        <w:rPr>
          <w:spacing w:val="-2"/>
        </w:rPr>
        <w:t>days</w:t>
      </w:r>
      <w:r>
        <w:rPr>
          <w:spacing w:val="-12"/>
        </w:rPr>
        <w:t> </w:t>
      </w:r>
      <w:r>
        <w:rPr>
          <w:spacing w:val="-2"/>
        </w:rPr>
        <w:t>post-maturity</w:t>
      </w:r>
      <w:r>
        <w:rPr>
          <w:spacing w:val="-12"/>
        </w:rPr>
        <w:t> </w:t>
      </w:r>
      <w:r>
        <w:rPr>
          <w:rFonts w:ascii="Meiryo UI" w:hAnsi="Meiryo UI"/>
          <w:i/>
          <w:spacing w:val="-2"/>
        </w:rPr>
        <w:t>∈</w:t>
      </w:r>
      <w:r>
        <w:rPr>
          <w:rFonts w:ascii="Meiryo UI" w:hAnsi="Meiryo UI"/>
          <w:i/>
          <w:spacing w:val="-21"/>
        </w:rPr>
        <w:t> </w:t>
      </w:r>
      <w:r>
        <w:rPr>
          <w:spacing w:val="-2"/>
        </w:rPr>
        <w:t>[0,</w:t>
      </w:r>
      <w:r>
        <w:rPr>
          <w:spacing w:val="-11"/>
        </w:rPr>
        <w:t> </w:t>
      </w:r>
      <w:r>
        <w:rPr>
          <w:spacing w:val="-2"/>
        </w:rPr>
        <w:t>3.46]</w:t>
      </w:r>
      <w:r>
        <w:rPr>
          <w:spacing w:val="-10"/>
        </w:rPr>
        <w:t> </w:t>
      </w:r>
      <w:r>
        <w:rPr>
          <w:spacing w:val="-2"/>
        </w:rPr>
        <w:t>THEN</w:t>
      </w:r>
      <w:r>
        <w:rPr>
          <w:spacing w:val="-9"/>
        </w:rPr>
        <w:t> </w:t>
      </w:r>
      <w:r>
        <w:rPr>
          <w:spacing w:val="-2"/>
        </w:rPr>
        <w:t>production</w:t>
      </w:r>
      <w:r>
        <w:rPr>
          <w:spacing w:val="-10"/>
        </w:rPr>
        <w:t> </w:t>
      </w:r>
      <w:r>
        <w:rPr>
          <w:spacing w:val="-2"/>
        </w:rPr>
        <w:t>is</w:t>
      </w:r>
      <w:r>
        <w:rPr>
          <w:spacing w:val="-9"/>
        </w:rPr>
        <w:t> </w:t>
      </w:r>
      <w:r>
        <w:rPr>
          <w:spacing w:val="-2"/>
        </w:rPr>
        <w:t>+121</w:t>
      </w:r>
      <w:r>
        <w:rPr>
          <w:spacing w:val="-9"/>
        </w:rPr>
        <w:t> </w:t>
      </w:r>
      <w:r>
        <w:rPr>
          <w:spacing w:val="-2"/>
        </w:rPr>
        <w:t>mhl</w:t>
      </w:r>
      <w:r>
        <w:rPr>
          <w:spacing w:val="-10"/>
        </w:rPr>
        <w:t> </w:t>
      </w:r>
      <w:r>
        <w:rPr>
          <w:spacing w:val="-2"/>
        </w:rPr>
        <w:t>above</w:t>
      </w:r>
      <w:r>
        <w:rPr>
          <w:spacing w:val="-9"/>
        </w:rPr>
        <w:t> </w:t>
      </w:r>
      <w:r>
        <w:rPr>
          <w:spacing w:val="-2"/>
        </w:rPr>
        <w:t>trend</w:t>
      </w:r>
      <w:r>
        <w:rPr>
          <w:spacing w:val="-9"/>
        </w:rPr>
        <w:t> </w:t>
      </w:r>
      <w:r>
        <w:rPr>
          <w:spacing w:val="-5"/>
        </w:rPr>
        <w:t>on</w:t>
      </w:r>
    </w:p>
    <w:p>
      <w:pPr>
        <w:pStyle w:val="BodyText"/>
        <w:spacing w:line="312" w:lineRule="auto" w:before="30"/>
        <w:ind w:left="701" w:right="984" w:firstLine="7"/>
        <w:jc w:val="both"/>
      </w:pPr>
      <w:r>
        <w:rPr/>
        <w:t>average (support 28%, p = 0.0043).” For Goal 1, the retained rules are the direct output — each </w:t>
      </w:r>
      <w:r>
        <w:rPr>
          <w:spacing w:val="-2"/>
        </w:rPr>
        <w:t>rule</w:t>
      </w:r>
      <w:r>
        <w:rPr>
          <w:spacing w:val="-6"/>
        </w:rPr>
        <w:t> </w:t>
      </w:r>
      <w:r>
        <w:rPr>
          <w:spacing w:val="-2"/>
        </w:rPr>
        <w:t>represents</w:t>
      </w:r>
      <w:r>
        <w:rPr>
          <w:spacing w:val="-6"/>
        </w:rPr>
        <w:t> </w:t>
      </w:r>
      <w:r>
        <w:rPr>
          <w:spacing w:val="-2"/>
        </w:rPr>
        <w:t>an</w:t>
      </w:r>
      <w:r>
        <w:rPr>
          <w:spacing w:val="-6"/>
        </w:rPr>
        <w:t> </w:t>
      </w:r>
      <w:r>
        <w:rPr>
          <w:spacing w:val="-2"/>
        </w:rPr>
        <w:t>interpretable</w:t>
      </w:r>
      <w:r>
        <w:rPr>
          <w:spacing w:val="-6"/>
        </w:rPr>
        <w:t> </w:t>
      </w:r>
      <w:r>
        <w:rPr>
          <w:spacing w:val="-2"/>
        </w:rPr>
        <w:t>agroclimatic</w:t>
      </w:r>
      <w:r>
        <w:rPr>
          <w:spacing w:val="-6"/>
        </w:rPr>
        <w:t> </w:t>
      </w:r>
      <w:r>
        <w:rPr>
          <w:spacing w:val="-2"/>
        </w:rPr>
        <w:t>pattern.</w:t>
      </w:r>
      <w:r>
        <w:rPr/>
        <w:t> </w:t>
      </w:r>
      <w:r>
        <w:rPr>
          <w:spacing w:val="-2"/>
        </w:rPr>
        <w:t>For</w:t>
      </w:r>
      <w:r>
        <w:rPr>
          <w:spacing w:val="-6"/>
        </w:rPr>
        <w:t> </w:t>
      </w:r>
      <w:r>
        <w:rPr>
          <w:spacing w:val="-2"/>
        </w:rPr>
        <w:t>Goal</w:t>
      </w:r>
      <w:r>
        <w:rPr>
          <w:spacing w:val="-6"/>
        </w:rPr>
        <w:t> </w:t>
      </w:r>
      <w:r>
        <w:rPr>
          <w:spacing w:val="-2"/>
        </w:rPr>
        <w:t>2</w:t>
      </w:r>
      <w:r>
        <w:rPr>
          <w:spacing w:val="-6"/>
        </w:rPr>
        <w:t> </w:t>
      </w:r>
      <w:r>
        <w:rPr>
          <w:spacing w:val="-2"/>
        </w:rPr>
        <w:t>(Predictive</w:t>
      </w:r>
      <w:r>
        <w:rPr>
          <w:spacing w:val="-6"/>
        </w:rPr>
        <w:t> </w:t>
      </w:r>
      <w:r>
        <w:rPr>
          <w:spacing w:val="-2"/>
        </w:rPr>
        <w:t>Validation),</w:t>
      </w:r>
      <w:r>
        <w:rPr>
          <w:spacing w:val="-6"/>
        </w:rPr>
        <w:t> </w:t>
      </w:r>
      <w:r>
        <w:rPr>
          <w:spacing w:val="-2"/>
        </w:rPr>
        <w:t>the</w:t>
      </w:r>
      <w:r>
        <w:rPr>
          <w:spacing w:val="-6"/>
        </w:rPr>
        <w:t> </w:t>
      </w:r>
      <w:r>
        <w:rPr>
          <w:spacing w:val="-2"/>
        </w:rPr>
        <w:t>feature </w:t>
      </w:r>
      <w:r>
        <w:rPr/>
        <w:t>values</w:t>
      </w:r>
      <w:r>
        <w:rPr>
          <w:spacing w:val="-10"/>
        </w:rPr>
        <w:t> </w:t>
      </w:r>
      <w:r>
        <w:rPr/>
        <w:t>of</w:t>
      </w:r>
      <w:r>
        <w:rPr>
          <w:spacing w:val="-10"/>
        </w:rPr>
        <w:t> </w:t>
      </w:r>
      <w:r>
        <w:rPr/>
        <w:t>a</w:t>
      </w:r>
      <w:r>
        <w:rPr>
          <w:spacing w:val="-10"/>
        </w:rPr>
        <w:t> </w:t>
      </w:r>
      <w:r>
        <w:rPr/>
        <w:t>test</w:t>
      </w:r>
      <w:r>
        <w:rPr>
          <w:spacing w:val="-10"/>
        </w:rPr>
        <w:t> </w:t>
      </w:r>
      <w:r>
        <w:rPr/>
        <w:t>year</w:t>
      </w:r>
      <w:r>
        <w:rPr>
          <w:spacing w:val="-10"/>
        </w:rPr>
        <w:t> </w:t>
      </w:r>
      <w:r>
        <w:rPr/>
        <w:t>are</w:t>
      </w:r>
      <w:r>
        <w:rPr>
          <w:spacing w:val="-10"/>
        </w:rPr>
        <w:t> </w:t>
      </w:r>
      <w:r>
        <w:rPr/>
        <w:t>checked</w:t>
      </w:r>
      <w:r>
        <w:rPr>
          <w:spacing w:val="-10"/>
        </w:rPr>
        <w:t> </w:t>
      </w:r>
      <w:r>
        <w:rPr/>
        <w:t>against</w:t>
      </w:r>
      <w:r>
        <w:rPr>
          <w:spacing w:val="-10"/>
        </w:rPr>
        <w:t> </w:t>
      </w:r>
      <w:r>
        <w:rPr/>
        <w:t>all</w:t>
      </w:r>
      <w:r>
        <w:rPr>
          <w:spacing w:val="-10"/>
        </w:rPr>
        <w:t> </w:t>
      </w:r>
      <w:r>
        <w:rPr/>
        <w:t>retained</w:t>
      </w:r>
      <w:r>
        <w:rPr>
          <w:spacing w:val="-10"/>
        </w:rPr>
        <w:t> </w:t>
      </w:r>
      <w:r>
        <w:rPr/>
        <w:t>rules. If</w:t>
      </w:r>
      <w:r>
        <w:rPr>
          <w:spacing w:val="-10"/>
        </w:rPr>
        <w:t> </w:t>
      </w:r>
      <w:r>
        <w:rPr/>
        <w:t>one</w:t>
      </w:r>
      <w:r>
        <w:rPr>
          <w:spacing w:val="-10"/>
        </w:rPr>
        <w:t> </w:t>
      </w:r>
      <w:r>
        <w:rPr/>
        <w:t>or</w:t>
      </w:r>
      <w:r>
        <w:rPr>
          <w:spacing w:val="-10"/>
        </w:rPr>
        <w:t> </w:t>
      </w:r>
      <w:r>
        <w:rPr/>
        <w:t>more</w:t>
      </w:r>
      <w:r>
        <w:rPr>
          <w:spacing w:val="-10"/>
        </w:rPr>
        <w:t> </w:t>
      </w:r>
      <w:r>
        <w:rPr/>
        <w:t>rules</w:t>
      </w:r>
      <w:r>
        <w:rPr>
          <w:spacing w:val="-10"/>
        </w:rPr>
        <w:t> </w:t>
      </w:r>
      <w:r>
        <w:rPr/>
        <w:t>fire,</w:t>
      </w:r>
      <w:r>
        <w:rPr>
          <w:spacing w:val="-10"/>
        </w:rPr>
        <w:t> </w:t>
      </w:r>
      <w:r>
        <w:rPr/>
        <w:t>their</w:t>
      </w:r>
      <w:r>
        <w:rPr>
          <w:spacing w:val="-10"/>
        </w:rPr>
        <w:t> </w:t>
      </w:r>
      <w:r>
        <w:rPr/>
        <w:t>subgroup medians</w:t>
      </w:r>
      <w:r>
        <w:rPr>
          <w:spacing w:val="-8"/>
        </w:rPr>
        <w:t> </w:t>
      </w:r>
      <w:r>
        <w:rPr/>
        <w:t>are</w:t>
      </w:r>
      <w:r>
        <w:rPr>
          <w:spacing w:val="-8"/>
        </w:rPr>
        <w:t> </w:t>
      </w:r>
      <w:r>
        <w:rPr/>
        <w:t>combined</w:t>
      </w:r>
      <w:r>
        <w:rPr>
          <w:spacing w:val="-8"/>
        </w:rPr>
        <w:t> </w:t>
      </w:r>
      <w:r>
        <w:rPr/>
        <w:t>as</w:t>
      </w:r>
      <w:r>
        <w:rPr>
          <w:spacing w:val="-8"/>
        </w:rPr>
        <w:t> </w:t>
      </w:r>
      <w:r>
        <w:rPr/>
        <w:t>a</w:t>
      </w:r>
      <w:r>
        <w:rPr>
          <w:spacing w:val="-8"/>
        </w:rPr>
        <w:t> </w:t>
      </w:r>
      <w:r>
        <w:rPr/>
        <w:t>support-weighted</w:t>
      </w:r>
      <w:r>
        <w:rPr>
          <w:spacing w:val="-8"/>
        </w:rPr>
        <w:t> </w:t>
      </w:r>
      <w:r>
        <w:rPr/>
        <w:t>sum</w:t>
      </w:r>
      <w:r>
        <w:rPr>
          <w:spacing w:val="-8"/>
        </w:rPr>
        <w:t> </w:t>
      </w:r>
      <w:r>
        <w:rPr/>
        <w:t>—</w:t>
      </w:r>
      <w:r>
        <w:rPr>
          <w:spacing w:val="-8"/>
        </w:rPr>
        <w:t> </w:t>
      </w:r>
      <w:r>
        <w:rPr/>
        <w:t>each</w:t>
      </w:r>
      <w:r>
        <w:rPr>
          <w:spacing w:val="-8"/>
        </w:rPr>
        <w:t> </w:t>
      </w:r>
      <w:r>
        <w:rPr/>
        <w:t>rule’s</w:t>
      </w:r>
      <w:r>
        <w:rPr>
          <w:spacing w:val="-8"/>
        </w:rPr>
        <w:t> </w:t>
      </w:r>
      <w:r>
        <w:rPr/>
        <w:t>median</w:t>
      </w:r>
      <w:r>
        <w:rPr>
          <w:spacing w:val="-8"/>
        </w:rPr>
        <w:t> </w:t>
      </w:r>
      <w:r>
        <w:rPr/>
        <w:t>residual</w:t>
      </w:r>
      <w:r>
        <w:rPr>
          <w:spacing w:val="-8"/>
        </w:rPr>
        <w:t> </w:t>
      </w:r>
      <w:r>
        <w:rPr/>
        <w:t>weighted</w:t>
      </w:r>
      <w:r>
        <w:rPr>
          <w:spacing w:val="-8"/>
        </w:rPr>
        <w:t> </w:t>
      </w:r>
      <w:r>
        <w:rPr/>
        <w:t>by</w:t>
      </w:r>
      <w:r>
        <w:rPr>
          <w:spacing w:val="-8"/>
        </w:rPr>
        <w:t> </w:t>
      </w:r>
      <w:r>
        <w:rPr/>
        <w:t>the proportion of training observations it covers. If no rule fires, the model falls back to the training median residual, producing the same prediction as the Naive_Median baseline.</w:t>
      </w:r>
      <w:r>
        <w:rPr>
          <w:spacing w:val="40"/>
        </w:rPr>
        <w:t> </w:t>
      </w:r>
      <w:r>
        <w:rPr/>
        <w:t>This fallback means</w:t>
      </w:r>
      <w:r>
        <w:rPr>
          <w:spacing w:val="-7"/>
        </w:rPr>
        <w:t> </w:t>
      </w:r>
      <w:r>
        <w:rPr/>
        <w:t>CarenR</w:t>
      </w:r>
      <w:r>
        <w:rPr>
          <w:spacing w:val="-7"/>
        </w:rPr>
        <w:t> </w:t>
      </w:r>
      <w:r>
        <w:rPr/>
        <w:t>never</w:t>
      </w:r>
      <w:r>
        <w:rPr>
          <w:spacing w:val="-7"/>
        </w:rPr>
        <w:t> </w:t>
      </w:r>
      <w:r>
        <w:rPr/>
        <w:t>predicts</w:t>
      </w:r>
      <w:r>
        <w:rPr>
          <w:spacing w:val="-7"/>
        </w:rPr>
        <w:t> </w:t>
      </w:r>
      <w:r>
        <w:rPr/>
        <w:t>worse</w:t>
      </w:r>
      <w:r>
        <w:rPr>
          <w:spacing w:val="-7"/>
        </w:rPr>
        <w:t> </w:t>
      </w:r>
      <w:r>
        <w:rPr/>
        <w:t>than</w:t>
      </w:r>
      <w:r>
        <w:rPr>
          <w:spacing w:val="-7"/>
        </w:rPr>
        <w:t> </w:t>
      </w:r>
      <w:r>
        <w:rPr/>
        <w:t>the</w:t>
      </w:r>
      <w:r>
        <w:rPr>
          <w:spacing w:val="-7"/>
        </w:rPr>
        <w:t> </w:t>
      </w:r>
      <w:r>
        <w:rPr/>
        <w:t>naive</w:t>
      </w:r>
      <w:r>
        <w:rPr>
          <w:spacing w:val="-7"/>
        </w:rPr>
        <w:t> </w:t>
      </w:r>
      <w:r>
        <w:rPr/>
        <w:t>baseline</w:t>
      </w:r>
      <w:r>
        <w:rPr>
          <w:spacing w:val="-7"/>
        </w:rPr>
        <w:t> </w:t>
      </w:r>
      <w:r>
        <w:rPr/>
        <w:t>unless</w:t>
      </w:r>
      <w:r>
        <w:rPr>
          <w:spacing w:val="-7"/>
        </w:rPr>
        <w:t> </w:t>
      </w:r>
      <w:r>
        <w:rPr/>
        <w:t>it</w:t>
      </w:r>
      <w:r>
        <w:rPr>
          <w:spacing w:val="-7"/>
        </w:rPr>
        <w:t> </w:t>
      </w:r>
      <w:r>
        <w:rPr/>
        <w:t>fires</w:t>
      </w:r>
      <w:r>
        <w:rPr>
          <w:spacing w:val="-7"/>
        </w:rPr>
        <w:t> </w:t>
      </w:r>
      <w:r>
        <w:rPr/>
        <w:t>a</w:t>
      </w:r>
      <w:r>
        <w:rPr>
          <w:spacing w:val="-7"/>
        </w:rPr>
        <w:t> </w:t>
      </w:r>
      <w:r>
        <w:rPr/>
        <w:t>rule,</w:t>
      </w:r>
      <w:r>
        <w:rPr>
          <w:spacing w:val="-7"/>
        </w:rPr>
        <w:t> </w:t>
      </w:r>
      <w:r>
        <w:rPr/>
        <w:t>which</w:t>
      </w:r>
      <w:r>
        <w:rPr>
          <w:spacing w:val="-7"/>
        </w:rPr>
        <w:t> </w:t>
      </w:r>
      <w:r>
        <w:rPr/>
        <w:t>makes</w:t>
      </w:r>
      <w:r>
        <w:rPr>
          <w:spacing w:val="-7"/>
        </w:rPr>
        <w:t> </w:t>
      </w:r>
      <w:r>
        <w:rPr/>
        <w:t>the walk-forward</w:t>
      </w:r>
      <w:r>
        <w:rPr>
          <w:spacing w:val="-7"/>
        </w:rPr>
        <w:t> </w:t>
      </w:r>
      <w:r>
        <w:rPr/>
        <w:t>evaluation</w:t>
      </w:r>
      <w:r>
        <w:rPr>
          <w:spacing w:val="-7"/>
        </w:rPr>
        <w:t> </w:t>
      </w:r>
      <w:r>
        <w:rPr/>
        <w:t>in</w:t>
      </w:r>
      <w:r>
        <w:rPr>
          <w:spacing w:val="-7"/>
        </w:rPr>
        <w:t> </w:t>
      </w:r>
      <w:r>
        <w:rPr/>
        <w:t>Chapter</w:t>
      </w:r>
      <w:r>
        <w:rPr>
          <w:spacing w:val="-7"/>
        </w:rPr>
        <w:t> </w:t>
      </w:r>
      <w:hyperlink w:history="true" w:anchor="_bookmark96">
        <w:r>
          <w:rPr>
            <w:color w:val="8B2C18"/>
          </w:rPr>
          <w:t>5</w:t>
        </w:r>
      </w:hyperlink>
      <w:r>
        <w:rPr>
          <w:color w:val="8B2C18"/>
          <w:spacing w:val="-7"/>
        </w:rPr>
        <w:t> </w:t>
      </w:r>
      <w:r>
        <w:rPr/>
        <w:t>a</w:t>
      </w:r>
      <w:r>
        <w:rPr>
          <w:spacing w:val="-7"/>
        </w:rPr>
        <w:t> </w:t>
      </w:r>
      <w:r>
        <w:rPr/>
        <w:t>direct</w:t>
      </w:r>
      <w:r>
        <w:rPr>
          <w:spacing w:val="-7"/>
        </w:rPr>
        <w:t> </w:t>
      </w:r>
      <w:r>
        <w:rPr/>
        <w:t>test</w:t>
      </w:r>
      <w:r>
        <w:rPr>
          <w:spacing w:val="-7"/>
        </w:rPr>
        <w:t> </w:t>
      </w:r>
      <w:r>
        <w:rPr/>
        <w:t>of</w:t>
      </w:r>
      <w:r>
        <w:rPr>
          <w:spacing w:val="-7"/>
        </w:rPr>
        <w:t> </w:t>
      </w:r>
      <w:r>
        <w:rPr/>
        <w:t>whether</w:t>
      </w:r>
      <w:r>
        <w:rPr>
          <w:spacing w:val="-7"/>
        </w:rPr>
        <w:t> </w:t>
      </w:r>
      <w:r>
        <w:rPr/>
        <w:t>the</w:t>
      </w:r>
      <w:r>
        <w:rPr>
          <w:spacing w:val="-7"/>
        </w:rPr>
        <w:t> </w:t>
      </w:r>
      <w:r>
        <w:rPr/>
        <w:t>fired</w:t>
      </w:r>
      <w:r>
        <w:rPr>
          <w:spacing w:val="-7"/>
        </w:rPr>
        <w:t> </w:t>
      </w:r>
      <w:r>
        <w:rPr/>
        <w:t>rules</w:t>
      </w:r>
      <w:r>
        <w:rPr>
          <w:spacing w:val="-7"/>
        </w:rPr>
        <w:t> </w:t>
      </w:r>
      <w:r>
        <w:rPr/>
        <w:t>add</w:t>
      </w:r>
      <w:r>
        <w:rPr>
          <w:spacing w:val="-7"/>
        </w:rPr>
        <w:t> </w:t>
      </w:r>
      <w:r>
        <w:rPr/>
        <w:t>value</w:t>
      </w:r>
      <w:r>
        <w:rPr>
          <w:spacing w:val="-7"/>
        </w:rPr>
        <w:t> </w:t>
      </w:r>
      <w:r>
        <w:rPr/>
        <w:t>beyond</w:t>
      </w:r>
      <w:r>
        <w:rPr>
          <w:spacing w:val="-7"/>
        </w:rPr>
        <w:t> </w:t>
      </w:r>
      <w:r>
        <w:rPr/>
        <w:t>the </w:t>
      </w:r>
      <w:r>
        <w:rPr>
          <w:spacing w:val="-2"/>
        </w:rPr>
        <w:t>median.</w:t>
      </w:r>
    </w:p>
    <w:p>
      <w:pPr>
        <w:pStyle w:val="BodyText"/>
        <w:spacing w:line="312" w:lineRule="auto"/>
        <w:ind w:left="703" w:right="952" w:firstLine="344"/>
        <w:jc w:val="both"/>
      </w:pPr>
      <w:r>
        <w:rPr>
          <w:b/>
          <w:spacing w:val="-2"/>
        </w:rPr>
        <w:t>What</w:t>
      </w:r>
      <w:r>
        <w:rPr>
          <w:b/>
          <w:spacing w:val="-12"/>
        </w:rPr>
        <w:t> </w:t>
      </w:r>
      <w:r>
        <w:rPr>
          <w:b/>
          <w:spacing w:val="-2"/>
        </w:rPr>
        <w:t>makes</w:t>
      </w:r>
      <w:r>
        <w:rPr>
          <w:b/>
          <w:spacing w:val="-12"/>
        </w:rPr>
        <w:t> </w:t>
      </w:r>
      <w:r>
        <w:rPr>
          <w:b/>
          <w:spacing w:val="-2"/>
        </w:rPr>
        <w:t>CarenR</w:t>
      </w:r>
      <w:r>
        <w:rPr>
          <w:b/>
          <w:spacing w:val="-12"/>
        </w:rPr>
        <w:t> </w:t>
      </w:r>
      <w:r>
        <w:rPr>
          <w:b/>
          <w:spacing w:val="-2"/>
        </w:rPr>
        <w:t>unique.</w:t>
      </w:r>
      <w:r>
        <w:rPr>
          <w:b/>
          <w:spacing w:val="-11"/>
        </w:rPr>
        <w:t> </w:t>
      </w:r>
      <w:r>
        <w:rPr>
          <w:spacing w:val="-2"/>
        </w:rPr>
        <w:t>Three</w:t>
      </w:r>
      <w:r>
        <w:rPr>
          <w:spacing w:val="-12"/>
        </w:rPr>
        <w:t> </w:t>
      </w:r>
      <w:r>
        <w:rPr>
          <w:spacing w:val="-2"/>
        </w:rPr>
        <w:t>properties</w:t>
      </w:r>
      <w:r>
        <w:rPr>
          <w:spacing w:val="-12"/>
        </w:rPr>
        <w:t> </w:t>
      </w:r>
      <w:r>
        <w:rPr>
          <w:spacing w:val="-2"/>
        </w:rPr>
        <w:t>distinguish</w:t>
      </w:r>
      <w:r>
        <w:rPr>
          <w:spacing w:val="-12"/>
        </w:rPr>
        <w:t> </w:t>
      </w:r>
      <w:r>
        <w:rPr>
          <w:spacing w:val="-2"/>
        </w:rPr>
        <w:t>CarenR</w:t>
      </w:r>
      <w:r>
        <w:rPr>
          <w:spacing w:val="-11"/>
        </w:rPr>
        <w:t> </w:t>
      </w:r>
      <w:r>
        <w:rPr>
          <w:spacing w:val="-2"/>
        </w:rPr>
        <w:t>from</w:t>
      </w:r>
      <w:r>
        <w:rPr>
          <w:spacing w:val="-12"/>
        </w:rPr>
        <w:t> </w:t>
      </w:r>
      <w:r>
        <w:rPr>
          <w:spacing w:val="-2"/>
        </w:rPr>
        <w:t>standard</w:t>
      </w:r>
      <w:r>
        <w:rPr>
          <w:spacing w:val="-12"/>
        </w:rPr>
        <w:t> </w:t>
      </w:r>
      <w:r>
        <w:rPr>
          <w:spacing w:val="-2"/>
        </w:rPr>
        <w:t>rule</w:t>
      </w:r>
      <w:r>
        <w:rPr>
          <w:spacing w:val="-12"/>
        </w:rPr>
        <w:t> </w:t>
      </w:r>
      <w:r>
        <w:rPr>
          <w:spacing w:val="-2"/>
        </w:rPr>
        <w:t>learners. First,</w:t>
      </w:r>
      <w:r>
        <w:rPr>
          <w:spacing w:val="-3"/>
        </w:rPr>
        <w:t> </w:t>
      </w:r>
      <w:r>
        <w:rPr>
          <w:spacing w:val="-2"/>
        </w:rPr>
        <w:t>the</w:t>
      </w:r>
      <w:r>
        <w:rPr>
          <w:spacing w:val="-3"/>
        </w:rPr>
        <w:t> </w:t>
      </w:r>
      <w:r>
        <w:rPr>
          <w:spacing w:val="-2"/>
        </w:rPr>
        <w:t>KS-test</w:t>
      </w:r>
      <w:r>
        <w:rPr>
          <w:spacing w:val="-3"/>
        </w:rPr>
        <w:t> </w:t>
      </w:r>
      <w:r>
        <w:rPr>
          <w:spacing w:val="-2"/>
        </w:rPr>
        <w:t>criterion</w:t>
      </w:r>
      <w:r>
        <w:rPr>
          <w:spacing w:val="-3"/>
        </w:rPr>
        <w:t> </w:t>
      </w:r>
      <w:r>
        <w:rPr>
          <w:spacing w:val="-2"/>
        </w:rPr>
        <w:t>detects</w:t>
      </w:r>
      <w:r>
        <w:rPr>
          <w:spacing w:val="-3"/>
        </w:rPr>
        <w:t> </w:t>
      </w:r>
      <w:r>
        <w:rPr>
          <w:spacing w:val="-2"/>
        </w:rPr>
        <w:t>distributional</w:t>
      </w:r>
      <w:r>
        <w:rPr>
          <w:spacing w:val="-3"/>
        </w:rPr>
        <w:t> </w:t>
      </w:r>
      <w:r>
        <w:rPr>
          <w:spacing w:val="-2"/>
        </w:rPr>
        <w:t>shift</w:t>
      </w:r>
      <w:r>
        <w:rPr>
          <w:spacing w:val="-3"/>
        </w:rPr>
        <w:t> </w:t>
      </w:r>
      <w:r>
        <w:rPr>
          <w:spacing w:val="-2"/>
        </w:rPr>
        <w:t>rather</w:t>
      </w:r>
      <w:r>
        <w:rPr>
          <w:spacing w:val="-3"/>
        </w:rPr>
        <w:t> </w:t>
      </w:r>
      <w:r>
        <w:rPr>
          <w:spacing w:val="-2"/>
        </w:rPr>
        <w:t>than</w:t>
      </w:r>
      <w:r>
        <w:rPr>
          <w:spacing w:val="-3"/>
        </w:rPr>
        <w:t> </w:t>
      </w:r>
      <w:r>
        <w:rPr>
          <w:spacing w:val="-2"/>
        </w:rPr>
        <w:t>class</w:t>
      </w:r>
      <w:r>
        <w:rPr>
          <w:spacing w:val="-3"/>
        </w:rPr>
        <w:t> </w:t>
      </w:r>
      <w:r>
        <w:rPr>
          <w:spacing w:val="-2"/>
        </w:rPr>
        <w:t>membership</w:t>
      </w:r>
      <w:r>
        <w:rPr>
          <w:spacing w:val="-3"/>
        </w:rPr>
        <w:t> </w:t>
      </w:r>
      <w:r>
        <w:rPr>
          <w:spacing w:val="-2"/>
        </w:rPr>
        <w:t>or</w:t>
      </w:r>
      <w:r>
        <w:rPr>
          <w:spacing w:val="-3"/>
        </w:rPr>
        <w:t> </w:t>
      </w:r>
      <w:r>
        <w:rPr>
          <w:spacing w:val="-2"/>
        </w:rPr>
        <w:t>squared</w:t>
      </w:r>
      <w:r>
        <w:rPr>
          <w:spacing w:val="-3"/>
        </w:rPr>
        <w:t> </w:t>
      </w:r>
      <w:r>
        <w:rPr>
          <w:spacing w:val="-2"/>
        </w:rPr>
        <w:t>error reduction.</w:t>
      </w:r>
      <w:r>
        <w:rPr/>
        <w:t> </w:t>
      </w:r>
      <w:r>
        <w:rPr>
          <w:spacing w:val="-2"/>
        </w:rPr>
        <w:t>This</w:t>
      </w:r>
      <w:r>
        <w:rPr>
          <w:spacing w:val="-9"/>
        </w:rPr>
        <w:t> </w:t>
      </w:r>
      <w:r>
        <w:rPr>
          <w:spacing w:val="-2"/>
        </w:rPr>
        <w:t>allows</w:t>
      </w:r>
      <w:r>
        <w:rPr>
          <w:spacing w:val="-9"/>
        </w:rPr>
        <w:t> </w:t>
      </w:r>
      <w:r>
        <w:rPr>
          <w:spacing w:val="-2"/>
        </w:rPr>
        <w:t>CarenR</w:t>
      </w:r>
      <w:r>
        <w:rPr>
          <w:spacing w:val="-9"/>
        </w:rPr>
        <w:t> </w:t>
      </w:r>
      <w:r>
        <w:rPr>
          <w:spacing w:val="-2"/>
        </w:rPr>
        <w:t>to</w:t>
      </w:r>
      <w:r>
        <w:rPr>
          <w:spacing w:val="-9"/>
        </w:rPr>
        <w:t> </w:t>
      </w:r>
      <w:r>
        <w:rPr>
          <w:spacing w:val="-2"/>
        </w:rPr>
        <w:t>identify</w:t>
      </w:r>
      <w:r>
        <w:rPr>
          <w:spacing w:val="-9"/>
        </w:rPr>
        <w:t> </w:t>
      </w:r>
      <w:r>
        <w:rPr>
          <w:spacing w:val="-2"/>
        </w:rPr>
        <w:t>features</w:t>
      </w:r>
      <w:r>
        <w:rPr>
          <w:spacing w:val="-9"/>
        </w:rPr>
        <w:t> </w:t>
      </w:r>
      <w:r>
        <w:rPr>
          <w:spacing w:val="-2"/>
        </w:rPr>
        <w:t>whose</w:t>
      </w:r>
      <w:r>
        <w:rPr>
          <w:spacing w:val="-9"/>
        </w:rPr>
        <w:t> </w:t>
      </w:r>
      <w:r>
        <w:rPr>
          <w:spacing w:val="-2"/>
        </w:rPr>
        <w:t>relationship</w:t>
      </w:r>
      <w:r>
        <w:rPr>
          <w:spacing w:val="-9"/>
        </w:rPr>
        <w:t> </w:t>
      </w:r>
      <w:r>
        <w:rPr>
          <w:spacing w:val="-2"/>
        </w:rPr>
        <w:t>with</w:t>
      </w:r>
      <w:r>
        <w:rPr>
          <w:spacing w:val="-9"/>
        </w:rPr>
        <w:t> </w:t>
      </w:r>
      <w:r>
        <w:rPr>
          <w:spacing w:val="-2"/>
        </w:rPr>
        <w:t>production</w:t>
      </w:r>
      <w:r>
        <w:rPr>
          <w:spacing w:val="-9"/>
        </w:rPr>
        <w:t> </w:t>
      </w:r>
      <w:r>
        <w:rPr>
          <w:spacing w:val="-2"/>
        </w:rPr>
        <w:t>is</w:t>
      </w:r>
      <w:r>
        <w:rPr>
          <w:spacing w:val="-9"/>
        </w:rPr>
        <w:t> </w:t>
      </w:r>
      <w:r>
        <w:rPr>
          <w:spacing w:val="-2"/>
        </w:rPr>
        <w:t>probabilis-</w:t>
      </w:r>
      <w:r>
        <w:rPr/>
        <w:t>tic</w:t>
      </w:r>
      <w:r>
        <w:rPr>
          <w:spacing w:val="-1"/>
        </w:rPr>
        <w:t> </w:t>
      </w:r>
      <w:r>
        <w:rPr/>
        <w:t>and</w:t>
      </w:r>
      <w:r>
        <w:rPr>
          <w:spacing w:val="-1"/>
        </w:rPr>
        <w:t> </w:t>
      </w:r>
      <w:r>
        <w:rPr/>
        <w:t>distributional,</w:t>
      </w:r>
      <w:r>
        <w:rPr>
          <w:spacing w:val="-1"/>
        </w:rPr>
        <w:t> </w:t>
      </w:r>
      <w:r>
        <w:rPr/>
        <w:t>for</w:t>
      </w:r>
      <w:r>
        <w:rPr>
          <w:spacing w:val="-1"/>
        </w:rPr>
        <w:t> </w:t>
      </w:r>
      <w:r>
        <w:rPr/>
        <w:t>example,</w:t>
      </w:r>
      <w:r>
        <w:rPr>
          <w:spacing w:val="-1"/>
        </w:rPr>
        <w:t> </w:t>
      </w:r>
      <w:r>
        <w:rPr/>
        <w:t>LAI</w:t>
      </w:r>
      <w:r>
        <w:rPr>
          <w:spacing w:val="-1"/>
        </w:rPr>
        <w:t> </w:t>
      </w:r>
      <w:r>
        <w:rPr/>
        <w:t>at</w:t>
      </w:r>
      <w:r>
        <w:rPr>
          <w:spacing w:val="-1"/>
        </w:rPr>
        <w:t> </w:t>
      </w:r>
      <w:r>
        <w:rPr/>
        <w:t>harvest</w:t>
      </w:r>
      <w:r>
        <w:rPr>
          <w:spacing w:val="-1"/>
        </w:rPr>
        <w:t> </w:t>
      </w:r>
      <w:r>
        <w:rPr/>
        <w:t>in</w:t>
      </w:r>
      <w:r>
        <w:rPr>
          <w:spacing w:val="-1"/>
        </w:rPr>
        <w:t> </w:t>
      </w:r>
      <w:r>
        <w:rPr/>
        <w:t>Vinho</w:t>
      </w:r>
      <w:r>
        <w:rPr>
          <w:spacing w:val="-1"/>
        </w:rPr>
        <w:t> </w:t>
      </w:r>
      <w:r>
        <w:rPr/>
        <w:t>Verde</w:t>
      </w:r>
      <w:r>
        <w:rPr>
          <w:spacing w:val="-1"/>
        </w:rPr>
        <w:t> </w:t>
      </w:r>
      <w:r>
        <w:rPr/>
        <w:t>(Section</w:t>
      </w:r>
      <w:r>
        <w:rPr>
          <w:spacing w:val="-1"/>
        </w:rPr>
        <w:t> </w:t>
      </w:r>
      <w:hyperlink w:history="true" w:anchor="_bookmark89">
        <w:r>
          <w:rPr>
            <w:color w:val="8B2C18"/>
          </w:rPr>
          <w:t>4.6.2</w:t>
        </w:r>
      </w:hyperlink>
      <w:r>
        <w:rPr/>
        <w:t>),</w:t>
      </w:r>
      <w:r>
        <w:rPr>
          <w:spacing w:val="-1"/>
        </w:rPr>
        <w:t> </w:t>
      </w:r>
      <w:r>
        <w:rPr/>
        <w:t>which</w:t>
      </w:r>
      <w:r>
        <w:rPr>
          <w:spacing w:val="-1"/>
        </w:rPr>
        <w:t> </w:t>
      </w:r>
      <w:r>
        <w:rPr/>
        <w:t>reliably shifts the distribution of production residuals without reliably predicting any single year’s exact value. Second,</w:t>
      </w:r>
      <w:r>
        <w:rPr>
          <w:spacing w:val="-7"/>
        </w:rPr>
        <w:t> </w:t>
      </w:r>
      <w:r>
        <w:rPr/>
        <w:t>rules</w:t>
      </w:r>
      <w:r>
        <w:rPr>
          <w:spacing w:val="-7"/>
        </w:rPr>
        <w:t> </w:t>
      </w:r>
      <w:r>
        <w:rPr/>
        <w:t>are</w:t>
      </w:r>
      <w:r>
        <w:rPr>
          <w:spacing w:val="-7"/>
        </w:rPr>
        <w:t> </w:t>
      </w:r>
      <w:r>
        <w:rPr/>
        <w:t>verified</w:t>
      </w:r>
      <w:r>
        <w:rPr>
          <w:spacing w:val="-7"/>
        </w:rPr>
        <w:t> </w:t>
      </w:r>
      <w:r>
        <w:rPr/>
        <w:t>against</w:t>
      </w:r>
      <w:r>
        <w:rPr>
          <w:spacing w:val="-7"/>
        </w:rPr>
        <w:t> </w:t>
      </w:r>
      <w:r>
        <w:rPr/>
        <w:t>a</w:t>
      </w:r>
      <w:r>
        <w:rPr>
          <w:spacing w:val="-7"/>
        </w:rPr>
        <w:t> </w:t>
      </w:r>
      <w:r>
        <w:rPr/>
        <w:t>global</w:t>
      </w:r>
      <w:r>
        <w:rPr>
          <w:spacing w:val="-7"/>
        </w:rPr>
        <w:t> </w:t>
      </w:r>
      <w:r>
        <w:rPr/>
        <w:t>null</w:t>
      </w:r>
      <w:r>
        <w:rPr>
          <w:spacing w:val="-7"/>
        </w:rPr>
        <w:t> </w:t>
      </w:r>
      <w:r>
        <w:rPr/>
        <w:t>distribution</w:t>
      </w:r>
      <w:r>
        <w:rPr>
          <w:spacing w:val="-7"/>
        </w:rPr>
        <w:t> </w:t>
      </w:r>
      <w:r>
        <w:rPr/>
        <w:t>rather</w:t>
      </w:r>
      <w:r>
        <w:rPr>
          <w:spacing w:val="-7"/>
        </w:rPr>
        <w:t> </w:t>
      </w:r>
      <w:r>
        <w:rPr/>
        <w:t>than</w:t>
      </w:r>
      <w:r>
        <w:rPr>
          <w:spacing w:val="-7"/>
        </w:rPr>
        <w:t> </w:t>
      </w:r>
      <w:r>
        <w:rPr/>
        <w:t>constructed</w:t>
      </w:r>
      <w:r>
        <w:rPr>
          <w:spacing w:val="-7"/>
        </w:rPr>
        <w:t> </w:t>
      </w:r>
      <w:r>
        <w:rPr/>
        <w:t>greedily </w:t>
      </w:r>
      <w:r>
        <w:rPr>
          <w:spacing w:val="-2"/>
        </w:rPr>
        <w:t>to</w:t>
      </w:r>
      <w:r>
        <w:rPr>
          <w:spacing w:val="-7"/>
        </w:rPr>
        <w:t> </w:t>
      </w:r>
      <w:r>
        <w:rPr>
          <w:spacing w:val="-2"/>
        </w:rPr>
        <w:t>separate</w:t>
      </w:r>
      <w:r>
        <w:rPr>
          <w:spacing w:val="-7"/>
        </w:rPr>
        <w:t> </w:t>
      </w:r>
      <w:r>
        <w:rPr>
          <w:spacing w:val="-2"/>
        </w:rPr>
        <w:t>pre-defined</w:t>
      </w:r>
      <w:r>
        <w:rPr>
          <w:spacing w:val="-7"/>
        </w:rPr>
        <w:t> </w:t>
      </w:r>
      <w:r>
        <w:rPr>
          <w:spacing w:val="-2"/>
        </w:rPr>
        <w:t>classes,</w:t>
      </w:r>
      <w:r>
        <w:rPr>
          <w:spacing w:val="-7"/>
        </w:rPr>
        <w:t> </w:t>
      </w:r>
      <w:r>
        <w:rPr>
          <w:spacing w:val="-2"/>
        </w:rPr>
        <w:t>making</w:t>
      </w:r>
      <w:r>
        <w:rPr>
          <w:spacing w:val="-7"/>
        </w:rPr>
        <w:t> </w:t>
      </w:r>
      <w:r>
        <w:rPr>
          <w:spacing w:val="-2"/>
        </w:rPr>
        <w:t>them</w:t>
      </w:r>
      <w:r>
        <w:rPr>
          <w:spacing w:val="-7"/>
        </w:rPr>
        <w:t> </w:t>
      </w:r>
      <w:r>
        <w:rPr>
          <w:spacing w:val="-2"/>
        </w:rPr>
        <w:t>statistically</w:t>
      </w:r>
      <w:r>
        <w:rPr>
          <w:spacing w:val="-7"/>
        </w:rPr>
        <w:t> </w:t>
      </w:r>
      <w:r>
        <w:rPr>
          <w:spacing w:val="-2"/>
        </w:rPr>
        <w:t>grounded</w:t>
      </w:r>
      <w:r>
        <w:rPr>
          <w:spacing w:val="-7"/>
        </w:rPr>
        <w:t> </w:t>
      </w:r>
      <w:r>
        <w:rPr>
          <w:spacing w:val="-2"/>
        </w:rPr>
        <w:t>in</w:t>
      </w:r>
      <w:r>
        <w:rPr>
          <w:spacing w:val="-7"/>
        </w:rPr>
        <w:t> </w:t>
      </w:r>
      <w:r>
        <w:rPr>
          <w:spacing w:val="-2"/>
        </w:rPr>
        <w:t>a</w:t>
      </w:r>
      <w:r>
        <w:rPr>
          <w:spacing w:val="-7"/>
        </w:rPr>
        <w:t> </w:t>
      </w:r>
      <w:r>
        <w:rPr>
          <w:spacing w:val="-2"/>
        </w:rPr>
        <w:t>way</w:t>
      </w:r>
      <w:r>
        <w:rPr>
          <w:spacing w:val="-7"/>
        </w:rPr>
        <w:t> </w:t>
      </w:r>
      <w:r>
        <w:rPr>
          <w:spacing w:val="-2"/>
        </w:rPr>
        <w:t>that</w:t>
      </w:r>
      <w:r>
        <w:rPr>
          <w:spacing w:val="-7"/>
        </w:rPr>
        <w:t> </w:t>
      </w:r>
      <w:r>
        <w:rPr>
          <w:spacing w:val="-2"/>
        </w:rPr>
        <w:t>classification</w:t>
      </w:r>
      <w:r>
        <w:rPr>
          <w:spacing w:val="-7"/>
        </w:rPr>
        <w:t> </w:t>
      </w:r>
      <w:r>
        <w:rPr>
          <w:spacing w:val="-2"/>
        </w:rPr>
        <w:t>rules </w:t>
      </w:r>
      <w:r>
        <w:rPr/>
        <w:t>are</w:t>
      </w:r>
      <w:r>
        <w:rPr>
          <w:spacing w:val="-4"/>
        </w:rPr>
        <w:t> </w:t>
      </w:r>
      <w:r>
        <w:rPr/>
        <w:t>not. Third,</w:t>
      </w:r>
      <w:r>
        <w:rPr>
          <w:spacing w:val="-4"/>
        </w:rPr>
        <w:t> </w:t>
      </w:r>
      <w:r>
        <w:rPr/>
        <w:t>the</w:t>
      </w:r>
      <w:r>
        <w:rPr>
          <w:spacing w:val="-4"/>
        </w:rPr>
        <w:t> </w:t>
      </w:r>
      <w:r>
        <w:rPr/>
        <w:t>prediction</w:t>
      </w:r>
      <w:r>
        <w:rPr>
          <w:spacing w:val="-4"/>
        </w:rPr>
        <w:t> </w:t>
      </w:r>
      <w:r>
        <w:rPr/>
        <w:t>framework</w:t>
      </w:r>
      <w:r>
        <w:rPr>
          <w:spacing w:val="-4"/>
        </w:rPr>
        <w:t> </w:t>
      </w:r>
      <w:r>
        <w:rPr/>
        <w:t>developed</w:t>
      </w:r>
      <w:r>
        <w:rPr>
          <w:spacing w:val="-4"/>
        </w:rPr>
        <w:t> </w:t>
      </w:r>
      <w:r>
        <w:rPr/>
        <w:t>in</w:t>
      </w:r>
      <w:r>
        <w:rPr>
          <w:spacing w:val="-4"/>
        </w:rPr>
        <w:t> </w:t>
      </w:r>
      <w:r>
        <w:rPr/>
        <w:t>this</w:t>
      </w:r>
      <w:r>
        <w:rPr>
          <w:spacing w:val="-4"/>
        </w:rPr>
        <w:t> </w:t>
      </w:r>
      <w:r>
        <w:rPr/>
        <w:t>thesis</w:t>
      </w:r>
      <w:r>
        <w:rPr>
          <w:spacing w:val="-4"/>
        </w:rPr>
        <w:t> </w:t>
      </w:r>
      <w:r>
        <w:rPr/>
        <w:t>incorporates</w:t>
      </w:r>
      <w:r>
        <w:rPr>
          <w:spacing w:val="-4"/>
        </w:rPr>
        <w:t> </w:t>
      </w:r>
      <w:r>
        <w:rPr/>
        <w:t>an</w:t>
      </w:r>
      <w:r>
        <w:rPr>
          <w:spacing w:val="-4"/>
        </w:rPr>
        <w:t> </w:t>
      </w:r>
      <w:r>
        <w:rPr/>
        <w:t>explicit</w:t>
      </w:r>
      <w:r>
        <w:rPr>
          <w:spacing w:val="-4"/>
        </w:rPr>
        <w:t> </w:t>
      </w:r>
      <w:r>
        <w:rPr/>
        <w:t>fallback mechanism: when no rule matches a test year’s conditions, the prediction defaults to the training median</w:t>
      </w:r>
      <w:r>
        <w:rPr>
          <w:spacing w:val="-14"/>
        </w:rPr>
        <w:t> </w:t>
      </w:r>
      <w:r>
        <w:rPr/>
        <w:t>rather</w:t>
      </w:r>
      <w:r>
        <w:rPr>
          <w:spacing w:val="-14"/>
        </w:rPr>
        <w:t> </w:t>
      </w:r>
      <w:r>
        <w:rPr/>
        <w:t>than</w:t>
      </w:r>
      <w:r>
        <w:rPr>
          <w:spacing w:val="-14"/>
        </w:rPr>
        <w:t> </w:t>
      </w:r>
      <w:r>
        <w:rPr/>
        <w:t>forcing</w:t>
      </w:r>
      <w:r>
        <w:rPr>
          <w:spacing w:val="-13"/>
        </w:rPr>
        <w:t> </w:t>
      </w:r>
      <w:r>
        <w:rPr/>
        <w:t>an</w:t>
      </w:r>
      <w:r>
        <w:rPr>
          <w:spacing w:val="-14"/>
        </w:rPr>
        <w:t> </w:t>
      </w:r>
      <w:r>
        <w:rPr/>
        <w:t>uninformed</w:t>
      </w:r>
      <w:r>
        <w:rPr>
          <w:spacing w:val="-14"/>
        </w:rPr>
        <w:t> </w:t>
      </w:r>
      <w:r>
        <w:rPr/>
        <w:t>estimate.</w:t>
      </w:r>
      <w:r>
        <w:rPr>
          <w:spacing w:val="-14"/>
        </w:rPr>
        <w:t> </w:t>
      </w:r>
      <w:r>
        <w:rPr/>
        <w:t>This</w:t>
      </w:r>
      <w:r>
        <w:rPr>
          <w:spacing w:val="-13"/>
        </w:rPr>
        <w:t> </w:t>
      </w:r>
      <w:r>
        <w:rPr/>
        <w:t>design</w:t>
      </w:r>
      <w:r>
        <w:rPr>
          <w:spacing w:val="-14"/>
        </w:rPr>
        <w:t> </w:t>
      </w:r>
      <w:r>
        <w:rPr/>
        <w:t>choice</w:t>
      </w:r>
      <w:r>
        <w:rPr>
          <w:spacing w:val="-14"/>
        </w:rPr>
        <w:t> </w:t>
      </w:r>
      <w:r>
        <w:rPr/>
        <w:t>makes</w:t>
      </w:r>
      <w:r>
        <w:rPr>
          <w:spacing w:val="-14"/>
        </w:rPr>
        <w:t> </w:t>
      </w:r>
      <w:r>
        <w:rPr/>
        <w:t>the</w:t>
      </w:r>
      <w:r>
        <w:rPr>
          <w:spacing w:val="-13"/>
        </w:rPr>
        <w:t> </w:t>
      </w:r>
      <w:r>
        <w:rPr/>
        <w:t>overall</w:t>
      </w:r>
      <w:r>
        <w:rPr>
          <w:spacing w:val="-14"/>
        </w:rPr>
        <w:t> </w:t>
      </w:r>
      <w:r>
        <w:rPr/>
        <w:t>approach conservative — it only departs from the naive baseline when at least one rule fires, ensuring that CarenR’s predictions can only add noise if they are wrong, never if they abstain.</w:t>
      </w:r>
    </w:p>
    <w:p>
      <w:pPr>
        <w:pStyle w:val="BodyText"/>
        <w:spacing w:before="42"/>
      </w:pPr>
    </w:p>
    <w:p>
      <w:pPr>
        <w:pStyle w:val="Heading3"/>
        <w:numPr>
          <w:ilvl w:val="2"/>
          <w:numId w:val="17"/>
        </w:numPr>
        <w:tabs>
          <w:tab w:pos="1426" w:val="left" w:leader="none"/>
        </w:tabs>
        <w:spacing w:line="240" w:lineRule="auto" w:before="1" w:after="0"/>
        <w:ind w:left="1426" w:right="0" w:hanging="717"/>
        <w:jc w:val="left"/>
      </w:pPr>
      <w:bookmarkStart w:name="3.4.2 RIPPER: Repeated Incremental Pruni" w:id="78"/>
      <w:bookmarkEnd w:id="78"/>
      <w:r>
        <w:rPr>
          <w:b w:val="0"/>
        </w:rPr>
      </w:r>
      <w:bookmarkStart w:name="_bookmark39" w:id="79"/>
      <w:bookmarkEnd w:id="79"/>
      <w:r>
        <w:rPr>
          <w:b w:val="0"/>
        </w:rPr>
      </w:r>
      <w:r>
        <w:rPr/>
        <w:t>RIPPER:</w:t>
      </w:r>
      <w:r>
        <w:rPr>
          <w:spacing w:val="-12"/>
        </w:rPr>
        <w:t> </w:t>
      </w:r>
      <w:r>
        <w:rPr/>
        <w:t>Repeated</w:t>
      </w:r>
      <w:r>
        <w:rPr>
          <w:spacing w:val="-11"/>
        </w:rPr>
        <w:t> </w:t>
      </w:r>
      <w:r>
        <w:rPr/>
        <w:t>Incremental</w:t>
      </w:r>
      <w:r>
        <w:rPr>
          <w:spacing w:val="-11"/>
        </w:rPr>
        <w:t> </w:t>
      </w:r>
      <w:r>
        <w:rPr/>
        <w:t>Pruning</w:t>
      </w:r>
      <w:r>
        <w:rPr>
          <w:spacing w:val="-12"/>
        </w:rPr>
        <w:t> </w:t>
      </w:r>
      <w:r>
        <w:rPr/>
        <w:t>to</w:t>
      </w:r>
      <w:r>
        <w:rPr>
          <w:spacing w:val="-11"/>
        </w:rPr>
        <w:t> </w:t>
      </w:r>
      <w:r>
        <w:rPr/>
        <w:t>Produce</w:t>
      </w:r>
      <w:r>
        <w:rPr>
          <w:spacing w:val="-11"/>
        </w:rPr>
        <w:t> </w:t>
      </w:r>
      <w:r>
        <w:rPr/>
        <w:t>Error</w:t>
      </w:r>
      <w:r>
        <w:rPr>
          <w:spacing w:val="-11"/>
        </w:rPr>
        <w:t> </w:t>
      </w:r>
      <w:r>
        <w:rPr>
          <w:spacing w:val="-2"/>
        </w:rPr>
        <w:t>Reduction</w:t>
      </w:r>
    </w:p>
    <w:p>
      <w:pPr>
        <w:pStyle w:val="BodyText"/>
        <w:spacing w:line="312" w:lineRule="auto" w:before="218"/>
        <w:ind w:left="709" w:right="980"/>
        <w:jc w:val="both"/>
      </w:pPr>
      <w:r>
        <w:rPr/>
        <w:t>RIPPER,</w:t>
      </w:r>
      <w:r>
        <w:rPr>
          <w:spacing w:val="25"/>
        </w:rPr>
        <w:t> </w:t>
      </w:r>
      <w:r>
        <w:rPr/>
        <w:t>implemented</w:t>
      </w:r>
      <w:r>
        <w:rPr>
          <w:spacing w:val="25"/>
        </w:rPr>
        <w:t> </w:t>
      </w:r>
      <w:r>
        <w:rPr/>
        <w:t>as</w:t>
      </w:r>
      <w:r>
        <w:rPr>
          <w:spacing w:val="25"/>
        </w:rPr>
        <w:t> </w:t>
      </w:r>
      <w:r>
        <w:rPr/>
        <w:t>JRip</w:t>
      </w:r>
      <w:r>
        <w:rPr>
          <w:spacing w:val="25"/>
        </w:rPr>
        <w:t> </w:t>
      </w:r>
      <w:r>
        <w:rPr/>
        <w:t>in</w:t>
      </w:r>
      <w:r>
        <w:rPr>
          <w:spacing w:val="25"/>
        </w:rPr>
        <w:t> </w:t>
      </w:r>
      <w:r>
        <w:rPr/>
        <w:t>the</w:t>
      </w:r>
      <w:r>
        <w:rPr>
          <w:spacing w:val="25"/>
        </w:rPr>
        <w:t> </w:t>
      </w:r>
      <w:r>
        <w:rPr/>
        <w:t>Weka</w:t>
      </w:r>
      <w:r>
        <w:rPr>
          <w:spacing w:val="25"/>
        </w:rPr>
        <w:t> </w:t>
      </w:r>
      <w:r>
        <w:rPr/>
        <w:t>machine</w:t>
      </w:r>
      <w:r>
        <w:rPr>
          <w:spacing w:val="25"/>
        </w:rPr>
        <w:t> </w:t>
      </w:r>
      <w:r>
        <w:rPr/>
        <w:t>learning</w:t>
      </w:r>
      <w:r>
        <w:rPr>
          <w:spacing w:val="25"/>
        </w:rPr>
        <w:t> </w:t>
      </w:r>
      <w:r>
        <w:rPr/>
        <w:t>toolkit</w:t>
      </w:r>
      <w:r>
        <w:rPr>
          <w:spacing w:val="25"/>
        </w:rPr>
        <w:t> </w:t>
      </w:r>
      <w:r>
        <w:rPr/>
        <w:t>(</w:t>
      </w:r>
      <w:hyperlink w:history="true" w:anchor="_bookmark231">
        <w:r>
          <w:rPr>
            <w:color w:val="8B2C18"/>
          </w:rPr>
          <w:t>Witten</w:t>
        </w:r>
        <w:r>
          <w:rPr>
            <w:color w:val="8B2C18"/>
            <w:spacing w:val="25"/>
          </w:rPr>
          <w:t> </w:t>
        </w:r>
        <w:r>
          <w:rPr>
            <w:color w:val="8B2C18"/>
          </w:rPr>
          <w:t>et</w:t>
        </w:r>
        <w:r>
          <w:rPr>
            <w:color w:val="8B2C18"/>
            <w:spacing w:val="25"/>
          </w:rPr>
          <w:t> </w:t>
        </w:r>
        <w:r>
          <w:rPr>
            <w:color w:val="8B2C18"/>
          </w:rPr>
          <w:t>al.</w:t>
        </w:r>
      </w:hyperlink>
      <w:r>
        <w:rPr/>
        <w:t>,</w:t>
      </w:r>
      <w:r>
        <w:rPr>
          <w:spacing w:val="25"/>
        </w:rPr>
        <w:t> </w:t>
      </w:r>
      <w:hyperlink w:history="true" w:anchor="_bookmark231">
        <w:r>
          <w:rPr>
            <w:color w:val="8B2C18"/>
          </w:rPr>
          <w:t>2011</w:t>
        </w:r>
      </w:hyperlink>
      <w:r>
        <w:rPr/>
        <w:t>),</w:t>
      </w:r>
      <w:r>
        <w:rPr>
          <w:spacing w:val="31"/>
        </w:rPr>
        <w:t> </w:t>
      </w:r>
      <w:r>
        <w:rPr/>
        <w:t>is a</w:t>
      </w:r>
      <w:r>
        <w:rPr>
          <w:spacing w:val="25"/>
        </w:rPr>
        <w:t> </w:t>
      </w:r>
      <w:r>
        <w:rPr/>
        <w:t>propositional</w:t>
      </w:r>
      <w:r>
        <w:rPr>
          <w:spacing w:val="25"/>
        </w:rPr>
        <w:t> </w:t>
      </w:r>
      <w:r>
        <w:rPr/>
        <w:t>rule</w:t>
      </w:r>
      <w:r>
        <w:rPr>
          <w:spacing w:val="25"/>
        </w:rPr>
        <w:t> </w:t>
      </w:r>
      <w:r>
        <w:rPr/>
        <w:t>learning</w:t>
      </w:r>
      <w:r>
        <w:rPr>
          <w:spacing w:val="25"/>
        </w:rPr>
        <w:t> </w:t>
      </w:r>
      <w:r>
        <w:rPr/>
        <w:t>algorithm</w:t>
      </w:r>
      <w:r>
        <w:rPr>
          <w:spacing w:val="25"/>
        </w:rPr>
        <w:t> </w:t>
      </w:r>
      <w:r>
        <w:rPr/>
        <w:t>for</w:t>
      </w:r>
      <w:r>
        <w:rPr>
          <w:spacing w:val="26"/>
        </w:rPr>
        <w:t> </w:t>
      </w:r>
      <w:r>
        <w:rPr/>
        <w:t>classification.</w:t>
      </w:r>
      <w:r>
        <w:rPr>
          <w:spacing w:val="59"/>
          <w:w w:val="150"/>
        </w:rPr>
        <w:t> </w:t>
      </w:r>
      <w:r>
        <w:rPr/>
        <w:t>It</w:t>
      </w:r>
      <w:r>
        <w:rPr>
          <w:spacing w:val="25"/>
        </w:rPr>
        <w:t> </w:t>
      </w:r>
      <w:r>
        <w:rPr/>
        <w:t>was</w:t>
      </w:r>
      <w:r>
        <w:rPr>
          <w:spacing w:val="25"/>
        </w:rPr>
        <w:t> </w:t>
      </w:r>
      <w:r>
        <w:rPr/>
        <w:t>introduced</w:t>
      </w:r>
      <w:r>
        <w:rPr>
          <w:spacing w:val="25"/>
        </w:rPr>
        <w:t> </w:t>
      </w:r>
      <w:r>
        <w:rPr/>
        <w:t>by</w:t>
      </w:r>
      <w:r>
        <w:rPr>
          <w:spacing w:val="25"/>
        </w:rPr>
        <w:t> </w:t>
      </w:r>
      <w:hyperlink w:history="true" w:anchor="_bookmark215">
        <w:r>
          <w:rPr>
            <w:color w:val="8B2C18"/>
          </w:rPr>
          <w:t>Cohen</w:t>
        </w:r>
        <w:r>
          <w:rPr>
            <w:color w:val="8B2C18"/>
            <w:spacing w:val="25"/>
          </w:rPr>
          <w:t> </w:t>
        </w:r>
        <w:r>
          <w:rPr>
            <w:color w:val="8B2C18"/>
          </w:rPr>
          <w:t>and</w:t>
        </w:r>
        <w:r>
          <w:rPr>
            <w:color w:val="8B2C18"/>
            <w:spacing w:val="26"/>
          </w:rPr>
          <w:t> </w:t>
        </w:r>
        <w:r>
          <w:rPr>
            <w:color w:val="8B2C18"/>
            <w:spacing w:val="-10"/>
          </w:rPr>
          <w:t>W</w:t>
        </w:r>
      </w:hyperlink>
    </w:p>
    <w:p>
      <w:pPr>
        <w:pStyle w:val="BodyText"/>
        <w:spacing w:after="0" w:line="312" w:lineRule="auto"/>
        <w:jc w:val="both"/>
        <w:sectPr>
          <w:pgSz w:w="11910" w:h="16840"/>
          <w:pgMar w:header="1160" w:footer="0" w:top="1420" w:bottom="280" w:left="1275" w:right="425"/>
        </w:sectPr>
      </w:pPr>
    </w:p>
    <w:p>
      <w:pPr>
        <w:pStyle w:val="BodyText"/>
        <w:rPr>
          <w:sz w:val="20"/>
        </w:rPr>
      </w:pPr>
    </w:p>
    <w:p>
      <w:pPr>
        <w:pStyle w:val="BodyText"/>
        <w:spacing w:before="183"/>
        <w:rPr>
          <w:sz w:val="20"/>
        </w:rPr>
      </w:pPr>
    </w:p>
    <w:p>
      <w:pPr>
        <w:spacing w:line="240" w:lineRule="auto"/>
        <w:ind w:left="279" w:right="0" w:firstLine="0"/>
        <w:rPr>
          <w:sz w:val="20"/>
        </w:rPr>
      </w:pPr>
      <w:r>
        <w:rPr>
          <w:sz w:val="20"/>
        </w:rPr>
        <w:drawing>
          <wp:inline distT="0" distB="0" distL="0" distR="0">
            <wp:extent cx="5155406" cy="5314950"/>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47" cstate="print"/>
                    <a:stretch>
                      <a:fillRect/>
                    </a:stretch>
                  </pic:blipFill>
                  <pic:spPr>
                    <a:xfrm>
                      <a:off x="0" y="0"/>
                      <a:ext cx="5155406" cy="5314950"/>
                    </a:xfrm>
                    <a:prstGeom prst="rect">
                      <a:avLst/>
                    </a:prstGeom>
                  </pic:spPr>
                </pic:pic>
              </a:graphicData>
            </a:graphic>
          </wp:inline>
        </w:drawing>
      </w:r>
      <w:r>
        <w:rPr>
          <w:sz w:val="20"/>
        </w:rPr>
      </w:r>
    </w:p>
    <w:p>
      <w:pPr>
        <w:pStyle w:val="BodyText"/>
        <w:spacing w:before="198"/>
        <w:rPr>
          <w:sz w:val="20"/>
        </w:rPr>
      </w:pPr>
    </w:p>
    <w:p>
      <w:pPr>
        <w:spacing w:line="249" w:lineRule="auto" w:before="0"/>
        <w:ind w:left="142" w:right="1552" w:firstLine="0"/>
        <w:jc w:val="both"/>
        <w:rPr>
          <w:sz w:val="20"/>
        </w:rPr>
      </w:pPr>
      <w:bookmarkStart w:name="_bookmark40" w:id="80"/>
      <w:bookmarkEnd w:id="80"/>
      <w:r>
        <w:rPr/>
      </w:r>
      <w:r>
        <w:rPr>
          <w:b/>
          <w:spacing w:val="-2"/>
          <w:sz w:val="20"/>
        </w:rPr>
        <w:t>Figure</w:t>
      </w:r>
      <w:r>
        <w:rPr>
          <w:b/>
          <w:spacing w:val="-11"/>
          <w:sz w:val="20"/>
        </w:rPr>
        <w:t> </w:t>
      </w:r>
      <w:r>
        <w:rPr>
          <w:b/>
          <w:spacing w:val="-2"/>
          <w:sz w:val="20"/>
        </w:rPr>
        <w:t>3.3:</w:t>
      </w:r>
      <w:r>
        <w:rPr>
          <w:b/>
          <w:spacing w:val="-10"/>
          <w:sz w:val="20"/>
        </w:rPr>
        <w:t> </w:t>
      </w:r>
      <w:r>
        <w:rPr>
          <w:spacing w:val="-2"/>
          <w:sz w:val="20"/>
        </w:rPr>
        <w:t>Rule-learning</w:t>
      </w:r>
      <w:r>
        <w:rPr>
          <w:spacing w:val="-11"/>
          <w:sz w:val="20"/>
        </w:rPr>
        <w:t> </w:t>
      </w:r>
      <w:r>
        <w:rPr>
          <w:spacing w:val="-2"/>
          <w:sz w:val="20"/>
        </w:rPr>
        <w:t>framework</w:t>
      </w:r>
      <w:r>
        <w:rPr>
          <w:spacing w:val="-10"/>
          <w:sz w:val="20"/>
        </w:rPr>
        <w:t> </w:t>
      </w:r>
      <w:r>
        <w:rPr>
          <w:spacing w:val="-2"/>
          <w:sz w:val="20"/>
        </w:rPr>
        <w:t>methodology:</w:t>
      </w:r>
      <w:r>
        <w:rPr>
          <w:spacing w:val="1"/>
          <w:sz w:val="20"/>
        </w:rPr>
        <w:t> </w:t>
      </w:r>
      <w:r>
        <w:rPr>
          <w:spacing w:val="-2"/>
          <w:sz w:val="20"/>
        </w:rPr>
        <w:t>CarenR</w:t>
      </w:r>
      <w:r>
        <w:rPr>
          <w:spacing w:val="-11"/>
          <w:sz w:val="20"/>
        </w:rPr>
        <w:t> </w:t>
      </w:r>
      <w:r>
        <w:rPr>
          <w:spacing w:val="-2"/>
          <w:sz w:val="20"/>
        </w:rPr>
        <w:t>algorithm</w:t>
      </w:r>
      <w:r>
        <w:rPr>
          <w:spacing w:val="-10"/>
          <w:sz w:val="20"/>
        </w:rPr>
        <w:t> </w:t>
      </w:r>
      <w:r>
        <w:rPr>
          <w:spacing w:val="-2"/>
          <w:sz w:val="20"/>
        </w:rPr>
        <w:t>steps</w:t>
      </w:r>
      <w:r>
        <w:rPr>
          <w:spacing w:val="-11"/>
          <w:sz w:val="20"/>
        </w:rPr>
        <w:t> </w:t>
      </w:r>
      <w:r>
        <w:rPr>
          <w:spacing w:val="-2"/>
          <w:sz w:val="20"/>
        </w:rPr>
        <w:t>(blue,</w:t>
      </w:r>
      <w:r>
        <w:rPr>
          <w:spacing w:val="-10"/>
          <w:sz w:val="20"/>
        </w:rPr>
        <w:t> </w:t>
      </w:r>
      <w:r>
        <w:rPr>
          <w:spacing w:val="-2"/>
          <w:sz w:val="20"/>
        </w:rPr>
        <w:t>left)</w:t>
      </w:r>
      <w:r>
        <w:rPr>
          <w:spacing w:val="-11"/>
          <w:sz w:val="20"/>
        </w:rPr>
        <w:t> </w:t>
      </w:r>
      <w:r>
        <w:rPr>
          <w:spacing w:val="-2"/>
          <w:sz w:val="20"/>
        </w:rPr>
        <w:t>and</w:t>
      </w:r>
      <w:r>
        <w:rPr>
          <w:spacing w:val="-10"/>
          <w:sz w:val="20"/>
        </w:rPr>
        <w:t> </w:t>
      </w:r>
      <w:r>
        <w:rPr>
          <w:spacing w:val="-2"/>
          <w:sz w:val="20"/>
        </w:rPr>
        <w:t>thesis</w:t>
      </w:r>
      <w:r>
        <w:rPr>
          <w:spacing w:val="-11"/>
          <w:sz w:val="20"/>
        </w:rPr>
        <w:t> </w:t>
      </w:r>
      <w:r>
        <w:rPr>
          <w:spacing w:val="-2"/>
          <w:sz w:val="20"/>
        </w:rPr>
        <w:t>framework </w:t>
      </w:r>
      <w:r>
        <w:rPr>
          <w:sz w:val="20"/>
        </w:rPr>
        <w:t>decisions (green, right). The significance threshold, support filter, prediction logic, and fallback are thesis design choices, not prescribed by the CarenR algorithm.</w:t>
      </w:r>
    </w:p>
    <w:p>
      <w:pPr>
        <w:pStyle w:val="BodyText"/>
        <w:rPr>
          <w:sz w:val="20"/>
        </w:rPr>
      </w:pPr>
    </w:p>
    <w:p>
      <w:pPr>
        <w:pStyle w:val="BodyText"/>
        <w:spacing w:before="150"/>
        <w:rPr>
          <w:sz w:val="20"/>
        </w:rPr>
      </w:pPr>
    </w:p>
    <w:p>
      <w:pPr>
        <w:pStyle w:val="BodyText"/>
        <w:spacing w:line="312" w:lineRule="auto"/>
        <w:ind w:left="142" w:right="1557" w:hanging="8"/>
        <w:jc w:val="both"/>
      </w:pPr>
      <w:r>
        <w:rPr/>
        <w:t>(</w:t>
      </w:r>
      <w:hyperlink w:history="true" w:anchor="_bookmark215">
        <w:r>
          <w:rPr>
            <w:color w:val="8B2C18"/>
          </w:rPr>
          <w:t>1995</w:t>
        </w:r>
      </w:hyperlink>
      <w:r>
        <w:rPr/>
        <w:t>)</w:t>
      </w:r>
      <w:r>
        <w:rPr>
          <w:spacing w:val="-10"/>
        </w:rPr>
        <w:t> </w:t>
      </w:r>
      <w:r>
        <w:rPr/>
        <w:t>as</w:t>
      </w:r>
      <w:r>
        <w:rPr>
          <w:spacing w:val="-10"/>
        </w:rPr>
        <w:t> </w:t>
      </w:r>
      <w:r>
        <w:rPr/>
        <w:t>an</w:t>
      </w:r>
      <w:r>
        <w:rPr>
          <w:spacing w:val="-10"/>
        </w:rPr>
        <w:t> </w:t>
      </w:r>
      <w:r>
        <w:rPr/>
        <w:t>efficient,</w:t>
      </w:r>
      <w:r>
        <w:rPr>
          <w:spacing w:val="-10"/>
        </w:rPr>
        <w:t> </w:t>
      </w:r>
      <w:r>
        <w:rPr/>
        <w:t>scalable</w:t>
      </w:r>
      <w:r>
        <w:rPr>
          <w:spacing w:val="-10"/>
        </w:rPr>
        <w:t> </w:t>
      </w:r>
      <w:r>
        <w:rPr/>
        <w:t>alternative</w:t>
      </w:r>
      <w:r>
        <w:rPr>
          <w:spacing w:val="-10"/>
        </w:rPr>
        <w:t> </w:t>
      </w:r>
      <w:r>
        <w:rPr/>
        <w:t>to</w:t>
      </w:r>
      <w:r>
        <w:rPr>
          <w:spacing w:val="-10"/>
        </w:rPr>
        <w:t> </w:t>
      </w:r>
      <w:r>
        <w:rPr/>
        <w:t>earlier</w:t>
      </w:r>
      <w:r>
        <w:rPr>
          <w:spacing w:val="-10"/>
        </w:rPr>
        <w:t> </w:t>
      </w:r>
      <w:r>
        <w:rPr/>
        <w:t>rule</w:t>
      </w:r>
      <w:r>
        <w:rPr>
          <w:spacing w:val="-10"/>
        </w:rPr>
        <w:t> </w:t>
      </w:r>
      <w:r>
        <w:rPr/>
        <w:t>learners</w:t>
      </w:r>
      <w:r>
        <w:rPr>
          <w:spacing w:val="-10"/>
        </w:rPr>
        <w:t> </w:t>
      </w:r>
      <w:r>
        <w:rPr/>
        <w:t>such</w:t>
      </w:r>
      <w:r>
        <w:rPr>
          <w:spacing w:val="-10"/>
        </w:rPr>
        <w:t> </w:t>
      </w:r>
      <w:r>
        <w:rPr/>
        <w:t>as</w:t>
      </w:r>
      <w:r>
        <w:rPr>
          <w:spacing w:val="-10"/>
        </w:rPr>
        <w:t> </w:t>
      </w:r>
      <w:r>
        <w:rPr/>
        <w:t>CN2,</w:t>
      </w:r>
      <w:r>
        <w:rPr>
          <w:spacing w:val="-10"/>
        </w:rPr>
        <w:t> </w:t>
      </w:r>
      <w:r>
        <w:rPr/>
        <w:t>and</w:t>
      </w:r>
      <w:r>
        <w:rPr>
          <w:spacing w:val="-10"/>
        </w:rPr>
        <w:t> </w:t>
      </w:r>
      <w:r>
        <w:rPr/>
        <w:t>remains</w:t>
      </w:r>
      <w:r>
        <w:rPr>
          <w:spacing w:val="-10"/>
        </w:rPr>
        <w:t> </w:t>
      </w:r>
      <w:r>
        <w:rPr/>
        <w:t>one</w:t>
      </w:r>
      <w:r>
        <w:rPr>
          <w:spacing w:val="-10"/>
        </w:rPr>
        <w:t> </w:t>
      </w:r>
      <w:r>
        <w:rPr/>
        <w:t>of the most widely used interpretable classification algorithms. In this thesis RIPPER serves as </w:t>
      </w:r>
      <w:r>
        <w:rPr/>
        <w:t>an </w:t>
      </w:r>
      <w:r>
        <w:rPr>
          <w:spacing w:val="-2"/>
        </w:rPr>
        <w:t>interpretable</w:t>
      </w:r>
      <w:r>
        <w:rPr>
          <w:spacing w:val="-6"/>
        </w:rPr>
        <w:t> </w:t>
      </w:r>
      <w:r>
        <w:rPr>
          <w:spacing w:val="-2"/>
        </w:rPr>
        <w:t>classification</w:t>
      </w:r>
      <w:r>
        <w:rPr>
          <w:spacing w:val="-6"/>
        </w:rPr>
        <w:t> </w:t>
      </w:r>
      <w:r>
        <w:rPr>
          <w:spacing w:val="-2"/>
        </w:rPr>
        <w:t>benchmark,</w:t>
      </w:r>
      <w:r>
        <w:rPr>
          <w:spacing w:val="-6"/>
        </w:rPr>
        <w:t> </w:t>
      </w:r>
      <w:r>
        <w:rPr>
          <w:spacing w:val="-2"/>
        </w:rPr>
        <w:t>allowing</w:t>
      </w:r>
      <w:r>
        <w:rPr>
          <w:spacing w:val="-6"/>
        </w:rPr>
        <w:t> </w:t>
      </w:r>
      <w:r>
        <w:rPr>
          <w:spacing w:val="-2"/>
        </w:rPr>
        <w:t>the</w:t>
      </w:r>
      <w:r>
        <w:rPr>
          <w:spacing w:val="-6"/>
        </w:rPr>
        <w:t> </w:t>
      </w:r>
      <w:r>
        <w:rPr>
          <w:spacing w:val="-2"/>
        </w:rPr>
        <w:t>rules</w:t>
      </w:r>
      <w:r>
        <w:rPr>
          <w:spacing w:val="-6"/>
        </w:rPr>
        <w:t> </w:t>
      </w:r>
      <w:r>
        <w:rPr>
          <w:spacing w:val="-2"/>
        </w:rPr>
        <w:t>found</w:t>
      </w:r>
      <w:r>
        <w:rPr>
          <w:spacing w:val="-6"/>
        </w:rPr>
        <w:t> </w:t>
      </w:r>
      <w:r>
        <w:rPr>
          <w:spacing w:val="-2"/>
        </w:rPr>
        <w:t>by</w:t>
      </w:r>
      <w:r>
        <w:rPr>
          <w:spacing w:val="-6"/>
        </w:rPr>
        <w:t> </w:t>
      </w:r>
      <w:r>
        <w:rPr>
          <w:spacing w:val="-2"/>
        </w:rPr>
        <w:t>CarenR</w:t>
      </w:r>
      <w:r>
        <w:rPr>
          <w:spacing w:val="-6"/>
        </w:rPr>
        <w:t> </w:t>
      </w:r>
      <w:r>
        <w:rPr>
          <w:spacing w:val="-2"/>
        </w:rPr>
        <w:t>to</w:t>
      </w:r>
      <w:r>
        <w:rPr>
          <w:spacing w:val="-6"/>
        </w:rPr>
        <w:t> </w:t>
      </w:r>
      <w:r>
        <w:rPr>
          <w:spacing w:val="-2"/>
        </w:rPr>
        <w:t>be</w:t>
      </w:r>
      <w:r>
        <w:rPr>
          <w:spacing w:val="-6"/>
        </w:rPr>
        <w:t> </w:t>
      </w:r>
      <w:r>
        <w:rPr>
          <w:spacing w:val="-2"/>
        </w:rPr>
        <w:t>compared</w:t>
      </w:r>
      <w:r>
        <w:rPr>
          <w:spacing w:val="-6"/>
        </w:rPr>
        <w:t> </w:t>
      </w:r>
      <w:r>
        <w:rPr>
          <w:spacing w:val="-2"/>
        </w:rPr>
        <w:t>against </w:t>
      </w:r>
      <w:r>
        <w:rPr/>
        <w:t>a well-established rule-based classification baseline.</w:t>
      </w:r>
    </w:p>
    <w:p>
      <w:pPr>
        <w:pStyle w:val="BodyText"/>
        <w:spacing w:line="312" w:lineRule="auto" w:before="88"/>
        <w:ind w:left="142" w:right="1519" w:firstLine="338"/>
        <w:jc w:val="both"/>
      </w:pPr>
      <w:r>
        <w:rPr>
          <w:b/>
        </w:rPr>
        <w:t>Target discretisation.</w:t>
      </w:r>
      <w:r>
        <w:rPr>
          <w:b/>
          <w:spacing w:val="40"/>
        </w:rPr>
        <w:t> </w:t>
      </w:r>
      <w:r>
        <w:rPr/>
        <w:t>RIPPER is a classifier and requires a discrete target variable.</w:t>
      </w:r>
      <w:r>
        <w:rPr>
          <w:spacing w:val="40"/>
        </w:rPr>
        <w:t> </w:t>
      </w:r>
      <w:r>
        <w:rPr/>
        <w:t>The </w:t>
      </w:r>
      <w:r>
        <w:rPr>
          <w:spacing w:val="-4"/>
        </w:rPr>
        <w:t>continuous production residuals are therefore discretised into three ordinal classes — Low, Medium, </w:t>
      </w:r>
      <w:r>
        <w:rPr/>
        <w:t>and High — using tertile boundaries. For Goal 1 (Rule Discovery), boundaries are estimated on the</w:t>
      </w:r>
      <w:r>
        <w:rPr>
          <w:spacing w:val="-14"/>
        </w:rPr>
        <w:t> </w:t>
      </w:r>
      <w:r>
        <w:rPr/>
        <w:t>full</w:t>
      </w:r>
      <w:r>
        <w:rPr>
          <w:spacing w:val="-14"/>
        </w:rPr>
        <w:t> </w:t>
      </w:r>
      <w:r>
        <w:rPr/>
        <w:t>historical</w:t>
      </w:r>
      <w:r>
        <w:rPr>
          <w:spacing w:val="-14"/>
        </w:rPr>
        <w:t> </w:t>
      </w:r>
      <w:r>
        <w:rPr/>
        <w:t>dataset.</w:t>
      </w:r>
      <w:r>
        <w:rPr>
          <w:spacing w:val="-7"/>
        </w:rPr>
        <w:t> </w:t>
      </w:r>
      <w:r>
        <w:rPr/>
        <w:t>For</w:t>
      </w:r>
      <w:r>
        <w:rPr>
          <w:spacing w:val="-14"/>
        </w:rPr>
        <w:t> </w:t>
      </w:r>
      <w:r>
        <w:rPr/>
        <w:t>Goal</w:t>
      </w:r>
      <w:r>
        <w:rPr>
          <w:spacing w:val="-14"/>
        </w:rPr>
        <w:t> </w:t>
      </w:r>
      <w:r>
        <w:rPr/>
        <w:t>2</w:t>
      </w:r>
      <w:r>
        <w:rPr>
          <w:spacing w:val="-13"/>
        </w:rPr>
        <w:t> </w:t>
      </w:r>
      <w:r>
        <w:rPr/>
        <w:t>(Predictive</w:t>
      </w:r>
      <w:r>
        <w:rPr>
          <w:spacing w:val="-14"/>
        </w:rPr>
        <w:t> </w:t>
      </w:r>
      <w:r>
        <w:rPr/>
        <w:t>Validation),</w:t>
      </w:r>
      <w:r>
        <w:rPr>
          <w:spacing w:val="-14"/>
        </w:rPr>
        <w:t> </w:t>
      </w:r>
      <w:r>
        <w:rPr/>
        <w:t>boundaries</w:t>
      </w:r>
      <w:r>
        <w:rPr>
          <w:spacing w:val="-14"/>
        </w:rPr>
        <w:t> </w:t>
      </w:r>
      <w:r>
        <w:rPr/>
        <w:t>are</w:t>
      </w:r>
      <w:r>
        <w:rPr>
          <w:spacing w:val="-13"/>
        </w:rPr>
        <w:t> </w:t>
      </w:r>
      <w:r>
        <w:rPr/>
        <w:t>estimated</w:t>
      </w:r>
      <w:r>
        <w:rPr>
          <w:spacing w:val="-14"/>
        </w:rPr>
        <w:t> </w:t>
      </w:r>
      <w:r>
        <w:rPr/>
        <w:t>within</w:t>
      </w:r>
      <w:r>
        <w:rPr>
          <w:spacing w:val="-14"/>
        </w:rPr>
        <w:t> </w:t>
      </w:r>
      <w:r>
        <w:rPr/>
        <w:t>each training</w:t>
      </w:r>
      <w:r>
        <w:rPr>
          <w:spacing w:val="-2"/>
        </w:rPr>
        <w:t> </w:t>
      </w:r>
      <w:r>
        <w:rPr/>
        <w:t>fold</w:t>
      </w:r>
      <w:r>
        <w:rPr>
          <w:spacing w:val="-2"/>
        </w:rPr>
        <w:t> </w:t>
      </w:r>
      <w:r>
        <w:rPr/>
        <w:t>to</w:t>
      </w:r>
      <w:r>
        <w:rPr>
          <w:spacing w:val="-2"/>
        </w:rPr>
        <w:t> </w:t>
      </w:r>
      <w:r>
        <w:rPr/>
        <w:t>prevent</w:t>
      </w:r>
      <w:r>
        <w:rPr>
          <w:spacing w:val="-2"/>
        </w:rPr>
        <w:t> </w:t>
      </w:r>
      <w:r>
        <w:rPr/>
        <w:t>leakage.</w:t>
      </w:r>
      <w:r>
        <w:rPr>
          <w:spacing w:val="12"/>
        </w:rPr>
        <w:t> </w:t>
      </w:r>
      <w:r>
        <w:rPr/>
        <w:t>Each</w:t>
      </w:r>
      <w:r>
        <w:rPr>
          <w:spacing w:val="-2"/>
        </w:rPr>
        <w:t> </w:t>
      </w:r>
      <w:r>
        <w:rPr/>
        <w:t>class</w:t>
      </w:r>
      <w:r>
        <w:rPr>
          <w:spacing w:val="-2"/>
        </w:rPr>
        <w:t> </w:t>
      </w:r>
      <w:r>
        <w:rPr/>
        <w:t>contains</w:t>
      </w:r>
      <w:r>
        <w:rPr>
          <w:spacing w:val="-2"/>
        </w:rPr>
        <w:t> </w:t>
      </w:r>
      <w:r>
        <w:rPr/>
        <w:t>approximately</w:t>
      </w:r>
      <w:r>
        <w:rPr>
          <w:spacing w:val="-1"/>
        </w:rPr>
        <w:t> </w:t>
      </w:r>
      <w:r>
        <w:rPr/>
        <w:t>one</w:t>
      </w:r>
      <w:r>
        <w:rPr>
          <w:spacing w:val="-2"/>
        </w:rPr>
        <w:t> </w:t>
      </w:r>
      <w:r>
        <w:rPr/>
        <w:t>third</w:t>
      </w:r>
      <w:r>
        <w:rPr>
          <w:spacing w:val="-2"/>
        </w:rPr>
        <w:t> </w:t>
      </w:r>
      <w:r>
        <w:rPr/>
        <w:t>of</w:t>
      </w:r>
      <w:r>
        <w:rPr>
          <w:spacing w:val="-2"/>
        </w:rPr>
        <w:t> </w:t>
      </w:r>
      <w:r>
        <w:rPr/>
        <w:t>the</w:t>
      </w:r>
      <w:r>
        <w:rPr>
          <w:spacing w:val="-1"/>
        </w:rPr>
        <w:t> </w:t>
      </w:r>
      <w:r>
        <w:rPr>
          <w:spacing w:val="-2"/>
        </w:rPr>
        <w:t>observations.</w:t>
      </w:r>
    </w:p>
    <w:p>
      <w:pPr>
        <w:pStyle w:val="BodyText"/>
        <w:spacing w:after="0" w:line="312" w:lineRule="auto"/>
        <w:jc w:val="both"/>
        <w:sectPr>
          <w:pgSz w:w="11910" w:h="16840"/>
          <w:pgMar w:header="1160" w:footer="0" w:top="1420" w:bottom="280" w:left="1275" w:right="425"/>
        </w:sectPr>
      </w:pPr>
    </w:p>
    <w:p>
      <w:pPr>
        <w:pStyle w:val="BodyText"/>
      </w:pPr>
    </w:p>
    <w:p>
      <w:pPr>
        <w:pStyle w:val="BodyText"/>
        <w:spacing w:before="25"/>
      </w:pPr>
    </w:p>
    <w:p>
      <w:pPr>
        <w:pStyle w:val="BodyText"/>
        <w:spacing w:line="312" w:lineRule="auto" w:before="1"/>
        <w:ind w:left="709" w:right="705" w:hanging="7"/>
      </w:pPr>
      <w:r>
        <w:rPr/>
        <w:t>This discretisation step introduces a loss of information relative to CarenR and M5Rules, which both operate on the continuous response.</w:t>
      </w:r>
    </w:p>
    <w:p>
      <w:pPr>
        <w:pStyle w:val="BodyText"/>
        <w:spacing w:line="312" w:lineRule="auto" w:before="225"/>
        <w:ind w:left="709" w:right="952" w:firstLine="338"/>
        <w:jc w:val="both"/>
      </w:pPr>
      <w:r>
        <w:rPr>
          <w:b/>
        </w:rPr>
        <w:t>Rule</w:t>
      </w:r>
      <w:r>
        <w:rPr>
          <w:b/>
          <w:spacing w:val="-9"/>
        </w:rPr>
        <w:t> </w:t>
      </w:r>
      <w:r>
        <w:rPr>
          <w:b/>
        </w:rPr>
        <w:t>growing</w:t>
      </w:r>
      <w:r>
        <w:rPr>
          <w:b/>
          <w:spacing w:val="-9"/>
        </w:rPr>
        <w:t> </w:t>
      </w:r>
      <w:r>
        <w:rPr>
          <w:b/>
        </w:rPr>
        <w:t>with</w:t>
      </w:r>
      <w:r>
        <w:rPr>
          <w:b/>
          <w:spacing w:val="-9"/>
        </w:rPr>
        <w:t> </w:t>
      </w:r>
      <w:r>
        <w:rPr>
          <w:b/>
        </w:rPr>
        <w:t>FOIL</w:t>
      </w:r>
      <w:r>
        <w:rPr>
          <w:b/>
          <w:spacing w:val="-9"/>
        </w:rPr>
        <w:t> </w:t>
      </w:r>
      <w:r>
        <w:rPr>
          <w:b/>
        </w:rPr>
        <w:t>gain. </w:t>
      </w:r>
      <w:r>
        <w:rPr/>
        <w:t>RIPPER</w:t>
      </w:r>
      <w:r>
        <w:rPr>
          <w:spacing w:val="-9"/>
        </w:rPr>
        <w:t> </w:t>
      </w:r>
      <w:r>
        <w:rPr/>
        <w:t>constructs</w:t>
      </w:r>
      <w:r>
        <w:rPr>
          <w:spacing w:val="-9"/>
        </w:rPr>
        <w:t> </w:t>
      </w:r>
      <w:r>
        <w:rPr/>
        <w:t>rules</w:t>
      </w:r>
      <w:r>
        <w:rPr>
          <w:spacing w:val="-9"/>
        </w:rPr>
        <w:t> </w:t>
      </w:r>
      <w:r>
        <w:rPr/>
        <w:t>one</w:t>
      </w:r>
      <w:r>
        <w:rPr>
          <w:spacing w:val="-9"/>
        </w:rPr>
        <w:t> </w:t>
      </w:r>
      <w:r>
        <w:rPr/>
        <w:t>class</w:t>
      </w:r>
      <w:r>
        <w:rPr>
          <w:spacing w:val="-9"/>
        </w:rPr>
        <w:t> </w:t>
      </w:r>
      <w:r>
        <w:rPr/>
        <w:t>at</w:t>
      </w:r>
      <w:r>
        <w:rPr>
          <w:spacing w:val="-9"/>
        </w:rPr>
        <w:t> </w:t>
      </w:r>
      <w:r>
        <w:rPr/>
        <w:t>a</w:t>
      </w:r>
      <w:r>
        <w:rPr>
          <w:spacing w:val="-9"/>
        </w:rPr>
        <w:t> </w:t>
      </w:r>
      <w:r>
        <w:rPr/>
        <w:t>time,</w:t>
      </w:r>
      <w:r>
        <w:rPr>
          <w:spacing w:val="-9"/>
        </w:rPr>
        <w:t> </w:t>
      </w:r>
      <w:r>
        <w:rPr/>
        <w:t>starting</w:t>
      </w:r>
      <w:r>
        <w:rPr>
          <w:spacing w:val="-9"/>
        </w:rPr>
        <w:t> </w:t>
      </w:r>
      <w:r>
        <w:rPr/>
        <w:t>with</w:t>
      </w:r>
      <w:r>
        <w:rPr>
          <w:spacing w:val="-9"/>
        </w:rPr>
        <w:t> </w:t>
      </w:r>
      <w:r>
        <w:rPr/>
        <w:t>the minority</w:t>
      </w:r>
      <w:r>
        <w:rPr>
          <w:spacing w:val="-3"/>
        </w:rPr>
        <w:t> </w:t>
      </w:r>
      <w:r>
        <w:rPr/>
        <w:t>class</w:t>
      </w:r>
      <w:r>
        <w:rPr>
          <w:spacing w:val="-3"/>
        </w:rPr>
        <w:t> </w:t>
      </w:r>
      <w:r>
        <w:rPr/>
        <w:t>and</w:t>
      </w:r>
      <w:r>
        <w:rPr>
          <w:spacing w:val="-3"/>
        </w:rPr>
        <w:t> </w:t>
      </w:r>
      <w:r>
        <w:rPr/>
        <w:t>working</w:t>
      </w:r>
      <w:r>
        <w:rPr>
          <w:spacing w:val="-3"/>
        </w:rPr>
        <w:t> </w:t>
      </w:r>
      <w:r>
        <w:rPr/>
        <w:t>towards</w:t>
      </w:r>
      <w:r>
        <w:rPr>
          <w:spacing w:val="-3"/>
        </w:rPr>
        <w:t> </w:t>
      </w:r>
      <w:r>
        <w:rPr/>
        <w:t>the</w:t>
      </w:r>
      <w:r>
        <w:rPr>
          <w:spacing w:val="-3"/>
        </w:rPr>
        <w:t> </w:t>
      </w:r>
      <w:r>
        <w:rPr/>
        <w:t>majority</w:t>
      </w:r>
      <w:r>
        <w:rPr>
          <w:spacing w:val="-3"/>
        </w:rPr>
        <w:t> </w:t>
      </w:r>
      <w:r>
        <w:rPr/>
        <w:t>class. For</w:t>
      </w:r>
      <w:r>
        <w:rPr>
          <w:spacing w:val="-3"/>
        </w:rPr>
        <w:t> </w:t>
      </w:r>
      <w:r>
        <w:rPr/>
        <w:t>each</w:t>
      </w:r>
      <w:r>
        <w:rPr>
          <w:spacing w:val="-3"/>
        </w:rPr>
        <w:t> </w:t>
      </w:r>
      <w:r>
        <w:rPr/>
        <w:t>class,</w:t>
      </w:r>
      <w:r>
        <w:rPr>
          <w:spacing w:val="-3"/>
        </w:rPr>
        <w:t> </w:t>
      </w:r>
      <w:r>
        <w:rPr/>
        <w:t>it</w:t>
      </w:r>
      <w:r>
        <w:rPr>
          <w:spacing w:val="-3"/>
        </w:rPr>
        <w:t> </w:t>
      </w:r>
      <w:r>
        <w:rPr/>
        <w:t>grows</w:t>
      </w:r>
      <w:r>
        <w:rPr>
          <w:spacing w:val="-3"/>
        </w:rPr>
        <w:t> </w:t>
      </w:r>
      <w:r>
        <w:rPr/>
        <w:t>a</w:t>
      </w:r>
      <w:r>
        <w:rPr>
          <w:spacing w:val="-3"/>
        </w:rPr>
        <w:t> </w:t>
      </w:r>
      <w:r>
        <w:rPr/>
        <w:t>rule</w:t>
      </w:r>
      <w:r>
        <w:rPr>
          <w:spacing w:val="-3"/>
        </w:rPr>
        <w:t> </w:t>
      </w:r>
      <w:r>
        <w:rPr/>
        <w:t>by</w:t>
      </w:r>
      <w:r>
        <w:rPr>
          <w:spacing w:val="-3"/>
        </w:rPr>
        <w:t> </w:t>
      </w:r>
      <w:r>
        <w:rPr/>
        <w:t>greedily </w:t>
      </w:r>
      <w:r>
        <w:rPr>
          <w:spacing w:val="-2"/>
        </w:rPr>
        <w:t>adding</w:t>
      </w:r>
      <w:r>
        <w:rPr>
          <w:spacing w:val="-6"/>
        </w:rPr>
        <w:t> </w:t>
      </w:r>
      <w:r>
        <w:rPr>
          <w:spacing w:val="-2"/>
        </w:rPr>
        <w:t>conditions</w:t>
      </w:r>
      <w:r>
        <w:rPr>
          <w:spacing w:val="-6"/>
        </w:rPr>
        <w:t> </w:t>
      </w:r>
      <w:r>
        <w:rPr>
          <w:spacing w:val="-2"/>
        </w:rPr>
        <w:t>that</w:t>
      </w:r>
      <w:r>
        <w:rPr>
          <w:spacing w:val="-6"/>
        </w:rPr>
        <w:t> </w:t>
      </w:r>
      <w:r>
        <w:rPr>
          <w:spacing w:val="-2"/>
        </w:rPr>
        <w:t>maximise</w:t>
      </w:r>
      <w:r>
        <w:rPr>
          <w:spacing w:val="-6"/>
        </w:rPr>
        <w:t> </w:t>
      </w:r>
      <w:r>
        <w:rPr>
          <w:spacing w:val="-2"/>
        </w:rPr>
        <w:t>the</w:t>
      </w:r>
      <w:r>
        <w:rPr>
          <w:spacing w:val="-6"/>
        </w:rPr>
        <w:t> </w:t>
      </w:r>
      <w:r>
        <w:rPr>
          <w:spacing w:val="-2"/>
        </w:rPr>
        <w:t>FOIL</w:t>
      </w:r>
      <w:r>
        <w:rPr>
          <w:spacing w:val="-6"/>
        </w:rPr>
        <w:t> </w:t>
      </w:r>
      <w:r>
        <w:rPr>
          <w:spacing w:val="-2"/>
        </w:rPr>
        <w:t>information</w:t>
      </w:r>
      <w:r>
        <w:rPr>
          <w:spacing w:val="-6"/>
        </w:rPr>
        <w:t> </w:t>
      </w:r>
      <w:r>
        <w:rPr>
          <w:spacing w:val="-2"/>
        </w:rPr>
        <w:t>gain,</w:t>
      </w:r>
      <w:r>
        <w:rPr>
          <w:spacing w:val="-6"/>
        </w:rPr>
        <w:t> </w:t>
      </w:r>
      <w:r>
        <w:rPr>
          <w:spacing w:val="-2"/>
        </w:rPr>
        <w:t>a</w:t>
      </w:r>
      <w:r>
        <w:rPr>
          <w:spacing w:val="-6"/>
        </w:rPr>
        <w:t> </w:t>
      </w:r>
      <w:r>
        <w:rPr>
          <w:spacing w:val="-2"/>
        </w:rPr>
        <w:t>measure</w:t>
      </w:r>
      <w:r>
        <w:rPr>
          <w:spacing w:val="-6"/>
        </w:rPr>
        <w:t> </w:t>
      </w:r>
      <w:r>
        <w:rPr>
          <w:spacing w:val="-2"/>
        </w:rPr>
        <w:t>that</w:t>
      </w:r>
      <w:r>
        <w:rPr>
          <w:spacing w:val="-6"/>
        </w:rPr>
        <w:t> </w:t>
      </w:r>
      <w:r>
        <w:rPr>
          <w:spacing w:val="-2"/>
        </w:rPr>
        <w:t>rewards</w:t>
      </w:r>
      <w:r>
        <w:rPr>
          <w:spacing w:val="-6"/>
        </w:rPr>
        <w:t> </w:t>
      </w:r>
      <w:r>
        <w:rPr>
          <w:spacing w:val="-2"/>
        </w:rPr>
        <w:t>conditions</w:t>
      </w:r>
      <w:r>
        <w:rPr>
          <w:spacing w:val="-6"/>
        </w:rPr>
        <w:t> </w:t>
      </w:r>
      <w:r>
        <w:rPr>
          <w:spacing w:val="-2"/>
        </w:rPr>
        <w:t>that </w:t>
      </w:r>
      <w:r>
        <w:rPr/>
        <w:t>increase</w:t>
      </w:r>
      <w:r>
        <w:rPr>
          <w:spacing w:val="-2"/>
        </w:rPr>
        <w:t> </w:t>
      </w:r>
      <w:r>
        <w:rPr/>
        <w:t>the</w:t>
      </w:r>
      <w:r>
        <w:rPr>
          <w:spacing w:val="-2"/>
        </w:rPr>
        <w:t> </w:t>
      </w:r>
      <w:r>
        <w:rPr/>
        <w:t>ratio</w:t>
      </w:r>
      <w:r>
        <w:rPr>
          <w:spacing w:val="-2"/>
        </w:rPr>
        <w:t> </w:t>
      </w:r>
      <w:r>
        <w:rPr/>
        <w:t>of</w:t>
      </w:r>
      <w:r>
        <w:rPr>
          <w:spacing w:val="-2"/>
        </w:rPr>
        <w:t> </w:t>
      </w:r>
      <w:r>
        <w:rPr/>
        <w:t>positive</w:t>
      </w:r>
      <w:r>
        <w:rPr>
          <w:spacing w:val="-2"/>
        </w:rPr>
        <w:t> </w:t>
      </w:r>
      <w:r>
        <w:rPr/>
        <w:t>(target</w:t>
      </w:r>
      <w:r>
        <w:rPr>
          <w:spacing w:val="-2"/>
        </w:rPr>
        <w:t> </w:t>
      </w:r>
      <w:r>
        <w:rPr/>
        <w:t>class)</w:t>
      </w:r>
      <w:r>
        <w:rPr>
          <w:spacing w:val="-2"/>
        </w:rPr>
        <w:t> </w:t>
      </w:r>
      <w:r>
        <w:rPr/>
        <w:t>to</w:t>
      </w:r>
      <w:r>
        <w:rPr>
          <w:spacing w:val="-2"/>
        </w:rPr>
        <w:t> </w:t>
      </w:r>
      <w:r>
        <w:rPr/>
        <w:t>negative</w:t>
      </w:r>
      <w:r>
        <w:rPr>
          <w:spacing w:val="-2"/>
        </w:rPr>
        <w:t> </w:t>
      </w:r>
      <w:r>
        <w:rPr/>
        <w:t>(other</w:t>
      </w:r>
      <w:r>
        <w:rPr>
          <w:spacing w:val="-2"/>
        </w:rPr>
        <w:t> </w:t>
      </w:r>
      <w:r>
        <w:rPr/>
        <w:t>class)</w:t>
      </w:r>
      <w:r>
        <w:rPr>
          <w:spacing w:val="-2"/>
        </w:rPr>
        <w:t> </w:t>
      </w:r>
      <w:r>
        <w:rPr/>
        <w:t>examples</w:t>
      </w:r>
      <w:r>
        <w:rPr>
          <w:spacing w:val="-2"/>
        </w:rPr>
        <w:t> </w:t>
      </w:r>
      <w:r>
        <w:rPr/>
        <w:t>covered</w:t>
      </w:r>
      <w:r>
        <w:rPr>
          <w:spacing w:val="-2"/>
        </w:rPr>
        <w:t> </w:t>
      </w:r>
      <w:r>
        <w:rPr/>
        <w:t>by</w:t>
      </w:r>
      <w:r>
        <w:rPr>
          <w:spacing w:val="-2"/>
        </w:rPr>
        <w:t> </w:t>
      </w:r>
      <w:r>
        <w:rPr/>
        <w:t>the</w:t>
      </w:r>
      <w:r>
        <w:rPr>
          <w:spacing w:val="-2"/>
        </w:rPr>
        <w:t> </w:t>
      </w:r>
      <w:r>
        <w:rPr/>
        <w:t>rule. Starting</w:t>
      </w:r>
      <w:r>
        <w:rPr>
          <w:spacing w:val="-8"/>
        </w:rPr>
        <w:t> </w:t>
      </w:r>
      <w:r>
        <w:rPr/>
        <w:t>from</w:t>
      </w:r>
      <w:r>
        <w:rPr>
          <w:spacing w:val="-8"/>
        </w:rPr>
        <w:t> </w:t>
      </w:r>
      <w:r>
        <w:rPr/>
        <w:t>an</w:t>
      </w:r>
      <w:r>
        <w:rPr>
          <w:spacing w:val="-8"/>
        </w:rPr>
        <w:t> </w:t>
      </w:r>
      <w:r>
        <w:rPr/>
        <w:t>empty</w:t>
      </w:r>
      <w:r>
        <w:rPr>
          <w:spacing w:val="-8"/>
        </w:rPr>
        <w:t> </w:t>
      </w:r>
      <w:r>
        <w:rPr/>
        <w:t>condition</w:t>
      </w:r>
      <w:r>
        <w:rPr>
          <w:spacing w:val="-8"/>
        </w:rPr>
        <w:t> </w:t>
      </w:r>
      <w:r>
        <w:rPr/>
        <w:t>set,</w:t>
      </w:r>
      <w:r>
        <w:rPr>
          <w:spacing w:val="-8"/>
        </w:rPr>
        <w:t> </w:t>
      </w:r>
      <w:r>
        <w:rPr/>
        <w:t>RIPPER</w:t>
      </w:r>
      <w:r>
        <w:rPr>
          <w:spacing w:val="-8"/>
        </w:rPr>
        <w:t> </w:t>
      </w:r>
      <w:r>
        <w:rPr/>
        <w:t>adds</w:t>
      </w:r>
      <w:r>
        <w:rPr>
          <w:spacing w:val="-8"/>
        </w:rPr>
        <w:t> </w:t>
      </w:r>
      <w:r>
        <w:rPr/>
        <w:t>one</w:t>
      </w:r>
      <w:r>
        <w:rPr>
          <w:spacing w:val="-8"/>
        </w:rPr>
        <w:t> </w:t>
      </w:r>
      <w:r>
        <w:rPr/>
        <w:t>condition</w:t>
      </w:r>
      <w:r>
        <w:rPr>
          <w:spacing w:val="-8"/>
        </w:rPr>
        <w:t> </w:t>
      </w:r>
      <w:r>
        <w:rPr/>
        <w:t>at</w:t>
      </w:r>
      <w:r>
        <w:rPr>
          <w:spacing w:val="-8"/>
        </w:rPr>
        <w:t> </w:t>
      </w:r>
      <w:r>
        <w:rPr/>
        <w:t>a</w:t>
      </w:r>
      <w:r>
        <w:rPr>
          <w:spacing w:val="-8"/>
        </w:rPr>
        <w:t> </w:t>
      </w:r>
      <w:r>
        <w:rPr/>
        <w:t>time</w:t>
      </w:r>
      <w:r>
        <w:rPr>
          <w:spacing w:val="-8"/>
        </w:rPr>
        <w:t> </w:t>
      </w:r>
      <w:r>
        <w:rPr/>
        <w:t>until</w:t>
      </w:r>
      <w:r>
        <w:rPr>
          <w:spacing w:val="-8"/>
        </w:rPr>
        <w:t> </w:t>
      </w:r>
      <w:r>
        <w:rPr/>
        <w:t>no</w:t>
      </w:r>
      <w:r>
        <w:rPr>
          <w:spacing w:val="-8"/>
        </w:rPr>
        <w:t> </w:t>
      </w:r>
      <w:r>
        <w:rPr/>
        <w:t>further</w:t>
      </w:r>
      <w:r>
        <w:rPr>
          <w:spacing w:val="-8"/>
        </w:rPr>
        <w:t> </w:t>
      </w:r>
      <w:r>
        <w:rPr/>
        <w:t>gain</w:t>
      </w:r>
      <w:r>
        <w:rPr>
          <w:spacing w:val="-8"/>
        </w:rPr>
        <w:t> </w:t>
      </w:r>
      <w:r>
        <w:rPr/>
        <w:t>is possible</w:t>
      </w:r>
      <w:r>
        <w:rPr>
          <w:spacing w:val="-10"/>
        </w:rPr>
        <w:t> </w:t>
      </w:r>
      <w:r>
        <w:rPr/>
        <w:t>or</w:t>
      </w:r>
      <w:r>
        <w:rPr>
          <w:spacing w:val="-10"/>
        </w:rPr>
        <w:t> </w:t>
      </w:r>
      <w:r>
        <w:rPr/>
        <w:t>a</w:t>
      </w:r>
      <w:r>
        <w:rPr>
          <w:spacing w:val="-10"/>
        </w:rPr>
        <w:t> </w:t>
      </w:r>
      <w:r>
        <w:rPr/>
        <w:t>stopping</w:t>
      </w:r>
      <w:r>
        <w:rPr>
          <w:spacing w:val="-10"/>
        </w:rPr>
        <w:t> </w:t>
      </w:r>
      <w:r>
        <w:rPr/>
        <w:t>criterion</w:t>
      </w:r>
      <w:r>
        <w:rPr>
          <w:spacing w:val="-10"/>
        </w:rPr>
        <w:t> </w:t>
      </w:r>
      <w:r>
        <w:rPr/>
        <w:t>is</w:t>
      </w:r>
      <w:r>
        <w:rPr>
          <w:spacing w:val="-10"/>
        </w:rPr>
        <w:t> </w:t>
      </w:r>
      <w:r>
        <w:rPr/>
        <w:t>met. The</w:t>
      </w:r>
      <w:r>
        <w:rPr>
          <w:spacing w:val="-10"/>
        </w:rPr>
        <w:t> </w:t>
      </w:r>
      <w:r>
        <w:rPr/>
        <w:t>grown</w:t>
      </w:r>
      <w:r>
        <w:rPr>
          <w:spacing w:val="-10"/>
        </w:rPr>
        <w:t> </w:t>
      </w:r>
      <w:r>
        <w:rPr/>
        <w:t>rule</w:t>
      </w:r>
      <w:r>
        <w:rPr>
          <w:spacing w:val="-10"/>
        </w:rPr>
        <w:t> </w:t>
      </w:r>
      <w:r>
        <w:rPr/>
        <w:t>is</w:t>
      </w:r>
      <w:r>
        <w:rPr>
          <w:spacing w:val="-10"/>
        </w:rPr>
        <w:t> </w:t>
      </w:r>
      <w:r>
        <w:rPr/>
        <w:t>typically</w:t>
      </w:r>
      <w:r>
        <w:rPr>
          <w:spacing w:val="-10"/>
        </w:rPr>
        <w:t> </w:t>
      </w:r>
      <w:r>
        <w:rPr/>
        <w:t>a</w:t>
      </w:r>
      <w:r>
        <w:rPr>
          <w:spacing w:val="-10"/>
        </w:rPr>
        <w:t> </w:t>
      </w:r>
      <w:r>
        <w:rPr/>
        <w:t>conjunction</w:t>
      </w:r>
      <w:r>
        <w:rPr>
          <w:spacing w:val="-10"/>
        </w:rPr>
        <w:t> </w:t>
      </w:r>
      <w:r>
        <w:rPr/>
        <w:t>of</w:t>
      </w:r>
      <w:r>
        <w:rPr>
          <w:spacing w:val="-10"/>
        </w:rPr>
        <w:t> </w:t>
      </w:r>
      <w:r>
        <w:rPr/>
        <w:t>2–5</w:t>
      </w:r>
      <w:r>
        <w:rPr>
          <w:spacing w:val="-10"/>
        </w:rPr>
        <w:t> </w:t>
      </w:r>
      <w:r>
        <w:rPr/>
        <w:t>conditions that together define a subregion of feature space highly concentrated in the target class.</w:t>
      </w:r>
    </w:p>
    <w:p>
      <w:pPr>
        <w:pStyle w:val="BodyText"/>
        <w:spacing w:before="159"/>
        <w:ind w:left="1047"/>
        <w:jc w:val="both"/>
      </w:pPr>
      <w:r>
        <w:rPr/>
        <w:t>For</w:t>
      </w:r>
      <w:r>
        <w:rPr>
          <w:spacing w:val="-6"/>
        </w:rPr>
        <w:t> </w:t>
      </w:r>
      <w:r>
        <w:rPr/>
        <w:t>a</w:t>
      </w:r>
      <w:r>
        <w:rPr>
          <w:spacing w:val="-5"/>
        </w:rPr>
        <w:t> </w:t>
      </w:r>
      <w:r>
        <w:rPr/>
        <w:t>rule</w:t>
      </w:r>
      <w:r>
        <w:rPr>
          <w:spacing w:val="-6"/>
        </w:rPr>
        <w:t> </w:t>
      </w:r>
      <w:r>
        <w:rPr>
          <w:i/>
        </w:rPr>
        <w:t>R</w:t>
      </w:r>
      <w:r>
        <w:rPr>
          <w:i/>
          <w:spacing w:val="-5"/>
        </w:rPr>
        <w:t> </w:t>
      </w:r>
      <w:r>
        <w:rPr/>
        <w:t>and</w:t>
      </w:r>
      <w:r>
        <w:rPr>
          <w:spacing w:val="-6"/>
        </w:rPr>
        <w:t> </w:t>
      </w:r>
      <w:r>
        <w:rPr/>
        <w:t>candidate</w:t>
      </w:r>
      <w:r>
        <w:rPr>
          <w:spacing w:val="-5"/>
        </w:rPr>
        <w:t> </w:t>
      </w:r>
      <w:r>
        <w:rPr/>
        <w:t>extension</w:t>
      </w:r>
      <w:r>
        <w:rPr>
          <w:spacing w:val="-6"/>
        </w:rPr>
        <w:t> </w:t>
      </w:r>
      <w:r>
        <w:rPr>
          <w:i/>
        </w:rPr>
        <w:t>R</w:t>
      </w:r>
      <w:r>
        <w:rPr>
          <w:rFonts w:ascii="Meiryo UI" w:hAnsi="Meiryo UI"/>
          <w:i/>
          <w:vertAlign w:val="superscript"/>
        </w:rPr>
        <w:t>′</w:t>
      </w:r>
      <w:r>
        <w:rPr>
          <w:rFonts w:ascii="Meiryo UI" w:hAnsi="Meiryo UI"/>
          <w:i/>
          <w:spacing w:val="-16"/>
          <w:vertAlign w:val="baseline"/>
        </w:rPr>
        <w:t> </w:t>
      </w:r>
      <w:r>
        <w:rPr>
          <w:vertAlign w:val="baseline"/>
        </w:rPr>
        <w:t>(adding</w:t>
      </w:r>
      <w:r>
        <w:rPr>
          <w:spacing w:val="-6"/>
          <w:vertAlign w:val="baseline"/>
        </w:rPr>
        <w:t> </w:t>
      </w:r>
      <w:r>
        <w:rPr>
          <w:vertAlign w:val="baseline"/>
        </w:rPr>
        <w:t>one</w:t>
      </w:r>
      <w:r>
        <w:rPr>
          <w:spacing w:val="-5"/>
          <w:vertAlign w:val="baseline"/>
        </w:rPr>
        <w:t> </w:t>
      </w:r>
      <w:r>
        <w:rPr>
          <w:vertAlign w:val="baseline"/>
        </w:rPr>
        <w:t>condition),</w:t>
      </w:r>
      <w:r>
        <w:rPr>
          <w:spacing w:val="-6"/>
          <w:vertAlign w:val="baseline"/>
        </w:rPr>
        <w:t> </w:t>
      </w:r>
      <w:r>
        <w:rPr>
          <w:vertAlign w:val="baseline"/>
        </w:rPr>
        <w:t>the</w:t>
      </w:r>
      <w:r>
        <w:rPr>
          <w:spacing w:val="-5"/>
          <w:vertAlign w:val="baseline"/>
        </w:rPr>
        <w:t> </w:t>
      </w:r>
      <w:r>
        <w:rPr>
          <w:vertAlign w:val="baseline"/>
        </w:rPr>
        <w:t>FOIL</w:t>
      </w:r>
      <w:r>
        <w:rPr>
          <w:spacing w:val="-6"/>
          <w:vertAlign w:val="baseline"/>
        </w:rPr>
        <w:t> </w:t>
      </w:r>
      <w:r>
        <w:rPr>
          <w:vertAlign w:val="baseline"/>
        </w:rPr>
        <w:t>gain</w:t>
      </w:r>
      <w:r>
        <w:rPr>
          <w:spacing w:val="-5"/>
          <w:vertAlign w:val="baseline"/>
        </w:rPr>
        <w:t> is:</w:t>
      </w:r>
    </w:p>
    <w:p>
      <w:pPr>
        <w:pStyle w:val="BodyText"/>
        <w:spacing w:after="0"/>
        <w:jc w:val="both"/>
        <w:sectPr>
          <w:pgSz w:w="11910" w:h="16840"/>
          <w:pgMar w:header="1160" w:footer="0" w:top="1420" w:bottom="280" w:left="1275" w:right="425"/>
        </w:sectPr>
      </w:pPr>
    </w:p>
    <w:p>
      <w:pPr>
        <w:tabs>
          <w:tab w:pos="5504" w:val="left" w:leader="none"/>
        </w:tabs>
        <w:spacing w:line="422" w:lineRule="exact" w:before="130"/>
        <w:ind w:left="2738" w:right="0" w:firstLine="0"/>
        <w:jc w:val="left"/>
        <w:rPr>
          <w:rFonts w:ascii="Meiryo UI" w:hAnsi="Meiryo UI"/>
          <w:i/>
          <w:position w:val="23"/>
          <w:sz w:val="16"/>
        </w:rPr>
      </w:pPr>
      <w:r>
        <w:rPr>
          <w:rFonts w:ascii="Meiryo UI" w:hAnsi="Meiryo UI"/>
          <w:i/>
          <w:position w:val="23"/>
          <w:sz w:val="16"/>
        </w:rPr>
        <mc:AlternateContent>
          <mc:Choice Requires="wps">
            <w:drawing>
              <wp:anchor distT="0" distB="0" distL="0" distR="0" allowOverlap="1" layoutInCell="1" locked="0" behindDoc="1" simplePos="0" relativeHeight="479857664">
                <wp:simplePos x="0" y="0"/>
                <wp:positionH relativeFrom="page">
                  <wp:posOffset>4170045</wp:posOffset>
                </wp:positionH>
                <wp:positionV relativeFrom="paragraph">
                  <wp:posOffset>319366</wp:posOffset>
                </wp:positionV>
                <wp:extent cx="363855" cy="127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363855" cy="1270"/>
                        </a:xfrm>
                        <a:custGeom>
                          <a:avLst/>
                          <a:gdLst/>
                          <a:ahLst/>
                          <a:cxnLst/>
                          <a:rect l="l" t="t" r="r" b="b"/>
                          <a:pathLst>
                            <a:path w="363855" h="0">
                              <a:moveTo>
                                <a:pt x="0" y="0"/>
                              </a:moveTo>
                              <a:lnTo>
                                <a:pt x="363397"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3458816" from="328.350006pt,25.14698pt" to="356.964006pt,25.14698pt" stroked="true" strokeweight=".436pt" strokecolor="#000000">
                <v:stroke dashstyle="solid"/>
                <w10:wrap type="none"/>
              </v:line>
            </w:pict>
          </mc:Fallback>
        </mc:AlternateContent>
      </w:r>
      <w:r>
        <w:rPr>
          <w:rFonts w:ascii="Meiryo UI" w:hAnsi="Meiryo UI"/>
          <w:i/>
          <w:position w:val="23"/>
          <w:sz w:val="16"/>
        </w:rPr>
        <mc:AlternateContent>
          <mc:Choice Requires="wps">
            <w:drawing>
              <wp:anchor distT="0" distB="0" distL="0" distR="0" allowOverlap="1" layoutInCell="1" locked="0" behindDoc="1" simplePos="0" relativeHeight="479858176">
                <wp:simplePos x="0" y="0"/>
                <wp:positionH relativeFrom="page">
                  <wp:posOffset>3803497</wp:posOffset>
                </wp:positionH>
                <wp:positionV relativeFrom="paragraph">
                  <wp:posOffset>54675</wp:posOffset>
                </wp:positionV>
                <wp:extent cx="330200" cy="43116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330200" cy="431165"/>
                        </a:xfrm>
                        <a:prstGeom prst="rect">
                          <a:avLst/>
                        </a:prstGeom>
                      </wps:spPr>
                      <wps:txbx>
                        <w:txbxContent>
                          <w:p>
                            <w:pPr>
                              <w:tabs>
                                <w:tab w:pos="439" w:val="left" w:leader="none"/>
                              </w:tabs>
                              <w:spacing w:line="175" w:lineRule="auto" w:before="0"/>
                              <w:ind w:left="0" w:right="0" w:firstLine="0"/>
                              <w:jc w:val="left"/>
                              <w:rPr>
                                <w:position w:val="-35"/>
                                <w:sz w:val="16"/>
                              </w:rPr>
                            </w:pPr>
                            <w:r>
                              <w:rPr>
                                <w:rFonts w:ascii="Verdana"/>
                                <w:spacing w:val="-10"/>
                                <w:w w:val="140"/>
                                <w:sz w:val="22"/>
                              </w:rPr>
                              <w:t>(</w:t>
                            </w:r>
                            <w:r>
                              <w:rPr>
                                <w:rFonts w:ascii="Verdana"/>
                                <w:sz w:val="22"/>
                              </w:rPr>
                              <w:tab/>
                            </w:r>
                            <w:r>
                              <w:rPr>
                                <w:spacing w:val="-25"/>
                                <w:w w:val="120"/>
                                <w:position w:val="-35"/>
                                <w:sz w:val="16"/>
                              </w:rPr>
                              <w:t>2</w:t>
                            </w:r>
                          </w:p>
                        </w:txbxContent>
                      </wps:txbx>
                      <wps:bodyPr wrap="square" lIns="0" tIns="0" rIns="0" bIns="0" rtlCol="0">
                        <a:noAutofit/>
                      </wps:bodyPr>
                    </wps:wsp>
                  </a:graphicData>
                </a:graphic>
              </wp:anchor>
            </w:drawing>
          </mc:Choice>
          <mc:Fallback>
            <w:pict>
              <v:shape style="position:absolute;margin-left:299.488007pt;margin-top:4.305155pt;width:26pt;height:33.950pt;mso-position-horizontal-relative:page;mso-position-vertical-relative:paragraph;z-index:-23458304" type="#_x0000_t202" id="docshape62" filled="false" stroked="false">
                <v:textbox inset="0,0,0,0">
                  <w:txbxContent>
                    <w:p>
                      <w:pPr>
                        <w:tabs>
                          <w:tab w:pos="439" w:val="left" w:leader="none"/>
                        </w:tabs>
                        <w:spacing w:line="175" w:lineRule="auto" w:before="0"/>
                        <w:ind w:left="0" w:right="0" w:firstLine="0"/>
                        <w:jc w:val="left"/>
                        <w:rPr>
                          <w:position w:val="-35"/>
                          <w:sz w:val="16"/>
                        </w:rPr>
                      </w:pPr>
                      <w:r>
                        <w:rPr>
                          <w:rFonts w:ascii="Verdana"/>
                          <w:spacing w:val="-10"/>
                          <w:w w:val="140"/>
                          <w:sz w:val="22"/>
                        </w:rPr>
                        <w:t>(</w:t>
                      </w:r>
                      <w:r>
                        <w:rPr>
                          <w:rFonts w:ascii="Verdana"/>
                          <w:sz w:val="22"/>
                        </w:rPr>
                        <w:tab/>
                      </w:r>
                      <w:r>
                        <w:rPr>
                          <w:spacing w:val="-25"/>
                          <w:w w:val="120"/>
                          <w:position w:val="-35"/>
                          <w:sz w:val="16"/>
                        </w:rPr>
                        <w:t>2</w:t>
                      </w:r>
                    </w:p>
                  </w:txbxContent>
                </v:textbox>
                <w10:wrap type="none"/>
              </v:shape>
            </w:pict>
          </mc:Fallback>
        </mc:AlternateContent>
      </w:r>
      <w:r>
        <w:rPr>
          <w:sz w:val="22"/>
        </w:rPr>
        <w:t>FOIL-gain</w:t>
      </w:r>
      <w:r>
        <w:rPr>
          <w:rFonts w:ascii="Lucida Sans Unicode" w:hAnsi="Lucida Sans Unicode"/>
          <w:sz w:val="22"/>
        </w:rPr>
        <w:t>(</w:t>
      </w:r>
      <w:r>
        <w:rPr>
          <w:i/>
          <w:sz w:val="22"/>
        </w:rPr>
        <w:t>R</w:t>
      </w:r>
      <w:r>
        <w:rPr>
          <w:rFonts w:ascii="Meiryo UI" w:hAnsi="Meiryo UI"/>
          <w:i/>
          <w:sz w:val="22"/>
        </w:rPr>
        <w:t>,</w:t>
      </w:r>
      <w:r>
        <w:rPr>
          <w:rFonts w:ascii="Meiryo UI" w:hAnsi="Meiryo UI"/>
          <w:i/>
          <w:spacing w:val="-51"/>
          <w:sz w:val="22"/>
        </w:rPr>
        <w:t> </w:t>
      </w:r>
      <w:r>
        <w:rPr>
          <w:i/>
          <w:sz w:val="22"/>
        </w:rPr>
        <w:t>R</w:t>
      </w:r>
      <w:r>
        <w:rPr>
          <w:rFonts w:ascii="Meiryo UI" w:hAnsi="Meiryo UI"/>
          <w:i/>
          <w:sz w:val="22"/>
          <w:vertAlign w:val="superscript"/>
        </w:rPr>
        <w:t>′</w:t>
      </w:r>
      <w:r>
        <w:rPr>
          <w:rFonts w:ascii="Lucida Sans Unicode" w:hAnsi="Lucida Sans Unicode"/>
          <w:sz w:val="22"/>
          <w:vertAlign w:val="baseline"/>
        </w:rPr>
        <w:t>)</w:t>
      </w:r>
      <w:r>
        <w:rPr>
          <w:rFonts w:ascii="Lucida Sans Unicode" w:hAnsi="Lucida Sans Unicode"/>
          <w:spacing w:val="-21"/>
          <w:sz w:val="22"/>
          <w:vertAlign w:val="baseline"/>
        </w:rPr>
        <w:t> </w:t>
      </w:r>
      <w:r>
        <w:rPr>
          <w:rFonts w:ascii="Lucida Sans Unicode" w:hAnsi="Lucida Sans Unicode"/>
          <w:sz w:val="22"/>
          <w:vertAlign w:val="baseline"/>
        </w:rPr>
        <w:t>=</w:t>
      </w:r>
      <w:r>
        <w:rPr>
          <w:rFonts w:ascii="Lucida Sans Unicode" w:hAnsi="Lucida Sans Unicode"/>
          <w:spacing w:val="-3"/>
          <w:sz w:val="22"/>
          <w:vertAlign w:val="baseline"/>
        </w:rPr>
        <w:t> </w:t>
      </w:r>
      <w:r>
        <w:rPr>
          <w:i/>
          <w:sz w:val="22"/>
          <w:vertAlign w:val="baseline"/>
        </w:rPr>
        <w:t>p</w:t>
      </w:r>
      <w:r>
        <w:rPr>
          <w:rFonts w:ascii="Meiryo UI" w:hAnsi="Meiryo UI"/>
          <w:i/>
          <w:sz w:val="22"/>
          <w:vertAlign w:val="superscript"/>
        </w:rPr>
        <w:t>′</w:t>
      </w:r>
      <w:r>
        <w:rPr>
          <w:rFonts w:ascii="Meiryo UI" w:hAnsi="Meiryo UI"/>
          <w:i/>
          <w:spacing w:val="24"/>
          <w:sz w:val="22"/>
          <w:vertAlign w:val="baseline"/>
        </w:rPr>
        <w:t>  </w:t>
      </w:r>
      <w:r>
        <w:rPr>
          <w:spacing w:val="-5"/>
          <w:sz w:val="22"/>
          <w:vertAlign w:val="baseline"/>
        </w:rPr>
        <w:t>log</w:t>
      </w:r>
      <w:r>
        <w:rPr>
          <w:sz w:val="22"/>
          <w:vertAlign w:val="baseline"/>
        </w:rPr>
        <w:tab/>
      </w:r>
      <w:r>
        <w:rPr>
          <w:i/>
          <w:spacing w:val="-5"/>
          <w:position w:val="15"/>
          <w:sz w:val="22"/>
          <w:vertAlign w:val="baseline"/>
        </w:rPr>
        <w:t>p</w:t>
      </w:r>
      <w:r>
        <w:rPr>
          <w:rFonts w:ascii="Meiryo UI" w:hAnsi="Meiryo UI"/>
          <w:i/>
          <w:spacing w:val="-5"/>
          <w:position w:val="23"/>
          <w:sz w:val="16"/>
          <w:vertAlign w:val="baseline"/>
        </w:rPr>
        <w:t>′</w:t>
      </w:r>
    </w:p>
    <w:p>
      <w:pPr>
        <w:spacing w:line="153" w:lineRule="auto" w:before="0"/>
        <w:ind w:left="0" w:right="0" w:firstLine="0"/>
        <w:jc w:val="right"/>
        <w:rPr>
          <w:rFonts w:ascii="Meiryo UI" w:hAnsi="Meiryo UI"/>
          <w:i/>
          <w:position w:val="6"/>
          <w:sz w:val="16"/>
        </w:rPr>
      </w:pPr>
      <w:r>
        <w:rPr>
          <w:i/>
          <w:spacing w:val="-4"/>
          <w:sz w:val="22"/>
        </w:rPr>
        <w:t>p</w:t>
      </w:r>
      <w:r>
        <w:rPr>
          <w:rFonts w:ascii="Meiryo UI" w:hAnsi="Meiryo UI"/>
          <w:i/>
          <w:spacing w:val="-4"/>
          <w:position w:val="6"/>
          <w:sz w:val="16"/>
        </w:rPr>
        <w:t>′</w:t>
      </w:r>
      <w:r>
        <w:rPr>
          <w:rFonts w:ascii="Meiryo UI" w:hAnsi="Meiryo UI"/>
          <w:i/>
          <w:spacing w:val="-12"/>
          <w:position w:val="6"/>
          <w:sz w:val="16"/>
        </w:rPr>
        <w:t> </w:t>
      </w:r>
      <w:r>
        <w:rPr>
          <w:rFonts w:ascii="Lucida Sans Unicode" w:hAnsi="Lucida Sans Unicode"/>
          <w:spacing w:val="-4"/>
          <w:sz w:val="22"/>
        </w:rPr>
        <w:t>+</w:t>
      </w:r>
      <w:r>
        <w:rPr>
          <w:rFonts w:ascii="Lucida Sans Unicode" w:hAnsi="Lucida Sans Unicode"/>
          <w:spacing w:val="-38"/>
          <w:sz w:val="22"/>
        </w:rPr>
        <w:t> </w:t>
      </w:r>
      <w:r>
        <w:rPr>
          <w:i/>
          <w:spacing w:val="-5"/>
          <w:sz w:val="22"/>
        </w:rPr>
        <w:t>n</w:t>
      </w:r>
      <w:r>
        <w:rPr>
          <w:rFonts w:ascii="Meiryo UI" w:hAnsi="Meiryo UI"/>
          <w:i/>
          <w:spacing w:val="-5"/>
          <w:position w:val="6"/>
          <w:sz w:val="16"/>
        </w:rPr>
        <w:t>′</w:t>
      </w:r>
    </w:p>
    <w:p>
      <w:pPr>
        <w:tabs>
          <w:tab w:pos="2915" w:val="left" w:leader="none"/>
        </w:tabs>
        <w:spacing w:before="26"/>
        <w:ind w:left="24" w:right="0" w:firstLine="0"/>
        <w:jc w:val="left"/>
        <w:rPr>
          <w:sz w:val="22"/>
        </w:rPr>
      </w:pPr>
      <w:r>
        <w:rPr/>
        <w:br w:type="column"/>
      </w:r>
      <w:r>
        <w:rPr>
          <w:rFonts w:ascii="Meiryo UI" w:hAnsi="Meiryo UI"/>
          <w:i/>
          <w:w w:val="110"/>
          <w:sz w:val="22"/>
        </w:rPr>
        <w:t>−</w:t>
      </w:r>
      <w:r>
        <w:rPr>
          <w:rFonts w:ascii="Meiryo UI" w:hAnsi="Meiryo UI"/>
          <w:i/>
          <w:spacing w:val="-53"/>
          <w:w w:val="110"/>
          <w:sz w:val="22"/>
        </w:rPr>
        <w:t> </w:t>
      </w:r>
      <w:r>
        <w:rPr>
          <w:w w:val="110"/>
          <w:sz w:val="22"/>
        </w:rPr>
        <w:t>log</w:t>
      </w:r>
      <w:r>
        <w:rPr>
          <w:spacing w:val="52"/>
          <w:w w:val="110"/>
          <w:sz w:val="22"/>
        </w:rPr>
        <w:t> </w:t>
      </w:r>
      <w:r>
        <w:rPr>
          <w:i/>
          <w:spacing w:val="79"/>
          <w:w w:val="150"/>
          <w:position w:val="15"/>
          <w:sz w:val="22"/>
          <w:u w:val="single"/>
        </w:rPr>
        <w:t> </w:t>
      </w:r>
      <w:r>
        <w:rPr>
          <w:i/>
          <w:w w:val="110"/>
          <w:position w:val="15"/>
          <w:sz w:val="22"/>
          <w:u w:val="single"/>
        </w:rPr>
        <w:t>p</w:t>
      </w:r>
      <w:r>
        <w:rPr>
          <w:i/>
          <w:spacing w:val="65"/>
          <w:w w:val="150"/>
          <w:position w:val="15"/>
          <w:sz w:val="22"/>
          <w:u w:val="single"/>
        </w:rPr>
        <w:t> </w:t>
      </w:r>
      <w:r>
        <w:rPr>
          <w:i/>
          <w:spacing w:val="-60"/>
          <w:w w:val="150"/>
          <w:position w:val="15"/>
          <w:sz w:val="22"/>
          <w:u w:val="none"/>
        </w:rPr>
        <w:t> </w:t>
      </w:r>
      <w:r>
        <w:rPr>
          <w:rFonts w:ascii="Verdana" w:hAnsi="Verdana"/>
          <w:spacing w:val="-10"/>
          <w:w w:val="130"/>
          <w:position w:val="31"/>
          <w:sz w:val="22"/>
          <w:u w:val="none"/>
        </w:rPr>
        <w:t>)</w:t>
      </w:r>
      <w:r>
        <w:rPr>
          <w:rFonts w:ascii="Verdana" w:hAnsi="Verdana"/>
          <w:position w:val="31"/>
          <w:sz w:val="22"/>
          <w:u w:val="none"/>
        </w:rPr>
        <w:tab/>
      </w:r>
      <w:r>
        <w:rPr>
          <w:spacing w:val="-2"/>
          <w:w w:val="110"/>
          <w:sz w:val="22"/>
          <w:u w:val="none"/>
        </w:rPr>
        <w:t>(3.2)</w:t>
      </w:r>
    </w:p>
    <w:p>
      <w:pPr>
        <w:spacing w:after="0"/>
        <w:jc w:val="left"/>
        <w:rPr>
          <w:sz w:val="22"/>
        </w:rPr>
        <w:sectPr>
          <w:type w:val="continuous"/>
          <w:pgSz w:w="11910" w:h="16840"/>
          <w:pgMar w:header="1160" w:footer="0" w:top="1120" w:bottom="280" w:left="1275" w:right="425"/>
          <w:cols w:num="2" w:equalWidth="0">
            <w:col w:w="5855" w:space="40"/>
            <w:col w:w="4315"/>
          </w:cols>
        </w:sectPr>
      </w:pPr>
    </w:p>
    <w:p>
      <w:pPr>
        <w:pStyle w:val="BodyText"/>
        <w:spacing w:line="216" w:lineRule="auto" w:before="189"/>
        <w:ind w:left="709" w:right="990" w:hanging="8"/>
        <w:jc w:val="both"/>
      </w:pPr>
      <w:r>
        <w:rPr/>
        <mc:AlternateContent>
          <mc:Choice Requires="wps">
            <w:drawing>
              <wp:anchor distT="0" distB="0" distL="0" distR="0" allowOverlap="1" layoutInCell="1" locked="0" behindDoc="1" simplePos="0" relativeHeight="479858688">
                <wp:simplePos x="0" y="0"/>
                <wp:positionH relativeFrom="page">
                  <wp:posOffset>4871808</wp:posOffset>
                </wp:positionH>
                <wp:positionV relativeFrom="paragraph">
                  <wp:posOffset>-202166</wp:posOffset>
                </wp:positionV>
                <wp:extent cx="382905" cy="19113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382905" cy="191135"/>
                        </a:xfrm>
                        <a:prstGeom prst="rect">
                          <a:avLst/>
                        </a:prstGeom>
                      </wps:spPr>
                      <wps:txbx>
                        <w:txbxContent>
                          <w:p>
                            <w:pPr>
                              <w:spacing w:line="300" w:lineRule="exact" w:before="0"/>
                              <w:ind w:left="0" w:right="0" w:firstLine="0"/>
                              <w:jc w:val="left"/>
                              <w:rPr>
                                <w:i/>
                                <w:sz w:val="22"/>
                              </w:rPr>
                            </w:pPr>
                            <w:r>
                              <w:rPr>
                                <w:w w:val="105"/>
                                <w:sz w:val="22"/>
                                <w:vertAlign w:val="superscript"/>
                              </w:rPr>
                              <w:t>2</w:t>
                            </w:r>
                            <w:r>
                              <w:rPr>
                                <w:spacing w:val="-1"/>
                                <w:w w:val="105"/>
                                <w:sz w:val="22"/>
                                <w:vertAlign w:val="baseline"/>
                              </w:rPr>
                              <w:t> </w:t>
                            </w:r>
                            <w:r>
                              <w:rPr>
                                <w:i/>
                                <w:w w:val="105"/>
                                <w:sz w:val="22"/>
                                <w:vertAlign w:val="baseline"/>
                              </w:rPr>
                              <w:t>p</w:t>
                            </w:r>
                            <w:r>
                              <w:rPr>
                                <w:i/>
                                <w:spacing w:val="-28"/>
                                <w:w w:val="105"/>
                                <w:sz w:val="22"/>
                                <w:vertAlign w:val="baseline"/>
                              </w:rPr>
                              <w:t> </w:t>
                            </w:r>
                            <w:r>
                              <w:rPr>
                                <w:rFonts w:ascii="Lucida Sans Unicode"/>
                                <w:w w:val="105"/>
                                <w:sz w:val="22"/>
                                <w:vertAlign w:val="baseline"/>
                              </w:rPr>
                              <w:t>+</w:t>
                            </w:r>
                            <w:r>
                              <w:rPr>
                                <w:rFonts w:ascii="Lucida Sans Unicode"/>
                                <w:spacing w:val="-43"/>
                                <w:w w:val="105"/>
                                <w:sz w:val="22"/>
                                <w:vertAlign w:val="baseline"/>
                              </w:rPr>
                              <w:t> </w:t>
                            </w:r>
                            <w:r>
                              <w:rPr>
                                <w:i/>
                                <w:spacing w:val="-12"/>
                                <w:w w:val="105"/>
                                <w:sz w:val="22"/>
                                <w:vertAlign w:val="baseline"/>
                              </w:rPr>
                              <w:t>n</w:t>
                            </w:r>
                          </w:p>
                        </w:txbxContent>
                      </wps:txbx>
                      <wps:bodyPr wrap="square" lIns="0" tIns="0" rIns="0" bIns="0" rtlCol="0">
                        <a:noAutofit/>
                      </wps:bodyPr>
                    </wps:wsp>
                  </a:graphicData>
                </a:graphic>
              </wp:anchor>
            </w:drawing>
          </mc:Choice>
          <mc:Fallback>
            <w:pict>
              <v:shape style="position:absolute;margin-left:383.606995pt;margin-top:-15.918653pt;width:30.15pt;height:15.05pt;mso-position-horizontal-relative:page;mso-position-vertical-relative:paragraph;z-index:-23457792" type="#_x0000_t202" id="docshape63" filled="false" stroked="false">
                <v:textbox inset="0,0,0,0">
                  <w:txbxContent>
                    <w:p>
                      <w:pPr>
                        <w:spacing w:line="300" w:lineRule="exact" w:before="0"/>
                        <w:ind w:left="0" w:right="0" w:firstLine="0"/>
                        <w:jc w:val="left"/>
                        <w:rPr>
                          <w:i/>
                          <w:sz w:val="22"/>
                        </w:rPr>
                      </w:pPr>
                      <w:r>
                        <w:rPr>
                          <w:w w:val="105"/>
                          <w:sz w:val="22"/>
                          <w:vertAlign w:val="superscript"/>
                        </w:rPr>
                        <w:t>2</w:t>
                      </w:r>
                      <w:r>
                        <w:rPr>
                          <w:spacing w:val="-1"/>
                          <w:w w:val="105"/>
                          <w:sz w:val="22"/>
                          <w:vertAlign w:val="baseline"/>
                        </w:rPr>
                        <w:t> </w:t>
                      </w:r>
                      <w:r>
                        <w:rPr>
                          <w:i/>
                          <w:w w:val="105"/>
                          <w:sz w:val="22"/>
                          <w:vertAlign w:val="baseline"/>
                        </w:rPr>
                        <w:t>p</w:t>
                      </w:r>
                      <w:r>
                        <w:rPr>
                          <w:i/>
                          <w:spacing w:val="-28"/>
                          <w:w w:val="105"/>
                          <w:sz w:val="22"/>
                          <w:vertAlign w:val="baseline"/>
                        </w:rPr>
                        <w:t> </w:t>
                      </w:r>
                      <w:r>
                        <w:rPr>
                          <w:rFonts w:ascii="Lucida Sans Unicode"/>
                          <w:w w:val="105"/>
                          <w:sz w:val="22"/>
                          <w:vertAlign w:val="baseline"/>
                        </w:rPr>
                        <w:t>+</w:t>
                      </w:r>
                      <w:r>
                        <w:rPr>
                          <w:rFonts w:ascii="Lucida Sans Unicode"/>
                          <w:spacing w:val="-43"/>
                          <w:w w:val="105"/>
                          <w:sz w:val="22"/>
                          <w:vertAlign w:val="baseline"/>
                        </w:rPr>
                        <w:t> </w:t>
                      </w:r>
                      <w:r>
                        <w:rPr>
                          <w:i/>
                          <w:spacing w:val="-12"/>
                          <w:w w:val="105"/>
                          <w:sz w:val="22"/>
                          <w:vertAlign w:val="baseline"/>
                        </w:rPr>
                        <w:t>n</w:t>
                      </w:r>
                    </w:p>
                  </w:txbxContent>
                </v:textbox>
                <w10:wrap type="none"/>
              </v:shape>
            </w:pict>
          </mc:Fallback>
        </mc:AlternateContent>
      </w:r>
      <w:r>
        <w:rPr/>
        <w:t>where</w:t>
      </w:r>
      <w:r>
        <w:rPr>
          <w:spacing w:val="40"/>
        </w:rPr>
        <w:t> </w:t>
      </w:r>
      <w:r>
        <w:rPr>
          <w:i/>
        </w:rPr>
        <w:t>p</w:t>
      </w:r>
      <w:r>
        <w:rPr>
          <w:i/>
          <w:spacing w:val="33"/>
        </w:rPr>
        <w:t> </w:t>
      </w:r>
      <w:r>
        <w:rPr/>
        <w:t>and</w:t>
      </w:r>
      <w:r>
        <w:rPr>
          <w:spacing w:val="33"/>
        </w:rPr>
        <w:t> </w:t>
      </w:r>
      <w:r>
        <w:rPr>
          <w:i/>
        </w:rPr>
        <w:t>n</w:t>
      </w:r>
      <w:r>
        <w:rPr>
          <w:i/>
          <w:spacing w:val="33"/>
        </w:rPr>
        <w:t> </w:t>
      </w:r>
      <w:r>
        <w:rPr/>
        <w:t>are</w:t>
      </w:r>
      <w:r>
        <w:rPr>
          <w:spacing w:val="33"/>
        </w:rPr>
        <w:t> </w:t>
      </w:r>
      <w:r>
        <w:rPr/>
        <w:t>the</w:t>
      </w:r>
      <w:r>
        <w:rPr>
          <w:spacing w:val="34"/>
        </w:rPr>
        <w:t> </w:t>
      </w:r>
      <w:r>
        <w:rPr/>
        <w:t>numbers</w:t>
      </w:r>
      <w:r>
        <w:rPr>
          <w:spacing w:val="33"/>
        </w:rPr>
        <w:t> </w:t>
      </w:r>
      <w:r>
        <w:rPr/>
        <w:t>of</w:t>
      </w:r>
      <w:r>
        <w:rPr>
          <w:spacing w:val="33"/>
        </w:rPr>
        <w:t> </w:t>
      </w:r>
      <w:r>
        <w:rPr/>
        <w:t>positive</w:t>
      </w:r>
      <w:r>
        <w:rPr>
          <w:spacing w:val="33"/>
        </w:rPr>
        <w:t> </w:t>
      </w:r>
      <w:r>
        <w:rPr/>
        <w:t>and</w:t>
      </w:r>
      <w:r>
        <w:rPr>
          <w:spacing w:val="33"/>
        </w:rPr>
        <w:t> </w:t>
      </w:r>
      <w:r>
        <w:rPr/>
        <w:t>negative</w:t>
      </w:r>
      <w:r>
        <w:rPr>
          <w:spacing w:val="33"/>
        </w:rPr>
        <w:t> </w:t>
      </w:r>
      <w:r>
        <w:rPr/>
        <w:t>examples</w:t>
      </w:r>
      <w:r>
        <w:rPr>
          <w:spacing w:val="33"/>
        </w:rPr>
        <w:t> </w:t>
      </w:r>
      <w:r>
        <w:rPr/>
        <w:t>covered</w:t>
      </w:r>
      <w:r>
        <w:rPr>
          <w:spacing w:val="33"/>
        </w:rPr>
        <w:t> </w:t>
      </w:r>
      <w:r>
        <w:rPr/>
        <w:t>by</w:t>
      </w:r>
      <w:r>
        <w:rPr>
          <w:spacing w:val="33"/>
        </w:rPr>
        <w:t> </w:t>
      </w:r>
      <w:r>
        <w:rPr>
          <w:i/>
        </w:rPr>
        <w:t>R</w:t>
      </w:r>
      <w:r>
        <w:rPr/>
        <w:t>,</w:t>
      </w:r>
      <w:r>
        <w:rPr>
          <w:spacing w:val="40"/>
        </w:rPr>
        <w:t> </w:t>
      </w:r>
      <w:r>
        <w:rPr/>
        <w:t>and</w:t>
      </w:r>
      <w:r>
        <w:rPr>
          <w:spacing w:val="40"/>
        </w:rPr>
        <w:t> </w:t>
      </w:r>
      <w:r>
        <w:rPr>
          <w:i/>
        </w:rPr>
        <w:t>p</w:t>
      </w:r>
      <w:r>
        <w:rPr>
          <w:rFonts w:ascii="Meiryo UI" w:hAnsi="Meiryo UI"/>
          <w:i/>
          <w:vertAlign w:val="superscript"/>
        </w:rPr>
        <w:t>′</w:t>
      </w:r>
      <w:r>
        <w:rPr>
          <w:vertAlign w:val="baseline"/>
        </w:rPr>
        <w:t>,</w:t>
      </w:r>
      <w:r>
        <w:rPr>
          <w:spacing w:val="40"/>
          <w:vertAlign w:val="baseline"/>
        </w:rPr>
        <w:t> </w:t>
      </w:r>
      <w:r>
        <w:rPr>
          <w:i/>
          <w:vertAlign w:val="baseline"/>
        </w:rPr>
        <w:t>n</w:t>
      </w:r>
      <w:r>
        <w:rPr>
          <w:rFonts w:ascii="Meiryo UI" w:hAnsi="Meiryo UI"/>
          <w:i/>
          <w:vertAlign w:val="superscript"/>
        </w:rPr>
        <w:t>′</w:t>
      </w:r>
      <w:r>
        <w:rPr>
          <w:rFonts w:ascii="Meiryo UI" w:hAnsi="Meiryo UI"/>
          <w:i/>
          <w:vertAlign w:val="baseline"/>
        </w:rPr>
        <w:t> </w:t>
      </w:r>
      <w:r>
        <w:rPr>
          <w:vertAlign w:val="baseline"/>
        </w:rPr>
        <w:t>are the corresponding counts for the extended rule </w:t>
      </w:r>
      <w:r>
        <w:rPr>
          <w:i/>
          <w:vertAlign w:val="baseline"/>
        </w:rPr>
        <w:t>R</w:t>
      </w:r>
      <w:r>
        <w:rPr>
          <w:rFonts w:ascii="Meiryo UI" w:hAnsi="Meiryo UI"/>
          <w:i/>
          <w:vertAlign w:val="superscript"/>
        </w:rPr>
        <w:t>′</w:t>
      </w:r>
      <w:r>
        <w:rPr>
          <w:vertAlign w:val="baseline"/>
        </w:rPr>
        <w:t>.</w:t>
      </w:r>
      <w:r>
        <w:rPr>
          <w:spacing w:val="40"/>
          <w:vertAlign w:val="baseline"/>
        </w:rPr>
        <w:t> </w:t>
      </w:r>
      <w:r>
        <w:rPr>
          <w:vertAlign w:val="baseline"/>
        </w:rPr>
        <w:t>RIPPER selects the condition </w:t>
      </w:r>
      <w:r>
        <w:rPr>
          <w:i/>
          <w:vertAlign w:val="baseline"/>
        </w:rPr>
        <w:t>c</w:t>
      </w:r>
      <w:r>
        <w:rPr>
          <w:rFonts w:ascii="Meiryo UI" w:hAnsi="Meiryo UI"/>
          <w:i/>
          <w:vertAlign w:val="superscript"/>
        </w:rPr>
        <w:t>∗</w:t>
      </w:r>
      <w:r>
        <w:rPr>
          <w:rFonts w:ascii="Meiryo UI" w:hAnsi="Meiryo UI"/>
          <w:i/>
          <w:vertAlign w:val="baseline"/>
        </w:rPr>
        <w:t> </w:t>
      </w:r>
      <w:r>
        <w:rPr>
          <w:rFonts w:ascii="Lucida Sans Unicode" w:hAnsi="Lucida Sans Unicode"/>
          <w:vertAlign w:val="baseline"/>
        </w:rPr>
        <w:t>= </w:t>
      </w:r>
      <w:r>
        <w:rPr>
          <w:vertAlign w:val="baseline"/>
        </w:rPr>
        <w:t>argmax</w:t>
      </w:r>
      <w:r>
        <w:rPr>
          <w:i/>
          <w:vertAlign w:val="subscript"/>
        </w:rPr>
        <w:t>c</w:t>
      </w:r>
      <w:r>
        <w:rPr>
          <w:i/>
          <w:vertAlign w:val="baseline"/>
        </w:rPr>
        <w:t> </w:t>
      </w:r>
      <w:r>
        <w:rPr>
          <w:vertAlign w:val="baseline"/>
        </w:rPr>
        <w:t>FOIL-gain</w:t>
      </w:r>
      <w:r>
        <w:rPr>
          <w:rFonts w:ascii="Lucida Sans Unicode" w:hAnsi="Lucida Sans Unicode"/>
          <w:vertAlign w:val="baseline"/>
        </w:rPr>
        <w:t>(</w:t>
      </w:r>
      <w:r>
        <w:rPr>
          <w:i/>
          <w:vertAlign w:val="baseline"/>
        </w:rPr>
        <w:t>R</w:t>
      </w:r>
      <w:r>
        <w:rPr>
          <w:rFonts w:ascii="Meiryo UI" w:hAnsi="Meiryo UI"/>
          <w:i/>
          <w:vertAlign w:val="baseline"/>
        </w:rPr>
        <w:t>,</w:t>
      </w:r>
      <w:r>
        <w:rPr>
          <w:rFonts w:ascii="Meiryo UI" w:hAnsi="Meiryo UI"/>
          <w:i/>
          <w:spacing w:val="-45"/>
          <w:vertAlign w:val="baseline"/>
        </w:rPr>
        <w:t> </w:t>
      </w:r>
      <w:r>
        <w:rPr>
          <w:i/>
          <w:spacing w:val="9"/>
          <w:vertAlign w:val="baseline"/>
        </w:rPr>
        <w:t>R</w:t>
      </w:r>
      <w:r>
        <w:rPr>
          <w:rFonts w:ascii="Meiryo UI" w:hAnsi="Meiryo UI"/>
          <w:i/>
          <w:spacing w:val="9"/>
          <w:vertAlign w:val="baseline"/>
        </w:rPr>
        <w:t>∪{</w:t>
      </w:r>
      <w:r>
        <w:rPr>
          <w:i/>
          <w:spacing w:val="9"/>
          <w:vertAlign w:val="baseline"/>
        </w:rPr>
        <w:t>c</w:t>
      </w:r>
      <w:r>
        <w:rPr>
          <w:rFonts w:ascii="Meiryo UI" w:hAnsi="Meiryo UI"/>
          <w:i/>
          <w:spacing w:val="9"/>
          <w:vertAlign w:val="baseline"/>
        </w:rPr>
        <w:t>}</w:t>
      </w:r>
      <w:r>
        <w:rPr>
          <w:rFonts w:ascii="Lucida Sans Unicode" w:hAnsi="Lucida Sans Unicode"/>
          <w:spacing w:val="9"/>
          <w:vertAlign w:val="baseline"/>
        </w:rPr>
        <w:t>)</w:t>
      </w:r>
      <w:r>
        <w:rPr>
          <w:rFonts w:ascii="Lucida Sans Unicode" w:hAnsi="Lucida Sans Unicode"/>
          <w:spacing w:val="-1"/>
          <w:vertAlign w:val="baseline"/>
        </w:rPr>
        <w:t> </w:t>
      </w:r>
      <w:r>
        <w:rPr>
          <w:vertAlign w:val="baseline"/>
        </w:rPr>
        <w:t>at each growing step.</w:t>
      </w:r>
    </w:p>
    <w:p>
      <w:pPr>
        <w:pStyle w:val="BodyText"/>
        <w:spacing w:before="8"/>
      </w:pPr>
    </w:p>
    <w:p>
      <w:pPr>
        <w:pStyle w:val="BodyText"/>
        <w:spacing w:line="312" w:lineRule="auto"/>
        <w:ind w:left="709" w:right="986" w:firstLine="338"/>
        <w:jc w:val="both"/>
      </w:pPr>
      <w:r>
        <w:rPr>
          <w:b/>
        </w:rPr>
        <w:t>Rule</w:t>
      </w:r>
      <w:r>
        <w:rPr>
          <w:b/>
          <w:spacing w:val="-10"/>
        </w:rPr>
        <w:t> </w:t>
      </w:r>
      <w:r>
        <w:rPr>
          <w:b/>
        </w:rPr>
        <w:t>pruning</w:t>
      </w:r>
      <w:r>
        <w:rPr>
          <w:b/>
          <w:spacing w:val="-10"/>
        </w:rPr>
        <w:t> </w:t>
      </w:r>
      <w:r>
        <w:rPr>
          <w:b/>
        </w:rPr>
        <w:t>with</w:t>
      </w:r>
      <w:r>
        <w:rPr>
          <w:b/>
          <w:spacing w:val="-10"/>
        </w:rPr>
        <w:t> </w:t>
      </w:r>
      <w:r>
        <w:rPr>
          <w:b/>
        </w:rPr>
        <w:t>MDL.</w:t>
      </w:r>
      <w:r>
        <w:rPr>
          <w:b/>
          <w:spacing w:val="-10"/>
        </w:rPr>
        <w:t> </w:t>
      </w:r>
      <w:r>
        <w:rPr/>
        <w:t>Overfitting</w:t>
      </w:r>
      <w:r>
        <w:rPr>
          <w:spacing w:val="-10"/>
        </w:rPr>
        <w:t> </w:t>
      </w:r>
      <w:r>
        <w:rPr/>
        <w:t>is</w:t>
      </w:r>
      <w:r>
        <w:rPr>
          <w:spacing w:val="-10"/>
        </w:rPr>
        <w:t> </w:t>
      </w:r>
      <w:r>
        <w:rPr/>
        <w:t>controlled</w:t>
      </w:r>
      <w:r>
        <w:rPr>
          <w:spacing w:val="-10"/>
        </w:rPr>
        <w:t> </w:t>
      </w:r>
      <w:r>
        <w:rPr/>
        <w:t>by</w:t>
      </w:r>
      <w:r>
        <w:rPr>
          <w:spacing w:val="-10"/>
        </w:rPr>
        <w:t> </w:t>
      </w:r>
      <w:r>
        <w:rPr/>
        <w:t>a</w:t>
      </w:r>
      <w:r>
        <w:rPr>
          <w:spacing w:val="-10"/>
        </w:rPr>
        <w:t> </w:t>
      </w:r>
      <w:r>
        <w:rPr/>
        <w:t>pruning</w:t>
      </w:r>
      <w:r>
        <w:rPr>
          <w:spacing w:val="-10"/>
        </w:rPr>
        <w:t> </w:t>
      </w:r>
      <w:r>
        <w:rPr/>
        <w:t>step</w:t>
      </w:r>
      <w:r>
        <w:rPr>
          <w:spacing w:val="-10"/>
        </w:rPr>
        <w:t> </w:t>
      </w:r>
      <w:r>
        <w:rPr/>
        <w:t>that</w:t>
      </w:r>
      <w:r>
        <w:rPr>
          <w:spacing w:val="-10"/>
        </w:rPr>
        <w:t> </w:t>
      </w:r>
      <w:r>
        <w:rPr/>
        <w:t>removes</w:t>
      </w:r>
      <w:r>
        <w:rPr>
          <w:spacing w:val="-10"/>
        </w:rPr>
        <w:t> </w:t>
      </w:r>
      <w:r>
        <w:rPr/>
        <w:t>conditions from</w:t>
      </w:r>
      <w:r>
        <w:rPr>
          <w:spacing w:val="-3"/>
        </w:rPr>
        <w:t> </w:t>
      </w:r>
      <w:r>
        <w:rPr/>
        <w:t>the</w:t>
      </w:r>
      <w:r>
        <w:rPr>
          <w:spacing w:val="-3"/>
        </w:rPr>
        <w:t> </w:t>
      </w:r>
      <w:r>
        <w:rPr/>
        <w:t>grown</w:t>
      </w:r>
      <w:r>
        <w:rPr>
          <w:spacing w:val="-3"/>
        </w:rPr>
        <w:t> </w:t>
      </w:r>
      <w:r>
        <w:rPr/>
        <w:t>rule</w:t>
      </w:r>
      <w:r>
        <w:rPr>
          <w:spacing w:val="-3"/>
        </w:rPr>
        <w:t> </w:t>
      </w:r>
      <w:r>
        <w:rPr/>
        <w:t>using</w:t>
      </w:r>
      <w:r>
        <w:rPr>
          <w:spacing w:val="-3"/>
        </w:rPr>
        <w:t> </w:t>
      </w:r>
      <w:r>
        <w:rPr/>
        <w:t>the</w:t>
      </w:r>
      <w:r>
        <w:rPr>
          <w:spacing w:val="-3"/>
        </w:rPr>
        <w:t> </w:t>
      </w:r>
      <w:r>
        <w:rPr/>
        <w:t>Minimum</w:t>
      </w:r>
      <w:r>
        <w:rPr>
          <w:spacing w:val="-3"/>
        </w:rPr>
        <w:t> </w:t>
      </w:r>
      <w:r>
        <w:rPr/>
        <w:t>Description</w:t>
      </w:r>
      <w:r>
        <w:rPr>
          <w:spacing w:val="-3"/>
        </w:rPr>
        <w:t> </w:t>
      </w:r>
      <w:r>
        <w:rPr/>
        <w:t>Length</w:t>
      </w:r>
      <w:r>
        <w:rPr>
          <w:spacing w:val="-3"/>
        </w:rPr>
        <w:t> </w:t>
      </w:r>
      <w:r>
        <w:rPr/>
        <w:t>(MDL)</w:t>
      </w:r>
      <w:r>
        <w:rPr>
          <w:spacing w:val="-3"/>
        </w:rPr>
        <w:t> </w:t>
      </w:r>
      <w:r>
        <w:rPr/>
        <w:t>principle: conditions</w:t>
      </w:r>
      <w:r>
        <w:rPr>
          <w:spacing w:val="-3"/>
        </w:rPr>
        <w:t> </w:t>
      </w:r>
      <w:r>
        <w:rPr/>
        <w:t>whose removal</w:t>
      </w:r>
      <w:r>
        <w:rPr>
          <w:spacing w:val="-9"/>
        </w:rPr>
        <w:t> </w:t>
      </w:r>
      <w:r>
        <w:rPr/>
        <w:t>reduces</w:t>
      </w:r>
      <w:r>
        <w:rPr>
          <w:spacing w:val="-9"/>
        </w:rPr>
        <w:t> </w:t>
      </w:r>
      <w:r>
        <w:rPr/>
        <w:t>the</w:t>
      </w:r>
      <w:r>
        <w:rPr>
          <w:spacing w:val="-9"/>
        </w:rPr>
        <w:t> </w:t>
      </w:r>
      <w:r>
        <w:rPr/>
        <w:t>total</w:t>
      </w:r>
      <w:r>
        <w:rPr>
          <w:spacing w:val="-9"/>
        </w:rPr>
        <w:t> </w:t>
      </w:r>
      <w:r>
        <w:rPr/>
        <w:t>description</w:t>
      </w:r>
      <w:r>
        <w:rPr>
          <w:spacing w:val="-9"/>
        </w:rPr>
        <w:t> </w:t>
      </w:r>
      <w:r>
        <w:rPr/>
        <w:t>length</w:t>
      </w:r>
      <w:r>
        <w:rPr>
          <w:spacing w:val="-9"/>
        </w:rPr>
        <w:t> </w:t>
      </w:r>
      <w:r>
        <w:rPr/>
        <w:t>of</w:t>
      </w:r>
      <w:r>
        <w:rPr>
          <w:spacing w:val="-9"/>
        </w:rPr>
        <w:t> </w:t>
      </w:r>
      <w:r>
        <w:rPr/>
        <w:t>the</w:t>
      </w:r>
      <w:r>
        <w:rPr>
          <w:spacing w:val="-9"/>
        </w:rPr>
        <w:t> </w:t>
      </w:r>
      <w:r>
        <w:rPr/>
        <w:t>rule</w:t>
      </w:r>
      <w:r>
        <w:rPr>
          <w:spacing w:val="-9"/>
        </w:rPr>
        <w:t> </w:t>
      </w:r>
      <w:r>
        <w:rPr/>
        <w:t>set</w:t>
      </w:r>
      <w:r>
        <w:rPr>
          <w:spacing w:val="-9"/>
        </w:rPr>
        <w:t> </w:t>
      </w:r>
      <w:r>
        <w:rPr/>
        <w:t>plus</w:t>
      </w:r>
      <w:r>
        <w:rPr>
          <w:spacing w:val="-9"/>
        </w:rPr>
        <w:t> </w:t>
      </w:r>
      <w:r>
        <w:rPr/>
        <w:t>the</w:t>
      </w:r>
      <w:r>
        <w:rPr>
          <w:spacing w:val="-9"/>
        </w:rPr>
        <w:t> </w:t>
      </w:r>
      <w:r>
        <w:rPr/>
        <w:t>data</w:t>
      </w:r>
      <w:r>
        <w:rPr>
          <w:spacing w:val="-9"/>
        </w:rPr>
        <w:t> </w:t>
      </w:r>
      <w:r>
        <w:rPr/>
        <w:t>are</w:t>
      </w:r>
      <w:r>
        <w:rPr>
          <w:spacing w:val="-9"/>
        </w:rPr>
        <w:t> </w:t>
      </w:r>
      <w:r>
        <w:rPr/>
        <w:t>deleted. This</w:t>
      </w:r>
      <w:r>
        <w:rPr>
          <w:spacing w:val="-9"/>
        </w:rPr>
        <w:t> </w:t>
      </w:r>
      <w:r>
        <w:rPr/>
        <w:t>balances </w:t>
      </w:r>
      <w:r>
        <w:rPr>
          <w:spacing w:val="-2"/>
        </w:rPr>
        <w:t>rule</w:t>
      </w:r>
      <w:r>
        <w:rPr>
          <w:spacing w:val="-6"/>
        </w:rPr>
        <w:t> </w:t>
      </w:r>
      <w:r>
        <w:rPr>
          <w:spacing w:val="-2"/>
        </w:rPr>
        <w:t>complexity</w:t>
      </w:r>
      <w:r>
        <w:rPr>
          <w:spacing w:val="-6"/>
        </w:rPr>
        <w:t> </w:t>
      </w:r>
      <w:r>
        <w:rPr>
          <w:spacing w:val="-2"/>
        </w:rPr>
        <w:t>against</w:t>
      </w:r>
      <w:r>
        <w:rPr>
          <w:spacing w:val="-6"/>
        </w:rPr>
        <w:t> </w:t>
      </w:r>
      <w:r>
        <w:rPr>
          <w:spacing w:val="-2"/>
        </w:rPr>
        <w:t>coverage,</w:t>
      </w:r>
      <w:r>
        <w:rPr>
          <w:spacing w:val="-6"/>
        </w:rPr>
        <w:t> </w:t>
      </w:r>
      <w:r>
        <w:rPr>
          <w:spacing w:val="-2"/>
        </w:rPr>
        <w:t>a</w:t>
      </w:r>
      <w:r>
        <w:rPr>
          <w:spacing w:val="-6"/>
        </w:rPr>
        <w:t> </w:t>
      </w:r>
      <w:r>
        <w:rPr>
          <w:spacing w:val="-2"/>
        </w:rPr>
        <w:t>rule</w:t>
      </w:r>
      <w:r>
        <w:rPr>
          <w:spacing w:val="-6"/>
        </w:rPr>
        <w:t> </w:t>
      </w:r>
      <w:r>
        <w:rPr>
          <w:spacing w:val="-2"/>
        </w:rPr>
        <w:t>that</w:t>
      </w:r>
      <w:r>
        <w:rPr>
          <w:spacing w:val="-6"/>
        </w:rPr>
        <w:t> </w:t>
      </w:r>
      <w:r>
        <w:rPr>
          <w:spacing w:val="-2"/>
        </w:rPr>
        <w:t>is</w:t>
      </w:r>
      <w:r>
        <w:rPr>
          <w:spacing w:val="-6"/>
        </w:rPr>
        <w:t> </w:t>
      </w:r>
      <w:r>
        <w:rPr>
          <w:spacing w:val="-2"/>
        </w:rPr>
        <w:t>slightly</w:t>
      </w:r>
      <w:r>
        <w:rPr>
          <w:spacing w:val="-6"/>
        </w:rPr>
        <w:t> </w:t>
      </w:r>
      <w:r>
        <w:rPr>
          <w:spacing w:val="-2"/>
        </w:rPr>
        <w:t>less</w:t>
      </w:r>
      <w:r>
        <w:rPr>
          <w:spacing w:val="-6"/>
        </w:rPr>
        <w:t> </w:t>
      </w:r>
      <w:r>
        <w:rPr>
          <w:spacing w:val="-2"/>
        </w:rPr>
        <w:t>precise</w:t>
      </w:r>
      <w:r>
        <w:rPr>
          <w:spacing w:val="-6"/>
        </w:rPr>
        <w:t> </w:t>
      </w:r>
      <w:r>
        <w:rPr>
          <w:spacing w:val="-2"/>
        </w:rPr>
        <w:t>but</w:t>
      </w:r>
      <w:r>
        <w:rPr>
          <w:spacing w:val="-6"/>
        </w:rPr>
        <w:t> </w:t>
      </w:r>
      <w:r>
        <w:rPr>
          <w:spacing w:val="-2"/>
        </w:rPr>
        <w:t>covers</w:t>
      </w:r>
      <w:r>
        <w:rPr>
          <w:spacing w:val="-6"/>
        </w:rPr>
        <w:t> </w:t>
      </w:r>
      <w:r>
        <w:rPr>
          <w:spacing w:val="-2"/>
        </w:rPr>
        <w:t>more</w:t>
      </w:r>
      <w:r>
        <w:rPr>
          <w:spacing w:val="-6"/>
        </w:rPr>
        <w:t> </w:t>
      </w:r>
      <w:r>
        <w:rPr>
          <w:spacing w:val="-2"/>
        </w:rPr>
        <w:t>observations</w:t>
      </w:r>
      <w:r>
        <w:rPr>
          <w:spacing w:val="-6"/>
        </w:rPr>
        <w:t> </w:t>
      </w:r>
      <w:r>
        <w:rPr>
          <w:spacing w:val="-2"/>
        </w:rPr>
        <w:t>is </w:t>
      </w:r>
      <w:r>
        <w:rPr/>
        <w:t>preferred over a highly specific rule covering very few. After pruning, RIPPER checks whether replacing or revising a rule reduces the total error, iterating until convergence.</w:t>
      </w:r>
    </w:p>
    <w:p>
      <w:pPr>
        <w:pStyle w:val="BodyText"/>
        <w:spacing w:line="312" w:lineRule="auto" w:before="225"/>
        <w:ind w:left="709" w:right="990" w:firstLine="338"/>
        <w:jc w:val="both"/>
      </w:pPr>
      <w:r>
        <w:rPr>
          <w:b/>
        </w:rPr>
        <w:t>Ordered</w:t>
      </w:r>
      <w:r>
        <w:rPr>
          <w:b/>
          <w:spacing w:val="-4"/>
        </w:rPr>
        <w:t> </w:t>
      </w:r>
      <w:r>
        <w:rPr>
          <w:b/>
        </w:rPr>
        <w:t>rule</w:t>
      </w:r>
      <w:r>
        <w:rPr>
          <w:b/>
          <w:spacing w:val="-4"/>
        </w:rPr>
        <w:t> </w:t>
      </w:r>
      <w:r>
        <w:rPr>
          <w:b/>
        </w:rPr>
        <w:t>list</w:t>
      </w:r>
      <w:r>
        <w:rPr>
          <w:b/>
          <w:spacing w:val="-4"/>
        </w:rPr>
        <w:t> </w:t>
      </w:r>
      <w:r>
        <w:rPr>
          <w:b/>
        </w:rPr>
        <w:t>and</w:t>
      </w:r>
      <w:r>
        <w:rPr>
          <w:b/>
          <w:spacing w:val="-4"/>
        </w:rPr>
        <w:t> </w:t>
      </w:r>
      <w:r>
        <w:rPr>
          <w:b/>
        </w:rPr>
        <w:t>default</w:t>
      </w:r>
      <w:r>
        <w:rPr>
          <w:b/>
          <w:spacing w:val="-4"/>
        </w:rPr>
        <w:t> </w:t>
      </w:r>
      <w:r>
        <w:rPr>
          <w:b/>
        </w:rPr>
        <w:t>rule. </w:t>
      </w:r>
      <w:r>
        <w:rPr/>
        <w:t>The</w:t>
      </w:r>
      <w:r>
        <w:rPr>
          <w:spacing w:val="-4"/>
        </w:rPr>
        <w:t> </w:t>
      </w:r>
      <w:r>
        <w:rPr/>
        <w:t>final</w:t>
      </w:r>
      <w:r>
        <w:rPr>
          <w:spacing w:val="-4"/>
        </w:rPr>
        <w:t> </w:t>
      </w:r>
      <w:r>
        <w:rPr/>
        <w:t>output</w:t>
      </w:r>
      <w:r>
        <w:rPr>
          <w:spacing w:val="-4"/>
        </w:rPr>
        <w:t> </w:t>
      </w:r>
      <w:r>
        <w:rPr/>
        <w:t>of</w:t>
      </w:r>
      <w:r>
        <w:rPr>
          <w:spacing w:val="-4"/>
        </w:rPr>
        <w:t> </w:t>
      </w:r>
      <w:r>
        <w:rPr/>
        <w:t>RIPPER</w:t>
      </w:r>
      <w:r>
        <w:rPr>
          <w:spacing w:val="-4"/>
        </w:rPr>
        <w:t> </w:t>
      </w:r>
      <w:r>
        <w:rPr/>
        <w:t>is</w:t>
      </w:r>
      <w:r>
        <w:rPr>
          <w:spacing w:val="-4"/>
        </w:rPr>
        <w:t> </w:t>
      </w:r>
      <w:r>
        <w:rPr/>
        <w:t>an</w:t>
      </w:r>
      <w:r>
        <w:rPr>
          <w:spacing w:val="-4"/>
        </w:rPr>
        <w:t> </w:t>
      </w:r>
      <w:r>
        <w:rPr/>
        <w:t>ordered</w:t>
      </w:r>
      <w:r>
        <w:rPr>
          <w:spacing w:val="-4"/>
        </w:rPr>
        <w:t> </w:t>
      </w:r>
      <w:r>
        <w:rPr/>
        <w:t>rule</w:t>
      </w:r>
      <w:r>
        <w:rPr>
          <w:spacing w:val="-4"/>
        </w:rPr>
        <w:t> </w:t>
      </w:r>
      <w:r>
        <w:rPr/>
        <w:t>list: rules are</w:t>
      </w:r>
      <w:r>
        <w:rPr>
          <w:spacing w:val="-9"/>
        </w:rPr>
        <w:t> </w:t>
      </w:r>
      <w:r>
        <w:rPr/>
        <w:t>applied</w:t>
      </w:r>
      <w:r>
        <w:rPr>
          <w:spacing w:val="-9"/>
        </w:rPr>
        <w:t> </w:t>
      </w:r>
      <w:r>
        <w:rPr/>
        <w:t>in</w:t>
      </w:r>
      <w:r>
        <w:rPr>
          <w:spacing w:val="-9"/>
        </w:rPr>
        <w:t> </w:t>
      </w:r>
      <w:r>
        <w:rPr/>
        <w:t>the</w:t>
      </w:r>
      <w:r>
        <w:rPr>
          <w:spacing w:val="-9"/>
        </w:rPr>
        <w:t> </w:t>
      </w:r>
      <w:r>
        <w:rPr/>
        <w:t>order</w:t>
      </w:r>
      <w:r>
        <w:rPr>
          <w:spacing w:val="-9"/>
        </w:rPr>
        <w:t> </w:t>
      </w:r>
      <w:r>
        <w:rPr/>
        <w:t>they</w:t>
      </w:r>
      <w:r>
        <w:rPr>
          <w:spacing w:val="-9"/>
        </w:rPr>
        <w:t> </w:t>
      </w:r>
      <w:r>
        <w:rPr/>
        <w:t>were</w:t>
      </w:r>
      <w:r>
        <w:rPr>
          <w:spacing w:val="-9"/>
        </w:rPr>
        <w:t> </w:t>
      </w:r>
      <w:r>
        <w:rPr/>
        <w:t>learned,</w:t>
      </w:r>
      <w:r>
        <w:rPr>
          <w:spacing w:val="-9"/>
        </w:rPr>
        <w:t> </w:t>
      </w:r>
      <w:r>
        <w:rPr/>
        <w:t>and</w:t>
      </w:r>
      <w:r>
        <w:rPr>
          <w:spacing w:val="-9"/>
        </w:rPr>
        <w:t> </w:t>
      </w:r>
      <w:r>
        <w:rPr/>
        <w:t>the</w:t>
      </w:r>
      <w:r>
        <w:rPr>
          <w:spacing w:val="-9"/>
        </w:rPr>
        <w:t> </w:t>
      </w:r>
      <w:r>
        <w:rPr/>
        <w:t>first</w:t>
      </w:r>
      <w:r>
        <w:rPr>
          <w:spacing w:val="-9"/>
        </w:rPr>
        <w:t> </w:t>
      </w:r>
      <w:r>
        <w:rPr/>
        <w:t>rule</w:t>
      </w:r>
      <w:r>
        <w:rPr>
          <w:spacing w:val="-9"/>
        </w:rPr>
        <w:t> </w:t>
      </w:r>
      <w:r>
        <w:rPr/>
        <w:t>whose</w:t>
      </w:r>
      <w:r>
        <w:rPr>
          <w:spacing w:val="-9"/>
        </w:rPr>
        <w:t> </w:t>
      </w:r>
      <w:r>
        <w:rPr/>
        <w:t>conditions</w:t>
      </w:r>
      <w:r>
        <w:rPr>
          <w:spacing w:val="-9"/>
        </w:rPr>
        <w:t> </w:t>
      </w:r>
      <w:r>
        <w:rPr/>
        <w:t>are</w:t>
      </w:r>
      <w:r>
        <w:rPr>
          <w:spacing w:val="-9"/>
        </w:rPr>
        <w:t> </w:t>
      </w:r>
      <w:r>
        <w:rPr/>
        <w:t>satisfied</w:t>
      </w:r>
      <w:r>
        <w:rPr>
          <w:spacing w:val="-9"/>
        </w:rPr>
        <w:t> </w:t>
      </w:r>
      <w:r>
        <w:rPr/>
        <w:t>assigns the</w:t>
      </w:r>
      <w:r>
        <w:rPr>
          <w:spacing w:val="-9"/>
        </w:rPr>
        <w:t> </w:t>
      </w:r>
      <w:r>
        <w:rPr/>
        <w:t>class</w:t>
      </w:r>
      <w:r>
        <w:rPr>
          <w:spacing w:val="-9"/>
        </w:rPr>
        <w:t> </w:t>
      </w:r>
      <w:r>
        <w:rPr/>
        <w:t>for</w:t>
      </w:r>
      <w:r>
        <w:rPr>
          <w:spacing w:val="-9"/>
        </w:rPr>
        <w:t> </w:t>
      </w:r>
      <w:r>
        <w:rPr/>
        <w:t>a</w:t>
      </w:r>
      <w:r>
        <w:rPr>
          <w:spacing w:val="-9"/>
        </w:rPr>
        <w:t> </w:t>
      </w:r>
      <w:r>
        <w:rPr/>
        <w:t>given</w:t>
      </w:r>
      <w:r>
        <w:rPr>
          <w:spacing w:val="-9"/>
        </w:rPr>
        <w:t> </w:t>
      </w:r>
      <w:r>
        <w:rPr/>
        <w:t>observation. Any</w:t>
      </w:r>
      <w:r>
        <w:rPr>
          <w:spacing w:val="-9"/>
        </w:rPr>
        <w:t> </w:t>
      </w:r>
      <w:r>
        <w:rPr/>
        <w:t>observation</w:t>
      </w:r>
      <w:r>
        <w:rPr>
          <w:spacing w:val="-9"/>
        </w:rPr>
        <w:t> </w:t>
      </w:r>
      <w:r>
        <w:rPr/>
        <w:t>not</w:t>
      </w:r>
      <w:r>
        <w:rPr>
          <w:spacing w:val="-9"/>
        </w:rPr>
        <w:t> </w:t>
      </w:r>
      <w:r>
        <w:rPr/>
        <w:t>covered</w:t>
      </w:r>
      <w:r>
        <w:rPr>
          <w:spacing w:val="-9"/>
        </w:rPr>
        <w:t> </w:t>
      </w:r>
      <w:r>
        <w:rPr/>
        <w:t>by</w:t>
      </w:r>
      <w:r>
        <w:rPr>
          <w:spacing w:val="-9"/>
        </w:rPr>
        <w:t> </w:t>
      </w:r>
      <w:r>
        <w:rPr/>
        <w:t>any</w:t>
      </w:r>
      <w:r>
        <w:rPr>
          <w:spacing w:val="-9"/>
        </w:rPr>
        <w:t> </w:t>
      </w:r>
      <w:r>
        <w:rPr/>
        <w:t>explicit</w:t>
      </w:r>
      <w:r>
        <w:rPr>
          <w:spacing w:val="-9"/>
        </w:rPr>
        <w:t> </w:t>
      </w:r>
      <w:r>
        <w:rPr/>
        <w:t>rule</w:t>
      </w:r>
      <w:r>
        <w:rPr>
          <w:spacing w:val="-9"/>
        </w:rPr>
        <w:t> </w:t>
      </w:r>
      <w:r>
        <w:rPr/>
        <w:t>is</w:t>
      </w:r>
      <w:r>
        <w:rPr>
          <w:spacing w:val="-9"/>
        </w:rPr>
        <w:t> </w:t>
      </w:r>
      <w:r>
        <w:rPr/>
        <w:t>assigned</w:t>
      </w:r>
      <w:r>
        <w:rPr>
          <w:spacing w:val="-9"/>
        </w:rPr>
        <w:t> </w:t>
      </w:r>
      <w:r>
        <w:rPr/>
        <w:t>the default</w:t>
      </w:r>
      <w:r>
        <w:rPr>
          <w:spacing w:val="-10"/>
        </w:rPr>
        <w:t> </w:t>
      </w:r>
      <w:r>
        <w:rPr/>
        <w:t>class,</w:t>
      </w:r>
      <w:r>
        <w:rPr>
          <w:spacing w:val="-10"/>
        </w:rPr>
        <w:t> </w:t>
      </w:r>
      <w:r>
        <w:rPr/>
        <w:t>the</w:t>
      </w:r>
      <w:r>
        <w:rPr>
          <w:spacing w:val="-10"/>
        </w:rPr>
        <w:t> </w:t>
      </w:r>
      <w:r>
        <w:rPr/>
        <w:t>most</w:t>
      </w:r>
      <w:r>
        <w:rPr>
          <w:spacing w:val="-10"/>
        </w:rPr>
        <w:t> </w:t>
      </w:r>
      <w:r>
        <w:rPr/>
        <w:t>frequent</w:t>
      </w:r>
      <w:r>
        <w:rPr>
          <w:spacing w:val="-10"/>
        </w:rPr>
        <w:t> </w:t>
      </w:r>
      <w:r>
        <w:rPr/>
        <w:t>class</w:t>
      </w:r>
      <w:r>
        <w:rPr>
          <w:spacing w:val="-10"/>
        </w:rPr>
        <w:t> </w:t>
      </w:r>
      <w:r>
        <w:rPr/>
        <w:t>in</w:t>
      </w:r>
      <w:r>
        <w:rPr>
          <w:spacing w:val="-10"/>
        </w:rPr>
        <w:t> </w:t>
      </w:r>
      <w:r>
        <w:rPr/>
        <w:t>the</w:t>
      </w:r>
      <w:r>
        <w:rPr>
          <w:spacing w:val="-10"/>
        </w:rPr>
        <w:t> </w:t>
      </w:r>
      <w:r>
        <w:rPr/>
        <w:t>training</w:t>
      </w:r>
      <w:r>
        <w:rPr>
          <w:spacing w:val="-10"/>
        </w:rPr>
        <w:t> </w:t>
      </w:r>
      <w:r>
        <w:rPr/>
        <w:t>data. This</w:t>
      </w:r>
      <w:r>
        <w:rPr>
          <w:spacing w:val="-10"/>
        </w:rPr>
        <w:t> </w:t>
      </w:r>
      <w:r>
        <w:rPr/>
        <w:t>ordered,</w:t>
      </w:r>
      <w:r>
        <w:rPr>
          <w:spacing w:val="-10"/>
        </w:rPr>
        <w:t> </w:t>
      </w:r>
      <w:r>
        <w:rPr/>
        <w:t>default-inclusive</w:t>
      </w:r>
      <w:r>
        <w:rPr>
          <w:spacing w:val="-10"/>
        </w:rPr>
        <w:t> </w:t>
      </w:r>
      <w:r>
        <w:rPr/>
        <w:t>structure ensures</w:t>
      </w:r>
      <w:r>
        <w:rPr>
          <w:spacing w:val="-12"/>
        </w:rPr>
        <w:t> </w:t>
      </w:r>
      <w:r>
        <w:rPr/>
        <w:t>complete</w:t>
      </w:r>
      <w:r>
        <w:rPr>
          <w:spacing w:val="-12"/>
        </w:rPr>
        <w:t> </w:t>
      </w:r>
      <w:r>
        <w:rPr/>
        <w:t>coverage:</w:t>
      </w:r>
      <w:r>
        <w:rPr>
          <w:spacing w:val="-2"/>
        </w:rPr>
        <w:t> </w:t>
      </w:r>
      <w:r>
        <w:rPr/>
        <w:t>every</w:t>
      </w:r>
      <w:r>
        <w:rPr>
          <w:spacing w:val="-12"/>
        </w:rPr>
        <w:t> </w:t>
      </w:r>
      <w:r>
        <w:rPr/>
        <w:t>observation</w:t>
      </w:r>
      <w:r>
        <w:rPr>
          <w:spacing w:val="-12"/>
        </w:rPr>
        <w:t> </w:t>
      </w:r>
      <w:r>
        <w:rPr/>
        <w:t>receives</w:t>
      </w:r>
      <w:r>
        <w:rPr>
          <w:spacing w:val="-12"/>
        </w:rPr>
        <w:t> </w:t>
      </w:r>
      <w:r>
        <w:rPr/>
        <w:t>a</w:t>
      </w:r>
      <w:r>
        <w:rPr>
          <w:spacing w:val="-12"/>
        </w:rPr>
        <w:t> </w:t>
      </w:r>
      <w:r>
        <w:rPr/>
        <w:t>class</w:t>
      </w:r>
      <w:r>
        <w:rPr>
          <w:spacing w:val="-12"/>
        </w:rPr>
        <w:t> </w:t>
      </w:r>
      <w:r>
        <w:rPr/>
        <w:t>label.</w:t>
      </w:r>
      <w:r>
        <w:rPr>
          <w:spacing w:val="-2"/>
        </w:rPr>
        <w:t> </w:t>
      </w:r>
      <w:r>
        <w:rPr/>
        <w:t>In</w:t>
      </w:r>
      <w:r>
        <w:rPr>
          <w:spacing w:val="-12"/>
        </w:rPr>
        <w:t> </w:t>
      </w:r>
      <w:r>
        <w:rPr/>
        <w:t>this</w:t>
      </w:r>
      <w:r>
        <w:rPr>
          <w:spacing w:val="-12"/>
        </w:rPr>
        <w:t> </w:t>
      </w:r>
      <w:r>
        <w:rPr/>
        <w:t>thesis,</w:t>
      </w:r>
      <w:r>
        <w:rPr>
          <w:spacing w:val="-12"/>
        </w:rPr>
        <w:t> </w:t>
      </w:r>
      <w:r>
        <w:rPr/>
        <w:t>the</w:t>
      </w:r>
      <w:r>
        <w:rPr>
          <w:spacing w:val="-12"/>
        </w:rPr>
        <w:t> </w:t>
      </w:r>
      <w:r>
        <w:rPr/>
        <w:t>default</w:t>
      </w:r>
      <w:r>
        <w:rPr>
          <w:spacing w:val="-12"/>
        </w:rPr>
        <w:t> </w:t>
      </w:r>
      <w:r>
        <w:rPr/>
        <w:t>rule covered</w:t>
      </w:r>
      <w:r>
        <w:rPr>
          <w:spacing w:val="-9"/>
        </w:rPr>
        <w:t> </w:t>
      </w:r>
      <w:r>
        <w:rPr/>
        <w:t>the</w:t>
      </w:r>
      <w:r>
        <w:rPr>
          <w:spacing w:val="-9"/>
        </w:rPr>
        <w:t> </w:t>
      </w:r>
      <w:r>
        <w:rPr/>
        <w:t>majority</w:t>
      </w:r>
      <w:r>
        <w:rPr>
          <w:spacing w:val="-9"/>
        </w:rPr>
        <w:t> </w:t>
      </w:r>
      <w:r>
        <w:rPr/>
        <w:t>of</w:t>
      </w:r>
      <w:r>
        <w:rPr>
          <w:spacing w:val="-9"/>
        </w:rPr>
        <w:t> </w:t>
      </w:r>
      <w:r>
        <w:rPr/>
        <w:t>observations</w:t>
      </w:r>
      <w:r>
        <w:rPr>
          <w:spacing w:val="-9"/>
        </w:rPr>
        <w:t> </w:t>
      </w:r>
      <w:r>
        <w:rPr/>
        <w:t>(all</w:t>
      </w:r>
      <w:r>
        <w:rPr>
          <w:spacing w:val="-9"/>
        </w:rPr>
        <w:t> </w:t>
      </w:r>
      <w:r>
        <w:rPr/>
        <w:t>years</w:t>
      </w:r>
      <w:r>
        <w:rPr>
          <w:spacing w:val="-9"/>
        </w:rPr>
        <w:t> </w:t>
      </w:r>
      <w:r>
        <w:rPr/>
        <w:t>not</w:t>
      </w:r>
      <w:r>
        <w:rPr>
          <w:spacing w:val="-9"/>
        </w:rPr>
        <w:t> </w:t>
      </w:r>
      <w:r>
        <w:rPr/>
        <w:t>matching</w:t>
      </w:r>
      <w:r>
        <w:rPr>
          <w:spacing w:val="-9"/>
        </w:rPr>
        <w:t> </w:t>
      </w:r>
      <w:r>
        <w:rPr/>
        <w:t>explicit</w:t>
      </w:r>
      <w:r>
        <w:rPr>
          <w:spacing w:val="-9"/>
        </w:rPr>
        <w:t> </w:t>
      </w:r>
      <w:r>
        <w:rPr/>
        <w:t>climate</w:t>
      </w:r>
      <w:r>
        <w:rPr>
          <w:spacing w:val="-9"/>
        </w:rPr>
        <w:t> </w:t>
      </w:r>
      <w:r>
        <w:rPr/>
        <w:t>conditions),</w:t>
      </w:r>
      <w:r>
        <w:rPr>
          <w:spacing w:val="-9"/>
        </w:rPr>
        <w:t> </w:t>
      </w:r>
      <w:r>
        <w:rPr/>
        <w:t>limiting RIPPER’s ability to characterise positive (above-trend) production years in the Douro.</w:t>
      </w:r>
    </w:p>
    <w:p>
      <w:pPr>
        <w:pStyle w:val="BodyText"/>
        <w:spacing w:line="312" w:lineRule="auto" w:before="224"/>
        <w:ind w:left="701" w:right="982" w:firstLine="346"/>
        <w:jc w:val="both"/>
      </w:pPr>
      <w:r>
        <w:rPr>
          <w:b/>
        </w:rPr>
        <w:t>Why RIPPER struggles with small datasets.</w:t>
      </w:r>
      <w:r>
        <w:rPr>
          <w:b/>
          <w:spacing w:val="40"/>
        </w:rPr>
        <w:t> </w:t>
      </w:r>
      <w:r>
        <w:rPr/>
        <w:t>RIPPER was designed for large databases where</w:t>
      </w:r>
      <w:r>
        <w:rPr>
          <w:spacing w:val="-7"/>
        </w:rPr>
        <w:t> </w:t>
      </w:r>
      <w:r>
        <w:rPr/>
        <w:t>each</w:t>
      </w:r>
      <w:r>
        <w:rPr>
          <w:spacing w:val="-7"/>
        </w:rPr>
        <w:t> </w:t>
      </w:r>
      <w:r>
        <w:rPr/>
        <w:t>class</w:t>
      </w:r>
      <w:r>
        <w:rPr>
          <w:spacing w:val="-7"/>
        </w:rPr>
        <w:t> </w:t>
      </w:r>
      <w:r>
        <w:rPr/>
        <w:t>is</w:t>
      </w:r>
      <w:r>
        <w:rPr>
          <w:spacing w:val="-7"/>
        </w:rPr>
        <w:t> </w:t>
      </w:r>
      <w:r>
        <w:rPr/>
        <w:t>represented</w:t>
      </w:r>
      <w:r>
        <w:rPr>
          <w:spacing w:val="-7"/>
        </w:rPr>
        <w:t> </w:t>
      </w:r>
      <w:r>
        <w:rPr/>
        <w:t>by</w:t>
      </w:r>
      <w:r>
        <w:rPr>
          <w:spacing w:val="-7"/>
        </w:rPr>
        <w:t> </w:t>
      </w:r>
      <w:r>
        <w:rPr/>
        <w:t>thousands</w:t>
      </w:r>
      <w:r>
        <w:rPr>
          <w:spacing w:val="-7"/>
        </w:rPr>
        <w:t> </w:t>
      </w:r>
      <w:r>
        <w:rPr/>
        <w:t>of</w:t>
      </w:r>
      <w:r>
        <w:rPr>
          <w:spacing w:val="-7"/>
        </w:rPr>
        <w:t> </w:t>
      </w:r>
      <w:r>
        <w:rPr/>
        <w:t>examples. With</w:t>
      </w:r>
      <w:r>
        <w:rPr>
          <w:spacing w:val="-7"/>
        </w:rPr>
        <w:t> </w:t>
      </w:r>
      <w:r>
        <w:rPr/>
        <w:t>n</w:t>
      </w:r>
      <w:r>
        <w:rPr>
          <w:spacing w:val="-7"/>
        </w:rPr>
        <w:t> </w:t>
      </w:r>
      <w:r>
        <w:rPr/>
        <w:t>=</w:t>
      </w:r>
      <w:r>
        <w:rPr>
          <w:spacing w:val="-7"/>
        </w:rPr>
        <w:t> </w:t>
      </w:r>
      <w:r>
        <w:rPr/>
        <w:t>80–89</w:t>
      </w:r>
      <w:r>
        <w:rPr>
          <w:spacing w:val="-7"/>
        </w:rPr>
        <w:t> </w:t>
      </w:r>
      <w:r>
        <w:rPr/>
        <w:t>observations</w:t>
      </w:r>
      <w:r>
        <w:rPr>
          <w:spacing w:val="-7"/>
        </w:rPr>
        <w:t> </w:t>
      </w:r>
      <w:r>
        <w:rPr/>
        <w:t>split</w:t>
      </w:r>
      <w:r>
        <w:rPr>
          <w:spacing w:val="-7"/>
        </w:rPr>
        <w:t> </w:t>
      </w:r>
      <w:r>
        <w:rPr/>
        <w:t>into three classes of approximately 27–30 each, the per-class sample size is very small relative to the dimensionality</w:t>
      </w:r>
      <w:r>
        <w:rPr>
          <w:spacing w:val="-14"/>
        </w:rPr>
        <w:t> </w:t>
      </w:r>
      <w:r>
        <w:rPr/>
        <w:t>of</w:t>
      </w:r>
      <w:r>
        <w:rPr>
          <w:spacing w:val="-14"/>
        </w:rPr>
        <w:t> </w:t>
      </w:r>
      <w:r>
        <w:rPr/>
        <w:t>the</w:t>
      </w:r>
      <w:r>
        <w:rPr>
          <w:spacing w:val="-14"/>
        </w:rPr>
        <w:t> </w:t>
      </w:r>
      <w:r>
        <w:rPr/>
        <w:t>feature</w:t>
      </w:r>
      <w:r>
        <w:rPr>
          <w:spacing w:val="-13"/>
        </w:rPr>
        <w:t> </w:t>
      </w:r>
      <w:r>
        <w:rPr/>
        <w:t>space.</w:t>
      </w:r>
      <w:r>
        <w:rPr>
          <w:spacing w:val="-14"/>
        </w:rPr>
        <w:t> </w:t>
      </w:r>
      <w:r>
        <w:rPr/>
        <w:t>FOIL</w:t>
      </w:r>
      <w:r>
        <w:rPr>
          <w:spacing w:val="-14"/>
        </w:rPr>
        <w:t> </w:t>
      </w:r>
      <w:r>
        <w:rPr/>
        <w:t>gain</w:t>
      </w:r>
      <w:r>
        <w:rPr>
          <w:spacing w:val="-14"/>
        </w:rPr>
        <w:t> </w:t>
      </w:r>
      <w:r>
        <w:rPr/>
        <w:t>estimates</w:t>
      </w:r>
      <w:r>
        <w:rPr>
          <w:spacing w:val="-13"/>
        </w:rPr>
        <w:t> </w:t>
      </w:r>
      <w:r>
        <w:rPr/>
        <w:t>are</w:t>
      </w:r>
      <w:r>
        <w:rPr>
          <w:spacing w:val="-14"/>
        </w:rPr>
        <w:t> </w:t>
      </w:r>
      <w:r>
        <w:rPr/>
        <w:t>unreliable</w:t>
      </w:r>
      <w:r>
        <w:rPr>
          <w:spacing w:val="-14"/>
        </w:rPr>
        <w:t> </w:t>
      </w:r>
      <w:r>
        <w:rPr/>
        <w:t>on</w:t>
      </w:r>
      <w:r>
        <w:rPr>
          <w:spacing w:val="-14"/>
        </w:rPr>
        <w:t> </w:t>
      </w:r>
      <w:r>
        <w:rPr/>
        <w:t>such</w:t>
      </w:r>
      <w:r>
        <w:rPr>
          <w:spacing w:val="-13"/>
        </w:rPr>
        <w:t> </w:t>
      </w:r>
      <w:r>
        <w:rPr/>
        <w:t>small</w:t>
      </w:r>
      <w:r>
        <w:rPr>
          <w:spacing w:val="-14"/>
        </w:rPr>
        <w:t> </w:t>
      </w:r>
      <w:r>
        <w:rPr/>
        <w:t>samples,</w:t>
      </w:r>
      <w:r>
        <w:rPr>
          <w:spacing w:val="-14"/>
        </w:rPr>
        <w:t> </w:t>
      </w:r>
      <w:r>
        <w:rPr/>
        <w:t>and the MDL pruning criterion may be too aggressive or too permissive.</w:t>
      </w:r>
      <w:r>
        <w:rPr>
          <w:spacing w:val="37"/>
        </w:rPr>
        <w:t> </w:t>
      </w:r>
      <w:r>
        <w:rPr/>
        <w:t>The result is either overly specific</w:t>
      </w:r>
      <w:r>
        <w:rPr>
          <w:spacing w:val="-1"/>
        </w:rPr>
        <w:t> </w:t>
      </w:r>
      <w:r>
        <w:rPr/>
        <w:t>rules</w:t>
      </w:r>
      <w:r>
        <w:rPr>
          <w:spacing w:val="-1"/>
        </w:rPr>
        <w:t> </w:t>
      </w:r>
      <w:r>
        <w:rPr/>
        <w:t>(high</w:t>
      </w:r>
      <w:r>
        <w:rPr>
          <w:spacing w:val="-1"/>
        </w:rPr>
        <w:t> </w:t>
      </w:r>
      <w:r>
        <w:rPr/>
        <w:t>precision,</w:t>
      </w:r>
      <w:r>
        <w:rPr>
          <w:spacing w:val="-1"/>
        </w:rPr>
        <w:t> </w:t>
      </w:r>
      <w:r>
        <w:rPr/>
        <w:t>very</w:t>
      </w:r>
      <w:r>
        <w:rPr>
          <w:spacing w:val="-1"/>
        </w:rPr>
        <w:t> </w:t>
      </w:r>
      <w:r>
        <w:rPr/>
        <w:t>low</w:t>
      </w:r>
      <w:r>
        <w:rPr>
          <w:spacing w:val="-1"/>
        </w:rPr>
        <w:t> </w:t>
      </w:r>
      <w:r>
        <w:rPr/>
        <w:t>support)</w:t>
      </w:r>
      <w:r>
        <w:rPr>
          <w:spacing w:val="-1"/>
        </w:rPr>
        <w:t> </w:t>
      </w:r>
      <w:r>
        <w:rPr/>
        <w:t>or</w:t>
      </w:r>
      <w:r>
        <w:rPr>
          <w:spacing w:val="-1"/>
        </w:rPr>
        <w:t> </w:t>
      </w:r>
      <w:r>
        <w:rPr/>
        <w:t>a</w:t>
      </w:r>
      <w:r>
        <w:rPr>
          <w:spacing w:val="-1"/>
        </w:rPr>
        <w:t> </w:t>
      </w:r>
      <w:r>
        <w:rPr/>
        <w:t>near-trivial</w:t>
      </w:r>
      <w:r>
        <w:rPr>
          <w:spacing w:val="-1"/>
        </w:rPr>
        <w:t> </w:t>
      </w:r>
      <w:r>
        <w:rPr/>
        <w:t>rule</w:t>
      </w:r>
      <w:r>
        <w:rPr>
          <w:spacing w:val="-1"/>
        </w:rPr>
        <w:t> </w:t>
      </w:r>
      <w:r>
        <w:rPr/>
        <w:t>list</w:t>
      </w:r>
      <w:r>
        <w:rPr>
          <w:spacing w:val="-1"/>
        </w:rPr>
        <w:t> </w:t>
      </w:r>
      <w:r>
        <w:rPr/>
        <w:t>(one</w:t>
      </w:r>
      <w:r>
        <w:rPr>
          <w:spacing w:val="-1"/>
        </w:rPr>
        <w:t> </w:t>
      </w:r>
      <w:r>
        <w:rPr/>
        <w:t>or</w:t>
      </w:r>
      <w:r>
        <w:rPr>
          <w:spacing w:val="-1"/>
        </w:rPr>
        <w:t> </w:t>
      </w:r>
      <w:r>
        <w:rPr/>
        <w:t>two</w:t>
      </w:r>
      <w:r>
        <w:rPr>
          <w:spacing w:val="-1"/>
        </w:rPr>
        <w:t> </w:t>
      </w:r>
      <w:r>
        <w:rPr/>
        <w:t>rules</w:t>
      </w:r>
      <w:r>
        <w:rPr>
          <w:spacing w:val="-1"/>
        </w:rPr>
        <w:t> </w:t>
      </w:r>
      <w:r>
        <w:rPr/>
        <w:t>plus</w:t>
      </w:r>
      <w:r>
        <w:rPr>
          <w:spacing w:val="-1"/>
        </w:rPr>
        <w:t> </w:t>
      </w:r>
      <w:r>
        <w:rPr/>
        <w:t>a default) that captures only the most obvious patterns. Cross-validated accuracy of 35–42%, only slightly above the 33% random baseline, reflects this limitation directly.</w:t>
      </w:r>
    </w:p>
    <w:p>
      <w:pPr>
        <w:pStyle w:val="BodyText"/>
        <w:spacing w:after="0" w:line="312" w:lineRule="auto"/>
        <w:jc w:val="both"/>
        <w:sectPr>
          <w:type w:val="continuous"/>
          <w:pgSz w:w="11910" w:h="16840"/>
          <w:pgMar w:header="1160" w:footer="0" w:top="1120" w:bottom="280" w:left="1275" w:right="425"/>
        </w:sectPr>
      </w:pPr>
    </w:p>
    <w:p>
      <w:pPr>
        <w:pStyle w:val="BodyText"/>
        <w:spacing w:before="237"/>
        <w:rPr>
          <w:sz w:val="24"/>
        </w:rPr>
      </w:pPr>
    </w:p>
    <w:p>
      <w:pPr>
        <w:pStyle w:val="Heading3"/>
        <w:numPr>
          <w:ilvl w:val="2"/>
          <w:numId w:val="17"/>
        </w:numPr>
        <w:tabs>
          <w:tab w:pos="859" w:val="left" w:leader="none"/>
        </w:tabs>
        <w:spacing w:line="240" w:lineRule="auto" w:before="0" w:after="0"/>
        <w:ind w:left="859" w:right="0" w:hanging="717"/>
        <w:jc w:val="left"/>
      </w:pPr>
      <w:bookmarkStart w:name="3.4.3 M5Rules: Rule Induction with Linea" w:id="81"/>
      <w:bookmarkEnd w:id="81"/>
      <w:r>
        <w:rPr>
          <w:b w:val="0"/>
        </w:rPr>
      </w:r>
      <w:bookmarkStart w:name="_bookmark41" w:id="82"/>
      <w:bookmarkEnd w:id="82"/>
      <w:r>
        <w:rPr>
          <w:b w:val="0"/>
        </w:rPr>
      </w:r>
      <w:r>
        <w:rPr/>
        <w:t>M5Rules:</w:t>
      </w:r>
      <w:r>
        <w:rPr>
          <w:spacing w:val="3"/>
        </w:rPr>
        <w:t> </w:t>
      </w:r>
      <w:r>
        <w:rPr/>
        <w:t>Rule</w:t>
      </w:r>
      <w:r>
        <w:rPr>
          <w:spacing w:val="-9"/>
        </w:rPr>
        <w:t> </w:t>
      </w:r>
      <w:r>
        <w:rPr/>
        <w:t>Induction</w:t>
      </w:r>
      <w:r>
        <w:rPr>
          <w:spacing w:val="-10"/>
        </w:rPr>
        <w:t> </w:t>
      </w:r>
      <w:r>
        <w:rPr/>
        <w:t>with</w:t>
      </w:r>
      <w:r>
        <w:rPr>
          <w:spacing w:val="-9"/>
        </w:rPr>
        <w:t> </w:t>
      </w:r>
      <w:r>
        <w:rPr/>
        <w:t>Linear</w:t>
      </w:r>
      <w:r>
        <w:rPr>
          <w:spacing w:val="-10"/>
        </w:rPr>
        <w:t> </w:t>
      </w:r>
      <w:r>
        <w:rPr/>
        <w:t>Regression</w:t>
      </w:r>
      <w:r>
        <w:rPr>
          <w:spacing w:val="-9"/>
        </w:rPr>
        <w:t> </w:t>
      </w:r>
      <w:r>
        <w:rPr>
          <w:spacing w:val="-2"/>
        </w:rPr>
        <w:t>Consequents</w:t>
      </w:r>
    </w:p>
    <w:p>
      <w:pPr>
        <w:pStyle w:val="BodyText"/>
        <w:spacing w:line="312" w:lineRule="auto" w:before="221"/>
        <w:ind w:left="142" w:right="1549"/>
        <w:jc w:val="both"/>
      </w:pPr>
      <w:r>
        <w:rPr/>
        <w:t>M5Rules,</w:t>
      </w:r>
      <w:r>
        <w:rPr>
          <w:spacing w:val="-14"/>
        </w:rPr>
        <w:t> </w:t>
      </w:r>
      <w:r>
        <w:rPr/>
        <w:t>also</w:t>
      </w:r>
      <w:r>
        <w:rPr>
          <w:spacing w:val="-14"/>
        </w:rPr>
        <w:t> </w:t>
      </w:r>
      <w:r>
        <w:rPr/>
        <w:t>implemented</w:t>
      </w:r>
      <w:r>
        <w:rPr>
          <w:spacing w:val="-14"/>
        </w:rPr>
        <w:t> </w:t>
      </w:r>
      <w:r>
        <w:rPr/>
        <w:t>in</w:t>
      </w:r>
      <w:r>
        <w:rPr>
          <w:spacing w:val="-13"/>
        </w:rPr>
        <w:t> </w:t>
      </w:r>
      <w:r>
        <w:rPr/>
        <w:t>Weka,</w:t>
      </w:r>
      <w:r>
        <w:rPr>
          <w:spacing w:val="-14"/>
        </w:rPr>
        <w:t> </w:t>
      </w:r>
      <w:r>
        <w:rPr/>
        <w:t>is</w:t>
      </w:r>
      <w:r>
        <w:rPr>
          <w:spacing w:val="-14"/>
        </w:rPr>
        <w:t> </w:t>
      </w:r>
      <w:r>
        <w:rPr/>
        <w:t>a</w:t>
      </w:r>
      <w:r>
        <w:rPr>
          <w:spacing w:val="-14"/>
        </w:rPr>
        <w:t> </w:t>
      </w:r>
      <w:r>
        <w:rPr/>
        <w:t>piecewise</w:t>
      </w:r>
      <w:r>
        <w:rPr>
          <w:spacing w:val="-13"/>
        </w:rPr>
        <w:t> </w:t>
      </w:r>
      <w:r>
        <w:rPr/>
        <w:t>linear</w:t>
      </w:r>
      <w:r>
        <w:rPr>
          <w:spacing w:val="-14"/>
        </w:rPr>
        <w:t> </w:t>
      </w:r>
      <w:r>
        <w:rPr/>
        <w:t>regression</w:t>
      </w:r>
      <w:r>
        <w:rPr>
          <w:spacing w:val="-14"/>
        </w:rPr>
        <w:t> </w:t>
      </w:r>
      <w:r>
        <w:rPr/>
        <w:t>rule</w:t>
      </w:r>
      <w:r>
        <w:rPr>
          <w:spacing w:val="-14"/>
        </w:rPr>
        <w:t> </w:t>
      </w:r>
      <w:r>
        <w:rPr/>
        <w:t>learner</w:t>
      </w:r>
      <w:r>
        <w:rPr>
          <w:spacing w:val="-13"/>
        </w:rPr>
        <w:t> </w:t>
      </w:r>
      <w:r>
        <w:rPr/>
        <w:t>derived</w:t>
      </w:r>
      <w:r>
        <w:rPr>
          <w:spacing w:val="-14"/>
        </w:rPr>
        <w:t> </w:t>
      </w:r>
      <w:r>
        <w:rPr/>
        <w:t>from</w:t>
      </w:r>
      <w:r>
        <w:rPr>
          <w:spacing w:val="-14"/>
        </w:rPr>
        <w:t> </w:t>
      </w:r>
      <w:r>
        <w:rPr/>
        <w:t>the M5</w:t>
      </w:r>
      <w:r>
        <w:rPr>
          <w:spacing w:val="-1"/>
        </w:rPr>
        <w:t> </w:t>
      </w:r>
      <w:r>
        <w:rPr/>
        <w:t>model</w:t>
      </w:r>
      <w:r>
        <w:rPr>
          <w:spacing w:val="-1"/>
        </w:rPr>
        <w:t> </w:t>
      </w:r>
      <w:r>
        <w:rPr/>
        <w:t>tree</w:t>
      </w:r>
      <w:r>
        <w:rPr>
          <w:spacing w:val="-1"/>
        </w:rPr>
        <w:t> </w:t>
      </w:r>
      <w:r>
        <w:rPr/>
        <w:t>algorithm</w:t>
      </w:r>
      <w:r>
        <w:rPr>
          <w:spacing w:val="-1"/>
        </w:rPr>
        <w:t> </w:t>
      </w:r>
      <w:r>
        <w:rPr/>
        <w:t>(</w:t>
      </w:r>
      <w:hyperlink w:history="true" w:anchor="_bookmark228">
        <w:r>
          <w:rPr>
            <w:color w:val="8B2C18"/>
          </w:rPr>
          <w:t>Quinlan</w:t>
        </w:r>
        <w:r>
          <w:rPr>
            <w:color w:val="8B2C18"/>
            <w:spacing w:val="-1"/>
          </w:rPr>
          <w:t> </w:t>
        </w:r>
        <w:r>
          <w:rPr>
            <w:color w:val="8B2C18"/>
          </w:rPr>
          <w:t>and</w:t>
        </w:r>
        <w:r>
          <w:rPr>
            <w:color w:val="8B2C18"/>
            <w:spacing w:val="-1"/>
          </w:rPr>
          <w:t> </w:t>
        </w:r>
        <w:r>
          <w:rPr>
            <w:color w:val="8B2C18"/>
          </w:rPr>
          <w:t>R</w:t>
        </w:r>
      </w:hyperlink>
      <w:r>
        <w:rPr/>
        <w:t>,</w:t>
      </w:r>
      <w:r>
        <w:rPr>
          <w:spacing w:val="-1"/>
        </w:rPr>
        <w:t> </w:t>
      </w:r>
      <w:hyperlink w:history="true" w:anchor="_bookmark228">
        <w:r>
          <w:rPr>
            <w:color w:val="8B2C18"/>
          </w:rPr>
          <w:t>1992</w:t>
        </w:r>
      </w:hyperlink>
      <w:r>
        <w:rPr/>
        <w:t>;</w:t>
      </w:r>
      <w:r>
        <w:rPr>
          <w:spacing w:val="-1"/>
        </w:rPr>
        <w:t> </w:t>
      </w:r>
      <w:hyperlink w:history="true" w:anchor="_bookmark230">
        <w:r>
          <w:rPr>
            <w:color w:val="8B2C18"/>
          </w:rPr>
          <w:t>Wang</w:t>
        </w:r>
        <w:r>
          <w:rPr>
            <w:color w:val="8B2C18"/>
            <w:spacing w:val="-1"/>
          </w:rPr>
          <w:t> </w:t>
        </w:r>
        <w:r>
          <w:rPr>
            <w:color w:val="8B2C18"/>
          </w:rPr>
          <w:t>et</w:t>
        </w:r>
        <w:r>
          <w:rPr>
            <w:color w:val="8B2C18"/>
            <w:spacing w:val="-1"/>
          </w:rPr>
          <w:t> </w:t>
        </w:r>
        <w:r>
          <w:rPr>
            <w:color w:val="8B2C18"/>
          </w:rPr>
          <w:t>al.</w:t>
        </w:r>
      </w:hyperlink>
      <w:r>
        <w:rPr/>
        <w:t>,</w:t>
      </w:r>
      <w:r>
        <w:rPr>
          <w:spacing w:val="-1"/>
        </w:rPr>
        <w:t> </w:t>
      </w:r>
      <w:hyperlink w:history="true" w:anchor="_bookmark230">
        <w:r>
          <w:rPr>
            <w:color w:val="8B2C18"/>
          </w:rPr>
          <w:t>1997</w:t>
        </w:r>
      </w:hyperlink>
      <w:r>
        <w:rPr/>
        <w:t>). Instead</w:t>
      </w:r>
      <w:r>
        <w:rPr>
          <w:spacing w:val="-1"/>
        </w:rPr>
        <w:t> </w:t>
      </w:r>
      <w:r>
        <w:rPr/>
        <w:t>of</w:t>
      </w:r>
      <w:r>
        <w:rPr>
          <w:spacing w:val="-1"/>
        </w:rPr>
        <w:t> </w:t>
      </w:r>
      <w:r>
        <w:rPr/>
        <w:t>predicting</w:t>
      </w:r>
      <w:r>
        <w:rPr>
          <w:spacing w:val="-1"/>
        </w:rPr>
        <w:t> </w:t>
      </w:r>
      <w:r>
        <w:rPr/>
        <w:t>a</w:t>
      </w:r>
      <w:r>
        <w:rPr>
          <w:spacing w:val="-1"/>
        </w:rPr>
        <w:t> </w:t>
      </w:r>
      <w:r>
        <w:rPr/>
        <w:t>class label</w:t>
      </w:r>
      <w:r>
        <w:rPr>
          <w:spacing w:val="-4"/>
        </w:rPr>
        <w:t> </w:t>
      </w:r>
      <w:r>
        <w:rPr/>
        <w:t>or</w:t>
      </w:r>
      <w:r>
        <w:rPr>
          <w:spacing w:val="-4"/>
        </w:rPr>
        <w:t> </w:t>
      </w:r>
      <w:r>
        <w:rPr/>
        <w:t>a</w:t>
      </w:r>
      <w:r>
        <w:rPr>
          <w:spacing w:val="-4"/>
        </w:rPr>
        <w:t> </w:t>
      </w:r>
      <w:r>
        <w:rPr/>
        <w:t>distributional</w:t>
      </w:r>
      <w:r>
        <w:rPr>
          <w:spacing w:val="-5"/>
        </w:rPr>
        <w:t> </w:t>
      </w:r>
      <w:r>
        <w:rPr/>
        <w:t>shift,</w:t>
      </w:r>
      <w:r>
        <w:rPr>
          <w:spacing w:val="-4"/>
        </w:rPr>
        <w:t> </w:t>
      </w:r>
      <w:r>
        <w:rPr/>
        <w:t>M5Rules</w:t>
      </w:r>
      <w:r>
        <w:rPr>
          <w:spacing w:val="-4"/>
        </w:rPr>
        <w:t> </w:t>
      </w:r>
      <w:r>
        <w:rPr/>
        <w:t>predicts</w:t>
      </w:r>
      <w:r>
        <w:rPr>
          <w:spacing w:val="-4"/>
        </w:rPr>
        <w:t> </w:t>
      </w:r>
      <w:r>
        <w:rPr/>
        <w:t>an</w:t>
      </w:r>
      <w:r>
        <w:rPr>
          <w:spacing w:val="-4"/>
        </w:rPr>
        <w:t> </w:t>
      </w:r>
      <w:r>
        <w:rPr/>
        <w:t>exact</w:t>
      </w:r>
      <w:r>
        <w:rPr>
          <w:spacing w:val="-4"/>
        </w:rPr>
        <w:t> </w:t>
      </w:r>
      <w:r>
        <w:rPr/>
        <w:t>numerical</w:t>
      </w:r>
      <w:r>
        <w:rPr>
          <w:spacing w:val="-4"/>
        </w:rPr>
        <w:t> </w:t>
      </w:r>
      <w:r>
        <w:rPr/>
        <w:t>value</w:t>
      </w:r>
      <w:r>
        <w:rPr>
          <w:spacing w:val="-5"/>
        </w:rPr>
        <w:t> </w:t>
      </w:r>
      <w:r>
        <w:rPr/>
        <w:t>for</w:t>
      </w:r>
      <w:r>
        <w:rPr>
          <w:spacing w:val="-4"/>
        </w:rPr>
        <w:t> </w:t>
      </w:r>
      <w:r>
        <w:rPr/>
        <w:t>each</w:t>
      </w:r>
      <w:r>
        <w:rPr>
          <w:spacing w:val="-4"/>
        </w:rPr>
        <w:t> </w:t>
      </w:r>
      <w:r>
        <w:rPr/>
        <w:t>observation</w:t>
      </w:r>
      <w:r>
        <w:rPr>
          <w:spacing w:val="-5"/>
        </w:rPr>
        <w:t> </w:t>
      </w:r>
      <w:r>
        <w:rPr/>
        <w:t>by applying</w:t>
      </w:r>
      <w:r>
        <w:rPr>
          <w:spacing w:val="-14"/>
        </w:rPr>
        <w:t> </w:t>
      </w:r>
      <w:r>
        <w:rPr/>
        <w:t>a</w:t>
      </w:r>
      <w:r>
        <w:rPr>
          <w:spacing w:val="-14"/>
        </w:rPr>
        <w:t> </w:t>
      </w:r>
      <w:r>
        <w:rPr/>
        <w:t>linear</w:t>
      </w:r>
      <w:r>
        <w:rPr>
          <w:spacing w:val="-14"/>
        </w:rPr>
        <w:t> </w:t>
      </w:r>
      <w:r>
        <w:rPr/>
        <w:t>regression</w:t>
      </w:r>
      <w:r>
        <w:rPr>
          <w:spacing w:val="-13"/>
        </w:rPr>
        <w:t> </w:t>
      </w:r>
      <w:r>
        <w:rPr/>
        <w:t>model</w:t>
      </w:r>
      <w:r>
        <w:rPr>
          <w:spacing w:val="-14"/>
        </w:rPr>
        <w:t> </w:t>
      </w:r>
      <w:r>
        <w:rPr/>
        <w:t>whose</w:t>
      </w:r>
      <w:r>
        <w:rPr>
          <w:spacing w:val="-14"/>
        </w:rPr>
        <w:t> </w:t>
      </w:r>
      <w:r>
        <w:rPr/>
        <w:t>coefficients</w:t>
      </w:r>
      <w:r>
        <w:rPr>
          <w:spacing w:val="-14"/>
        </w:rPr>
        <w:t> </w:t>
      </w:r>
      <w:r>
        <w:rPr/>
        <w:t>depend</w:t>
      </w:r>
      <w:r>
        <w:rPr>
          <w:spacing w:val="-13"/>
        </w:rPr>
        <w:t> </w:t>
      </w:r>
      <w:r>
        <w:rPr/>
        <w:t>on</w:t>
      </w:r>
      <w:r>
        <w:rPr>
          <w:spacing w:val="-14"/>
        </w:rPr>
        <w:t> </w:t>
      </w:r>
      <w:r>
        <w:rPr/>
        <w:t>which</w:t>
      </w:r>
      <w:r>
        <w:rPr>
          <w:spacing w:val="-14"/>
        </w:rPr>
        <w:t> </w:t>
      </w:r>
      <w:r>
        <w:rPr/>
        <w:t>region</w:t>
      </w:r>
      <w:r>
        <w:rPr>
          <w:spacing w:val="-14"/>
        </w:rPr>
        <w:t> </w:t>
      </w:r>
      <w:r>
        <w:rPr/>
        <w:t>of</w:t>
      </w:r>
      <w:r>
        <w:rPr>
          <w:spacing w:val="-13"/>
        </w:rPr>
        <w:t> </w:t>
      </w:r>
      <w:r>
        <w:rPr/>
        <w:t>feature</w:t>
      </w:r>
      <w:r>
        <w:rPr>
          <w:spacing w:val="-14"/>
        </w:rPr>
        <w:t> </w:t>
      </w:r>
      <w:r>
        <w:rPr/>
        <w:t>space</w:t>
      </w:r>
      <w:r>
        <w:rPr>
          <w:spacing w:val="-14"/>
        </w:rPr>
        <w:t> </w:t>
      </w:r>
      <w:r>
        <w:rPr/>
        <w:t>the observation falls in. This makes M5Rules the only algorithm in this study that produces a direct </w:t>
      </w:r>
      <w:r>
        <w:rPr>
          <w:spacing w:val="-2"/>
        </w:rPr>
        <w:t>point</w:t>
      </w:r>
      <w:r>
        <w:rPr>
          <w:spacing w:val="-9"/>
        </w:rPr>
        <w:t> </w:t>
      </w:r>
      <w:r>
        <w:rPr>
          <w:spacing w:val="-2"/>
        </w:rPr>
        <w:t>estimate</w:t>
      </w:r>
      <w:r>
        <w:rPr>
          <w:spacing w:val="-9"/>
        </w:rPr>
        <w:t> </w:t>
      </w:r>
      <w:r>
        <w:rPr>
          <w:spacing w:val="-2"/>
        </w:rPr>
        <w:t>of</w:t>
      </w:r>
      <w:r>
        <w:rPr>
          <w:spacing w:val="-9"/>
        </w:rPr>
        <w:t> </w:t>
      </w:r>
      <w:r>
        <w:rPr>
          <w:spacing w:val="-2"/>
        </w:rPr>
        <w:t>the</w:t>
      </w:r>
      <w:r>
        <w:rPr>
          <w:spacing w:val="-9"/>
        </w:rPr>
        <w:t> </w:t>
      </w:r>
      <w:r>
        <w:rPr>
          <w:spacing w:val="-2"/>
        </w:rPr>
        <w:t>production</w:t>
      </w:r>
      <w:r>
        <w:rPr>
          <w:spacing w:val="-9"/>
        </w:rPr>
        <w:t> </w:t>
      </w:r>
      <w:r>
        <w:rPr>
          <w:spacing w:val="-2"/>
        </w:rPr>
        <w:t>residual,</w:t>
      </w:r>
      <w:r>
        <w:rPr>
          <w:spacing w:val="-8"/>
        </w:rPr>
        <w:t> </w:t>
      </w:r>
      <w:r>
        <w:rPr>
          <w:spacing w:val="-2"/>
        </w:rPr>
        <w:t>making</w:t>
      </w:r>
      <w:r>
        <w:rPr>
          <w:spacing w:val="-9"/>
        </w:rPr>
        <w:t> </w:t>
      </w:r>
      <w:r>
        <w:rPr>
          <w:spacing w:val="-2"/>
        </w:rPr>
        <w:t>it</w:t>
      </w:r>
      <w:r>
        <w:rPr>
          <w:spacing w:val="-9"/>
        </w:rPr>
        <w:t> </w:t>
      </w:r>
      <w:r>
        <w:rPr>
          <w:spacing w:val="-2"/>
        </w:rPr>
        <w:t>directly</w:t>
      </w:r>
      <w:r>
        <w:rPr>
          <w:spacing w:val="-9"/>
        </w:rPr>
        <w:t> </w:t>
      </w:r>
      <w:r>
        <w:rPr>
          <w:spacing w:val="-2"/>
        </w:rPr>
        <w:t>comparable</w:t>
      </w:r>
      <w:r>
        <w:rPr>
          <w:spacing w:val="-9"/>
        </w:rPr>
        <w:t> </w:t>
      </w:r>
      <w:r>
        <w:rPr>
          <w:spacing w:val="-2"/>
        </w:rPr>
        <w:t>to</w:t>
      </w:r>
      <w:r>
        <w:rPr>
          <w:spacing w:val="-9"/>
        </w:rPr>
        <w:t> </w:t>
      </w:r>
      <w:r>
        <w:rPr>
          <w:spacing w:val="-2"/>
        </w:rPr>
        <w:t>the</w:t>
      </w:r>
      <w:r>
        <w:rPr>
          <w:spacing w:val="-9"/>
        </w:rPr>
        <w:t> </w:t>
      </w:r>
      <w:r>
        <w:rPr>
          <w:spacing w:val="-2"/>
        </w:rPr>
        <w:t>naive</w:t>
      </w:r>
      <w:r>
        <w:rPr>
          <w:spacing w:val="-9"/>
        </w:rPr>
        <w:t> </w:t>
      </w:r>
      <w:r>
        <w:rPr>
          <w:spacing w:val="-2"/>
        </w:rPr>
        <w:t>baseline</w:t>
      </w:r>
      <w:r>
        <w:rPr>
          <w:spacing w:val="-9"/>
        </w:rPr>
        <w:t> </w:t>
      </w:r>
      <w:r>
        <w:rPr>
          <w:spacing w:val="-2"/>
        </w:rPr>
        <w:t>and</w:t>
      </w:r>
      <w:r>
        <w:rPr>
          <w:spacing w:val="-9"/>
        </w:rPr>
        <w:t> </w:t>
      </w:r>
      <w:r>
        <w:rPr>
          <w:spacing w:val="-2"/>
        </w:rPr>
        <w:t>to </w:t>
      </w:r>
      <w:r>
        <w:rPr/>
        <w:t>CarenR’s subgroup-median prediction.</w:t>
      </w:r>
    </w:p>
    <w:p>
      <w:pPr>
        <w:pStyle w:val="BodyText"/>
        <w:spacing w:line="312" w:lineRule="auto"/>
        <w:ind w:left="142" w:right="1557" w:firstLine="338"/>
        <w:jc w:val="both"/>
      </w:pPr>
      <w:r>
        <w:rPr>
          <w:b/>
        </w:rPr>
        <w:t>Model tree construction.</w:t>
      </w:r>
      <w:r>
        <w:rPr>
          <w:b/>
          <w:spacing w:val="35"/>
        </w:rPr>
        <w:t> </w:t>
      </w:r>
      <w:r>
        <w:rPr/>
        <w:t>M5Rules begins by constructing a regression model tree using a top-down</w:t>
      </w:r>
      <w:r>
        <w:rPr>
          <w:spacing w:val="-3"/>
        </w:rPr>
        <w:t> </w:t>
      </w:r>
      <w:r>
        <w:rPr/>
        <w:t>recursive</w:t>
      </w:r>
      <w:r>
        <w:rPr>
          <w:spacing w:val="-3"/>
        </w:rPr>
        <w:t> </w:t>
      </w:r>
      <w:r>
        <w:rPr/>
        <w:t>partitioning</w:t>
      </w:r>
      <w:r>
        <w:rPr>
          <w:spacing w:val="-3"/>
        </w:rPr>
        <w:t> </w:t>
      </w:r>
      <w:r>
        <w:rPr/>
        <w:t>procedure. At</w:t>
      </w:r>
      <w:r>
        <w:rPr>
          <w:spacing w:val="-3"/>
        </w:rPr>
        <w:t> </w:t>
      </w:r>
      <w:r>
        <w:rPr/>
        <w:t>each</w:t>
      </w:r>
      <w:r>
        <w:rPr>
          <w:spacing w:val="-3"/>
        </w:rPr>
        <w:t> </w:t>
      </w:r>
      <w:r>
        <w:rPr/>
        <w:t>node</w:t>
      </w:r>
      <w:r>
        <w:rPr>
          <w:spacing w:val="-3"/>
        </w:rPr>
        <w:t> </w:t>
      </w:r>
      <w:r>
        <w:rPr/>
        <w:t>of</w:t>
      </w:r>
      <w:r>
        <w:rPr>
          <w:spacing w:val="-3"/>
        </w:rPr>
        <w:t> </w:t>
      </w:r>
      <w:r>
        <w:rPr/>
        <w:t>the</w:t>
      </w:r>
      <w:r>
        <w:rPr>
          <w:spacing w:val="-3"/>
        </w:rPr>
        <w:t> </w:t>
      </w:r>
      <w:r>
        <w:rPr/>
        <w:t>tree,</w:t>
      </w:r>
      <w:r>
        <w:rPr>
          <w:spacing w:val="-3"/>
        </w:rPr>
        <w:t> </w:t>
      </w:r>
      <w:r>
        <w:rPr/>
        <w:t>M5Rules</w:t>
      </w:r>
      <w:r>
        <w:rPr>
          <w:spacing w:val="-3"/>
        </w:rPr>
        <w:t> </w:t>
      </w:r>
      <w:r>
        <w:rPr/>
        <w:t>selects</w:t>
      </w:r>
      <w:r>
        <w:rPr>
          <w:spacing w:val="-3"/>
        </w:rPr>
        <w:t> </w:t>
      </w:r>
      <w:r>
        <w:rPr/>
        <w:t>the</w:t>
      </w:r>
      <w:r>
        <w:rPr>
          <w:spacing w:val="-3"/>
        </w:rPr>
        <w:t> </w:t>
      </w:r>
      <w:r>
        <w:rPr/>
        <w:t>feature </w:t>
      </w:r>
      <w:r>
        <w:rPr>
          <w:spacing w:val="-2"/>
        </w:rPr>
        <w:t>and</w:t>
      </w:r>
      <w:r>
        <w:rPr>
          <w:spacing w:val="-12"/>
        </w:rPr>
        <w:t> </w:t>
      </w:r>
      <w:r>
        <w:rPr>
          <w:spacing w:val="-2"/>
        </w:rPr>
        <w:t>split</w:t>
      </w:r>
      <w:r>
        <w:rPr>
          <w:spacing w:val="-12"/>
        </w:rPr>
        <w:t> </w:t>
      </w:r>
      <w:r>
        <w:rPr>
          <w:spacing w:val="-2"/>
        </w:rPr>
        <w:t>threshold</w:t>
      </w:r>
      <w:r>
        <w:rPr>
          <w:spacing w:val="-12"/>
        </w:rPr>
        <w:t> </w:t>
      </w:r>
      <w:r>
        <w:rPr>
          <w:spacing w:val="-2"/>
        </w:rPr>
        <w:t>that</w:t>
      </w:r>
      <w:r>
        <w:rPr>
          <w:spacing w:val="-11"/>
        </w:rPr>
        <w:t> </w:t>
      </w:r>
      <w:r>
        <w:rPr>
          <w:spacing w:val="-2"/>
        </w:rPr>
        <w:t>maximise</w:t>
      </w:r>
      <w:r>
        <w:rPr>
          <w:spacing w:val="-12"/>
        </w:rPr>
        <w:t> </w:t>
      </w:r>
      <w:r>
        <w:rPr>
          <w:spacing w:val="-2"/>
        </w:rPr>
        <w:t>the</w:t>
      </w:r>
      <w:r>
        <w:rPr>
          <w:spacing w:val="-12"/>
        </w:rPr>
        <w:t> </w:t>
      </w:r>
      <w:r>
        <w:rPr>
          <w:spacing w:val="-2"/>
        </w:rPr>
        <w:t>reduction</w:t>
      </w:r>
      <w:r>
        <w:rPr>
          <w:spacing w:val="-12"/>
        </w:rPr>
        <w:t> </w:t>
      </w:r>
      <w:r>
        <w:rPr>
          <w:spacing w:val="-2"/>
        </w:rPr>
        <w:t>in</w:t>
      </w:r>
      <w:r>
        <w:rPr>
          <w:spacing w:val="-11"/>
        </w:rPr>
        <w:t> </w:t>
      </w:r>
      <w:r>
        <w:rPr>
          <w:spacing w:val="-2"/>
        </w:rPr>
        <w:t>standard</w:t>
      </w:r>
      <w:r>
        <w:rPr>
          <w:spacing w:val="-12"/>
        </w:rPr>
        <w:t> </w:t>
      </w:r>
      <w:r>
        <w:rPr>
          <w:spacing w:val="-2"/>
        </w:rPr>
        <w:t>deviation</w:t>
      </w:r>
      <w:r>
        <w:rPr>
          <w:spacing w:val="-12"/>
        </w:rPr>
        <w:t> </w:t>
      </w:r>
      <w:r>
        <w:rPr>
          <w:spacing w:val="-2"/>
        </w:rPr>
        <w:t>of</w:t>
      </w:r>
      <w:r>
        <w:rPr>
          <w:spacing w:val="-12"/>
        </w:rPr>
        <w:t> </w:t>
      </w:r>
      <w:r>
        <w:rPr>
          <w:spacing w:val="-2"/>
        </w:rPr>
        <w:t>the</w:t>
      </w:r>
      <w:r>
        <w:rPr>
          <w:spacing w:val="-11"/>
        </w:rPr>
        <w:t> </w:t>
      </w:r>
      <w:r>
        <w:rPr>
          <w:spacing w:val="-2"/>
        </w:rPr>
        <w:t>target</w:t>
      </w:r>
      <w:r>
        <w:rPr>
          <w:spacing w:val="-12"/>
        </w:rPr>
        <w:t> </w:t>
      </w:r>
      <w:r>
        <w:rPr>
          <w:spacing w:val="-2"/>
        </w:rPr>
        <w:t>variable</w:t>
      </w:r>
      <w:r>
        <w:rPr>
          <w:spacing w:val="-12"/>
        </w:rPr>
        <w:t> </w:t>
      </w:r>
      <w:r>
        <w:rPr>
          <w:spacing w:val="-2"/>
        </w:rPr>
        <w:t>across</w:t>
      </w:r>
      <w:r>
        <w:rPr>
          <w:spacing w:val="-12"/>
        </w:rPr>
        <w:t> </w:t>
      </w:r>
      <w:r>
        <w:rPr>
          <w:spacing w:val="-2"/>
        </w:rPr>
        <w:t>the two</w:t>
      </w:r>
      <w:r>
        <w:rPr>
          <w:spacing w:val="-7"/>
        </w:rPr>
        <w:t> </w:t>
      </w:r>
      <w:r>
        <w:rPr>
          <w:spacing w:val="-2"/>
        </w:rPr>
        <w:t>resulting</w:t>
      </w:r>
      <w:r>
        <w:rPr>
          <w:spacing w:val="-7"/>
        </w:rPr>
        <w:t> </w:t>
      </w:r>
      <w:r>
        <w:rPr>
          <w:spacing w:val="-2"/>
        </w:rPr>
        <w:t>child</w:t>
      </w:r>
      <w:r>
        <w:rPr>
          <w:spacing w:val="-7"/>
        </w:rPr>
        <w:t> </w:t>
      </w:r>
      <w:r>
        <w:rPr>
          <w:spacing w:val="-2"/>
        </w:rPr>
        <w:t>nodes,</w:t>
      </w:r>
      <w:r>
        <w:rPr>
          <w:spacing w:val="-7"/>
        </w:rPr>
        <w:t> </w:t>
      </w:r>
      <w:r>
        <w:rPr>
          <w:spacing w:val="-2"/>
        </w:rPr>
        <w:t>analogous</w:t>
      </w:r>
      <w:r>
        <w:rPr>
          <w:spacing w:val="-7"/>
        </w:rPr>
        <w:t> </w:t>
      </w:r>
      <w:r>
        <w:rPr>
          <w:spacing w:val="-2"/>
        </w:rPr>
        <w:t>to</w:t>
      </w:r>
      <w:r>
        <w:rPr>
          <w:spacing w:val="-7"/>
        </w:rPr>
        <w:t> </w:t>
      </w:r>
      <w:r>
        <w:rPr>
          <w:spacing w:val="-2"/>
        </w:rPr>
        <w:t>the</w:t>
      </w:r>
      <w:r>
        <w:rPr>
          <w:spacing w:val="-7"/>
        </w:rPr>
        <w:t> </w:t>
      </w:r>
      <w:r>
        <w:rPr>
          <w:spacing w:val="-2"/>
        </w:rPr>
        <w:t>variance</w:t>
      </w:r>
      <w:r>
        <w:rPr>
          <w:spacing w:val="-7"/>
        </w:rPr>
        <w:t> </w:t>
      </w:r>
      <w:r>
        <w:rPr>
          <w:spacing w:val="-2"/>
        </w:rPr>
        <w:t>reduction</w:t>
      </w:r>
      <w:r>
        <w:rPr>
          <w:spacing w:val="-7"/>
        </w:rPr>
        <w:t> </w:t>
      </w:r>
      <w:r>
        <w:rPr>
          <w:spacing w:val="-2"/>
        </w:rPr>
        <w:t>criterion</w:t>
      </w:r>
      <w:r>
        <w:rPr>
          <w:spacing w:val="-7"/>
        </w:rPr>
        <w:t> </w:t>
      </w:r>
      <w:r>
        <w:rPr>
          <w:spacing w:val="-2"/>
        </w:rPr>
        <w:t>used</w:t>
      </w:r>
      <w:r>
        <w:rPr>
          <w:spacing w:val="-7"/>
        </w:rPr>
        <w:t> </w:t>
      </w:r>
      <w:r>
        <w:rPr>
          <w:spacing w:val="-2"/>
        </w:rPr>
        <w:t>by</w:t>
      </w:r>
      <w:r>
        <w:rPr>
          <w:spacing w:val="-7"/>
        </w:rPr>
        <w:t> </w:t>
      </w:r>
      <w:r>
        <w:rPr>
          <w:spacing w:val="-2"/>
        </w:rPr>
        <w:t>CART,</w:t>
      </w:r>
      <w:r>
        <w:rPr>
          <w:spacing w:val="-7"/>
        </w:rPr>
        <w:t> </w:t>
      </w:r>
      <w:r>
        <w:rPr>
          <w:spacing w:val="-2"/>
        </w:rPr>
        <w:t>but</w:t>
      </w:r>
      <w:r>
        <w:rPr>
          <w:spacing w:val="-7"/>
        </w:rPr>
        <w:t> </w:t>
      </w:r>
      <w:r>
        <w:rPr>
          <w:spacing w:val="-2"/>
        </w:rPr>
        <w:t>applied </w:t>
      </w:r>
      <w:r>
        <w:rPr/>
        <w:t>to a regression setting.</w:t>
      </w:r>
      <w:r>
        <w:rPr>
          <w:spacing w:val="40"/>
        </w:rPr>
        <w:t> </w:t>
      </w:r>
      <w:r>
        <w:rPr/>
        <w:t>This process continues recursively until each leaf contains a minimum number</w:t>
      </w:r>
      <w:r>
        <w:rPr>
          <w:spacing w:val="-5"/>
        </w:rPr>
        <w:t> </w:t>
      </w:r>
      <w:r>
        <w:rPr/>
        <w:t>of</w:t>
      </w:r>
      <w:r>
        <w:rPr>
          <w:spacing w:val="-5"/>
        </w:rPr>
        <w:t> </w:t>
      </w:r>
      <w:r>
        <w:rPr/>
        <w:t>observations</w:t>
      </w:r>
      <w:r>
        <w:rPr>
          <w:spacing w:val="-5"/>
        </w:rPr>
        <w:t> </w:t>
      </w:r>
      <w:r>
        <w:rPr/>
        <w:t>(default: 4</w:t>
      </w:r>
      <w:r>
        <w:rPr>
          <w:spacing w:val="-5"/>
        </w:rPr>
        <w:t> </w:t>
      </w:r>
      <w:r>
        <w:rPr/>
        <w:t>in</w:t>
      </w:r>
      <w:r>
        <w:rPr>
          <w:spacing w:val="-5"/>
        </w:rPr>
        <w:t> </w:t>
      </w:r>
      <w:r>
        <w:rPr/>
        <w:t>Weka). The</w:t>
      </w:r>
      <w:r>
        <w:rPr>
          <w:spacing w:val="-5"/>
        </w:rPr>
        <w:t> </w:t>
      </w:r>
      <w:r>
        <w:rPr/>
        <w:t>result</w:t>
      </w:r>
      <w:r>
        <w:rPr>
          <w:spacing w:val="-5"/>
        </w:rPr>
        <w:t> </w:t>
      </w:r>
      <w:r>
        <w:rPr/>
        <w:t>is</w:t>
      </w:r>
      <w:r>
        <w:rPr>
          <w:spacing w:val="-5"/>
        </w:rPr>
        <w:t> </w:t>
      </w:r>
      <w:r>
        <w:rPr/>
        <w:t>a</w:t>
      </w:r>
      <w:r>
        <w:rPr>
          <w:spacing w:val="-5"/>
        </w:rPr>
        <w:t> </w:t>
      </w:r>
      <w:r>
        <w:rPr/>
        <w:t>binary</w:t>
      </w:r>
      <w:r>
        <w:rPr>
          <w:spacing w:val="-5"/>
        </w:rPr>
        <w:t> </w:t>
      </w:r>
      <w:r>
        <w:rPr/>
        <w:t>tree</w:t>
      </w:r>
      <w:r>
        <w:rPr>
          <w:spacing w:val="-5"/>
        </w:rPr>
        <w:t> </w:t>
      </w:r>
      <w:r>
        <w:rPr/>
        <w:t>that</w:t>
      </w:r>
      <w:r>
        <w:rPr>
          <w:spacing w:val="-5"/>
        </w:rPr>
        <w:t> </w:t>
      </w:r>
      <w:r>
        <w:rPr/>
        <w:t>partitions</w:t>
      </w:r>
      <w:r>
        <w:rPr>
          <w:spacing w:val="-5"/>
        </w:rPr>
        <w:t> </w:t>
      </w:r>
      <w:r>
        <w:rPr/>
        <w:t>the</w:t>
      </w:r>
      <w:r>
        <w:rPr>
          <w:spacing w:val="-5"/>
        </w:rPr>
        <w:t> </w:t>
      </w:r>
      <w:r>
        <w:rPr/>
        <w:t>feature space</w:t>
      </w:r>
      <w:r>
        <w:rPr>
          <w:spacing w:val="-14"/>
        </w:rPr>
        <w:t> </w:t>
      </w:r>
      <w:r>
        <w:rPr/>
        <w:t>into</w:t>
      </w:r>
      <w:r>
        <w:rPr>
          <w:spacing w:val="-14"/>
        </w:rPr>
        <w:t> </w:t>
      </w:r>
      <w:r>
        <w:rPr/>
        <w:t>disjoint</w:t>
      </w:r>
      <w:r>
        <w:rPr>
          <w:spacing w:val="-14"/>
        </w:rPr>
        <w:t> </w:t>
      </w:r>
      <w:r>
        <w:rPr/>
        <w:t>regions,</w:t>
      </w:r>
      <w:r>
        <w:rPr>
          <w:spacing w:val="-13"/>
        </w:rPr>
        <w:t> </w:t>
      </w:r>
      <w:r>
        <w:rPr/>
        <w:t>with</w:t>
      </w:r>
      <w:r>
        <w:rPr>
          <w:spacing w:val="-14"/>
        </w:rPr>
        <w:t> </w:t>
      </w:r>
      <w:r>
        <w:rPr/>
        <w:t>a</w:t>
      </w:r>
      <w:r>
        <w:rPr>
          <w:spacing w:val="-14"/>
        </w:rPr>
        <w:t> </w:t>
      </w:r>
      <w:r>
        <w:rPr/>
        <w:t>multivariate</w:t>
      </w:r>
      <w:r>
        <w:rPr>
          <w:spacing w:val="-14"/>
        </w:rPr>
        <w:t> </w:t>
      </w:r>
      <w:r>
        <w:rPr/>
        <w:t>linear</w:t>
      </w:r>
      <w:r>
        <w:rPr>
          <w:spacing w:val="-13"/>
        </w:rPr>
        <w:t> </w:t>
      </w:r>
      <w:r>
        <w:rPr/>
        <w:t>regression</w:t>
      </w:r>
      <w:r>
        <w:rPr>
          <w:spacing w:val="-14"/>
        </w:rPr>
        <w:t> </w:t>
      </w:r>
      <w:r>
        <w:rPr/>
        <w:t>model</w:t>
      </w:r>
      <w:r>
        <w:rPr>
          <w:spacing w:val="-14"/>
        </w:rPr>
        <w:t> </w:t>
      </w:r>
      <w:r>
        <w:rPr/>
        <w:t>estimated</w:t>
      </w:r>
      <w:r>
        <w:rPr>
          <w:spacing w:val="-14"/>
        </w:rPr>
        <w:t> </w:t>
      </w:r>
      <w:r>
        <w:rPr/>
        <w:t>at</w:t>
      </w:r>
      <w:r>
        <w:rPr>
          <w:spacing w:val="-13"/>
        </w:rPr>
        <w:t> </w:t>
      </w:r>
      <w:r>
        <w:rPr/>
        <w:t>each</w:t>
      </w:r>
      <w:r>
        <w:rPr>
          <w:spacing w:val="-14"/>
        </w:rPr>
        <w:t> </w:t>
      </w:r>
      <w:r>
        <w:rPr/>
        <w:t>leaf</w:t>
      </w:r>
      <w:r>
        <w:rPr>
          <w:spacing w:val="-14"/>
        </w:rPr>
        <w:t> </w:t>
      </w:r>
      <w:r>
        <w:rPr/>
        <w:t>using the observations that reach it.</w:t>
      </w:r>
    </w:p>
    <w:p>
      <w:pPr>
        <w:pStyle w:val="BodyText"/>
        <w:ind w:left="481"/>
        <w:jc w:val="both"/>
      </w:pPr>
      <w:r>
        <w:rPr/>
        <w:t>The</w:t>
      </w:r>
      <w:r>
        <w:rPr>
          <w:spacing w:val="-6"/>
        </w:rPr>
        <w:t> </w:t>
      </w:r>
      <w:r>
        <w:rPr/>
        <w:t>standard</w:t>
      </w:r>
      <w:r>
        <w:rPr>
          <w:spacing w:val="-6"/>
        </w:rPr>
        <w:t> </w:t>
      </w:r>
      <w:r>
        <w:rPr/>
        <w:t>deviation</w:t>
      </w:r>
      <w:r>
        <w:rPr>
          <w:spacing w:val="-6"/>
        </w:rPr>
        <w:t> </w:t>
      </w:r>
      <w:r>
        <w:rPr/>
        <w:t>reduction</w:t>
      </w:r>
      <w:r>
        <w:rPr>
          <w:spacing w:val="-6"/>
        </w:rPr>
        <w:t> </w:t>
      </w:r>
      <w:r>
        <w:rPr/>
        <w:t>(SDR)</w:t>
      </w:r>
      <w:r>
        <w:rPr>
          <w:spacing w:val="-6"/>
        </w:rPr>
        <w:t> </w:t>
      </w:r>
      <w:r>
        <w:rPr/>
        <w:t>for</w:t>
      </w:r>
      <w:r>
        <w:rPr>
          <w:spacing w:val="-6"/>
        </w:rPr>
        <w:t> </w:t>
      </w:r>
      <w:r>
        <w:rPr/>
        <w:t>a</w:t>
      </w:r>
      <w:r>
        <w:rPr>
          <w:spacing w:val="-5"/>
        </w:rPr>
        <w:t> </w:t>
      </w:r>
      <w:r>
        <w:rPr/>
        <w:t>split</w:t>
      </w:r>
      <w:r>
        <w:rPr>
          <w:spacing w:val="-6"/>
        </w:rPr>
        <w:t> </w:t>
      </w:r>
      <w:r>
        <w:rPr/>
        <w:t>of</w:t>
      </w:r>
      <w:r>
        <w:rPr>
          <w:spacing w:val="-6"/>
        </w:rPr>
        <w:t> </w:t>
      </w:r>
      <w:r>
        <w:rPr/>
        <w:t>training</w:t>
      </w:r>
      <w:r>
        <w:rPr>
          <w:spacing w:val="-6"/>
        </w:rPr>
        <w:t> </w:t>
      </w:r>
      <w:r>
        <w:rPr/>
        <w:t>set</w:t>
      </w:r>
      <w:r>
        <w:rPr>
          <w:spacing w:val="-6"/>
        </w:rPr>
        <w:t> </w:t>
      </w:r>
      <w:r>
        <w:rPr>
          <w:i/>
        </w:rPr>
        <w:t>T</w:t>
      </w:r>
      <w:r>
        <w:rPr>
          <w:i/>
          <w:spacing w:val="20"/>
        </w:rPr>
        <w:t> </w:t>
      </w:r>
      <w:r>
        <w:rPr/>
        <w:t>into</w:t>
      </w:r>
      <w:r>
        <w:rPr>
          <w:spacing w:val="-6"/>
        </w:rPr>
        <w:t> </w:t>
      </w:r>
      <w:r>
        <w:rPr/>
        <w:t>subsets</w:t>
      </w:r>
      <w:r>
        <w:rPr>
          <w:spacing w:val="-6"/>
        </w:rPr>
        <w:t> </w:t>
      </w:r>
      <w:r>
        <w:rPr>
          <w:i/>
        </w:rPr>
        <w:t>T</w:t>
      </w:r>
      <w:r>
        <w:rPr>
          <w:i/>
          <w:vertAlign w:val="subscript"/>
        </w:rPr>
        <w:t>L</w:t>
      </w:r>
      <w:r>
        <w:rPr>
          <w:i/>
          <w:spacing w:val="4"/>
          <w:vertAlign w:val="baseline"/>
        </w:rPr>
        <w:t> </w:t>
      </w:r>
      <w:r>
        <w:rPr>
          <w:vertAlign w:val="baseline"/>
        </w:rPr>
        <w:t>and</w:t>
      </w:r>
      <w:r>
        <w:rPr>
          <w:spacing w:val="-6"/>
          <w:vertAlign w:val="baseline"/>
        </w:rPr>
        <w:t> </w:t>
      </w:r>
      <w:r>
        <w:rPr>
          <w:i/>
          <w:vertAlign w:val="baseline"/>
        </w:rPr>
        <w:t>T</w:t>
      </w:r>
      <w:r>
        <w:rPr>
          <w:i/>
          <w:vertAlign w:val="subscript"/>
        </w:rPr>
        <w:t>R</w:t>
      </w:r>
      <w:r>
        <w:rPr>
          <w:i/>
          <w:spacing w:val="4"/>
          <w:vertAlign w:val="baseline"/>
        </w:rPr>
        <w:t> </w:t>
      </w:r>
      <w:r>
        <w:rPr>
          <w:spacing w:val="-5"/>
          <w:vertAlign w:val="baseline"/>
        </w:rPr>
        <w:t>is:</w:t>
      </w:r>
    </w:p>
    <w:p>
      <w:pPr>
        <w:tabs>
          <w:tab w:pos="6698" w:val="left" w:leader="none"/>
        </w:tabs>
        <w:spacing w:line="369" w:lineRule="exact" w:before="174"/>
        <w:ind w:left="601" w:right="0" w:firstLine="0"/>
        <w:jc w:val="center"/>
        <w:rPr>
          <w:sz w:val="22"/>
        </w:rPr>
      </w:pPr>
      <w:r>
        <w:rPr>
          <w:spacing w:val="-6"/>
          <w:sz w:val="22"/>
        </w:rPr>
        <w:t>SDR</w:t>
      </w:r>
      <w:r>
        <w:rPr>
          <w:rFonts w:ascii="Lucida Sans Unicode" w:hAnsi="Lucida Sans Unicode"/>
          <w:spacing w:val="-6"/>
          <w:sz w:val="22"/>
        </w:rPr>
        <w:t>(</w:t>
      </w:r>
      <w:r>
        <w:rPr>
          <w:i/>
          <w:spacing w:val="-6"/>
          <w:sz w:val="22"/>
        </w:rPr>
        <w:t>T</w:t>
      </w:r>
      <w:r>
        <w:rPr>
          <w:rFonts w:ascii="Meiryo UI" w:hAnsi="Meiryo UI"/>
          <w:i/>
          <w:spacing w:val="-6"/>
          <w:sz w:val="22"/>
        </w:rPr>
        <w:t>,</w:t>
      </w:r>
      <w:r>
        <w:rPr>
          <w:rFonts w:ascii="Meiryo UI" w:hAnsi="Meiryo UI"/>
          <w:i/>
          <w:spacing w:val="-48"/>
          <w:sz w:val="22"/>
        </w:rPr>
        <w:t> </w:t>
      </w:r>
      <w:r>
        <w:rPr>
          <w:i/>
          <w:spacing w:val="-6"/>
          <w:sz w:val="22"/>
        </w:rPr>
        <w:t>T</w:t>
      </w:r>
      <w:r>
        <w:rPr>
          <w:i/>
          <w:spacing w:val="-6"/>
          <w:sz w:val="22"/>
          <w:vertAlign w:val="subscript"/>
        </w:rPr>
        <w:t>L</w:t>
      </w:r>
      <w:r>
        <w:rPr>
          <w:rFonts w:ascii="Meiryo UI" w:hAnsi="Meiryo UI"/>
          <w:i/>
          <w:spacing w:val="-6"/>
          <w:sz w:val="22"/>
          <w:vertAlign w:val="baseline"/>
        </w:rPr>
        <w:t>,</w:t>
      </w:r>
      <w:r>
        <w:rPr>
          <w:rFonts w:ascii="Meiryo UI" w:hAnsi="Meiryo UI"/>
          <w:i/>
          <w:spacing w:val="-48"/>
          <w:sz w:val="22"/>
          <w:vertAlign w:val="baseline"/>
        </w:rPr>
        <w:t> </w:t>
      </w:r>
      <w:r>
        <w:rPr>
          <w:i/>
          <w:spacing w:val="-6"/>
          <w:sz w:val="22"/>
          <w:vertAlign w:val="baseline"/>
        </w:rPr>
        <w:t>T</w:t>
      </w:r>
      <w:r>
        <w:rPr>
          <w:i/>
          <w:spacing w:val="-6"/>
          <w:sz w:val="22"/>
          <w:vertAlign w:val="subscript"/>
        </w:rPr>
        <w:t>R</w:t>
      </w:r>
      <w:r>
        <w:rPr>
          <w:rFonts w:ascii="Lucida Sans Unicode" w:hAnsi="Lucida Sans Unicode"/>
          <w:spacing w:val="-6"/>
          <w:sz w:val="22"/>
          <w:vertAlign w:val="baseline"/>
        </w:rPr>
        <w:t>)</w:t>
      </w:r>
      <w:r>
        <w:rPr>
          <w:rFonts w:ascii="Lucida Sans Unicode" w:hAnsi="Lucida Sans Unicode"/>
          <w:spacing w:val="-15"/>
          <w:sz w:val="22"/>
          <w:vertAlign w:val="baseline"/>
        </w:rPr>
        <w:t> </w:t>
      </w:r>
      <w:r>
        <w:rPr>
          <w:rFonts w:ascii="Lucida Sans Unicode" w:hAnsi="Lucida Sans Unicode"/>
          <w:spacing w:val="-6"/>
          <w:sz w:val="22"/>
          <w:vertAlign w:val="baseline"/>
        </w:rPr>
        <w:t>=</w:t>
      </w:r>
      <w:r>
        <w:rPr>
          <w:rFonts w:ascii="Lucida Sans Unicode" w:hAnsi="Lucida Sans Unicode"/>
          <w:spacing w:val="-15"/>
          <w:sz w:val="22"/>
          <w:vertAlign w:val="baseline"/>
        </w:rPr>
        <w:t> </w:t>
      </w:r>
      <w:r>
        <w:rPr>
          <w:spacing w:val="-6"/>
          <w:sz w:val="22"/>
          <w:vertAlign w:val="baseline"/>
        </w:rPr>
        <w:t>sd</w:t>
      </w:r>
      <w:r>
        <w:rPr>
          <w:rFonts w:ascii="Lucida Sans Unicode" w:hAnsi="Lucida Sans Unicode"/>
          <w:spacing w:val="-6"/>
          <w:sz w:val="22"/>
          <w:vertAlign w:val="baseline"/>
        </w:rPr>
        <w:t>(</w:t>
      </w:r>
      <w:r>
        <w:rPr>
          <w:i/>
          <w:spacing w:val="-6"/>
          <w:sz w:val="22"/>
          <w:vertAlign w:val="baseline"/>
        </w:rPr>
        <w:t>T</w:t>
      </w:r>
      <w:r>
        <w:rPr>
          <w:i/>
          <w:spacing w:val="-24"/>
          <w:sz w:val="22"/>
          <w:vertAlign w:val="baseline"/>
        </w:rPr>
        <w:t> </w:t>
      </w:r>
      <w:r>
        <w:rPr>
          <w:rFonts w:ascii="Lucida Sans Unicode" w:hAnsi="Lucida Sans Unicode"/>
          <w:spacing w:val="-6"/>
          <w:sz w:val="22"/>
          <w:vertAlign w:val="baseline"/>
        </w:rPr>
        <w:t>)</w:t>
      </w:r>
      <w:r>
        <w:rPr>
          <w:rFonts w:ascii="Lucida Sans Unicode" w:hAnsi="Lucida Sans Unicode"/>
          <w:spacing w:val="-36"/>
          <w:sz w:val="22"/>
          <w:vertAlign w:val="baseline"/>
        </w:rPr>
        <w:t> </w:t>
      </w:r>
      <w:r>
        <w:rPr>
          <w:rFonts w:ascii="Meiryo UI" w:hAnsi="Meiryo UI"/>
          <w:i/>
          <w:spacing w:val="-6"/>
          <w:sz w:val="22"/>
          <w:vertAlign w:val="baseline"/>
        </w:rPr>
        <w:t>−</w:t>
      </w:r>
      <w:r>
        <w:rPr>
          <w:rFonts w:ascii="Meiryo UI" w:hAnsi="Meiryo UI"/>
          <w:i/>
          <w:spacing w:val="-13"/>
          <w:sz w:val="22"/>
          <w:vertAlign w:val="baseline"/>
        </w:rPr>
        <w:t> </w:t>
      </w:r>
      <w:r>
        <w:rPr>
          <w:rFonts w:ascii="Meiryo UI" w:hAnsi="Meiryo UI"/>
          <w:i/>
          <w:spacing w:val="-6"/>
          <w:position w:val="15"/>
          <w:sz w:val="22"/>
          <w:u w:val="single"/>
          <w:vertAlign w:val="baseline"/>
        </w:rPr>
        <w:t>|</w:t>
      </w:r>
      <w:r>
        <w:rPr>
          <w:i/>
          <w:spacing w:val="-6"/>
          <w:position w:val="15"/>
          <w:sz w:val="22"/>
          <w:u w:val="single"/>
          <w:vertAlign w:val="baseline"/>
        </w:rPr>
        <w:t>T</w:t>
      </w:r>
      <w:r>
        <w:rPr>
          <w:i/>
          <w:spacing w:val="-6"/>
          <w:position w:val="11"/>
          <w:sz w:val="16"/>
          <w:u w:val="single"/>
          <w:vertAlign w:val="baseline"/>
        </w:rPr>
        <w:t>L</w:t>
      </w:r>
      <w:r>
        <w:rPr>
          <w:rFonts w:ascii="Meiryo UI" w:hAnsi="Meiryo UI"/>
          <w:i/>
          <w:spacing w:val="-6"/>
          <w:position w:val="15"/>
          <w:sz w:val="22"/>
          <w:u w:val="single"/>
          <w:vertAlign w:val="baseline"/>
        </w:rPr>
        <w:t>|</w:t>
      </w:r>
      <w:r>
        <w:rPr>
          <w:rFonts w:ascii="Meiryo UI" w:hAnsi="Meiryo UI"/>
          <w:i/>
          <w:spacing w:val="-21"/>
          <w:position w:val="15"/>
          <w:sz w:val="22"/>
          <w:u w:val="none"/>
          <w:vertAlign w:val="baseline"/>
        </w:rPr>
        <w:t> </w:t>
      </w:r>
      <w:r>
        <w:rPr>
          <w:spacing w:val="-6"/>
          <w:sz w:val="22"/>
          <w:u w:val="none"/>
          <w:vertAlign w:val="baseline"/>
        </w:rPr>
        <w:t>sd</w:t>
      </w:r>
      <w:r>
        <w:rPr>
          <w:rFonts w:ascii="Lucida Sans Unicode" w:hAnsi="Lucida Sans Unicode"/>
          <w:spacing w:val="-6"/>
          <w:sz w:val="22"/>
          <w:u w:val="none"/>
          <w:vertAlign w:val="baseline"/>
        </w:rPr>
        <w:t>(</w:t>
      </w:r>
      <w:r>
        <w:rPr>
          <w:i/>
          <w:spacing w:val="-6"/>
          <w:sz w:val="22"/>
          <w:u w:val="none"/>
          <w:vertAlign w:val="baseline"/>
        </w:rPr>
        <w:t>T</w:t>
      </w:r>
      <w:r>
        <w:rPr>
          <w:i/>
          <w:spacing w:val="-6"/>
          <w:sz w:val="22"/>
          <w:u w:val="none"/>
          <w:vertAlign w:val="subscript"/>
        </w:rPr>
        <w:t>L</w:t>
      </w:r>
      <w:r>
        <w:rPr>
          <w:rFonts w:ascii="Lucida Sans Unicode" w:hAnsi="Lucida Sans Unicode"/>
          <w:spacing w:val="-6"/>
          <w:sz w:val="22"/>
          <w:u w:val="none"/>
          <w:vertAlign w:val="baseline"/>
        </w:rPr>
        <w:t>)</w:t>
      </w:r>
      <w:r>
        <w:rPr>
          <w:rFonts w:ascii="Lucida Sans Unicode" w:hAnsi="Lucida Sans Unicode"/>
          <w:spacing w:val="-35"/>
          <w:sz w:val="22"/>
          <w:u w:val="none"/>
          <w:vertAlign w:val="baseline"/>
        </w:rPr>
        <w:t> </w:t>
      </w:r>
      <w:r>
        <w:rPr>
          <w:rFonts w:ascii="Meiryo UI" w:hAnsi="Meiryo UI"/>
          <w:i/>
          <w:spacing w:val="-6"/>
          <w:sz w:val="22"/>
          <w:u w:val="none"/>
          <w:vertAlign w:val="baseline"/>
        </w:rPr>
        <w:t>−</w:t>
      </w:r>
      <w:r>
        <w:rPr>
          <w:rFonts w:ascii="Meiryo UI" w:hAnsi="Meiryo UI"/>
          <w:i/>
          <w:spacing w:val="-14"/>
          <w:sz w:val="22"/>
          <w:u w:val="none"/>
          <w:vertAlign w:val="baseline"/>
        </w:rPr>
        <w:t> </w:t>
      </w:r>
      <w:r>
        <w:rPr>
          <w:rFonts w:ascii="Meiryo UI" w:hAnsi="Meiryo UI"/>
          <w:i/>
          <w:spacing w:val="-6"/>
          <w:position w:val="15"/>
          <w:sz w:val="22"/>
          <w:u w:val="single"/>
          <w:vertAlign w:val="baseline"/>
        </w:rPr>
        <w:t>|</w:t>
      </w:r>
      <w:r>
        <w:rPr>
          <w:i/>
          <w:spacing w:val="-6"/>
          <w:position w:val="15"/>
          <w:sz w:val="22"/>
          <w:u w:val="single"/>
          <w:vertAlign w:val="baseline"/>
        </w:rPr>
        <w:t>T</w:t>
      </w:r>
      <w:r>
        <w:rPr>
          <w:i/>
          <w:spacing w:val="-6"/>
          <w:position w:val="11"/>
          <w:sz w:val="16"/>
          <w:u w:val="single"/>
          <w:vertAlign w:val="baseline"/>
        </w:rPr>
        <w:t>R</w:t>
      </w:r>
      <w:r>
        <w:rPr>
          <w:rFonts w:ascii="Meiryo UI" w:hAnsi="Meiryo UI"/>
          <w:i/>
          <w:spacing w:val="-6"/>
          <w:position w:val="15"/>
          <w:sz w:val="22"/>
          <w:u w:val="single"/>
          <w:vertAlign w:val="baseline"/>
        </w:rPr>
        <w:t>|</w:t>
      </w:r>
      <w:r>
        <w:rPr>
          <w:rFonts w:ascii="Meiryo UI" w:hAnsi="Meiryo UI"/>
          <w:i/>
          <w:spacing w:val="-20"/>
          <w:position w:val="15"/>
          <w:sz w:val="22"/>
          <w:u w:val="none"/>
          <w:vertAlign w:val="baseline"/>
        </w:rPr>
        <w:t> </w:t>
      </w:r>
      <w:r>
        <w:rPr>
          <w:spacing w:val="-6"/>
          <w:sz w:val="22"/>
          <w:u w:val="none"/>
          <w:vertAlign w:val="baseline"/>
        </w:rPr>
        <w:t>sd</w:t>
      </w:r>
      <w:r>
        <w:rPr>
          <w:rFonts w:ascii="Lucida Sans Unicode" w:hAnsi="Lucida Sans Unicode"/>
          <w:spacing w:val="-6"/>
          <w:sz w:val="22"/>
          <w:u w:val="none"/>
          <w:vertAlign w:val="baseline"/>
        </w:rPr>
        <w:t>(</w:t>
      </w:r>
      <w:r>
        <w:rPr>
          <w:i/>
          <w:spacing w:val="-6"/>
          <w:sz w:val="22"/>
          <w:u w:val="none"/>
          <w:vertAlign w:val="baseline"/>
        </w:rPr>
        <w:t>T</w:t>
      </w:r>
      <w:r>
        <w:rPr>
          <w:i/>
          <w:spacing w:val="-6"/>
          <w:sz w:val="22"/>
          <w:u w:val="none"/>
          <w:vertAlign w:val="subscript"/>
        </w:rPr>
        <w:t>R</w:t>
      </w:r>
      <w:r>
        <w:rPr>
          <w:rFonts w:ascii="Lucida Sans Unicode" w:hAnsi="Lucida Sans Unicode"/>
          <w:spacing w:val="-6"/>
          <w:sz w:val="22"/>
          <w:u w:val="none"/>
          <w:vertAlign w:val="baseline"/>
        </w:rPr>
        <w:t>)</w:t>
      </w:r>
      <w:r>
        <w:rPr>
          <w:rFonts w:ascii="Lucida Sans Unicode" w:hAnsi="Lucida Sans Unicode"/>
          <w:sz w:val="22"/>
          <w:u w:val="none"/>
          <w:vertAlign w:val="baseline"/>
        </w:rPr>
        <w:tab/>
      </w:r>
      <w:r>
        <w:rPr>
          <w:spacing w:val="-2"/>
          <w:sz w:val="22"/>
          <w:u w:val="none"/>
          <w:vertAlign w:val="baseline"/>
        </w:rPr>
        <w:t>(3.3)</w:t>
      </w:r>
    </w:p>
    <w:p>
      <w:pPr>
        <w:tabs>
          <w:tab w:pos="1498" w:val="left" w:leader="none"/>
        </w:tabs>
        <w:spacing w:line="294" w:lineRule="exact" w:before="0"/>
        <w:ind w:left="300" w:right="0" w:firstLine="0"/>
        <w:jc w:val="center"/>
        <w:rPr>
          <w:rFonts w:ascii="Meiryo UI"/>
          <w:i/>
          <w:sz w:val="22"/>
        </w:rPr>
      </w:pPr>
      <w:r>
        <w:rPr>
          <w:rFonts w:ascii="Meiryo UI"/>
          <w:i/>
          <w:w w:val="80"/>
          <w:sz w:val="22"/>
        </w:rPr>
        <w:t>|</w:t>
      </w:r>
      <w:r>
        <w:rPr>
          <w:i/>
          <w:w w:val="80"/>
          <w:sz w:val="22"/>
        </w:rPr>
        <w:t>T</w:t>
      </w:r>
      <w:r>
        <w:rPr>
          <w:i/>
          <w:spacing w:val="-12"/>
          <w:w w:val="80"/>
          <w:sz w:val="22"/>
        </w:rPr>
        <w:t> </w:t>
      </w:r>
      <w:r>
        <w:rPr>
          <w:rFonts w:ascii="Meiryo UI"/>
          <w:i/>
          <w:spacing w:val="-10"/>
          <w:w w:val="85"/>
          <w:sz w:val="22"/>
        </w:rPr>
        <w:t>|</w:t>
      </w:r>
      <w:r>
        <w:rPr>
          <w:rFonts w:ascii="Meiryo UI"/>
          <w:i/>
          <w:sz w:val="22"/>
        </w:rPr>
        <w:tab/>
      </w:r>
      <w:r>
        <w:rPr>
          <w:rFonts w:ascii="Meiryo UI"/>
          <w:i/>
          <w:w w:val="80"/>
          <w:sz w:val="22"/>
        </w:rPr>
        <w:t>|</w:t>
      </w:r>
      <w:r>
        <w:rPr>
          <w:i/>
          <w:w w:val="80"/>
          <w:sz w:val="22"/>
        </w:rPr>
        <w:t>T</w:t>
      </w:r>
      <w:r>
        <w:rPr>
          <w:i/>
          <w:spacing w:val="-12"/>
          <w:w w:val="80"/>
          <w:sz w:val="22"/>
        </w:rPr>
        <w:t> </w:t>
      </w:r>
      <w:r>
        <w:rPr>
          <w:rFonts w:ascii="Meiryo UI"/>
          <w:i/>
          <w:spacing w:val="-10"/>
          <w:w w:val="85"/>
          <w:sz w:val="22"/>
        </w:rPr>
        <w:t>|</w:t>
      </w:r>
    </w:p>
    <w:p>
      <w:pPr>
        <w:pStyle w:val="BodyText"/>
        <w:spacing w:before="140"/>
        <w:ind w:left="481" w:hanging="347"/>
      </w:pPr>
      <w:r>
        <w:rPr>
          <w:spacing w:val="-2"/>
        </w:rPr>
        <w:t>where</w:t>
      </w:r>
      <w:r>
        <w:rPr>
          <w:spacing w:val="-10"/>
        </w:rPr>
        <w:t> </w:t>
      </w:r>
      <w:r>
        <w:rPr>
          <w:spacing w:val="-2"/>
        </w:rPr>
        <w:t>sd</w:t>
      </w:r>
      <w:r>
        <w:rPr>
          <w:rFonts w:ascii="Lucida Sans Unicode" w:hAnsi="Lucida Sans Unicode"/>
          <w:spacing w:val="-2"/>
        </w:rPr>
        <w:t>(</w:t>
      </w:r>
      <w:r>
        <w:rPr>
          <w:rFonts w:ascii="Meiryo UI" w:hAnsi="Meiryo UI"/>
          <w:i/>
          <w:spacing w:val="-2"/>
        </w:rPr>
        <w:t>·</w:t>
      </w:r>
      <w:r>
        <w:rPr>
          <w:rFonts w:ascii="Lucida Sans Unicode" w:hAnsi="Lucida Sans Unicode"/>
          <w:spacing w:val="-2"/>
        </w:rPr>
        <w:t>)</w:t>
      </w:r>
      <w:r>
        <w:rPr>
          <w:rFonts w:ascii="Lucida Sans Unicode" w:hAnsi="Lucida Sans Unicode"/>
          <w:spacing w:val="-16"/>
        </w:rPr>
        <w:t> </w:t>
      </w:r>
      <w:r>
        <w:rPr>
          <w:spacing w:val="-2"/>
        </w:rPr>
        <w:t>denotes</w:t>
      </w:r>
      <w:r>
        <w:rPr>
          <w:spacing w:val="-6"/>
        </w:rPr>
        <w:t> </w:t>
      </w:r>
      <w:r>
        <w:rPr>
          <w:spacing w:val="-2"/>
        </w:rPr>
        <w:t>the</w:t>
      </w:r>
      <w:r>
        <w:rPr>
          <w:spacing w:val="-6"/>
        </w:rPr>
        <w:t> </w:t>
      </w:r>
      <w:r>
        <w:rPr>
          <w:spacing w:val="-2"/>
        </w:rPr>
        <w:t>sample</w:t>
      </w:r>
      <w:r>
        <w:rPr>
          <w:spacing w:val="-5"/>
        </w:rPr>
        <w:t> </w:t>
      </w:r>
      <w:r>
        <w:rPr>
          <w:spacing w:val="-2"/>
        </w:rPr>
        <w:t>standard</w:t>
      </w:r>
      <w:r>
        <w:rPr>
          <w:spacing w:val="-7"/>
        </w:rPr>
        <w:t> </w:t>
      </w:r>
      <w:r>
        <w:rPr>
          <w:spacing w:val="-2"/>
        </w:rPr>
        <w:t>deviation</w:t>
      </w:r>
      <w:r>
        <w:rPr>
          <w:spacing w:val="-6"/>
        </w:rPr>
        <w:t> </w:t>
      </w:r>
      <w:r>
        <w:rPr>
          <w:spacing w:val="-2"/>
        </w:rPr>
        <w:t>of</w:t>
      </w:r>
      <w:r>
        <w:rPr>
          <w:spacing w:val="-5"/>
        </w:rPr>
        <w:t> </w:t>
      </w:r>
      <w:r>
        <w:rPr>
          <w:spacing w:val="-2"/>
        </w:rPr>
        <w:t>the</w:t>
      </w:r>
      <w:r>
        <w:rPr>
          <w:spacing w:val="-6"/>
        </w:rPr>
        <w:t> </w:t>
      </w:r>
      <w:r>
        <w:rPr>
          <w:spacing w:val="-2"/>
        </w:rPr>
        <w:t>response</w:t>
      </w:r>
      <w:r>
        <w:rPr>
          <w:spacing w:val="-6"/>
        </w:rPr>
        <w:t> </w:t>
      </w:r>
      <w:r>
        <w:rPr>
          <w:spacing w:val="-2"/>
        </w:rPr>
        <w:t>variable</w:t>
      </w:r>
      <w:r>
        <w:rPr>
          <w:spacing w:val="-6"/>
        </w:rPr>
        <w:t> </w:t>
      </w:r>
      <w:r>
        <w:rPr>
          <w:spacing w:val="-2"/>
        </w:rPr>
        <w:t>in</w:t>
      </w:r>
      <w:r>
        <w:rPr>
          <w:spacing w:val="-6"/>
        </w:rPr>
        <w:t> </w:t>
      </w:r>
      <w:r>
        <w:rPr>
          <w:spacing w:val="-2"/>
        </w:rPr>
        <w:t>the</w:t>
      </w:r>
      <w:r>
        <w:rPr>
          <w:spacing w:val="-5"/>
        </w:rPr>
        <w:t> </w:t>
      </w:r>
      <w:r>
        <w:rPr>
          <w:spacing w:val="-2"/>
        </w:rPr>
        <w:t>corresponding</w:t>
      </w:r>
      <w:r>
        <w:rPr>
          <w:spacing w:val="-6"/>
        </w:rPr>
        <w:t> </w:t>
      </w:r>
      <w:r>
        <w:rPr>
          <w:spacing w:val="-4"/>
        </w:rPr>
        <w:t>set.</w:t>
      </w:r>
    </w:p>
    <w:p>
      <w:pPr>
        <w:pStyle w:val="BodyText"/>
        <w:spacing w:line="312" w:lineRule="auto" w:before="28"/>
        <w:ind w:left="142" w:right="1557" w:firstLine="338"/>
        <w:jc w:val="both"/>
      </w:pPr>
      <w:r>
        <w:rPr>
          <w:b/>
          <w:spacing w:val="-2"/>
        </w:rPr>
        <w:t>Leaf</w:t>
      </w:r>
      <w:r>
        <w:rPr>
          <w:b/>
          <w:spacing w:val="-7"/>
        </w:rPr>
        <w:t> </w:t>
      </w:r>
      <w:r>
        <w:rPr>
          <w:b/>
          <w:spacing w:val="-2"/>
        </w:rPr>
        <w:t>model</w:t>
      </w:r>
      <w:r>
        <w:rPr>
          <w:b/>
          <w:spacing w:val="-7"/>
        </w:rPr>
        <w:t> </w:t>
      </w:r>
      <w:r>
        <w:rPr>
          <w:b/>
          <w:spacing w:val="-2"/>
        </w:rPr>
        <w:t>estimation</w:t>
      </w:r>
      <w:r>
        <w:rPr>
          <w:b/>
          <w:spacing w:val="-7"/>
        </w:rPr>
        <w:t> </w:t>
      </w:r>
      <w:r>
        <w:rPr>
          <w:b/>
          <w:spacing w:val="-2"/>
        </w:rPr>
        <w:t>and</w:t>
      </w:r>
      <w:r>
        <w:rPr>
          <w:b/>
          <w:spacing w:val="-7"/>
        </w:rPr>
        <w:t> </w:t>
      </w:r>
      <w:r>
        <w:rPr>
          <w:b/>
          <w:spacing w:val="-2"/>
        </w:rPr>
        <w:t>smoothing. </w:t>
      </w:r>
      <w:r>
        <w:rPr>
          <w:spacing w:val="-2"/>
        </w:rPr>
        <w:t>Within</w:t>
      </w:r>
      <w:r>
        <w:rPr>
          <w:spacing w:val="-7"/>
        </w:rPr>
        <w:t> </w:t>
      </w:r>
      <w:r>
        <w:rPr>
          <w:spacing w:val="-2"/>
        </w:rPr>
        <w:t>each</w:t>
      </w:r>
      <w:r>
        <w:rPr>
          <w:spacing w:val="-7"/>
        </w:rPr>
        <w:t> </w:t>
      </w:r>
      <w:r>
        <w:rPr>
          <w:spacing w:val="-2"/>
        </w:rPr>
        <w:t>leaf,</w:t>
      </w:r>
      <w:r>
        <w:rPr>
          <w:spacing w:val="-7"/>
        </w:rPr>
        <w:t> </w:t>
      </w:r>
      <w:r>
        <w:rPr>
          <w:spacing w:val="-2"/>
        </w:rPr>
        <w:t>a</w:t>
      </w:r>
      <w:r>
        <w:rPr>
          <w:spacing w:val="-7"/>
        </w:rPr>
        <w:t> </w:t>
      </w:r>
      <w:r>
        <w:rPr>
          <w:spacing w:val="-2"/>
        </w:rPr>
        <w:t>linear</w:t>
      </w:r>
      <w:r>
        <w:rPr>
          <w:spacing w:val="-7"/>
        </w:rPr>
        <w:t> </w:t>
      </w:r>
      <w:r>
        <w:rPr>
          <w:spacing w:val="-2"/>
        </w:rPr>
        <w:t>regression</w:t>
      </w:r>
      <w:r>
        <w:rPr>
          <w:spacing w:val="-7"/>
        </w:rPr>
        <w:t> </w:t>
      </w:r>
      <w:r>
        <w:rPr>
          <w:spacing w:val="-2"/>
        </w:rPr>
        <w:t>model</w:t>
      </w:r>
      <w:r>
        <w:rPr>
          <w:spacing w:val="-7"/>
        </w:rPr>
        <w:t> </w:t>
      </w:r>
      <w:r>
        <w:rPr>
          <w:spacing w:val="-2"/>
        </w:rPr>
        <w:t>is</w:t>
      </w:r>
      <w:r>
        <w:rPr>
          <w:spacing w:val="-7"/>
        </w:rPr>
        <w:t> </w:t>
      </w:r>
      <w:r>
        <w:rPr>
          <w:spacing w:val="-2"/>
        </w:rPr>
        <w:t>fitted</w:t>
      </w:r>
      <w:r>
        <w:rPr>
          <w:spacing w:val="-7"/>
        </w:rPr>
        <w:t> </w:t>
      </w:r>
      <w:r>
        <w:rPr>
          <w:spacing w:val="-2"/>
        </w:rPr>
        <w:t>to </w:t>
      </w:r>
      <w:r>
        <w:rPr/>
        <w:t>the training observations in that leaf using ordinary least squares. M5Rules applies a smoothing </w:t>
      </w:r>
      <w:r>
        <w:rPr>
          <w:spacing w:val="-2"/>
        </w:rPr>
        <w:t>procedure</w:t>
      </w:r>
      <w:r>
        <w:rPr>
          <w:spacing w:val="-12"/>
        </w:rPr>
        <w:t> </w:t>
      </w:r>
      <w:r>
        <w:rPr>
          <w:spacing w:val="-2"/>
        </w:rPr>
        <w:t>that</w:t>
      </w:r>
      <w:r>
        <w:rPr>
          <w:spacing w:val="-12"/>
        </w:rPr>
        <w:t> </w:t>
      </w:r>
      <w:r>
        <w:rPr>
          <w:spacing w:val="-2"/>
        </w:rPr>
        <w:t>interpolates</w:t>
      </w:r>
      <w:r>
        <w:rPr>
          <w:spacing w:val="-11"/>
        </w:rPr>
        <w:t> </w:t>
      </w:r>
      <w:r>
        <w:rPr>
          <w:spacing w:val="-2"/>
        </w:rPr>
        <w:t>between</w:t>
      </w:r>
      <w:r>
        <w:rPr>
          <w:spacing w:val="-11"/>
        </w:rPr>
        <w:t> </w:t>
      </w:r>
      <w:r>
        <w:rPr>
          <w:spacing w:val="-2"/>
        </w:rPr>
        <w:t>the</w:t>
      </w:r>
      <w:r>
        <w:rPr>
          <w:spacing w:val="-12"/>
        </w:rPr>
        <w:t> </w:t>
      </w:r>
      <w:r>
        <w:rPr>
          <w:spacing w:val="-2"/>
        </w:rPr>
        <w:t>leaf</w:t>
      </w:r>
      <w:r>
        <w:rPr>
          <w:spacing w:val="-12"/>
        </w:rPr>
        <w:t> </w:t>
      </w:r>
      <w:r>
        <w:rPr>
          <w:spacing w:val="-2"/>
        </w:rPr>
        <w:t>model</w:t>
      </w:r>
      <w:r>
        <w:rPr>
          <w:spacing w:val="-11"/>
        </w:rPr>
        <w:t> </w:t>
      </w:r>
      <w:r>
        <w:rPr>
          <w:spacing w:val="-2"/>
        </w:rPr>
        <w:t>and</w:t>
      </w:r>
      <w:r>
        <w:rPr>
          <w:spacing w:val="-12"/>
        </w:rPr>
        <w:t> </w:t>
      </w:r>
      <w:r>
        <w:rPr>
          <w:spacing w:val="-2"/>
        </w:rPr>
        <w:t>progressively</w:t>
      </w:r>
      <w:r>
        <w:rPr>
          <w:spacing w:val="-11"/>
        </w:rPr>
        <w:t> </w:t>
      </w:r>
      <w:r>
        <w:rPr>
          <w:spacing w:val="-2"/>
        </w:rPr>
        <w:t>coarser</w:t>
      </w:r>
      <w:r>
        <w:rPr>
          <w:spacing w:val="-12"/>
        </w:rPr>
        <w:t> </w:t>
      </w:r>
      <w:r>
        <w:rPr>
          <w:spacing w:val="-2"/>
        </w:rPr>
        <w:t>ancestor</w:t>
      </w:r>
      <w:r>
        <w:rPr>
          <w:spacing w:val="-11"/>
        </w:rPr>
        <w:t> </w:t>
      </w:r>
      <w:r>
        <w:rPr>
          <w:spacing w:val="-2"/>
        </w:rPr>
        <w:t>models</w:t>
      </w:r>
      <w:r>
        <w:rPr>
          <w:spacing w:val="-12"/>
        </w:rPr>
        <w:t> </w:t>
      </w:r>
      <w:r>
        <w:rPr>
          <w:spacing w:val="-2"/>
        </w:rPr>
        <w:t>as</w:t>
      </w:r>
      <w:r>
        <w:rPr>
          <w:spacing w:val="-11"/>
        </w:rPr>
        <w:t> </w:t>
      </w:r>
      <w:r>
        <w:rPr>
          <w:spacing w:val="-2"/>
        </w:rPr>
        <w:t>the observation</w:t>
      </w:r>
      <w:r>
        <w:rPr>
          <w:spacing w:val="-9"/>
        </w:rPr>
        <w:t> </w:t>
      </w:r>
      <w:r>
        <w:rPr>
          <w:spacing w:val="-2"/>
        </w:rPr>
        <w:t>moves</w:t>
      </w:r>
      <w:r>
        <w:rPr>
          <w:spacing w:val="-9"/>
        </w:rPr>
        <w:t> </w:t>
      </w:r>
      <w:r>
        <w:rPr>
          <w:spacing w:val="-2"/>
        </w:rPr>
        <w:t>up</w:t>
      </w:r>
      <w:r>
        <w:rPr>
          <w:spacing w:val="-9"/>
        </w:rPr>
        <w:t> </w:t>
      </w:r>
      <w:r>
        <w:rPr>
          <w:spacing w:val="-2"/>
        </w:rPr>
        <w:t>the</w:t>
      </w:r>
      <w:r>
        <w:rPr>
          <w:spacing w:val="-9"/>
        </w:rPr>
        <w:t> </w:t>
      </w:r>
      <w:r>
        <w:rPr>
          <w:spacing w:val="-2"/>
        </w:rPr>
        <w:t>tree,</w:t>
      </w:r>
      <w:r>
        <w:rPr>
          <w:spacing w:val="-9"/>
        </w:rPr>
        <w:t> </w:t>
      </w:r>
      <w:r>
        <w:rPr>
          <w:spacing w:val="-2"/>
        </w:rPr>
        <w:t>reducing</w:t>
      </w:r>
      <w:r>
        <w:rPr>
          <w:spacing w:val="-9"/>
        </w:rPr>
        <w:t> </w:t>
      </w:r>
      <w:r>
        <w:rPr>
          <w:spacing w:val="-2"/>
        </w:rPr>
        <w:t>the</w:t>
      </w:r>
      <w:r>
        <w:rPr>
          <w:spacing w:val="-9"/>
        </w:rPr>
        <w:t> </w:t>
      </w:r>
      <w:r>
        <w:rPr>
          <w:spacing w:val="-2"/>
        </w:rPr>
        <w:t>discontinuities</w:t>
      </w:r>
      <w:r>
        <w:rPr>
          <w:spacing w:val="-9"/>
        </w:rPr>
        <w:t> </w:t>
      </w:r>
      <w:r>
        <w:rPr>
          <w:spacing w:val="-2"/>
        </w:rPr>
        <w:t>at</w:t>
      </w:r>
      <w:r>
        <w:rPr>
          <w:spacing w:val="-9"/>
        </w:rPr>
        <w:t> </w:t>
      </w:r>
      <w:r>
        <w:rPr>
          <w:spacing w:val="-2"/>
        </w:rPr>
        <w:t>split</w:t>
      </w:r>
      <w:r>
        <w:rPr>
          <w:spacing w:val="-9"/>
        </w:rPr>
        <w:t> </w:t>
      </w:r>
      <w:r>
        <w:rPr>
          <w:spacing w:val="-2"/>
        </w:rPr>
        <w:t>boundaries</w:t>
      </w:r>
      <w:r>
        <w:rPr>
          <w:spacing w:val="-9"/>
        </w:rPr>
        <w:t> </w:t>
      </w:r>
      <w:r>
        <w:rPr>
          <w:spacing w:val="-2"/>
        </w:rPr>
        <w:t>that</w:t>
      </w:r>
      <w:r>
        <w:rPr>
          <w:spacing w:val="-9"/>
        </w:rPr>
        <w:t> </w:t>
      </w:r>
      <w:r>
        <w:rPr>
          <w:spacing w:val="-2"/>
        </w:rPr>
        <w:t>would</w:t>
      </w:r>
      <w:r>
        <w:rPr>
          <w:spacing w:val="-9"/>
        </w:rPr>
        <w:t> </w:t>
      </w:r>
      <w:r>
        <w:rPr>
          <w:spacing w:val="-2"/>
        </w:rPr>
        <w:t>otherwise produce</w:t>
      </w:r>
      <w:r>
        <w:rPr>
          <w:spacing w:val="-9"/>
        </w:rPr>
        <w:t> </w:t>
      </w:r>
      <w:r>
        <w:rPr>
          <w:spacing w:val="-2"/>
        </w:rPr>
        <w:t>implausible</w:t>
      </w:r>
      <w:r>
        <w:rPr>
          <w:spacing w:val="-9"/>
        </w:rPr>
        <w:t> </w:t>
      </w:r>
      <w:r>
        <w:rPr>
          <w:spacing w:val="-2"/>
        </w:rPr>
        <w:t>predictions</w:t>
      </w:r>
      <w:r>
        <w:rPr>
          <w:spacing w:val="-9"/>
        </w:rPr>
        <w:t> </w:t>
      </w:r>
      <w:r>
        <w:rPr>
          <w:spacing w:val="-2"/>
        </w:rPr>
        <w:t>near</w:t>
      </w:r>
      <w:r>
        <w:rPr>
          <w:spacing w:val="-9"/>
        </w:rPr>
        <w:t> </w:t>
      </w:r>
      <w:r>
        <w:rPr>
          <w:spacing w:val="-2"/>
        </w:rPr>
        <w:t>the</w:t>
      </w:r>
      <w:r>
        <w:rPr>
          <w:spacing w:val="-9"/>
        </w:rPr>
        <w:t> </w:t>
      </w:r>
      <w:r>
        <w:rPr>
          <w:spacing w:val="-2"/>
        </w:rPr>
        <w:t>edges</w:t>
      </w:r>
      <w:r>
        <w:rPr>
          <w:spacing w:val="-9"/>
        </w:rPr>
        <w:t> </w:t>
      </w:r>
      <w:r>
        <w:rPr>
          <w:spacing w:val="-2"/>
        </w:rPr>
        <w:t>of</w:t>
      </w:r>
      <w:r>
        <w:rPr>
          <w:spacing w:val="-9"/>
        </w:rPr>
        <w:t> </w:t>
      </w:r>
      <w:r>
        <w:rPr>
          <w:spacing w:val="-2"/>
        </w:rPr>
        <w:t>each</w:t>
      </w:r>
      <w:r>
        <w:rPr>
          <w:spacing w:val="-9"/>
        </w:rPr>
        <w:t> </w:t>
      </w:r>
      <w:r>
        <w:rPr>
          <w:spacing w:val="-2"/>
        </w:rPr>
        <w:t>leaf</w:t>
      </w:r>
      <w:r>
        <w:rPr>
          <w:spacing w:val="-9"/>
        </w:rPr>
        <w:t> </w:t>
      </w:r>
      <w:r>
        <w:rPr>
          <w:spacing w:val="-2"/>
        </w:rPr>
        <w:t>region.</w:t>
      </w:r>
      <w:r>
        <w:rPr/>
        <w:t> </w:t>
      </w:r>
      <w:r>
        <w:rPr>
          <w:spacing w:val="-2"/>
        </w:rPr>
        <w:t>The</w:t>
      </w:r>
      <w:r>
        <w:rPr>
          <w:spacing w:val="-9"/>
        </w:rPr>
        <w:t> </w:t>
      </w:r>
      <w:r>
        <w:rPr>
          <w:spacing w:val="-2"/>
        </w:rPr>
        <w:t>smoothed</w:t>
      </w:r>
      <w:r>
        <w:rPr>
          <w:spacing w:val="-9"/>
        </w:rPr>
        <w:t> </w:t>
      </w:r>
      <w:r>
        <w:rPr>
          <w:spacing w:val="-2"/>
        </w:rPr>
        <w:t>prediction</w:t>
      </w:r>
      <w:r>
        <w:rPr>
          <w:spacing w:val="-9"/>
        </w:rPr>
        <w:t> </w:t>
      </w:r>
      <w:r>
        <w:rPr>
          <w:spacing w:val="-2"/>
        </w:rPr>
        <w:t>at</w:t>
      </w:r>
      <w:r>
        <w:rPr>
          <w:spacing w:val="-9"/>
        </w:rPr>
        <w:t> </w:t>
      </w:r>
      <w:r>
        <w:rPr>
          <w:spacing w:val="-2"/>
        </w:rPr>
        <w:t>leaf </w:t>
      </w:r>
      <w:r>
        <w:rPr/>
        <w:t>depth d is a weighted combination of the leaf model and each ancestor model’s prediction.</w:t>
      </w:r>
    </w:p>
    <w:p>
      <w:pPr>
        <w:pStyle w:val="BodyText"/>
        <w:spacing w:line="312" w:lineRule="auto"/>
        <w:ind w:left="142" w:right="1557" w:firstLine="338"/>
        <w:jc w:val="both"/>
      </w:pPr>
      <w:r>
        <w:rPr>
          <w:b/>
        </w:rPr>
        <w:t>Pruning</w:t>
      </w:r>
      <w:r>
        <w:rPr>
          <w:b/>
          <w:spacing w:val="-1"/>
        </w:rPr>
        <w:t> </w:t>
      </w:r>
      <w:r>
        <w:rPr>
          <w:b/>
        </w:rPr>
        <w:t>and</w:t>
      </w:r>
      <w:r>
        <w:rPr>
          <w:b/>
          <w:spacing w:val="-1"/>
        </w:rPr>
        <w:t> </w:t>
      </w:r>
      <w:r>
        <w:rPr>
          <w:b/>
        </w:rPr>
        <w:t>conversion</w:t>
      </w:r>
      <w:r>
        <w:rPr>
          <w:b/>
          <w:spacing w:val="-1"/>
        </w:rPr>
        <w:t> </w:t>
      </w:r>
      <w:r>
        <w:rPr>
          <w:b/>
        </w:rPr>
        <w:t>to</w:t>
      </w:r>
      <w:r>
        <w:rPr>
          <w:b/>
          <w:spacing w:val="-1"/>
        </w:rPr>
        <w:t> </w:t>
      </w:r>
      <w:r>
        <w:rPr>
          <w:b/>
        </w:rPr>
        <w:t>rules. </w:t>
      </w:r>
      <w:r>
        <w:rPr/>
        <w:t>After</w:t>
      </w:r>
      <w:r>
        <w:rPr>
          <w:spacing w:val="-1"/>
        </w:rPr>
        <w:t> </w:t>
      </w:r>
      <w:r>
        <w:rPr/>
        <w:t>tree</w:t>
      </w:r>
      <w:r>
        <w:rPr>
          <w:spacing w:val="-1"/>
        </w:rPr>
        <w:t> </w:t>
      </w:r>
      <w:r>
        <w:rPr/>
        <w:t>construction,</w:t>
      </w:r>
      <w:r>
        <w:rPr>
          <w:spacing w:val="-1"/>
        </w:rPr>
        <w:t> </w:t>
      </w:r>
      <w:r>
        <w:rPr/>
        <w:t>M5Rules</w:t>
      </w:r>
      <w:r>
        <w:rPr>
          <w:spacing w:val="-1"/>
        </w:rPr>
        <w:t> </w:t>
      </w:r>
      <w:r>
        <w:rPr/>
        <w:t>prunes</w:t>
      </w:r>
      <w:r>
        <w:rPr>
          <w:spacing w:val="-1"/>
        </w:rPr>
        <w:t> </w:t>
      </w:r>
      <w:r>
        <w:rPr/>
        <w:t>branches</w:t>
      </w:r>
      <w:r>
        <w:rPr>
          <w:spacing w:val="-1"/>
        </w:rPr>
        <w:t> </w:t>
      </w:r>
      <w:r>
        <w:rPr/>
        <w:t>whose removal</w:t>
      </w:r>
      <w:r>
        <w:rPr>
          <w:spacing w:val="-6"/>
        </w:rPr>
        <w:t> </w:t>
      </w:r>
      <w:r>
        <w:rPr/>
        <w:t>does</w:t>
      </w:r>
      <w:r>
        <w:rPr>
          <w:spacing w:val="-6"/>
        </w:rPr>
        <w:t> </w:t>
      </w:r>
      <w:r>
        <w:rPr/>
        <w:t>not</w:t>
      </w:r>
      <w:r>
        <w:rPr>
          <w:spacing w:val="-6"/>
        </w:rPr>
        <w:t> </w:t>
      </w:r>
      <w:r>
        <w:rPr/>
        <w:t>increase</w:t>
      </w:r>
      <w:r>
        <w:rPr>
          <w:spacing w:val="-6"/>
        </w:rPr>
        <w:t> </w:t>
      </w:r>
      <w:r>
        <w:rPr/>
        <w:t>cross-validation</w:t>
      </w:r>
      <w:r>
        <w:rPr>
          <w:spacing w:val="-6"/>
        </w:rPr>
        <w:t> </w:t>
      </w:r>
      <w:r>
        <w:rPr/>
        <w:t>error</w:t>
      </w:r>
      <w:r>
        <w:rPr>
          <w:spacing w:val="-6"/>
        </w:rPr>
        <w:t> </w:t>
      </w:r>
      <w:r>
        <w:rPr/>
        <w:t>beyond</w:t>
      </w:r>
      <w:r>
        <w:rPr>
          <w:spacing w:val="-6"/>
        </w:rPr>
        <w:t> </w:t>
      </w:r>
      <w:r>
        <w:rPr/>
        <w:t>a</w:t>
      </w:r>
      <w:r>
        <w:rPr>
          <w:spacing w:val="-6"/>
        </w:rPr>
        <w:t> </w:t>
      </w:r>
      <w:r>
        <w:rPr/>
        <w:t>tolerance</w:t>
      </w:r>
      <w:r>
        <w:rPr>
          <w:spacing w:val="-6"/>
        </w:rPr>
        <w:t> </w:t>
      </w:r>
      <w:r>
        <w:rPr/>
        <w:t>threshold. The</w:t>
      </w:r>
      <w:r>
        <w:rPr>
          <w:spacing w:val="-6"/>
        </w:rPr>
        <w:t> </w:t>
      </w:r>
      <w:r>
        <w:rPr/>
        <w:t>pruned</w:t>
      </w:r>
      <w:r>
        <w:rPr>
          <w:spacing w:val="-6"/>
        </w:rPr>
        <w:t> </w:t>
      </w:r>
      <w:r>
        <w:rPr/>
        <w:t>tree</w:t>
      </w:r>
      <w:r>
        <w:rPr>
          <w:spacing w:val="-6"/>
        </w:rPr>
        <w:t> </w:t>
      </w:r>
      <w:r>
        <w:rPr/>
        <w:t>is then</w:t>
      </w:r>
      <w:r>
        <w:rPr>
          <w:spacing w:val="-14"/>
        </w:rPr>
        <w:t> </w:t>
      </w:r>
      <w:r>
        <w:rPr/>
        <w:t>converted</w:t>
      </w:r>
      <w:r>
        <w:rPr>
          <w:spacing w:val="-14"/>
        </w:rPr>
        <w:t> </w:t>
      </w:r>
      <w:r>
        <w:rPr/>
        <w:t>into</w:t>
      </w:r>
      <w:r>
        <w:rPr>
          <w:spacing w:val="-14"/>
        </w:rPr>
        <w:t> </w:t>
      </w:r>
      <w:r>
        <w:rPr/>
        <w:t>an</w:t>
      </w:r>
      <w:r>
        <w:rPr>
          <w:spacing w:val="-13"/>
        </w:rPr>
        <w:t> </w:t>
      </w:r>
      <w:r>
        <w:rPr/>
        <w:t>ordered</w:t>
      </w:r>
      <w:r>
        <w:rPr>
          <w:spacing w:val="-14"/>
        </w:rPr>
        <w:t> </w:t>
      </w:r>
      <w:r>
        <w:rPr/>
        <w:t>rule</w:t>
      </w:r>
      <w:r>
        <w:rPr>
          <w:spacing w:val="-14"/>
        </w:rPr>
        <w:t> </w:t>
      </w:r>
      <w:r>
        <w:rPr/>
        <w:t>list:</w:t>
      </w:r>
      <w:r>
        <w:rPr>
          <w:spacing w:val="-14"/>
        </w:rPr>
        <w:t> </w:t>
      </w:r>
      <w:r>
        <w:rPr/>
        <w:t>each</w:t>
      </w:r>
      <w:r>
        <w:rPr>
          <w:spacing w:val="-13"/>
        </w:rPr>
        <w:t> </w:t>
      </w:r>
      <w:r>
        <w:rPr/>
        <w:t>path</w:t>
      </w:r>
      <w:r>
        <w:rPr>
          <w:spacing w:val="-14"/>
        </w:rPr>
        <w:t> </w:t>
      </w:r>
      <w:r>
        <w:rPr/>
        <w:t>from</w:t>
      </w:r>
      <w:r>
        <w:rPr>
          <w:spacing w:val="-14"/>
        </w:rPr>
        <w:t> </w:t>
      </w:r>
      <w:r>
        <w:rPr/>
        <w:t>the</w:t>
      </w:r>
      <w:r>
        <w:rPr>
          <w:spacing w:val="-14"/>
        </w:rPr>
        <w:t> </w:t>
      </w:r>
      <w:r>
        <w:rPr/>
        <w:t>root</w:t>
      </w:r>
      <w:r>
        <w:rPr>
          <w:spacing w:val="-13"/>
        </w:rPr>
        <w:t> </w:t>
      </w:r>
      <w:r>
        <w:rPr/>
        <w:t>to</w:t>
      </w:r>
      <w:r>
        <w:rPr>
          <w:spacing w:val="-14"/>
        </w:rPr>
        <w:t> </w:t>
      </w:r>
      <w:r>
        <w:rPr/>
        <w:t>a</w:t>
      </w:r>
      <w:r>
        <w:rPr>
          <w:spacing w:val="-14"/>
        </w:rPr>
        <w:t> </w:t>
      </w:r>
      <w:r>
        <w:rPr/>
        <w:t>leaf</w:t>
      </w:r>
      <w:r>
        <w:rPr>
          <w:spacing w:val="-14"/>
        </w:rPr>
        <w:t> </w:t>
      </w:r>
      <w:r>
        <w:rPr/>
        <w:t>becomes</w:t>
      </w:r>
      <w:r>
        <w:rPr>
          <w:spacing w:val="-13"/>
        </w:rPr>
        <w:t> </w:t>
      </w:r>
      <w:r>
        <w:rPr/>
        <w:t>one</w:t>
      </w:r>
      <w:r>
        <w:rPr>
          <w:spacing w:val="-14"/>
        </w:rPr>
        <w:t> </w:t>
      </w:r>
      <w:r>
        <w:rPr/>
        <w:t>rule,</w:t>
      </w:r>
      <w:r>
        <w:rPr>
          <w:spacing w:val="-14"/>
        </w:rPr>
        <w:t> </w:t>
      </w:r>
      <w:r>
        <w:rPr/>
        <w:t>with</w:t>
      </w:r>
      <w:r>
        <w:rPr>
          <w:spacing w:val="-14"/>
        </w:rPr>
        <w:t> </w:t>
      </w:r>
      <w:r>
        <w:rPr/>
        <w:t>the conditions</w:t>
      </w:r>
      <w:r>
        <w:rPr>
          <w:spacing w:val="-16"/>
        </w:rPr>
        <w:t> </w:t>
      </w:r>
      <w:r>
        <w:rPr/>
        <w:t>along</w:t>
      </w:r>
      <w:r>
        <w:rPr>
          <w:spacing w:val="-14"/>
        </w:rPr>
        <w:t> </w:t>
      </w:r>
      <w:r>
        <w:rPr/>
        <w:t>the</w:t>
      </w:r>
      <w:r>
        <w:rPr>
          <w:spacing w:val="-14"/>
        </w:rPr>
        <w:t> </w:t>
      </w:r>
      <w:r>
        <w:rPr/>
        <w:t>path</w:t>
      </w:r>
      <w:r>
        <w:rPr>
          <w:spacing w:val="-13"/>
        </w:rPr>
        <w:t> </w:t>
      </w:r>
      <w:r>
        <w:rPr/>
        <w:t>as</w:t>
      </w:r>
      <w:r>
        <w:rPr>
          <w:spacing w:val="-14"/>
        </w:rPr>
        <w:t> </w:t>
      </w:r>
      <w:r>
        <w:rPr/>
        <w:t>the</w:t>
      </w:r>
      <w:r>
        <w:rPr>
          <w:spacing w:val="-14"/>
        </w:rPr>
        <w:t> </w:t>
      </w:r>
      <w:r>
        <w:rPr/>
        <w:t>antecedent</w:t>
      </w:r>
      <w:r>
        <w:rPr>
          <w:spacing w:val="-14"/>
        </w:rPr>
        <w:t> </w:t>
      </w:r>
      <w:r>
        <w:rPr/>
        <w:t>and</w:t>
      </w:r>
      <w:r>
        <w:rPr>
          <w:spacing w:val="-13"/>
        </w:rPr>
        <w:t> </w:t>
      </w:r>
      <w:r>
        <w:rPr/>
        <w:t>the</w:t>
      </w:r>
      <w:r>
        <w:rPr>
          <w:spacing w:val="-14"/>
        </w:rPr>
        <w:t> </w:t>
      </w:r>
      <w:r>
        <w:rPr/>
        <w:t>leaf’s</w:t>
      </w:r>
      <w:r>
        <w:rPr>
          <w:spacing w:val="-14"/>
        </w:rPr>
        <w:t> </w:t>
      </w:r>
      <w:r>
        <w:rPr/>
        <w:t>linear</w:t>
      </w:r>
      <w:r>
        <w:rPr>
          <w:spacing w:val="-14"/>
        </w:rPr>
        <w:t> </w:t>
      </w:r>
      <w:r>
        <w:rPr/>
        <w:t>model</w:t>
      </w:r>
      <w:r>
        <w:rPr>
          <w:spacing w:val="-13"/>
        </w:rPr>
        <w:t> </w:t>
      </w:r>
      <w:r>
        <w:rPr/>
        <w:t>as</w:t>
      </w:r>
      <w:r>
        <w:rPr>
          <w:spacing w:val="-14"/>
        </w:rPr>
        <w:t> </w:t>
      </w:r>
      <w:r>
        <w:rPr/>
        <w:t>the</w:t>
      </w:r>
      <w:r>
        <w:rPr>
          <w:spacing w:val="-14"/>
        </w:rPr>
        <w:t> </w:t>
      </w:r>
      <w:r>
        <w:rPr/>
        <w:t>consequent.</w:t>
      </w:r>
      <w:r>
        <w:rPr>
          <w:spacing w:val="-14"/>
        </w:rPr>
        <w:t> </w:t>
      </w:r>
      <w:r>
        <w:rPr/>
        <w:t>Rules</w:t>
      </w:r>
      <w:r>
        <w:rPr>
          <w:spacing w:val="-13"/>
        </w:rPr>
        <w:t> </w:t>
      </w:r>
      <w:r>
        <w:rPr/>
        <w:t>are applied</w:t>
      </w:r>
      <w:r>
        <w:rPr>
          <w:spacing w:val="-13"/>
        </w:rPr>
        <w:t> </w:t>
      </w:r>
      <w:r>
        <w:rPr/>
        <w:t>in</w:t>
      </w:r>
      <w:r>
        <w:rPr>
          <w:spacing w:val="-13"/>
        </w:rPr>
        <w:t> </w:t>
      </w:r>
      <w:r>
        <w:rPr/>
        <w:t>order;</w:t>
      </w:r>
      <w:r>
        <w:rPr>
          <w:spacing w:val="-13"/>
        </w:rPr>
        <w:t> </w:t>
      </w:r>
      <w:r>
        <w:rPr/>
        <w:t>the</w:t>
      </w:r>
      <w:r>
        <w:rPr>
          <w:spacing w:val="-13"/>
        </w:rPr>
        <w:t> </w:t>
      </w:r>
      <w:r>
        <w:rPr/>
        <w:t>first</w:t>
      </w:r>
      <w:r>
        <w:rPr>
          <w:spacing w:val="-13"/>
        </w:rPr>
        <w:t> </w:t>
      </w:r>
      <w:r>
        <w:rPr/>
        <w:t>matching</w:t>
      </w:r>
      <w:r>
        <w:rPr>
          <w:spacing w:val="-13"/>
        </w:rPr>
        <w:t> </w:t>
      </w:r>
      <w:r>
        <w:rPr/>
        <w:t>rule</w:t>
      </w:r>
      <w:r>
        <w:rPr>
          <w:spacing w:val="-13"/>
        </w:rPr>
        <w:t> </w:t>
      </w:r>
      <w:r>
        <w:rPr/>
        <w:t>is</w:t>
      </w:r>
      <w:r>
        <w:rPr>
          <w:spacing w:val="-13"/>
        </w:rPr>
        <w:t> </w:t>
      </w:r>
      <w:r>
        <w:rPr/>
        <w:t>used,</w:t>
      </w:r>
      <w:r>
        <w:rPr>
          <w:spacing w:val="-13"/>
        </w:rPr>
        <w:t> </w:t>
      </w:r>
      <w:r>
        <w:rPr/>
        <w:t>with</w:t>
      </w:r>
      <w:r>
        <w:rPr>
          <w:spacing w:val="-13"/>
        </w:rPr>
        <w:t> </w:t>
      </w:r>
      <w:r>
        <w:rPr/>
        <w:t>the</w:t>
      </w:r>
      <w:r>
        <w:rPr>
          <w:spacing w:val="-13"/>
        </w:rPr>
        <w:t> </w:t>
      </w:r>
      <w:r>
        <w:rPr/>
        <w:t>final</w:t>
      </w:r>
      <w:r>
        <w:rPr>
          <w:spacing w:val="-13"/>
        </w:rPr>
        <w:t> </w:t>
      </w:r>
      <w:r>
        <w:rPr/>
        <w:t>rule</w:t>
      </w:r>
      <w:r>
        <w:rPr>
          <w:spacing w:val="-13"/>
        </w:rPr>
        <w:t> </w:t>
      </w:r>
      <w:r>
        <w:rPr/>
        <w:t>having</w:t>
      </w:r>
      <w:r>
        <w:rPr>
          <w:spacing w:val="-13"/>
        </w:rPr>
        <w:t> </w:t>
      </w:r>
      <w:r>
        <w:rPr/>
        <w:t>no</w:t>
      </w:r>
      <w:r>
        <w:rPr>
          <w:spacing w:val="-13"/>
        </w:rPr>
        <w:t> </w:t>
      </w:r>
      <w:r>
        <w:rPr/>
        <w:t>conditions</w:t>
      </w:r>
      <w:r>
        <w:rPr>
          <w:spacing w:val="-13"/>
        </w:rPr>
        <w:t> </w:t>
      </w:r>
      <w:r>
        <w:rPr/>
        <w:t>(applies</w:t>
      </w:r>
      <w:r>
        <w:rPr>
          <w:spacing w:val="-13"/>
        </w:rPr>
        <w:t> </w:t>
      </w:r>
      <w:r>
        <w:rPr/>
        <w:t>to all</w:t>
      </w:r>
      <w:r>
        <w:rPr>
          <w:spacing w:val="-11"/>
        </w:rPr>
        <w:t> </w:t>
      </w:r>
      <w:r>
        <w:rPr/>
        <w:t>observations)</w:t>
      </w:r>
      <w:r>
        <w:rPr>
          <w:spacing w:val="-11"/>
        </w:rPr>
        <w:t> </w:t>
      </w:r>
      <w:r>
        <w:rPr/>
        <w:t>as</w:t>
      </w:r>
      <w:r>
        <w:rPr>
          <w:spacing w:val="-11"/>
        </w:rPr>
        <w:t> </w:t>
      </w:r>
      <w:r>
        <w:rPr/>
        <w:t>a</w:t>
      </w:r>
      <w:r>
        <w:rPr>
          <w:spacing w:val="-11"/>
        </w:rPr>
        <w:t> </w:t>
      </w:r>
      <w:r>
        <w:rPr/>
        <w:t>universal</w:t>
      </w:r>
      <w:r>
        <w:rPr>
          <w:spacing w:val="-11"/>
        </w:rPr>
        <w:t> </w:t>
      </w:r>
      <w:r>
        <w:rPr/>
        <w:t>default. This</w:t>
      </w:r>
      <w:r>
        <w:rPr>
          <w:spacing w:val="-11"/>
        </w:rPr>
        <w:t> </w:t>
      </w:r>
      <w:r>
        <w:rPr/>
        <w:t>conversion</w:t>
      </w:r>
      <w:r>
        <w:rPr>
          <w:spacing w:val="-11"/>
        </w:rPr>
        <w:t> </w:t>
      </w:r>
      <w:r>
        <w:rPr/>
        <w:t>gives</w:t>
      </w:r>
      <w:r>
        <w:rPr>
          <w:spacing w:val="-11"/>
        </w:rPr>
        <w:t> </w:t>
      </w:r>
      <w:r>
        <w:rPr/>
        <w:t>M5Rules</w:t>
      </w:r>
      <w:r>
        <w:rPr>
          <w:spacing w:val="-11"/>
        </w:rPr>
        <w:t> </w:t>
      </w:r>
      <w:r>
        <w:rPr/>
        <w:t>the</w:t>
      </w:r>
      <w:r>
        <w:rPr>
          <w:spacing w:val="-11"/>
        </w:rPr>
        <w:t> </w:t>
      </w:r>
      <w:r>
        <w:rPr/>
        <w:t>same</w:t>
      </w:r>
      <w:r>
        <w:rPr>
          <w:spacing w:val="-11"/>
        </w:rPr>
        <w:t> </w:t>
      </w:r>
      <w:r>
        <w:rPr/>
        <w:t>human-readable rule format as RIPPER but with a linear model at each leaf rather than a class label.</w:t>
      </w:r>
    </w:p>
    <w:p>
      <w:pPr>
        <w:pStyle w:val="BodyText"/>
        <w:spacing w:line="312" w:lineRule="auto"/>
        <w:ind w:left="142" w:right="1529" w:firstLine="338"/>
        <w:jc w:val="both"/>
      </w:pPr>
      <w:r>
        <w:rPr>
          <w:b/>
        </w:rPr>
        <w:t>Why</w:t>
      </w:r>
      <w:r>
        <w:rPr>
          <w:b/>
          <w:spacing w:val="-6"/>
        </w:rPr>
        <w:t> </w:t>
      </w:r>
      <w:r>
        <w:rPr>
          <w:b/>
        </w:rPr>
        <w:t>M5Rules</w:t>
      </w:r>
      <w:r>
        <w:rPr>
          <w:b/>
          <w:spacing w:val="-6"/>
        </w:rPr>
        <w:t> </w:t>
      </w:r>
      <w:r>
        <w:rPr>
          <w:b/>
        </w:rPr>
        <w:t>collapses</w:t>
      </w:r>
      <w:r>
        <w:rPr>
          <w:b/>
          <w:spacing w:val="-6"/>
        </w:rPr>
        <w:t> </w:t>
      </w:r>
      <w:r>
        <w:rPr>
          <w:b/>
        </w:rPr>
        <w:t>to</w:t>
      </w:r>
      <w:r>
        <w:rPr>
          <w:b/>
          <w:spacing w:val="-6"/>
        </w:rPr>
        <w:t> </w:t>
      </w:r>
      <w:r>
        <w:rPr>
          <w:b/>
        </w:rPr>
        <w:t>a</w:t>
      </w:r>
      <w:r>
        <w:rPr>
          <w:b/>
          <w:spacing w:val="-6"/>
        </w:rPr>
        <w:t> </w:t>
      </w:r>
      <w:r>
        <w:rPr>
          <w:b/>
        </w:rPr>
        <w:t>global</w:t>
      </w:r>
      <w:r>
        <w:rPr>
          <w:b/>
          <w:spacing w:val="-6"/>
        </w:rPr>
        <w:t> </w:t>
      </w:r>
      <w:r>
        <w:rPr>
          <w:b/>
        </w:rPr>
        <w:t>model</w:t>
      </w:r>
      <w:r>
        <w:rPr>
          <w:b/>
          <w:spacing w:val="-6"/>
        </w:rPr>
        <w:t> </w:t>
      </w:r>
      <w:r>
        <w:rPr>
          <w:b/>
        </w:rPr>
        <w:t>on</w:t>
      </w:r>
      <w:r>
        <w:rPr>
          <w:b/>
          <w:spacing w:val="-6"/>
        </w:rPr>
        <w:t> </w:t>
      </w:r>
      <w:r>
        <w:rPr>
          <w:b/>
        </w:rPr>
        <w:t>small</w:t>
      </w:r>
      <w:r>
        <w:rPr>
          <w:b/>
          <w:spacing w:val="-6"/>
        </w:rPr>
        <w:t> </w:t>
      </w:r>
      <w:r>
        <w:rPr>
          <w:b/>
        </w:rPr>
        <w:t>datasets. </w:t>
      </w:r>
      <w:r>
        <w:rPr/>
        <w:t>M5Rules’</w:t>
      </w:r>
      <w:r>
        <w:rPr>
          <w:spacing w:val="-6"/>
        </w:rPr>
        <w:t> </w:t>
      </w:r>
      <w:r>
        <w:rPr/>
        <w:t>standard</w:t>
      </w:r>
      <w:r>
        <w:rPr>
          <w:spacing w:val="-6"/>
        </w:rPr>
        <w:t> </w:t>
      </w:r>
      <w:r>
        <w:rPr/>
        <w:t>deviation </w:t>
      </w:r>
      <w:r>
        <w:rPr>
          <w:spacing w:val="-2"/>
        </w:rPr>
        <w:t>reduction</w:t>
      </w:r>
      <w:r>
        <w:rPr>
          <w:spacing w:val="-3"/>
        </w:rPr>
        <w:t> </w:t>
      </w:r>
      <w:r>
        <w:rPr>
          <w:spacing w:val="-2"/>
        </w:rPr>
        <w:t>criterion</w:t>
      </w:r>
      <w:r>
        <w:rPr>
          <w:spacing w:val="-3"/>
        </w:rPr>
        <w:t> </w:t>
      </w:r>
      <w:r>
        <w:rPr>
          <w:spacing w:val="-2"/>
        </w:rPr>
        <w:t>requires</w:t>
      </w:r>
      <w:r>
        <w:rPr>
          <w:spacing w:val="-3"/>
        </w:rPr>
        <w:t> </w:t>
      </w:r>
      <w:r>
        <w:rPr>
          <w:spacing w:val="-2"/>
        </w:rPr>
        <w:t>that</w:t>
      </w:r>
      <w:r>
        <w:rPr>
          <w:spacing w:val="-3"/>
        </w:rPr>
        <w:t> </w:t>
      </w:r>
      <w:r>
        <w:rPr>
          <w:spacing w:val="-2"/>
        </w:rPr>
        <w:t>each</w:t>
      </w:r>
      <w:r>
        <w:rPr>
          <w:spacing w:val="-3"/>
        </w:rPr>
        <w:t> </w:t>
      </w:r>
      <w:r>
        <w:rPr>
          <w:spacing w:val="-2"/>
        </w:rPr>
        <w:t>split</w:t>
      </w:r>
      <w:r>
        <w:rPr>
          <w:spacing w:val="-3"/>
        </w:rPr>
        <w:t> </w:t>
      </w:r>
      <w:r>
        <w:rPr>
          <w:spacing w:val="-2"/>
        </w:rPr>
        <w:t>create</w:t>
      </w:r>
      <w:r>
        <w:rPr>
          <w:spacing w:val="-3"/>
        </w:rPr>
        <w:t> </w:t>
      </w:r>
      <w:r>
        <w:rPr>
          <w:spacing w:val="-2"/>
        </w:rPr>
        <w:t>two</w:t>
      </w:r>
      <w:r>
        <w:rPr>
          <w:spacing w:val="-3"/>
        </w:rPr>
        <w:t> </w:t>
      </w:r>
      <w:r>
        <w:rPr>
          <w:spacing w:val="-2"/>
        </w:rPr>
        <w:t>child</w:t>
      </w:r>
      <w:r>
        <w:rPr>
          <w:spacing w:val="-3"/>
        </w:rPr>
        <w:t> </w:t>
      </w:r>
      <w:r>
        <w:rPr>
          <w:spacing w:val="-2"/>
        </w:rPr>
        <w:t>nodes,</w:t>
      </w:r>
      <w:r>
        <w:rPr>
          <w:spacing w:val="-3"/>
        </w:rPr>
        <w:t> </w:t>
      </w:r>
      <w:r>
        <w:rPr>
          <w:spacing w:val="-2"/>
        </w:rPr>
        <w:t>each</w:t>
      </w:r>
      <w:r>
        <w:rPr>
          <w:spacing w:val="-3"/>
        </w:rPr>
        <w:t> </w:t>
      </w:r>
      <w:r>
        <w:rPr>
          <w:spacing w:val="-2"/>
        </w:rPr>
        <w:t>with</w:t>
      </w:r>
      <w:r>
        <w:rPr>
          <w:spacing w:val="-3"/>
        </w:rPr>
        <w:t> </w:t>
      </w:r>
      <w:r>
        <w:rPr>
          <w:spacing w:val="-2"/>
        </w:rPr>
        <w:t>sufficient</w:t>
      </w:r>
      <w:r>
        <w:rPr>
          <w:spacing w:val="-3"/>
        </w:rPr>
        <w:t> </w:t>
      </w:r>
      <w:r>
        <w:rPr>
          <w:spacing w:val="-2"/>
        </w:rPr>
        <w:t>observations </w:t>
      </w:r>
      <w:r>
        <w:rPr/>
        <w:t>for</w:t>
      </w:r>
      <w:r>
        <w:rPr>
          <w:spacing w:val="-6"/>
        </w:rPr>
        <w:t> </w:t>
      </w:r>
      <w:r>
        <w:rPr/>
        <w:t>reliable</w:t>
      </w:r>
      <w:r>
        <w:rPr>
          <w:spacing w:val="-6"/>
        </w:rPr>
        <w:t> </w:t>
      </w:r>
      <w:r>
        <w:rPr/>
        <w:t>linear</w:t>
      </w:r>
      <w:r>
        <w:rPr>
          <w:spacing w:val="-6"/>
        </w:rPr>
        <w:t> </w:t>
      </w:r>
      <w:r>
        <w:rPr/>
        <w:t>regression. With</w:t>
      </w:r>
      <w:r>
        <w:rPr>
          <w:spacing w:val="-6"/>
        </w:rPr>
        <w:t> </w:t>
      </w:r>
      <w:r>
        <w:rPr/>
        <w:t>a</w:t>
      </w:r>
      <w:r>
        <w:rPr>
          <w:spacing w:val="-6"/>
        </w:rPr>
        <w:t> </w:t>
      </w:r>
      <w:r>
        <w:rPr/>
        <w:t>minimum</w:t>
      </w:r>
      <w:r>
        <w:rPr>
          <w:spacing w:val="-6"/>
        </w:rPr>
        <w:t> </w:t>
      </w:r>
      <w:r>
        <w:rPr/>
        <w:t>leaf</w:t>
      </w:r>
      <w:r>
        <w:rPr>
          <w:spacing w:val="-6"/>
        </w:rPr>
        <w:t> </w:t>
      </w:r>
      <w:r>
        <w:rPr/>
        <w:t>size</w:t>
      </w:r>
      <w:r>
        <w:rPr>
          <w:spacing w:val="-6"/>
        </w:rPr>
        <w:t> </w:t>
      </w:r>
      <w:r>
        <w:rPr/>
        <w:t>of</w:t>
      </w:r>
      <w:r>
        <w:rPr>
          <w:spacing w:val="-6"/>
        </w:rPr>
        <w:t> </w:t>
      </w:r>
      <w:r>
        <w:rPr/>
        <w:t>4</w:t>
      </w:r>
      <w:r>
        <w:rPr>
          <w:spacing w:val="-6"/>
        </w:rPr>
        <w:t> </w:t>
      </w:r>
      <w:r>
        <w:rPr/>
        <w:t>and</w:t>
      </w:r>
      <w:r>
        <w:rPr>
          <w:spacing w:val="-6"/>
        </w:rPr>
        <w:t> </w:t>
      </w:r>
      <w:r>
        <w:rPr/>
        <w:t>n</w:t>
      </w:r>
      <w:r>
        <w:rPr>
          <w:spacing w:val="-6"/>
        </w:rPr>
        <w:t> </w:t>
      </w:r>
      <w:r>
        <w:rPr/>
        <w:t>=</w:t>
      </w:r>
      <w:r>
        <w:rPr>
          <w:spacing w:val="-6"/>
        </w:rPr>
        <w:t> </w:t>
      </w:r>
      <w:r>
        <w:rPr/>
        <w:t>80–89</w:t>
      </w:r>
      <w:r>
        <w:rPr>
          <w:spacing w:val="-6"/>
        </w:rPr>
        <w:t> </w:t>
      </w:r>
      <w:r>
        <w:rPr/>
        <w:t>training</w:t>
      </w:r>
      <w:r>
        <w:rPr>
          <w:spacing w:val="-6"/>
        </w:rPr>
        <w:t> </w:t>
      </w:r>
      <w:r>
        <w:rPr/>
        <w:t>observations, </w:t>
      </w:r>
      <w:r>
        <w:rPr>
          <w:spacing w:val="-2"/>
        </w:rPr>
        <w:t>the</w:t>
      </w:r>
      <w:r>
        <w:rPr>
          <w:spacing w:val="-8"/>
        </w:rPr>
        <w:t> </w:t>
      </w:r>
      <w:r>
        <w:rPr>
          <w:spacing w:val="-2"/>
        </w:rPr>
        <w:t>algorithm</w:t>
      </w:r>
      <w:r>
        <w:rPr>
          <w:spacing w:val="-8"/>
        </w:rPr>
        <w:t> </w:t>
      </w:r>
      <w:r>
        <w:rPr>
          <w:spacing w:val="-2"/>
        </w:rPr>
        <w:t>cannot</w:t>
      </w:r>
      <w:r>
        <w:rPr>
          <w:spacing w:val="-8"/>
        </w:rPr>
        <w:t> </w:t>
      </w:r>
      <w:r>
        <w:rPr>
          <w:spacing w:val="-2"/>
        </w:rPr>
        <w:t>split</w:t>
      </w:r>
      <w:r>
        <w:rPr>
          <w:spacing w:val="-8"/>
        </w:rPr>
        <w:t> </w:t>
      </w:r>
      <w:r>
        <w:rPr>
          <w:spacing w:val="-2"/>
        </w:rPr>
        <w:t>the</w:t>
      </w:r>
      <w:r>
        <w:rPr>
          <w:spacing w:val="-8"/>
        </w:rPr>
        <w:t> </w:t>
      </w:r>
      <w:r>
        <w:rPr>
          <w:spacing w:val="-2"/>
        </w:rPr>
        <w:t>data</w:t>
      </w:r>
      <w:r>
        <w:rPr>
          <w:spacing w:val="-8"/>
        </w:rPr>
        <w:t> </w:t>
      </w:r>
      <w:r>
        <w:rPr>
          <w:spacing w:val="-2"/>
        </w:rPr>
        <w:t>more</w:t>
      </w:r>
      <w:r>
        <w:rPr>
          <w:spacing w:val="-8"/>
        </w:rPr>
        <w:t> </w:t>
      </w:r>
      <w:r>
        <w:rPr>
          <w:spacing w:val="-2"/>
        </w:rPr>
        <w:t>than</w:t>
      </w:r>
      <w:r>
        <w:rPr>
          <w:spacing w:val="-8"/>
        </w:rPr>
        <w:t> </w:t>
      </w:r>
      <w:r>
        <w:rPr>
          <w:spacing w:val="-2"/>
        </w:rPr>
        <w:t>a</w:t>
      </w:r>
      <w:r>
        <w:rPr>
          <w:spacing w:val="-8"/>
        </w:rPr>
        <w:t> </w:t>
      </w:r>
      <w:r>
        <w:rPr>
          <w:spacing w:val="-2"/>
        </w:rPr>
        <w:t>few</w:t>
      </w:r>
      <w:r>
        <w:rPr>
          <w:spacing w:val="-8"/>
        </w:rPr>
        <w:t> </w:t>
      </w:r>
      <w:r>
        <w:rPr>
          <w:spacing w:val="-2"/>
        </w:rPr>
        <w:t>times</w:t>
      </w:r>
      <w:r>
        <w:rPr>
          <w:spacing w:val="-8"/>
        </w:rPr>
        <w:t> </w:t>
      </w:r>
      <w:r>
        <w:rPr>
          <w:spacing w:val="-2"/>
        </w:rPr>
        <w:t>before</w:t>
      </w:r>
      <w:r>
        <w:rPr>
          <w:spacing w:val="-8"/>
        </w:rPr>
        <w:t> </w:t>
      </w:r>
      <w:r>
        <w:rPr>
          <w:spacing w:val="-2"/>
        </w:rPr>
        <w:t>individual</w:t>
      </w:r>
      <w:r>
        <w:rPr>
          <w:spacing w:val="-8"/>
        </w:rPr>
        <w:t> </w:t>
      </w:r>
      <w:r>
        <w:rPr>
          <w:spacing w:val="-2"/>
        </w:rPr>
        <w:t>leaves</w:t>
      </w:r>
      <w:r>
        <w:rPr>
          <w:spacing w:val="-8"/>
        </w:rPr>
        <w:t> </w:t>
      </w:r>
      <w:r>
        <w:rPr>
          <w:spacing w:val="-2"/>
        </w:rPr>
        <w:t>become</w:t>
      </w:r>
      <w:r>
        <w:rPr>
          <w:spacing w:val="-8"/>
        </w:rPr>
        <w:t> </w:t>
      </w:r>
      <w:r>
        <w:rPr>
          <w:spacing w:val="-2"/>
        </w:rPr>
        <w:t>too</w:t>
      </w:r>
      <w:r>
        <w:rPr>
          <w:spacing w:val="-8"/>
        </w:rPr>
        <w:t> </w:t>
      </w:r>
      <w:r>
        <w:rPr>
          <w:spacing w:val="-2"/>
        </w:rPr>
        <w:t>small </w:t>
      </w:r>
      <w:r>
        <w:rPr/>
        <w:t>for stable regression.</w:t>
      </w:r>
      <w:r>
        <w:rPr>
          <w:spacing w:val="40"/>
        </w:rPr>
        <w:t> </w:t>
      </w:r>
      <w:r>
        <w:rPr/>
        <w:t>In practice, M5Rules found no beneficial split in either region on the full dataset, collapsing to a single global linear model:</w:t>
      </w:r>
      <w:r>
        <w:rPr>
          <w:spacing w:val="16"/>
        </w:rPr>
        <w:t> </w:t>
      </w:r>
      <w:r>
        <w:rPr/>
        <w:t>one rule with no conditions that applies to all</w:t>
      </w:r>
    </w:p>
    <w:p>
      <w:pPr>
        <w:pStyle w:val="BodyText"/>
        <w:spacing w:after="0" w:line="312" w:lineRule="auto"/>
        <w:jc w:val="both"/>
        <w:sectPr>
          <w:pgSz w:w="11910" w:h="16840"/>
          <w:pgMar w:header="1160" w:footer="0" w:top="1420" w:bottom="280" w:left="1275" w:right="425"/>
        </w:sectPr>
      </w:pPr>
    </w:p>
    <w:p>
      <w:pPr>
        <w:pStyle w:val="BodyText"/>
        <w:spacing w:before="221"/>
      </w:pPr>
    </w:p>
    <w:p>
      <w:pPr>
        <w:pStyle w:val="BodyText"/>
        <w:spacing w:line="328" w:lineRule="exact" w:before="1"/>
        <w:ind w:left="701" w:right="963" w:firstLine="7"/>
        <w:jc w:val="both"/>
      </w:pPr>
      <w:r>
        <w:rPr/>
        <w:t>observations.</w:t>
      </w:r>
      <w:r>
        <w:rPr>
          <w:spacing w:val="-5"/>
        </w:rPr>
        <w:t> </w:t>
      </w:r>
      <w:r>
        <w:rPr/>
        <w:t>This</w:t>
      </w:r>
      <w:r>
        <w:rPr>
          <w:spacing w:val="-7"/>
        </w:rPr>
        <w:t> </w:t>
      </w:r>
      <w:r>
        <w:rPr/>
        <w:t>global</w:t>
      </w:r>
      <w:r>
        <w:rPr>
          <w:spacing w:val="-8"/>
        </w:rPr>
        <w:t> </w:t>
      </w:r>
      <w:r>
        <w:rPr/>
        <w:t>model</w:t>
      </w:r>
      <w:r>
        <w:rPr>
          <w:spacing w:val="-8"/>
        </w:rPr>
        <w:t> </w:t>
      </w:r>
      <w:r>
        <w:rPr/>
        <w:t>fits</w:t>
      </w:r>
      <w:r>
        <w:rPr>
          <w:spacing w:val="-8"/>
        </w:rPr>
        <w:t> </w:t>
      </w:r>
      <w:r>
        <w:rPr/>
        <w:t>the</w:t>
      </w:r>
      <w:r>
        <w:rPr>
          <w:spacing w:val="-8"/>
        </w:rPr>
        <w:t> </w:t>
      </w:r>
      <w:r>
        <w:rPr/>
        <w:t>training</w:t>
      </w:r>
      <w:r>
        <w:rPr>
          <w:spacing w:val="-8"/>
        </w:rPr>
        <w:t> </w:t>
      </w:r>
      <w:r>
        <w:rPr/>
        <w:t>data</w:t>
      </w:r>
      <w:r>
        <w:rPr>
          <w:spacing w:val="-8"/>
        </w:rPr>
        <w:t> </w:t>
      </w:r>
      <w:r>
        <w:rPr/>
        <w:t>with</w:t>
      </w:r>
      <w:r>
        <w:rPr>
          <w:spacing w:val="-8"/>
        </w:rPr>
        <w:t> </w:t>
      </w:r>
      <w:r>
        <w:rPr/>
        <w:t>R</w:t>
      </w:r>
      <w:r>
        <w:rPr>
          <w:vertAlign w:val="superscript"/>
        </w:rPr>
        <w:t>2</w:t>
      </w:r>
      <w:r>
        <w:rPr>
          <w:vertAlign w:val="baseline"/>
        </w:rPr>
        <w:t> </w:t>
      </w:r>
      <w:r>
        <w:rPr>
          <w:rFonts w:ascii="Meiryo UI" w:hAnsi="Meiryo UI"/>
          <w:i/>
          <w:vertAlign w:val="baseline"/>
        </w:rPr>
        <w:t>≈</w:t>
      </w:r>
      <w:r>
        <w:rPr>
          <w:rFonts w:ascii="Meiryo UI" w:hAnsi="Meiryo UI"/>
          <w:i/>
          <w:spacing w:val="-19"/>
          <w:vertAlign w:val="baseline"/>
        </w:rPr>
        <w:t> </w:t>
      </w:r>
      <w:r>
        <w:rPr>
          <w:vertAlign w:val="baseline"/>
        </w:rPr>
        <w:t>0.40–0.53</w:t>
      </w:r>
      <w:r>
        <w:rPr>
          <w:spacing w:val="-7"/>
          <w:vertAlign w:val="baseline"/>
        </w:rPr>
        <w:t> </w:t>
      </w:r>
      <w:r>
        <w:rPr>
          <w:vertAlign w:val="baseline"/>
        </w:rPr>
        <w:t>but</w:t>
      </w:r>
      <w:r>
        <w:rPr>
          <w:spacing w:val="-8"/>
          <w:vertAlign w:val="baseline"/>
        </w:rPr>
        <w:t> </w:t>
      </w:r>
      <w:r>
        <w:rPr>
          <w:vertAlign w:val="baseline"/>
        </w:rPr>
        <w:t>generalises</w:t>
      </w:r>
      <w:r>
        <w:rPr>
          <w:spacing w:val="-8"/>
          <w:vertAlign w:val="baseline"/>
        </w:rPr>
        <w:t> </w:t>
      </w:r>
      <w:r>
        <w:rPr>
          <w:vertAlign w:val="baseline"/>
        </w:rPr>
        <w:t>poorly, with cross-validated R</w:t>
      </w:r>
      <w:r>
        <w:rPr>
          <w:vertAlign w:val="superscript"/>
        </w:rPr>
        <w:t>2</w:t>
      </w:r>
      <w:r>
        <w:rPr>
          <w:vertAlign w:val="baseline"/>
        </w:rPr>
        <w:t> falling to 0.004 (RDD) and -0.07 (RVV). The negative CV R</w:t>
      </w:r>
      <w:r>
        <w:rPr>
          <w:vertAlign w:val="superscript"/>
        </w:rPr>
        <w:t>2</w:t>
      </w:r>
      <w:r>
        <w:rPr>
          <w:vertAlign w:val="baseline"/>
        </w:rPr>
        <w:t> for RVV confirms</w:t>
      </w:r>
      <w:r>
        <w:rPr>
          <w:spacing w:val="-10"/>
          <w:vertAlign w:val="baseline"/>
        </w:rPr>
        <w:t> </w:t>
      </w:r>
      <w:r>
        <w:rPr>
          <w:vertAlign w:val="baseline"/>
        </w:rPr>
        <w:t>that</w:t>
      </w:r>
      <w:r>
        <w:rPr>
          <w:spacing w:val="-10"/>
          <w:vertAlign w:val="baseline"/>
        </w:rPr>
        <w:t> </w:t>
      </w:r>
      <w:r>
        <w:rPr>
          <w:vertAlign w:val="baseline"/>
        </w:rPr>
        <w:t>the</w:t>
      </w:r>
      <w:r>
        <w:rPr>
          <w:spacing w:val="-10"/>
          <w:vertAlign w:val="baseline"/>
        </w:rPr>
        <w:t> </w:t>
      </w:r>
      <w:r>
        <w:rPr>
          <w:vertAlign w:val="baseline"/>
        </w:rPr>
        <w:t>model</w:t>
      </w:r>
      <w:r>
        <w:rPr>
          <w:spacing w:val="-10"/>
          <w:vertAlign w:val="baseline"/>
        </w:rPr>
        <w:t> </w:t>
      </w:r>
      <w:r>
        <w:rPr>
          <w:vertAlign w:val="baseline"/>
        </w:rPr>
        <w:t>is</w:t>
      </w:r>
      <w:r>
        <w:rPr>
          <w:spacing w:val="-10"/>
          <w:vertAlign w:val="baseline"/>
        </w:rPr>
        <w:t> </w:t>
      </w:r>
      <w:r>
        <w:rPr>
          <w:vertAlign w:val="baseline"/>
        </w:rPr>
        <w:t>worse</w:t>
      </w:r>
      <w:r>
        <w:rPr>
          <w:spacing w:val="-10"/>
          <w:vertAlign w:val="baseline"/>
        </w:rPr>
        <w:t> </w:t>
      </w:r>
      <w:r>
        <w:rPr>
          <w:vertAlign w:val="baseline"/>
        </w:rPr>
        <w:t>than</w:t>
      </w:r>
      <w:r>
        <w:rPr>
          <w:spacing w:val="-10"/>
          <w:vertAlign w:val="baseline"/>
        </w:rPr>
        <w:t> </w:t>
      </w:r>
      <w:r>
        <w:rPr>
          <w:vertAlign w:val="baseline"/>
        </w:rPr>
        <w:t>simply</w:t>
      </w:r>
      <w:r>
        <w:rPr>
          <w:spacing w:val="-10"/>
          <w:vertAlign w:val="baseline"/>
        </w:rPr>
        <w:t> </w:t>
      </w:r>
      <w:r>
        <w:rPr>
          <w:vertAlign w:val="baseline"/>
        </w:rPr>
        <w:t>predicting</w:t>
      </w:r>
      <w:r>
        <w:rPr>
          <w:spacing w:val="-10"/>
          <w:vertAlign w:val="baseline"/>
        </w:rPr>
        <w:t> </w:t>
      </w:r>
      <w:r>
        <w:rPr>
          <w:vertAlign w:val="baseline"/>
        </w:rPr>
        <w:t>the</w:t>
      </w:r>
      <w:r>
        <w:rPr>
          <w:spacing w:val="-10"/>
          <w:vertAlign w:val="baseline"/>
        </w:rPr>
        <w:t> </w:t>
      </w:r>
      <w:r>
        <w:rPr>
          <w:vertAlign w:val="baseline"/>
        </w:rPr>
        <w:t>global</w:t>
      </w:r>
      <w:r>
        <w:rPr>
          <w:spacing w:val="-10"/>
          <w:vertAlign w:val="baseline"/>
        </w:rPr>
        <w:t> </w:t>
      </w:r>
      <w:r>
        <w:rPr>
          <w:vertAlign w:val="baseline"/>
        </w:rPr>
        <w:t>mean;</w:t>
      </w:r>
      <w:r>
        <w:rPr>
          <w:spacing w:val="-10"/>
          <w:vertAlign w:val="baseline"/>
        </w:rPr>
        <w:t> </w:t>
      </w:r>
      <w:r>
        <w:rPr>
          <w:vertAlign w:val="baseline"/>
        </w:rPr>
        <w:t>it</w:t>
      </w:r>
      <w:r>
        <w:rPr>
          <w:spacing w:val="-10"/>
          <w:vertAlign w:val="baseline"/>
        </w:rPr>
        <w:t> </w:t>
      </w:r>
      <w:r>
        <w:rPr>
          <w:vertAlign w:val="baseline"/>
        </w:rPr>
        <w:t>has</w:t>
      </w:r>
      <w:r>
        <w:rPr>
          <w:spacing w:val="-10"/>
          <w:vertAlign w:val="baseline"/>
        </w:rPr>
        <w:t> </w:t>
      </w:r>
      <w:r>
        <w:rPr>
          <w:vertAlign w:val="baseline"/>
        </w:rPr>
        <w:t>overfit</w:t>
      </w:r>
      <w:r>
        <w:rPr>
          <w:spacing w:val="-10"/>
          <w:vertAlign w:val="baseline"/>
        </w:rPr>
        <w:t> </w:t>
      </w:r>
      <w:r>
        <w:rPr>
          <w:vertAlign w:val="baseline"/>
        </w:rPr>
        <w:t>the</w:t>
      </w:r>
      <w:r>
        <w:rPr>
          <w:spacing w:val="-10"/>
          <w:vertAlign w:val="baseline"/>
        </w:rPr>
        <w:t> </w:t>
      </w:r>
      <w:r>
        <w:rPr>
          <w:vertAlign w:val="baseline"/>
        </w:rPr>
        <w:t>training set despite using a single linear equation.</w:t>
      </w:r>
    </w:p>
    <w:p>
      <w:pPr>
        <w:pStyle w:val="BodyText"/>
        <w:spacing w:line="312" w:lineRule="auto" w:before="64"/>
        <w:ind w:left="702" w:right="952" w:firstLine="345"/>
        <w:jc w:val="both"/>
      </w:pPr>
      <w:r>
        <w:rPr>
          <w:b/>
        </w:rPr>
        <w:t>Comparison</w:t>
      </w:r>
      <w:r>
        <w:rPr>
          <w:b/>
          <w:spacing w:val="-6"/>
        </w:rPr>
        <w:t> </w:t>
      </w:r>
      <w:r>
        <w:rPr>
          <w:b/>
        </w:rPr>
        <w:t>with</w:t>
      </w:r>
      <w:r>
        <w:rPr>
          <w:b/>
          <w:spacing w:val="-6"/>
        </w:rPr>
        <w:t> </w:t>
      </w:r>
      <w:r>
        <w:rPr>
          <w:b/>
        </w:rPr>
        <w:t>CarenR</w:t>
      </w:r>
      <w:r>
        <w:rPr>
          <w:b/>
          <w:spacing w:val="-6"/>
        </w:rPr>
        <w:t> </w:t>
      </w:r>
      <w:r>
        <w:rPr>
          <w:b/>
        </w:rPr>
        <w:t>and</w:t>
      </w:r>
      <w:r>
        <w:rPr>
          <w:b/>
          <w:spacing w:val="-6"/>
        </w:rPr>
        <w:t> </w:t>
      </w:r>
      <w:r>
        <w:rPr>
          <w:b/>
        </w:rPr>
        <w:t>RIPPER.</w:t>
      </w:r>
      <w:r>
        <w:rPr>
          <w:b/>
          <w:spacing w:val="-6"/>
        </w:rPr>
        <w:t> </w:t>
      </w:r>
      <w:r>
        <w:rPr/>
        <w:t>The</w:t>
      </w:r>
      <w:r>
        <w:rPr>
          <w:spacing w:val="-6"/>
        </w:rPr>
        <w:t> </w:t>
      </w:r>
      <w:r>
        <w:rPr/>
        <w:t>three</w:t>
      </w:r>
      <w:r>
        <w:rPr>
          <w:spacing w:val="-6"/>
        </w:rPr>
        <w:t> </w:t>
      </w:r>
      <w:r>
        <w:rPr/>
        <w:t>algorithms</w:t>
      </w:r>
      <w:r>
        <w:rPr>
          <w:spacing w:val="-6"/>
        </w:rPr>
        <w:t> </w:t>
      </w:r>
      <w:r>
        <w:rPr/>
        <w:t>differ</w:t>
      </w:r>
      <w:r>
        <w:rPr>
          <w:spacing w:val="-6"/>
        </w:rPr>
        <w:t> </w:t>
      </w:r>
      <w:r>
        <w:rPr/>
        <w:t>fundamentally</w:t>
      </w:r>
      <w:r>
        <w:rPr>
          <w:spacing w:val="-6"/>
        </w:rPr>
        <w:t> </w:t>
      </w:r>
      <w:r>
        <w:rPr/>
        <w:t>in</w:t>
      </w:r>
      <w:r>
        <w:rPr>
          <w:spacing w:val="-6"/>
        </w:rPr>
        <w:t> </w:t>
      </w:r>
      <w:r>
        <w:rPr/>
        <w:t>what they optimise and what they produce. CarenR searches for distributional anomalies using a non-parametric</w:t>
      </w:r>
      <w:r>
        <w:rPr>
          <w:spacing w:val="-7"/>
        </w:rPr>
        <w:t> </w:t>
      </w:r>
      <w:r>
        <w:rPr/>
        <w:t>test;</w:t>
      </w:r>
      <w:r>
        <w:rPr>
          <w:spacing w:val="-7"/>
        </w:rPr>
        <w:t> </w:t>
      </w:r>
      <w:r>
        <w:rPr/>
        <w:t>it</w:t>
      </w:r>
      <w:r>
        <w:rPr>
          <w:spacing w:val="-7"/>
        </w:rPr>
        <w:t> </w:t>
      </w:r>
      <w:r>
        <w:rPr/>
        <w:t>will</w:t>
      </w:r>
      <w:r>
        <w:rPr>
          <w:spacing w:val="-7"/>
        </w:rPr>
        <w:t> </w:t>
      </w:r>
      <w:r>
        <w:rPr/>
        <w:t>find</w:t>
      </w:r>
      <w:r>
        <w:rPr>
          <w:spacing w:val="-7"/>
        </w:rPr>
        <w:t> </w:t>
      </w:r>
      <w:r>
        <w:rPr/>
        <w:t>a</w:t>
      </w:r>
      <w:r>
        <w:rPr>
          <w:spacing w:val="-7"/>
        </w:rPr>
        <w:t> </w:t>
      </w:r>
      <w:r>
        <w:rPr/>
        <w:t>feature</w:t>
      </w:r>
      <w:r>
        <w:rPr>
          <w:spacing w:val="-7"/>
        </w:rPr>
        <w:t> </w:t>
      </w:r>
      <w:r>
        <w:rPr/>
        <w:t>informative</w:t>
      </w:r>
      <w:r>
        <w:rPr>
          <w:spacing w:val="-7"/>
        </w:rPr>
        <w:t> </w:t>
      </w:r>
      <w:r>
        <w:rPr/>
        <w:t>if</w:t>
      </w:r>
      <w:r>
        <w:rPr>
          <w:spacing w:val="-7"/>
        </w:rPr>
        <w:t> </w:t>
      </w:r>
      <w:r>
        <w:rPr/>
        <w:t>it</w:t>
      </w:r>
      <w:r>
        <w:rPr>
          <w:spacing w:val="-7"/>
        </w:rPr>
        <w:t> </w:t>
      </w:r>
      <w:r>
        <w:rPr/>
        <w:t>shifts</w:t>
      </w:r>
      <w:r>
        <w:rPr>
          <w:spacing w:val="-7"/>
        </w:rPr>
        <w:t> </w:t>
      </w:r>
      <w:r>
        <w:rPr/>
        <w:t>the</w:t>
      </w:r>
      <w:r>
        <w:rPr>
          <w:spacing w:val="-7"/>
        </w:rPr>
        <w:t> </w:t>
      </w:r>
      <w:r>
        <w:rPr/>
        <w:t>distribution</w:t>
      </w:r>
      <w:r>
        <w:rPr>
          <w:spacing w:val="-7"/>
        </w:rPr>
        <w:t> </w:t>
      </w:r>
      <w:r>
        <w:rPr/>
        <w:t>of</w:t>
      </w:r>
      <w:r>
        <w:rPr>
          <w:spacing w:val="-7"/>
        </w:rPr>
        <w:t> </w:t>
      </w:r>
      <w:r>
        <w:rPr/>
        <w:t>production</w:t>
      </w:r>
      <w:r>
        <w:rPr>
          <w:spacing w:val="-7"/>
        </w:rPr>
        <w:t> </w:t>
      </w:r>
      <w:r>
        <w:rPr/>
        <w:t>residuals in a statistically reliable way, even if that shift is not captured by a linear coefficient or a class boundary. RIPPER searches for class-separating conditions using information gain; it will find a feature informative if it concentrates one production class, regardless of the distribution of other classes. M5Rules searches for variance-reducing splits using squared error; it will find a feature informative</w:t>
      </w:r>
      <w:r>
        <w:rPr>
          <w:spacing w:val="-12"/>
        </w:rPr>
        <w:t> </w:t>
      </w:r>
      <w:r>
        <w:rPr/>
        <w:t>if</w:t>
      </w:r>
      <w:r>
        <w:rPr>
          <w:spacing w:val="-12"/>
        </w:rPr>
        <w:t> </w:t>
      </w:r>
      <w:r>
        <w:rPr/>
        <w:t>it</w:t>
      </w:r>
      <w:r>
        <w:rPr>
          <w:spacing w:val="-12"/>
        </w:rPr>
        <w:t> </w:t>
      </w:r>
      <w:r>
        <w:rPr/>
        <w:t>enables</w:t>
      </w:r>
      <w:r>
        <w:rPr>
          <w:spacing w:val="-12"/>
        </w:rPr>
        <w:t> </w:t>
      </w:r>
      <w:r>
        <w:rPr/>
        <w:t>a</w:t>
      </w:r>
      <w:r>
        <w:rPr>
          <w:spacing w:val="-12"/>
        </w:rPr>
        <w:t> </w:t>
      </w:r>
      <w:r>
        <w:rPr/>
        <w:t>more</w:t>
      </w:r>
      <w:r>
        <w:rPr>
          <w:spacing w:val="-12"/>
        </w:rPr>
        <w:t> </w:t>
      </w:r>
      <w:r>
        <w:rPr/>
        <w:t>accurate</w:t>
      </w:r>
      <w:r>
        <w:rPr>
          <w:spacing w:val="-12"/>
        </w:rPr>
        <w:t> </w:t>
      </w:r>
      <w:r>
        <w:rPr/>
        <w:t>linear</w:t>
      </w:r>
      <w:r>
        <w:rPr>
          <w:spacing w:val="-12"/>
        </w:rPr>
        <w:t> </w:t>
      </w:r>
      <w:r>
        <w:rPr/>
        <w:t>model,</w:t>
      </w:r>
      <w:r>
        <w:rPr>
          <w:spacing w:val="-12"/>
        </w:rPr>
        <w:t> </w:t>
      </w:r>
      <w:r>
        <w:rPr/>
        <w:t>penalising</w:t>
      </w:r>
      <w:r>
        <w:rPr>
          <w:spacing w:val="-12"/>
        </w:rPr>
        <w:t> </w:t>
      </w:r>
      <w:r>
        <w:rPr/>
        <w:t>large</w:t>
      </w:r>
      <w:r>
        <w:rPr>
          <w:spacing w:val="-12"/>
        </w:rPr>
        <w:t> </w:t>
      </w:r>
      <w:r>
        <w:rPr/>
        <w:t>deviations</w:t>
      </w:r>
      <w:r>
        <w:rPr>
          <w:spacing w:val="-12"/>
        </w:rPr>
        <w:t> </w:t>
      </w:r>
      <w:r>
        <w:rPr/>
        <w:t>quadratically.</w:t>
      </w:r>
      <w:r>
        <w:rPr>
          <w:spacing w:val="-2"/>
        </w:rPr>
        <w:t> </w:t>
      </w:r>
      <w:r>
        <w:rPr/>
        <w:t>A </w:t>
      </w:r>
      <w:r>
        <w:rPr>
          <w:spacing w:val="-2"/>
        </w:rPr>
        <w:t>feature</w:t>
      </w:r>
      <w:r>
        <w:rPr>
          <w:spacing w:val="-10"/>
        </w:rPr>
        <w:t> </w:t>
      </w:r>
      <w:r>
        <w:rPr>
          <w:spacing w:val="-2"/>
        </w:rPr>
        <w:t>that</w:t>
      </w:r>
      <w:r>
        <w:rPr>
          <w:spacing w:val="-10"/>
        </w:rPr>
        <w:t> </w:t>
      </w:r>
      <w:r>
        <w:rPr>
          <w:spacing w:val="-2"/>
        </w:rPr>
        <w:t>shifts</w:t>
      </w:r>
      <w:r>
        <w:rPr>
          <w:spacing w:val="-10"/>
        </w:rPr>
        <w:t> </w:t>
      </w:r>
      <w:r>
        <w:rPr>
          <w:spacing w:val="-2"/>
        </w:rPr>
        <w:t>the</w:t>
      </w:r>
      <w:r>
        <w:rPr>
          <w:spacing w:val="-10"/>
        </w:rPr>
        <w:t> </w:t>
      </w:r>
      <w:r>
        <w:rPr>
          <w:spacing w:val="-2"/>
        </w:rPr>
        <w:t>mean</w:t>
      </w:r>
      <w:r>
        <w:rPr>
          <w:spacing w:val="-10"/>
        </w:rPr>
        <w:t> </w:t>
      </w:r>
      <w:r>
        <w:rPr>
          <w:spacing w:val="-2"/>
        </w:rPr>
        <w:t>of</w:t>
      </w:r>
      <w:r>
        <w:rPr>
          <w:spacing w:val="-10"/>
        </w:rPr>
        <w:t> </w:t>
      </w:r>
      <w:r>
        <w:rPr>
          <w:spacing w:val="-2"/>
        </w:rPr>
        <w:t>the</w:t>
      </w:r>
      <w:r>
        <w:rPr>
          <w:spacing w:val="-10"/>
        </w:rPr>
        <w:t> </w:t>
      </w:r>
      <w:r>
        <w:rPr>
          <w:spacing w:val="-2"/>
        </w:rPr>
        <w:t>distribution</w:t>
      </w:r>
      <w:r>
        <w:rPr>
          <w:spacing w:val="-10"/>
        </w:rPr>
        <w:t> </w:t>
      </w:r>
      <w:r>
        <w:rPr>
          <w:spacing w:val="-2"/>
        </w:rPr>
        <w:t>of</w:t>
      </w:r>
      <w:r>
        <w:rPr>
          <w:spacing w:val="-10"/>
        </w:rPr>
        <w:t> </w:t>
      </w:r>
      <w:r>
        <w:rPr>
          <w:spacing w:val="-2"/>
        </w:rPr>
        <w:t>production</w:t>
      </w:r>
      <w:r>
        <w:rPr>
          <w:spacing w:val="-10"/>
        </w:rPr>
        <w:t> </w:t>
      </w:r>
      <w:r>
        <w:rPr>
          <w:spacing w:val="-2"/>
        </w:rPr>
        <w:t>residuals</w:t>
      </w:r>
      <w:r>
        <w:rPr>
          <w:spacing w:val="-10"/>
        </w:rPr>
        <w:t> </w:t>
      </w:r>
      <w:r>
        <w:rPr>
          <w:spacing w:val="-2"/>
        </w:rPr>
        <w:t>(detected</w:t>
      </w:r>
      <w:r>
        <w:rPr>
          <w:spacing w:val="-10"/>
        </w:rPr>
        <w:t> </w:t>
      </w:r>
      <w:r>
        <w:rPr>
          <w:spacing w:val="-2"/>
        </w:rPr>
        <w:t>by</w:t>
      </w:r>
      <w:r>
        <w:rPr>
          <w:spacing w:val="-10"/>
        </w:rPr>
        <w:t> </w:t>
      </w:r>
      <w:r>
        <w:rPr>
          <w:spacing w:val="-2"/>
        </w:rPr>
        <w:t>CarenR)</w:t>
      </w:r>
      <w:r>
        <w:rPr>
          <w:spacing w:val="-10"/>
        </w:rPr>
        <w:t> </w:t>
      </w:r>
      <w:r>
        <w:rPr>
          <w:spacing w:val="-2"/>
        </w:rPr>
        <w:t>but</w:t>
      </w:r>
      <w:r>
        <w:rPr>
          <w:spacing w:val="-10"/>
        </w:rPr>
        <w:t> </w:t>
      </w:r>
      <w:r>
        <w:rPr>
          <w:spacing w:val="-2"/>
        </w:rPr>
        <w:t>does </w:t>
      </w:r>
      <w:r>
        <w:rPr/>
        <w:t>not</w:t>
      </w:r>
      <w:r>
        <w:rPr>
          <w:spacing w:val="-14"/>
        </w:rPr>
        <w:t> </w:t>
      </w:r>
      <w:r>
        <w:rPr/>
        <w:t>cleanly</w:t>
      </w:r>
      <w:r>
        <w:rPr>
          <w:spacing w:val="-14"/>
        </w:rPr>
        <w:t> </w:t>
      </w:r>
      <w:r>
        <w:rPr/>
        <w:t>separate</w:t>
      </w:r>
      <w:r>
        <w:rPr>
          <w:spacing w:val="-13"/>
        </w:rPr>
        <w:t> </w:t>
      </w:r>
      <w:r>
        <w:rPr/>
        <w:t>the</w:t>
      </w:r>
      <w:r>
        <w:rPr>
          <w:spacing w:val="-14"/>
        </w:rPr>
        <w:t> </w:t>
      </w:r>
      <w:r>
        <w:rPr/>
        <w:t>three</w:t>
      </w:r>
      <w:r>
        <w:rPr>
          <w:spacing w:val="-14"/>
        </w:rPr>
        <w:t> </w:t>
      </w:r>
      <w:r>
        <w:rPr/>
        <w:t>classes</w:t>
      </w:r>
      <w:r>
        <w:rPr>
          <w:spacing w:val="-13"/>
        </w:rPr>
        <w:t> </w:t>
      </w:r>
      <w:r>
        <w:rPr/>
        <w:t>(not</w:t>
      </w:r>
      <w:r>
        <w:rPr>
          <w:spacing w:val="-14"/>
        </w:rPr>
        <w:t> </w:t>
      </w:r>
      <w:r>
        <w:rPr/>
        <w:t>detected</w:t>
      </w:r>
      <w:r>
        <w:rPr>
          <w:spacing w:val="-14"/>
        </w:rPr>
        <w:t> </w:t>
      </w:r>
      <w:r>
        <w:rPr/>
        <w:t>by</w:t>
      </w:r>
      <w:r>
        <w:rPr>
          <w:spacing w:val="-13"/>
        </w:rPr>
        <w:t> </w:t>
      </w:r>
      <w:r>
        <w:rPr/>
        <w:t>RIPPER)</w:t>
      </w:r>
      <w:r>
        <w:rPr>
          <w:spacing w:val="-14"/>
        </w:rPr>
        <w:t> </w:t>
      </w:r>
      <w:r>
        <w:rPr/>
        <w:t>and</w:t>
      </w:r>
      <w:r>
        <w:rPr>
          <w:spacing w:val="-14"/>
        </w:rPr>
        <w:t> </w:t>
      </w:r>
      <w:r>
        <w:rPr/>
        <w:t>adds</w:t>
      </w:r>
      <w:r>
        <w:rPr>
          <w:spacing w:val="-13"/>
        </w:rPr>
        <w:t> </w:t>
      </w:r>
      <w:r>
        <w:rPr/>
        <w:t>noise</w:t>
      </w:r>
      <w:r>
        <w:rPr>
          <w:spacing w:val="-14"/>
        </w:rPr>
        <w:t> </w:t>
      </w:r>
      <w:r>
        <w:rPr/>
        <w:t>rather</w:t>
      </w:r>
      <w:r>
        <w:rPr>
          <w:spacing w:val="-14"/>
        </w:rPr>
        <w:t> </w:t>
      </w:r>
      <w:r>
        <w:rPr/>
        <w:t>than</w:t>
      </w:r>
      <w:r>
        <w:rPr>
          <w:spacing w:val="-13"/>
        </w:rPr>
        <w:t> </w:t>
      </w:r>
      <w:r>
        <w:rPr/>
        <w:t>linearity to the regression (not detected by M5Rules) will appear in CarenR’s output but not in the others. This is precisely the situation for LAI at harvest in Vinho Verde, as discussed in Section </w:t>
      </w:r>
      <w:hyperlink w:history="true" w:anchor="_bookmark89">
        <w:r>
          <w:rPr>
            <w:color w:val="8B2C18"/>
          </w:rPr>
          <w:t>4.6.2</w:t>
        </w:r>
      </w:hyperlink>
      <w:r>
        <w:rPr/>
        <w:t>.</w:t>
      </w:r>
    </w:p>
    <w:p>
      <w:pPr>
        <w:pStyle w:val="BodyText"/>
        <w:spacing w:before="169"/>
      </w:pPr>
    </w:p>
    <w:p>
      <w:pPr>
        <w:pStyle w:val="Heading2"/>
        <w:numPr>
          <w:ilvl w:val="1"/>
          <w:numId w:val="17"/>
        </w:numPr>
        <w:tabs>
          <w:tab w:pos="1354" w:val="left" w:leader="none"/>
        </w:tabs>
        <w:spacing w:line="240" w:lineRule="auto" w:before="0" w:after="0"/>
        <w:ind w:left="1354" w:right="0" w:hanging="645"/>
        <w:jc w:val="left"/>
      </w:pPr>
      <w:bookmarkStart w:name="3.5 Walk-Forward Validation Protocol" w:id="83"/>
      <w:bookmarkEnd w:id="83"/>
      <w:r>
        <w:rPr>
          <w:b w:val="0"/>
        </w:rPr>
      </w:r>
      <w:bookmarkStart w:name="_bookmark42" w:id="84"/>
      <w:bookmarkEnd w:id="84"/>
      <w:r>
        <w:rPr>
          <w:b w:val="0"/>
        </w:rPr>
      </w:r>
      <w:r>
        <w:rPr/>
        <w:t>Walk-Forward</w:t>
      </w:r>
      <w:r>
        <w:rPr>
          <w:spacing w:val="4"/>
        </w:rPr>
        <w:t> </w:t>
      </w:r>
      <w:r>
        <w:rPr/>
        <w:t>Validation</w:t>
      </w:r>
      <w:r>
        <w:rPr>
          <w:spacing w:val="5"/>
        </w:rPr>
        <w:t> </w:t>
      </w:r>
      <w:r>
        <w:rPr>
          <w:spacing w:val="-2"/>
        </w:rPr>
        <w:t>Protocol</w:t>
      </w:r>
    </w:p>
    <w:p>
      <w:pPr>
        <w:pStyle w:val="BodyText"/>
        <w:spacing w:line="312" w:lineRule="auto" w:before="299"/>
        <w:ind w:left="702" w:right="952" w:firstLine="6"/>
        <w:jc w:val="both"/>
      </w:pPr>
      <w:r>
        <w:rPr/>
        <w:t>Model</w:t>
      </w:r>
      <w:r>
        <w:rPr>
          <w:spacing w:val="-7"/>
        </w:rPr>
        <w:t> </w:t>
      </w:r>
      <w:r>
        <w:rPr/>
        <w:t>performance</w:t>
      </w:r>
      <w:r>
        <w:rPr>
          <w:spacing w:val="-7"/>
        </w:rPr>
        <w:t> </w:t>
      </w:r>
      <w:r>
        <w:rPr/>
        <w:t>for</w:t>
      </w:r>
      <w:r>
        <w:rPr>
          <w:spacing w:val="-7"/>
        </w:rPr>
        <w:t> </w:t>
      </w:r>
      <w:r>
        <w:rPr/>
        <w:t>Goal</w:t>
      </w:r>
      <w:r>
        <w:rPr>
          <w:spacing w:val="-7"/>
        </w:rPr>
        <w:t> </w:t>
      </w:r>
      <w:r>
        <w:rPr/>
        <w:t>2</w:t>
      </w:r>
      <w:r>
        <w:rPr>
          <w:spacing w:val="-7"/>
        </w:rPr>
        <w:t> </w:t>
      </w:r>
      <w:r>
        <w:rPr/>
        <w:t>was</w:t>
      </w:r>
      <w:r>
        <w:rPr>
          <w:spacing w:val="-7"/>
        </w:rPr>
        <w:t> </w:t>
      </w:r>
      <w:r>
        <w:rPr/>
        <w:t>assessed</w:t>
      </w:r>
      <w:r>
        <w:rPr>
          <w:spacing w:val="-7"/>
        </w:rPr>
        <w:t> </w:t>
      </w:r>
      <w:r>
        <w:rPr/>
        <w:t>using</w:t>
      </w:r>
      <w:r>
        <w:rPr>
          <w:spacing w:val="-7"/>
        </w:rPr>
        <w:t> </w:t>
      </w:r>
      <w:r>
        <w:rPr/>
        <w:t>a</w:t>
      </w:r>
      <w:r>
        <w:rPr>
          <w:spacing w:val="-7"/>
        </w:rPr>
        <w:t> </w:t>
      </w:r>
      <w:r>
        <w:rPr/>
        <w:t>walk-forward</w:t>
      </w:r>
      <w:r>
        <w:rPr>
          <w:spacing w:val="-7"/>
        </w:rPr>
        <w:t> </w:t>
      </w:r>
      <w:r>
        <w:rPr/>
        <w:t>expanding-window</w:t>
      </w:r>
      <w:r>
        <w:rPr>
          <w:spacing w:val="-7"/>
        </w:rPr>
        <w:t> </w:t>
      </w:r>
      <w:r>
        <w:rPr/>
        <w:t>validation. The earliest 80% of each regional time series defines the minimum training window.</w:t>
      </w:r>
      <w:r>
        <w:rPr>
          <w:spacing w:val="40"/>
        </w:rPr>
        <w:t> </w:t>
      </w:r>
      <w:r>
        <w:rPr/>
        <w:t>At each subsequent</w:t>
      </w:r>
      <w:r>
        <w:rPr>
          <w:spacing w:val="-6"/>
        </w:rPr>
        <w:t> </w:t>
      </w:r>
      <w:r>
        <w:rPr/>
        <w:t>step</w:t>
      </w:r>
      <w:r>
        <w:rPr>
          <w:spacing w:val="-6"/>
        </w:rPr>
        <w:t> </w:t>
      </w:r>
      <w:r>
        <w:rPr/>
        <w:t>(scenario),</w:t>
      </w:r>
      <w:r>
        <w:rPr>
          <w:spacing w:val="-6"/>
        </w:rPr>
        <w:t> </w:t>
      </w:r>
      <w:r>
        <w:rPr/>
        <w:t>the</w:t>
      </w:r>
      <w:r>
        <w:rPr>
          <w:spacing w:val="-6"/>
        </w:rPr>
        <w:t> </w:t>
      </w:r>
      <w:r>
        <w:rPr/>
        <w:t>training</w:t>
      </w:r>
      <w:r>
        <w:rPr>
          <w:spacing w:val="-6"/>
        </w:rPr>
        <w:t> </w:t>
      </w:r>
      <w:r>
        <w:rPr/>
        <w:t>window</w:t>
      </w:r>
      <w:r>
        <w:rPr>
          <w:spacing w:val="-6"/>
        </w:rPr>
        <w:t> </w:t>
      </w:r>
      <w:r>
        <w:rPr/>
        <w:t>is</w:t>
      </w:r>
      <w:r>
        <w:rPr>
          <w:spacing w:val="-6"/>
        </w:rPr>
        <w:t> </w:t>
      </w:r>
      <w:r>
        <w:rPr/>
        <w:t>extended</w:t>
      </w:r>
      <w:r>
        <w:rPr>
          <w:spacing w:val="-6"/>
        </w:rPr>
        <w:t> </w:t>
      </w:r>
      <w:r>
        <w:rPr/>
        <w:t>by</w:t>
      </w:r>
      <w:r>
        <w:rPr>
          <w:spacing w:val="-6"/>
        </w:rPr>
        <w:t> </w:t>
      </w:r>
      <w:r>
        <w:rPr/>
        <w:t>one</w:t>
      </w:r>
      <w:r>
        <w:rPr>
          <w:spacing w:val="-6"/>
        </w:rPr>
        <w:t> </w:t>
      </w:r>
      <w:r>
        <w:rPr/>
        <w:t>year</w:t>
      </w:r>
      <w:r>
        <w:rPr>
          <w:spacing w:val="-6"/>
        </w:rPr>
        <w:t> </w:t>
      </w:r>
      <w:r>
        <w:rPr/>
        <w:t>and</w:t>
      </w:r>
      <w:r>
        <w:rPr>
          <w:spacing w:val="-6"/>
        </w:rPr>
        <w:t> </w:t>
      </w:r>
      <w:r>
        <w:rPr/>
        <w:t>the</w:t>
      </w:r>
      <w:r>
        <w:rPr>
          <w:spacing w:val="-6"/>
        </w:rPr>
        <w:t> </w:t>
      </w:r>
      <w:r>
        <w:rPr/>
        <w:t>model</w:t>
      </w:r>
      <w:r>
        <w:rPr>
          <w:spacing w:val="-6"/>
        </w:rPr>
        <w:t> </w:t>
      </w:r>
      <w:r>
        <w:rPr/>
        <w:t>is</w:t>
      </w:r>
      <w:r>
        <w:rPr>
          <w:spacing w:val="-6"/>
        </w:rPr>
        <w:t> </w:t>
      </w:r>
      <w:r>
        <w:rPr/>
        <w:t>re-fitted from scratch on all available training data; the next year is then predicted and its prediction error </w:t>
      </w:r>
      <w:r>
        <w:rPr>
          <w:spacing w:val="-2"/>
        </w:rPr>
        <w:t>recorded. This</w:t>
      </w:r>
      <w:r>
        <w:rPr>
          <w:spacing w:val="-6"/>
        </w:rPr>
        <w:t> </w:t>
      </w:r>
      <w:r>
        <w:rPr>
          <w:spacing w:val="-2"/>
        </w:rPr>
        <w:t>generates</w:t>
      </w:r>
      <w:r>
        <w:rPr>
          <w:spacing w:val="-6"/>
        </w:rPr>
        <w:t> </w:t>
      </w:r>
      <w:r>
        <w:rPr>
          <w:spacing w:val="-2"/>
        </w:rPr>
        <w:t>18</w:t>
      </w:r>
      <w:r>
        <w:rPr>
          <w:spacing w:val="-6"/>
        </w:rPr>
        <w:t> </w:t>
      </w:r>
      <w:r>
        <w:rPr>
          <w:spacing w:val="-2"/>
        </w:rPr>
        <w:t>evaluation</w:t>
      </w:r>
      <w:r>
        <w:rPr>
          <w:spacing w:val="-6"/>
        </w:rPr>
        <w:t> </w:t>
      </w:r>
      <w:r>
        <w:rPr>
          <w:spacing w:val="-2"/>
        </w:rPr>
        <w:t>scenarios</w:t>
      </w:r>
      <w:r>
        <w:rPr>
          <w:spacing w:val="-6"/>
        </w:rPr>
        <w:t> </w:t>
      </w:r>
      <w:r>
        <w:rPr>
          <w:spacing w:val="-2"/>
        </w:rPr>
        <w:t>for</w:t>
      </w:r>
      <w:r>
        <w:rPr>
          <w:spacing w:val="-6"/>
        </w:rPr>
        <w:t> </w:t>
      </w:r>
      <w:r>
        <w:rPr>
          <w:spacing w:val="-2"/>
        </w:rPr>
        <w:t>RDD</w:t>
      </w:r>
      <w:r>
        <w:rPr>
          <w:spacing w:val="-6"/>
        </w:rPr>
        <w:t> </w:t>
      </w:r>
      <w:r>
        <w:rPr>
          <w:spacing w:val="-2"/>
        </w:rPr>
        <w:t>and</w:t>
      </w:r>
      <w:r>
        <w:rPr>
          <w:spacing w:val="-6"/>
        </w:rPr>
        <w:t> </w:t>
      </w:r>
      <w:r>
        <w:rPr>
          <w:spacing w:val="-2"/>
        </w:rPr>
        <w:t>16</w:t>
      </w:r>
      <w:r>
        <w:rPr>
          <w:spacing w:val="-6"/>
        </w:rPr>
        <w:t> </w:t>
      </w:r>
      <w:r>
        <w:rPr>
          <w:spacing w:val="-2"/>
        </w:rPr>
        <w:t>for</w:t>
      </w:r>
      <w:r>
        <w:rPr>
          <w:spacing w:val="-6"/>
        </w:rPr>
        <w:t> </w:t>
      </w:r>
      <w:r>
        <w:rPr>
          <w:spacing w:val="-2"/>
        </w:rPr>
        <w:t>RVV.</w:t>
      </w:r>
      <w:r>
        <w:rPr>
          <w:spacing w:val="-6"/>
        </w:rPr>
        <w:t> </w:t>
      </w:r>
      <w:r>
        <w:rPr>
          <w:spacing w:val="-2"/>
        </w:rPr>
        <w:t>All</w:t>
      </w:r>
      <w:r>
        <w:rPr>
          <w:spacing w:val="-6"/>
        </w:rPr>
        <w:t> </w:t>
      </w:r>
      <w:r>
        <w:rPr>
          <w:spacing w:val="-2"/>
        </w:rPr>
        <w:t>preprocessing</w:t>
      </w:r>
      <w:r>
        <w:rPr>
          <w:spacing w:val="-6"/>
        </w:rPr>
        <w:t> </w:t>
      </w:r>
      <w:r>
        <w:rPr>
          <w:spacing w:val="-2"/>
        </w:rPr>
        <w:t>steps</w:t>
      </w:r>
    </w:p>
    <w:p>
      <w:pPr>
        <w:pStyle w:val="BodyText"/>
        <w:spacing w:line="312" w:lineRule="auto"/>
        <w:ind w:left="709" w:right="982" w:hanging="44"/>
        <w:jc w:val="both"/>
      </w:pPr>
      <w:r>
        <w:rPr>
          <w:spacing w:val="-2"/>
        </w:rPr>
        <w:t>—</w:t>
      </w:r>
      <w:r>
        <w:rPr>
          <w:spacing w:val="-6"/>
        </w:rPr>
        <w:t> </w:t>
      </w:r>
      <w:r>
        <w:rPr>
          <w:spacing w:val="-2"/>
        </w:rPr>
        <w:t>linear</w:t>
      </w:r>
      <w:r>
        <w:rPr>
          <w:spacing w:val="-6"/>
        </w:rPr>
        <w:t> </w:t>
      </w:r>
      <w:r>
        <w:rPr>
          <w:spacing w:val="-2"/>
        </w:rPr>
        <w:t>trend</w:t>
      </w:r>
      <w:r>
        <w:rPr>
          <w:spacing w:val="-6"/>
        </w:rPr>
        <w:t> </w:t>
      </w:r>
      <w:r>
        <w:rPr>
          <w:spacing w:val="-2"/>
        </w:rPr>
        <w:t>estimation,</w:t>
      </w:r>
      <w:r>
        <w:rPr>
          <w:spacing w:val="-6"/>
        </w:rPr>
        <w:t> </w:t>
      </w:r>
      <w:r>
        <w:rPr>
          <w:spacing w:val="-2"/>
        </w:rPr>
        <w:t>feature</w:t>
      </w:r>
      <w:r>
        <w:rPr>
          <w:spacing w:val="-6"/>
        </w:rPr>
        <w:t> </w:t>
      </w:r>
      <w:r>
        <w:rPr>
          <w:spacing w:val="-2"/>
        </w:rPr>
        <w:t>discretisation,</w:t>
      </w:r>
      <w:r>
        <w:rPr>
          <w:spacing w:val="-6"/>
        </w:rPr>
        <w:t> </w:t>
      </w:r>
      <w:r>
        <w:rPr>
          <w:spacing w:val="-2"/>
        </w:rPr>
        <w:t>and</w:t>
      </w:r>
      <w:r>
        <w:rPr>
          <w:spacing w:val="-6"/>
        </w:rPr>
        <w:t> </w:t>
      </w:r>
      <w:r>
        <w:rPr>
          <w:spacing w:val="-2"/>
        </w:rPr>
        <w:t>feature</w:t>
      </w:r>
      <w:r>
        <w:rPr>
          <w:spacing w:val="-6"/>
        </w:rPr>
        <w:t> </w:t>
      </w:r>
      <w:r>
        <w:rPr>
          <w:spacing w:val="-2"/>
        </w:rPr>
        <w:t>selection</w:t>
      </w:r>
      <w:r>
        <w:rPr>
          <w:spacing w:val="-6"/>
        </w:rPr>
        <w:t> </w:t>
      </w:r>
      <w:r>
        <w:rPr>
          <w:spacing w:val="-2"/>
        </w:rPr>
        <w:t>—</w:t>
      </w:r>
      <w:r>
        <w:rPr>
          <w:spacing w:val="-6"/>
        </w:rPr>
        <w:t> </w:t>
      </w:r>
      <w:r>
        <w:rPr>
          <w:spacing w:val="-2"/>
        </w:rPr>
        <w:t>are</w:t>
      </w:r>
      <w:r>
        <w:rPr>
          <w:spacing w:val="-6"/>
        </w:rPr>
        <w:t> </w:t>
      </w:r>
      <w:r>
        <w:rPr>
          <w:spacing w:val="-2"/>
        </w:rPr>
        <w:t>performed</w:t>
      </w:r>
      <w:r>
        <w:rPr>
          <w:spacing w:val="-6"/>
        </w:rPr>
        <w:t> </w:t>
      </w:r>
      <w:r>
        <w:rPr>
          <w:spacing w:val="-2"/>
        </w:rPr>
        <w:t>exclusively </w:t>
      </w:r>
      <w:r>
        <w:rPr/>
        <w:t>on the training fold within each scenario to prevent data leakage.</w:t>
      </w:r>
    </w:p>
    <w:p>
      <w:pPr>
        <w:pStyle w:val="BodyText"/>
        <w:spacing w:before="169"/>
      </w:pPr>
    </w:p>
    <w:p>
      <w:pPr>
        <w:pStyle w:val="Heading2"/>
        <w:numPr>
          <w:ilvl w:val="1"/>
          <w:numId w:val="17"/>
        </w:numPr>
        <w:tabs>
          <w:tab w:pos="1354" w:val="left" w:leader="none"/>
        </w:tabs>
        <w:spacing w:line="240" w:lineRule="auto" w:before="1" w:after="0"/>
        <w:ind w:left="1354" w:right="0" w:hanging="645"/>
        <w:jc w:val="left"/>
      </w:pPr>
      <w:bookmarkStart w:name="3.6 Baseline Models" w:id="85"/>
      <w:bookmarkEnd w:id="85"/>
      <w:r>
        <w:rPr>
          <w:b w:val="0"/>
        </w:rPr>
      </w:r>
      <w:bookmarkStart w:name="_bookmark43" w:id="86"/>
      <w:bookmarkEnd w:id="86"/>
      <w:r>
        <w:rPr>
          <w:b w:val="0"/>
        </w:rPr>
      </w:r>
      <w:r>
        <w:rPr/>
        <w:t>Baseline</w:t>
      </w:r>
      <w:r>
        <w:rPr>
          <w:spacing w:val="20"/>
        </w:rPr>
        <w:t> </w:t>
      </w:r>
      <w:r>
        <w:rPr>
          <w:spacing w:val="-2"/>
        </w:rPr>
        <w:t>Models</w:t>
      </w:r>
    </w:p>
    <w:p>
      <w:pPr>
        <w:pStyle w:val="BodyText"/>
        <w:spacing w:line="312" w:lineRule="auto" w:before="298"/>
        <w:ind w:left="709" w:right="990"/>
        <w:jc w:val="both"/>
      </w:pPr>
      <w:r>
        <w:rPr>
          <w:b/>
        </w:rPr>
        <w:t>Naive_Median:</w:t>
      </w:r>
      <w:r>
        <w:rPr>
          <w:b/>
          <w:spacing w:val="28"/>
        </w:rPr>
        <w:t> </w:t>
      </w:r>
      <w:r>
        <w:rPr/>
        <w:t>predicts the median of the training-set residuals for every test year, equivalent to predicting that every test year will be exactly on trend.</w:t>
      </w:r>
      <w:r>
        <w:rPr>
          <w:spacing w:val="40"/>
        </w:rPr>
        <w:t> </w:t>
      </w:r>
      <w:r>
        <w:rPr/>
        <w:t>Minimises MAE among all </w:t>
      </w:r>
      <w:r>
        <w:rPr/>
        <w:t>constant </w:t>
      </w:r>
      <w:r>
        <w:rPr>
          <w:spacing w:val="-2"/>
        </w:rPr>
        <w:t>predictors.</w:t>
      </w:r>
    </w:p>
    <w:p>
      <w:pPr>
        <w:pStyle w:val="BodyText"/>
        <w:spacing w:line="312" w:lineRule="auto" w:before="5"/>
        <w:ind w:left="709" w:right="990" w:firstLine="338"/>
        <w:jc w:val="both"/>
      </w:pPr>
      <w:r>
        <w:rPr>
          <w:b/>
        </w:rPr>
        <w:t>Naive</w:t>
      </w:r>
      <w:r>
        <w:rPr>
          <w:b/>
          <w:spacing w:val="-3"/>
        </w:rPr>
        <w:t> </w:t>
      </w:r>
      <w:r>
        <w:rPr>
          <w:b/>
        </w:rPr>
        <w:t>(last</w:t>
      </w:r>
      <w:r>
        <w:rPr>
          <w:b/>
          <w:spacing w:val="-3"/>
        </w:rPr>
        <w:t> </w:t>
      </w:r>
      <w:r>
        <w:rPr>
          <w:b/>
        </w:rPr>
        <w:t>value): </w:t>
      </w:r>
      <w:r>
        <w:rPr/>
        <w:t>predicts</w:t>
      </w:r>
      <w:r>
        <w:rPr>
          <w:spacing w:val="-3"/>
        </w:rPr>
        <w:t> </w:t>
      </w:r>
      <w:r>
        <w:rPr/>
        <w:t>the</w:t>
      </w:r>
      <w:r>
        <w:rPr>
          <w:spacing w:val="-3"/>
        </w:rPr>
        <w:t> </w:t>
      </w:r>
      <w:r>
        <w:rPr/>
        <w:t>most</w:t>
      </w:r>
      <w:r>
        <w:rPr>
          <w:spacing w:val="-3"/>
        </w:rPr>
        <w:t> </w:t>
      </w:r>
      <w:r>
        <w:rPr/>
        <w:t>recently</w:t>
      </w:r>
      <w:r>
        <w:rPr>
          <w:spacing w:val="-3"/>
        </w:rPr>
        <w:t> </w:t>
      </w:r>
      <w:r>
        <w:rPr/>
        <w:t>observed</w:t>
      </w:r>
      <w:r>
        <w:rPr>
          <w:spacing w:val="-3"/>
        </w:rPr>
        <w:t> </w:t>
      </w:r>
      <w:r>
        <w:rPr/>
        <w:t>production</w:t>
      </w:r>
      <w:r>
        <w:rPr>
          <w:spacing w:val="-3"/>
        </w:rPr>
        <w:t> </w:t>
      </w:r>
      <w:r>
        <w:rPr/>
        <w:t>value,</w:t>
      </w:r>
      <w:r>
        <w:rPr>
          <w:spacing w:val="-3"/>
        </w:rPr>
        <w:t> </w:t>
      </w:r>
      <w:r>
        <w:rPr/>
        <w:t>corresponding</w:t>
      </w:r>
      <w:r>
        <w:rPr>
          <w:spacing w:val="-3"/>
        </w:rPr>
        <w:t> </w:t>
      </w:r>
      <w:r>
        <w:rPr/>
        <w:t>to</w:t>
      </w:r>
      <w:r>
        <w:rPr>
          <w:spacing w:val="-3"/>
        </w:rPr>
        <w:t> </w:t>
      </w:r>
      <w:r>
        <w:rPr/>
        <w:t>a random-walk assumption.</w:t>
      </w:r>
    </w:p>
    <w:p>
      <w:pPr>
        <w:spacing w:line="312" w:lineRule="auto" w:before="4"/>
        <w:ind w:left="709" w:right="990" w:firstLine="338"/>
        <w:jc w:val="both"/>
        <w:rPr>
          <w:sz w:val="22"/>
        </w:rPr>
      </w:pPr>
      <w:r>
        <w:rPr>
          <w:b/>
          <w:spacing w:val="-2"/>
          <w:sz w:val="22"/>
        </w:rPr>
        <w:t>Naive_MA</w:t>
      </w:r>
      <w:r>
        <w:rPr>
          <w:b/>
          <w:spacing w:val="-12"/>
          <w:sz w:val="22"/>
        </w:rPr>
        <w:t> </w:t>
      </w:r>
      <w:r>
        <w:rPr>
          <w:b/>
          <w:spacing w:val="-2"/>
          <w:sz w:val="22"/>
        </w:rPr>
        <w:t>(moving</w:t>
      </w:r>
      <w:r>
        <w:rPr>
          <w:b/>
          <w:spacing w:val="-12"/>
          <w:sz w:val="22"/>
        </w:rPr>
        <w:t> </w:t>
      </w:r>
      <w:r>
        <w:rPr>
          <w:b/>
          <w:spacing w:val="-2"/>
          <w:sz w:val="22"/>
        </w:rPr>
        <w:t>average):</w:t>
      </w:r>
      <w:r>
        <w:rPr>
          <w:b/>
          <w:sz w:val="22"/>
        </w:rPr>
        <w:t> </w:t>
      </w:r>
      <w:r>
        <w:rPr>
          <w:spacing w:val="-2"/>
          <w:sz w:val="22"/>
        </w:rPr>
        <w:t>predicts</w:t>
      </w:r>
      <w:r>
        <w:rPr>
          <w:spacing w:val="-12"/>
          <w:sz w:val="22"/>
        </w:rPr>
        <w:t> </w:t>
      </w:r>
      <w:r>
        <w:rPr>
          <w:spacing w:val="-2"/>
          <w:sz w:val="22"/>
        </w:rPr>
        <w:t>the</w:t>
      </w:r>
      <w:r>
        <w:rPr>
          <w:spacing w:val="-12"/>
          <w:sz w:val="22"/>
        </w:rPr>
        <w:t> </w:t>
      </w:r>
      <w:r>
        <w:rPr>
          <w:spacing w:val="-2"/>
          <w:sz w:val="22"/>
        </w:rPr>
        <w:t>mean</w:t>
      </w:r>
      <w:r>
        <w:rPr>
          <w:spacing w:val="-12"/>
          <w:sz w:val="22"/>
        </w:rPr>
        <w:t> </w:t>
      </w:r>
      <w:r>
        <w:rPr>
          <w:spacing w:val="-2"/>
          <w:sz w:val="22"/>
        </w:rPr>
        <w:t>of</w:t>
      </w:r>
      <w:r>
        <w:rPr>
          <w:spacing w:val="-11"/>
          <w:sz w:val="22"/>
        </w:rPr>
        <w:t> </w:t>
      </w:r>
      <w:r>
        <w:rPr>
          <w:spacing w:val="-2"/>
          <w:sz w:val="22"/>
        </w:rPr>
        <w:t>the</w:t>
      </w:r>
      <w:r>
        <w:rPr>
          <w:spacing w:val="-12"/>
          <w:sz w:val="22"/>
        </w:rPr>
        <w:t> </w:t>
      </w:r>
      <w:r>
        <w:rPr>
          <w:spacing w:val="-2"/>
          <w:sz w:val="22"/>
        </w:rPr>
        <w:t>three</w:t>
      </w:r>
      <w:r>
        <w:rPr>
          <w:spacing w:val="-12"/>
          <w:sz w:val="22"/>
        </w:rPr>
        <w:t> </w:t>
      </w:r>
      <w:r>
        <w:rPr>
          <w:spacing w:val="-2"/>
          <w:sz w:val="22"/>
        </w:rPr>
        <w:t>most</w:t>
      </w:r>
      <w:r>
        <w:rPr>
          <w:spacing w:val="-12"/>
          <w:sz w:val="22"/>
        </w:rPr>
        <w:t> </w:t>
      </w:r>
      <w:r>
        <w:rPr>
          <w:spacing w:val="-2"/>
          <w:sz w:val="22"/>
        </w:rPr>
        <w:t>recent</w:t>
      </w:r>
      <w:r>
        <w:rPr>
          <w:spacing w:val="-11"/>
          <w:sz w:val="22"/>
        </w:rPr>
        <w:t> </w:t>
      </w:r>
      <w:r>
        <w:rPr>
          <w:spacing w:val="-2"/>
          <w:sz w:val="22"/>
        </w:rPr>
        <w:t>training</w:t>
      </w:r>
      <w:r>
        <w:rPr>
          <w:spacing w:val="-12"/>
          <w:sz w:val="22"/>
        </w:rPr>
        <w:t> </w:t>
      </w:r>
      <w:r>
        <w:rPr>
          <w:spacing w:val="-2"/>
          <w:sz w:val="22"/>
        </w:rPr>
        <w:t>observations </w:t>
      </w:r>
      <w:r>
        <w:rPr>
          <w:sz w:val="22"/>
        </w:rPr>
        <w:t>in original units.</w:t>
      </w:r>
    </w:p>
    <w:p>
      <w:pPr>
        <w:pStyle w:val="BodyText"/>
        <w:spacing w:line="312" w:lineRule="auto" w:before="5"/>
        <w:ind w:left="709" w:right="952" w:firstLine="338"/>
        <w:jc w:val="both"/>
      </w:pPr>
      <w:r>
        <w:rPr>
          <w:b/>
        </w:rPr>
        <w:t>Decision Tree (CART): </w:t>
      </w:r>
      <w:r>
        <w:rPr/>
        <w:t>a CART regressor included as a non-rule-based ML comparator. Unlike the rule-learning algorithms, CART partitions the feature space using recursive binary splits that minimise squared error at each node, producing a tree structure rather than an explicit IF-THEN</w:t>
      </w:r>
      <w:r>
        <w:rPr>
          <w:spacing w:val="-7"/>
        </w:rPr>
        <w:t> </w:t>
      </w:r>
      <w:r>
        <w:rPr/>
        <w:t>rule</w:t>
      </w:r>
      <w:r>
        <w:rPr>
          <w:spacing w:val="-7"/>
        </w:rPr>
        <w:t> </w:t>
      </w:r>
      <w:r>
        <w:rPr/>
        <w:t>list. It</w:t>
      </w:r>
      <w:r>
        <w:rPr>
          <w:spacing w:val="-7"/>
        </w:rPr>
        <w:t> </w:t>
      </w:r>
      <w:r>
        <w:rPr/>
        <w:t>was</w:t>
      </w:r>
      <w:r>
        <w:rPr>
          <w:spacing w:val="-7"/>
        </w:rPr>
        <w:t> </w:t>
      </w:r>
      <w:r>
        <w:rPr/>
        <w:t>included</w:t>
      </w:r>
      <w:r>
        <w:rPr>
          <w:spacing w:val="-7"/>
        </w:rPr>
        <w:t> </w:t>
      </w:r>
      <w:r>
        <w:rPr/>
        <w:t>to</w:t>
      </w:r>
      <w:r>
        <w:rPr>
          <w:spacing w:val="-7"/>
        </w:rPr>
        <w:t> </w:t>
      </w:r>
      <w:r>
        <w:rPr/>
        <w:t>test</w:t>
      </w:r>
      <w:r>
        <w:rPr>
          <w:spacing w:val="-7"/>
        </w:rPr>
        <w:t> </w:t>
      </w:r>
      <w:r>
        <w:rPr/>
        <w:t>whether</w:t>
      </w:r>
      <w:r>
        <w:rPr>
          <w:spacing w:val="-7"/>
        </w:rPr>
        <w:t> </w:t>
      </w:r>
      <w:r>
        <w:rPr/>
        <w:t>the</w:t>
      </w:r>
      <w:r>
        <w:rPr>
          <w:spacing w:val="-7"/>
        </w:rPr>
        <w:t> </w:t>
      </w:r>
      <w:r>
        <w:rPr/>
        <w:t>interpretability</w:t>
      </w:r>
      <w:r>
        <w:rPr>
          <w:spacing w:val="-7"/>
        </w:rPr>
        <w:t> </w:t>
      </w:r>
      <w:r>
        <w:rPr/>
        <w:t>constraint</w:t>
      </w:r>
      <w:r>
        <w:rPr>
          <w:spacing w:val="-7"/>
        </w:rPr>
        <w:t> </w:t>
      </w:r>
      <w:r>
        <w:rPr/>
        <w:t>comes</w:t>
      </w:r>
      <w:r>
        <w:rPr>
          <w:spacing w:val="-7"/>
        </w:rPr>
        <w:t> </w:t>
      </w:r>
      <w:r>
        <w:rPr/>
        <w:t>at</w:t>
      </w:r>
      <w:r>
        <w:rPr>
          <w:spacing w:val="-7"/>
        </w:rPr>
        <w:t> </w:t>
      </w:r>
      <w:r>
        <w:rPr/>
        <w:t>a</w:t>
      </w:r>
      <w:r>
        <w:rPr>
          <w:spacing w:val="-7"/>
        </w:rPr>
        <w:t> </w:t>
      </w:r>
      <w:r>
        <w:rPr/>
        <w:t>cost</w:t>
      </w:r>
      <w:r>
        <w:rPr>
          <w:spacing w:val="-7"/>
        </w:rPr>
        <w:t> </w:t>
      </w:r>
      <w:r>
        <w:rPr/>
        <w:t>in</w:t>
      </w:r>
    </w:p>
    <w:p>
      <w:pPr>
        <w:pStyle w:val="BodyText"/>
        <w:spacing w:after="0" w:line="312" w:lineRule="auto"/>
        <w:jc w:val="both"/>
        <w:sectPr>
          <w:headerReference w:type="default" r:id="rId48"/>
          <w:headerReference w:type="even" r:id="rId49"/>
          <w:pgSz w:w="11910" w:h="16840"/>
          <w:pgMar w:header="1160" w:footer="0" w:top="1420" w:bottom="280" w:left="1275" w:right="425"/>
          <w:pgNumType w:start="25"/>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6"/>
        <w:rPr>
          <w:sz w:val="20"/>
        </w:rPr>
      </w:pPr>
    </w:p>
    <w:p>
      <w:pPr>
        <w:spacing w:line="240" w:lineRule="auto"/>
        <w:ind w:left="241" w:right="0" w:firstLine="0"/>
        <w:rPr>
          <w:sz w:val="20"/>
        </w:rPr>
      </w:pPr>
      <w:r>
        <w:rPr>
          <w:sz w:val="20"/>
        </w:rPr>
        <w:drawing>
          <wp:inline distT="0" distB="0" distL="0" distR="0">
            <wp:extent cx="5203126" cy="6936676"/>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50" cstate="print"/>
                    <a:stretch>
                      <a:fillRect/>
                    </a:stretch>
                  </pic:blipFill>
                  <pic:spPr>
                    <a:xfrm>
                      <a:off x="0" y="0"/>
                      <a:ext cx="5203126" cy="6936676"/>
                    </a:xfrm>
                    <a:prstGeom prst="rect">
                      <a:avLst/>
                    </a:prstGeom>
                  </pic:spPr>
                </pic:pic>
              </a:graphicData>
            </a:graphic>
          </wp:inline>
        </w:drawing>
      </w:r>
      <w:r>
        <w:rPr>
          <w:sz w:val="20"/>
        </w:rPr>
      </w:r>
    </w:p>
    <w:p>
      <w:pPr>
        <w:pStyle w:val="BodyText"/>
        <w:spacing w:before="174"/>
        <w:rPr>
          <w:sz w:val="20"/>
        </w:rPr>
      </w:pPr>
    </w:p>
    <w:p>
      <w:pPr>
        <w:spacing w:line="249" w:lineRule="auto" w:before="0"/>
        <w:ind w:left="142" w:right="990" w:firstLine="0"/>
        <w:jc w:val="left"/>
        <w:rPr>
          <w:sz w:val="20"/>
        </w:rPr>
      </w:pPr>
      <w:bookmarkStart w:name="_bookmark44" w:id="87"/>
      <w:bookmarkEnd w:id="87"/>
      <w:r>
        <w:rPr/>
      </w:r>
      <w:r>
        <w:rPr>
          <w:b/>
          <w:spacing w:val="-2"/>
          <w:sz w:val="20"/>
        </w:rPr>
        <w:t>Figure</w:t>
      </w:r>
      <w:r>
        <w:rPr>
          <w:b/>
          <w:spacing w:val="-11"/>
          <w:sz w:val="20"/>
        </w:rPr>
        <w:t> </w:t>
      </w:r>
      <w:r>
        <w:rPr>
          <w:b/>
          <w:spacing w:val="-2"/>
          <w:sz w:val="20"/>
        </w:rPr>
        <w:t>3.4:</w:t>
      </w:r>
      <w:r>
        <w:rPr>
          <w:b/>
          <w:spacing w:val="-10"/>
          <w:sz w:val="20"/>
        </w:rPr>
        <w:t> </w:t>
      </w:r>
      <w:r>
        <w:rPr>
          <w:spacing w:val="-2"/>
          <w:sz w:val="20"/>
        </w:rPr>
        <w:t>Walk-forward</w:t>
      </w:r>
      <w:r>
        <w:rPr>
          <w:spacing w:val="-11"/>
          <w:sz w:val="20"/>
        </w:rPr>
        <w:t> </w:t>
      </w:r>
      <w:r>
        <w:rPr>
          <w:spacing w:val="-2"/>
          <w:sz w:val="20"/>
        </w:rPr>
        <w:t>expanding-window</w:t>
      </w:r>
      <w:r>
        <w:rPr>
          <w:spacing w:val="-10"/>
          <w:sz w:val="20"/>
        </w:rPr>
        <w:t> </w:t>
      </w:r>
      <w:r>
        <w:rPr>
          <w:spacing w:val="-2"/>
          <w:sz w:val="20"/>
        </w:rPr>
        <w:t>validation</w:t>
      </w:r>
      <w:r>
        <w:rPr>
          <w:spacing w:val="-11"/>
          <w:sz w:val="20"/>
        </w:rPr>
        <w:t> </w:t>
      </w:r>
      <w:r>
        <w:rPr>
          <w:spacing w:val="-2"/>
          <w:sz w:val="20"/>
        </w:rPr>
        <w:t>for</w:t>
      </w:r>
      <w:r>
        <w:rPr>
          <w:spacing w:val="-10"/>
          <w:sz w:val="20"/>
        </w:rPr>
        <w:t> </w:t>
      </w:r>
      <w:r>
        <w:rPr>
          <w:spacing w:val="-2"/>
          <w:sz w:val="20"/>
        </w:rPr>
        <w:t>RDD</w:t>
      </w:r>
      <w:r>
        <w:rPr>
          <w:spacing w:val="-11"/>
          <w:sz w:val="20"/>
        </w:rPr>
        <w:t> </w:t>
      </w:r>
      <w:r>
        <w:rPr>
          <w:spacing w:val="-2"/>
          <w:sz w:val="20"/>
        </w:rPr>
        <w:t>(18</w:t>
      </w:r>
      <w:r>
        <w:rPr>
          <w:spacing w:val="-10"/>
          <w:sz w:val="20"/>
        </w:rPr>
        <w:t> </w:t>
      </w:r>
      <w:r>
        <w:rPr>
          <w:spacing w:val="-2"/>
          <w:sz w:val="20"/>
        </w:rPr>
        <w:t>scenarios,</w:t>
      </w:r>
      <w:r>
        <w:rPr>
          <w:spacing w:val="-11"/>
          <w:sz w:val="20"/>
        </w:rPr>
        <w:t> </w:t>
      </w:r>
      <w:r>
        <w:rPr>
          <w:spacing w:val="-2"/>
          <w:sz w:val="20"/>
        </w:rPr>
        <w:t>top)</w:t>
      </w:r>
      <w:r>
        <w:rPr>
          <w:spacing w:val="-10"/>
          <w:sz w:val="20"/>
        </w:rPr>
        <w:t> </w:t>
      </w:r>
      <w:r>
        <w:rPr>
          <w:spacing w:val="-2"/>
          <w:sz w:val="20"/>
        </w:rPr>
        <w:t>and</w:t>
      </w:r>
      <w:r>
        <w:rPr>
          <w:spacing w:val="-11"/>
          <w:sz w:val="20"/>
        </w:rPr>
        <w:t> </w:t>
      </w:r>
      <w:r>
        <w:rPr>
          <w:spacing w:val="-2"/>
          <w:sz w:val="20"/>
        </w:rPr>
        <w:t>RVV</w:t>
      </w:r>
      <w:r>
        <w:rPr>
          <w:spacing w:val="-10"/>
          <w:sz w:val="20"/>
        </w:rPr>
        <w:t> </w:t>
      </w:r>
      <w:r>
        <w:rPr>
          <w:spacing w:val="-2"/>
          <w:sz w:val="20"/>
        </w:rPr>
        <w:t>(16</w:t>
      </w:r>
      <w:r>
        <w:rPr>
          <w:spacing w:val="-11"/>
          <w:sz w:val="20"/>
        </w:rPr>
        <w:t> </w:t>
      </w:r>
      <w:r>
        <w:rPr>
          <w:spacing w:val="-2"/>
          <w:sz w:val="20"/>
        </w:rPr>
        <w:t>scenarios, bottom).</w:t>
      </w:r>
    </w:p>
    <w:p>
      <w:pPr>
        <w:spacing w:after="0" w:line="249" w:lineRule="auto"/>
        <w:jc w:val="left"/>
        <w:rPr>
          <w:sz w:val="20"/>
        </w:rPr>
        <w:sectPr>
          <w:pgSz w:w="11910" w:h="16840"/>
          <w:pgMar w:header="1160" w:footer="0" w:top="1420" w:bottom="280" w:left="1275" w:right="425"/>
        </w:sectPr>
      </w:pPr>
    </w:p>
    <w:p>
      <w:pPr>
        <w:pStyle w:val="BodyText"/>
      </w:pPr>
    </w:p>
    <w:p>
      <w:pPr>
        <w:pStyle w:val="BodyText"/>
        <w:spacing w:before="25"/>
      </w:pPr>
    </w:p>
    <w:p>
      <w:pPr>
        <w:pStyle w:val="BodyText"/>
        <w:spacing w:line="312" w:lineRule="auto" w:before="1"/>
        <w:ind w:left="709" w:right="986"/>
        <w:jc w:val="both"/>
      </w:pPr>
      <w:r>
        <w:rPr/>
        <w:t>predictive</w:t>
      </w:r>
      <w:r>
        <w:rPr>
          <w:spacing w:val="-6"/>
        </w:rPr>
        <w:t> </w:t>
      </w:r>
      <w:r>
        <w:rPr/>
        <w:t>performance</w:t>
      </w:r>
      <w:r>
        <w:rPr>
          <w:spacing w:val="-6"/>
        </w:rPr>
        <w:t> </w:t>
      </w:r>
      <w:r>
        <w:rPr/>
        <w:t>relative</w:t>
      </w:r>
      <w:r>
        <w:rPr>
          <w:spacing w:val="-6"/>
        </w:rPr>
        <w:t> </w:t>
      </w:r>
      <w:r>
        <w:rPr/>
        <w:t>to</w:t>
      </w:r>
      <w:r>
        <w:rPr>
          <w:spacing w:val="-6"/>
        </w:rPr>
        <w:t> </w:t>
      </w:r>
      <w:r>
        <w:rPr/>
        <w:t>a</w:t>
      </w:r>
      <w:r>
        <w:rPr>
          <w:spacing w:val="-6"/>
        </w:rPr>
        <w:t> </w:t>
      </w:r>
      <w:r>
        <w:rPr/>
        <w:t>standard</w:t>
      </w:r>
      <w:r>
        <w:rPr>
          <w:spacing w:val="-6"/>
        </w:rPr>
        <w:t> </w:t>
      </w:r>
      <w:r>
        <w:rPr/>
        <w:t>ML</w:t>
      </w:r>
      <w:r>
        <w:rPr>
          <w:spacing w:val="-6"/>
        </w:rPr>
        <w:t> </w:t>
      </w:r>
      <w:r>
        <w:rPr/>
        <w:t>baseline. The</w:t>
      </w:r>
      <w:r>
        <w:rPr>
          <w:spacing w:val="-6"/>
        </w:rPr>
        <w:t> </w:t>
      </w:r>
      <w:r>
        <w:rPr/>
        <w:t>tree</w:t>
      </w:r>
      <w:r>
        <w:rPr>
          <w:spacing w:val="-6"/>
        </w:rPr>
        <w:t> </w:t>
      </w:r>
      <w:r>
        <w:rPr/>
        <w:t>was</w:t>
      </w:r>
      <w:r>
        <w:rPr>
          <w:spacing w:val="-6"/>
        </w:rPr>
        <w:t> </w:t>
      </w:r>
      <w:r>
        <w:rPr/>
        <w:t>fitted</w:t>
      </w:r>
      <w:r>
        <w:rPr>
          <w:spacing w:val="-6"/>
        </w:rPr>
        <w:t> </w:t>
      </w:r>
      <w:r>
        <w:rPr/>
        <w:t>with</w:t>
      </w:r>
      <w:r>
        <w:rPr>
          <w:spacing w:val="-6"/>
        </w:rPr>
        <w:t> </w:t>
      </w:r>
      <w:r>
        <w:rPr/>
        <w:t>default</w:t>
      </w:r>
      <w:r>
        <w:rPr>
          <w:spacing w:val="-6"/>
        </w:rPr>
        <w:t> </w:t>
      </w:r>
      <w:r>
        <w:rPr/>
        <w:t>Weka hyperparameters</w:t>
      </w:r>
      <w:r>
        <w:rPr>
          <w:spacing w:val="-6"/>
        </w:rPr>
        <w:t> </w:t>
      </w:r>
      <w:r>
        <w:rPr/>
        <w:t>within</w:t>
      </w:r>
      <w:r>
        <w:rPr>
          <w:spacing w:val="-6"/>
        </w:rPr>
        <w:t> </w:t>
      </w:r>
      <w:r>
        <w:rPr/>
        <w:t>each</w:t>
      </w:r>
      <w:r>
        <w:rPr>
          <w:spacing w:val="-6"/>
        </w:rPr>
        <w:t> </w:t>
      </w:r>
      <w:r>
        <w:rPr/>
        <w:t>training</w:t>
      </w:r>
      <w:r>
        <w:rPr>
          <w:spacing w:val="-6"/>
        </w:rPr>
        <w:t> </w:t>
      </w:r>
      <w:r>
        <w:rPr/>
        <w:t>fold,</w:t>
      </w:r>
      <w:r>
        <w:rPr>
          <w:spacing w:val="-6"/>
        </w:rPr>
        <w:t> </w:t>
      </w:r>
      <w:r>
        <w:rPr/>
        <w:t>subject</w:t>
      </w:r>
      <w:r>
        <w:rPr>
          <w:spacing w:val="-6"/>
        </w:rPr>
        <w:t> </w:t>
      </w:r>
      <w:r>
        <w:rPr/>
        <w:t>to</w:t>
      </w:r>
      <w:r>
        <w:rPr>
          <w:spacing w:val="-6"/>
        </w:rPr>
        <w:t> </w:t>
      </w:r>
      <w:r>
        <w:rPr/>
        <w:t>the</w:t>
      </w:r>
      <w:r>
        <w:rPr>
          <w:spacing w:val="-6"/>
        </w:rPr>
        <w:t> </w:t>
      </w:r>
      <w:r>
        <w:rPr/>
        <w:t>same</w:t>
      </w:r>
      <w:r>
        <w:rPr>
          <w:spacing w:val="-6"/>
        </w:rPr>
        <w:t> </w:t>
      </w:r>
      <w:r>
        <w:rPr/>
        <w:t>walk-forward</w:t>
      </w:r>
      <w:r>
        <w:rPr>
          <w:spacing w:val="-6"/>
        </w:rPr>
        <w:t> </w:t>
      </w:r>
      <w:r>
        <w:rPr/>
        <w:t>protocol</w:t>
      </w:r>
      <w:r>
        <w:rPr>
          <w:spacing w:val="-6"/>
        </w:rPr>
        <w:t> </w:t>
      </w:r>
      <w:r>
        <w:rPr/>
        <w:t>as</w:t>
      </w:r>
      <w:r>
        <w:rPr>
          <w:spacing w:val="-6"/>
        </w:rPr>
        <w:t> </w:t>
      </w:r>
      <w:r>
        <w:rPr/>
        <w:t>all</w:t>
      </w:r>
      <w:r>
        <w:rPr>
          <w:spacing w:val="-6"/>
        </w:rPr>
        <w:t> </w:t>
      </w:r>
      <w:r>
        <w:rPr/>
        <w:t>other </w:t>
      </w:r>
      <w:r>
        <w:rPr>
          <w:spacing w:val="-2"/>
        </w:rPr>
        <w:t>models.</w:t>
      </w:r>
    </w:p>
    <w:p>
      <w:pPr>
        <w:pStyle w:val="BodyText"/>
        <w:spacing w:line="312" w:lineRule="auto" w:before="2"/>
        <w:ind w:left="701" w:right="990" w:firstLine="346"/>
        <w:jc w:val="both"/>
      </w:pPr>
      <w:r>
        <w:rPr/>
        <w:t>The</w:t>
      </w:r>
      <w:r>
        <w:rPr>
          <w:spacing w:val="-14"/>
        </w:rPr>
        <w:t> </w:t>
      </w:r>
      <w:r>
        <w:rPr/>
        <w:t>17</w:t>
      </w:r>
      <w:r>
        <w:rPr>
          <w:spacing w:val="-14"/>
        </w:rPr>
        <w:t> </w:t>
      </w:r>
      <w:r>
        <w:rPr/>
        <w:t>models</w:t>
      </w:r>
      <w:r>
        <w:rPr>
          <w:spacing w:val="-14"/>
        </w:rPr>
        <w:t> </w:t>
      </w:r>
      <w:r>
        <w:rPr/>
        <w:t>evaluated</w:t>
      </w:r>
      <w:r>
        <w:rPr>
          <w:spacing w:val="-13"/>
        </w:rPr>
        <w:t> </w:t>
      </w:r>
      <w:r>
        <w:rPr/>
        <w:t>in</w:t>
      </w:r>
      <w:r>
        <w:rPr>
          <w:spacing w:val="-14"/>
        </w:rPr>
        <w:t> </w:t>
      </w:r>
      <w:r>
        <w:rPr/>
        <w:t>the</w:t>
      </w:r>
      <w:r>
        <w:rPr>
          <w:spacing w:val="-14"/>
        </w:rPr>
        <w:t> </w:t>
      </w:r>
      <w:r>
        <w:rPr/>
        <w:t>walk-forward</w:t>
      </w:r>
      <w:r>
        <w:rPr>
          <w:spacing w:val="-14"/>
        </w:rPr>
        <w:t> </w:t>
      </w:r>
      <w:r>
        <w:rPr/>
        <w:t>experiment</w:t>
      </w:r>
      <w:r>
        <w:rPr>
          <w:spacing w:val="-13"/>
        </w:rPr>
        <w:t> </w:t>
      </w:r>
      <w:r>
        <w:rPr/>
        <w:t>span</w:t>
      </w:r>
      <w:r>
        <w:rPr>
          <w:spacing w:val="-14"/>
        </w:rPr>
        <w:t> </w:t>
      </w:r>
      <w:r>
        <w:rPr/>
        <w:t>three</w:t>
      </w:r>
      <w:r>
        <w:rPr>
          <w:spacing w:val="-14"/>
        </w:rPr>
        <w:t> </w:t>
      </w:r>
      <w:r>
        <w:rPr/>
        <w:t>categories:</w:t>
      </w:r>
      <w:r>
        <w:rPr>
          <w:spacing w:val="-12"/>
        </w:rPr>
        <w:t> </w:t>
      </w:r>
      <w:r>
        <w:rPr/>
        <w:t>four</w:t>
      </w:r>
      <w:r>
        <w:rPr>
          <w:spacing w:val="-13"/>
        </w:rPr>
        <w:t> </w:t>
      </w:r>
      <w:r>
        <w:rPr/>
        <w:t>baselines </w:t>
      </w:r>
      <w:r>
        <w:rPr>
          <w:spacing w:val="-4"/>
        </w:rPr>
        <w:t>and comparators (Naive_Median, Naive, Naive_MA, and Decision Tree), two standard rule learners </w:t>
      </w:r>
      <w:r>
        <w:rPr/>
        <w:t>(RIPPER and M5Rules), and 11 CarenR variants.</w:t>
      </w:r>
      <w:r>
        <w:rPr>
          <w:spacing w:val="40"/>
        </w:rPr>
        <w:t> </w:t>
      </w:r>
      <w:r>
        <w:rPr/>
        <w:t>The baselines serve as benchmarks </w:t>
      </w:r>
      <w:r>
        <w:rPr/>
        <w:t>against which</w:t>
      </w:r>
      <w:r>
        <w:rPr>
          <w:spacing w:val="-14"/>
        </w:rPr>
        <w:t> </w:t>
      </w:r>
      <w:r>
        <w:rPr/>
        <w:t>rule-learning</w:t>
      </w:r>
      <w:r>
        <w:rPr>
          <w:spacing w:val="-14"/>
        </w:rPr>
        <w:t> </w:t>
      </w:r>
      <w:r>
        <w:rPr/>
        <w:t>algorithms</w:t>
      </w:r>
      <w:r>
        <w:rPr>
          <w:spacing w:val="-14"/>
        </w:rPr>
        <w:t> </w:t>
      </w:r>
      <w:r>
        <w:rPr/>
        <w:t>are</w:t>
      </w:r>
      <w:r>
        <w:rPr>
          <w:spacing w:val="-13"/>
        </w:rPr>
        <w:t> </w:t>
      </w:r>
      <w:r>
        <w:rPr/>
        <w:t>assessed:</w:t>
      </w:r>
      <w:r>
        <w:rPr>
          <w:spacing w:val="-14"/>
        </w:rPr>
        <w:t> </w:t>
      </w:r>
      <w:r>
        <w:rPr/>
        <w:t>Naive_Median</w:t>
      </w:r>
      <w:r>
        <w:rPr>
          <w:spacing w:val="-14"/>
        </w:rPr>
        <w:t> </w:t>
      </w:r>
      <w:r>
        <w:rPr/>
        <w:t>is</w:t>
      </w:r>
      <w:r>
        <w:rPr>
          <w:spacing w:val="-14"/>
        </w:rPr>
        <w:t> </w:t>
      </w:r>
      <w:r>
        <w:rPr/>
        <w:t>the</w:t>
      </w:r>
      <w:r>
        <w:rPr>
          <w:spacing w:val="-13"/>
        </w:rPr>
        <w:t> </w:t>
      </w:r>
      <w:r>
        <w:rPr/>
        <w:t>primary</w:t>
      </w:r>
      <w:r>
        <w:rPr>
          <w:spacing w:val="-14"/>
        </w:rPr>
        <w:t> </w:t>
      </w:r>
      <w:r>
        <w:rPr/>
        <w:t>reference</w:t>
      </w:r>
      <w:r>
        <w:rPr>
          <w:spacing w:val="-14"/>
        </w:rPr>
        <w:t> </w:t>
      </w:r>
      <w:r>
        <w:rPr/>
        <w:t>(it</w:t>
      </w:r>
      <w:r>
        <w:rPr>
          <w:spacing w:val="-14"/>
        </w:rPr>
        <w:t> </w:t>
      </w:r>
      <w:r>
        <w:rPr/>
        <w:t>minimises MAE</w:t>
      </w:r>
      <w:r>
        <w:rPr>
          <w:spacing w:val="-14"/>
        </w:rPr>
        <w:t> </w:t>
      </w:r>
      <w:r>
        <w:rPr/>
        <w:t>under</w:t>
      </w:r>
      <w:r>
        <w:rPr>
          <w:spacing w:val="-14"/>
        </w:rPr>
        <w:t> </w:t>
      </w:r>
      <w:r>
        <w:rPr/>
        <w:t>a</w:t>
      </w:r>
      <w:r>
        <w:rPr>
          <w:spacing w:val="-14"/>
        </w:rPr>
        <w:t> </w:t>
      </w:r>
      <w:r>
        <w:rPr/>
        <w:t>constant</w:t>
      </w:r>
      <w:r>
        <w:rPr>
          <w:spacing w:val="-13"/>
        </w:rPr>
        <w:t> </w:t>
      </w:r>
      <w:r>
        <w:rPr/>
        <w:t>prediction),</w:t>
      </w:r>
      <w:r>
        <w:rPr>
          <w:spacing w:val="-14"/>
        </w:rPr>
        <w:t> </w:t>
      </w:r>
      <w:r>
        <w:rPr/>
        <w:t>while</w:t>
      </w:r>
      <w:r>
        <w:rPr>
          <w:spacing w:val="-14"/>
        </w:rPr>
        <w:t> </w:t>
      </w:r>
      <w:r>
        <w:rPr/>
        <w:t>Naive</w:t>
      </w:r>
      <w:r>
        <w:rPr>
          <w:spacing w:val="-14"/>
        </w:rPr>
        <w:t> </w:t>
      </w:r>
      <w:r>
        <w:rPr/>
        <w:t>and</w:t>
      </w:r>
      <w:r>
        <w:rPr>
          <w:spacing w:val="-13"/>
        </w:rPr>
        <w:t> </w:t>
      </w:r>
      <w:r>
        <w:rPr/>
        <w:t>Naive_MA</w:t>
      </w:r>
      <w:r>
        <w:rPr>
          <w:spacing w:val="-14"/>
        </w:rPr>
        <w:t> </w:t>
      </w:r>
      <w:r>
        <w:rPr/>
        <w:t>test</w:t>
      </w:r>
      <w:r>
        <w:rPr>
          <w:spacing w:val="-14"/>
        </w:rPr>
        <w:t> </w:t>
      </w:r>
      <w:r>
        <w:rPr/>
        <w:t>whether</w:t>
      </w:r>
      <w:r>
        <w:rPr>
          <w:spacing w:val="-14"/>
        </w:rPr>
        <w:t> </w:t>
      </w:r>
      <w:r>
        <w:rPr/>
        <w:t>any</w:t>
      </w:r>
      <w:r>
        <w:rPr>
          <w:spacing w:val="-13"/>
        </w:rPr>
        <w:t> </w:t>
      </w:r>
      <w:r>
        <w:rPr/>
        <w:t>model</w:t>
      </w:r>
      <w:r>
        <w:rPr>
          <w:spacing w:val="-14"/>
        </w:rPr>
        <w:t> </w:t>
      </w:r>
      <w:r>
        <w:rPr/>
        <w:t>adds</w:t>
      </w:r>
      <w:r>
        <w:rPr>
          <w:spacing w:val="-14"/>
        </w:rPr>
        <w:t> </w:t>
      </w:r>
      <w:r>
        <w:rPr/>
        <w:t>value over simpler alternatives that ignore climate information entirely.</w:t>
      </w:r>
      <w:r>
        <w:rPr>
          <w:spacing w:val="40"/>
        </w:rPr>
        <w:t> </w:t>
      </w:r>
      <w:r>
        <w:rPr/>
        <w:t>Decision Tree is included as</w:t>
      </w:r>
      <w:r>
        <w:rPr>
          <w:spacing w:val="80"/>
        </w:rPr>
        <w:t> </w:t>
      </w:r>
      <w:r>
        <w:rPr/>
        <w:t>a non-rule-based ML comparator to isolate the contribution of rule structure.</w:t>
      </w:r>
      <w:r>
        <w:rPr>
          <w:spacing w:val="40"/>
        </w:rPr>
        <w:t> </w:t>
      </w:r>
      <w:r>
        <w:rPr/>
        <w:t>The 11 CarenR variants all use the same distributional subgroup discovery algorithm but differ in how features are</w:t>
      </w:r>
      <w:r>
        <w:rPr>
          <w:spacing w:val="-8"/>
        </w:rPr>
        <w:t> </w:t>
      </w:r>
      <w:r>
        <w:rPr/>
        <w:t>pre-selected</w:t>
      </w:r>
      <w:r>
        <w:rPr>
          <w:spacing w:val="-8"/>
        </w:rPr>
        <w:t> </w:t>
      </w:r>
      <w:r>
        <w:rPr/>
        <w:t>within</w:t>
      </w:r>
      <w:r>
        <w:rPr>
          <w:spacing w:val="-8"/>
        </w:rPr>
        <w:t> </w:t>
      </w:r>
      <w:r>
        <w:rPr/>
        <w:t>each</w:t>
      </w:r>
      <w:r>
        <w:rPr>
          <w:spacing w:val="-8"/>
        </w:rPr>
        <w:t> </w:t>
      </w:r>
      <w:r>
        <w:rPr/>
        <w:t>training</w:t>
      </w:r>
      <w:r>
        <w:rPr>
          <w:spacing w:val="-8"/>
        </w:rPr>
        <w:t> </w:t>
      </w:r>
      <w:r>
        <w:rPr/>
        <w:t>fold,</w:t>
      </w:r>
      <w:r>
        <w:rPr>
          <w:spacing w:val="-8"/>
        </w:rPr>
        <w:t> </w:t>
      </w:r>
      <w:r>
        <w:rPr/>
        <w:t>enabling</w:t>
      </w:r>
      <w:r>
        <w:rPr>
          <w:spacing w:val="-8"/>
        </w:rPr>
        <w:t> </w:t>
      </w:r>
      <w:r>
        <w:rPr/>
        <w:t>a</w:t>
      </w:r>
      <w:r>
        <w:rPr>
          <w:spacing w:val="-8"/>
        </w:rPr>
        <w:t> </w:t>
      </w:r>
      <w:r>
        <w:rPr/>
        <w:t>systematic</w:t>
      </w:r>
      <w:r>
        <w:rPr>
          <w:spacing w:val="-8"/>
        </w:rPr>
        <w:t> </w:t>
      </w:r>
      <w:r>
        <w:rPr/>
        <w:t>sensitivity</w:t>
      </w:r>
      <w:r>
        <w:rPr>
          <w:spacing w:val="-8"/>
        </w:rPr>
        <w:t> </w:t>
      </w:r>
      <w:r>
        <w:rPr/>
        <w:t>analysis</w:t>
      </w:r>
      <w:r>
        <w:rPr>
          <w:spacing w:val="-8"/>
        </w:rPr>
        <w:t> </w:t>
      </w:r>
      <w:r>
        <w:rPr/>
        <w:t>of</w:t>
      </w:r>
      <w:r>
        <w:rPr>
          <w:spacing w:val="-8"/>
        </w:rPr>
        <w:t> </w:t>
      </w:r>
      <w:r>
        <w:rPr/>
        <w:t>this</w:t>
      </w:r>
      <w:r>
        <w:rPr>
          <w:spacing w:val="-8"/>
        </w:rPr>
        <w:t> </w:t>
      </w:r>
      <w:r>
        <w:rPr/>
        <w:t>design choice.</w:t>
      </w:r>
      <w:r>
        <w:rPr>
          <w:spacing w:val="-1"/>
        </w:rPr>
        <w:t> </w:t>
      </w:r>
      <w:r>
        <w:rPr/>
        <w:t>Table</w:t>
      </w:r>
      <w:r>
        <w:rPr>
          <w:spacing w:val="-11"/>
        </w:rPr>
        <w:t> </w:t>
      </w:r>
      <w:hyperlink w:history="true" w:anchor="_bookmark48">
        <w:r>
          <w:rPr>
            <w:color w:val="8B2C18"/>
          </w:rPr>
          <w:t>3.3</w:t>
        </w:r>
      </w:hyperlink>
      <w:r>
        <w:rPr>
          <w:color w:val="8B2C18"/>
          <w:spacing w:val="-11"/>
        </w:rPr>
        <w:t> </w:t>
      </w:r>
      <w:r>
        <w:rPr/>
        <w:t>lists</w:t>
      </w:r>
      <w:r>
        <w:rPr>
          <w:spacing w:val="-11"/>
        </w:rPr>
        <w:t> </w:t>
      </w:r>
      <w:r>
        <w:rPr/>
        <w:t>all</w:t>
      </w:r>
      <w:r>
        <w:rPr>
          <w:spacing w:val="-11"/>
        </w:rPr>
        <w:t> </w:t>
      </w:r>
      <w:r>
        <w:rPr/>
        <w:t>17</w:t>
      </w:r>
      <w:r>
        <w:rPr>
          <w:spacing w:val="-11"/>
        </w:rPr>
        <w:t> </w:t>
      </w:r>
      <w:r>
        <w:rPr/>
        <w:t>models;</w:t>
      </w:r>
      <w:r>
        <w:rPr>
          <w:spacing w:val="-11"/>
        </w:rPr>
        <w:t> </w:t>
      </w:r>
      <w:r>
        <w:rPr/>
        <w:t>Table</w:t>
      </w:r>
      <w:r>
        <w:rPr>
          <w:spacing w:val="-11"/>
        </w:rPr>
        <w:t> </w:t>
      </w:r>
      <w:hyperlink w:history="true" w:anchor="_bookmark49">
        <w:r>
          <w:rPr>
            <w:color w:val="8B2C18"/>
          </w:rPr>
          <w:t>3.4</w:t>
        </w:r>
      </w:hyperlink>
      <w:r>
        <w:rPr>
          <w:color w:val="8B2C18"/>
          <w:spacing w:val="-11"/>
        </w:rPr>
        <w:t> </w:t>
      </w:r>
      <w:r>
        <w:rPr/>
        <w:t>details</w:t>
      </w:r>
      <w:r>
        <w:rPr>
          <w:spacing w:val="-11"/>
        </w:rPr>
        <w:t> </w:t>
      </w:r>
      <w:r>
        <w:rPr/>
        <w:t>the</w:t>
      </w:r>
      <w:r>
        <w:rPr>
          <w:spacing w:val="-11"/>
        </w:rPr>
        <w:t> </w:t>
      </w:r>
      <w:r>
        <w:rPr/>
        <w:t>feature</w:t>
      </w:r>
      <w:r>
        <w:rPr>
          <w:spacing w:val="-11"/>
        </w:rPr>
        <w:t> </w:t>
      </w:r>
      <w:r>
        <w:rPr/>
        <w:t>selection</w:t>
      </w:r>
      <w:r>
        <w:rPr>
          <w:spacing w:val="-11"/>
        </w:rPr>
        <w:t> </w:t>
      </w:r>
      <w:r>
        <w:rPr/>
        <w:t>strategy</w:t>
      </w:r>
      <w:r>
        <w:rPr>
          <w:spacing w:val="-11"/>
        </w:rPr>
        <w:t> </w:t>
      </w:r>
      <w:r>
        <w:rPr/>
        <w:t>distinguishing each of the 11 CarenR variants.</w:t>
      </w:r>
    </w:p>
    <w:p>
      <w:pPr>
        <w:pStyle w:val="BodyText"/>
        <w:spacing w:before="159"/>
      </w:pPr>
    </w:p>
    <w:p>
      <w:pPr>
        <w:pStyle w:val="Heading2"/>
        <w:numPr>
          <w:ilvl w:val="1"/>
          <w:numId w:val="17"/>
        </w:numPr>
        <w:tabs>
          <w:tab w:pos="1354" w:val="left" w:leader="none"/>
        </w:tabs>
        <w:spacing w:line="240" w:lineRule="auto" w:before="0" w:after="0"/>
        <w:ind w:left="1354" w:right="0" w:hanging="645"/>
        <w:jc w:val="left"/>
      </w:pPr>
      <w:bookmarkStart w:name="3.7 Evaluation Metric" w:id="88"/>
      <w:bookmarkEnd w:id="88"/>
      <w:r>
        <w:rPr>
          <w:b w:val="0"/>
        </w:rPr>
      </w:r>
      <w:bookmarkStart w:name="_bookmark45" w:id="89"/>
      <w:bookmarkEnd w:id="89"/>
      <w:r>
        <w:rPr>
          <w:b w:val="0"/>
        </w:rPr>
      </w:r>
      <w:r>
        <w:rPr/>
        <w:t>Evaluation</w:t>
      </w:r>
      <w:r>
        <w:rPr>
          <w:spacing w:val="24"/>
        </w:rPr>
        <w:t> </w:t>
      </w:r>
      <w:r>
        <w:rPr>
          <w:spacing w:val="-2"/>
        </w:rPr>
        <w:t>Metric</w:t>
      </w:r>
    </w:p>
    <w:p>
      <w:pPr>
        <w:pStyle w:val="BodyText"/>
        <w:spacing w:line="312" w:lineRule="auto" w:before="295"/>
        <w:ind w:left="702" w:right="990"/>
        <w:jc w:val="both"/>
      </w:pPr>
      <w:r>
        <w:rPr/>
        <w:t>The primary evaluation metric is scenario-size-weighted MAE on the original production </w:t>
      </w:r>
      <w:r>
        <w:rPr/>
        <w:t>scale </w:t>
      </w:r>
      <w:r>
        <w:rPr>
          <w:spacing w:val="-2"/>
        </w:rPr>
        <w:t>(mhl):</w:t>
      </w:r>
    </w:p>
    <w:p>
      <w:pPr>
        <w:pStyle w:val="BodyText"/>
        <w:spacing w:after="0" w:line="312" w:lineRule="auto"/>
        <w:jc w:val="both"/>
        <w:sectPr>
          <w:headerReference w:type="default" r:id="rId51"/>
          <w:headerReference w:type="even" r:id="rId52"/>
          <w:pgSz w:w="11910" w:h="16840"/>
          <w:pgMar w:header="1160" w:footer="0" w:top="1420" w:bottom="280" w:left="1275" w:right="425"/>
          <w:pgNumType w:start="27"/>
        </w:sectPr>
      </w:pPr>
    </w:p>
    <w:p>
      <w:pPr>
        <w:spacing w:line="439" w:lineRule="exact" w:before="116"/>
        <w:ind w:left="3509" w:right="0" w:firstLine="0"/>
        <w:jc w:val="left"/>
        <w:rPr>
          <w:i/>
          <w:position w:val="11"/>
          <w:sz w:val="16"/>
        </w:rPr>
      </w:pPr>
      <w:r>
        <w:rPr>
          <w:sz w:val="22"/>
        </w:rPr>
        <w:t>Weighted</w:t>
      </w:r>
      <w:r>
        <w:rPr>
          <w:spacing w:val="-6"/>
          <w:sz w:val="22"/>
        </w:rPr>
        <w:t> </w:t>
      </w:r>
      <w:r>
        <w:rPr>
          <w:sz w:val="22"/>
        </w:rPr>
        <w:t>MAE</w:t>
      </w:r>
      <w:r>
        <w:rPr>
          <w:spacing w:val="-9"/>
          <w:sz w:val="22"/>
        </w:rPr>
        <w:t> </w:t>
      </w:r>
      <w:r>
        <w:rPr>
          <w:rFonts w:ascii="Lucida Sans Unicode" w:hAnsi="Lucida Sans Unicode"/>
          <w:sz w:val="22"/>
        </w:rPr>
        <w:t>=</w:t>
      </w:r>
      <w:r>
        <w:rPr>
          <w:rFonts w:ascii="Lucida Sans Unicode" w:hAnsi="Lucida Sans Unicode"/>
          <w:spacing w:val="-2"/>
          <w:sz w:val="22"/>
        </w:rPr>
        <w:t> </w:t>
      </w:r>
      <w:r>
        <w:rPr>
          <w:rFonts w:ascii="Calibri" w:hAnsi="Calibri"/>
          <w:position w:val="13"/>
          <w:sz w:val="22"/>
          <w:u w:val="single"/>
        </w:rPr>
        <w:t>∑</w:t>
      </w:r>
      <w:r>
        <w:rPr>
          <w:i/>
          <w:position w:val="10"/>
          <w:sz w:val="16"/>
          <w:u w:val="single"/>
        </w:rPr>
        <w:t>s</w:t>
      </w:r>
      <w:r>
        <w:rPr>
          <w:i/>
          <w:spacing w:val="-7"/>
          <w:position w:val="10"/>
          <w:sz w:val="16"/>
          <w:u w:val="single"/>
        </w:rPr>
        <w:t> </w:t>
      </w:r>
      <w:r>
        <w:rPr>
          <w:i/>
          <w:position w:val="15"/>
          <w:sz w:val="22"/>
          <w:u w:val="single"/>
        </w:rPr>
        <w:t>n</w:t>
      </w:r>
      <w:r>
        <w:rPr>
          <w:i/>
          <w:position w:val="11"/>
          <w:sz w:val="16"/>
          <w:u w:val="single"/>
        </w:rPr>
        <w:t>s</w:t>
      </w:r>
      <w:r>
        <w:rPr>
          <w:i/>
          <w:spacing w:val="-2"/>
          <w:position w:val="11"/>
          <w:sz w:val="16"/>
          <w:u w:val="single"/>
        </w:rPr>
        <w:t> </w:t>
      </w:r>
      <w:r>
        <w:rPr>
          <w:rFonts w:ascii="Meiryo UI" w:hAnsi="Meiryo UI"/>
          <w:i/>
          <w:position w:val="15"/>
          <w:sz w:val="22"/>
          <w:u w:val="single"/>
        </w:rPr>
        <w:t>×</w:t>
      </w:r>
      <w:r>
        <w:rPr>
          <w:rFonts w:ascii="Meiryo UI" w:hAnsi="Meiryo UI"/>
          <w:i/>
          <w:spacing w:val="-45"/>
          <w:position w:val="15"/>
          <w:sz w:val="22"/>
          <w:u w:val="none"/>
        </w:rPr>
        <w:t> </w:t>
      </w:r>
      <w:r>
        <w:rPr>
          <w:spacing w:val="-4"/>
          <w:position w:val="15"/>
          <w:sz w:val="22"/>
          <w:u w:val="single"/>
        </w:rPr>
        <w:t>MAE</w:t>
      </w:r>
      <w:r>
        <w:rPr>
          <w:i/>
          <w:spacing w:val="-4"/>
          <w:position w:val="11"/>
          <w:sz w:val="16"/>
          <w:u w:val="single"/>
        </w:rPr>
        <w:t>s</w:t>
      </w:r>
    </w:p>
    <w:p>
      <w:pPr>
        <w:spacing w:line="206" w:lineRule="exact" w:before="0"/>
        <w:ind w:left="0" w:right="391" w:firstLine="0"/>
        <w:jc w:val="right"/>
        <w:rPr>
          <w:i/>
          <w:position w:val="2"/>
          <w:sz w:val="22"/>
        </w:rPr>
      </w:pPr>
      <w:r>
        <w:rPr>
          <w:rFonts w:ascii="Calibri" w:hAnsi="Calibri"/>
          <w:w w:val="115"/>
          <w:sz w:val="22"/>
        </w:rPr>
        <w:t>∑</w:t>
      </w:r>
      <w:r>
        <w:rPr>
          <w:i/>
          <w:w w:val="115"/>
          <w:sz w:val="22"/>
          <w:vertAlign w:val="subscript"/>
        </w:rPr>
        <w:t>s</w:t>
      </w:r>
      <w:r>
        <w:rPr>
          <w:i/>
          <w:spacing w:val="-13"/>
          <w:w w:val="115"/>
          <w:sz w:val="22"/>
          <w:vertAlign w:val="baseline"/>
        </w:rPr>
        <w:t> </w:t>
      </w:r>
      <w:r>
        <w:rPr>
          <w:i/>
          <w:spacing w:val="-5"/>
          <w:w w:val="115"/>
          <w:position w:val="2"/>
          <w:sz w:val="22"/>
          <w:vertAlign w:val="baseline"/>
        </w:rPr>
        <w:t>n</w:t>
      </w:r>
      <w:r>
        <w:rPr>
          <w:i/>
          <w:spacing w:val="-5"/>
          <w:w w:val="115"/>
          <w:position w:val="2"/>
          <w:sz w:val="22"/>
          <w:vertAlign w:val="subscript"/>
        </w:rPr>
        <w:t>s</w:t>
      </w:r>
    </w:p>
    <w:p>
      <w:pPr>
        <w:pStyle w:val="BodyText"/>
        <w:spacing w:before="78"/>
        <w:rPr>
          <w:i/>
        </w:rPr>
      </w:pPr>
      <w:r>
        <w:rPr/>
        <w:br w:type="column"/>
      </w:r>
      <w:r>
        <w:rPr>
          <w:i/>
        </w:rPr>
      </w:r>
    </w:p>
    <w:p>
      <w:pPr>
        <w:pStyle w:val="BodyText"/>
        <w:ind w:left="2390"/>
      </w:pPr>
      <w:r>
        <w:rPr>
          <w:spacing w:val="-2"/>
        </w:rPr>
        <w:t>(3.4)</w:t>
      </w:r>
    </w:p>
    <w:p>
      <w:pPr>
        <w:pStyle w:val="BodyText"/>
        <w:spacing w:after="0"/>
        <w:sectPr>
          <w:type w:val="continuous"/>
          <w:pgSz w:w="11910" w:h="16840"/>
          <w:pgMar w:header="1160" w:footer="0" w:top="1120" w:bottom="280" w:left="1275" w:right="425"/>
          <w:cols w:num="2" w:equalWidth="0">
            <w:col w:w="6380" w:space="40"/>
            <w:col w:w="3790"/>
          </w:cols>
        </w:sectPr>
      </w:pPr>
    </w:p>
    <w:p>
      <w:pPr>
        <w:pStyle w:val="BodyText"/>
        <w:spacing w:line="312" w:lineRule="auto" w:before="96"/>
        <w:ind w:left="699" w:right="990" w:firstLine="348"/>
        <w:jc w:val="both"/>
      </w:pPr>
      <w:r>
        <w:rPr/>
        <w:t>where</w:t>
      </w:r>
      <w:r>
        <w:rPr>
          <w:spacing w:val="-11"/>
        </w:rPr>
        <w:t> </w:t>
      </w:r>
      <w:r>
        <w:rPr>
          <w:i/>
        </w:rPr>
        <w:t>n</w:t>
      </w:r>
      <w:r>
        <w:rPr>
          <w:i/>
          <w:vertAlign w:val="subscript"/>
        </w:rPr>
        <w:t>s</w:t>
      </w:r>
      <w:r>
        <w:rPr>
          <w:i/>
          <w:spacing w:val="-2"/>
          <w:vertAlign w:val="baseline"/>
        </w:rPr>
        <w:t> </w:t>
      </w:r>
      <w:r>
        <w:rPr>
          <w:vertAlign w:val="baseline"/>
        </w:rPr>
        <w:t>is</w:t>
      </w:r>
      <w:r>
        <w:rPr>
          <w:spacing w:val="-11"/>
          <w:vertAlign w:val="baseline"/>
        </w:rPr>
        <w:t> </w:t>
      </w:r>
      <w:r>
        <w:rPr>
          <w:vertAlign w:val="baseline"/>
        </w:rPr>
        <w:t>the</w:t>
      </w:r>
      <w:r>
        <w:rPr>
          <w:spacing w:val="-11"/>
          <w:vertAlign w:val="baseline"/>
        </w:rPr>
        <w:t> </w:t>
      </w:r>
      <w:r>
        <w:rPr>
          <w:vertAlign w:val="baseline"/>
        </w:rPr>
        <w:t>number</w:t>
      </w:r>
      <w:r>
        <w:rPr>
          <w:spacing w:val="-11"/>
          <w:vertAlign w:val="baseline"/>
        </w:rPr>
        <w:t> </w:t>
      </w:r>
      <w:r>
        <w:rPr>
          <w:vertAlign w:val="baseline"/>
        </w:rPr>
        <w:t>of</w:t>
      </w:r>
      <w:r>
        <w:rPr>
          <w:spacing w:val="-11"/>
          <w:vertAlign w:val="baseline"/>
        </w:rPr>
        <w:t> </w:t>
      </w:r>
      <w:r>
        <w:rPr>
          <w:vertAlign w:val="baseline"/>
        </w:rPr>
        <w:t>test</w:t>
      </w:r>
      <w:r>
        <w:rPr>
          <w:spacing w:val="-11"/>
          <w:vertAlign w:val="baseline"/>
        </w:rPr>
        <w:t> </w:t>
      </w:r>
      <w:r>
        <w:rPr>
          <w:vertAlign w:val="baseline"/>
        </w:rPr>
        <w:t>observations</w:t>
      </w:r>
      <w:r>
        <w:rPr>
          <w:spacing w:val="-11"/>
          <w:vertAlign w:val="baseline"/>
        </w:rPr>
        <w:t> </w:t>
      </w:r>
      <w:r>
        <w:rPr>
          <w:vertAlign w:val="baseline"/>
        </w:rPr>
        <w:t>in</w:t>
      </w:r>
      <w:r>
        <w:rPr>
          <w:spacing w:val="-11"/>
          <w:vertAlign w:val="baseline"/>
        </w:rPr>
        <w:t> </w:t>
      </w:r>
      <w:r>
        <w:rPr>
          <w:vertAlign w:val="baseline"/>
        </w:rPr>
        <w:t>scenario</w:t>
      </w:r>
      <w:r>
        <w:rPr>
          <w:spacing w:val="-11"/>
          <w:vertAlign w:val="baseline"/>
        </w:rPr>
        <w:t> </w:t>
      </w:r>
      <w:r>
        <w:rPr>
          <w:i/>
          <w:vertAlign w:val="baseline"/>
        </w:rPr>
        <w:t>s</w:t>
      </w:r>
      <w:r>
        <w:rPr>
          <w:vertAlign w:val="baseline"/>
        </w:rPr>
        <w:t>. This</w:t>
      </w:r>
      <w:r>
        <w:rPr>
          <w:spacing w:val="-11"/>
          <w:vertAlign w:val="baseline"/>
        </w:rPr>
        <w:t> </w:t>
      </w:r>
      <w:r>
        <w:rPr>
          <w:vertAlign w:val="baseline"/>
        </w:rPr>
        <w:t>weighting</w:t>
      </w:r>
      <w:r>
        <w:rPr>
          <w:spacing w:val="-11"/>
          <w:vertAlign w:val="baseline"/>
        </w:rPr>
        <w:t> </w:t>
      </w:r>
      <w:r>
        <w:rPr>
          <w:vertAlign w:val="baseline"/>
        </w:rPr>
        <w:t>gives</w:t>
      </w:r>
      <w:r>
        <w:rPr>
          <w:spacing w:val="-11"/>
          <w:vertAlign w:val="baseline"/>
        </w:rPr>
        <w:t> </w:t>
      </w:r>
      <w:r>
        <w:rPr>
          <w:vertAlign w:val="baseline"/>
        </w:rPr>
        <w:t>more</w:t>
      </w:r>
      <w:r>
        <w:rPr>
          <w:spacing w:val="-11"/>
          <w:vertAlign w:val="baseline"/>
        </w:rPr>
        <w:t> </w:t>
      </w:r>
      <w:r>
        <w:rPr>
          <w:vertAlign w:val="baseline"/>
        </w:rPr>
        <w:t>influence to scenarios with larger test sets, which in the expanding-window design are the early scenarios with</w:t>
      </w:r>
      <w:r>
        <w:rPr>
          <w:spacing w:val="-13"/>
          <w:vertAlign w:val="baseline"/>
        </w:rPr>
        <w:t> </w:t>
      </w:r>
      <w:r>
        <w:rPr>
          <w:vertAlign w:val="baseline"/>
        </w:rPr>
        <w:t>shorter</w:t>
      </w:r>
      <w:r>
        <w:rPr>
          <w:spacing w:val="-13"/>
          <w:vertAlign w:val="baseline"/>
        </w:rPr>
        <w:t> </w:t>
      </w:r>
      <w:r>
        <w:rPr>
          <w:vertAlign w:val="baseline"/>
        </w:rPr>
        <w:t>training</w:t>
      </w:r>
      <w:r>
        <w:rPr>
          <w:spacing w:val="-13"/>
          <w:vertAlign w:val="baseline"/>
        </w:rPr>
        <w:t> </w:t>
      </w:r>
      <w:r>
        <w:rPr>
          <w:vertAlign w:val="baseline"/>
        </w:rPr>
        <w:t>histories.</w:t>
      </w:r>
      <w:r>
        <w:rPr>
          <w:spacing w:val="-3"/>
          <w:vertAlign w:val="baseline"/>
        </w:rPr>
        <w:t> </w:t>
      </w:r>
      <w:r>
        <w:rPr>
          <w:vertAlign w:val="baseline"/>
        </w:rPr>
        <w:t>Statistical</w:t>
      </w:r>
      <w:r>
        <w:rPr>
          <w:spacing w:val="-13"/>
          <w:vertAlign w:val="baseline"/>
        </w:rPr>
        <w:t> </w:t>
      </w:r>
      <w:r>
        <w:rPr>
          <w:vertAlign w:val="baseline"/>
        </w:rPr>
        <w:t>significance</w:t>
      </w:r>
      <w:r>
        <w:rPr>
          <w:spacing w:val="-13"/>
          <w:vertAlign w:val="baseline"/>
        </w:rPr>
        <w:t> </w:t>
      </w:r>
      <w:r>
        <w:rPr>
          <w:vertAlign w:val="baseline"/>
        </w:rPr>
        <w:t>of</w:t>
      </w:r>
      <w:r>
        <w:rPr>
          <w:spacing w:val="-13"/>
          <w:vertAlign w:val="baseline"/>
        </w:rPr>
        <w:t> </w:t>
      </w:r>
      <w:r>
        <w:rPr>
          <w:vertAlign w:val="baseline"/>
        </w:rPr>
        <w:t>model</w:t>
      </w:r>
      <w:r>
        <w:rPr>
          <w:spacing w:val="-13"/>
          <w:vertAlign w:val="baseline"/>
        </w:rPr>
        <w:t> </w:t>
      </w:r>
      <w:r>
        <w:rPr>
          <w:vertAlign w:val="baseline"/>
        </w:rPr>
        <w:t>differences</w:t>
      </w:r>
      <w:r>
        <w:rPr>
          <w:spacing w:val="-13"/>
          <w:vertAlign w:val="baseline"/>
        </w:rPr>
        <w:t> </w:t>
      </w:r>
      <w:r>
        <w:rPr>
          <w:vertAlign w:val="baseline"/>
        </w:rPr>
        <w:t>was</w:t>
      </w:r>
      <w:r>
        <w:rPr>
          <w:spacing w:val="-13"/>
          <w:vertAlign w:val="baseline"/>
        </w:rPr>
        <w:t> </w:t>
      </w:r>
      <w:r>
        <w:rPr>
          <w:vertAlign w:val="baseline"/>
        </w:rPr>
        <w:t>assessed</w:t>
      </w:r>
      <w:r>
        <w:rPr>
          <w:spacing w:val="-13"/>
          <w:vertAlign w:val="baseline"/>
        </w:rPr>
        <w:t> </w:t>
      </w:r>
      <w:r>
        <w:rPr>
          <w:vertAlign w:val="baseline"/>
        </w:rPr>
        <w:t>using</w:t>
      </w:r>
      <w:r>
        <w:rPr>
          <w:spacing w:val="-13"/>
          <w:vertAlign w:val="baseline"/>
        </w:rPr>
        <w:t> </w:t>
      </w:r>
      <w:r>
        <w:rPr>
          <w:vertAlign w:val="baseline"/>
        </w:rPr>
        <w:t>the Wilcoxon</w:t>
      </w:r>
      <w:r>
        <w:rPr>
          <w:spacing w:val="-8"/>
          <w:vertAlign w:val="baseline"/>
        </w:rPr>
        <w:t> </w:t>
      </w:r>
      <w:r>
        <w:rPr>
          <w:vertAlign w:val="baseline"/>
        </w:rPr>
        <w:t>signed-rank</w:t>
      </w:r>
      <w:r>
        <w:rPr>
          <w:spacing w:val="-8"/>
          <w:vertAlign w:val="baseline"/>
        </w:rPr>
        <w:t> </w:t>
      </w:r>
      <w:r>
        <w:rPr>
          <w:vertAlign w:val="baseline"/>
        </w:rPr>
        <w:t>test</w:t>
      </w:r>
      <w:r>
        <w:rPr>
          <w:spacing w:val="-8"/>
          <w:vertAlign w:val="baseline"/>
        </w:rPr>
        <w:t> </w:t>
      </w:r>
      <w:r>
        <w:rPr>
          <w:vertAlign w:val="baseline"/>
        </w:rPr>
        <w:t>applied</w:t>
      </w:r>
      <w:r>
        <w:rPr>
          <w:spacing w:val="-8"/>
          <w:vertAlign w:val="baseline"/>
        </w:rPr>
        <w:t> </w:t>
      </w:r>
      <w:r>
        <w:rPr>
          <w:vertAlign w:val="baseline"/>
        </w:rPr>
        <w:t>to</w:t>
      </w:r>
      <w:r>
        <w:rPr>
          <w:spacing w:val="-8"/>
          <w:vertAlign w:val="baseline"/>
        </w:rPr>
        <w:t> </w:t>
      </w:r>
      <w:r>
        <w:rPr>
          <w:vertAlign w:val="baseline"/>
        </w:rPr>
        <w:t>per-scenario</w:t>
      </w:r>
      <w:r>
        <w:rPr>
          <w:spacing w:val="-8"/>
          <w:vertAlign w:val="baseline"/>
        </w:rPr>
        <w:t> </w:t>
      </w:r>
      <w:r>
        <w:rPr>
          <w:vertAlign w:val="baseline"/>
        </w:rPr>
        <w:t>MAE</w:t>
      </w:r>
      <w:r>
        <w:rPr>
          <w:spacing w:val="-8"/>
          <w:vertAlign w:val="baseline"/>
        </w:rPr>
        <w:t> </w:t>
      </w:r>
      <w:r>
        <w:rPr>
          <w:vertAlign w:val="baseline"/>
        </w:rPr>
        <w:t>pairs;</w:t>
      </w:r>
      <w:r>
        <w:rPr>
          <w:spacing w:val="-8"/>
          <w:vertAlign w:val="baseline"/>
        </w:rPr>
        <w:t> </w:t>
      </w:r>
      <w:r>
        <w:rPr>
          <w:vertAlign w:val="baseline"/>
        </w:rPr>
        <w:t>the</w:t>
      </w:r>
      <w:r>
        <w:rPr>
          <w:spacing w:val="-8"/>
          <w:vertAlign w:val="baseline"/>
        </w:rPr>
        <w:t> </w:t>
      </w:r>
      <w:r>
        <w:rPr>
          <w:vertAlign w:val="baseline"/>
        </w:rPr>
        <w:t>post-hoc</w:t>
      </w:r>
      <w:r>
        <w:rPr>
          <w:spacing w:val="-8"/>
          <w:vertAlign w:val="baseline"/>
        </w:rPr>
        <w:t> </w:t>
      </w:r>
      <w:r>
        <w:rPr>
          <w:vertAlign w:val="baseline"/>
        </w:rPr>
        <w:t>era-balanced</w:t>
      </w:r>
      <w:r>
        <w:rPr>
          <w:spacing w:val="-8"/>
          <w:vertAlign w:val="baseline"/>
        </w:rPr>
        <w:t> </w:t>
      </w:r>
      <w:r>
        <w:rPr>
          <w:vertAlign w:val="baseline"/>
        </w:rPr>
        <w:t>analysis used a binomial sign test (Section </w:t>
      </w:r>
      <w:hyperlink w:history="true" w:anchor="_bookmark110">
        <w:r>
          <w:rPr>
            <w:color w:val="8B2C18"/>
            <w:vertAlign w:val="baseline"/>
          </w:rPr>
          <w:t>5.4</w:t>
        </w:r>
      </w:hyperlink>
      <w:r>
        <w:rPr>
          <w:vertAlign w:val="baseline"/>
        </w:rPr>
        <w:t>).</w:t>
      </w:r>
    </w:p>
    <w:p>
      <w:pPr>
        <w:pStyle w:val="BodyText"/>
        <w:spacing w:before="159"/>
      </w:pPr>
    </w:p>
    <w:p>
      <w:pPr>
        <w:pStyle w:val="Heading2"/>
        <w:numPr>
          <w:ilvl w:val="1"/>
          <w:numId w:val="17"/>
        </w:numPr>
        <w:tabs>
          <w:tab w:pos="1354" w:val="left" w:leader="none"/>
        </w:tabs>
        <w:spacing w:line="240" w:lineRule="auto" w:before="1" w:after="0"/>
        <w:ind w:left="1354" w:right="0" w:hanging="645"/>
        <w:jc w:val="left"/>
      </w:pPr>
      <w:bookmarkStart w:name="3.8 Software and Reproducibility" w:id="90"/>
      <w:bookmarkEnd w:id="90"/>
      <w:r>
        <w:rPr>
          <w:b w:val="0"/>
        </w:rPr>
      </w:r>
      <w:bookmarkStart w:name="_bookmark46" w:id="91"/>
      <w:bookmarkEnd w:id="91"/>
      <w:r>
        <w:rPr>
          <w:b w:val="0"/>
        </w:rPr>
      </w:r>
      <w:r>
        <w:rPr/>
        <w:t>Software</w:t>
      </w:r>
      <w:r>
        <w:rPr>
          <w:spacing w:val="13"/>
        </w:rPr>
        <w:t> </w:t>
      </w:r>
      <w:r>
        <w:rPr/>
        <w:t>and</w:t>
      </w:r>
      <w:r>
        <w:rPr>
          <w:spacing w:val="13"/>
        </w:rPr>
        <w:t> </w:t>
      </w:r>
      <w:r>
        <w:rPr>
          <w:spacing w:val="-2"/>
        </w:rPr>
        <w:t>Reproducibility</w:t>
      </w:r>
    </w:p>
    <w:p>
      <w:pPr>
        <w:pStyle w:val="BodyText"/>
        <w:spacing w:line="312" w:lineRule="auto" w:before="295"/>
        <w:ind w:left="709" w:right="952" w:hanging="7"/>
        <w:jc w:val="both"/>
      </w:pPr>
      <w:r>
        <w:rPr/>
        <w:t>The full pipeline was implemented in R (version 4.x). CarenR was run via the caren R </w:t>
      </w:r>
      <w:r>
        <w:rPr/>
        <w:t>package. RIPPER and M5Rules were run via RWeka, providing a JVM bridge to Weka 3.8.</w:t>
      </w:r>
      <w:r>
        <w:rPr>
          <w:spacing w:val="23"/>
        </w:rPr>
        <w:t> </w:t>
      </w:r>
      <w:r>
        <w:rPr/>
        <w:t>The pipeline is</w:t>
      </w:r>
      <w:r>
        <w:rPr>
          <w:spacing w:val="-2"/>
        </w:rPr>
        <w:t> </w:t>
      </w:r>
      <w:r>
        <w:rPr/>
        <w:t>controlled</w:t>
      </w:r>
      <w:r>
        <w:rPr>
          <w:spacing w:val="-2"/>
        </w:rPr>
        <w:t> </w:t>
      </w:r>
      <w:r>
        <w:rPr/>
        <w:t>by</w:t>
      </w:r>
      <w:r>
        <w:rPr>
          <w:spacing w:val="-2"/>
        </w:rPr>
        <w:t> </w:t>
      </w:r>
      <w:r>
        <w:rPr/>
        <w:t>a</w:t>
      </w:r>
      <w:r>
        <w:rPr>
          <w:spacing w:val="-2"/>
        </w:rPr>
        <w:t> </w:t>
      </w:r>
      <w:r>
        <w:rPr/>
        <w:t>master</w:t>
      </w:r>
      <w:r>
        <w:rPr>
          <w:spacing w:val="-2"/>
        </w:rPr>
        <w:t> </w:t>
      </w:r>
      <w:r>
        <w:rPr/>
        <w:t>runner</w:t>
      </w:r>
      <w:r>
        <w:rPr>
          <w:spacing w:val="-2"/>
        </w:rPr>
        <w:t> </w:t>
      </w:r>
      <w:r>
        <w:rPr/>
        <w:t>script</w:t>
      </w:r>
      <w:r>
        <w:rPr>
          <w:spacing w:val="-2"/>
        </w:rPr>
        <w:t> </w:t>
      </w:r>
      <w:r>
        <w:rPr/>
        <w:t>(run_all_pipelines.R)</w:t>
      </w:r>
      <w:r>
        <w:rPr>
          <w:spacing w:val="-2"/>
        </w:rPr>
        <w:t> </w:t>
      </w:r>
      <w:r>
        <w:rPr/>
        <w:t>that</w:t>
      </w:r>
      <w:r>
        <w:rPr>
          <w:spacing w:val="-2"/>
        </w:rPr>
        <w:t> </w:t>
      </w:r>
      <w:r>
        <w:rPr/>
        <w:t>sequences</w:t>
      </w:r>
      <w:r>
        <w:rPr>
          <w:spacing w:val="-2"/>
        </w:rPr>
        <w:t> </w:t>
      </w:r>
      <w:r>
        <w:rPr/>
        <w:t>data</w:t>
      </w:r>
      <w:r>
        <w:rPr>
          <w:spacing w:val="-2"/>
        </w:rPr>
        <w:t> </w:t>
      </w:r>
      <w:r>
        <w:rPr/>
        <w:t>preparation,</w:t>
      </w:r>
      <w:r>
        <w:rPr>
          <w:spacing w:val="-2"/>
        </w:rPr>
        <w:t> </w:t>
      </w:r>
      <w:r>
        <w:rPr/>
        <w:t>rule discovery, walk-forward validation, rule interpretation, and output generation.</w:t>
      </w:r>
      <w:r>
        <w:rPr>
          <w:spacing w:val="40"/>
        </w:rPr>
        <w:t> </w:t>
      </w:r>
      <w:r>
        <w:rPr/>
        <w:t>All detrending parameters and model hyperparameters are centralised in a configuration file (utils/config.R) to ensure reproducibility.</w:t>
      </w:r>
    </w:p>
    <w:p>
      <w:pPr>
        <w:pStyle w:val="BodyText"/>
        <w:spacing w:before="75"/>
      </w:pPr>
    </w:p>
    <w:p>
      <w:pPr>
        <w:pStyle w:val="Heading3"/>
        <w:numPr>
          <w:ilvl w:val="2"/>
          <w:numId w:val="17"/>
        </w:numPr>
        <w:tabs>
          <w:tab w:pos="1426" w:val="left" w:leader="none"/>
        </w:tabs>
        <w:spacing w:line="240" w:lineRule="auto" w:before="0" w:after="0"/>
        <w:ind w:left="1426" w:right="0" w:hanging="717"/>
        <w:jc w:val="left"/>
      </w:pPr>
      <w:bookmarkStart w:name="3.8.1 Prediction Aggregation: Combining " w:id="92"/>
      <w:bookmarkEnd w:id="92"/>
      <w:r>
        <w:rPr>
          <w:b w:val="0"/>
        </w:rPr>
      </w:r>
      <w:bookmarkStart w:name="_bookmark47" w:id="93"/>
      <w:bookmarkEnd w:id="93"/>
      <w:r>
        <w:rPr>
          <w:b w:val="0"/>
        </w:rPr>
      </w:r>
      <w:r>
        <w:rPr/>
        <w:t>Prediction</w:t>
      </w:r>
      <w:r>
        <w:rPr>
          <w:spacing w:val="-13"/>
        </w:rPr>
        <w:t> </w:t>
      </w:r>
      <w:r>
        <w:rPr/>
        <w:t>Aggregation:</w:t>
      </w:r>
      <w:r>
        <w:rPr>
          <w:spacing w:val="-1"/>
        </w:rPr>
        <w:t> </w:t>
      </w:r>
      <w:r>
        <w:rPr/>
        <w:t>Combining</w:t>
      </w:r>
      <w:r>
        <w:rPr>
          <w:spacing w:val="-12"/>
        </w:rPr>
        <w:t> </w:t>
      </w:r>
      <w:r>
        <w:rPr/>
        <w:t>Multiple</w:t>
      </w:r>
      <w:r>
        <w:rPr>
          <w:spacing w:val="-13"/>
        </w:rPr>
        <w:t> </w:t>
      </w:r>
      <w:r>
        <w:rPr/>
        <w:t>Firing</w:t>
      </w:r>
      <w:r>
        <w:rPr>
          <w:spacing w:val="-12"/>
        </w:rPr>
        <w:t> </w:t>
      </w:r>
      <w:r>
        <w:rPr>
          <w:spacing w:val="-2"/>
        </w:rPr>
        <w:t>Rules</w:t>
      </w:r>
    </w:p>
    <w:p>
      <w:pPr>
        <w:pStyle w:val="BodyText"/>
        <w:spacing w:line="312" w:lineRule="auto" w:before="225"/>
        <w:ind w:left="709" w:right="990" w:hanging="11"/>
        <w:jc w:val="both"/>
      </w:pPr>
      <w:r>
        <w:rPr>
          <w:spacing w:val="-4"/>
        </w:rPr>
        <w:t>When multiple rules fire for a given test observation, their individual predictions must be aggregated </w:t>
      </w:r>
      <w:r>
        <w:rPr/>
        <w:t>into</w:t>
      </w:r>
      <w:r>
        <w:rPr>
          <w:spacing w:val="19"/>
        </w:rPr>
        <w:t> </w:t>
      </w:r>
      <w:r>
        <w:rPr/>
        <w:t>a</w:t>
      </w:r>
      <w:r>
        <w:rPr>
          <w:spacing w:val="19"/>
        </w:rPr>
        <w:t> </w:t>
      </w:r>
      <w:r>
        <w:rPr/>
        <w:t>single</w:t>
      </w:r>
      <w:r>
        <w:rPr>
          <w:spacing w:val="19"/>
        </w:rPr>
        <w:t> </w:t>
      </w:r>
      <w:r>
        <w:rPr/>
        <w:t>point</w:t>
      </w:r>
      <w:r>
        <w:rPr>
          <w:spacing w:val="20"/>
        </w:rPr>
        <w:t> </w:t>
      </w:r>
      <w:r>
        <w:rPr/>
        <w:t>estimate.</w:t>
      </w:r>
      <w:r>
        <w:rPr>
          <w:spacing w:val="66"/>
        </w:rPr>
        <w:t> </w:t>
      </w:r>
      <w:r>
        <w:rPr/>
        <w:t>Most</w:t>
      </w:r>
      <w:r>
        <w:rPr>
          <w:spacing w:val="19"/>
        </w:rPr>
        <w:t> </w:t>
      </w:r>
      <w:r>
        <w:rPr/>
        <w:t>CarenR</w:t>
      </w:r>
      <w:r>
        <w:rPr>
          <w:spacing w:val="20"/>
        </w:rPr>
        <w:t> </w:t>
      </w:r>
      <w:r>
        <w:rPr/>
        <w:t>variants</w:t>
      </w:r>
      <w:r>
        <w:rPr>
          <w:spacing w:val="19"/>
        </w:rPr>
        <w:t> </w:t>
      </w:r>
      <w:r>
        <w:rPr/>
        <w:t>use</w:t>
      </w:r>
      <w:r>
        <w:rPr>
          <w:spacing w:val="20"/>
        </w:rPr>
        <w:t> </w:t>
      </w:r>
      <w:r>
        <w:rPr/>
        <w:t>support-weighted</w:t>
      </w:r>
      <w:r>
        <w:rPr>
          <w:spacing w:val="19"/>
        </w:rPr>
        <w:t> </w:t>
      </w:r>
      <w:r>
        <w:rPr/>
        <w:t>aggregation;</w:t>
      </w:r>
      <w:r>
        <w:rPr>
          <w:spacing w:val="27"/>
        </w:rPr>
        <w:t> </w:t>
      </w:r>
      <w:r>
        <w:rPr/>
        <w:t>a</w:t>
      </w:r>
      <w:r>
        <w:rPr>
          <w:spacing w:val="20"/>
        </w:rPr>
        <w:t> </w:t>
      </w:r>
      <w:r>
        <w:rPr>
          <w:spacing w:val="-2"/>
        </w:rPr>
        <w:t>small</w:t>
      </w:r>
    </w:p>
    <w:p>
      <w:pPr>
        <w:pStyle w:val="BodyText"/>
        <w:spacing w:after="0" w:line="312" w:lineRule="auto"/>
        <w:jc w:val="both"/>
        <w:sectPr>
          <w:type w:val="continuous"/>
          <w:pgSz w:w="11910" w:h="16840"/>
          <w:pgMar w:header="1160" w:footer="0" w:top="1120" w:bottom="280" w:left="1275" w:right="425"/>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5"/>
        <w:rPr>
          <w:sz w:val="20"/>
        </w:rPr>
      </w:pPr>
    </w:p>
    <w:p>
      <w:pPr>
        <w:spacing w:before="0"/>
        <w:ind w:left="1213" w:right="0" w:firstLine="0"/>
        <w:jc w:val="left"/>
        <w:rPr>
          <w:sz w:val="20"/>
        </w:rPr>
      </w:pPr>
      <w:bookmarkStart w:name="_bookmark48" w:id="94"/>
      <w:bookmarkEnd w:id="94"/>
      <w:r>
        <w:rPr/>
      </w:r>
      <w:r>
        <w:rPr>
          <w:b/>
          <w:sz w:val="20"/>
        </w:rPr>
        <w:t>Table</w:t>
      </w:r>
      <w:r>
        <w:rPr>
          <w:b/>
          <w:spacing w:val="-9"/>
          <w:sz w:val="20"/>
        </w:rPr>
        <w:t> </w:t>
      </w:r>
      <w:r>
        <w:rPr>
          <w:b/>
          <w:sz w:val="20"/>
        </w:rPr>
        <w:t>3.3:</w:t>
      </w:r>
      <w:r>
        <w:rPr>
          <w:b/>
          <w:spacing w:val="2"/>
          <w:sz w:val="20"/>
        </w:rPr>
        <w:t> </w:t>
      </w:r>
      <w:r>
        <w:rPr>
          <w:sz w:val="20"/>
        </w:rPr>
        <w:t>Complete</w:t>
      </w:r>
      <w:r>
        <w:rPr>
          <w:spacing w:val="-8"/>
          <w:sz w:val="20"/>
        </w:rPr>
        <w:t> </w:t>
      </w:r>
      <w:r>
        <w:rPr>
          <w:sz w:val="20"/>
        </w:rPr>
        <w:t>set</w:t>
      </w:r>
      <w:r>
        <w:rPr>
          <w:spacing w:val="-9"/>
          <w:sz w:val="20"/>
        </w:rPr>
        <w:t> </w:t>
      </w:r>
      <w:r>
        <w:rPr>
          <w:sz w:val="20"/>
        </w:rPr>
        <w:t>of</w:t>
      </w:r>
      <w:r>
        <w:rPr>
          <w:spacing w:val="-8"/>
          <w:sz w:val="20"/>
        </w:rPr>
        <w:t> </w:t>
      </w:r>
      <w:r>
        <w:rPr>
          <w:sz w:val="20"/>
        </w:rPr>
        <w:t>17</w:t>
      </w:r>
      <w:r>
        <w:rPr>
          <w:spacing w:val="-9"/>
          <w:sz w:val="20"/>
        </w:rPr>
        <w:t> </w:t>
      </w:r>
      <w:r>
        <w:rPr>
          <w:sz w:val="20"/>
        </w:rPr>
        <w:t>models</w:t>
      </w:r>
      <w:r>
        <w:rPr>
          <w:spacing w:val="-8"/>
          <w:sz w:val="20"/>
        </w:rPr>
        <w:t> </w:t>
      </w:r>
      <w:r>
        <w:rPr>
          <w:sz w:val="20"/>
        </w:rPr>
        <w:t>evaluated</w:t>
      </w:r>
      <w:r>
        <w:rPr>
          <w:spacing w:val="-8"/>
          <w:sz w:val="20"/>
        </w:rPr>
        <w:t> </w:t>
      </w:r>
      <w:r>
        <w:rPr>
          <w:sz w:val="20"/>
        </w:rPr>
        <w:t>in</w:t>
      </w:r>
      <w:r>
        <w:rPr>
          <w:spacing w:val="-9"/>
          <w:sz w:val="20"/>
        </w:rPr>
        <w:t> </w:t>
      </w:r>
      <w:r>
        <w:rPr>
          <w:sz w:val="20"/>
        </w:rPr>
        <w:t>the</w:t>
      </w:r>
      <w:r>
        <w:rPr>
          <w:spacing w:val="-8"/>
          <w:sz w:val="20"/>
        </w:rPr>
        <w:t> </w:t>
      </w:r>
      <w:r>
        <w:rPr>
          <w:sz w:val="20"/>
        </w:rPr>
        <w:t>walk-forward</w:t>
      </w:r>
      <w:r>
        <w:rPr>
          <w:spacing w:val="-9"/>
          <w:sz w:val="20"/>
        </w:rPr>
        <w:t> </w:t>
      </w:r>
      <w:r>
        <w:rPr>
          <w:spacing w:val="-2"/>
          <w:sz w:val="20"/>
        </w:rPr>
        <w:t>validation.</w:t>
      </w:r>
    </w:p>
    <w:p>
      <w:pPr>
        <w:pStyle w:val="BodyText"/>
        <w:spacing w:before="6" w:after="1"/>
        <w:rPr>
          <w:sz w:val="20"/>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71"/>
        <w:gridCol w:w="1759"/>
        <w:gridCol w:w="3772"/>
      </w:tblGrid>
      <w:tr>
        <w:trPr>
          <w:trHeight w:val="645" w:hRule="atLeast"/>
        </w:trPr>
        <w:tc>
          <w:tcPr>
            <w:tcW w:w="2971" w:type="dxa"/>
            <w:tcBorders>
              <w:top w:val="single" w:sz="8" w:space="0" w:color="000000"/>
              <w:bottom w:val="single" w:sz="6" w:space="0" w:color="000000"/>
            </w:tcBorders>
          </w:tcPr>
          <w:p>
            <w:pPr>
              <w:pStyle w:val="TableParagraph"/>
              <w:spacing w:before="90"/>
              <w:ind w:left="119"/>
              <w:rPr>
                <w:b/>
                <w:sz w:val="20"/>
              </w:rPr>
            </w:pPr>
            <w:r>
              <w:rPr>
                <w:b/>
                <w:spacing w:val="-2"/>
                <w:sz w:val="20"/>
              </w:rPr>
              <w:t>Model</w:t>
            </w:r>
          </w:p>
        </w:tc>
        <w:tc>
          <w:tcPr>
            <w:tcW w:w="1759" w:type="dxa"/>
            <w:tcBorders>
              <w:top w:val="single" w:sz="8" w:space="0" w:color="000000"/>
              <w:bottom w:val="single" w:sz="6" w:space="0" w:color="000000"/>
            </w:tcBorders>
          </w:tcPr>
          <w:p>
            <w:pPr>
              <w:pStyle w:val="TableParagraph"/>
              <w:spacing w:before="90"/>
              <w:ind w:left="222"/>
              <w:rPr>
                <w:b/>
                <w:sz w:val="20"/>
              </w:rPr>
            </w:pPr>
            <w:r>
              <w:rPr>
                <w:b/>
                <w:spacing w:val="-4"/>
                <w:sz w:val="20"/>
              </w:rPr>
              <w:t>Type</w:t>
            </w:r>
          </w:p>
        </w:tc>
        <w:tc>
          <w:tcPr>
            <w:tcW w:w="3772" w:type="dxa"/>
            <w:tcBorders>
              <w:top w:val="single" w:sz="8" w:space="0" w:color="000000"/>
              <w:bottom w:val="single" w:sz="6" w:space="0" w:color="000000"/>
            </w:tcBorders>
          </w:tcPr>
          <w:p>
            <w:pPr>
              <w:pStyle w:val="TableParagraph"/>
              <w:spacing w:line="249" w:lineRule="auto" w:before="90"/>
              <w:ind w:left="289" w:right="112"/>
              <w:rPr>
                <w:b/>
                <w:sz w:val="20"/>
              </w:rPr>
            </w:pPr>
            <w:r>
              <w:rPr>
                <w:b/>
                <w:sz w:val="20"/>
              </w:rPr>
              <w:t>Feature</w:t>
            </w:r>
            <w:r>
              <w:rPr>
                <w:b/>
                <w:spacing w:val="-13"/>
                <w:sz w:val="20"/>
              </w:rPr>
              <w:t> </w:t>
            </w:r>
            <w:r>
              <w:rPr>
                <w:b/>
                <w:sz w:val="20"/>
              </w:rPr>
              <w:t>selection</w:t>
            </w:r>
            <w:r>
              <w:rPr>
                <w:b/>
                <w:spacing w:val="-12"/>
                <w:sz w:val="20"/>
              </w:rPr>
              <w:t> </w:t>
            </w:r>
            <w:r>
              <w:rPr>
                <w:b/>
                <w:sz w:val="20"/>
              </w:rPr>
              <w:t>/</w:t>
            </w:r>
            <w:r>
              <w:rPr>
                <w:b/>
                <w:spacing w:val="-13"/>
                <w:sz w:val="20"/>
              </w:rPr>
              <w:t> </w:t>
            </w:r>
            <w:r>
              <w:rPr>
                <w:b/>
                <w:sz w:val="20"/>
              </w:rPr>
              <w:t>distinguishing</w:t>
            </w:r>
            <w:r>
              <w:rPr>
                <w:b/>
                <w:spacing w:val="-12"/>
                <w:sz w:val="20"/>
              </w:rPr>
              <w:t> </w:t>
            </w:r>
            <w:r>
              <w:rPr>
                <w:b/>
                <w:sz w:val="20"/>
              </w:rPr>
              <w:t>design </w:t>
            </w:r>
            <w:r>
              <w:rPr>
                <w:b/>
                <w:spacing w:val="-2"/>
                <w:sz w:val="20"/>
              </w:rPr>
              <w:t>choice</w:t>
            </w:r>
          </w:p>
        </w:tc>
      </w:tr>
      <w:tr>
        <w:trPr>
          <w:trHeight w:val="332" w:hRule="atLeast"/>
        </w:trPr>
        <w:tc>
          <w:tcPr>
            <w:tcW w:w="2971" w:type="dxa"/>
            <w:tcBorders>
              <w:top w:val="single" w:sz="6" w:space="0" w:color="000000"/>
            </w:tcBorders>
          </w:tcPr>
          <w:p>
            <w:pPr>
              <w:pStyle w:val="TableParagraph"/>
              <w:spacing w:line="202" w:lineRule="exact" w:before="110"/>
              <w:ind w:left="119"/>
              <w:rPr>
                <w:rFonts w:ascii="Courier New"/>
                <w:sz w:val="20"/>
              </w:rPr>
            </w:pPr>
            <w:r>
              <w:rPr>
                <w:rFonts w:ascii="Courier New"/>
                <w:spacing w:val="-2"/>
                <w:sz w:val="20"/>
              </w:rPr>
              <w:t>Naive_Median</w:t>
            </w:r>
          </w:p>
        </w:tc>
        <w:tc>
          <w:tcPr>
            <w:tcW w:w="1759" w:type="dxa"/>
            <w:tcBorders>
              <w:top w:val="single" w:sz="6" w:space="0" w:color="000000"/>
            </w:tcBorders>
          </w:tcPr>
          <w:p>
            <w:pPr>
              <w:pStyle w:val="TableParagraph"/>
              <w:spacing w:line="222" w:lineRule="exact" w:before="90"/>
              <w:ind w:left="222"/>
              <w:rPr>
                <w:sz w:val="20"/>
              </w:rPr>
            </w:pPr>
            <w:r>
              <w:rPr>
                <w:spacing w:val="-2"/>
                <w:sz w:val="20"/>
              </w:rPr>
              <w:t>Baseline</w:t>
            </w:r>
          </w:p>
        </w:tc>
        <w:tc>
          <w:tcPr>
            <w:tcW w:w="3772" w:type="dxa"/>
            <w:tcBorders>
              <w:top w:val="single" w:sz="6" w:space="0" w:color="000000"/>
            </w:tcBorders>
          </w:tcPr>
          <w:p>
            <w:pPr>
              <w:pStyle w:val="TableParagraph"/>
              <w:spacing w:line="222" w:lineRule="exact" w:before="90"/>
              <w:ind w:left="289"/>
              <w:rPr>
                <w:sz w:val="20"/>
              </w:rPr>
            </w:pPr>
            <w:r>
              <w:rPr>
                <w:sz w:val="20"/>
              </w:rPr>
              <w:t>Predicts</w:t>
            </w:r>
            <w:r>
              <w:rPr>
                <w:spacing w:val="9"/>
                <w:sz w:val="20"/>
              </w:rPr>
              <w:t> </w:t>
            </w:r>
            <w:r>
              <w:rPr>
                <w:sz w:val="20"/>
              </w:rPr>
              <w:t>training-set</w:t>
            </w:r>
            <w:r>
              <w:rPr>
                <w:spacing w:val="10"/>
                <w:sz w:val="20"/>
              </w:rPr>
              <w:t> </w:t>
            </w:r>
            <w:r>
              <w:rPr>
                <w:sz w:val="20"/>
              </w:rPr>
              <w:t>median</w:t>
            </w:r>
            <w:r>
              <w:rPr>
                <w:spacing w:val="10"/>
                <w:sz w:val="20"/>
              </w:rPr>
              <w:t> </w:t>
            </w:r>
            <w:r>
              <w:rPr>
                <w:sz w:val="20"/>
              </w:rPr>
              <w:t>residual</w:t>
            </w:r>
            <w:r>
              <w:rPr>
                <w:spacing w:val="10"/>
                <w:sz w:val="20"/>
              </w:rPr>
              <w:t> </w:t>
            </w:r>
            <w:r>
              <w:rPr>
                <w:spacing w:val="-2"/>
                <w:sz w:val="20"/>
              </w:rPr>
              <w:t>(pri-</w:t>
            </w:r>
          </w:p>
        </w:tc>
      </w:tr>
      <w:tr>
        <w:trPr>
          <w:trHeight w:val="274" w:hRule="atLeast"/>
        </w:trPr>
        <w:tc>
          <w:tcPr>
            <w:tcW w:w="2971" w:type="dxa"/>
          </w:tcPr>
          <w:p>
            <w:pPr>
              <w:pStyle w:val="TableParagraph"/>
              <w:spacing w:before="0"/>
              <w:rPr>
                <w:sz w:val="20"/>
              </w:rPr>
            </w:pPr>
          </w:p>
        </w:tc>
        <w:tc>
          <w:tcPr>
            <w:tcW w:w="1759" w:type="dxa"/>
          </w:tcPr>
          <w:p>
            <w:pPr>
              <w:pStyle w:val="TableParagraph"/>
              <w:spacing w:before="0"/>
              <w:rPr>
                <w:sz w:val="20"/>
              </w:rPr>
            </w:pPr>
          </w:p>
        </w:tc>
        <w:tc>
          <w:tcPr>
            <w:tcW w:w="3772" w:type="dxa"/>
          </w:tcPr>
          <w:p>
            <w:pPr>
              <w:pStyle w:val="TableParagraph"/>
              <w:spacing w:line="227" w:lineRule="exact" w:before="0"/>
              <w:ind w:left="289"/>
              <w:rPr>
                <w:sz w:val="20"/>
              </w:rPr>
            </w:pPr>
            <w:r>
              <w:rPr>
                <w:sz w:val="20"/>
              </w:rPr>
              <w:t>mary</w:t>
            </w:r>
            <w:r>
              <w:rPr>
                <w:spacing w:val="-6"/>
                <w:sz w:val="20"/>
              </w:rPr>
              <w:t> </w:t>
            </w:r>
            <w:r>
              <w:rPr>
                <w:spacing w:val="-2"/>
                <w:sz w:val="20"/>
              </w:rPr>
              <w:t>baseline)</w:t>
            </w:r>
          </w:p>
        </w:tc>
      </w:tr>
      <w:tr>
        <w:trPr>
          <w:trHeight w:val="274" w:hRule="atLeast"/>
        </w:trPr>
        <w:tc>
          <w:tcPr>
            <w:tcW w:w="2971" w:type="dxa"/>
          </w:tcPr>
          <w:p>
            <w:pPr>
              <w:pStyle w:val="TableParagraph"/>
              <w:spacing w:line="202" w:lineRule="exact" w:before="53"/>
              <w:ind w:left="119"/>
              <w:rPr>
                <w:rFonts w:ascii="Courier New"/>
                <w:sz w:val="20"/>
              </w:rPr>
            </w:pPr>
            <w:r>
              <w:rPr>
                <w:rFonts w:ascii="Courier New"/>
                <w:spacing w:val="-2"/>
                <w:sz w:val="20"/>
              </w:rPr>
              <w:t>Naive</w:t>
            </w:r>
          </w:p>
        </w:tc>
        <w:tc>
          <w:tcPr>
            <w:tcW w:w="1759" w:type="dxa"/>
          </w:tcPr>
          <w:p>
            <w:pPr>
              <w:pStyle w:val="TableParagraph"/>
              <w:spacing w:line="222" w:lineRule="exact"/>
              <w:ind w:left="222"/>
              <w:rPr>
                <w:sz w:val="20"/>
              </w:rPr>
            </w:pPr>
            <w:r>
              <w:rPr>
                <w:spacing w:val="-2"/>
                <w:sz w:val="20"/>
              </w:rPr>
              <w:t>Baseline</w:t>
            </w:r>
          </w:p>
        </w:tc>
        <w:tc>
          <w:tcPr>
            <w:tcW w:w="3772" w:type="dxa"/>
          </w:tcPr>
          <w:p>
            <w:pPr>
              <w:pStyle w:val="TableParagraph"/>
              <w:spacing w:line="222" w:lineRule="exact"/>
              <w:ind w:left="289"/>
              <w:rPr>
                <w:sz w:val="20"/>
              </w:rPr>
            </w:pPr>
            <w:r>
              <w:rPr>
                <w:sz w:val="20"/>
              </w:rPr>
              <w:t>Predicts</w:t>
            </w:r>
            <w:r>
              <w:rPr>
                <w:spacing w:val="33"/>
                <w:sz w:val="20"/>
              </w:rPr>
              <w:t>  </w:t>
            </w:r>
            <w:r>
              <w:rPr>
                <w:sz w:val="20"/>
              </w:rPr>
              <w:t>most</w:t>
            </w:r>
            <w:r>
              <w:rPr>
                <w:spacing w:val="34"/>
                <w:sz w:val="20"/>
              </w:rPr>
              <w:t>  </w:t>
            </w:r>
            <w:r>
              <w:rPr>
                <w:sz w:val="20"/>
              </w:rPr>
              <w:t>recent</w:t>
            </w:r>
            <w:r>
              <w:rPr>
                <w:spacing w:val="34"/>
                <w:sz w:val="20"/>
              </w:rPr>
              <w:t>  </w:t>
            </w:r>
            <w:r>
              <w:rPr>
                <w:sz w:val="20"/>
              </w:rPr>
              <w:t>observed</w:t>
            </w:r>
            <w:r>
              <w:rPr>
                <w:spacing w:val="34"/>
                <w:sz w:val="20"/>
              </w:rPr>
              <w:t>  </w:t>
            </w:r>
            <w:r>
              <w:rPr>
                <w:spacing w:val="-2"/>
                <w:sz w:val="20"/>
              </w:rPr>
              <w:t>value</w:t>
            </w:r>
          </w:p>
        </w:tc>
      </w:tr>
      <w:tr>
        <w:trPr>
          <w:trHeight w:val="274" w:hRule="atLeast"/>
        </w:trPr>
        <w:tc>
          <w:tcPr>
            <w:tcW w:w="2971" w:type="dxa"/>
          </w:tcPr>
          <w:p>
            <w:pPr>
              <w:pStyle w:val="TableParagraph"/>
              <w:spacing w:before="0"/>
              <w:rPr>
                <w:sz w:val="20"/>
              </w:rPr>
            </w:pPr>
          </w:p>
        </w:tc>
        <w:tc>
          <w:tcPr>
            <w:tcW w:w="1759" w:type="dxa"/>
          </w:tcPr>
          <w:p>
            <w:pPr>
              <w:pStyle w:val="TableParagraph"/>
              <w:spacing w:before="0"/>
              <w:rPr>
                <w:sz w:val="20"/>
              </w:rPr>
            </w:pPr>
          </w:p>
        </w:tc>
        <w:tc>
          <w:tcPr>
            <w:tcW w:w="3772" w:type="dxa"/>
          </w:tcPr>
          <w:p>
            <w:pPr>
              <w:pStyle w:val="TableParagraph"/>
              <w:spacing w:line="227" w:lineRule="exact" w:before="0"/>
              <w:ind w:left="283"/>
              <w:rPr>
                <w:sz w:val="20"/>
              </w:rPr>
            </w:pPr>
            <w:r>
              <w:rPr>
                <w:spacing w:val="-2"/>
                <w:sz w:val="20"/>
              </w:rPr>
              <w:t>(random-walk)</w:t>
            </w:r>
          </w:p>
        </w:tc>
      </w:tr>
      <w:tr>
        <w:trPr>
          <w:trHeight w:val="274" w:hRule="atLeast"/>
        </w:trPr>
        <w:tc>
          <w:tcPr>
            <w:tcW w:w="2971" w:type="dxa"/>
          </w:tcPr>
          <w:p>
            <w:pPr>
              <w:pStyle w:val="TableParagraph"/>
              <w:spacing w:line="202" w:lineRule="exact" w:before="53"/>
              <w:ind w:left="119"/>
              <w:rPr>
                <w:rFonts w:ascii="Courier New"/>
                <w:sz w:val="20"/>
              </w:rPr>
            </w:pPr>
            <w:r>
              <w:rPr>
                <w:rFonts w:ascii="Courier New"/>
                <w:spacing w:val="-2"/>
                <w:sz w:val="20"/>
              </w:rPr>
              <w:t>Naive_MA</w:t>
            </w:r>
          </w:p>
        </w:tc>
        <w:tc>
          <w:tcPr>
            <w:tcW w:w="1759" w:type="dxa"/>
          </w:tcPr>
          <w:p>
            <w:pPr>
              <w:pStyle w:val="TableParagraph"/>
              <w:spacing w:line="222" w:lineRule="exact"/>
              <w:ind w:left="222"/>
              <w:rPr>
                <w:sz w:val="20"/>
              </w:rPr>
            </w:pPr>
            <w:r>
              <w:rPr>
                <w:spacing w:val="-2"/>
                <w:sz w:val="20"/>
              </w:rPr>
              <w:t>Baseline</w:t>
            </w:r>
          </w:p>
        </w:tc>
        <w:tc>
          <w:tcPr>
            <w:tcW w:w="3772" w:type="dxa"/>
          </w:tcPr>
          <w:p>
            <w:pPr>
              <w:pStyle w:val="TableParagraph"/>
              <w:spacing w:line="222" w:lineRule="exact"/>
              <w:ind w:left="289"/>
              <w:rPr>
                <w:sz w:val="20"/>
              </w:rPr>
            </w:pPr>
            <w:r>
              <w:rPr>
                <w:sz w:val="20"/>
              </w:rPr>
              <w:t>Predicts</w:t>
            </w:r>
            <w:r>
              <w:rPr>
                <w:spacing w:val="32"/>
                <w:sz w:val="20"/>
              </w:rPr>
              <w:t> </w:t>
            </w:r>
            <w:r>
              <w:rPr>
                <w:sz w:val="20"/>
              </w:rPr>
              <w:t>mean</w:t>
            </w:r>
            <w:r>
              <w:rPr>
                <w:spacing w:val="33"/>
                <w:sz w:val="20"/>
              </w:rPr>
              <w:t> </w:t>
            </w:r>
            <w:r>
              <w:rPr>
                <w:sz w:val="20"/>
              </w:rPr>
              <w:t>of</w:t>
            </w:r>
            <w:r>
              <w:rPr>
                <w:spacing w:val="33"/>
                <w:sz w:val="20"/>
              </w:rPr>
              <w:t> </w:t>
            </w:r>
            <w:r>
              <w:rPr>
                <w:sz w:val="20"/>
              </w:rPr>
              <w:t>3</w:t>
            </w:r>
            <w:r>
              <w:rPr>
                <w:spacing w:val="32"/>
                <w:sz w:val="20"/>
              </w:rPr>
              <w:t> </w:t>
            </w:r>
            <w:r>
              <w:rPr>
                <w:sz w:val="20"/>
              </w:rPr>
              <w:t>most</w:t>
            </w:r>
            <w:r>
              <w:rPr>
                <w:spacing w:val="33"/>
                <w:sz w:val="20"/>
              </w:rPr>
              <w:t> </w:t>
            </w:r>
            <w:r>
              <w:rPr>
                <w:sz w:val="20"/>
              </w:rPr>
              <w:t>recent</w:t>
            </w:r>
            <w:r>
              <w:rPr>
                <w:spacing w:val="33"/>
                <w:sz w:val="20"/>
              </w:rPr>
              <w:t> </w:t>
            </w:r>
            <w:r>
              <w:rPr>
                <w:spacing w:val="-2"/>
                <w:sz w:val="20"/>
              </w:rPr>
              <w:t>training</w:t>
            </w:r>
          </w:p>
        </w:tc>
      </w:tr>
      <w:tr>
        <w:trPr>
          <w:trHeight w:val="274" w:hRule="atLeast"/>
        </w:trPr>
        <w:tc>
          <w:tcPr>
            <w:tcW w:w="2971" w:type="dxa"/>
          </w:tcPr>
          <w:p>
            <w:pPr>
              <w:pStyle w:val="TableParagraph"/>
              <w:spacing w:before="0"/>
              <w:rPr>
                <w:sz w:val="20"/>
              </w:rPr>
            </w:pPr>
          </w:p>
        </w:tc>
        <w:tc>
          <w:tcPr>
            <w:tcW w:w="1759" w:type="dxa"/>
          </w:tcPr>
          <w:p>
            <w:pPr>
              <w:pStyle w:val="TableParagraph"/>
              <w:spacing w:before="0"/>
              <w:rPr>
                <w:sz w:val="20"/>
              </w:rPr>
            </w:pPr>
          </w:p>
        </w:tc>
        <w:tc>
          <w:tcPr>
            <w:tcW w:w="3772" w:type="dxa"/>
          </w:tcPr>
          <w:p>
            <w:pPr>
              <w:pStyle w:val="TableParagraph"/>
              <w:spacing w:line="227" w:lineRule="exact" w:before="0"/>
              <w:ind w:left="289"/>
              <w:rPr>
                <w:sz w:val="20"/>
              </w:rPr>
            </w:pPr>
            <w:r>
              <w:rPr>
                <w:spacing w:val="-2"/>
                <w:sz w:val="20"/>
              </w:rPr>
              <w:t>observations</w:t>
            </w:r>
          </w:p>
        </w:tc>
      </w:tr>
      <w:tr>
        <w:trPr>
          <w:trHeight w:val="274" w:hRule="atLeast"/>
        </w:trPr>
        <w:tc>
          <w:tcPr>
            <w:tcW w:w="2971" w:type="dxa"/>
          </w:tcPr>
          <w:p>
            <w:pPr>
              <w:pStyle w:val="TableParagraph"/>
              <w:spacing w:line="202" w:lineRule="exact" w:before="53"/>
              <w:ind w:left="119"/>
              <w:rPr>
                <w:rFonts w:ascii="Courier New"/>
                <w:sz w:val="20"/>
              </w:rPr>
            </w:pPr>
            <w:r>
              <w:rPr>
                <w:rFonts w:ascii="Courier New"/>
                <w:sz w:val="20"/>
              </w:rPr>
              <w:t>Decision</w:t>
            </w:r>
            <w:r>
              <w:rPr>
                <w:rFonts w:ascii="Courier New"/>
                <w:spacing w:val="-11"/>
                <w:sz w:val="20"/>
              </w:rPr>
              <w:t> </w:t>
            </w:r>
            <w:r>
              <w:rPr>
                <w:rFonts w:ascii="Courier New"/>
                <w:spacing w:val="-4"/>
                <w:sz w:val="20"/>
              </w:rPr>
              <w:t>Tree</w:t>
            </w:r>
          </w:p>
        </w:tc>
        <w:tc>
          <w:tcPr>
            <w:tcW w:w="1759" w:type="dxa"/>
          </w:tcPr>
          <w:p>
            <w:pPr>
              <w:pStyle w:val="TableParagraph"/>
              <w:spacing w:line="222" w:lineRule="exact"/>
              <w:ind w:left="222"/>
              <w:rPr>
                <w:sz w:val="20"/>
              </w:rPr>
            </w:pPr>
            <w:r>
              <w:rPr>
                <w:sz w:val="20"/>
              </w:rPr>
              <w:t>ML</w:t>
            </w:r>
            <w:r>
              <w:rPr>
                <w:spacing w:val="-4"/>
                <w:sz w:val="20"/>
              </w:rPr>
              <w:t> </w:t>
            </w:r>
            <w:r>
              <w:rPr>
                <w:spacing w:val="-2"/>
                <w:sz w:val="20"/>
              </w:rPr>
              <w:t>comparator</w:t>
            </w:r>
          </w:p>
        </w:tc>
        <w:tc>
          <w:tcPr>
            <w:tcW w:w="3772" w:type="dxa"/>
          </w:tcPr>
          <w:p>
            <w:pPr>
              <w:pStyle w:val="TableParagraph"/>
              <w:spacing w:line="222" w:lineRule="exact"/>
              <w:ind w:left="289"/>
              <w:rPr>
                <w:sz w:val="20"/>
              </w:rPr>
            </w:pPr>
            <w:r>
              <w:rPr>
                <w:sz w:val="20"/>
              </w:rPr>
              <w:t>CART</w:t>
            </w:r>
            <w:r>
              <w:rPr>
                <w:spacing w:val="6"/>
                <w:sz w:val="20"/>
              </w:rPr>
              <w:t> </w:t>
            </w:r>
            <w:r>
              <w:rPr>
                <w:sz w:val="20"/>
              </w:rPr>
              <w:t>regressor</w:t>
            </w:r>
            <w:r>
              <w:rPr>
                <w:spacing w:val="7"/>
                <w:sz w:val="20"/>
              </w:rPr>
              <w:t> </w:t>
            </w:r>
            <w:r>
              <w:rPr>
                <w:sz w:val="20"/>
              </w:rPr>
              <w:t>on</w:t>
            </w:r>
            <w:r>
              <w:rPr>
                <w:spacing w:val="6"/>
                <w:sz w:val="20"/>
              </w:rPr>
              <w:t> </w:t>
            </w:r>
            <w:r>
              <w:rPr>
                <w:sz w:val="20"/>
              </w:rPr>
              <w:t>all</w:t>
            </w:r>
            <w:r>
              <w:rPr>
                <w:spacing w:val="7"/>
                <w:sz w:val="20"/>
              </w:rPr>
              <w:t> </w:t>
            </w:r>
            <w:r>
              <w:rPr>
                <w:sz w:val="20"/>
              </w:rPr>
              <w:t>59</w:t>
            </w:r>
            <w:r>
              <w:rPr>
                <w:spacing w:val="6"/>
                <w:sz w:val="20"/>
              </w:rPr>
              <w:t> </w:t>
            </w:r>
            <w:r>
              <w:rPr>
                <w:sz w:val="20"/>
              </w:rPr>
              <w:t>features;</w:t>
            </w:r>
            <w:r>
              <w:rPr>
                <w:spacing w:val="10"/>
                <w:sz w:val="20"/>
              </w:rPr>
              <w:t> </w:t>
            </w:r>
            <w:r>
              <w:rPr>
                <w:spacing w:val="-2"/>
                <w:sz w:val="20"/>
              </w:rPr>
              <w:t>recur-</w:t>
            </w:r>
          </w:p>
        </w:tc>
      </w:tr>
      <w:tr>
        <w:trPr>
          <w:trHeight w:val="274" w:hRule="atLeast"/>
        </w:trPr>
        <w:tc>
          <w:tcPr>
            <w:tcW w:w="2971" w:type="dxa"/>
          </w:tcPr>
          <w:p>
            <w:pPr>
              <w:pStyle w:val="TableParagraph"/>
              <w:spacing w:before="0"/>
              <w:rPr>
                <w:sz w:val="20"/>
              </w:rPr>
            </w:pPr>
          </w:p>
        </w:tc>
        <w:tc>
          <w:tcPr>
            <w:tcW w:w="1759" w:type="dxa"/>
          </w:tcPr>
          <w:p>
            <w:pPr>
              <w:pStyle w:val="TableParagraph"/>
              <w:spacing w:before="0"/>
              <w:rPr>
                <w:sz w:val="20"/>
              </w:rPr>
            </w:pPr>
          </w:p>
        </w:tc>
        <w:tc>
          <w:tcPr>
            <w:tcW w:w="3772" w:type="dxa"/>
          </w:tcPr>
          <w:p>
            <w:pPr>
              <w:pStyle w:val="TableParagraph"/>
              <w:spacing w:line="227" w:lineRule="exact" w:before="0"/>
              <w:ind w:left="289"/>
              <w:rPr>
                <w:sz w:val="20"/>
              </w:rPr>
            </w:pPr>
            <w:r>
              <w:rPr>
                <w:sz w:val="20"/>
              </w:rPr>
              <w:t>sive</w:t>
            </w:r>
            <w:r>
              <w:rPr>
                <w:spacing w:val="-10"/>
                <w:sz w:val="20"/>
              </w:rPr>
              <w:t> </w:t>
            </w:r>
            <w:r>
              <w:rPr>
                <w:sz w:val="20"/>
              </w:rPr>
              <w:t>binary</w:t>
            </w:r>
            <w:r>
              <w:rPr>
                <w:spacing w:val="-9"/>
                <w:sz w:val="20"/>
              </w:rPr>
              <w:t> </w:t>
            </w:r>
            <w:r>
              <w:rPr>
                <w:spacing w:val="-2"/>
                <w:sz w:val="20"/>
              </w:rPr>
              <w:t>splits</w:t>
            </w:r>
          </w:p>
        </w:tc>
      </w:tr>
      <w:tr>
        <w:trPr>
          <w:trHeight w:val="274" w:hRule="atLeast"/>
        </w:trPr>
        <w:tc>
          <w:tcPr>
            <w:tcW w:w="2971" w:type="dxa"/>
          </w:tcPr>
          <w:p>
            <w:pPr>
              <w:pStyle w:val="TableParagraph"/>
              <w:spacing w:line="202" w:lineRule="exact" w:before="53"/>
              <w:ind w:left="119"/>
              <w:rPr>
                <w:rFonts w:ascii="Courier New"/>
                <w:sz w:val="20"/>
              </w:rPr>
            </w:pPr>
            <w:r>
              <w:rPr>
                <w:rFonts w:ascii="Courier New"/>
                <w:spacing w:val="-2"/>
                <w:sz w:val="20"/>
              </w:rPr>
              <w:t>RIPPER</w:t>
            </w:r>
          </w:p>
        </w:tc>
        <w:tc>
          <w:tcPr>
            <w:tcW w:w="1759" w:type="dxa"/>
          </w:tcPr>
          <w:p>
            <w:pPr>
              <w:pStyle w:val="TableParagraph"/>
              <w:spacing w:line="222" w:lineRule="exact"/>
              <w:ind w:left="222"/>
              <w:rPr>
                <w:sz w:val="20"/>
              </w:rPr>
            </w:pPr>
            <w:r>
              <w:rPr>
                <w:sz w:val="20"/>
              </w:rPr>
              <w:t>Rule</w:t>
            </w:r>
            <w:r>
              <w:rPr>
                <w:spacing w:val="-5"/>
                <w:sz w:val="20"/>
              </w:rPr>
              <w:t> </w:t>
            </w:r>
            <w:r>
              <w:rPr>
                <w:spacing w:val="-2"/>
                <w:sz w:val="20"/>
              </w:rPr>
              <w:t>learner</w:t>
            </w:r>
          </w:p>
        </w:tc>
        <w:tc>
          <w:tcPr>
            <w:tcW w:w="3772" w:type="dxa"/>
          </w:tcPr>
          <w:p>
            <w:pPr>
              <w:pStyle w:val="TableParagraph"/>
              <w:spacing w:line="222" w:lineRule="exact"/>
              <w:ind w:left="289"/>
              <w:rPr>
                <w:sz w:val="20"/>
              </w:rPr>
            </w:pPr>
            <w:r>
              <w:rPr>
                <w:sz w:val="20"/>
              </w:rPr>
              <w:t>Classification</w:t>
            </w:r>
            <w:r>
              <w:rPr>
                <w:spacing w:val="35"/>
                <w:sz w:val="20"/>
              </w:rPr>
              <w:t> </w:t>
            </w:r>
            <w:r>
              <w:rPr>
                <w:sz w:val="20"/>
              </w:rPr>
              <w:t>rules</w:t>
            </w:r>
            <w:r>
              <w:rPr>
                <w:spacing w:val="36"/>
                <w:sz w:val="20"/>
              </w:rPr>
              <w:t> </w:t>
            </w:r>
            <w:r>
              <w:rPr>
                <w:sz w:val="20"/>
              </w:rPr>
              <w:t>on</w:t>
            </w:r>
            <w:r>
              <w:rPr>
                <w:spacing w:val="36"/>
                <w:sz w:val="20"/>
              </w:rPr>
              <w:t> </w:t>
            </w:r>
            <w:r>
              <w:rPr>
                <w:sz w:val="20"/>
              </w:rPr>
              <w:t>tertile-</w:t>
            </w:r>
            <w:r>
              <w:rPr>
                <w:spacing w:val="-2"/>
                <w:sz w:val="20"/>
              </w:rPr>
              <w:t>discretised</w:t>
            </w:r>
          </w:p>
        </w:tc>
      </w:tr>
      <w:tr>
        <w:trPr>
          <w:trHeight w:val="274" w:hRule="atLeast"/>
        </w:trPr>
        <w:tc>
          <w:tcPr>
            <w:tcW w:w="2971" w:type="dxa"/>
          </w:tcPr>
          <w:p>
            <w:pPr>
              <w:pStyle w:val="TableParagraph"/>
              <w:spacing w:before="0"/>
              <w:rPr>
                <w:sz w:val="20"/>
              </w:rPr>
            </w:pPr>
          </w:p>
        </w:tc>
        <w:tc>
          <w:tcPr>
            <w:tcW w:w="1759" w:type="dxa"/>
          </w:tcPr>
          <w:p>
            <w:pPr>
              <w:pStyle w:val="TableParagraph"/>
              <w:spacing w:before="0"/>
              <w:rPr>
                <w:sz w:val="20"/>
              </w:rPr>
            </w:pPr>
          </w:p>
        </w:tc>
        <w:tc>
          <w:tcPr>
            <w:tcW w:w="3772" w:type="dxa"/>
          </w:tcPr>
          <w:p>
            <w:pPr>
              <w:pStyle w:val="TableParagraph"/>
              <w:spacing w:line="227" w:lineRule="exact" w:before="0"/>
              <w:ind w:left="289"/>
              <w:rPr>
                <w:sz w:val="20"/>
              </w:rPr>
            </w:pPr>
            <w:r>
              <w:rPr>
                <w:spacing w:val="-2"/>
                <w:sz w:val="20"/>
              </w:rPr>
              <w:t>residuals</w:t>
            </w:r>
          </w:p>
        </w:tc>
      </w:tr>
      <w:tr>
        <w:trPr>
          <w:trHeight w:val="340" w:hRule="atLeast"/>
        </w:trPr>
        <w:tc>
          <w:tcPr>
            <w:tcW w:w="2971" w:type="dxa"/>
          </w:tcPr>
          <w:p>
            <w:pPr>
              <w:pStyle w:val="TableParagraph"/>
              <w:spacing w:before="53"/>
              <w:ind w:left="119"/>
              <w:rPr>
                <w:rFonts w:ascii="Courier New"/>
                <w:sz w:val="20"/>
              </w:rPr>
            </w:pPr>
            <w:r>
              <w:rPr>
                <w:rFonts w:ascii="Courier New"/>
                <w:spacing w:val="-2"/>
                <w:sz w:val="20"/>
              </w:rPr>
              <w:t>M5Rules</w:t>
            </w:r>
          </w:p>
        </w:tc>
        <w:tc>
          <w:tcPr>
            <w:tcW w:w="1759" w:type="dxa"/>
          </w:tcPr>
          <w:p>
            <w:pPr>
              <w:pStyle w:val="TableParagraph"/>
              <w:ind w:left="222"/>
              <w:rPr>
                <w:sz w:val="20"/>
              </w:rPr>
            </w:pPr>
            <w:r>
              <w:rPr>
                <w:sz w:val="20"/>
              </w:rPr>
              <w:t>Rule</w:t>
            </w:r>
            <w:r>
              <w:rPr>
                <w:spacing w:val="-5"/>
                <w:sz w:val="20"/>
              </w:rPr>
              <w:t> </w:t>
            </w:r>
            <w:r>
              <w:rPr>
                <w:spacing w:val="-2"/>
                <w:sz w:val="20"/>
              </w:rPr>
              <w:t>learner</w:t>
            </w:r>
          </w:p>
        </w:tc>
        <w:tc>
          <w:tcPr>
            <w:tcW w:w="3772" w:type="dxa"/>
          </w:tcPr>
          <w:p>
            <w:pPr>
              <w:pStyle w:val="TableParagraph"/>
              <w:ind w:left="289"/>
              <w:rPr>
                <w:sz w:val="20"/>
              </w:rPr>
            </w:pPr>
            <w:r>
              <w:rPr>
                <w:sz w:val="20"/>
              </w:rPr>
              <w:t>Piecewise</w:t>
            </w:r>
            <w:r>
              <w:rPr>
                <w:spacing w:val="-11"/>
                <w:sz w:val="20"/>
              </w:rPr>
              <w:t> </w:t>
            </w:r>
            <w:r>
              <w:rPr>
                <w:sz w:val="20"/>
              </w:rPr>
              <w:t>linear</w:t>
            </w:r>
            <w:r>
              <w:rPr>
                <w:spacing w:val="-11"/>
                <w:sz w:val="20"/>
              </w:rPr>
              <w:t> </w:t>
            </w:r>
            <w:r>
              <w:rPr>
                <w:sz w:val="20"/>
              </w:rPr>
              <w:t>regression</w:t>
            </w:r>
            <w:r>
              <w:rPr>
                <w:spacing w:val="-10"/>
                <w:sz w:val="20"/>
              </w:rPr>
              <w:t> </w:t>
            </w:r>
            <w:r>
              <w:rPr>
                <w:spacing w:val="-2"/>
                <w:sz w:val="20"/>
              </w:rPr>
              <w:t>rules</w:t>
            </w:r>
          </w:p>
        </w:tc>
      </w:tr>
      <w:tr>
        <w:trPr>
          <w:trHeight w:val="370" w:hRule="atLeast"/>
        </w:trPr>
        <w:tc>
          <w:tcPr>
            <w:tcW w:w="2971" w:type="dxa"/>
          </w:tcPr>
          <w:p>
            <w:pPr>
              <w:pStyle w:val="TableParagraph"/>
              <w:spacing w:before="83"/>
              <w:ind w:left="119"/>
              <w:rPr>
                <w:rFonts w:ascii="Courier New"/>
                <w:sz w:val="20"/>
              </w:rPr>
            </w:pPr>
            <w:r>
              <w:rPr>
                <w:rFonts w:ascii="Courier New"/>
                <w:spacing w:val="-2"/>
                <w:sz w:val="20"/>
              </w:rPr>
              <w:t>CarenR_Dist</w:t>
            </w:r>
          </w:p>
        </w:tc>
        <w:tc>
          <w:tcPr>
            <w:tcW w:w="1759" w:type="dxa"/>
          </w:tcPr>
          <w:p>
            <w:pPr>
              <w:pStyle w:val="TableParagraph"/>
              <w:spacing w:before="62"/>
              <w:ind w:left="222"/>
              <w:rPr>
                <w:sz w:val="20"/>
              </w:rPr>
            </w:pPr>
            <w:r>
              <w:rPr>
                <w:sz w:val="20"/>
              </w:rPr>
              <w:t>CarenR</w:t>
            </w:r>
            <w:r>
              <w:rPr>
                <w:spacing w:val="-8"/>
                <w:sz w:val="20"/>
              </w:rPr>
              <w:t> </w:t>
            </w:r>
            <w:r>
              <w:rPr>
                <w:spacing w:val="-2"/>
                <w:sz w:val="20"/>
              </w:rPr>
              <w:t>variant</w:t>
            </w:r>
          </w:p>
        </w:tc>
        <w:tc>
          <w:tcPr>
            <w:tcW w:w="3772" w:type="dxa"/>
          </w:tcPr>
          <w:p>
            <w:pPr>
              <w:pStyle w:val="TableParagraph"/>
              <w:spacing w:before="62"/>
              <w:ind w:left="289"/>
              <w:rPr>
                <w:sz w:val="20"/>
              </w:rPr>
            </w:pPr>
            <w:r>
              <w:rPr>
                <w:sz w:val="20"/>
              </w:rPr>
              <w:t>All</w:t>
            </w:r>
            <w:r>
              <w:rPr>
                <w:spacing w:val="-7"/>
                <w:sz w:val="20"/>
              </w:rPr>
              <w:t> </w:t>
            </w:r>
            <w:r>
              <w:rPr>
                <w:sz w:val="20"/>
              </w:rPr>
              <w:t>59</w:t>
            </w:r>
            <w:r>
              <w:rPr>
                <w:spacing w:val="-6"/>
                <w:sz w:val="20"/>
              </w:rPr>
              <w:t> </w:t>
            </w:r>
            <w:r>
              <w:rPr>
                <w:sz w:val="20"/>
              </w:rPr>
              <w:t>features;</w:t>
            </w:r>
            <w:r>
              <w:rPr>
                <w:spacing w:val="-7"/>
                <w:sz w:val="20"/>
              </w:rPr>
              <w:t> </w:t>
            </w:r>
            <w:r>
              <w:rPr>
                <w:sz w:val="20"/>
              </w:rPr>
              <w:t>default</w:t>
            </w:r>
            <w:r>
              <w:rPr>
                <w:spacing w:val="-6"/>
                <w:sz w:val="20"/>
              </w:rPr>
              <w:t> </w:t>
            </w:r>
            <w:r>
              <w:rPr>
                <w:sz w:val="20"/>
              </w:rPr>
              <w:t>minimum</w:t>
            </w:r>
            <w:r>
              <w:rPr>
                <w:spacing w:val="-6"/>
                <w:sz w:val="20"/>
              </w:rPr>
              <w:t> </w:t>
            </w:r>
            <w:r>
              <w:rPr>
                <w:spacing w:val="-2"/>
                <w:sz w:val="20"/>
              </w:rPr>
              <w:t>support</w:t>
            </w:r>
          </w:p>
        </w:tc>
      </w:tr>
      <w:tr>
        <w:trPr>
          <w:trHeight w:val="527" w:hRule="atLeast"/>
        </w:trPr>
        <w:tc>
          <w:tcPr>
            <w:tcW w:w="2971" w:type="dxa"/>
          </w:tcPr>
          <w:p>
            <w:pPr>
              <w:pStyle w:val="TableParagraph"/>
              <w:spacing w:before="83"/>
              <w:ind w:left="119"/>
              <w:rPr>
                <w:rFonts w:ascii="Courier New"/>
                <w:sz w:val="20"/>
              </w:rPr>
            </w:pPr>
            <w:r>
              <w:rPr>
                <w:rFonts w:ascii="Courier New"/>
                <w:spacing w:val="-2"/>
                <w:sz w:val="20"/>
              </w:rPr>
              <w:t>CarenR_Dist_FS</w:t>
            </w:r>
          </w:p>
        </w:tc>
        <w:tc>
          <w:tcPr>
            <w:tcW w:w="1759" w:type="dxa"/>
          </w:tcPr>
          <w:p>
            <w:pPr>
              <w:pStyle w:val="TableParagraph"/>
              <w:spacing w:before="62"/>
              <w:ind w:left="222"/>
              <w:rPr>
                <w:sz w:val="20"/>
              </w:rPr>
            </w:pPr>
            <w:r>
              <w:rPr>
                <w:sz w:val="20"/>
              </w:rPr>
              <w:t>CarenR</w:t>
            </w:r>
            <w:r>
              <w:rPr>
                <w:spacing w:val="-8"/>
                <w:sz w:val="20"/>
              </w:rPr>
              <w:t> </w:t>
            </w:r>
            <w:r>
              <w:rPr>
                <w:spacing w:val="-2"/>
                <w:sz w:val="20"/>
              </w:rPr>
              <w:t>variant</w:t>
            </w:r>
          </w:p>
        </w:tc>
        <w:tc>
          <w:tcPr>
            <w:tcW w:w="3772" w:type="dxa"/>
          </w:tcPr>
          <w:p>
            <w:pPr>
              <w:pStyle w:val="TableParagraph"/>
              <w:spacing w:line="314" w:lineRule="exact" w:before="3"/>
              <w:ind w:left="289"/>
              <w:rPr>
                <w:rFonts w:ascii="Meiryo UI"/>
                <w:i/>
                <w:sz w:val="20"/>
              </w:rPr>
            </w:pPr>
            <w:r>
              <w:rPr>
                <w:sz w:val="20"/>
              </w:rPr>
              <w:t>Top-</w:t>
            </w:r>
            <w:r>
              <w:rPr>
                <w:i/>
                <w:sz w:val="20"/>
              </w:rPr>
              <w:t>N</w:t>
            </w:r>
            <w:r>
              <w:rPr>
                <w:i/>
                <w:spacing w:val="41"/>
                <w:sz w:val="20"/>
              </w:rPr>
              <w:t> </w:t>
            </w:r>
            <w:r>
              <w:rPr>
                <w:sz w:val="20"/>
              </w:rPr>
              <w:t>features</w:t>
            </w:r>
            <w:r>
              <w:rPr>
                <w:spacing w:val="32"/>
                <w:sz w:val="20"/>
              </w:rPr>
              <w:t> </w:t>
            </w:r>
            <w:r>
              <w:rPr>
                <w:sz w:val="20"/>
              </w:rPr>
              <w:t>by</w:t>
            </w:r>
            <w:r>
              <w:rPr>
                <w:spacing w:val="31"/>
                <w:sz w:val="20"/>
              </w:rPr>
              <w:t> </w:t>
            </w:r>
            <w:r>
              <w:rPr>
                <w:rFonts w:ascii="Meiryo UI"/>
                <w:i/>
                <w:sz w:val="20"/>
              </w:rPr>
              <w:t>|</w:t>
            </w:r>
            <w:r>
              <w:rPr>
                <w:sz w:val="20"/>
              </w:rPr>
              <w:t>Pearson</w:t>
            </w:r>
            <w:r>
              <w:rPr>
                <w:spacing w:val="32"/>
                <w:sz w:val="20"/>
              </w:rPr>
              <w:t> </w:t>
            </w:r>
            <w:r>
              <w:rPr>
                <w:spacing w:val="-2"/>
                <w:sz w:val="20"/>
              </w:rPr>
              <w:t>correlation</w:t>
            </w:r>
            <w:r>
              <w:rPr>
                <w:rFonts w:ascii="Meiryo UI"/>
                <w:i/>
                <w:spacing w:val="-2"/>
                <w:sz w:val="20"/>
              </w:rPr>
              <w:t>|</w:t>
            </w:r>
          </w:p>
          <w:p>
            <w:pPr>
              <w:pStyle w:val="TableParagraph"/>
              <w:spacing w:line="190" w:lineRule="exact" w:before="0"/>
              <w:ind w:left="282"/>
              <w:rPr>
                <w:sz w:val="20"/>
              </w:rPr>
            </w:pPr>
            <w:r>
              <w:rPr>
                <w:sz w:val="20"/>
              </w:rPr>
              <w:t>with</w:t>
            </w:r>
            <w:r>
              <w:rPr>
                <w:spacing w:val="-5"/>
                <w:sz w:val="20"/>
              </w:rPr>
              <w:t> </w:t>
            </w:r>
            <w:r>
              <w:rPr>
                <w:spacing w:val="-2"/>
                <w:sz w:val="20"/>
              </w:rPr>
              <w:t>target</w:t>
            </w:r>
          </w:p>
        </w:tc>
      </w:tr>
      <w:tr>
        <w:trPr>
          <w:trHeight w:val="460" w:hRule="atLeast"/>
        </w:trPr>
        <w:tc>
          <w:tcPr>
            <w:tcW w:w="2971" w:type="dxa"/>
          </w:tcPr>
          <w:p>
            <w:pPr>
              <w:pStyle w:val="TableParagraph"/>
              <w:spacing w:before="105"/>
              <w:ind w:left="119"/>
              <w:rPr>
                <w:rFonts w:ascii="Courier New"/>
                <w:sz w:val="20"/>
              </w:rPr>
            </w:pPr>
            <w:r>
              <w:rPr>
                <w:rFonts w:ascii="Courier New"/>
                <w:spacing w:val="-2"/>
                <w:sz w:val="20"/>
              </w:rPr>
              <w:t>CarenR_Dist_Thresh</w:t>
            </w:r>
          </w:p>
        </w:tc>
        <w:tc>
          <w:tcPr>
            <w:tcW w:w="1759" w:type="dxa"/>
          </w:tcPr>
          <w:p>
            <w:pPr>
              <w:pStyle w:val="TableParagraph"/>
              <w:spacing w:before="84"/>
              <w:ind w:left="222"/>
              <w:rPr>
                <w:sz w:val="20"/>
              </w:rPr>
            </w:pPr>
            <w:r>
              <w:rPr>
                <w:sz w:val="20"/>
              </w:rPr>
              <w:t>CarenR</w:t>
            </w:r>
            <w:r>
              <w:rPr>
                <w:spacing w:val="-8"/>
                <w:sz w:val="20"/>
              </w:rPr>
              <w:t> </w:t>
            </w:r>
            <w:r>
              <w:rPr>
                <w:spacing w:val="-2"/>
                <w:sz w:val="20"/>
              </w:rPr>
              <w:t>variant</w:t>
            </w:r>
          </w:p>
        </w:tc>
        <w:tc>
          <w:tcPr>
            <w:tcW w:w="3772" w:type="dxa"/>
          </w:tcPr>
          <w:p>
            <w:pPr>
              <w:pStyle w:val="TableParagraph"/>
              <w:spacing w:before="25"/>
              <w:ind w:left="289"/>
              <w:rPr>
                <w:sz w:val="20"/>
              </w:rPr>
            </w:pPr>
            <w:r>
              <w:rPr>
                <w:spacing w:val="-4"/>
                <w:sz w:val="20"/>
              </w:rPr>
              <w:t>Features</w:t>
            </w:r>
            <w:r>
              <w:rPr>
                <w:spacing w:val="1"/>
                <w:sz w:val="20"/>
              </w:rPr>
              <w:t> </w:t>
            </w:r>
            <w:r>
              <w:rPr>
                <w:spacing w:val="-4"/>
                <w:sz w:val="20"/>
              </w:rPr>
              <w:t>with</w:t>
            </w:r>
            <w:r>
              <w:rPr>
                <w:spacing w:val="2"/>
                <w:sz w:val="20"/>
              </w:rPr>
              <w:t> </w:t>
            </w:r>
            <w:r>
              <w:rPr>
                <w:rFonts w:ascii="Meiryo UI" w:hAnsi="Meiryo UI"/>
                <w:i/>
                <w:spacing w:val="-4"/>
                <w:sz w:val="20"/>
              </w:rPr>
              <w:t>|</w:t>
            </w:r>
            <w:r>
              <w:rPr>
                <w:spacing w:val="-4"/>
                <w:sz w:val="20"/>
              </w:rPr>
              <w:t>correlation</w:t>
            </w:r>
            <w:r>
              <w:rPr>
                <w:rFonts w:ascii="Meiryo UI" w:hAnsi="Meiryo UI"/>
                <w:i/>
                <w:spacing w:val="-4"/>
                <w:sz w:val="20"/>
              </w:rPr>
              <w:t>|</w:t>
            </w:r>
            <w:r>
              <w:rPr>
                <w:rFonts w:ascii="Meiryo UI" w:hAnsi="Meiryo UI"/>
                <w:i/>
                <w:spacing w:val="-21"/>
                <w:sz w:val="20"/>
              </w:rPr>
              <w:t> </w:t>
            </w:r>
            <w:r>
              <w:rPr>
                <w:rFonts w:ascii="Meiryo UI" w:hAnsi="Meiryo UI"/>
                <w:i/>
                <w:spacing w:val="-4"/>
                <w:sz w:val="20"/>
              </w:rPr>
              <w:t>≥</w:t>
            </w:r>
            <w:r>
              <w:rPr>
                <w:rFonts w:ascii="Meiryo UI" w:hAnsi="Meiryo UI"/>
                <w:i/>
                <w:spacing w:val="-22"/>
                <w:sz w:val="20"/>
              </w:rPr>
              <w:t> </w:t>
            </w:r>
            <w:r>
              <w:rPr>
                <w:spacing w:val="-4"/>
                <w:sz w:val="20"/>
              </w:rPr>
              <w:t>0</w:t>
            </w:r>
            <w:r>
              <w:rPr>
                <w:rFonts w:ascii="Meiryo UI" w:hAnsi="Meiryo UI"/>
                <w:i/>
                <w:spacing w:val="-4"/>
                <w:sz w:val="20"/>
              </w:rPr>
              <w:t>.</w:t>
            </w:r>
            <w:r>
              <w:rPr>
                <w:spacing w:val="-4"/>
                <w:sz w:val="20"/>
              </w:rPr>
              <w:t>30</w:t>
            </w:r>
          </w:p>
        </w:tc>
      </w:tr>
      <w:tr>
        <w:trPr>
          <w:trHeight w:val="237" w:hRule="atLeast"/>
        </w:trPr>
        <w:tc>
          <w:tcPr>
            <w:tcW w:w="2971" w:type="dxa"/>
          </w:tcPr>
          <w:p>
            <w:pPr>
              <w:pStyle w:val="TableParagraph"/>
              <w:spacing w:line="202" w:lineRule="exact" w:before="15"/>
              <w:ind w:left="119"/>
              <w:rPr>
                <w:rFonts w:ascii="Courier New"/>
                <w:sz w:val="20"/>
              </w:rPr>
            </w:pPr>
            <w:r>
              <w:rPr>
                <w:rFonts w:ascii="Courier New"/>
                <w:spacing w:val="-2"/>
                <w:sz w:val="20"/>
              </w:rPr>
              <w:t>CarenR_Dist_Sup</w:t>
            </w:r>
          </w:p>
        </w:tc>
        <w:tc>
          <w:tcPr>
            <w:tcW w:w="1759" w:type="dxa"/>
          </w:tcPr>
          <w:p>
            <w:pPr>
              <w:pStyle w:val="TableParagraph"/>
              <w:spacing w:line="217" w:lineRule="exact" w:before="0"/>
              <w:ind w:left="222"/>
              <w:rPr>
                <w:sz w:val="20"/>
              </w:rPr>
            </w:pPr>
            <w:r>
              <w:rPr>
                <w:sz w:val="20"/>
              </w:rPr>
              <w:t>CarenR</w:t>
            </w:r>
            <w:r>
              <w:rPr>
                <w:spacing w:val="-8"/>
                <w:sz w:val="20"/>
              </w:rPr>
              <w:t> </w:t>
            </w:r>
            <w:r>
              <w:rPr>
                <w:spacing w:val="-2"/>
                <w:sz w:val="20"/>
              </w:rPr>
              <w:t>variant</w:t>
            </w:r>
          </w:p>
        </w:tc>
        <w:tc>
          <w:tcPr>
            <w:tcW w:w="3772" w:type="dxa"/>
          </w:tcPr>
          <w:p>
            <w:pPr>
              <w:pStyle w:val="TableParagraph"/>
              <w:spacing w:line="217" w:lineRule="exact" w:before="0"/>
              <w:ind w:left="289"/>
              <w:rPr>
                <w:sz w:val="20"/>
              </w:rPr>
            </w:pPr>
            <w:r>
              <w:rPr>
                <w:sz w:val="20"/>
              </w:rPr>
              <w:t>All</w:t>
            </w:r>
            <w:r>
              <w:rPr>
                <w:spacing w:val="9"/>
                <w:sz w:val="20"/>
              </w:rPr>
              <w:t> </w:t>
            </w:r>
            <w:r>
              <w:rPr>
                <w:sz w:val="20"/>
              </w:rPr>
              <w:t>59</w:t>
            </w:r>
            <w:r>
              <w:rPr>
                <w:spacing w:val="10"/>
                <w:sz w:val="20"/>
              </w:rPr>
              <w:t> </w:t>
            </w:r>
            <w:r>
              <w:rPr>
                <w:sz w:val="20"/>
              </w:rPr>
              <w:t>features;</w:t>
            </w:r>
            <w:r>
              <w:rPr>
                <w:spacing w:val="13"/>
                <w:sz w:val="20"/>
              </w:rPr>
              <w:t> </w:t>
            </w:r>
            <w:r>
              <w:rPr>
                <w:sz w:val="20"/>
              </w:rPr>
              <w:t>higher</w:t>
            </w:r>
            <w:r>
              <w:rPr>
                <w:spacing w:val="10"/>
                <w:sz w:val="20"/>
              </w:rPr>
              <w:t> </w:t>
            </w:r>
            <w:r>
              <w:rPr>
                <w:sz w:val="20"/>
              </w:rPr>
              <w:t>minimum</w:t>
            </w:r>
            <w:r>
              <w:rPr>
                <w:spacing w:val="10"/>
                <w:sz w:val="20"/>
              </w:rPr>
              <w:t> </w:t>
            </w:r>
            <w:r>
              <w:rPr>
                <w:spacing w:val="-2"/>
                <w:sz w:val="20"/>
              </w:rPr>
              <w:t>support</w:t>
            </w:r>
          </w:p>
        </w:tc>
      </w:tr>
      <w:tr>
        <w:trPr>
          <w:trHeight w:val="274" w:hRule="atLeast"/>
        </w:trPr>
        <w:tc>
          <w:tcPr>
            <w:tcW w:w="2971" w:type="dxa"/>
          </w:tcPr>
          <w:p>
            <w:pPr>
              <w:pStyle w:val="TableParagraph"/>
              <w:spacing w:before="0"/>
              <w:rPr>
                <w:sz w:val="20"/>
              </w:rPr>
            </w:pPr>
          </w:p>
        </w:tc>
        <w:tc>
          <w:tcPr>
            <w:tcW w:w="1759" w:type="dxa"/>
          </w:tcPr>
          <w:p>
            <w:pPr>
              <w:pStyle w:val="TableParagraph"/>
              <w:spacing w:before="0"/>
              <w:rPr>
                <w:sz w:val="20"/>
              </w:rPr>
            </w:pPr>
          </w:p>
        </w:tc>
        <w:tc>
          <w:tcPr>
            <w:tcW w:w="3772" w:type="dxa"/>
          </w:tcPr>
          <w:p>
            <w:pPr>
              <w:pStyle w:val="TableParagraph"/>
              <w:spacing w:line="227" w:lineRule="exact" w:before="0"/>
              <w:ind w:left="283"/>
              <w:rPr>
                <w:sz w:val="20"/>
              </w:rPr>
            </w:pPr>
            <w:r>
              <w:rPr>
                <w:sz w:val="20"/>
              </w:rPr>
              <w:t>(broader</w:t>
            </w:r>
            <w:r>
              <w:rPr>
                <w:spacing w:val="-8"/>
                <w:sz w:val="20"/>
              </w:rPr>
              <w:t> </w:t>
            </w:r>
            <w:r>
              <w:rPr>
                <w:spacing w:val="-2"/>
                <w:sz w:val="20"/>
              </w:rPr>
              <w:t>rules)</w:t>
            </w:r>
          </w:p>
        </w:tc>
      </w:tr>
      <w:tr>
        <w:trPr>
          <w:trHeight w:val="274" w:hRule="atLeast"/>
        </w:trPr>
        <w:tc>
          <w:tcPr>
            <w:tcW w:w="2971" w:type="dxa"/>
          </w:tcPr>
          <w:p>
            <w:pPr>
              <w:pStyle w:val="TableParagraph"/>
              <w:spacing w:line="202" w:lineRule="exact" w:before="53"/>
              <w:ind w:left="119"/>
              <w:rPr>
                <w:rFonts w:ascii="Courier New"/>
                <w:sz w:val="20"/>
              </w:rPr>
            </w:pPr>
            <w:r>
              <w:rPr>
                <w:rFonts w:ascii="Courier New"/>
                <w:spacing w:val="-2"/>
                <w:sz w:val="20"/>
              </w:rPr>
              <w:t>CarenR_Dist_Sup_Thresh</w:t>
            </w:r>
          </w:p>
        </w:tc>
        <w:tc>
          <w:tcPr>
            <w:tcW w:w="1759" w:type="dxa"/>
          </w:tcPr>
          <w:p>
            <w:pPr>
              <w:pStyle w:val="TableParagraph"/>
              <w:spacing w:line="222" w:lineRule="exact"/>
              <w:ind w:left="222"/>
              <w:rPr>
                <w:sz w:val="20"/>
              </w:rPr>
            </w:pPr>
            <w:r>
              <w:rPr>
                <w:sz w:val="20"/>
              </w:rPr>
              <w:t>CarenR</w:t>
            </w:r>
            <w:r>
              <w:rPr>
                <w:spacing w:val="-8"/>
                <w:sz w:val="20"/>
              </w:rPr>
              <w:t> </w:t>
            </w:r>
            <w:r>
              <w:rPr>
                <w:spacing w:val="-2"/>
                <w:sz w:val="20"/>
              </w:rPr>
              <w:t>variant</w:t>
            </w:r>
          </w:p>
        </w:tc>
        <w:tc>
          <w:tcPr>
            <w:tcW w:w="3772" w:type="dxa"/>
          </w:tcPr>
          <w:p>
            <w:pPr>
              <w:pStyle w:val="TableParagraph"/>
              <w:spacing w:line="222" w:lineRule="exact"/>
              <w:ind w:left="289"/>
              <w:rPr>
                <w:sz w:val="20"/>
              </w:rPr>
            </w:pPr>
            <w:r>
              <w:rPr>
                <w:sz w:val="20"/>
              </w:rPr>
              <w:t>Correlation</w:t>
            </w:r>
            <w:r>
              <w:rPr>
                <w:spacing w:val="19"/>
                <w:sz w:val="20"/>
              </w:rPr>
              <w:t> </w:t>
            </w:r>
            <w:r>
              <w:rPr>
                <w:sz w:val="20"/>
              </w:rPr>
              <w:t>threshold</w:t>
            </w:r>
            <w:r>
              <w:rPr>
                <w:spacing w:val="20"/>
                <w:sz w:val="20"/>
              </w:rPr>
              <w:t> </w:t>
            </w:r>
            <w:r>
              <w:rPr>
                <w:sz w:val="20"/>
              </w:rPr>
              <w:t>+</w:t>
            </w:r>
            <w:r>
              <w:rPr>
                <w:spacing w:val="20"/>
                <w:sz w:val="20"/>
              </w:rPr>
              <w:t> </w:t>
            </w:r>
            <w:r>
              <w:rPr>
                <w:sz w:val="20"/>
              </w:rPr>
              <w:t>higher</w:t>
            </w:r>
            <w:r>
              <w:rPr>
                <w:spacing w:val="19"/>
                <w:sz w:val="20"/>
              </w:rPr>
              <w:t> </w:t>
            </w:r>
            <w:r>
              <w:rPr>
                <w:spacing w:val="-2"/>
                <w:sz w:val="20"/>
              </w:rPr>
              <w:t>minimum</w:t>
            </w:r>
          </w:p>
        </w:tc>
      </w:tr>
      <w:tr>
        <w:trPr>
          <w:trHeight w:val="262" w:hRule="atLeast"/>
        </w:trPr>
        <w:tc>
          <w:tcPr>
            <w:tcW w:w="2971" w:type="dxa"/>
          </w:tcPr>
          <w:p>
            <w:pPr>
              <w:pStyle w:val="TableParagraph"/>
              <w:spacing w:before="0"/>
              <w:rPr>
                <w:sz w:val="18"/>
              </w:rPr>
            </w:pPr>
          </w:p>
        </w:tc>
        <w:tc>
          <w:tcPr>
            <w:tcW w:w="1759" w:type="dxa"/>
          </w:tcPr>
          <w:p>
            <w:pPr>
              <w:pStyle w:val="TableParagraph"/>
              <w:spacing w:before="0"/>
              <w:rPr>
                <w:sz w:val="18"/>
              </w:rPr>
            </w:pPr>
          </w:p>
        </w:tc>
        <w:tc>
          <w:tcPr>
            <w:tcW w:w="3772" w:type="dxa"/>
          </w:tcPr>
          <w:p>
            <w:pPr>
              <w:pStyle w:val="TableParagraph"/>
              <w:spacing w:line="227" w:lineRule="exact" w:before="0"/>
              <w:ind w:left="289"/>
              <w:rPr>
                <w:sz w:val="20"/>
              </w:rPr>
            </w:pPr>
            <w:r>
              <w:rPr>
                <w:spacing w:val="-2"/>
                <w:sz w:val="20"/>
              </w:rPr>
              <w:t>support</w:t>
            </w:r>
          </w:p>
        </w:tc>
      </w:tr>
      <w:tr>
        <w:trPr>
          <w:trHeight w:val="288" w:hRule="atLeast"/>
        </w:trPr>
        <w:tc>
          <w:tcPr>
            <w:tcW w:w="2971" w:type="dxa"/>
          </w:tcPr>
          <w:p>
            <w:pPr>
              <w:pStyle w:val="TableParagraph"/>
              <w:spacing w:line="203" w:lineRule="exact" w:before="65"/>
              <w:ind w:left="119"/>
              <w:rPr>
                <w:rFonts w:ascii="Courier New"/>
                <w:sz w:val="20"/>
              </w:rPr>
            </w:pPr>
            <w:r>
              <w:rPr>
                <w:rFonts w:ascii="Courier New"/>
                <w:spacing w:val="-2"/>
                <w:sz w:val="20"/>
              </w:rPr>
              <w:t>CarenR_Dist_Eta2</w:t>
            </w:r>
          </w:p>
        </w:tc>
        <w:tc>
          <w:tcPr>
            <w:tcW w:w="1759" w:type="dxa"/>
          </w:tcPr>
          <w:p>
            <w:pPr>
              <w:pStyle w:val="TableParagraph"/>
              <w:spacing w:line="223" w:lineRule="exact" w:before="45"/>
              <w:ind w:left="222"/>
              <w:rPr>
                <w:sz w:val="20"/>
              </w:rPr>
            </w:pPr>
            <w:r>
              <w:rPr>
                <w:sz w:val="20"/>
              </w:rPr>
              <w:t>CarenR</w:t>
            </w:r>
            <w:r>
              <w:rPr>
                <w:spacing w:val="-8"/>
                <w:sz w:val="20"/>
              </w:rPr>
              <w:t> </w:t>
            </w:r>
            <w:r>
              <w:rPr>
                <w:spacing w:val="-2"/>
                <w:sz w:val="20"/>
              </w:rPr>
              <w:t>variant</w:t>
            </w:r>
          </w:p>
        </w:tc>
        <w:tc>
          <w:tcPr>
            <w:tcW w:w="3772" w:type="dxa"/>
          </w:tcPr>
          <w:p>
            <w:pPr>
              <w:pStyle w:val="TableParagraph"/>
              <w:spacing w:line="237" w:lineRule="exact" w:before="31"/>
              <w:ind w:left="289"/>
              <w:rPr>
                <w:sz w:val="20"/>
              </w:rPr>
            </w:pPr>
            <w:r>
              <w:rPr>
                <w:sz w:val="20"/>
              </w:rPr>
              <w:t>Top-</w:t>
            </w:r>
            <w:r>
              <w:rPr>
                <w:i/>
                <w:sz w:val="20"/>
              </w:rPr>
              <w:t>N</w:t>
            </w:r>
            <w:r>
              <w:rPr>
                <w:i/>
                <w:spacing w:val="12"/>
                <w:sz w:val="20"/>
              </w:rPr>
              <w:t> </w:t>
            </w:r>
            <w:r>
              <w:rPr>
                <w:sz w:val="20"/>
              </w:rPr>
              <w:t>features by</w:t>
            </w:r>
            <w:r>
              <w:rPr>
                <w:spacing w:val="1"/>
                <w:sz w:val="20"/>
              </w:rPr>
              <w:t> </w:t>
            </w:r>
            <w:r>
              <w:rPr>
                <w:i/>
                <w:sz w:val="20"/>
              </w:rPr>
              <w:t>η</w:t>
            </w:r>
            <w:r>
              <w:rPr>
                <w:position w:val="7"/>
                <w:sz w:val="14"/>
              </w:rPr>
              <w:t>2</w:t>
            </w:r>
            <w:r>
              <w:rPr>
                <w:spacing w:val="25"/>
                <w:position w:val="7"/>
                <w:sz w:val="14"/>
              </w:rPr>
              <w:t> </w:t>
            </w:r>
            <w:r>
              <w:rPr>
                <w:sz w:val="20"/>
              </w:rPr>
              <w:t>(ANOVA on</w:t>
            </w:r>
            <w:r>
              <w:rPr>
                <w:spacing w:val="1"/>
                <w:sz w:val="20"/>
              </w:rPr>
              <w:t> </w:t>
            </w:r>
            <w:r>
              <w:rPr>
                <w:spacing w:val="-2"/>
                <w:sz w:val="20"/>
              </w:rPr>
              <w:t>discre-</w:t>
            </w:r>
          </w:p>
        </w:tc>
      </w:tr>
      <w:tr>
        <w:trPr>
          <w:trHeight w:val="273" w:hRule="atLeast"/>
        </w:trPr>
        <w:tc>
          <w:tcPr>
            <w:tcW w:w="2971" w:type="dxa"/>
          </w:tcPr>
          <w:p>
            <w:pPr>
              <w:pStyle w:val="TableParagraph"/>
              <w:spacing w:before="0"/>
              <w:rPr>
                <w:sz w:val="20"/>
              </w:rPr>
            </w:pPr>
          </w:p>
        </w:tc>
        <w:tc>
          <w:tcPr>
            <w:tcW w:w="1759" w:type="dxa"/>
          </w:tcPr>
          <w:p>
            <w:pPr>
              <w:pStyle w:val="TableParagraph"/>
              <w:spacing w:before="0"/>
              <w:rPr>
                <w:sz w:val="20"/>
              </w:rPr>
            </w:pPr>
          </w:p>
        </w:tc>
        <w:tc>
          <w:tcPr>
            <w:tcW w:w="3772" w:type="dxa"/>
          </w:tcPr>
          <w:p>
            <w:pPr>
              <w:pStyle w:val="TableParagraph"/>
              <w:spacing w:line="226" w:lineRule="exact" w:before="0"/>
              <w:ind w:left="289"/>
              <w:rPr>
                <w:sz w:val="20"/>
              </w:rPr>
            </w:pPr>
            <w:r>
              <w:rPr>
                <w:sz w:val="20"/>
              </w:rPr>
              <w:t>tised</w:t>
            </w:r>
            <w:r>
              <w:rPr>
                <w:spacing w:val="-5"/>
                <w:sz w:val="20"/>
              </w:rPr>
              <w:t> </w:t>
            </w:r>
            <w:r>
              <w:rPr>
                <w:spacing w:val="-2"/>
                <w:sz w:val="20"/>
              </w:rPr>
              <w:t>bins)</w:t>
            </w:r>
          </w:p>
        </w:tc>
      </w:tr>
      <w:tr>
        <w:trPr>
          <w:trHeight w:val="274" w:hRule="atLeast"/>
        </w:trPr>
        <w:tc>
          <w:tcPr>
            <w:tcW w:w="2971" w:type="dxa"/>
          </w:tcPr>
          <w:p>
            <w:pPr>
              <w:pStyle w:val="TableParagraph"/>
              <w:spacing w:line="202" w:lineRule="exact" w:before="53"/>
              <w:ind w:left="119"/>
              <w:rPr>
                <w:rFonts w:ascii="Courier New"/>
                <w:sz w:val="20"/>
              </w:rPr>
            </w:pPr>
            <w:r>
              <w:rPr>
                <w:rFonts w:ascii="Courier New"/>
                <w:spacing w:val="-2"/>
                <w:sz w:val="20"/>
              </w:rPr>
              <w:t>CarenR_Dist_Lag</w:t>
            </w:r>
          </w:p>
        </w:tc>
        <w:tc>
          <w:tcPr>
            <w:tcW w:w="1759" w:type="dxa"/>
          </w:tcPr>
          <w:p>
            <w:pPr>
              <w:pStyle w:val="TableParagraph"/>
              <w:spacing w:line="222" w:lineRule="exact"/>
              <w:ind w:left="222"/>
              <w:rPr>
                <w:sz w:val="20"/>
              </w:rPr>
            </w:pPr>
            <w:r>
              <w:rPr>
                <w:sz w:val="20"/>
              </w:rPr>
              <w:t>CarenR</w:t>
            </w:r>
            <w:r>
              <w:rPr>
                <w:spacing w:val="-8"/>
                <w:sz w:val="20"/>
              </w:rPr>
              <w:t> </w:t>
            </w:r>
            <w:r>
              <w:rPr>
                <w:spacing w:val="-2"/>
                <w:sz w:val="20"/>
              </w:rPr>
              <w:t>variant</w:t>
            </w:r>
          </w:p>
        </w:tc>
        <w:tc>
          <w:tcPr>
            <w:tcW w:w="3772" w:type="dxa"/>
          </w:tcPr>
          <w:p>
            <w:pPr>
              <w:pStyle w:val="TableParagraph"/>
              <w:spacing w:line="222" w:lineRule="exact"/>
              <w:ind w:left="289"/>
              <w:rPr>
                <w:sz w:val="20"/>
              </w:rPr>
            </w:pPr>
            <w:r>
              <w:rPr>
                <w:sz w:val="20"/>
              </w:rPr>
              <w:t>Sup_Thresh</w:t>
            </w:r>
            <w:r>
              <w:rPr>
                <w:spacing w:val="36"/>
                <w:sz w:val="20"/>
              </w:rPr>
              <w:t> </w:t>
            </w:r>
            <w:r>
              <w:rPr>
                <w:sz w:val="20"/>
              </w:rPr>
              <w:t>config</w:t>
            </w:r>
            <w:r>
              <w:rPr>
                <w:spacing w:val="37"/>
                <w:sz w:val="20"/>
              </w:rPr>
              <w:t> </w:t>
            </w:r>
            <w:r>
              <w:rPr>
                <w:sz w:val="20"/>
              </w:rPr>
              <w:t>+</w:t>
            </w:r>
            <w:r>
              <w:rPr>
                <w:spacing w:val="37"/>
                <w:sz w:val="20"/>
              </w:rPr>
              <w:t> </w:t>
            </w:r>
            <w:r>
              <w:rPr>
                <w:sz w:val="20"/>
              </w:rPr>
              <w:t>lagged</w:t>
            </w:r>
            <w:r>
              <w:rPr>
                <w:spacing w:val="37"/>
                <w:sz w:val="20"/>
              </w:rPr>
              <w:t> </w:t>
            </w:r>
            <w:r>
              <w:rPr>
                <w:spacing w:val="-2"/>
                <w:sz w:val="20"/>
              </w:rPr>
              <w:t>production</w:t>
            </w:r>
          </w:p>
        </w:tc>
      </w:tr>
      <w:tr>
        <w:trPr>
          <w:trHeight w:val="274" w:hRule="atLeast"/>
        </w:trPr>
        <w:tc>
          <w:tcPr>
            <w:tcW w:w="2971" w:type="dxa"/>
          </w:tcPr>
          <w:p>
            <w:pPr>
              <w:pStyle w:val="TableParagraph"/>
              <w:spacing w:before="0"/>
              <w:rPr>
                <w:sz w:val="20"/>
              </w:rPr>
            </w:pPr>
          </w:p>
        </w:tc>
        <w:tc>
          <w:tcPr>
            <w:tcW w:w="1759" w:type="dxa"/>
          </w:tcPr>
          <w:p>
            <w:pPr>
              <w:pStyle w:val="TableParagraph"/>
              <w:spacing w:before="0"/>
              <w:rPr>
                <w:sz w:val="20"/>
              </w:rPr>
            </w:pPr>
          </w:p>
        </w:tc>
        <w:tc>
          <w:tcPr>
            <w:tcW w:w="3772" w:type="dxa"/>
          </w:tcPr>
          <w:p>
            <w:pPr>
              <w:pStyle w:val="TableParagraph"/>
              <w:spacing w:line="227" w:lineRule="exact" w:before="0"/>
              <w:ind w:left="289"/>
              <w:rPr>
                <w:sz w:val="20"/>
              </w:rPr>
            </w:pPr>
            <w:r>
              <w:rPr>
                <w:spacing w:val="-2"/>
                <w:sz w:val="20"/>
              </w:rPr>
              <w:t>residuals</w:t>
            </w:r>
          </w:p>
        </w:tc>
      </w:tr>
      <w:tr>
        <w:trPr>
          <w:trHeight w:val="275" w:hRule="atLeast"/>
        </w:trPr>
        <w:tc>
          <w:tcPr>
            <w:tcW w:w="2971" w:type="dxa"/>
          </w:tcPr>
          <w:p>
            <w:pPr>
              <w:pStyle w:val="TableParagraph"/>
              <w:spacing w:line="202" w:lineRule="exact" w:before="53"/>
              <w:ind w:left="119"/>
              <w:rPr>
                <w:rFonts w:ascii="Courier New"/>
                <w:sz w:val="20"/>
              </w:rPr>
            </w:pPr>
            <w:r>
              <w:rPr>
                <w:rFonts w:ascii="Courier New"/>
                <w:spacing w:val="-2"/>
                <w:sz w:val="20"/>
              </w:rPr>
              <w:t>CarenR_Dist_Conf</w:t>
            </w:r>
          </w:p>
        </w:tc>
        <w:tc>
          <w:tcPr>
            <w:tcW w:w="1759" w:type="dxa"/>
          </w:tcPr>
          <w:p>
            <w:pPr>
              <w:pStyle w:val="TableParagraph"/>
              <w:spacing w:line="223" w:lineRule="exact"/>
              <w:ind w:left="222"/>
              <w:rPr>
                <w:sz w:val="20"/>
              </w:rPr>
            </w:pPr>
            <w:r>
              <w:rPr>
                <w:sz w:val="20"/>
              </w:rPr>
              <w:t>CarenR</w:t>
            </w:r>
            <w:r>
              <w:rPr>
                <w:spacing w:val="-8"/>
                <w:sz w:val="20"/>
              </w:rPr>
              <w:t> </w:t>
            </w:r>
            <w:r>
              <w:rPr>
                <w:spacing w:val="-2"/>
                <w:sz w:val="20"/>
              </w:rPr>
              <w:t>variant</w:t>
            </w:r>
          </w:p>
        </w:tc>
        <w:tc>
          <w:tcPr>
            <w:tcW w:w="3772" w:type="dxa"/>
          </w:tcPr>
          <w:p>
            <w:pPr>
              <w:pStyle w:val="TableParagraph"/>
              <w:spacing w:line="223" w:lineRule="exact"/>
              <w:ind w:left="289"/>
              <w:rPr>
                <w:sz w:val="20"/>
              </w:rPr>
            </w:pPr>
            <w:r>
              <w:rPr>
                <w:sz w:val="20"/>
              </w:rPr>
              <w:t>Sup_Thresh</w:t>
            </w:r>
            <w:r>
              <w:rPr>
                <w:spacing w:val="10"/>
                <w:sz w:val="20"/>
              </w:rPr>
              <w:t> </w:t>
            </w:r>
            <w:r>
              <w:rPr>
                <w:sz w:val="20"/>
              </w:rPr>
              <w:t>config;</w:t>
            </w:r>
            <w:r>
              <w:rPr>
                <w:spacing w:val="17"/>
                <w:sz w:val="20"/>
              </w:rPr>
              <w:t> </w:t>
            </w:r>
            <w:r>
              <w:rPr>
                <w:sz w:val="20"/>
              </w:rPr>
              <w:t>confidence-</w:t>
            </w:r>
            <w:r>
              <w:rPr>
                <w:spacing w:val="-2"/>
                <w:sz w:val="20"/>
              </w:rPr>
              <w:t>weighted</w:t>
            </w:r>
          </w:p>
        </w:tc>
      </w:tr>
      <w:tr>
        <w:trPr>
          <w:trHeight w:val="549" w:hRule="atLeast"/>
        </w:trPr>
        <w:tc>
          <w:tcPr>
            <w:tcW w:w="2971" w:type="dxa"/>
          </w:tcPr>
          <w:p>
            <w:pPr>
              <w:pStyle w:val="TableParagraph"/>
              <w:spacing w:before="97"/>
              <w:rPr>
                <w:sz w:val="20"/>
              </w:rPr>
            </w:pPr>
          </w:p>
          <w:p>
            <w:pPr>
              <w:pStyle w:val="TableParagraph"/>
              <w:spacing w:line="202" w:lineRule="exact" w:before="0"/>
              <w:ind w:left="119"/>
              <w:rPr>
                <w:rFonts w:ascii="Courier New"/>
                <w:sz w:val="20"/>
              </w:rPr>
            </w:pPr>
            <w:r>
              <w:rPr>
                <w:rFonts w:ascii="Courier New"/>
                <w:spacing w:val="-2"/>
                <w:sz w:val="20"/>
              </w:rPr>
              <w:t>CarenR_Dist_Stack</w:t>
            </w:r>
          </w:p>
        </w:tc>
        <w:tc>
          <w:tcPr>
            <w:tcW w:w="1759" w:type="dxa"/>
          </w:tcPr>
          <w:p>
            <w:pPr>
              <w:pStyle w:val="TableParagraph"/>
              <w:spacing w:before="77"/>
              <w:rPr>
                <w:sz w:val="20"/>
              </w:rPr>
            </w:pPr>
          </w:p>
          <w:p>
            <w:pPr>
              <w:pStyle w:val="TableParagraph"/>
              <w:spacing w:line="222" w:lineRule="exact" w:before="0"/>
              <w:ind w:left="222"/>
              <w:rPr>
                <w:sz w:val="20"/>
              </w:rPr>
            </w:pPr>
            <w:r>
              <w:rPr>
                <w:sz w:val="20"/>
              </w:rPr>
              <w:t>CarenR</w:t>
            </w:r>
            <w:r>
              <w:rPr>
                <w:spacing w:val="-8"/>
                <w:sz w:val="20"/>
              </w:rPr>
              <w:t> </w:t>
            </w:r>
            <w:r>
              <w:rPr>
                <w:spacing w:val="-2"/>
                <w:sz w:val="20"/>
              </w:rPr>
              <w:t>variant</w:t>
            </w:r>
          </w:p>
        </w:tc>
        <w:tc>
          <w:tcPr>
            <w:tcW w:w="3772" w:type="dxa"/>
          </w:tcPr>
          <w:p>
            <w:pPr>
              <w:pStyle w:val="TableParagraph"/>
              <w:spacing w:line="271" w:lineRule="exact" w:before="0"/>
              <w:ind w:left="289"/>
              <w:rPr>
                <w:rFonts w:ascii="Lucida Sans Unicode" w:hAnsi="Lucida Sans Unicode"/>
                <w:sz w:val="20"/>
              </w:rPr>
            </w:pPr>
            <w:r>
              <w:rPr>
                <w:sz w:val="20"/>
              </w:rPr>
              <w:t>by</w:t>
            </w:r>
            <w:r>
              <w:rPr>
                <w:spacing w:val="8"/>
                <w:sz w:val="20"/>
              </w:rPr>
              <w:t> </w:t>
            </w:r>
            <w:r>
              <w:rPr>
                <w:rFonts w:ascii="Meiryo UI" w:hAnsi="Meiryo UI"/>
                <w:i/>
                <w:sz w:val="20"/>
              </w:rPr>
              <w:t>−</w:t>
            </w:r>
            <w:r>
              <w:rPr>
                <w:rFonts w:ascii="Meiryo UI" w:hAnsi="Meiryo UI"/>
                <w:i/>
                <w:spacing w:val="-42"/>
                <w:sz w:val="20"/>
              </w:rPr>
              <w:t> </w:t>
            </w:r>
            <w:r>
              <w:rPr>
                <w:sz w:val="20"/>
              </w:rPr>
              <w:t>log</w:t>
            </w:r>
            <w:r>
              <w:rPr>
                <w:rFonts w:ascii="Lucida Sans Unicode" w:hAnsi="Lucida Sans Unicode"/>
                <w:sz w:val="20"/>
              </w:rPr>
              <w:t>(</w:t>
            </w:r>
            <w:r>
              <w:rPr>
                <w:i/>
                <w:sz w:val="20"/>
              </w:rPr>
              <w:t>p</w:t>
            </w:r>
            <w:r>
              <w:rPr>
                <w:sz w:val="20"/>
              </w:rPr>
              <w:t>-</w:t>
            </w:r>
            <w:r>
              <w:rPr>
                <w:spacing w:val="-2"/>
                <w:sz w:val="20"/>
              </w:rPr>
              <w:t>value</w:t>
            </w:r>
            <w:r>
              <w:rPr>
                <w:rFonts w:ascii="Lucida Sans Unicode" w:hAnsi="Lucida Sans Unicode"/>
                <w:spacing w:val="-2"/>
                <w:sz w:val="20"/>
              </w:rPr>
              <w:t>)</w:t>
            </w:r>
          </w:p>
          <w:p>
            <w:pPr>
              <w:pStyle w:val="TableParagraph"/>
              <w:spacing w:line="222" w:lineRule="exact" w:before="36"/>
              <w:ind w:left="289"/>
              <w:rPr>
                <w:sz w:val="20"/>
              </w:rPr>
            </w:pPr>
            <w:r>
              <w:rPr>
                <w:spacing w:val="-2"/>
                <w:sz w:val="20"/>
              </w:rPr>
              <w:t>Sup_Thresh</w:t>
            </w:r>
            <w:r>
              <w:rPr>
                <w:spacing w:val="-8"/>
                <w:sz w:val="20"/>
              </w:rPr>
              <w:t> </w:t>
            </w:r>
            <w:r>
              <w:rPr>
                <w:spacing w:val="-2"/>
                <w:sz w:val="20"/>
              </w:rPr>
              <w:t>rules</w:t>
            </w:r>
            <w:r>
              <w:rPr>
                <w:spacing w:val="-8"/>
                <w:sz w:val="20"/>
              </w:rPr>
              <w:t> </w:t>
            </w:r>
            <w:r>
              <w:rPr>
                <w:spacing w:val="-2"/>
                <w:sz w:val="20"/>
              </w:rPr>
              <w:t>stacked</w:t>
            </w:r>
            <w:r>
              <w:rPr>
                <w:spacing w:val="-8"/>
                <w:sz w:val="20"/>
              </w:rPr>
              <w:t> </w:t>
            </w:r>
            <w:r>
              <w:rPr>
                <w:spacing w:val="-2"/>
                <w:sz w:val="20"/>
              </w:rPr>
              <w:t>with</w:t>
            </w:r>
            <w:r>
              <w:rPr>
                <w:spacing w:val="-7"/>
                <w:sz w:val="20"/>
              </w:rPr>
              <w:t> </w:t>
            </w:r>
            <w:r>
              <w:rPr>
                <w:spacing w:val="-2"/>
                <w:sz w:val="20"/>
              </w:rPr>
              <w:t>a</w:t>
            </w:r>
            <w:r>
              <w:rPr>
                <w:spacing w:val="-8"/>
                <w:sz w:val="20"/>
              </w:rPr>
              <w:t> </w:t>
            </w:r>
            <w:r>
              <w:rPr>
                <w:spacing w:val="-2"/>
                <w:sz w:val="20"/>
              </w:rPr>
              <w:t>lag</w:t>
            </w:r>
            <w:r>
              <w:rPr>
                <w:spacing w:val="-8"/>
                <w:sz w:val="20"/>
              </w:rPr>
              <w:t> </w:t>
            </w:r>
            <w:r>
              <w:rPr>
                <w:spacing w:val="-2"/>
                <w:sz w:val="20"/>
              </w:rPr>
              <w:t>regres-</w:t>
            </w:r>
          </w:p>
        </w:tc>
      </w:tr>
      <w:tr>
        <w:trPr>
          <w:trHeight w:val="274" w:hRule="atLeast"/>
        </w:trPr>
        <w:tc>
          <w:tcPr>
            <w:tcW w:w="2971" w:type="dxa"/>
          </w:tcPr>
          <w:p>
            <w:pPr>
              <w:pStyle w:val="TableParagraph"/>
              <w:spacing w:before="0"/>
              <w:rPr>
                <w:sz w:val="20"/>
              </w:rPr>
            </w:pPr>
          </w:p>
        </w:tc>
        <w:tc>
          <w:tcPr>
            <w:tcW w:w="1759" w:type="dxa"/>
          </w:tcPr>
          <w:p>
            <w:pPr>
              <w:pStyle w:val="TableParagraph"/>
              <w:spacing w:before="0"/>
              <w:rPr>
                <w:sz w:val="20"/>
              </w:rPr>
            </w:pPr>
          </w:p>
        </w:tc>
        <w:tc>
          <w:tcPr>
            <w:tcW w:w="3772" w:type="dxa"/>
          </w:tcPr>
          <w:p>
            <w:pPr>
              <w:pStyle w:val="TableParagraph"/>
              <w:spacing w:line="227" w:lineRule="exact" w:before="0"/>
              <w:ind w:left="289"/>
              <w:rPr>
                <w:sz w:val="20"/>
              </w:rPr>
            </w:pPr>
            <w:r>
              <w:rPr>
                <w:sz w:val="20"/>
              </w:rPr>
              <w:t>sion</w:t>
            </w:r>
            <w:r>
              <w:rPr>
                <w:spacing w:val="-5"/>
                <w:sz w:val="20"/>
              </w:rPr>
              <w:t> </w:t>
            </w:r>
            <w:r>
              <w:rPr>
                <w:spacing w:val="-4"/>
                <w:sz w:val="20"/>
              </w:rPr>
              <w:t>step</w:t>
            </w:r>
          </w:p>
        </w:tc>
      </w:tr>
      <w:tr>
        <w:trPr>
          <w:trHeight w:val="274" w:hRule="atLeast"/>
        </w:trPr>
        <w:tc>
          <w:tcPr>
            <w:tcW w:w="2971" w:type="dxa"/>
          </w:tcPr>
          <w:p>
            <w:pPr>
              <w:pStyle w:val="TableParagraph"/>
              <w:spacing w:line="202" w:lineRule="exact" w:before="53"/>
              <w:ind w:left="119"/>
              <w:rPr>
                <w:rFonts w:ascii="Courier New"/>
                <w:sz w:val="20"/>
              </w:rPr>
            </w:pPr>
            <w:r>
              <w:rPr>
                <w:rFonts w:ascii="Courier New"/>
                <w:spacing w:val="-2"/>
                <w:sz w:val="20"/>
              </w:rPr>
              <w:t>CarenR_Dist_Sup_FS</w:t>
            </w:r>
          </w:p>
        </w:tc>
        <w:tc>
          <w:tcPr>
            <w:tcW w:w="1759" w:type="dxa"/>
          </w:tcPr>
          <w:p>
            <w:pPr>
              <w:pStyle w:val="TableParagraph"/>
              <w:spacing w:line="222" w:lineRule="exact"/>
              <w:ind w:left="222"/>
              <w:rPr>
                <w:sz w:val="20"/>
              </w:rPr>
            </w:pPr>
            <w:r>
              <w:rPr>
                <w:sz w:val="20"/>
              </w:rPr>
              <w:t>CarenR</w:t>
            </w:r>
            <w:r>
              <w:rPr>
                <w:spacing w:val="-8"/>
                <w:sz w:val="20"/>
              </w:rPr>
              <w:t> </w:t>
            </w:r>
            <w:r>
              <w:rPr>
                <w:spacing w:val="-2"/>
                <w:sz w:val="20"/>
              </w:rPr>
              <w:t>variant</w:t>
            </w:r>
          </w:p>
        </w:tc>
        <w:tc>
          <w:tcPr>
            <w:tcW w:w="3772" w:type="dxa"/>
          </w:tcPr>
          <w:p>
            <w:pPr>
              <w:pStyle w:val="TableParagraph"/>
              <w:spacing w:line="222" w:lineRule="exact"/>
              <w:ind w:left="289"/>
              <w:rPr>
                <w:sz w:val="20"/>
              </w:rPr>
            </w:pPr>
            <w:r>
              <w:rPr>
                <w:sz w:val="20"/>
              </w:rPr>
              <w:t>Support-filtered</w:t>
            </w:r>
            <w:r>
              <w:rPr>
                <w:spacing w:val="22"/>
                <w:sz w:val="20"/>
              </w:rPr>
              <w:t> </w:t>
            </w:r>
            <w:r>
              <w:rPr>
                <w:sz w:val="20"/>
              </w:rPr>
              <w:t>+</w:t>
            </w:r>
            <w:r>
              <w:rPr>
                <w:spacing w:val="22"/>
                <w:sz w:val="20"/>
              </w:rPr>
              <w:t> </w:t>
            </w:r>
            <w:r>
              <w:rPr>
                <w:sz w:val="20"/>
              </w:rPr>
              <w:t>top-</w:t>
            </w:r>
            <w:r>
              <w:rPr>
                <w:i/>
                <w:sz w:val="20"/>
              </w:rPr>
              <w:t>N</w:t>
            </w:r>
            <w:r>
              <w:rPr>
                <w:i/>
                <w:spacing w:val="35"/>
                <w:sz w:val="20"/>
              </w:rPr>
              <w:t> </w:t>
            </w:r>
            <w:r>
              <w:rPr>
                <w:sz w:val="20"/>
              </w:rPr>
              <w:t>Pearson</w:t>
            </w:r>
            <w:r>
              <w:rPr>
                <w:spacing w:val="22"/>
                <w:sz w:val="20"/>
              </w:rPr>
              <w:t> </w:t>
            </w:r>
            <w:r>
              <w:rPr>
                <w:spacing w:val="-2"/>
                <w:sz w:val="20"/>
              </w:rPr>
              <w:t>feature</w:t>
            </w:r>
          </w:p>
        </w:tc>
      </w:tr>
      <w:tr>
        <w:trPr>
          <w:trHeight w:val="274" w:hRule="atLeast"/>
        </w:trPr>
        <w:tc>
          <w:tcPr>
            <w:tcW w:w="2971" w:type="dxa"/>
          </w:tcPr>
          <w:p>
            <w:pPr>
              <w:pStyle w:val="TableParagraph"/>
              <w:spacing w:before="0"/>
              <w:rPr>
                <w:sz w:val="20"/>
              </w:rPr>
            </w:pPr>
          </w:p>
        </w:tc>
        <w:tc>
          <w:tcPr>
            <w:tcW w:w="1759" w:type="dxa"/>
          </w:tcPr>
          <w:p>
            <w:pPr>
              <w:pStyle w:val="TableParagraph"/>
              <w:spacing w:before="0"/>
              <w:rPr>
                <w:sz w:val="20"/>
              </w:rPr>
            </w:pPr>
          </w:p>
        </w:tc>
        <w:tc>
          <w:tcPr>
            <w:tcW w:w="3772" w:type="dxa"/>
          </w:tcPr>
          <w:p>
            <w:pPr>
              <w:pStyle w:val="TableParagraph"/>
              <w:spacing w:line="227" w:lineRule="exact" w:before="0"/>
              <w:ind w:left="289"/>
              <w:rPr>
                <w:sz w:val="20"/>
              </w:rPr>
            </w:pPr>
            <w:r>
              <w:rPr>
                <w:spacing w:val="-2"/>
                <w:sz w:val="20"/>
              </w:rPr>
              <w:t>selection</w:t>
            </w:r>
          </w:p>
        </w:tc>
      </w:tr>
      <w:tr>
        <w:trPr>
          <w:trHeight w:val="274" w:hRule="atLeast"/>
        </w:trPr>
        <w:tc>
          <w:tcPr>
            <w:tcW w:w="2971" w:type="dxa"/>
          </w:tcPr>
          <w:p>
            <w:pPr>
              <w:pStyle w:val="TableParagraph"/>
              <w:spacing w:line="202" w:lineRule="exact" w:before="53"/>
              <w:ind w:left="119"/>
              <w:rPr>
                <w:rFonts w:ascii="Courier New"/>
                <w:sz w:val="20"/>
              </w:rPr>
            </w:pPr>
            <w:r>
              <w:rPr>
                <w:rFonts w:ascii="Courier New"/>
                <w:spacing w:val="-2"/>
                <w:sz w:val="20"/>
              </w:rPr>
              <w:t>CarenR_Supervised</w:t>
            </w:r>
          </w:p>
        </w:tc>
        <w:tc>
          <w:tcPr>
            <w:tcW w:w="1759" w:type="dxa"/>
          </w:tcPr>
          <w:p>
            <w:pPr>
              <w:pStyle w:val="TableParagraph"/>
              <w:spacing w:line="222" w:lineRule="exact"/>
              <w:ind w:left="222"/>
              <w:rPr>
                <w:sz w:val="20"/>
              </w:rPr>
            </w:pPr>
            <w:r>
              <w:rPr>
                <w:sz w:val="20"/>
              </w:rPr>
              <w:t>CarenR</w:t>
            </w:r>
            <w:r>
              <w:rPr>
                <w:spacing w:val="-8"/>
                <w:sz w:val="20"/>
              </w:rPr>
              <w:t> </w:t>
            </w:r>
            <w:r>
              <w:rPr>
                <w:spacing w:val="-2"/>
                <w:sz w:val="20"/>
              </w:rPr>
              <w:t>variant</w:t>
            </w:r>
          </w:p>
        </w:tc>
        <w:tc>
          <w:tcPr>
            <w:tcW w:w="3772" w:type="dxa"/>
          </w:tcPr>
          <w:p>
            <w:pPr>
              <w:pStyle w:val="TableParagraph"/>
              <w:spacing w:line="222" w:lineRule="exact"/>
              <w:ind w:left="289"/>
              <w:rPr>
                <w:sz w:val="20"/>
              </w:rPr>
            </w:pPr>
            <w:r>
              <w:rPr>
                <w:sz w:val="20"/>
              </w:rPr>
              <w:t>Per-fold</w:t>
            </w:r>
            <w:r>
              <w:rPr>
                <w:spacing w:val="64"/>
                <w:w w:val="150"/>
                <w:sz w:val="20"/>
              </w:rPr>
              <w:t> </w:t>
            </w:r>
            <w:r>
              <w:rPr>
                <w:sz w:val="20"/>
              </w:rPr>
              <w:t>supervised</w:t>
            </w:r>
            <w:r>
              <w:rPr>
                <w:spacing w:val="64"/>
                <w:w w:val="150"/>
                <w:sz w:val="20"/>
              </w:rPr>
              <w:t> </w:t>
            </w:r>
            <w:r>
              <w:rPr>
                <w:sz w:val="20"/>
              </w:rPr>
              <w:t>discretisation</w:t>
            </w:r>
            <w:r>
              <w:rPr>
                <w:spacing w:val="64"/>
                <w:w w:val="150"/>
                <w:sz w:val="20"/>
              </w:rPr>
              <w:t> </w:t>
            </w:r>
            <w:r>
              <w:rPr>
                <w:spacing w:val="-2"/>
                <w:sz w:val="20"/>
              </w:rPr>
              <w:t>(cut-</w:t>
            </w:r>
          </w:p>
        </w:tc>
      </w:tr>
      <w:tr>
        <w:trPr>
          <w:trHeight w:val="313" w:hRule="atLeast"/>
        </w:trPr>
        <w:tc>
          <w:tcPr>
            <w:tcW w:w="2971" w:type="dxa"/>
            <w:tcBorders>
              <w:bottom w:val="single" w:sz="8" w:space="0" w:color="000000"/>
            </w:tcBorders>
          </w:tcPr>
          <w:p>
            <w:pPr>
              <w:pStyle w:val="TableParagraph"/>
              <w:spacing w:before="0"/>
              <w:rPr>
                <w:sz w:val="20"/>
              </w:rPr>
            </w:pPr>
          </w:p>
        </w:tc>
        <w:tc>
          <w:tcPr>
            <w:tcW w:w="1759" w:type="dxa"/>
            <w:tcBorders>
              <w:bottom w:val="single" w:sz="8" w:space="0" w:color="000000"/>
            </w:tcBorders>
          </w:tcPr>
          <w:p>
            <w:pPr>
              <w:pStyle w:val="TableParagraph"/>
              <w:spacing w:before="0"/>
              <w:rPr>
                <w:sz w:val="20"/>
              </w:rPr>
            </w:pPr>
          </w:p>
        </w:tc>
        <w:tc>
          <w:tcPr>
            <w:tcW w:w="3772" w:type="dxa"/>
            <w:tcBorders>
              <w:bottom w:val="single" w:sz="8" w:space="0" w:color="000000"/>
            </w:tcBorders>
          </w:tcPr>
          <w:p>
            <w:pPr>
              <w:pStyle w:val="TableParagraph"/>
              <w:spacing w:line="227" w:lineRule="exact" w:before="0"/>
              <w:ind w:left="289"/>
              <w:rPr>
                <w:sz w:val="20"/>
              </w:rPr>
            </w:pPr>
            <w:r>
              <w:rPr>
                <w:sz w:val="20"/>
              </w:rPr>
              <w:t>points</w:t>
            </w:r>
            <w:r>
              <w:rPr>
                <w:spacing w:val="-8"/>
                <w:sz w:val="20"/>
              </w:rPr>
              <w:t> </w:t>
            </w:r>
            <w:r>
              <w:rPr>
                <w:sz w:val="20"/>
              </w:rPr>
              <w:t>maximise</w:t>
            </w:r>
            <w:r>
              <w:rPr>
                <w:spacing w:val="-7"/>
                <w:sz w:val="20"/>
              </w:rPr>
              <w:t> </w:t>
            </w:r>
            <w:r>
              <w:rPr>
                <w:sz w:val="20"/>
              </w:rPr>
              <w:t>residual</w:t>
            </w:r>
            <w:r>
              <w:rPr>
                <w:spacing w:val="-7"/>
                <w:sz w:val="20"/>
              </w:rPr>
              <w:t> </w:t>
            </w:r>
            <w:r>
              <w:rPr>
                <w:spacing w:val="-2"/>
                <w:sz w:val="20"/>
              </w:rPr>
              <w:t>separation)</w:t>
            </w:r>
          </w:p>
        </w:tc>
      </w:tr>
    </w:tbl>
    <w:p>
      <w:pPr>
        <w:pStyle w:val="TableParagraph"/>
        <w:spacing w:after="0" w:line="227" w:lineRule="exact"/>
        <w:rPr>
          <w:sz w:val="20"/>
        </w:rPr>
        <w:sectPr>
          <w:pgSz w:w="11910" w:h="16840"/>
          <w:pgMar w:header="1160" w:footer="0" w:top="1420" w:bottom="280" w:left="1275" w:right="425"/>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4"/>
        <w:rPr>
          <w:sz w:val="20"/>
        </w:rPr>
      </w:pPr>
    </w:p>
    <w:p>
      <w:pPr>
        <w:spacing w:before="0"/>
        <w:ind w:left="601" w:right="888" w:firstLine="0"/>
        <w:jc w:val="center"/>
        <w:rPr>
          <w:sz w:val="20"/>
        </w:rPr>
      </w:pPr>
      <w:bookmarkStart w:name="_bookmark49" w:id="95"/>
      <w:bookmarkEnd w:id="95"/>
      <w:r>
        <w:rPr/>
      </w:r>
      <w:r>
        <w:rPr>
          <w:b/>
          <w:sz w:val="20"/>
        </w:rPr>
        <w:t>Table</w:t>
      </w:r>
      <w:r>
        <w:rPr>
          <w:b/>
          <w:spacing w:val="-9"/>
          <w:sz w:val="20"/>
        </w:rPr>
        <w:t> </w:t>
      </w:r>
      <w:r>
        <w:rPr>
          <w:b/>
          <w:sz w:val="20"/>
        </w:rPr>
        <w:t>3.4:</w:t>
      </w:r>
      <w:r>
        <w:rPr>
          <w:b/>
          <w:spacing w:val="1"/>
          <w:sz w:val="20"/>
        </w:rPr>
        <w:t> </w:t>
      </w:r>
      <w:r>
        <w:rPr>
          <w:sz w:val="20"/>
        </w:rPr>
        <w:t>CarenR</w:t>
      </w:r>
      <w:r>
        <w:rPr>
          <w:spacing w:val="-9"/>
          <w:sz w:val="20"/>
        </w:rPr>
        <w:t> </w:t>
      </w:r>
      <w:r>
        <w:rPr>
          <w:sz w:val="20"/>
        </w:rPr>
        <w:t>variant</w:t>
      </w:r>
      <w:r>
        <w:rPr>
          <w:spacing w:val="-8"/>
          <w:sz w:val="20"/>
        </w:rPr>
        <w:t> </w:t>
      </w:r>
      <w:r>
        <w:rPr>
          <w:sz w:val="20"/>
        </w:rPr>
        <w:t>families</w:t>
      </w:r>
      <w:r>
        <w:rPr>
          <w:spacing w:val="-9"/>
          <w:sz w:val="20"/>
        </w:rPr>
        <w:t> </w:t>
      </w:r>
      <w:r>
        <w:rPr>
          <w:sz w:val="20"/>
        </w:rPr>
        <w:t>and</w:t>
      </w:r>
      <w:r>
        <w:rPr>
          <w:spacing w:val="-9"/>
          <w:sz w:val="20"/>
        </w:rPr>
        <w:t> </w:t>
      </w:r>
      <w:r>
        <w:rPr>
          <w:sz w:val="20"/>
        </w:rPr>
        <w:t>their</w:t>
      </w:r>
      <w:r>
        <w:rPr>
          <w:spacing w:val="-8"/>
          <w:sz w:val="20"/>
        </w:rPr>
        <w:t> </w:t>
      </w:r>
      <w:r>
        <w:rPr>
          <w:sz w:val="20"/>
        </w:rPr>
        <w:t>feature</w:t>
      </w:r>
      <w:r>
        <w:rPr>
          <w:spacing w:val="-9"/>
          <w:sz w:val="20"/>
        </w:rPr>
        <w:t> </w:t>
      </w:r>
      <w:r>
        <w:rPr>
          <w:sz w:val="20"/>
        </w:rPr>
        <w:t>selection</w:t>
      </w:r>
      <w:r>
        <w:rPr>
          <w:spacing w:val="-9"/>
          <w:sz w:val="20"/>
        </w:rPr>
        <w:t> </w:t>
      </w:r>
      <w:r>
        <w:rPr>
          <w:spacing w:val="-2"/>
          <w:sz w:val="20"/>
        </w:rPr>
        <w:t>strategies.</w:t>
      </w:r>
    </w:p>
    <w:p>
      <w:pPr>
        <w:pStyle w:val="BodyText"/>
        <w:spacing w:before="6" w:after="1"/>
        <w:rPr>
          <w:sz w:val="20"/>
        </w:rPr>
      </w:pPr>
    </w:p>
    <w:p>
      <w:pPr>
        <w:spacing w:line="20" w:lineRule="exact"/>
        <w:ind w:left="709" w:right="0" w:firstLine="0"/>
        <w:rPr>
          <w:sz w:val="2"/>
        </w:rPr>
      </w:pPr>
      <w:r>
        <w:rPr>
          <w:sz w:val="2"/>
        </w:rPr>
        <mc:AlternateContent>
          <mc:Choice Requires="wps">
            <w:drawing>
              <wp:inline distT="0" distB="0" distL="0" distR="0">
                <wp:extent cx="5400040" cy="11430"/>
                <wp:effectExtent l="9525" t="0" r="635" b="7620"/>
                <wp:docPr id="87" name="Group 87"/>
                <wp:cNvGraphicFramePr>
                  <a:graphicFrameLocks/>
                </wp:cNvGraphicFramePr>
                <a:graphic>
                  <a:graphicData uri="http://schemas.microsoft.com/office/word/2010/wordprocessingGroup">
                    <wpg:wgp>
                      <wpg:cNvPr id="87" name="Group 87"/>
                      <wpg:cNvGrpSpPr/>
                      <wpg:grpSpPr>
                        <a:xfrm>
                          <a:off x="0" y="0"/>
                          <a:ext cx="5400040" cy="11430"/>
                          <a:chExt cx="5400040" cy="11430"/>
                        </a:xfrm>
                      </wpg:grpSpPr>
                      <wps:wsp>
                        <wps:cNvPr id="88" name="Graphic 88"/>
                        <wps:cNvSpPr/>
                        <wps:spPr>
                          <a:xfrm>
                            <a:off x="0" y="5511"/>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5.2pt;height:.9pt;mso-position-horizontal-relative:char;mso-position-vertical-relative:line" id="docshapegroup76" coordorigin="0,0" coordsize="8504,18">
                <v:line style="position:absolute" from="0,9" to="8504,9" stroked="true" strokeweight=".868pt" strokecolor="#000000">
                  <v:stroke dashstyle="solid"/>
                </v:line>
              </v:group>
            </w:pict>
          </mc:Fallback>
        </mc:AlternateContent>
      </w:r>
      <w:r>
        <w:rPr>
          <w:sz w:val="2"/>
        </w:rPr>
      </w:r>
    </w:p>
    <w:p>
      <w:pPr>
        <w:spacing w:after="0" w:line="20" w:lineRule="exact"/>
        <w:rPr>
          <w:sz w:val="2"/>
        </w:rPr>
        <w:sectPr>
          <w:headerReference w:type="default" r:id="rId53"/>
          <w:headerReference w:type="even" r:id="rId54"/>
          <w:pgSz w:w="11910" w:h="16840"/>
          <w:pgMar w:header="1160" w:footer="0" w:top="1420" w:bottom="280" w:left="1275" w:right="425"/>
          <w:pgNumType w:start="29"/>
        </w:sectPr>
      </w:pPr>
    </w:p>
    <w:p>
      <w:pPr>
        <w:tabs>
          <w:tab w:pos="3902" w:val="left" w:leader="none"/>
          <w:tab w:pos="6125" w:val="left" w:leader="none"/>
        </w:tabs>
        <w:spacing w:line="249" w:lineRule="auto" w:before="80"/>
        <w:ind w:left="6125" w:right="290" w:hanging="5298"/>
        <w:jc w:val="left"/>
        <w:rPr>
          <w:b/>
          <w:sz w:val="20"/>
        </w:rPr>
      </w:pPr>
      <w:r>
        <w:rPr>
          <w:b/>
          <w:sz w:val="20"/>
        </w:rPr>
        <mc:AlternateContent>
          <mc:Choice Requires="wps">
            <w:drawing>
              <wp:anchor distT="0" distB="0" distL="0" distR="0" allowOverlap="1" layoutInCell="1" locked="0" behindDoc="0" simplePos="0" relativeHeight="15740928">
                <wp:simplePos x="0" y="0"/>
                <wp:positionH relativeFrom="page">
                  <wp:posOffset>1260005</wp:posOffset>
                </wp:positionH>
                <wp:positionV relativeFrom="paragraph">
                  <wp:posOffset>408076</wp:posOffset>
                </wp:positionV>
                <wp:extent cx="5400040" cy="127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5400040" cy="1270"/>
                        </a:xfrm>
                        <a:custGeom>
                          <a:avLst/>
                          <a:gdLst/>
                          <a:ahLst/>
                          <a:cxnLst/>
                          <a:rect l="l" t="t" r="r" b="b"/>
                          <a:pathLst>
                            <a:path w="5400040" h="0">
                              <a:moveTo>
                                <a:pt x="0" y="0"/>
                              </a:moveTo>
                              <a:lnTo>
                                <a:pt x="5400001"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928" from="99.212997pt,32.1320pt" to="524.409997pt,32.1320pt" stroked="true" strokeweight=".542pt" strokecolor="#000000">
                <v:stroke dashstyle="solid"/>
                <w10:wrap type="none"/>
              </v:line>
            </w:pict>
          </mc:Fallback>
        </mc:AlternateContent>
      </w:r>
      <w:r>
        <w:rPr>
          <w:b/>
          <w:spacing w:val="-2"/>
          <w:sz w:val="20"/>
        </w:rPr>
        <w:t>Variant</w:t>
      </w:r>
      <w:r>
        <w:rPr>
          <w:b/>
          <w:sz w:val="20"/>
        </w:rPr>
        <w:tab/>
        <w:t>Feature selector</w:t>
        <w:tab/>
      </w:r>
      <w:r>
        <w:rPr>
          <w:b/>
          <w:spacing w:val="-2"/>
          <w:sz w:val="20"/>
        </w:rPr>
        <w:t>Selection criterion</w:t>
      </w:r>
    </w:p>
    <w:p>
      <w:pPr>
        <w:tabs>
          <w:tab w:pos="3902" w:val="left" w:leader="none"/>
          <w:tab w:pos="6125" w:val="left" w:leader="none"/>
        </w:tabs>
        <w:spacing w:line="232" w:lineRule="auto" w:before="186"/>
        <w:ind w:left="6125" w:right="8" w:hanging="5298"/>
        <w:jc w:val="left"/>
        <w:rPr>
          <w:sz w:val="20"/>
        </w:rPr>
      </w:pPr>
      <w:r>
        <w:rPr>
          <w:rFonts w:ascii="Courier New"/>
          <w:spacing w:val="-2"/>
          <w:sz w:val="20"/>
        </w:rPr>
        <w:t>CarenR_Dist</w:t>
      </w:r>
      <w:r>
        <w:rPr>
          <w:rFonts w:ascii="Courier New"/>
          <w:sz w:val="20"/>
        </w:rPr>
        <w:tab/>
      </w:r>
      <w:r>
        <w:rPr>
          <w:spacing w:val="-4"/>
          <w:sz w:val="20"/>
        </w:rPr>
        <w:t>None</w:t>
      </w:r>
      <w:r>
        <w:rPr>
          <w:sz w:val="20"/>
        </w:rPr>
        <w:tab/>
        <w:t>All</w:t>
      </w:r>
      <w:r>
        <w:rPr>
          <w:spacing w:val="79"/>
          <w:sz w:val="20"/>
        </w:rPr>
        <w:t> </w:t>
      </w:r>
      <w:r>
        <w:rPr>
          <w:sz w:val="20"/>
        </w:rPr>
        <w:t>59</w:t>
      </w:r>
      <w:r>
        <w:rPr>
          <w:spacing w:val="79"/>
          <w:sz w:val="20"/>
        </w:rPr>
        <w:t> </w:t>
      </w:r>
      <w:r>
        <w:rPr>
          <w:sz w:val="20"/>
        </w:rPr>
        <w:t>fea-</w:t>
      </w:r>
      <w:r>
        <w:rPr>
          <w:spacing w:val="-2"/>
          <w:sz w:val="20"/>
        </w:rPr>
        <w:t>tures</w:t>
      </w:r>
    </w:p>
    <w:p>
      <w:pPr>
        <w:tabs>
          <w:tab w:pos="3902" w:val="left" w:leader="none"/>
          <w:tab w:pos="6125" w:val="left" w:leader="none"/>
          <w:tab w:pos="7016" w:val="left" w:leader="none"/>
        </w:tabs>
        <w:spacing w:line="244" w:lineRule="auto" w:before="82"/>
        <w:ind w:left="6125" w:right="101" w:hanging="5298"/>
        <w:jc w:val="left"/>
        <w:rPr>
          <w:sz w:val="20"/>
        </w:rPr>
      </w:pPr>
      <w:r>
        <w:rPr>
          <w:sz w:val="20"/>
        </w:rPr>
        <mc:AlternateContent>
          <mc:Choice Requires="wps">
            <w:drawing>
              <wp:anchor distT="0" distB="0" distL="0" distR="0" allowOverlap="1" layoutInCell="1" locked="0" behindDoc="1" simplePos="0" relativeHeight="479860736">
                <wp:simplePos x="0" y="0"/>
                <wp:positionH relativeFrom="page">
                  <wp:posOffset>3719957</wp:posOffset>
                </wp:positionH>
                <wp:positionV relativeFrom="paragraph">
                  <wp:posOffset>76125</wp:posOffset>
                </wp:positionV>
                <wp:extent cx="122555" cy="21653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122555" cy="216535"/>
                        </a:xfrm>
                        <a:prstGeom prst="rect">
                          <a:avLst/>
                        </a:prstGeom>
                      </wps:spPr>
                      <wps:txbx>
                        <w:txbxContent>
                          <w:p>
                            <w:pPr>
                              <w:spacing w:line="233" w:lineRule="exact" w:before="0"/>
                              <w:ind w:left="0" w:right="0" w:firstLine="0"/>
                              <w:jc w:val="left"/>
                              <w:rPr>
                                <w:rFonts w:ascii="Meiryo UI"/>
                                <w:i/>
                                <w:sz w:val="20"/>
                              </w:rPr>
                            </w:pPr>
                            <w:r>
                              <w:rPr>
                                <w:rFonts w:ascii="Meiryo UI"/>
                                <w:i/>
                                <w:w w:val="70"/>
                                <w:sz w:val="20"/>
                              </w:rPr>
                              <w:t>|</w:t>
                            </w:r>
                            <w:r>
                              <w:rPr>
                                <w:rFonts w:ascii="Meiryo UI"/>
                                <w:i/>
                                <w:spacing w:val="6"/>
                                <w:sz w:val="20"/>
                              </w:rPr>
                              <w:t> </w:t>
                            </w:r>
                            <w:r>
                              <w:rPr>
                                <w:rFonts w:ascii="Meiryo UI"/>
                                <w:i/>
                                <w:spacing w:val="-16"/>
                                <w:w w:val="70"/>
                                <w:sz w:val="20"/>
                              </w:rPr>
                              <w:t>|</w:t>
                            </w:r>
                          </w:p>
                        </w:txbxContent>
                      </wps:txbx>
                      <wps:bodyPr wrap="square" lIns="0" tIns="0" rIns="0" bIns="0" rtlCol="0">
                        <a:noAutofit/>
                      </wps:bodyPr>
                    </wps:wsp>
                  </a:graphicData>
                </a:graphic>
              </wp:anchor>
            </w:drawing>
          </mc:Choice>
          <mc:Fallback>
            <w:pict>
              <v:shape style="position:absolute;margin-left:292.910004pt;margin-top:5.994132pt;width:9.65pt;height:17.05pt;mso-position-horizontal-relative:page;mso-position-vertical-relative:paragraph;z-index:-23455744" type="#_x0000_t202" id="docshape77" filled="false" stroked="false">
                <v:textbox inset="0,0,0,0">
                  <w:txbxContent>
                    <w:p>
                      <w:pPr>
                        <w:spacing w:line="233" w:lineRule="exact" w:before="0"/>
                        <w:ind w:left="0" w:right="0" w:firstLine="0"/>
                        <w:jc w:val="left"/>
                        <w:rPr>
                          <w:rFonts w:ascii="Meiryo UI"/>
                          <w:i/>
                          <w:sz w:val="20"/>
                        </w:rPr>
                      </w:pPr>
                      <w:r>
                        <w:rPr>
                          <w:rFonts w:ascii="Meiryo UI"/>
                          <w:i/>
                          <w:w w:val="70"/>
                          <w:sz w:val="20"/>
                        </w:rPr>
                        <w:t>|</w:t>
                      </w:r>
                      <w:r>
                        <w:rPr>
                          <w:rFonts w:ascii="Meiryo UI"/>
                          <w:i/>
                          <w:spacing w:val="6"/>
                          <w:sz w:val="20"/>
                        </w:rPr>
                        <w:t> </w:t>
                      </w:r>
                      <w:r>
                        <w:rPr>
                          <w:rFonts w:ascii="Meiryo UI"/>
                          <w:i/>
                          <w:spacing w:val="-16"/>
                          <w:w w:val="70"/>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79861248">
                <wp:simplePos x="0" y="0"/>
                <wp:positionH relativeFrom="page">
                  <wp:posOffset>5230037</wp:posOffset>
                </wp:positionH>
                <wp:positionV relativeFrom="paragraph">
                  <wp:posOffset>379782</wp:posOffset>
                </wp:positionV>
                <wp:extent cx="122555" cy="21653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22555" cy="216535"/>
                        </a:xfrm>
                        <a:prstGeom prst="rect">
                          <a:avLst/>
                        </a:prstGeom>
                      </wps:spPr>
                      <wps:txbx>
                        <w:txbxContent>
                          <w:p>
                            <w:pPr>
                              <w:spacing w:line="233" w:lineRule="exact" w:before="0"/>
                              <w:ind w:left="0" w:right="0" w:firstLine="0"/>
                              <w:jc w:val="left"/>
                              <w:rPr>
                                <w:rFonts w:ascii="Meiryo UI"/>
                                <w:i/>
                                <w:sz w:val="20"/>
                              </w:rPr>
                            </w:pPr>
                            <w:r>
                              <w:rPr>
                                <w:rFonts w:ascii="Meiryo UI"/>
                                <w:i/>
                                <w:w w:val="70"/>
                                <w:sz w:val="20"/>
                              </w:rPr>
                              <w:t>|</w:t>
                            </w:r>
                            <w:r>
                              <w:rPr>
                                <w:rFonts w:ascii="Meiryo UI"/>
                                <w:i/>
                                <w:spacing w:val="6"/>
                                <w:sz w:val="20"/>
                              </w:rPr>
                              <w:t> </w:t>
                            </w:r>
                            <w:r>
                              <w:rPr>
                                <w:rFonts w:ascii="Meiryo UI"/>
                                <w:i/>
                                <w:spacing w:val="-16"/>
                                <w:w w:val="70"/>
                                <w:sz w:val="20"/>
                              </w:rPr>
                              <w:t>|</w:t>
                            </w:r>
                          </w:p>
                        </w:txbxContent>
                      </wps:txbx>
                      <wps:bodyPr wrap="square" lIns="0" tIns="0" rIns="0" bIns="0" rtlCol="0">
                        <a:noAutofit/>
                      </wps:bodyPr>
                    </wps:wsp>
                  </a:graphicData>
                </a:graphic>
              </wp:anchor>
            </w:drawing>
          </mc:Choice>
          <mc:Fallback>
            <w:pict>
              <v:shape style="position:absolute;margin-left:411.813995pt;margin-top:29.904133pt;width:9.65pt;height:17.05pt;mso-position-horizontal-relative:page;mso-position-vertical-relative:paragraph;z-index:-23455232" type="#_x0000_t202" id="docshape78" filled="false" stroked="false">
                <v:textbox inset="0,0,0,0">
                  <w:txbxContent>
                    <w:p>
                      <w:pPr>
                        <w:spacing w:line="233" w:lineRule="exact" w:before="0"/>
                        <w:ind w:left="0" w:right="0" w:firstLine="0"/>
                        <w:jc w:val="left"/>
                        <w:rPr>
                          <w:rFonts w:ascii="Meiryo UI"/>
                          <w:i/>
                          <w:sz w:val="20"/>
                        </w:rPr>
                      </w:pPr>
                      <w:r>
                        <w:rPr>
                          <w:rFonts w:ascii="Meiryo UI"/>
                          <w:i/>
                          <w:w w:val="70"/>
                          <w:sz w:val="20"/>
                        </w:rPr>
                        <w:t>|</w:t>
                      </w:r>
                      <w:r>
                        <w:rPr>
                          <w:rFonts w:ascii="Meiryo UI"/>
                          <w:i/>
                          <w:spacing w:val="6"/>
                          <w:sz w:val="20"/>
                        </w:rPr>
                        <w:t> </w:t>
                      </w:r>
                      <w:r>
                        <w:rPr>
                          <w:rFonts w:ascii="Meiryo UI"/>
                          <w:i/>
                          <w:spacing w:val="-16"/>
                          <w:w w:val="70"/>
                          <w:sz w:val="20"/>
                        </w:rPr>
                        <w:t>|</w:t>
                      </w:r>
                    </w:p>
                  </w:txbxContent>
                </v:textbox>
                <w10:wrap type="none"/>
              </v:shape>
            </w:pict>
          </mc:Fallback>
        </mc:AlternateContent>
      </w:r>
      <w:r>
        <w:rPr>
          <w:rFonts w:ascii="Courier New"/>
          <w:spacing w:val="-2"/>
          <w:sz w:val="20"/>
        </w:rPr>
        <w:t>CarenR_Dist_FS</w:t>
      </w:r>
      <w:r>
        <w:rPr>
          <w:rFonts w:ascii="Courier New"/>
          <w:sz w:val="20"/>
        </w:rPr>
        <w:tab/>
      </w:r>
      <w:r>
        <w:rPr>
          <w:sz w:val="20"/>
        </w:rPr>
        <w:t>Pearson</w:t>
      </w:r>
      <w:r>
        <w:rPr>
          <w:spacing w:val="40"/>
          <w:sz w:val="20"/>
        </w:rPr>
        <w:t> </w:t>
      </w:r>
      <w:r>
        <w:rPr>
          <w:i/>
          <w:sz w:val="20"/>
        </w:rPr>
        <w:t>r </w:t>
      </w:r>
      <w:r>
        <w:rPr>
          <w:sz w:val="20"/>
        </w:rPr>
        <w:t>, top-</w:t>
      </w:r>
      <w:r>
        <w:rPr>
          <w:i/>
          <w:sz w:val="20"/>
        </w:rPr>
        <w:t>N</w:t>
        <w:tab/>
      </w:r>
      <w:r>
        <w:rPr>
          <w:spacing w:val="-2"/>
          <w:sz w:val="20"/>
        </w:rPr>
        <w:t>Retain above-median</w:t>
      </w:r>
      <w:r>
        <w:rPr>
          <w:sz w:val="20"/>
        </w:rPr>
        <w:tab/>
      </w:r>
      <w:r>
        <w:rPr>
          <w:i/>
          <w:spacing w:val="-10"/>
          <w:sz w:val="20"/>
        </w:rPr>
        <w:t>r</w:t>
      </w:r>
      <w:r>
        <w:rPr>
          <w:i/>
          <w:spacing w:val="-2"/>
          <w:sz w:val="20"/>
        </w:rPr>
        <w:t> </w:t>
      </w:r>
      <w:r>
        <w:rPr>
          <w:spacing w:val="-2"/>
          <w:sz w:val="20"/>
        </w:rPr>
        <w:t>features</w:t>
      </w:r>
    </w:p>
    <w:p>
      <w:pPr>
        <w:tabs>
          <w:tab w:pos="3902" w:val="left" w:leader="none"/>
          <w:tab w:pos="6125" w:val="left" w:leader="none"/>
        </w:tabs>
        <w:spacing w:line="257" w:lineRule="exact" w:before="59"/>
        <w:ind w:left="828" w:right="0" w:firstLine="0"/>
        <w:jc w:val="left"/>
        <w:rPr>
          <w:sz w:val="20"/>
        </w:rPr>
      </w:pPr>
      <w:r>
        <w:rPr>
          <w:rFonts w:ascii="Courier New" w:hAnsi="Courier New"/>
          <w:spacing w:val="-2"/>
          <w:sz w:val="20"/>
        </w:rPr>
        <w:t>CarenR_Dist_Eta2</w:t>
      </w:r>
      <w:r>
        <w:rPr>
          <w:rFonts w:ascii="Courier New" w:hAnsi="Courier New"/>
          <w:sz w:val="20"/>
        </w:rPr>
        <w:tab/>
      </w:r>
      <w:r>
        <w:rPr>
          <w:i/>
          <w:sz w:val="20"/>
        </w:rPr>
        <w:t>η</w:t>
      </w:r>
      <w:r>
        <w:rPr>
          <w:position w:val="7"/>
          <w:sz w:val="14"/>
        </w:rPr>
        <w:t>2</w:t>
      </w:r>
      <w:r>
        <w:rPr>
          <w:spacing w:val="18"/>
          <w:position w:val="7"/>
          <w:sz w:val="14"/>
        </w:rPr>
        <w:t> </w:t>
      </w:r>
      <w:r>
        <w:rPr>
          <w:sz w:val="20"/>
        </w:rPr>
        <w:t>(ANOVA</w:t>
      </w:r>
      <w:r>
        <w:rPr>
          <w:spacing w:val="-5"/>
          <w:sz w:val="20"/>
        </w:rPr>
        <w:t> </w:t>
      </w:r>
      <w:r>
        <w:rPr>
          <w:sz w:val="20"/>
        </w:rPr>
        <w:t>effect</w:t>
      </w:r>
      <w:r>
        <w:rPr>
          <w:spacing w:val="-6"/>
          <w:sz w:val="20"/>
        </w:rPr>
        <w:t> </w:t>
      </w:r>
      <w:r>
        <w:rPr>
          <w:spacing w:val="-4"/>
          <w:sz w:val="20"/>
        </w:rPr>
        <w:t>size)</w:t>
      </w:r>
      <w:r>
        <w:rPr>
          <w:sz w:val="20"/>
        </w:rPr>
        <w:tab/>
        <w:t>Bin-</w:t>
      </w:r>
      <w:r>
        <w:rPr>
          <w:spacing w:val="-4"/>
          <w:sz w:val="20"/>
        </w:rPr>
        <w:t>wise</w:t>
      </w:r>
    </w:p>
    <w:p>
      <w:pPr>
        <w:spacing w:line="224" w:lineRule="exact" w:before="0"/>
        <w:ind w:left="0" w:right="380" w:firstLine="0"/>
        <w:jc w:val="right"/>
        <w:rPr>
          <w:sz w:val="20"/>
        </w:rPr>
      </w:pPr>
      <w:r>
        <w:rPr>
          <w:spacing w:val="-2"/>
          <w:sz w:val="20"/>
        </w:rPr>
        <w:t>ANOVA</w:t>
      </w:r>
    </w:p>
    <w:p>
      <w:pPr>
        <w:tabs>
          <w:tab w:pos="6792" w:val="left" w:leader="none"/>
        </w:tabs>
        <w:spacing w:line="249" w:lineRule="auto" w:before="0"/>
        <w:ind w:left="6125" w:right="41" w:firstLine="0"/>
        <w:jc w:val="both"/>
        <w:rPr>
          <w:sz w:val="20"/>
        </w:rPr>
      </w:pPr>
      <w:r>
        <w:rPr>
          <w:i/>
          <w:spacing w:val="-6"/>
          <w:sz w:val="20"/>
        </w:rPr>
        <w:t>η</w:t>
      </w:r>
      <w:r>
        <w:rPr>
          <w:spacing w:val="-6"/>
          <w:position w:val="7"/>
          <w:sz w:val="14"/>
        </w:rPr>
        <w:t>2</w:t>
      </w:r>
      <w:r>
        <w:rPr>
          <w:position w:val="7"/>
          <w:sz w:val="14"/>
        </w:rPr>
        <w:tab/>
      </w:r>
      <w:r>
        <w:rPr>
          <w:spacing w:val="-4"/>
          <w:sz w:val="20"/>
        </w:rPr>
        <w:t>with </w:t>
      </w:r>
      <w:r>
        <w:rPr>
          <w:spacing w:val="-2"/>
          <w:sz w:val="20"/>
        </w:rPr>
        <w:t>response</w:t>
      </w:r>
    </w:p>
    <w:p>
      <w:pPr>
        <w:spacing w:line="243" w:lineRule="exact" w:before="69"/>
        <w:ind w:left="828" w:right="0" w:firstLine="0"/>
        <w:jc w:val="both"/>
        <w:rPr>
          <w:sz w:val="20"/>
        </w:rPr>
      </w:pPr>
      <w:r>
        <w:rPr>
          <w:sz w:val="20"/>
        </w:rPr>
        <mc:AlternateContent>
          <mc:Choice Requires="wps">
            <w:drawing>
              <wp:anchor distT="0" distB="0" distL="0" distR="0" allowOverlap="1" layoutInCell="1" locked="0" behindDoc="1" simplePos="0" relativeHeight="479862272">
                <wp:simplePos x="0" y="0"/>
                <wp:positionH relativeFrom="page">
                  <wp:posOffset>4195940</wp:posOffset>
                </wp:positionH>
                <wp:positionV relativeFrom="paragraph">
                  <wp:posOffset>67982</wp:posOffset>
                </wp:positionV>
                <wp:extent cx="98425" cy="21653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98425" cy="216535"/>
                        </a:xfrm>
                        <a:prstGeom prst="rect">
                          <a:avLst/>
                        </a:prstGeom>
                      </wps:spPr>
                      <wps:txbx>
                        <w:txbxContent>
                          <w:p>
                            <w:pPr>
                              <w:spacing w:line="233" w:lineRule="exact" w:before="0"/>
                              <w:ind w:left="0" w:right="0" w:firstLine="0"/>
                              <w:jc w:val="left"/>
                              <w:rPr>
                                <w:rFonts w:ascii="Meiryo UI" w:hAnsi="Meiryo UI"/>
                                <w:i/>
                                <w:sz w:val="20"/>
                              </w:rPr>
                            </w:pPr>
                            <w:r>
                              <w:rPr>
                                <w:rFonts w:ascii="Meiryo UI" w:hAnsi="Meiryo UI"/>
                                <w:i/>
                                <w:spacing w:val="-17"/>
                                <w:sz w:val="20"/>
                              </w:rPr>
                              <w:t>≥</w:t>
                            </w:r>
                          </w:p>
                        </w:txbxContent>
                      </wps:txbx>
                      <wps:bodyPr wrap="square" lIns="0" tIns="0" rIns="0" bIns="0" rtlCol="0">
                        <a:noAutofit/>
                      </wps:bodyPr>
                    </wps:wsp>
                  </a:graphicData>
                </a:graphic>
              </wp:anchor>
            </w:drawing>
          </mc:Choice>
          <mc:Fallback>
            <w:pict>
              <v:shape style="position:absolute;margin-left:330.389008pt;margin-top:5.35295pt;width:7.75pt;height:17.05pt;mso-position-horizontal-relative:page;mso-position-vertical-relative:paragraph;z-index:-23454208" type="#_x0000_t202" id="docshape79" filled="false" stroked="false">
                <v:textbox inset="0,0,0,0">
                  <w:txbxContent>
                    <w:p>
                      <w:pPr>
                        <w:spacing w:line="233" w:lineRule="exact" w:before="0"/>
                        <w:ind w:left="0" w:right="0" w:firstLine="0"/>
                        <w:jc w:val="left"/>
                        <w:rPr>
                          <w:rFonts w:ascii="Meiryo UI" w:hAnsi="Meiryo UI"/>
                          <w:i/>
                          <w:sz w:val="20"/>
                        </w:rPr>
                      </w:pPr>
                      <w:r>
                        <w:rPr>
                          <w:rFonts w:ascii="Meiryo UI" w:hAnsi="Meiryo UI"/>
                          <w:i/>
                          <w:spacing w:val="-17"/>
                          <w:sz w:val="20"/>
                        </w:rPr>
                        <w:t>≥</w:t>
                      </w:r>
                    </w:p>
                  </w:txbxContent>
                </v:textbox>
                <w10:wrap type="none"/>
              </v:shape>
            </w:pict>
          </mc:Fallback>
        </mc:AlternateContent>
      </w:r>
      <w:r>
        <w:rPr>
          <w:rFonts w:ascii="Courier New"/>
          <w:sz w:val="20"/>
        </w:rPr>
        <w:t>CarenR_Dist_Sup_FS</w:t>
      </w:r>
      <w:r>
        <w:rPr>
          <w:rFonts w:ascii="Courier New"/>
          <w:spacing w:val="39"/>
          <w:w w:val="150"/>
          <w:sz w:val="20"/>
        </w:rPr>
        <w:t>    </w:t>
      </w:r>
      <w:r>
        <w:rPr>
          <w:sz w:val="20"/>
        </w:rPr>
        <w:t>Pearson</w:t>
      </w:r>
      <w:r>
        <w:rPr>
          <w:spacing w:val="-12"/>
          <w:sz w:val="20"/>
        </w:rPr>
        <w:t> </w:t>
      </w:r>
      <w:r>
        <w:rPr>
          <w:sz w:val="20"/>
        </w:rPr>
        <w:t>+</w:t>
      </w:r>
      <w:r>
        <w:rPr>
          <w:spacing w:val="-12"/>
          <w:sz w:val="20"/>
        </w:rPr>
        <w:t> </w:t>
      </w:r>
      <w:r>
        <w:rPr>
          <w:sz w:val="20"/>
        </w:rPr>
        <w:t>support</w:t>
      </w:r>
      <w:r>
        <w:rPr>
          <w:spacing w:val="58"/>
          <w:sz w:val="20"/>
        </w:rPr>
        <w:t>  </w:t>
      </w:r>
      <w:r>
        <w:rPr>
          <w:sz w:val="20"/>
        </w:rPr>
        <w:t>20%</w:t>
      </w:r>
      <w:r>
        <w:rPr>
          <w:spacing w:val="64"/>
          <w:sz w:val="20"/>
        </w:rPr>
        <w:t>  </w:t>
      </w:r>
      <w:r>
        <w:rPr>
          <w:spacing w:val="-2"/>
          <w:sz w:val="20"/>
        </w:rPr>
        <w:t>Conservative:</w:t>
      </w:r>
    </w:p>
    <w:p>
      <w:pPr>
        <w:spacing w:line="249" w:lineRule="auto" w:before="0"/>
        <w:ind w:left="6125" w:right="8" w:firstLine="55"/>
        <w:jc w:val="both"/>
        <w:rPr>
          <w:sz w:val="20"/>
        </w:rPr>
      </w:pPr>
      <w:r>
        <w:rPr>
          <w:sz w:val="20"/>
        </w:rPr>
        <mc:AlternateContent>
          <mc:Choice Requires="wps">
            <w:drawing>
              <wp:anchor distT="0" distB="0" distL="0" distR="0" allowOverlap="1" layoutInCell="1" locked="0" behindDoc="1" simplePos="0" relativeHeight="479861760">
                <wp:simplePos x="0" y="0"/>
                <wp:positionH relativeFrom="page">
                  <wp:posOffset>4699571</wp:posOffset>
                </wp:positionH>
                <wp:positionV relativeFrom="paragraph">
                  <wp:posOffset>21736</wp:posOffset>
                </wp:positionV>
                <wp:extent cx="122555" cy="21653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22555" cy="216535"/>
                        </a:xfrm>
                        <a:prstGeom prst="rect">
                          <a:avLst/>
                        </a:prstGeom>
                      </wps:spPr>
                      <wps:txbx>
                        <w:txbxContent>
                          <w:p>
                            <w:pPr>
                              <w:spacing w:line="233" w:lineRule="exact" w:before="0"/>
                              <w:ind w:left="0" w:right="0" w:firstLine="0"/>
                              <w:jc w:val="left"/>
                              <w:rPr>
                                <w:rFonts w:ascii="Meiryo UI"/>
                                <w:i/>
                                <w:sz w:val="20"/>
                              </w:rPr>
                            </w:pPr>
                            <w:r>
                              <w:rPr>
                                <w:rFonts w:ascii="Meiryo UI"/>
                                <w:i/>
                                <w:w w:val="70"/>
                                <w:sz w:val="20"/>
                              </w:rPr>
                              <w:t>|</w:t>
                            </w:r>
                            <w:r>
                              <w:rPr>
                                <w:rFonts w:ascii="Meiryo UI"/>
                                <w:i/>
                                <w:spacing w:val="6"/>
                                <w:sz w:val="20"/>
                              </w:rPr>
                              <w:t> </w:t>
                            </w:r>
                            <w:r>
                              <w:rPr>
                                <w:rFonts w:ascii="Meiryo UI"/>
                                <w:i/>
                                <w:spacing w:val="-16"/>
                                <w:w w:val="70"/>
                                <w:sz w:val="20"/>
                              </w:rPr>
                              <w:t>|</w:t>
                            </w:r>
                          </w:p>
                        </w:txbxContent>
                      </wps:txbx>
                      <wps:bodyPr wrap="square" lIns="0" tIns="0" rIns="0" bIns="0" rtlCol="0">
                        <a:noAutofit/>
                      </wps:bodyPr>
                    </wps:wsp>
                  </a:graphicData>
                </a:graphic>
              </wp:anchor>
            </w:drawing>
          </mc:Choice>
          <mc:Fallback>
            <w:pict>
              <v:shape style="position:absolute;margin-left:370.045013pt;margin-top:1.71152pt;width:9.65pt;height:17.05pt;mso-position-horizontal-relative:page;mso-position-vertical-relative:paragraph;z-index:-23454720" type="#_x0000_t202" id="docshape80" filled="false" stroked="false">
                <v:textbox inset="0,0,0,0">
                  <w:txbxContent>
                    <w:p>
                      <w:pPr>
                        <w:spacing w:line="233" w:lineRule="exact" w:before="0"/>
                        <w:ind w:left="0" w:right="0" w:firstLine="0"/>
                        <w:jc w:val="left"/>
                        <w:rPr>
                          <w:rFonts w:ascii="Meiryo UI"/>
                          <w:i/>
                          <w:sz w:val="20"/>
                        </w:rPr>
                      </w:pPr>
                      <w:r>
                        <w:rPr>
                          <w:rFonts w:ascii="Meiryo UI"/>
                          <w:i/>
                          <w:w w:val="70"/>
                          <w:sz w:val="20"/>
                        </w:rPr>
                        <w:t>|</w:t>
                      </w:r>
                      <w:r>
                        <w:rPr>
                          <w:rFonts w:ascii="Meiryo UI"/>
                          <w:i/>
                          <w:spacing w:val="6"/>
                          <w:sz w:val="20"/>
                        </w:rPr>
                        <w:t> </w:t>
                      </w:r>
                      <w:r>
                        <w:rPr>
                          <w:rFonts w:ascii="Meiryo UI"/>
                          <w:i/>
                          <w:spacing w:val="-16"/>
                          <w:w w:val="70"/>
                          <w:sz w:val="20"/>
                        </w:rPr>
                        <w:t>|</w:t>
                      </w:r>
                    </w:p>
                  </w:txbxContent>
                </v:textbox>
                <w10:wrap type="none"/>
              </v:shape>
            </w:pict>
          </mc:Fallback>
        </mc:AlternateContent>
      </w:r>
      <w:r>
        <w:rPr>
          <w:i/>
          <w:sz w:val="20"/>
        </w:rPr>
        <w:t>r </w:t>
      </w:r>
      <w:r>
        <w:rPr>
          <w:sz w:val="20"/>
        </w:rPr>
        <w:t>+ </w:t>
      </w:r>
      <w:r>
        <w:rPr>
          <w:sz w:val="20"/>
        </w:rPr>
        <w:t>min-imum bin </w:t>
      </w:r>
      <w:r>
        <w:rPr>
          <w:spacing w:val="-2"/>
          <w:sz w:val="20"/>
        </w:rPr>
        <w:t>coverage</w:t>
      </w:r>
    </w:p>
    <w:p>
      <w:pPr>
        <w:spacing w:before="80"/>
        <w:ind w:left="155" w:right="0" w:firstLine="0"/>
        <w:jc w:val="left"/>
        <w:rPr>
          <w:b/>
          <w:sz w:val="20"/>
        </w:rPr>
      </w:pPr>
      <w:r>
        <w:rPr/>
        <w:br w:type="column"/>
      </w:r>
      <w:r>
        <w:rPr>
          <w:b/>
          <w:spacing w:val="-2"/>
          <w:sz w:val="20"/>
        </w:rPr>
        <w:t>Notes</w:t>
      </w:r>
    </w:p>
    <w:p>
      <w:pPr>
        <w:pStyle w:val="BodyText"/>
        <w:spacing w:before="200"/>
        <w:rPr>
          <w:b/>
          <w:sz w:val="20"/>
        </w:rPr>
      </w:pPr>
    </w:p>
    <w:p>
      <w:pPr>
        <w:spacing w:line="249" w:lineRule="auto" w:before="0"/>
        <w:ind w:left="155" w:right="1109" w:firstLine="0"/>
        <w:jc w:val="both"/>
        <w:rPr>
          <w:sz w:val="20"/>
        </w:rPr>
      </w:pPr>
      <w:r>
        <w:rPr>
          <w:sz w:val="20"/>
        </w:rPr>
        <w:t>Widest search; </w:t>
      </w:r>
      <w:r>
        <w:rPr>
          <w:sz w:val="20"/>
        </w:rPr>
        <w:t>most risk</w:t>
      </w:r>
      <w:r>
        <w:rPr>
          <w:spacing w:val="-5"/>
          <w:sz w:val="20"/>
        </w:rPr>
        <w:t> </w:t>
      </w:r>
      <w:r>
        <w:rPr>
          <w:sz w:val="20"/>
        </w:rPr>
        <w:t>of</w:t>
      </w:r>
      <w:r>
        <w:rPr>
          <w:spacing w:val="-5"/>
          <w:sz w:val="20"/>
        </w:rPr>
        <w:t> </w:t>
      </w:r>
      <w:r>
        <w:rPr>
          <w:sz w:val="20"/>
        </w:rPr>
        <w:t>spurious</w:t>
      </w:r>
      <w:r>
        <w:rPr>
          <w:spacing w:val="-5"/>
          <w:sz w:val="20"/>
        </w:rPr>
        <w:t> </w:t>
      </w:r>
      <w:r>
        <w:rPr>
          <w:spacing w:val="-2"/>
          <w:sz w:val="20"/>
        </w:rPr>
        <w:t>rules</w:t>
      </w:r>
    </w:p>
    <w:p>
      <w:pPr>
        <w:spacing w:line="249" w:lineRule="auto" w:before="71"/>
        <w:ind w:left="155" w:right="1076" w:firstLine="0"/>
        <w:jc w:val="both"/>
        <w:rPr>
          <w:sz w:val="20"/>
        </w:rPr>
      </w:pPr>
      <w:r>
        <w:rPr>
          <w:sz w:val="20"/>
        </w:rPr>
        <w:t>Most common </w:t>
      </w:r>
      <w:r>
        <w:rPr>
          <w:sz w:val="20"/>
        </w:rPr>
        <w:t>base-line variant</w:t>
      </w:r>
    </w:p>
    <w:p>
      <w:pPr>
        <w:pStyle w:val="BodyText"/>
        <w:rPr>
          <w:sz w:val="20"/>
        </w:rPr>
      </w:pPr>
    </w:p>
    <w:p>
      <w:pPr>
        <w:pStyle w:val="BodyText"/>
        <w:spacing w:before="90"/>
        <w:rPr>
          <w:sz w:val="20"/>
        </w:rPr>
      </w:pPr>
    </w:p>
    <w:p>
      <w:pPr>
        <w:spacing w:line="249" w:lineRule="auto" w:before="0"/>
        <w:ind w:left="155" w:right="1076" w:firstLine="0"/>
        <w:jc w:val="both"/>
        <w:rPr>
          <w:sz w:val="20"/>
        </w:rPr>
      </w:pPr>
      <w:r>
        <w:rPr>
          <w:sz w:val="20"/>
        </w:rPr>
        <w:t>Best for RDD; </w:t>
      </w:r>
      <w:r>
        <w:rPr>
          <w:sz w:val="20"/>
        </w:rPr>
        <w:t>cap-tures</w:t>
      </w:r>
      <w:r>
        <w:rPr>
          <w:spacing w:val="-11"/>
          <w:sz w:val="20"/>
        </w:rPr>
        <w:t> </w:t>
      </w:r>
      <w:r>
        <w:rPr>
          <w:sz w:val="20"/>
        </w:rPr>
        <w:t>non-linear</w:t>
      </w:r>
      <w:r>
        <w:rPr>
          <w:spacing w:val="-11"/>
          <w:sz w:val="20"/>
        </w:rPr>
        <w:t> </w:t>
      </w:r>
      <w:r>
        <w:rPr>
          <w:sz w:val="20"/>
        </w:rPr>
        <w:t>asso-</w:t>
      </w:r>
      <w:r>
        <w:rPr>
          <w:spacing w:val="-2"/>
          <w:sz w:val="20"/>
        </w:rPr>
        <w:t>ciation</w:t>
      </w:r>
    </w:p>
    <w:p>
      <w:pPr>
        <w:pStyle w:val="BodyText"/>
        <w:spacing w:before="81"/>
        <w:rPr>
          <w:sz w:val="20"/>
        </w:rPr>
      </w:pPr>
    </w:p>
    <w:p>
      <w:pPr>
        <w:spacing w:line="249" w:lineRule="auto" w:before="0"/>
        <w:ind w:left="155" w:right="1109" w:firstLine="0"/>
        <w:jc w:val="both"/>
        <w:rPr>
          <w:sz w:val="20"/>
        </w:rPr>
      </w:pPr>
      <w:r>
        <w:rPr>
          <w:sz w:val="20"/>
        </w:rPr>
        <w:t>Most stable </w:t>
      </w:r>
      <w:r>
        <w:rPr>
          <w:sz w:val="20"/>
        </w:rPr>
        <w:t>across both regions</w:t>
      </w:r>
    </w:p>
    <w:p>
      <w:pPr>
        <w:spacing w:after="0" w:line="249" w:lineRule="auto"/>
        <w:jc w:val="both"/>
        <w:rPr>
          <w:sz w:val="20"/>
        </w:rPr>
        <w:sectPr>
          <w:type w:val="continuous"/>
          <w:pgSz w:w="11910" w:h="16840"/>
          <w:pgMar w:header="1160" w:footer="0" w:top="1120" w:bottom="280" w:left="1275" w:right="425"/>
          <w:cols w:num="2" w:equalWidth="0">
            <w:col w:w="7198" w:space="40"/>
            <w:col w:w="2972"/>
          </w:cols>
        </w:sectPr>
      </w:pPr>
    </w:p>
    <w:p>
      <w:pPr>
        <w:tabs>
          <w:tab w:pos="3902" w:val="left" w:leader="none"/>
          <w:tab w:pos="6181" w:val="left" w:leader="none"/>
          <w:tab w:pos="6561" w:val="left" w:leader="none"/>
          <w:tab w:pos="7392" w:val="left" w:leader="none"/>
        </w:tabs>
        <w:spacing w:line="314" w:lineRule="exact" w:before="9"/>
        <w:ind w:left="828" w:right="0" w:firstLine="0"/>
        <w:jc w:val="left"/>
        <w:rPr>
          <w:sz w:val="20"/>
        </w:rPr>
      </w:pPr>
      <w:r>
        <w:rPr>
          <w:sz w:val="20"/>
        </w:rPr>
        <mc:AlternateContent>
          <mc:Choice Requires="wps">
            <w:drawing>
              <wp:anchor distT="0" distB="0" distL="0" distR="0" allowOverlap="1" layoutInCell="1" locked="0" behindDoc="1" simplePos="0" relativeHeight="479862784">
                <wp:simplePos x="0" y="0"/>
                <wp:positionH relativeFrom="page">
                  <wp:posOffset>4699571</wp:posOffset>
                </wp:positionH>
                <wp:positionV relativeFrom="paragraph">
                  <wp:posOffset>67139</wp:posOffset>
                </wp:positionV>
                <wp:extent cx="248920" cy="216535"/>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248920" cy="216535"/>
                        </a:xfrm>
                        <a:prstGeom prst="rect">
                          <a:avLst/>
                        </a:prstGeom>
                      </wps:spPr>
                      <wps:txbx>
                        <w:txbxContent>
                          <w:p>
                            <w:pPr>
                              <w:spacing w:line="233" w:lineRule="exact" w:before="0"/>
                              <w:ind w:left="0" w:right="0" w:firstLine="0"/>
                              <w:jc w:val="left"/>
                              <w:rPr>
                                <w:rFonts w:ascii="Meiryo UI" w:hAnsi="Meiryo UI"/>
                                <w:i/>
                                <w:sz w:val="20"/>
                              </w:rPr>
                            </w:pPr>
                            <w:r>
                              <w:rPr>
                                <w:rFonts w:ascii="Meiryo UI" w:hAnsi="Meiryo UI"/>
                                <w:i/>
                                <w:w w:val="75"/>
                                <w:sz w:val="20"/>
                              </w:rPr>
                              <w:t>|</w:t>
                            </w:r>
                            <w:r>
                              <w:rPr>
                                <w:rFonts w:ascii="Meiryo UI" w:hAnsi="Meiryo UI"/>
                                <w:i/>
                                <w:spacing w:val="-9"/>
                                <w:sz w:val="20"/>
                              </w:rPr>
                              <w:t> </w:t>
                            </w:r>
                            <w:r>
                              <w:rPr>
                                <w:rFonts w:ascii="Meiryo UI" w:hAnsi="Meiryo UI"/>
                                <w:i/>
                                <w:w w:val="75"/>
                                <w:sz w:val="20"/>
                              </w:rPr>
                              <w:t>|</w:t>
                            </w:r>
                            <w:r>
                              <w:rPr>
                                <w:rFonts w:ascii="Meiryo UI" w:hAnsi="Meiryo UI"/>
                                <w:i/>
                                <w:spacing w:val="-7"/>
                                <w:w w:val="75"/>
                                <w:sz w:val="20"/>
                              </w:rPr>
                              <w:t> </w:t>
                            </w:r>
                            <w:r>
                              <w:rPr>
                                <w:rFonts w:ascii="Meiryo UI" w:hAnsi="Meiryo UI"/>
                                <w:i/>
                                <w:spacing w:val="-10"/>
                                <w:w w:val="75"/>
                                <w:sz w:val="20"/>
                              </w:rPr>
                              <w:t>≥</w:t>
                            </w:r>
                          </w:p>
                        </w:txbxContent>
                      </wps:txbx>
                      <wps:bodyPr wrap="square" lIns="0" tIns="0" rIns="0" bIns="0" rtlCol="0">
                        <a:noAutofit/>
                      </wps:bodyPr>
                    </wps:wsp>
                  </a:graphicData>
                </a:graphic>
              </wp:anchor>
            </w:drawing>
          </mc:Choice>
          <mc:Fallback>
            <w:pict>
              <v:shape style="position:absolute;margin-left:370.045013pt;margin-top:5.286567pt;width:19.6pt;height:17.05pt;mso-position-horizontal-relative:page;mso-position-vertical-relative:paragraph;z-index:-23453696" type="#_x0000_t202" id="docshape81" filled="false" stroked="false">
                <v:textbox inset="0,0,0,0">
                  <w:txbxContent>
                    <w:p>
                      <w:pPr>
                        <w:spacing w:line="233" w:lineRule="exact" w:before="0"/>
                        <w:ind w:left="0" w:right="0" w:firstLine="0"/>
                        <w:jc w:val="left"/>
                        <w:rPr>
                          <w:rFonts w:ascii="Meiryo UI" w:hAnsi="Meiryo UI"/>
                          <w:i/>
                          <w:sz w:val="20"/>
                        </w:rPr>
                      </w:pPr>
                      <w:r>
                        <w:rPr>
                          <w:rFonts w:ascii="Meiryo UI" w:hAnsi="Meiryo UI"/>
                          <w:i/>
                          <w:w w:val="75"/>
                          <w:sz w:val="20"/>
                        </w:rPr>
                        <w:t>|</w:t>
                      </w:r>
                      <w:r>
                        <w:rPr>
                          <w:rFonts w:ascii="Meiryo UI" w:hAnsi="Meiryo UI"/>
                          <w:i/>
                          <w:spacing w:val="-9"/>
                          <w:sz w:val="20"/>
                        </w:rPr>
                        <w:t> </w:t>
                      </w:r>
                      <w:r>
                        <w:rPr>
                          <w:rFonts w:ascii="Meiryo UI" w:hAnsi="Meiryo UI"/>
                          <w:i/>
                          <w:w w:val="75"/>
                          <w:sz w:val="20"/>
                        </w:rPr>
                        <w:t>|</w:t>
                      </w:r>
                      <w:r>
                        <w:rPr>
                          <w:rFonts w:ascii="Meiryo UI" w:hAnsi="Meiryo UI"/>
                          <w:i/>
                          <w:spacing w:val="-7"/>
                          <w:w w:val="75"/>
                          <w:sz w:val="20"/>
                        </w:rPr>
                        <w:t> </w:t>
                      </w:r>
                      <w:r>
                        <w:rPr>
                          <w:rFonts w:ascii="Meiryo UI" w:hAnsi="Meiryo UI"/>
                          <w:i/>
                          <w:spacing w:val="-10"/>
                          <w:w w:val="75"/>
                          <w:sz w:val="20"/>
                        </w:rPr>
                        <w:t>≥</w:t>
                      </w:r>
                    </w:p>
                  </w:txbxContent>
                </v:textbox>
                <w10:wrap type="none"/>
              </v:shape>
            </w:pict>
          </mc:Fallback>
        </mc:AlternateContent>
      </w:r>
      <w:r>
        <w:rPr>
          <w:rFonts w:ascii="Courier New"/>
          <w:spacing w:val="-2"/>
          <w:sz w:val="20"/>
        </w:rPr>
        <w:t>CarenR_Dist_Thresh</w:t>
      </w:r>
      <w:r>
        <w:rPr>
          <w:rFonts w:ascii="Courier New"/>
          <w:sz w:val="20"/>
        </w:rPr>
        <w:tab/>
      </w:r>
      <w:r>
        <w:rPr>
          <w:sz w:val="20"/>
        </w:rPr>
        <w:t>Pearson</w:t>
      </w:r>
      <w:r>
        <w:rPr>
          <w:spacing w:val="-6"/>
          <w:sz w:val="20"/>
        </w:rPr>
        <w:t> </w:t>
      </w:r>
      <w:r>
        <w:rPr>
          <w:sz w:val="20"/>
        </w:rPr>
        <w:t>hard</w:t>
      </w:r>
      <w:r>
        <w:rPr>
          <w:spacing w:val="-6"/>
          <w:sz w:val="20"/>
        </w:rPr>
        <w:t> </w:t>
      </w:r>
      <w:r>
        <w:rPr>
          <w:spacing w:val="-2"/>
          <w:sz w:val="20"/>
        </w:rPr>
        <w:t>threshold</w:t>
      </w:r>
      <w:r>
        <w:rPr>
          <w:sz w:val="20"/>
        </w:rPr>
        <w:tab/>
      </w:r>
      <w:r>
        <w:rPr>
          <w:i/>
          <w:spacing w:val="-10"/>
          <w:sz w:val="20"/>
        </w:rPr>
        <w:t>r</w:t>
      </w:r>
      <w:r>
        <w:rPr>
          <w:i/>
          <w:sz w:val="20"/>
        </w:rPr>
        <w:tab/>
      </w:r>
      <w:r>
        <w:rPr>
          <w:spacing w:val="-4"/>
          <w:sz w:val="20"/>
        </w:rPr>
        <w:t>0</w:t>
      </w:r>
      <w:r>
        <w:rPr>
          <w:rFonts w:ascii="Meiryo UI"/>
          <w:i/>
          <w:spacing w:val="-4"/>
          <w:sz w:val="20"/>
        </w:rPr>
        <w:t>.</w:t>
      </w:r>
      <w:r>
        <w:rPr>
          <w:spacing w:val="-4"/>
          <w:sz w:val="20"/>
        </w:rPr>
        <w:t>30</w:t>
      </w:r>
      <w:r>
        <w:rPr>
          <w:sz w:val="20"/>
        </w:rPr>
        <w:tab/>
        <w:t>Reduces</w:t>
      </w:r>
      <w:r>
        <w:rPr>
          <w:spacing w:val="67"/>
          <w:sz w:val="20"/>
        </w:rPr>
        <w:t> </w:t>
      </w:r>
      <w:r>
        <w:rPr>
          <w:sz w:val="20"/>
        </w:rPr>
        <w:t>feature</w:t>
      </w:r>
      <w:r>
        <w:rPr>
          <w:spacing w:val="66"/>
          <w:sz w:val="20"/>
        </w:rPr>
        <w:t> </w:t>
      </w:r>
      <w:r>
        <w:rPr>
          <w:spacing w:val="-5"/>
          <w:sz w:val="20"/>
        </w:rPr>
        <w:t>set</w:t>
      </w:r>
    </w:p>
    <w:p>
      <w:pPr>
        <w:spacing w:line="214" w:lineRule="exact" w:before="0"/>
        <w:ind w:left="7392" w:right="0" w:firstLine="0"/>
        <w:jc w:val="left"/>
        <w:rPr>
          <w:sz w:val="20"/>
        </w:rPr>
      </w:pPr>
      <w:r>
        <w:rPr>
          <w:spacing w:val="-2"/>
          <w:sz w:val="20"/>
        </w:rPr>
        <w:t>aggressively</w:t>
      </w:r>
    </w:p>
    <w:p>
      <w:pPr>
        <w:spacing w:after="0" w:line="214" w:lineRule="exact"/>
        <w:jc w:val="left"/>
        <w:rPr>
          <w:sz w:val="20"/>
        </w:rPr>
        <w:sectPr>
          <w:type w:val="continuous"/>
          <w:pgSz w:w="11910" w:h="16840"/>
          <w:pgMar w:header="1160" w:footer="0" w:top="1120" w:bottom="280" w:left="1275" w:right="425"/>
        </w:sectPr>
      </w:pPr>
    </w:p>
    <w:p>
      <w:pPr>
        <w:tabs>
          <w:tab w:pos="3902" w:val="left" w:leader="none"/>
        </w:tabs>
        <w:spacing w:line="232" w:lineRule="auto" w:before="86"/>
        <w:ind w:left="6125" w:right="31" w:hanging="5298"/>
        <w:jc w:val="both"/>
        <w:rPr>
          <w:sz w:val="20"/>
        </w:rPr>
      </w:pPr>
      <w:r>
        <w:rPr>
          <w:sz w:val="20"/>
        </w:rPr>
        <mc:AlternateContent>
          <mc:Choice Requires="wps">
            <w:drawing>
              <wp:anchor distT="0" distB="0" distL="0" distR="0" allowOverlap="1" layoutInCell="1" locked="0" behindDoc="1" simplePos="0" relativeHeight="479863296">
                <wp:simplePos x="0" y="0"/>
                <wp:positionH relativeFrom="page">
                  <wp:posOffset>4699571</wp:posOffset>
                </wp:positionH>
                <wp:positionV relativeFrom="paragraph">
                  <wp:posOffset>74986</wp:posOffset>
                </wp:positionV>
                <wp:extent cx="122555" cy="216535"/>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22555" cy="216535"/>
                        </a:xfrm>
                        <a:prstGeom prst="rect">
                          <a:avLst/>
                        </a:prstGeom>
                      </wps:spPr>
                      <wps:txbx>
                        <w:txbxContent>
                          <w:p>
                            <w:pPr>
                              <w:spacing w:line="233" w:lineRule="exact" w:before="0"/>
                              <w:ind w:left="0" w:right="0" w:firstLine="0"/>
                              <w:jc w:val="left"/>
                              <w:rPr>
                                <w:rFonts w:ascii="Meiryo UI"/>
                                <w:i/>
                                <w:sz w:val="20"/>
                              </w:rPr>
                            </w:pPr>
                            <w:r>
                              <w:rPr>
                                <w:rFonts w:ascii="Meiryo UI"/>
                                <w:i/>
                                <w:w w:val="70"/>
                                <w:sz w:val="20"/>
                              </w:rPr>
                              <w:t>|</w:t>
                            </w:r>
                            <w:r>
                              <w:rPr>
                                <w:rFonts w:ascii="Meiryo UI"/>
                                <w:i/>
                                <w:spacing w:val="6"/>
                                <w:sz w:val="20"/>
                              </w:rPr>
                              <w:t> </w:t>
                            </w:r>
                            <w:r>
                              <w:rPr>
                                <w:rFonts w:ascii="Meiryo UI"/>
                                <w:i/>
                                <w:spacing w:val="-16"/>
                                <w:w w:val="70"/>
                                <w:sz w:val="20"/>
                              </w:rPr>
                              <w:t>|</w:t>
                            </w:r>
                          </w:p>
                        </w:txbxContent>
                      </wps:txbx>
                      <wps:bodyPr wrap="square" lIns="0" tIns="0" rIns="0" bIns="0" rtlCol="0">
                        <a:noAutofit/>
                      </wps:bodyPr>
                    </wps:wsp>
                  </a:graphicData>
                </a:graphic>
              </wp:anchor>
            </w:drawing>
          </mc:Choice>
          <mc:Fallback>
            <w:pict>
              <v:shape style="position:absolute;margin-left:370.045013pt;margin-top:5.904459pt;width:9.65pt;height:17.05pt;mso-position-horizontal-relative:page;mso-position-vertical-relative:paragraph;z-index:-23453184" type="#_x0000_t202" id="docshape82" filled="false" stroked="false">
                <v:textbox inset="0,0,0,0">
                  <w:txbxContent>
                    <w:p>
                      <w:pPr>
                        <w:spacing w:line="233" w:lineRule="exact" w:before="0"/>
                        <w:ind w:left="0" w:right="0" w:firstLine="0"/>
                        <w:jc w:val="left"/>
                        <w:rPr>
                          <w:rFonts w:ascii="Meiryo UI"/>
                          <w:i/>
                          <w:sz w:val="20"/>
                        </w:rPr>
                      </w:pPr>
                      <w:r>
                        <w:rPr>
                          <w:rFonts w:ascii="Meiryo UI"/>
                          <w:i/>
                          <w:w w:val="70"/>
                          <w:sz w:val="20"/>
                        </w:rPr>
                        <w:t>|</w:t>
                      </w:r>
                      <w:r>
                        <w:rPr>
                          <w:rFonts w:ascii="Meiryo UI"/>
                          <w:i/>
                          <w:spacing w:val="6"/>
                          <w:sz w:val="20"/>
                        </w:rPr>
                        <w:t> </w:t>
                      </w:r>
                      <w:r>
                        <w:rPr>
                          <w:rFonts w:ascii="Meiryo UI"/>
                          <w:i/>
                          <w:spacing w:val="-16"/>
                          <w:w w:val="70"/>
                          <w:sz w:val="20"/>
                        </w:rPr>
                        <w:t>|</w:t>
                      </w:r>
                    </w:p>
                  </w:txbxContent>
                </v:textbox>
                <w10:wrap type="none"/>
              </v:shape>
            </w:pict>
          </mc:Fallback>
        </mc:AlternateContent>
      </w:r>
      <w:r>
        <w:rPr>
          <w:rFonts w:ascii="Courier New"/>
          <w:spacing w:val="-2"/>
          <w:sz w:val="20"/>
        </w:rPr>
        <w:t>CarenR_Dist_Sup</w:t>
      </w:r>
      <w:r>
        <w:rPr>
          <w:rFonts w:ascii="Courier New"/>
          <w:sz w:val="20"/>
        </w:rPr>
        <w:tab/>
      </w:r>
      <w:r>
        <w:rPr>
          <w:sz w:val="20"/>
        </w:rPr>
        <w:t>Pearson</w:t>
      </w:r>
      <w:r>
        <w:rPr>
          <w:spacing w:val="-4"/>
          <w:sz w:val="20"/>
        </w:rPr>
        <w:t> </w:t>
      </w:r>
      <w:r>
        <w:rPr>
          <w:sz w:val="20"/>
        </w:rPr>
        <w:t>+</w:t>
      </w:r>
      <w:r>
        <w:rPr>
          <w:spacing w:val="-4"/>
          <w:sz w:val="20"/>
        </w:rPr>
        <w:t> </w:t>
      </w:r>
      <w:r>
        <w:rPr>
          <w:sz w:val="20"/>
        </w:rPr>
        <w:t>support</w:t>
      </w:r>
      <w:r>
        <w:rPr>
          <w:spacing w:val="-4"/>
          <w:sz w:val="20"/>
        </w:rPr>
        <w:t> </w:t>
      </w:r>
      <w:r>
        <w:rPr>
          <w:sz w:val="20"/>
        </w:rPr>
        <w:t>filter</w:t>
      </w:r>
      <w:r>
        <w:rPr>
          <w:spacing w:val="80"/>
          <w:w w:val="150"/>
          <w:sz w:val="20"/>
        </w:rPr>
        <w:t> </w:t>
      </w:r>
      <w:r>
        <w:rPr>
          <w:i/>
          <w:sz w:val="20"/>
        </w:rPr>
        <w:t>r </w:t>
      </w:r>
      <w:r>
        <w:rPr>
          <w:sz w:val="20"/>
        </w:rPr>
        <w:t>+ </w:t>
      </w:r>
      <w:r>
        <w:rPr>
          <w:sz w:val="20"/>
        </w:rPr>
        <w:t>support filter</w:t>
      </w:r>
      <w:r>
        <w:rPr>
          <w:spacing w:val="56"/>
          <w:w w:val="150"/>
          <w:sz w:val="20"/>
        </w:rPr>
        <w:t>  </w:t>
      </w:r>
      <w:r>
        <w:rPr>
          <w:spacing w:val="-2"/>
          <w:sz w:val="20"/>
        </w:rPr>
        <w:t>(less</w:t>
      </w:r>
    </w:p>
    <w:p>
      <w:pPr>
        <w:tabs>
          <w:tab w:pos="6803" w:val="left" w:leader="none"/>
        </w:tabs>
        <w:spacing w:line="249" w:lineRule="auto" w:before="10"/>
        <w:ind w:left="6125" w:right="31" w:firstLine="0"/>
        <w:jc w:val="left"/>
        <w:rPr>
          <w:sz w:val="20"/>
        </w:rPr>
      </w:pPr>
      <w:r>
        <w:rPr>
          <w:spacing w:val="-2"/>
          <w:sz w:val="20"/>
        </w:rPr>
        <w:t>strict</w:t>
      </w:r>
      <w:r>
        <w:rPr>
          <w:sz w:val="20"/>
        </w:rPr>
        <w:tab/>
      </w:r>
      <w:r>
        <w:rPr>
          <w:spacing w:val="-4"/>
          <w:sz w:val="20"/>
        </w:rPr>
        <w:t>than </w:t>
      </w:r>
      <w:r>
        <w:rPr>
          <w:spacing w:val="-2"/>
          <w:sz w:val="20"/>
        </w:rPr>
        <w:t>Sup_FS)</w:t>
      </w:r>
    </w:p>
    <w:p>
      <w:pPr>
        <w:tabs>
          <w:tab w:pos="3902" w:val="left" w:leader="none"/>
        </w:tabs>
        <w:spacing w:line="240" w:lineRule="auto" w:before="71"/>
        <w:ind w:left="6118" w:right="0" w:hanging="5290"/>
        <w:jc w:val="both"/>
        <w:rPr>
          <w:sz w:val="20"/>
        </w:rPr>
      </w:pPr>
      <w:r>
        <w:rPr>
          <w:rFonts w:ascii="Courier New"/>
          <w:spacing w:val="-2"/>
          <w:sz w:val="20"/>
        </w:rPr>
        <w:t>CarenR_Dist_Lag</w:t>
      </w:r>
      <w:r>
        <w:rPr>
          <w:rFonts w:ascii="Courier New"/>
          <w:sz w:val="20"/>
        </w:rPr>
        <w:tab/>
      </w:r>
      <w:r>
        <w:rPr>
          <w:sz w:val="20"/>
        </w:rPr>
        <w:t>ACF-based</w:t>
      </w:r>
      <w:r>
        <w:rPr>
          <w:spacing w:val="-2"/>
          <w:sz w:val="20"/>
        </w:rPr>
        <w:t> </w:t>
      </w:r>
      <w:r>
        <w:rPr>
          <w:sz w:val="20"/>
        </w:rPr>
        <w:t>lag</w:t>
      </w:r>
      <w:r>
        <w:rPr>
          <w:spacing w:val="-2"/>
          <w:sz w:val="20"/>
        </w:rPr>
        <w:t> </w:t>
      </w:r>
      <w:r>
        <w:rPr>
          <w:sz w:val="20"/>
        </w:rPr>
        <w:t>features</w:t>
      </w:r>
      <w:r>
        <w:rPr>
          <w:spacing w:val="80"/>
          <w:sz w:val="20"/>
        </w:rPr>
        <w:t> </w:t>
      </w:r>
      <w:r>
        <w:rPr>
          <w:sz w:val="20"/>
        </w:rPr>
        <w:t>Augment</w:t>
      </w:r>
      <w:r>
        <w:rPr>
          <w:spacing w:val="-2"/>
          <w:sz w:val="20"/>
        </w:rPr>
        <w:t> </w:t>
      </w:r>
      <w:r>
        <w:rPr>
          <w:sz w:val="20"/>
        </w:rPr>
        <w:t>set </w:t>
      </w:r>
      <w:r>
        <w:rPr>
          <w:spacing w:val="-2"/>
          <w:sz w:val="20"/>
        </w:rPr>
        <w:t>with</w:t>
      </w:r>
      <w:r>
        <w:rPr>
          <w:spacing w:val="-11"/>
          <w:sz w:val="20"/>
        </w:rPr>
        <w:t> </w:t>
      </w:r>
      <w:r>
        <w:rPr>
          <w:spacing w:val="-2"/>
          <w:sz w:val="20"/>
        </w:rPr>
        <w:t>autocor-</w:t>
      </w:r>
      <w:r>
        <w:rPr>
          <w:sz w:val="20"/>
        </w:rPr>
        <w:t>related lags</w:t>
      </w:r>
    </w:p>
    <w:p>
      <w:pPr>
        <w:spacing w:line="249" w:lineRule="auto" w:before="81"/>
        <w:ind w:left="161" w:right="881" w:firstLine="5"/>
        <w:jc w:val="left"/>
        <w:rPr>
          <w:sz w:val="20"/>
        </w:rPr>
      </w:pPr>
      <w:r>
        <w:rPr/>
        <w:br w:type="column"/>
      </w:r>
      <w:r>
        <w:rPr>
          <w:sz w:val="20"/>
        </w:rPr>
        <w:t>Intermediate</w:t>
      </w:r>
      <w:r>
        <w:rPr>
          <w:spacing w:val="40"/>
          <w:sz w:val="20"/>
        </w:rPr>
        <w:t> </w:t>
      </w:r>
      <w:r>
        <w:rPr>
          <w:sz w:val="20"/>
        </w:rPr>
        <w:t>conser-</w:t>
      </w:r>
      <w:r>
        <w:rPr>
          <w:spacing w:val="-2"/>
          <w:sz w:val="20"/>
        </w:rPr>
        <w:t>vatism</w:t>
      </w:r>
    </w:p>
    <w:p>
      <w:pPr>
        <w:pStyle w:val="BodyText"/>
        <w:rPr>
          <w:sz w:val="20"/>
        </w:rPr>
      </w:pPr>
    </w:p>
    <w:p>
      <w:pPr>
        <w:pStyle w:val="BodyText"/>
        <w:spacing w:before="89"/>
        <w:rPr>
          <w:sz w:val="20"/>
        </w:rPr>
      </w:pPr>
    </w:p>
    <w:p>
      <w:pPr>
        <w:spacing w:line="249" w:lineRule="auto" w:before="0"/>
        <w:ind w:left="166" w:right="881" w:firstLine="0"/>
        <w:jc w:val="left"/>
        <w:rPr>
          <w:sz w:val="20"/>
        </w:rPr>
      </w:pPr>
      <w:r>
        <w:rPr>
          <w:sz w:val="20"/>
        </w:rPr>
        <w:t>Tests</w:t>
      </w:r>
      <w:r>
        <w:rPr>
          <w:spacing w:val="23"/>
          <w:sz w:val="20"/>
        </w:rPr>
        <w:t> </w:t>
      </w:r>
      <w:r>
        <w:rPr>
          <w:sz w:val="20"/>
        </w:rPr>
        <w:t>carryover</w:t>
      </w:r>
      <w:r>
        <w:rPr>
          <w:spacing w:val="23"/>
          <w:sz w:val="20"/>
        </w:rPr>
        <w:t> </w:t>
      </w:r>
      <w:r>
        <w:rPr>
          <w:sz w:val="20"/>
        </w:rPr>
        <w:t>tem-poral effects</w:t>
      </w:r>
    </w:p>
    <w:p>
      <w:pPr>
        <w:spacing w:after="0" w:line="249" w:lineRule="auto"/>
        <w:jc w:val="left"/>
        <w:rPr>
          <w:sz w:val="20"/>
        </w:rPr>
        <w:sectPr>
          <w:type w:val="continuous"/>
          <w:pgSz w:w="11910" w:h="16840"/>
          <w:pgMar w:header="1160" w:footer="0" w:top="1120" w:bottom="280" w:left="1275" w:right="425"/>
          <w:cols w:num="2" w:equalWidth="0">
            <w:col w:w="7187" w:space="40"/>
            <w:col w:w="2983"/>
          </w:cols>
        </w:sectPr>
      </w:pPr>
    </w:p>
    <w:p>
      <w:pPr>
        <w:tabs>
          <w:tab w:pos="3902" w:val="left" w:leader="none"/>
        </w:tabs>
        <w:spacing w:line="232" w:lineRule="auto" w:before="88"/>
        <w:ind w:left="3902" w:right="0" w:hanging="3074"/>
        <w:jc w:val="left"/>
        <w:rPr>
          <w:sz w:val="20"/>
        </w:rPr>
      </w:pPr>
      <w:r>
        <w:rPr>
          <w:rFonts w:ascii="Courier New"/>
          <w:spacing w:val="-2"/>
          <w:sz w:val="20"/>
        </w:rPr>
        <w:t>CarenR_Dist_Conf</w:t>
      </w:r>
      <w:r>
        <w:rPr>
          <w:rFonts w:ascii="Courier New"/>
          <w:sz w:val="20"/>
        </w:rPr>
        <w:tab/>
      </w:r>
      <w:r>
        <w:rPr>
          <w:spacing w:val="-2"/>
          <w:sz w:val="20"/>
        </w:rPr>
        <w:t>Confidence-</w:t>
      </w:r>
      <w:r>
        <w:rPr>
          <w:spacing w:val="-2"/>
          <w:sz w:val="20"/>
        </w:rPr>
        <w:t>weighted prediction</w:t>
      </w:r>
    </w:p>
    <w:p>
      <w:pPr>
        <w:spacing w:line="249" w:lineRule="auto" w:before="83"/>
        <w:ind w:left="439" w:right="0" w:firstLine="4"/>
        <w:jc w:val="both"/>
        <w:rPr>
          <w:sz w:val="20"/>
        </w:rPr>
      </w:pPr>
      <w:r>
        <w:rPr/>
        <w:br w:type="column"/>
      </w:r>
      <w:r>
        <w:rPr>
          <w:sz w:val="20"/>
        </w:rPr>
        <w:t>Weight</w:t>
      </w:r>
      <w:r>
        <w:rPr>
          <w:spacing w:val="-5"/>
          <w:sz w:val="20"/>
        </w:rPr>
        <w:t> </w:t>
      </w:r>
      <w:r>
        <w:rPr>
          <w:sz w:val="20"/>
        </w:rPr>
        <w:t>rules by</w:t>
      </w:r>
      <w:r>
        <w:rPr>
          <w:spacing w:val="40"/>
          <w:sz w:val="20"/>
        </w:rPr>
        <w:t> </w:t>
      </w:r>
      <w:r>
        <w:rPr>
          <w:sz w:val="20"/>
        </w:rPr>
        <w:t>1</w:t>
      </w:r>
      <w:r>
        <w:rPr>
          <w:spacing w:val="80"/>
          <w:sz w:val="20"/>
        </w:rPr>
        <w:t> </w:t>
      </w:r>
      <w:r>
        <w:rPr>
          <w:i/>
          <w:sz w:val="20"/>
        </w:rPr>
        <w:t>p</w:t>
      </w:r>
      <w:r>
        <w:rPr>
          <w:sz w:val="20"/>
        </w:rPr>
        <w:t>-</w:t>
      </w:r>
      <w:r>
        <w:rPr>
          <w:spacing w:val="-2"/>
          <w:sz w:val="20"/>
        </w:rPr>
        <w:t>value</w:t>
      </w:r>
    </w:p>
    <w:p>
      <w:pPr>
        <w:spacing w:line="249" w:lineRule="auto" w:before="83"/>
        <w:ind w:left="158" w:right="1109" w:firstLine="7"/>
        <w:jc w:val="both"/>
        <w:rPr>
          <w:sz w:val="20"/>
        </w:rPr>
      </w:pPr>
      <w:r>
        <w:rPr/>
        <w:br w:type="column"/>
      </w:r>
      <w:r>
        <w:rPr>
          <w:sz w:val="20"/>
        </w:rPr>
        <w:t>Stronger rules </w:t>
      </w:r>
      <w:r>
        <w:rPr>
          <w:sz w:val="20"/>
        </w:rPr>
        <w:t>get more prediction </w:t>
      </w:r>
      <w:r>
        <w:rPr>
          <w:spacing w:val="-2"/>
          <w:sz w:val="20"/>
        </w:rPr>
        <w:t>weight</w:t>
      </w:r>
    </w:p>
    <w:p>
      <w:pPr>
        <w:spacing w:after="0" w:line="249" w:lineRule="auto"/>
        <w:jc w:val="both"/>
        <w:rPr>
          <w:sz w:val="20"/>
        </w:rPr>
        <w:sectPr>
          <w:type w:val="continuous"/>
          <w:pgSz w:w="11910" w:h="16840"/>
          <w:pgMar w:header="1160" w:footer="0" w:top="1120" w:bottom="280" w:left="1275" w:right="425"/>
          <w:cols w:num="3" w:equalWidth="0">
            <w:col w:w="5642" w:space="40"/>
            <w:col w:w="1506" w:space="39"/>
            <w:col w:w="2983"/>
          </w:cols>
        </w:sectPr>
      </w:pPr>
    </w:p>
    <w:p>
      <w:pPr>
        <w:tabs>
          <w:tab w:pos="3902" w:val="left" w:leader="none"/>
          <w:tab w:pos="6125" w:val="left" w:leader="none"/>
        </w:tabs>
        <w:spacing w:line="243" w:lineRule="exact" w:before="71"/>
        <w:ind w:left="828" w:right="0" w:firstLine="0"/>
        <w:jc w:val="left"/>
        <w:rPr>
          <w:sz w:val="20"/>
        </w:rPr>
      </w:pPr>
      <w:r>
        <w:rPr>
          <w:sz w:val="20"/>
        </w:rPr>
        <mc:AlternateContent>
          <mc:Choice Requires="wps">
            <w:drawing>
              <wp:anchor distT="0" distB="0" distL="0" distR="0" allowOverlap="1" layoutInCell="1" locked="0" behindDoc="1" simplePos="0" relativeHeight="479863808">
                <wp:simplePos x="0" y="0"/>
                <wp:positionH relativeFrom="page">
                  <wp:posOffset>5098973</wp:posOffset>
                </wp:positionH>
                <wp:positionV relativeFrom="paragraph">
                  <wp:posOffset>-280178</wp:posOffset>
                </wp:positionV>
                <wp:extent cx="98425" cy="21653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98425" cy="216535"/>
                        </a:xfrm>
                        <a:prstGeom prst="rect">
                          <a:avLst/>
                        </a:prstGeom>
                      </wps:spPr>
                      <wps:txbx>
                        <w:txbxContent>
                          <w:p>
                            <w:pPr>
                              <w:spacing w:line="233" w:lineRule="exact" w:before="0"/>
                              <w:ind w:left="0" w:right="0" w:firstLine="0"/>
                              <w:jc w:val="left"/>
                              <w:rPr>
                                <w:rFonts w:ascii="Meiryo UI" w:hAnsi="Meiryo UI"/>
                                <w:i/>
                                <w:sz w:val="20"/>
                              </w:rPr>
                            </w:pPr>
                            <w:r>
                              <w:rPr>
                                <w:rFonts w:ascii="Meiryo UI" w:hAnsi="Meiryo UI"/>
                                <w:i/>
                                <w:spacing w:val="-17"/>
                                <w:sz w:val="20"/>
                              </w:rPr>
                              <w:t>−</w:t>
                            </w:r>
                          </w:p>
                        </w:txbxContent>
                      </wps:txbx>
                      <wps:bodyPr wrap="square" lIns="0" tIns="0" rIns="0" bIns="0" rtlCol="0">
                        <a:noAutofit/>
                      </wps:bodyPr>
                    </wps:wsp>
                  </a:graphicData>
                </a:graphic>
              </wp:anchor>
            </w:drawing>
          </mc:Choice>
          <mc:Fallback>
            <w:pict>
              <v:shape style="position:absolute;margin-left:401.493988pt;margin-top:-22.061327pt;width:7.75pt;height:17.05pt;mso-position-horizontal-relative:page;mso-position-vertical-relative:paragraph;z-index:-23452672" type="#_x0000_t202" id="docshape83" filled="false" stroked="false">
                <v:textbox inset="0,0,0,0">
                  <w:txbxContent>
                    <w:p>
                      <w:pPr>
                        <w:spacing w:line="233" w:lineRule="exact" w:before="0"/>
                        <w:ind w:left="0" w:right="0" w:firstLine="0"/>
                        <w:jc w:val="left"/>
                        <w:rPr>
                          <w:rFonts w:ascii="Meiryo UI" w:hAnsi="Meiryo UI"/>
                          <w:i/>
                          <w:sz w:val="20"/>
                        </w:rPr>
                      </w:pPr>
                      <w:r>
                        <w:rPr>
                          <w:rFonts w:ascii="Meiryo UI" w:hAnsi="Meiryo UI"/>
                          <w:i/>
                          <w:spacing w:val="-17"/>
                          <w:sz w:val="20"/>
                        </w:rPr>
                        <w:t>−</w:t>
                      </w:r>
                    </w:p>
                  </w:txbxContent>
                </v:textbox>
                <w10:wrap type="none"/>
              </v:shape>
            </w:pict>
          </mc:Fallback>
        </mc:AlternateContent>
      </w:r>
      <w:r>
        <w:rPr>
          <w:rFonts w:ascii="Courier New"/>
          <w:spacing w:val="-2"/>
          <w:sz w:val="20"/>
        </w:rPr>
        <w:t>CarenR_Dist_Stack</w:t>
      </w:r>
      <w:r>
        <w:rPr>
          <w:rFonts w:ascii="Courier New"/>
          <w:sz w:val="20"/>
        </w:rPr>
        <w:tab/>
      </w:r>
      <w:r>
        <w:rPr>
          <w:spacing w:val="-2"/>
          <w:sz w:val="20"/>
        </w:rPr>
        <w:t>Two-stage</w:t>
      </w:r>
      <w:r>
        <w:rPr>
          <w:spacing w:val="-10"/>
          <w:sz w:val="20"/>
        </w:rPr>
        <w:t> </w:t>
      </w:r>
      <w:r>
        <w:rPr>
          <w:spacing w:val="-2"/>
          <w:sz w:val="20"/>
        </w:rPr>
        <w:t>stacking</w:t>
      </w:r>
      <w:r>
        <w:rPr>
          <w:sz w:val="20"/>
        </w:rPr>
        <w:tab/>
      </w:r>
      <w:r>
        <w:rPr>
          <w:spacing w:val="-2"/>
          <w:sz w:val="20"/>
        </w:rPr>
        <w:t>CarenR</w:t>
      </w:r>
    </w:p>
    <w:p>
      <w:pPr>
        <w:spacing w:line="226" w:lineRule="exact" w:before="0"/>
        <w:ind w:left="6125" w:right="0" w:firstLine="0"/>
        <w:jc w:val="left"/>
        <w:rPr>
          <w:sz w:val="20"/>
        </w:rPr>
      </w:pPr>
      <w:r>
        <w:rPr>
          <w:spacing w:val="-2"/>
          <w:sz w:val="20"/>
        </w:rPr>
        <w:t>residuals</w:t>
      </w:r>
    </w:p>
    <w:p>
      <w:pPr>
        <w:tabs>
          <w:tab w:pos="6554" w:val="left" w:leader="none"/>
        </w:tabs>
        <w:spacing w:line="249" w:lineRule="auto" w:before="9"/>
        <w:ind w:left="6125" w:right="0" w:firstLine="0"/>
        <w:jc w:val="left"/>
        <w:rPr>
          <w:sz w:val="20"/>
        </w:rPr>
      </w:pPr>
      <w:r>
        <w:rPr>
          <w:spacing w:val="-6"/>
          <w:sz w:val="20"/>
        </w:rPr>
        <w:t>as</w:t>
      </w:r>
      <w:r>
        <w:rPr>
          <w:sz w:val="20"/>
        </w:rPr>
        <w:tab/>
      </w:r>
      <w:r>
        <w:rPr>
          <w:spacing w:val="-2"/>
          <w:sz w:val="20"/>
        </w:rPr>
        <w:t>second-</w:t>
      </w:r>
      <w:r>
        <w:rPr>
          <w:sz w:val="20"/>
        </w:rPr>
        <w:t>stage input</w:t>
      </w:r>
    </w:p>
    <w:p>
      <w:pPr>
        <w:spacing w:line="249" w:lineRule="auto" w:before="71"/>
        <w:ind w:left="166" w:right="881" w:firstLine="0"/>
        <w:jc w:val="left"/>
        <w:rPr>
          <w:sz w:val="20"/>
        </w:rPr>
      </w:pPr>
      <w:r>
        <w:rPr/>
        <w:br w:type="column"/>
      </w:r>
      <w:r>
        <w:rPr>
          <w:sz w:val="20"/>
        </w:rPr>
        <w:t>Tests</w:t>
      </w:r>
      <w:r>
        <w:rPr>
          <w:spacing w:val="28"/>
          <w:sz w:val="20"/>
        </w:rPr>
        <w:t> </w:t>
      </w:r>
      <w:r>
        <w:rPr>
          <w:sz w:val="20"/>
        </w:rPr>
        <w:t>whether</w:t>
      </w:r>
      <w:r>
        <w:rPr>
          <w:spacing w:val="28"/>
          <w:sz w:val="20"/>
        </w:rPr>
        <w:t> </w:t>
      </w:r>
      <w:r>
        <w:rPr>
          <w:sz w:val="20"/>
        </w:rPr>
        <w:t>stack-ing adds value</w:t>
      </w:r>
    </w:p>
    <w:p>
      <w:pPr>
        <w:spacing w:after="0" w:line="249" w:lineRule="auto"/>
        <w:jc w:val="left"/>
        <w:rPr>
          <w:sz w:val="20"/>
        </w:rPr>
        <w:sectPr>
          <w:type w:val="continuous"/>
          <w:pgSz w:w="11910" w:h="16840"/>
          <w:pgMar w:header="1160" w:footer="0" w:top="1120" w:bottom="280" w:left="1275" w:right="425"/>
          <w:cols w:num="2" w:equalWidth="0">
            <w:col w:w="7187" w:space="40"/>
            <w:col w:w="2983"/>
          </w:cols>
        </w:sectPr>
      </w:pPr>
    </w:p>
    <w:p>
      <w:pPr>
        <w:tabs>
          <w:tab w:pos="3902" w:val="left" w:leader="none"/>
        </w:tabs>
        <w:spacing w:line="243" w:lineRule="exact" w:before="72"/>
        <w:ind w:left="828" w:right="0" w:firstLine="0"/>
        <w:jc w:val="left"/>
        <w:rPr>
          <w:sz w:val="20"/>
        </w:rPr>
      </w:pPr>
      <w:r>
        <w:rPr>
          <w:rFonts w:ascii="Courier New"/>
          <w:spacing w:val="-2"/>
          <w:sz w:val="20"/>
        </w:rPr>
        <w:t>CarenR_Dist_Sup_Thresh</w:t>
      </w:r>
      <w:r>
        <w:rPr>
          <w:rFonts w:ascii="Courier New"/>
          <w:sz w:val="20"/>
        </w:rPr>
        <w:tab/>
      </w:r>
      <w:r>
        <w:rPr>
          <w:sz w:val="20"/>
        </w:rPr>
        <w:t>Pearson</w:t>
      </w:r>
      <w:r>
        <w:rPr>
          <w:spacing w:val="6"/>
          <w:sz w:val="20"/>
        </w:rPr>
        <w:t> </w:t>
      </w:r>
      <w:r>
        <w:rPr>
          <w:sz w:val="20"/>
        </w:rPr>
        <w:t>threshold</w:t>
      </w:r>
      <w:r>
        <w:rPr>
          <w:spacing w:val="4"/>
          <w:sz w:val="20"/>
        </w:rPr>
        <w:t> </w:t>
      </w:r>
      <w:r>
        <w:rPr>
          <w:sz w:val="20"/>
        </w:rPr>
        <w:t>+</w:t>
      </w:r>
      <w:r>
        <w:rPr>
          <w:spacing w:val="6"/>
          <w:sz w:val="20"/>
        </w:rPr>
        <w:t> </w:t>
      </w:r>
      <w:r>
        <w:rPr>
          <w:spacing w:val="-4"/>
          <w:sz w:val="20"/>
        </w:rPr>
        <w:t>sup-</w:t>
      </w:r>
    </w:p>
    <w:p>
      <w:pPr>
        <w:spacing w:line="226" w:lineRule="exact" w:before="0"/>
        <w:ind w:left="3902" w:right="0" w:firstLine="0"/>
        <w:jc w:val="left"/>
        <w:rPr>
          <w:sz w:val="20"/>
        </w:rPr>
      </w:pPr>
      <w:r>
        <w:rPr>
          <w:sz w:val="20"/>
        </w:rPr>
        <w:t>port</w:t>
      </w:r>
      <w:r>
        <w:rPr>
          <w:spacing w:val="-5"/>
          <w:sz w:val="20"/>
        </w:rPr>
        <w:t> </w:t>
      </w:r>
      <w:r>
        <w:rPr>
          <w:spacing w:val="-2"/>
          <w:sz w:val="20"/>
        </w:rPr>
        <w:t>filter</w:t>
      </w:r>
    </w:p>
    <w:p>
      <w:pPr>
        <w:tabs>
          <w:tab w:pos="1193" w:val="right" w:leader="none"/>
        </w:tabs>
        <w:spacing w:line="314" w:lineRule="exact" w:before="12"/>
        <w:ind w:left="221" w:right="0" w:firstLine="0"/>
        <w:jc w:val="left"/>
        <w:rPr>
          <w:sz w:val="20"/>
        </w:rPr>
      </w:pPr>
      <w:r>
        <w:rPr/>
        <w:br w:type="column"/>
      </w:r>
      <w:r>
        <w:rPr>
          <w:i/>
          <w:spacing w:val="-10"/>
          <w:sz w:val="20"/>
        </w:rPr>
        <w:t>r</w:t>
      </w:r>
      <w:r>
        <w:rPr>
          <w:sz w:val="20"/>
        </w:rPr>
        <w:tab/>
      </w:r>
      <w:r>
        <w:rPr>
          <w:spacing w:val="-4"/>
          <w:sz w:val="20"/>
        </w:rPr>
        <w:t>0</w:t>
      </w:r>
      <w:r>
        <w:rPr>
          <w:rFonts w:ascii="Meiryo UI"/>
          <w:i/>
          <w:spacing w:val="-4"/>
          <w:sz w:val="20"/>
        </w:rPr>
        <w:t>.</w:t>
      </w:r>
      <w:r>
        <w:rPr>
          <w:spacing w:val="-4"/>
          <w:sz w:val="20"/>
        </w:rPr>
        <w:t>30</w:t>
      </w:r>
    </w:p>
    <w:p>
      <w:pPr>
        <w:spacing w:line="214" w:lineRule="exact" w:before="0"/>
        <w:ind w:left="137" w:right="0" w:firstLine="0"/>
        <w:jc w:val="left"/>
        <w:rPr>
          <w:sz w:val="20"/>
        </w:rPr>
      </w:pPr>
      <w:r>
        <w:rPr>
          <w:sz w:val="20"/>
        </w:rPr>
        <mc:AlternateContent>
          <mc:Choice Requires="wps">
            <w:drawing>
              <wp:anchor distT="0" distB="0" distL="0" distR="0" allowOverlap="1" layoutInCell="1" locked="0" behindDoc="1" simplePos="0" relativeHeight="479864320">
                <wp:simplePos x="0" y="0"/>
                <wp:positionH relativeFrom="page">
                  <wp:posOffset>4699571</wp:posOffset>
                </wp:positionH>
                <wp:positionV relativeFrom="paragraph">
                  <wp:posOffset>-137788</wp:posOffset>
                </wp:positionV>
                <wp:extent cx="324485" cy="216535"/>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324485" cy="216535"/>
                        </a:xfrm>
                        <a:prstGeom prst="rect">
                          <a:avLst/>
                        </a:prstGeom>
                      </wps:spPr>
                      <wps:txbx>
                        <w:txbxContent>
                          <w:p>
                            <w:pPr>
                              <w:spacing w:line="233" w:lineRule="exact" w:before="0"/>
                              <w:ind w:left="0" w:right="0" w:firstLine="0"/>
                              <w:jc w:val="left"/>
                              <w:rPr>
                                <w:rFonts w:ascii="Meiryo UI" w:hAnsi="Meiryo UI"/>
                                <w:i/>
                                <w:sz w:val="20"/>
                              </w:rPr>
                            </w:pPr>
                            <w:r>
                              <w:rPr>
                                <w:rFonts w:ascii="Meiryo UI" w:hAnsi="Meiryo UI"/>
                                <w:i/>
                                <w:w w:val="85"/>
                                <w:sz w:val="20"/>
                              </w:rPr>
                              <w:t>|</w:t>
                            </w:r>
                            <w:r>
                              <w:rPr>
                                <w:rFonts w:ascii="Meiryo UI" w:hAnsi="Meiryo UI"/>
                                <w:i/>
                                <w:sz w:val="20"/>
                              </w:rPr>
                              <w:t> </w:t>
                            </w:r>
                            <w:r>
                              <w:rPr>
                                <w:rFonts w:ascii="Meiryo UI" w:hAnsi="Meiryo UI"/>
                                <w:i/>
                                <w:w w:val="85"/>
                                <w:sz w:val="20"/>
                              </w:rPr>
                              <w:t>|</w:t>
                            </w:r>
                            <w:r>
                              <w:rPr>
                                <w:rFonts w:ascii="Meiryo UI" w:hAnsi="Meiryo UI"/>
                                <w:i/>
                                <w:spacing w:val="67"/>
                                <w:sz w:val="20"/>
                              </w:rPr>
                              <w:t> </w:t>
                            </w:r>
                            <w:r>
                              <w:rPr>
                                <w:rFonts w:ascii="Meiryo UI" w:hAnsi="Meiryo UI"/>
                                <w:i/>
                                <w:spacing w:val="-10"/>
                                <w:w w:val="90"/>
                                <w:sz w:val="20"/>
                              </w:rPr>
                              <w:t>≥</w:t>
                            </w:r>
                          </w:p>
                        </w:txbxContent>
                      </wps:txbx>
                      <wps:bodyPr wrap="square" lIns="0" tIns="0" rIns="0" bIns="0" rtlCol="0">
                        <a:noAutofit/>
                      </wps:bodyPr>
                    </wps:wsp>
                  </a:graphicData>
                </a:graphic>
              </wp:anchor>
            </w:drawing>
          </mc:Choice>
          <mc:Fallback>
            <w:pict>
              <v:shape style="position:absolute;margin-left:370.045013pt;margin-top:-10.849482pt;width:25.55pt;height:17.05pt;mso-position-horizontal-relative:page;mso-position-vertical-relative:paragraph;z-index:-23452160" type="#_x0000_t202" id="docshape84" filled="false" stroked="false">
                <v:textbox inset="0,0,0,0">
                  <w:txbxContent>
                    <w:p>
                      <w:pPr>
                        <w:spacing w:line="233" w:lineRule="exact" w:before="0"/>
                        <w:ind w:left="0" w:right="0" w:firstLine="0"/>
                        <w:jc w:val="left"/>
                        <w:rPr>
                          <w:rFonts w:ascii="Meiryo UI" w:hAnsi="Meiryo UI"/>
                          <w:i/>
                          <w:sz w:val="20"/>
                        </w:rPr>
                      </w:pPr>
                      <w:r>
                        <w:rPr>
                          <w:rFonts w:ascii="Meiryo UI" w:hAnsi="Meiryo UI"/>
                          <w:i/>
                          <w:w w:val="85"/>
                          <w:sz w:val="20"/>
                        </w:rPr>
                        <w:t>|</w:t>
                      </w:r>
                      <w:r>
                        <w:rPr>
                          <w:rFonts w:ascii="Meiryo UI" w:hAnsi="Meiryo UI"/>
                          <w:i/>
                          <w:sz w:val="20"/>
                        </w:rPr>
                        <w:t> </w:t>
                      </w:r>
                      <w:r>
                        <w:rPr>
                          <w:rFonts w:ascii="Meiryo UI" w:hAnsi="Meiryo UI"/>
                          <w:i/>
                          <w:w w:val="85"/>
                          <w:sz w:val="20"/>
                        </w:rPr>
                        <w:t>|</w:t>
                      </w:r>
                      <w:r>
                        <w:rPr>
                          <w:rFonts w:ascii="Meiryo UI" w:hAnsi="Meiryo UI"/>
                          <w:i/>
                          <w:spacing w:val="67"/>
                          <w:sz w:val="20"/>
                        </w:rPr>
                        <w:t> </w:t>
                      </w:r>
                      <w:r>
                        <w:rPr>
                          <w:rFonts w:ascii="Meiryo UI" w:hAnsi="Meiryo UI"/>
                          <w:i/>
                          <w:spacing w:val="-10"/>
                          <w:w w:val="90"/>
                          <w:sz w:val="20"/>
                        </w:rPr>
                        <w:t>≥</w:t>
                      </w:r>
                    </w:p>
                  </w:txbxContent>
                </v:textbox>
                <w10:wrap type="none"/>
              </v:shape>
            </w:pict>
          </mc:Fallback>
        </mc:AlternateContent>
      </w:r>
      <w:r>
        <w:rPr>
          <w:sz w:val="20"/>
        </w:rPr>
        <w:t>+</w:t>
      </w:r>
      <w:r>
        <w:rPr>
          <w:spacing w:val="76"/>
          <w:w w:val="150"/>
          <w:sz w:val="20"/>
        </w:rPr>
        <w:t> </w:t>
      </w:r>
      <w:r>
        <w:rPr>
          <w:spacing w:val="-2"/>
          <w:sz w:val="20"/>
        </w:rPr>
        <w:t>minimum</w:t>
      </w:r>
    </w:p>
    <w:p>
      <w:pPr>
        <w:spacing w:before="9"/>
        <w:ind w:left="166" w:right="0" w:firstLine="0"/>
        <w:jc w:val="left"/>
        <w:rPr>
          <w:sz w:val="20"/>
        </w:rPr>
      </w:pPr>
      <w:r>
        <w:rPr>
          <w:sz w:val="20"/>
        </w:rPr>
        <w:t>bin</w:t>
      </w:r>
      <w:r>
        <w:rPr>
          <w:spacing w:val="-4"/>
          <w:sz w:val="20"/>
        </w:rPr>
        <w:t> </w:t>
      </w:r>
      <w:r>
        <w:rPr>
          <w:spacing w:val="-2"/>
          <w:sz w:val="20"/>
        </w:rPr>
        <w:t>coverage</w:t>
      </w:r>
    </w:p>
    <w:p>
      <w:pPr>
        <w:spacing w:line="249" w:lineRule="auto" w:before="72"/>
        <w:ind w:left="194" w:right="1076" w:firstLine="5"/>
        <w:jc w:val="both"/>
        <w:rPr>
          <w:sz w:val="20"/>
        </w:rPr>
      </w:pPr>
      <w:r>
        <w:rPr/>
        <w:br w:type="column"/>
      </w:r>
      <w:r>
        <w:rPr>
          <w:sz w:val="20"/>
        </w:rPr>
        <w:t>Threshold and </w:t>
      </w:r>
      <w:r>
        <w:rPr>
          <w:sz w:val="20"/>
        </w:rPr>
        <w:t>sup-port combined; base for Lag, Conf, Stack </w:t>
      </w:r>
      <w:r>
        <w:rPr>
          <w:spacing w:val="-2"/>
          <w:sz w:val="20"/>
        </w:rPr>
        <w:t>variants</w:t>
      </w:r>
    </w:p>
    <w:p>
      <w:pPr>
        <w:spacing w:after="0" w:line="249" w:lineRule="auto"/>
        <w:jc w:val="both"/>
        <w:rPr>
          <w:sz w:val="20"/>
        </w:rPr>
        <w:sectPr>
          <w:type w:val="continuous"/>
          <w:pgSz w:w="11910" w:h="16840"/>
          <w:pgMar w:header="1160" w:footer="0" w:top="1120" w:bottom="280" w:left="1275" w:right="425"/>
          <w:cols w:num="3" w:equalWidth="0">
            <w:col w:w="5920" w:space="40"/>
            <w:col w:w="1194" w:space="39"/>
            <w:col w:w="3017"/>
          </w:cols>
        </w:sectPr>
      </w:pPr>
    </w:p>
    <w:p>
      <w:pPr>
        <w:tabs>
          <w:tab w:pos="3902" w:val="left" w:leader="none"/>
          <w:tab w:pos="6125" w:val="left" w:leader="none"/>
        </w:tabs>
        <w:spacing w:line="243" w:lineRule="exact" w:before="71"/>
        <w:ind w:left="828" w:right="0" w:firstLine="0"/>
        <w:jc w:val="left"/>
        <w:rPr>
          <w:sz w:val="20"/>
        </w:rPr>
      </w:pPr>
      <w:r>
        <w:rPr>
          <w:rFonts w:ascii="Courier New"/>
          <w:spacing w:val="-2"/>
          <w:sz w:val="20"/>
        </w:rPr>
        <w:t>CarenR_Supervised</w:t>
      </w:r>
      <w:r>
        <w:rPr>
          <w:rFonts w:ascii="Courier New"/>
          <w:sz w:val="20"/>
        </w:rPr>
        <w:tab/>
      </w:r>
      <w:r>
        <w:rPr>
          <w:sz w:val="20"/>
        </w:rPr>
        <w:t>Per-fold</w:t>
      </w:r>
      <w:r>
        <w:rPr>
          <w:spacing w:val="-11"/>
          <w:sz w:val="20"/>
        </w:rPr>
        <w:t> </w:t>
      </w:r>
      <w:r>
        <w:rPr>
          <w:sz w:val="20"/>
        </w:rPr>
        <w:t>supervised</w:t>
      </w:r>
      <w:r>
        <w:rPr>
          <w:spacing w:val="-11"/>
          <w:sz w:val="20"/>
        </w:rPr>
        <w:t> </w:t>
      </w:r>
      <w:r>
        <w:rPr>
          <w:spacing w:val="-4"/>
          <w:sz w:val="20"/>
        </w:rPr>
        <w:t>bins</w:t>
      </w:r>
      <w:r>
        <w:rPr>
          <w:sz w:val="20"/>
        </w:rPr>
        <w:tab/>
      </w:r>
      <w:r>
        <w:rPr>
          <w:spacing w:val="-2"/>
          <w:sz w:val="20"/>
        </w:rPr>
        <w:t>Maximise</w:t>
      </w:r>
    </w:p>
    <w:p>
      <w:pPr>
        <w:spacing w:line="249" w:lineRule="auto" w:before="0"/>
        <w:ind w:left="6119" w:right="0" w:firstLine="6"/>
        <w:jc w:val="left"/>
        <w:rPr>
          <w:sz w:val="20"/>
        </w:rPr>
      </w:pPr>
      <w:r>
        <w:rPr>
          <w:spacing w:val="-2"/>
          <w:sz w:val="20"/>
        </w:rPr>
        <w:t>between-group </w:t>
      </w:r>
      <w:r>
        <w:rPr>
          <w:sz w:val="20"/>
        </w:rPr>
        <w:t>residual</w:t>
      </w:r>
      <w:r>
        <w:rPr>
          <w:spacing w:val="80"/>
          <w:sz w:val="20"/>
        </w:rPr>
        <w:t> </w:t>
      </w:r>
      <w:r>
        <w:rPr>
          <w:sz w:val="20"/>
        </w:rPr>
        <w:t>SS (greedy</w:t>
      </w:r>
      <w:r>
        <w:rPr>
          <w:spacing w:val="80"/>
          <w:sz w:val="20"/>
        </w:rPr>
        <w:t> </w:t>
      </w:r>
      <w:r>
        <w:rPr>
          <w:sz w:val="20"/>
        </w:rPr>
        <w:t>1D </w:t>
      </w:r>
      <w:r>
        <w:rPr>
          <w:spacing w:val="-2"/>
          <w:sz w:val="20"/>
        </w:rPr>
        <w:t>splits)</w:t>
      </w:r>
    </w:p>
    <w:p>
      <w:pPr>
        <w:spacing w:line="249" w:lineRule="auto" w:before="71"/>
        <w:ind w:left="199" w:right="1076" w:firstLine="0"/>
        <w:jc w:val="both"/>
        <w:rPr>
          <w:sz w:val="20"/>
        </w:rPr>
      </w:pPr>
      <w:r>
        <w:rPr/>
        <w:br w:type="column"/>
      </w:r>
      <w:r>
        <w:rPr>
          <w:sz w:val="20"/>
        </w:rPr>
        <w:t>Evaluates</w:t>
      </w:r>
      <w:r>
        <w:rPr>
          <w:spacing w:val="-13"/>
          <w:sz w:val="20"/>
        </w:rPr>
        <w:t> </w:t>
      </w:r>
      <w:r>
        <w:rPr>
          <w:sz w:val="20"/>
        </w:rPr>
        <w:t>target</w:t>
      </w:r>
      <w:r>
        <w:rPr>
          <w:spacing w:val="-12"/>
          <w:sz w:val="20"/>
        </w:rPr>
        <w:t> </w:t>
      </w:r>
      <w:r>
        <w:rPr>
          <w:sz w:val="20"/>
        </w:rPr>
        <w:t>leak-age from discretisa-</w:t>
      </w:r>
      <w:r>
        <w:rPr>
          <w:spacing w:val="-4"/>
          <w:sz w:val="20"/>
        </w:rPr>
        <w:t>tion</w:t>
      </w:r>
    </w:p>
    <w:p>
      <w:pPr>
        <w:spacing w:after="0" w:line="249" w:lineRule="auto"/>
        <w:jc w:val="both"/>
        <w:rPr>
          <w:sz w:val="20"/>
        </w:rPr>
        <w:sectPr>
          <w:type w:val="continuous"/>
          <w:pgSz w:w="11910" w:h="16840"/>
          <w:pgMar w:header="1160" w:footer="0" w:top="1120" w:bottom="280" w:left="1275" w:right="425"/>
          <w:cols w:num="2" w:equalWidth="0">
            <w:col w:w="7154" w:space="40"/>
            <w:col w:w="3016"/>
          </w:cols>
        </w:sectPr>
      </w:pPr>
    </w:p>
    <w:p>
      <w:pPr>
        <w:pStyle w:val="BodyText"/>
        <w:spacing w:before="2" w:after="1"/>
        <w:rPr>
          <w:sz w:val="7"/>
        </w:rPr>
      </w:pPr>
    </w:p>
    <w:p>
      <w:pPr>
        <w:spacing w:line="20" w:lineRule="exact"/>
        <w:ind w:left="709" w:right="0" w:firstLine="0"/>
        <w:rPr>
          <w:sz w:val="2"/>
        </w:rPr>
      </w:pPr>
      <w:r>
        <w:rPr>
          <w:sz w:val="2"/>
        </w:rPr>
        <mc:AlternateContent>
          <mc:Choice Requires="wps">
            <w:drawing>
              <wp:inline distT="0" distB="0" distL="0" distR="0">
                <wp:extent cx="5400040" cy="11430"/>
                <wp:effectExtent l="9525" t="0" r="635" b="7620"/>
                <wp:docPr id="98" name="Group 98"/>
                <wp:cNvGraphicFramePr>
                  <a:graphicFrameLocks/>
                </wp:cNvGraphicFramePr>
                <a:graphic>
                  <a:graphicData uri="http://schemas.microsoft.com/office/word/2010/wordprocessingGroup">
                    <wpg:wgp>
                      <wpg:cNvPr id="98" name="Group 98"/>
                      <wpg:cNvGrpSpPr/>
                      <wpg:grpSpPr>
                        <a:xfrm>
                          <a:off x="0" y="0"/>
                          <a:ext cx="5400040" cy="11430"/>
                          <a:chExt cx="5400040" cy="11430"/>
                        </a:xfrm>
                      </wpg:grpSpPr>
                      <wps:wsp>
                        <wps:cNvPr id="99" name="Graphic 99"/>
                        <wps:cNvSpPr/>
                        <wps:spPr>
                          <a:xfrm>
                            <a:off x="0" y="5511"/>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5.2pt;height:.9pt;mso-position-horizontal-relative:char;mso-position-vertical-relative:line" id="docshapegroup85" coordorigin="0,0" coordsize="8504,18">
                <v:line style="position:absolute" from="0,9" to="8504,9" stroked="true" strokeweight=".868pt" strokecolor="#000000">
                  <v:stroke dashstyle="solid"/>
                </v:line>
              </v:group>
            </w:pict>
          </mc:Fallback>
        </mc:AlternateContent>
      </w:r>
      <w:r>
        <w:rPr>
          <w:sz w:val="2"/>
        </w:rPr>
      </w:r>
    </w:p>
    <w:p>
      <w:pPr>
        <w:spacing w:after="0" w:line="20" w:lineRule="exact"/>
        <w:rPr>
          <w:sz w:val="2"/>
        </w:rPr>
        <w:sectPr>
          <w:type w:val="continuous"/>
          <w:pgSz w:w="11910" w:h="16840"/>
          <w:pgMar w:header="1160" w:footer="0" w:top="1120" w:bottom="280" w:left="1275" w:right="425"/>
        </w:sectPr>
      </w:pPr>
    </w:p>
    <w:p>
      <w:pPr>
        <w:pStyle w:val="BodyText"/>
      </w:pPr>
    </w:p>
    <w:p>
      <w:pPr>
        <w:pStyle w:val="BodyText"/>
        <w:spacing w:before="25"/>
      </w:pPr>
    </w:p>
    <w:p>
      <w:pPr>
        <w:pStyle w:val="BodyText"/>
        <w:spacing w:line="312" w:lineRule="auto" w:before="1"/>
        <w:ind w:left="135" w:right="1519" w:firstLine="6"/>
        <w:jc w:val="both"/>
      </w:pPr>
      <w:r>
        <w:rPr/>
        <w:t>number use confidence weighting or equal weighting as alternatives.</w:t>
      </w:r>
      <w:r>
        <w:rPr>
          <w:spacing w:val="40"/>
        </w:rPr>
        <w:t> </w:t>
      </w:r>
      <w:r>
        <w:rPr/>
        <w:t>The primary source of divergence</w:t>
      </w:r>
      <w:r>
        <w:rPr>
          <w:spacing w:val="-8"/>
        </w:rPr>
        <w:t> </w:t>
      </w:r>
      <w:r>
        <w:rPr/>
        <w:t>across</w:t>
      </w:r>
      <w:r>
        <w:rPr>
          <w:spacing w:val="-8"/>
        </w:rPr>
        <w:t> </w:t>
      </w:r>
      <w:r>
        <w:rPr/>
        <w:t>the</w:t>
      </w:r>
      <w:r>
        <w:rPr>
          <w:spacing w:val="-8"/>
        </w:rPr>
        <w:t> </w:t>
      </w:r>
      <w:r>
        <w:rPr/>
        <w:t>11</w:t>
      </w:r>
      <w:r>
        <w:rPr>
          <w:spacing w:val="-8"/>
        </w:rPr>
        <w:t> </w:t>
      </w:r>
      <w:r>
        <w:rPr/>
        <w:t>variants</w:t>
      </w:r>
      <w:r>
        <w:rPr>
          <w:spacing w:val="-8"/>
        </w:rPr>
        <w:t> </w:t>
      </w:r>
      <w:r>
        <w:rPr/>
        <w:t>is</w:t>
      </w:r>
      <w:r>
        <w:rPr>
          <w:spacing w:val="-8"/>
        </w:rPr>
        <w:t> </w:t>
      </w:r>
      <w:r>
        <w:rPr/>
        <w:t>the</w:t>
      </w:r>
      <w:r>
        <w:rPr>
          <w:spacing w:val="-8"/>
        </w:rPr>
        <w:t> </w:t>
      </w:r>
      <w:r>
        <w:rPr/>
        <w:t>feature</w:t>
      </w:r>
      <w:r>
        <w:rPr>
          <w:spacing w:val="-8"/>
        </w:rPr>
        <w:t> </w:t>
      </w:r>
      <w:r>
        <w:rPr/>
        <w:t>selection</w:t>
      </w:r>
      <w:r>
        <w:rPr>
          <w:spacing w:val="-8"/>
        </w:rPr>
        <w:t> </w:t>
      </w:r>
      <w:r>
        <w:rPr/>
        <w:t>strategy,</w:t>
      </w:r>
      <w:r>
        <w:rPr>
          <w:spacing w:val="-8"/>
        </w:rPr>
        <w:t> </w:t>
      </w:r>
      <w:r>
        <w:rPr/>
        <w:t>not</w:t>
      </w:r>
      <w:r>
        <w:rPr>
          <w:spacing w:val="-8"/>
        </w:rPr>
        <w:t> </w:t>
      </w:r>
      <w:r>
        <w:rPr/>
        <w:t>the</w:t>
      </w:r>
      <w:r>
        <w:rPr>
          <w:spacing w:val="-8"/>
        </w:rPr>
        <w:t> </w:t>
      </w:r>
      <w:r>
        <w:rPr/>
        <w:t>aggregation</w:t>
      </w:r>
      <w:r>
        <w:rPr>
          <w:spacing w:val="-8"/>
        </w:rPr>
        <w:t> </w:t>
      </w:r>
      <w:r>
        <w:rPr/>
        <w:t>mechanism. The general prediction formula for a test observation </w:t>
      </w:r>
      <w:r>
        <w:rPr>
          <w:i/>
        </w:rPr>
        <w:t>x </w:t>
      </w:r>
      <w:r>
        <w:rPr/>
        <w:t>is:</w:t>
      </w:r>
    </w:p>
    <w:p>
      <w:pPr>
        <w:pStyle w:val="BodyText"/>
        <w:spacing w:line="268" w:lineRule="auto" w:before="6"/>
        <w:ind w:left="142" w:right="1557" w:firstLine="338"/>
        <w:jc w:val="both"/>
      </w:pPr>
      <w:r>
        <w:rPr/>
        <w:t>where the sum is over all rules </w:t>
      </w:r>
      <w:r>
        <w:rPr>
          <w:i/>
        </w:rPr>
        <w:t>i </w:t>
      </w:r>
      <w:r>
        <w:rPr/>
        <w:t>that fire for observation </w:t>
      </w:r>
      <w:r>
        <w:rPr>
          <w:i/>
        </w:rPr>
        <w:t>x </w:t>
      </w:r>
      <w:r>
        <w:rPr/>
        <w:t>(i.e.</w:t>
      </w:r>
      <w:r>
        <w:rPr>
          <w:spacing w:val="40"/>
        </w:rPr>
        <w:t> </w:t>
      </w:r>
      <w:r>
        <w:rPr/>
        <w:t>all conditions of rule </w:t>
      </w:r>
      <w:r>
        <w:rPr>
          <w:i/>
        </w:rPr>
        <w:t>i </w:t>
      </w:r>
      <w:r>
        <w:rPr/>
        <w:t>are satisfied</w:t>
      </w:r>
      <w:r>
        <w:rPr>
          <w:spacing w:val="-14"/>
        </w:rPr>
        <w:t> </w:t>
      </w:r>
      <w:r>
        <w:rPr/>
        <w:t>by</w:t>
      </w:r>
      <w:r>
        <w:rPr>
          <w:spacing w:val="-14"/>
        </w:rPr>
        <w:t> </w:t>
      </w:r>
      <w:r>
        <w:rPr>
          <w:i/>
        </w:rPr>
        <w:t>x</w:t>
      </w:r>
      <w:r>
        <w:rPr/>
        <w:t>),</w:t>
      </w:r>
      <w:r>
        <w:rPr>
          <w:spacing w:val="-10"/>
        </w:rPr>
        <w:t> </w:t>
      </w:r>
      <w:r>
        <w:rPr>
          <w:i/>
        </w:rPr>
        <w:t>m</w:t>
      </w:r>
      <w:r>
        <w:rPr>
          <w:i/>
          <w:vertAlign w:val="subscript"/>
        </w:rPr>
        <w:t>i</w:t>
      </w:r>
      <w:r>
        <w:rPr>
          <w:i/>
          <w:spacing w:val="-2"/>
          <w:vertAlign w:val="baseline"/>
        </w:rPr>
        <w:t> </w:t>
      </w:r>
      <w:r>
        <w:rPr>
          <w:vertAlign w:val="baseline"/>
        </w:rPr>
        <w:t>is</w:t>
      </w:r>
      <w:r>
        <w:rPr>
          <w:spacing w:val="-10"/>
          <w:vertAlign w:val="baseline"/>
        </w:rPr>
        <w:t> </w:t>
      </w:r>
      <w:r>
        <w:rPr>
          <w:vertAlign w:val="baseline"/>
        </w:rPr>
        <w:t>the</w:t>
      </w:r>
      <w:r>
        <w:rPr>
          <w:spacing w:val="-10"/>
          <w:vertAlign w:val="baseline"/>
        </w:rPr>
        <w:t> </w:t>
      </w:r>
      <w:r>
        <w:rPr>
          <w:vertAlign w:val="baseline"/>
        </w:rPr>
        <w:t>median</w:t>
      </w:r>
      <w:r>
        <w:rPr>
          <w:spacing w:val="-10"/>
          <w:vertAlign w:val="baseline"/>
        </w:rPr>
        <w:t> </w:t>
      </w:r>
      <w:r>
        <w:rPr>
          <w:vertAlign w:val="baseline"/>
        </w:rPr>
        <w:t>residual</w:t>
      </w:r>
      <w:r>
        <w:rPr>
          <w:spacing w:val="-10"/>
          <w:vertAlign w:val="baseline"/>
        </w:rPr>
        <w:t> </w:t>
      </w:r>
      <w:r>
        <w:rPr>
          <w:vertAlign w:val="baseline"/>
        </w:rPr>
        <w:t>of</w:t>
      </w:r>
      <w:r>
        <w:rPr>
          <w:spacing w:val="-10"/>
          <w:vertAlign w:val="baseline"/>
        </w:rPr>
        <w:t> </w:t>
      </w:r>
      <w:r>
        <w:rPr>
          <w:vertAlign w:val="baseline"/>
        </w:rPr>
        <w:t>the</w:t>
      </w:r>
      <w:r>
        <w:rPr>
          <w:spacing w:val="-10"/>
          <w:vertAlign w:val="baseline"/>
        </w:rPr>
        <w:t> </w:t>
      </w:r>
      <w:r>
        <w:rPr>
          <w:vertAlign w:val="baseline"/>
        </w:rPr>
        <w:t>training</w:t>
      </w:r>
      <w:r>
        <w:rPr>
          <w:spacing w:val="-10"/>
          <w:vertAlign w:val="baseline"/>
        </w:rPr>
        <w:t> </w:t>
      </w:r>
      <w:r>
        <w:rPr>
          <w:vertAlign w:val="baseline"/>
        </w:rPr>
        <w:t>observations</w:t>
      </w:r>
      <w:r>
        <w:rPr>
          <w:spacing w:val="-10"/>
          <w:vertAlign w:val="baseline"/>
        </w:rPr>
        <w:t> </w:t>
      </w:r>
      <w:r>
        <w:rPr>
          <w:vertAlign w:val="baseline"/>
        </w:rPr>
        <w:t>covered</w:t>
      </w:r>
      <w:r>
        <w:rPr>
          <w:spacing w:val="-10"/>
          <w:vertAlign w:val="baseline"/>
        </w:rPr>
        <w:t> </w:t>
      </w:r>
      <w:r>
        <w:rPr>
          <w:vertAlign w:val="baseline"/>
        </w:rPr>
        <w:t>by</w:t>
      </w:r>
      <w:r>
        <w:rPr>
          <w:spacing w:val="-10"/>
          <w:vertAlign w:val="baseline"/>
        </w:rPr>
        <w:t> </w:t>
      </w:r>
      <w:r>
        <w:rPr>
          <w:vertAlign w:val="baseline"/>
        </w:rPr>
        <w:t>rule</w:t>
      </w:r>
      <w:r>
        <w:rPr>
          <w:spacing w:val="-10"/>
          <w:vertAlign w:val="baseline"/>
        </w:rPr>
        <w:t> </w:t>
      </w:r>
      <w:r>
        <w:rPr>
          <w:i/>
          <w:vertAlign w:val="baseline"/>
        </w:rPr>
        <w:t>i</w:t>
      </w:r>
      <w:r>
        <w:rPr>
          <w:vertAlign w:val="baseline"/>
        </w:rPr>
        <w:t>,</w:t>
      </w:r>
      <w:r>
        <w:rPr>
          <w:spacing w:val="-10"/>
          <w:vertAlign w:val="baseline"/>
        </w:rPr>
        <w:t> </w:t>
      </w:r>
      <w:r>
        <w:rPr>
          <w:vertAlign w:val="baseline"/>
        </w:rPr>
        <w:t>and</w:t>
      </w:r>
      <w:r>
        <w:rPr>
          <w:spacing w:val="-10"/>
          <w:vertAlign w:val="baseline"/>
        </w:rPr>
        <w:t> </w:t>
      </w:r>
      <w:r>
        <w:rPr>
          <w:i/>
          <w:vertAlign w:val="baseline"/>
        </w:rPr>
        <w:t>w</w:t>
      </w:r>
      <w:r>
        <w:rPr>
          <w:i/>
          <w:vertAlign w:val="subscript"/>
        </w:rPr>
        <w:t>i</w:t>
      </w:r>
      <w:r>
        <w:rPr>
          <w:rFonts w:ascii="Lucida Sans Unicode"/>
          <w:vertAlign w:val="baseline"/>
        </w:rPr>
        <w:t>(</w:t>
      </w:r>
      <w:r>
        <w:rPr>
          <w:i/>
          <w:vertAlign w:val="baseline"/>
        </w:rPr>
        <w:t>x</w:t>
      </w:r>
      <w:r>
        <w:rPr>
          <w:rFonts w:ascii="Lucida Sans Unicode"/>
          <w:vertAlign w:val="baseline"/>
        </w:rPr>
        <w:t>)</w:t>
      </w:r>
      <w:r>
        <w:rPr>
          <w:rFonts w:ascii="Lucida Sans Unicode"/>
          <w:spacing w:val="-18"/>
          <w:vertAlign w:val="baseline"/>
        </w:rPr>
        <w:t> </w:t>
      </w:r>
      <w:r>
        <w:rPr>
          <w:vertAlign w:val="baseline"/>
        </w:rPr>
        <w:t>is the weight assigned to rule </w:t>
      </w:r>
      <w:r>
        <w:rPr>
          <w:i/>
          <w:vertAlign w:val="baseline"/>
        </w:rPr>
        <w:t>i </w:t>
      </w:r>
      <w:r>
        <w:rPr>
          <w:vertAlign w:val="baseline"/>
        </w:rPr>
        <w:t>for observation </w:t>
      </w:r>
      <w:r>
        <w:rPr>
          <w:i/>
          <w:vertAlign w:val="baseline"/>
        </w:rPr>
        <w:t>x</w:t>
      </w:r>
      <w:r>
        <w:rPr>
          <w:vertAlign w:val="baseline"/>
        </w:rPr>
        <w:t>. The weight definition distinguishes the variants:</w:t>
      </w:r>
    </w:p>
    <w:p>
      <w:pPr>
        <w:pStyle w:val="BodyText"/>
        <w:spacing w:line="312" w:lineRule="auto" w:before="48"/>
        <w:ind w:left="135" w:right="1557" w:firstLine="345"/>
        <w:jc w:val="both"/>
      </w:pPr>
      <w:r>
        <w:rPr/>
        <w:t>Note</w:t>
      </w:r>
      <w:r>
        <w:rPr>
          <w:spacing w:val="-6"/>
        </w:rPr>
        <w:t> </w:t>
      </w:r>
      <w:r>
        <w:rPr/>
        <w:t>on</w:t>
      </w:r>
      <w:r>
        <w:rPr>
          <w:spacing w:val="-6"/>
        </w:rPr>
        <w:t> </w:t>
      </w:r>
      <w:r>
        <w:rPr/>
        <w:t>notation: </w:t>
      </w:r>
      <w:r>
        <w:rPr>
          <w:i/>
        </w:rPr>
        <w:t>m</w:t>
      </w:r>
      <w:r>
        <w:rPr>
          <w:i/>
          <w:vertAlign w:val="subscript"/>
        </w:rPr>
        <w:t>i</w:t>
      </w:r>
      <w:r>
        <w:rPr>
          <w:i/>
          <w:vertAlign w:val="baseline"/>
        </w:rPr>
        <w:t> </w:t>
      </w:r>
      <w:r>
        <w:rPr>
          <w:vertAlign w:val="baseline"/>
        </w:rPr>
        <w:t>denotes</w:t>
      </w:r>
      <w:r>
        <w:rPr>
          <w:spacing w:val="-6"/>
          <w:vertAlign w:val="baseline"/>
        </w:rPr>
        <w:t> </w:t>
      </w:r>
      <w:r>
        <w:rPr>
          <w:vertAlign w:val="baseline"/>
        </w:rPr>
        <w:t>the</w:t>
      </w:r>
      <w:r>
        <w:rPr>
          <w:spacing w:val="-6"/>
          <w:vertAlign w:val="baseline"/>
        </w:rPr>
        <w:t> </w:t>
      </w:r>
      <w:r>
        <w:rPr>
          <w:vertAlign w:val="baseline"/>
        </w:rPr>
        <w:t>median</w:t>
      </w:r>
      <w:r>
        <w:rPr>
          <w:spacing w:val="-6"/>
          <w:vertAlign w:val="baseline"/>
        </w:rPr>
        <w:t> </w:t>
      </w:r>
      <w:r>
        <w:rPr>
          <w:vertAlign w:val="baseline"/>
        </w:rPr>
        <w:t>residual</w:t>
      </w:r>
      <w:r>
        <w:rPr>
          <w:spacing w:val="-6"/>
          <w:vertAlign w:val="baseline"/>
        </w:rPr>
        <w:t> </w:t>
      </w:r>
      <w:r>
        <w:rPr>
          <w:vertAlign w:val="baseline"/>
        </w:rPr>
        <w:t>of</w:t>
      </w:r>
      <w:r>
        <w:rPr>
          <w:spacing w:val="-6"/>
          <w:vertAlign w:val="baseline"/>
        </w:rPr>
        <w:t> </w:t>
      </w:r>
      <w:r>
        <w:rPr>
          <w:vertAlign w:val="baseline"/>
        </w:rPr>
        <w:t>the</w:t>
      </w:r>
      <w:r>
        <w:rPr>
          <w:spacing w:val="-6"/>
          <w:vertAlign w:val="baseline"/>
        </w:rPr>
        <w:t> </w:t>
      </w:r>
      <w:r>
        <w:rPr>
          <w:vertAlign w:val="baseline"/>
        </w:rPr>
        <w:t>training</w:t>
      </w:r>
      <w:r>
        <w:rPr>
          <w:spacing w:val="-6"/>
          <w:vertAlign w:val="baseline"/>
        </w:rPr>
        <w:t> </w:t>
      </w:r>
      <w:r>
        <w:rPr>
          <w:vertAlign w:val="baseline"/>
        </w:rPr>
        <w:t>observations</w:t>
      </w:r>
      <w:r>
        <w:rPr>
          <w:spacing w:val="-6"/>
          <w:vertAlign w:val="baseline"/>
        </w:rPr>
        <w:t> </w:t>
      </w:r>
      <w:r>
        <w:rPr>
          <w:vertAlign w:val="baseline"/>
        </w:rPr>
        <w:t>in</w:t>
      </w:r>
      <w:r>
        <w:rPr>
          <w:spacing w:val="-6"/>
          <w:vertAlign w:val="baseline"/>
        </w:rPr>
        <w:t> </w:t>
      </w:r>
      <w:r>
        <w:rPr>
          <w:vertAlign w:val="baseline"/>
        </w:rPr>
        <w:t>the</w:t>
      </w:r>
      <w:r>
        <w:rPr>
          <w:spacing w:val="-6"/>
          <w:vertAlign w:val="baseline"/>
        </w:rPr>
        <w:t> </w:t>
      </w:r>
      <w:r>
        <w:rPr>
          <w:vertAlign w:val="baseline"/>
        </w:rPr>
        <w:t>subgroup defined</w:t>
      </w:r>
      <w:r>
        <w:rPr>
          <w:spacing w:val="-14"/>
          <w:vertAlign w:val="baseline"/>
        </w:rPr>
        <w:t> </w:t>
      </w:r>
      <w:r>
        <w:rPr>
          <w:vertAlign w:val="baseline"/>
        </w:rPr>
        <w:t>by</w:t>
      </w:r>
      <w:r>
        <w:rPr>
          <w:spacing w:val="-14"/>
          <w:vertAlign w:val="baseline"/>
        </w:rPr>
        <w:t> </w:t>
      </w:r>
      <w:r>
        <w:rPr>
          <w:vertAlign w:val="baseline"/>
        </w:rPr>
        <w:t>rule</w:t>
      </w:r>
      <w:r>
        <w:rPr>
          <w:spacing w:val="-14"/>
          <w:vertAlign w:val="baseline"/>
        </w:rPr>
        <w:t> </w:t>
      </w:r>
      <w:r>
        <w:rPr>
          <w:i/>
          <w:vertAlign w:val="baseline"/>
        </w:rPr>
        <w:t>i</w:t>
      </w:r>
      <w:r>
        <w:rPr>
          <w:vertAlign w:val="baseline"/>
        </w:rPr>
        <w:t>.</w:t>
      </w:r>
      <w:r>
        <w:rPr>
          <w:spacing w:val="-13"/>
          <w:vertAlign w:val="baseline"/>
        </w:rPr>
        <w:t> </w:t>
      </w:r>
      <w:r>
        <w:rPr>
          <w:vertAlign w:val="baseline"/>
        </w:rPr>
        <w:t>The</w:t>
      </w:r>
      <w:r>
        <w:rPr>
          <w:spacing w:val="-14"/>
          <w:vertAlign w:val="baseline"/>
        </w:rPr>
        <w:t> </w:t>
      </w:r>
      <w:r>
        <w:rPr>
          <w:vertAlign w:val="baseline"/>
        </w:rPr>
        <w:t>tilde</w:t>
      </w:r>
      <w:r>
        <w:rPr>
          <w:spacing w:val="-14"/>
          <w:vertAlign w:val="baseline"/>
        </w:rPr>
        <w:t> </w:t>
      </w:r>
      <w:r>
        <w:rPr>
          <w:vertAlign w:val="baseline"/>
        </w:rPr>
        <w:t>notation</w:t>
      </w:r>
      <w:r>
        <w:rPr>
          <w:spacing w:val="-14"/>
          <w:vertAlign w:val="baseline"/>
        </w:rPr>
        <w:t> </w:t>
      </w:r>
      <w:r>
        <w:rPr>
          <w:vertAlign w:val="baseline"/>
        </w:rPr>
        <w:t>(~)</w:t>
      </w:r>
      <w:r>
        <w:rPr>
          <w:spacing w:val="-13"/>
          <w:vertAlign w:val="baseline"/>
        </w:rPr>
        <w:t> </w:t>
      </w:r>
      <w:r>
        <w:rPr>
          <w:vertAlign w:val="baseline"/>
        </w:rPr>
        <w:t>is</w:t>
      </w:r>
      <w:r>
        <w:rPr>
          <w:spacing w:val="-14"/>
          <w:vertAlign w:val="baseline"/>
        </w:rPr>
        <w:t> </w:t>
      </w:r>
      <w:r>
        <w:rPr>
          <w:vertAlign w:val="baseline"/>
        </w:rPr>
        <w:t>used</w:t>
      </w:r>
      <w:r>
        <w:rPr>
          <w:spacing w:val="-14"/>
          <w:vertAlign w:val="baseline"/>
        </w:rPr>
        <w:t> </w:t>
      </w:r>
      <w:r>
        <w:rPr>
          <w:vertAlign w:val="baseline"/>
        </w:rPr>
        <w:t>throughout</w:t>
      </w:r>
      <w:r>
        <w:rPr>
          <w:spacing w:val="-14"/>
          <w:vertAlign w:val="baseline"/>
        </w:rPr>
        <w:t> </w:t>
      </w:r>
      <w:r>
        <w:rPr>
          <w:vertAlign w:val="baseline"/>
        </w:rPr>
        <w:t>to</w:t>
      </w:r>
      <w:r>
        <w:rPr>
          <w:spacing w:val="-13"/>
          <w:vertAlign w:val="baseline"/>
        </w:rPr>
        <w:t> </w:t>
      </w:r>
      <w:r>
        <w:rPr>
          <w:vertAlign w:val="baseline"/>
        </w:rPr>
        <w:t>distinguish</w:t>
      </w:r>
      <w:r>
        <w:rPr>
          <w:spacing w:val="-14"/>
          <w:vertAlign w:val="baseline"/>
        </w:rPr>
        <w:t> </w:t>
      </w:r>
      <w:r>
        <w:rPr>
          <w:vertAlign w:val="baseline"/>
        </w:rPr>
        <w:t>the</w:t>
      </w:r>
      <w:r>
        <w:rPr>
          <w:spacing w:val="-14"/>
          <w:vertAlign w:val="baseline"/>
        </w:rPr>
        <w:t> </w:t>
      </w:r>
      <w:r>
        <w:rPr>
          <w:vertAlign w:val="baseline"/>
        </w:rPr>
        <w:t>median</w:t>
      </w:r>
      <w:r>
        <w:rPr>
          <w:spacing w:val="-14"/>
          <w:vertAlign w:val="baseline"/>
        </w:rPr>
        <w:t> </w:t>
      </w:r>
      <w:r>
        <w:rPr>
          <w:vertAlign w:val="baseline"/>
        </w:rPr>
        <w:t>from</w:t>
      </w:r>
      <w:r>
        <w:rPr>
          <w:spacing w:val="-13"/>
          <w:vertAlign w:val="baseline"/>
        </w:rPr>
        <w:t> </w:t>
      </w:r>
      <w:r>
        <w:rPr>
          <w:vertAlign w:val="baseline"/>
        </w:rPr>
        <w:t>the</w:t>
      </w:r>
      <w:r>
        <w:rPr>
          <w:spacing w:val="-14"/>
          <w:vertAlign w:val="baseline"/>
        </w:rPr>
        <w:t> </w:t>
      </w:r>
      <w:r>
        <w:rPr>
          <w:vertAlign w:val="baseline"/>
        </w:rPr>
        <w:t>mean (</w:t>
      </w:r>
      <w:r>
        <w:rPr>
          <w:i/>
          <w:vertAlign w:val="baseline"/>
        </w:rPr>
        <w:t>µ</w:t>
      </w:r>
      <w:r>
        <w:rPr>
          <w:vertAlign w:val="baseline"/>
        </w:rPr>
        <w:t>),</w:t>
      </w:r>
      <w:r>
        <w:rPr>
          <w:spacing w:val="-2"/>
          <w:vertAlign w:val="baseline"/>
        </w:rPr>
        <w:t> </w:t>
      </w:r>
      <w:r>
        <w:rPr>
          <w:vertAlign w:val="baseline"/>
        </w:rPr>
        <w:t>following</w:t>
      </w:r>
      <w:r>
        <w:rPr>
          <w:spacing w:val="-2"/>
          <w:vertAlign w:val="baseline"/>
        </w:rPr>
        <w:t> </w:t>
      </w:r>
      <w:r>
        <w:rPr>
          <w:vertAlign w:val="baseline"/>
        </w:rPr>
        <w:t>the</w:t>
      </w:r>
      <w:r>
        <w:rPr>
          <w:spacing w:val="-2"/>
          <w:vertAlign w:val="baseline"/>
        </w:rPr>
        <w:t> </w:t>
      </w:r>
      <w:r>
        <w:rPr>
          <w:vertAlign w:val="baseline"/>
        </w:rPr>
        <w:t>convention</w:t>
      </w:r>
      <w:r>
        <w:rPr>
          <w:spacing w:val="-2"/>
          <w:vertAlign w:val="baseline"/>
        </w:rPr>
        <w:t> </w:t>
      </w:r>
      <w:r>
        <w:rPr>
          <w:vertAlign w:val="baseline"/>
        </w:rPr>
        <w:t>that </w:t>
      </w:r>
      <w:r>
        <w:rPr>
          <w:i/>
          <w:vertAlign w:val="baseline"/>
        </w:rPr>
        <w:t>µ </w:t>
      </w:r>
      <w:r>
        <w:rPr>
          <w:vertAlign w:val="baseline"/>
        </w:rPr>
        <w:t>denotes</w:t>
      </w:r>
      <w:r>
        <w:rPr>
          <w:spacing w:val="-2"/>
          <w:vertAlign w:val="baseline"/>
        </w:rPr>
        <w:t> </w:t>
      </w:r>
      <w:r>
        <w:rPr>
          <w:vertAlign w:val="baseline"/>
        </w:rPr>
        <w:t>a</w:t>
      </w:r>
      <w:r>
        <w:rPr>
          <w:spacing w:val="-2"/>
          <w:vertAlign w:val="baseline"/>
        </w:rPr>
        <w:t> </w:t>
      </w:r>
      <w:r>
        <w:rPr>
          <w:vertAlign w:val="baseline"/>
        </w:rPr>
        <w:t>population</w:t>
      </w:r>
      <w:r>
        <w:rPr>
          <w:spacing w:val="-2"/>
          <w:vertAlign w:val="baseline"/>
        </w:rPr>
        <w:t> </w:t>
      </w:r>
      <w:r>
        <w:rPr>
          <w:vertAlign w:val="baseline"/>
        </w:rPr>
        <w:t>mean</w:t>
      </w:r>
      <w:r>
        <w:rPr>
          <w:spacing w:val="-2"/>
          <w:vertAlign w:val="baseline"/>
        </w:rPr>
        <w:t> </w:t>
      </w:r>
      <w:r>
        <w:rPr>
          <w:vertAlign w:val="baseline"/>
        </w:rPr>
        <w:t>and</w:t>
      </w:r>
      <w:r>
        <w:rPr>
          <w:spacing w:val="-2"/>
          <w:vertAlign w:val="baseline"/>
        </w:rPr>
        <w:t> </w:t>
      </w:r>
      <w:r>
        <w:rPr>
          <w:i/>
          <w:vertAlign w:val="baseline"/>
        </w:rPr>
        <w:t>m</w:t>
      </w:r>
      <w:r>
        <w:rPr>
          <w:i/>
          <w:spacing w:val="-2"/>
          <w:vertAlign w:val="baseline"/>
        </w:rPr>
        <w:t> </w:t>
      </w:r>
      <w:r>
        <w:rPr>
          <w:vertAlign w:val="baseline"/>
        </w:rPr>
        <w:t>denotes</w:t>
      </w:r>
      <w:r>
        <w:rPr>
          <w:spacing w:val="-2"/>
          <w:vertAlign w:val="baseline"/>
        </w:rPr>
        <w:t> </w:t>
      </w:r>
      <w:r>
        <w:rPr>
          <w:vertAlign w:val="baseline"/>
        </w:rPr>
        <w:t>a</w:t>
      </w:r>
      <w:r>
        <w:rPr>
          <w:spacing w:val="-2"/>
          <w:vertAlign w:val="baseline"/>
        </w:rPr>
        <w:t> </w:t>
      </w:r>
      <w:r>
        <w:rPr>
          <w:vertAlign w:val="baseline"/>
        </w:rPr>
        <w:t>sample</w:t>
      </w:r>
      <w:r>
        <w:rPr>
          <w:spacing w:val="-2"/>
          <w:vertAlign w:val="baseline"/>
        </w:rPr>
        <w:t> </w:t>
      </w:r>
      <w:r>
        <w:rPr>
          <w:vertAlign w:val="baseline"/>
        </w:rPr>
        <w:t>median.</w:t>
      </w:r>
    </w:p>
    <w:p>
      <w:pPr>
        <w:spacing w:before="160"/>
        <w:ind w:left="1151" w:right="0" w:firstLine="0"/>
        <w:jc w:val="both"/>
        <w:rPr>
          <w:sz w:val="20"/>
        </w:rPr>
      </w:pPr>
      <w:bookmarkStart w:name="_bookmark50" w:id="96"/>
      <w:bookmarkEnd w:id="96"/>
      <w:r>
        <w:rPr/>
      </w:r>
      <w:r>
        <w:rPr>
          <w:b/>
          <w:sz w:val="20"/>
        </w:rPr>
        <w:t>Table</w:t>
      </w:r>
      <w:r>
        <w:rPr>
          <w:b/>
          <w:spacing w:val="-9"/>
          <w:sz w:val="20"/>
        </w:rPr>
        <w:t> </w:t>
      </w:r>
      <w:r>
        <w:rPr>
          <w:b/>
          <w:sz w:val="20"/>
        </w:rPr>
        <w:t>3.5:</w:t>
      </w:r>
      <w:r>
        <w:rPr>
          <w:b/>
          <w:spacing w:val="1"/>
          <w:sz w:val="20"/>
        </w:rPr>
        <w:t> </w:t>
      </w:r>
      <w:r>
        <w:rPr>
          <w:sz w:val="20"/>
        </w:rPr>
        <w:t>Prediction</w:t>
      </w:r>
      <w:r>
        <w:rPr>
          <w:spacing w:val="-9"/>
          <w:sz w:val="20"/>
        </w:rPr>
        <w:t> </w:t>
      </w:r>
      <w:r>
        <w:rPr>
          <w:sz w:val="20"/>
        </w:rPr>
        <w:t>aggregation</w:t>
      </w:r>
      <w:r>
        <w:rPr>
          <w:spacing w:val="-9"/>
          <w:sz w:val="20"/>
        </w:rPr>
        <w:t> </w:t>
      </w:r>
      <w:r>
        <w:rPr>
          <w:sz w:val="20"/>
        </w:rPr>
        <w:t>formulas</w:t>
      </w:r>
      <w:r>
        <w:rPr>
          <w:spacing w:val="-9"/>
          <w:sz w:val="20"/>
        </w:rPr>
        <w:t> </w:t>
      </w:r>
      <w:r>
        <w:rPr>
          <w:sz w:val="20"/>
        </w:rPr>
        <w:t>for</w:t>
      </w:r>
      <w:r>
        <w:rPr>
          <w:spacing w:val="-9"/>
          <w:sz w:val="20"/>
        </w:rPr>
        <w:t> </w:t>
      </w:r>
      <w:r>
        <w:rPr>
          <w:sz w:val="20"/>
        </w:rPr>
        <w:t>the</w:t>
      </w:r>
      <w:r>
        <w:rPr>
          <w:spacing w:val="-9"/>
          <w:sz w:val="20"/>
        </w:rPr>
        <w:t> </w:t>
      </w:r>
      <w:r>
        <w:rPr>
          <w:sz w:val="20"/>
        </w:rPr>
        <w:t>three</w:t>
      </w:r>
      <w:r>
        <w:rPr>
          <w:spacing w:val="-9"/>
          <w:sz w:val="20"/>
        </w:rPr>
        <w:t> </w:t>
      </w:r>
      <w:r>
        <w:rPr>
          <w:sz w:val="20"/>
        </w:rPr>
        <w:t>CarenR</w:t>
      </w:r>
      <w:r>
        <w:rPr>
          <w:spacing w:val="-9"/>
          <w:sz w:val="20"/>
        </w:rPr>
        <w:t> </w:t>
      </w:r>
      <w:r>
        <w:rPr>
          <w:sz w:val="20"/>
        </w:rPr>
        <w:t>variant</w:t>
      </w:r>
      <w:r>
        <w:rPr>
          <w:spacing w:val="-9"/>
          <w:sz w:val="20"/>
        </w:rPr>
        <w:t> </w:t>
      </w:r>
      <w:r>
        <w:rPr>
          <w:spacing w:val="-2"/>
          <w:sz w:val="20"/>
        </w:rPr>
        <w:t>families.</w:t>
      </w:r>
    </w:p>
    <w:p>
      <w:pPr>
        <w:pStyle w:val="BodyText"/>
        <w:spacing w:before="5"/>
        <w:rPr>
          <w:sz w:val="18"/>
        </w:rPr>
      </w:pPr>
      <w:r>
        <w:rPr>
          <w:sz w:val="18"/>
        </w:rPr>
        <mc:AlternateContent>
          <mc:Choice Requires="wps">
            <w:drawing>
              <wp:anchor distT="0" distB="0" distL="0" distR="0" allowOverlap="1" layoutInCell="1" locked="0" behindDoc="1" simplePos="0" relativeHeight="487604736">
                <wp:simplePos x="0" y="0"/>
                <wp:positionH relativeFrom="page">
                  <wp:posOffset>899998</wp:posOffset>
                </wp:positionH>
                <wp:positionV relativeFrom="paragraph">
                  <wp:posOffset>150054</wp:posOffset>
                </wp:positionV>
                <wp:extent cx="5400040" cy="1270"/>
                <wp:effectExtent l="0" t="0" r="0" b="0"/>
                <wp:wrapTopAndBottom/>
                <wp:docPr id="100" name="Graphic 100"/>
                <wp:cNvGraphicFramePr>
                  <a:graphicFrameLocks/>
                </wp:cNvGraphicFramePr>
                <a:graphic>
                  <a:graphicData uri="http://schemas.microsoft.com/office/word/2010/wordprocessingShape">
                    <wps:wsp>
                      <wps:cNvPr id="100" name="Graphic 100"/>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1.815281pt;width:425.2pt;height:.1pt;mso-position-horizontal-relative:page;mso-position-vertical-relative:paragraph;z-index:-15711744;mso-wrap-distance-left:0;mso-wrap-distance-right:0" id="docshape86" coordorigin="1417,236" coordsize="8504,0" path="m1417,236l9921,236e" filled="false" stroked="true" strokeweight=".868pt" strokecolor="#000000">
                <v:path arrowok="t"/>
                <v:stroke dashstyle="solid"/>
                <w10:wrap type="topAndBottom"/>
              </v:shape>
            </w:pict>
          </mc:Fallback>
        </mc:AlternateContent>
      </w:r>
    </w:p>
    <w:p>
      <w:pPr>
        <w:tabs>
          <w:tab w:pos="2485" w:val="left" w:leader="none"/>
          <w:tab w:pos="3971" w:val="left" w:leader="none"/>
          <w:tab w:pos="5798" w:val="left" w:leader="none"/>
        </w:tabs>
        <w:spacing w:before="59"/>
        <w:ind w:left="261" w:right="0" w:firstLine="0"/>
        <w:jc w:val="left"/>
        <w:rPr>
          <w:b/>
          <w:sz w:val="20"/>
        </w:rPr>
      </w:pPr>
      <w:r>
        <w:rPr>
          <w:b/>
          <w:spacing w:val="-4"/>
          <w:sz w:val="20"/>
        </w:rPr>
        <w:t>Variant</w:t>
      </w:r>
      <w:r>
        <w:rPr>
          <w:b/>
          <w:spacing w:val="1"/>
          <w:sz w:val="20"/>
        </w:rPr>
        <w:t> </w:t>
      </w:r>
      <w:r>
        <w:rPr>
          <w:b/>
          <w:spacing w:val="-2"/>
          <w:sz w:val="20"/>
        </w:rPr>
        <w:t>family</w:t>
      </w:r>
      <w:r>
        <w:rPr>
          <w:b/>
          <w:sz w:val="20"/>
        </w:rPr>
        <w:tab/>
      </w:r>
      <w:r>
        <w:rPr>
          <w:b/>
          <w:spacing w:val="-2"/>
          <w:sz w:val="20"/>
        </w:rPr>
        <w:t>Weight</w:t>
      </w:r>
      <w:r>
        <w:rPr>
          <w:b/>
          <w:spacing w:val="-9"/>
          <w:sz w:val="20"/>
        </w:rPr>
        <w:t> </w:t>
      </w:r>
      <w:r>
        <w:rPr>
          <w:i/>
          <w:spacing w:val="-4"/>
          <w:sz w:val="20"/>
        </w:rPr>
        <w:t>w</w:t>
      </w:r>
      <w:r>
        <w:rPr>
          <w:i/>
          <w:spacing w:val="-4"/>
          <w:sz w:val="20"/>
          <w:vertAlign w:val="subscript"/>
        </w:rPr>
        <w:t>i</w:t>
      </w:r>
      <w:r>
        <w:rPr>
          <w:rFonts w:ascii="Lucida Sans Unicode"/>
          <w:spacing w:val="-4"/>
          <w:sz w:val="20"/>
          <w:vertAlign w:val="baseline"/>
        </w:rPr>
        <w:t>(</w:t>
      </w:r>
      <w:r>
        <w:rPr>
          <w:i/>
          <w:spacing w:val="-4"/>
          <w:sz w:val="20"/>
          <w:vertAlign w:val="baseline"/>
        </w:rPr>
        <w:t>x</w:t>
      </w:r>
      <w:r>
        <w:rPr>
          <w:rFonts w:ascii="Lucida Sans Unicode"/>
          <w:spacing w:val="-4"/>
          <w:sz w:val="20"/>
          <w:vertAlign w:val="baseline"/>
        </w:rPr>
        <w:t>)</w:t>
      </w:r>
      <w:r>
        <w:rPr>
          <w:rFonts w:ascii="Lucida Sans Unicode"/>
          <w:sz w:val="20"/>
          <w:vertAlign w:val="baseline"/>
        </w:rPr>
        <w:tab/>
      </w:r>
      <w:r>
        <w:rPr>
          <w:b/>
          <w:spacing w:val="-2"/>
          <w:sz w:val="20"/>
          <w:vertAlign w:val="baseline"/>
        </w:rPr>
        <w:t>Formula</w:t>
      </w:r>
      <w:r>
        <w:rPr>
          <w:b/>
          <w:sz w:val="20"/>
          <w:vertAlign w:val="baseline"/>
        </w:rPr>
        <w:tab/>
      </w:r>
      <w:r>
        <w:rPr>
          <w:b/>
          <w:spacing w:val="-2"/>
          <w:sz w:val="20"/>
          <w:vertAlign w:val="baseline"/>
        </w:rPr>
        <w:t>Rationale</w:t>
      </w:r>
    </w:p>
    <w:p>
      <w:pPr>
        <w:spacing w:after="0"/>
        <w:jc w:val="left"/>
        <w:rPr>
          <w:b/>
          <w:sz w:val="20"/>
        </w:rPr>
        <w:sectPr>
          <w:pgSz w:w="11910" w:h="16840"/>
          <w:pgMar w:header="1160" w:footer="0" w:top="1420" w:bottom="280" w:left="1275" w:right="425"/>
        </w:sectPr>
      </w:pPr>
    </w:p>
    <w:p>
      <w:pPr>
        <w:spacing w:line="232" w:lineRule="auto" w:before="151"/>
        <w:ind w:left="261" w:right="0" w:firstLine="0"/>
        <w:jc w:val="both"/>
        <w:rPr>
          <w:sz w:val="20"/>
        </w:rPr>
      </w:pPr>
      <w:r>
        <w:rPr>
          <w:sz w:val="20"/>
        </w:rPr>
        <mc:AlternateContent>
          <mc:Choice Requires="wps">
            <w:drawing>
              <wp:anchor distT="0" distB="0" distL="0" distR="0" allowOverlap="1" layoutInCell="1" locked="0" behindDoc="0" simplePos="0" relativeHeight="15746560">
                <wp:simplePos x="0" y="0"/>
                <wp:positionH relativeFrom="page">
                  <wp:posOffset>899998</wp:posOffset>
                </wp:positionH>
                <wp:positionV relativeFrom="paragraph">
                  <wp:posOffset>30820</wp:posOffset>
                </wp:positionV>
                <wp:extent cx="5400040" cy="127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5400040" cy="1270"/>
                        </a:xfrm>
                        <a:custGeom>
                          <a:avLst/>
                          <a:gdLst/>
                          <a:ahLst/>
                          <a:cxnLst/>
                          <a:rect l="l" t="t" r="r" b="b"/>
                          <a:pathLst>
                            <a:path w="5400040" h="0">
                              <a:moveTo>
                                <a:pt x="0" y="0"/>
                              </a:moveTo>
                              <a:lnTo>
                                <a:pt x="5400001"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6560" from="70.865997pt,2.426789pt" to="496.062997pt,2.426789pt" stroked="true" strokeweight=".542pt" strokecolor="#000000">
                <v:stroke dashstyle="solid"/>
                <w10:wrap type="none"/>
              </v:line>
            </w:pict>
          </mc:Fallback>
        </mc:AlternateContent>
      </w:r>
      <w:r>
        <w:rPr>
          <w:sz w:val="20"/>
        </w:rPr>
        <w:t>Base (</w:t>
      </w:r>
      <w:r>
        <w:rPr>
          <w:rFonts w:ascii="Courier New"/>
          <w:sz w:val="20"/>
        </w:rPr>
        <w:t>Dist</w:t>
      </w:r>
      <w:r>
        <w:rPr>
          <w:sz w:val="20"/>
        </w:rPr>
        <w:t>, </w:t>
      </w:r>
      <w:r>
        <w:rPr>
          <w:rFonts w:ascii="Courier New"/>
          <w:sz w:val="20"/>
        </w:rPr>
        <w:t>FS</w:t>
      </w:r>
      <w:r>
        <w:rPr>
          <w:sz w:val="20"/>
        </w:rPr>
        <w:t>, </w:t>
      </w:r>
      <w:r>
        <w:rPr>
          <w:rFonts w:ascii="Courier New"/>
          <w:sz w:val="20"/>
        </w:rPr>
        <w:t>Eta2</w:t>
      </w:r>
      <w:r>
        <w:rPr>
          <w:sz w:val="20"/>
        </w:rPr>
        <w:t>, </w:t>
      </w:r>
      <w:r>
        <w:rPr>
          <w:rFonts w:ascii="Courier New"/>
          <w:sz w:val="20"/>
        </w:rPr>
        <w:t>Sup_FS</w:t>
      </w:r>
      <w:r>
        <w:rPr>
          <w:sz w:val="20"/>
        </w:rPr>
        <w:t>, </w:t>
      </w:r>
      <w:r>
        <w:rPr>
          <w:rFonts w:ascii="Courier New"/>
          <w:sz w:val="20"/>
        </w:rPr>
        <w:t>Thresh</w:t>
      </w:r>
      <w:r>
        <w:rPr>
          <w:sz w:val="20"/>
        </w:rPr>
        <w:t>,</w:t>
      </w:r>
      <w:r>
        <w:rPr>
          <w:spacing w:val="40"/>
          <w:sz w:val="20"/>
        </w:rPr>
        <w:t> </w:t>
      </w:r>
      <w:r>
        <w:rPr>
          <w:rFonts w:ascii="Courier New"/>
          <w:spacing w:val="-4"/>
          <w:sz w:val="20"/>
        </w:rPr>
        <w:t>Lag</w:t>
      </w:r>
      <w:r>
        <w:rPr>
          <w:spacing w:val="-4"/>
          <w:sz w:val="20"/>
        </w:rPr>
        <w:t>)</w:t>
      </w:r>
    </w:p>
    <w:p>
      <w:pPr>
        <w:pStyle w:val="BodyText"/>
        <w:rPr>
          <w:sz w:val="20"/>
        </w:rPr>
      </w:pPr>
    </w:p>
    <w:p>
      <w:pPr>
        <w:pStyle w:val="BodyText"/>
        <w:rPr>
          <w:sz w:val="20"/>
        </w:rPr>
      </w:pPr>
    </w:p>
    <w:p>
      <w:pPr>
        <w:pStyle w:val="BodyText"/>
        <w:spacing w:before="91"/>
        <w:rPr>
          <w:sz w:val="20"/>
        </w:rPr>
      </w:pPr>
    </w:p>
    <w:p>
      <w:pPr>
        <w:spacing w:line="240" w:lineRule="auto" w:before="0"/>
        <w:ind w:left="255" w:right="19" w:firstLine="6"/>
        <w:jc w:val="left"/>
        <w:rPr>
          <w:sz w:val="20"/>
        </w:rPr>
      </w:pPr>
      <w:r>
        <w:rPr>
          <w:spacing w:val="-2"/>
          <w:sz w:val="20"/>
        </w:rPr>
        <w:t>Confidence-</w:t>
      </w:r>
      <w:r>
        <w:rPr>
          <w:spacing w:val="-2"/>
          <w:sz w:val="20"/>
        </w:rPr>
        <w:t>weighted (</w:t>
      </w:r>
      <w:r>
        <w:rPr>
          <w:rFonts w:ascii="Courier New"/>
          <w:spacing w:val="-2"/>
          <w:sz w:val="20"/>
        </w:rPr>
        <w:t>CarenR_Dist_ Conf</w:t>
      </w:r>
      <w:r>
        <w:rPr>
          <w:spacing w:val="-2"/>
          <w:sz w:val="20"/>
        </w:rPr>
        <w:t>)</w:t>
      </w:r>
    </w:p>
    <w:p>
      <w:pPr>
        <w:pStyle w:val="BodyText"/>
        <w:rPr>
          <w:sz w:val="20"/>
        </w:rPr>
      </w:pPr>
    </w:p>
    <w:p>
      <w:pPr>
        <w:pStyle w:val="BodyText"/>
        <w:rPr>
          <w:sz w:val="20"/>
        </w:rPr>
      </w:pPr>
    </w:p>
    <w:p>
      <w:pPr>
        <w:pStyle w:val="BodyText"/>
        <w:spacing w:before="98"/>
        <w:rPr>
          <w:sz w:val="20"/>
        </w:rPr>
      </w:pPr>
    </w:p>
    <w:p>
      <w:pPr>
        <w:spacing w:line="232" w:lineRule="auto" w:before="0"/>
        <w:ind w:left="261" w:right="10" w:firstLine="0"/>
        <w:jc w:val="both"/>
        <w:rPr>
          <w:sz w:val="20"/>
        </w:rPr>
      </w:pPr>
      <w:r>
        <w:rPr>
          <w:sz w:val="20"/>
        </w:rPr>
        <w:t>Stacking </w:t>
      </w:r>
      <w:r>
        <w:rPr>
          <w:sz w:val="20"/>
        </w:rPr>
        <w:t>(</w:t>
      </w:r>
      <w:r>
        <w:rPr>
          <w:rFonts w:ascii="Courier New"/>
          <w:sz w:val="20"/>
        </w:rPr>
        <w:t>CarenR_ </w:t>
      </w:r>
      <w:r>
        <w:rPr>
          <w:rFonts w:ascii="Courier New"/>
          <w:spacing w:val="-2"/>
          <w:sz w:val="20"/>
        </w:rPr>
        <w:t>Dist_Stack</w:t>
      </w:r>
      <w:r>
        <w:rPr>
          <w:spacing w:val="-2"/>
          <w:sz w:val="20"/>
        </w:rPr>
        <w:t>)</w:t>
      </w:r>
    </w:p>
    <w:p>
      <w:pPr>
        <w:spacing w:before="146"/>
        <w:ind w:left="174" w:right="0" w:firstLine="0"/>
        <w:jc w:val="left"/>
        <w:rPr>
          <w:sz w:val="20"/>
        </w:rPr>
      </w:pPr>
      <w:r>
        <w:rPr/>
        <w:br w:type="column"/>
      </w:r>
      <w:r>
        <w:rPr>
          <w:sz w:val="20"/>
        </w:rPr>
        <w:t>Support</w:t>
      </w:r>
      <w:r>
        <w:rPr>
          <w:spacing w:val="11"/>
          <w:sz w:val="20"/>
        </w:rPr>
        <w:t> </w:t>
      </w:r>
      <w:r>
        <w:rPr>
          <w:sz w:val="20"/>
        </w:rPr>
        <w:t>of</w:t>
      </w:r>
      <w:r>
        <w:rPr>
          <w:spacing w:val="13"/>
          <w:sz w:val="20"/>
        </w:rPr>
        <w:t> </w:t>
      </w:r>
      <w:r>
        <w:rPr>
          <w:spacing w:val="-4"/>
          <w:sz w:val="20"/>
        </w:rPr>
        <w:t>rule</w:t>
      </w:r>
    </w:p>
    <w:p>
      <w:pPr>
        <w:spacing w:before="9"/>
        <w:ind w:left="174" w:right="0" w:firstLine="0"/>
        <w:jc w:val="left"/>
        <w:rPr>
          <w:i/>
          <w:sz w:val="20"/>
        </w:rPr>
      </w:pPr>
      <w:r>
        <w:rPr>
          <w:i/>
          <w:spacing w:val="-10"/>
          <w:sz w:val="20"/>
        </w:rPr>
        <w:t>i</w:t>
      </w:r>
    </w:p>
    <w:p>
      <w:pPr>
        <w:pStyle w:val="BodyText"/>
        <w:rPr>
          <w:i/>
          <w:sz w:val="20"/>
        </w:rPr>
      </w:pPr>
    </w:p>
    <w:p>
      <w:pPr>
        <w:pStyle w:val="BodyText"/>
        <w:rPr>
          <w:i/>
          <w:sz w:val="20"/>
        </w:rPr>
      </w:pPr>
    </w:p>
    <w:p>
      <w:pPr>
        <w:pStyle w:val="BodyText"/>
        <w:rPr>
          <w:i/>
          <w:sz w:val="20"/>
        </w:rPr>
      </w:pPr>
    </w:p>
    <w:p>
      <w:pPr>
        <w:pStyle w:val="BodyText"/>
        <w:spacing w:before="117"/>
        <w:rPr>
          <w:i/>
          <w:sz w:val="20"/>
        </w:rPr>
      </w:pPr>
    </w:p>
    <w:p>
      <w:pPr>
        <w:spacing w:line="249" w:lineRule="auto" w:before="0"/>
        <w:ind w:left="174" w:right="0" w:firstLine="0"/>
        <w:jc w:val="left"/>
        <w:rPr>
          <w:i/>
          <w:sz w:val="20"/>
        </w:rPr>
      </w:pPr>
      <w:r>
        <w:rPr>
          <w:sz w:val="20"/>
        </w:rPr>
        <w:t>Confidence</w:t>
      </w:r>
      <w:r>
        <w:rPr>
          <w:spacing w:val="69"/>
          <w:sz w:val="20"/>
        </w:rPr>
        <w:t> </w:t>
      </w:r>
      <w:r>
        <w:rPr>
          <w:sz w:val="20"/>
        </w:rPr>
        <w:t>of rule </w:t>
      </w:r>
      <w:r>
        <w:rPr>
          <w:i/>
          <w:sz w:val="20"/>
        </w:rPr>
        <w:t>i</w:t>
      </w:r>
    </w:p>
    <w:p>
      <w:pPr>
        <w:pStyle w:val="BodyText"/>
        <w:rPr>
          <w:i/>
          <w:sz w:val="20"/>
        </w:rPr>
      </w:pPr>
    </w:p>
    <w:p>
      <w:pPr>
        <w:pStyle w:val="BodyText"/>
        <w:rPr>
          <w:i/>
          <w:sz w:val="20"/>
        </w:rPr>
      </w:pPr>
    </w:p>
    <w:p>
      <w:pPr>
        <w:pStyle w:val="BodyText"/>
        <w:rPr>
          <w:i/>
          <w:sz w:val="20"/>
        </w:rPr>
      </w:pPr>
    </w:p>
    <w:p>
      <w:pPr>
        <w:pStyle w:val="BodyText"/>
        <w:spacing w:before="108"/>
        <w:rPr>
          <w:i/>
          <w:sz w:val="20"/>
        </w:rPr>
      </w:pPr>
    </w:p>
    <w:p>
      <w:pPr>
        <w:spacing w:line="249" w:lineRule="auto" w:before="0"/>
        <w:ind w:left="174" w:right="151" w:firstLine="0"/>
        <w:jc w:val="left"/>
        <w:rPr>
          <w:sz w:val="20"/>
        </w:rPr>
      </w:pPr>
      <w:r>
        <w:rPr>
          <w:spacing w:val="-2"/>
          <w:sz w:val="20"/>
        </w:rPr>
        <w:t>Second-</w:t>
      </w:r>
      <w:r>
        <w:rPr>
          <w:spacing w:val="-2"/>
          <w:sz w:val="20"/>
        </w:rPr>
        <w:t>stage </w:t>
      </w:r>
      <w:r>
        <w:rPr>
          <w:sz w:val="20"/>
        </w:rPr>
        <w:t>model</w:t>
      </w:r>
      <w:r>
        <w:rPr>
          <w:spacing w:val="-6"/>
          <w:sz w:val="20"/>
        </w:rPr>
        <w:t> </w:t>
      </w:r>
      <w:r>
        <w:rPr>
          <w:spacing w:val="-2"/>
          <w:sz w:val="20"/>
        </w:rPr>
        <w:t>weight</w:t>
      </w:r>
    </w:p>
    <w:p>
      <w:pPr>
        <w:spacing w:line="228" w:lineRule="auto" w:before="124"/>
        <w:ind w:left="199" w:right="0" w:firstLine="0"/>
        <w:jc w:val="both"/>
        <w:rPr>
          <w:sz w:val="20"/>
        </w:rPr>
      </w:pPr>
      <w:r>
        <w:rPr/>
        <w:br w:type="column"/>
      </w:r>
      <w:r>
        <w:rPr>
          <w:i/>
          <w:sz w:val="20"/>
        </w:rPr>
        <w:t>w</w:t>
      </w:r>
      <w:r>
        <w:rPr>
          <w:i/>
          <w:sz w:val="20"/>
          <w:vertAlign w:val="subscript"/>
        </w:rPr>
        <w:t>i</w:t>
      </w:r>
      <w:r>
        <w:rPr>
          <w:i/>
          <w:sz w:val="20"/>
          <w:vertAlign w:val="baseline"/>
        </w:rPr>
        <w:t> </w:t>
      </w:r>
      <w:r>
        <w:rPr>
          <w:rFonts w:ascii="Lucida Sans Unicode"/>
          <w:sz w:val="20"/>
          <w:vertAlign w:val="baseline"/>
        </w:rPr>
        <w:t>=</w:t>
      </w:r>
      <w:r>
        <w:rPr>
          <w:rFonts w:ascii="Lucida Sans Unicode"/>
          <w:spacing w:val="-6"/>
          <w:sz w:val="20"/>
          <w:vertAlign w:val="baseline"/>
        </w:rPr>
        <w:t> </w:t>
      </w:r>
      <w:r>
        <w:rPr>
          <w:i/>
          <w:sz w:val="20"/>
          <w:vertAlign w:val="baseline"/>
        </w:rPr>
        <w:t>s</w:t>
      </w:r>
      <w:r>
        <w:rPr>
          <w:i/>
          <w:sz w:val="20"/>
          <w:vertAlign w:val="subscript"/>
        </w:rPr>
        <w:t>i</w:t>
      </w:r>
      <w:r>
        <w:rPr>
          <w:i/>
          <w:sz w:val="20"/>
          <w:vertAlign w:val="baseline"/>
        </w:rPr>
        <w:t> </w:t>
      </w:r>
      <w:r>
        <w:rPr>
          <w:sz w:val="20"/>
          <w:vertAlign w:val="baseline"/>
        </w:rPr>
        <w:t>(fraction of training obs. </w:t>
      </w:r>
      <w:r>
        <w:rPr>
          <w:sz w:val="20"/>
          <w:vertAlign w:val="baseline"/>
        </w:rPr>
        <w:t>cov-</w:t>
      </w:r>
      <w:r>
        <w:rPr>
          <w:spacing w:val="-2"/>
          <w:sz w:val="20"/>
          <w:vertAlign w:val="baseline"/>
        </w:rPr>
        <w:t>ered)</w:t>
      </w:r>
    </w:p>
    <w:p>
      <w:pPr>
        <w:pStyle w:val="BodyText"/>
        <w:rPr>
          <w:sz w:val="20"/>
        </w:rPr>
      </w:pPr>
    </w:p>
    <w:p>
      <w:pPr>
        <w:pStyle w:val="BodyText"/>
        <w:rPr>
          <w:sz w:val="20"/>
        </w:rPr>
      </w:pPr>
    </w:p>
    <w:p>
      <w:pPr>
        <w:pStyle w:val="BodyText"/>
        <w:spacing w:before="87"/>
        <w:rPr>
          <w:sz w:val="20"/>
        </w:rPr>
      </w:pPr>
    </w:p>
    <w:p>
      <w:pPr>
        <w:spacing w:line="228" w:lineRule="auto" w:before="0"/>
        <w:ind w:left="194" w:right="0" w:firstLine="4"/>
        <w:jc w:val="both"/>
        <w:rPr>
          <w:sz w:val="20"/>
        </w:rPr>
      </w:pPr>
      <w:r>
        <w:rPr>
          <w:sz w:val="20"/>
        </w:rPr>
        <mc:AlternateContent>
          <mc:Choice Requires="wps">
            <w:drawing>
              <wp:anchor distT="0" distB="0" distL="0" distR="0" allowOverlap="1" layoutInCell="1" locked="0" behindDoc="1" simplePos="0" relativeHeight="479866368">
                <wp:simplePos x="0" y="0"/>
                <wp:positionH relativeFrom="page">
                  <wp:posOffset>3707079</wp:posOffset>
                </wp:positionH>
                <wp:positionV relativeFrom="paragraph">
                  <wp:posOffset>37880</wp:posOffset>
                </wp:positionV>
                <wp:extent cx="98425" cy="21653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98425" cy="216535"/>
                        </a:xfrm>
                        <a:prstGeom prst="rect">
                          <a:avLst/>
                        </a:prstGeom>
                      </wps:spPr>
                      <wps:txbx>
                        <w:txbxContent>
                          <w:p>
                            <w:pPr>
                              <w:spacing w:line="233" w:lineRule="exact" w:before="0"/>
                              <w:ind w:left="0" w:right="0" w:firstLine="0"/>
                              <w:jc w:val="left"/>
                              <w:rPr>
                                <w:rFonts w:ascii="Meiryo UI" w:hAnsi="Meiryo UI"/>
                                <w:i/>
                                <w:sz w:val="20"/>
                              </w:rPr>
                            </w:pPr>
                            <w:r>
                              <w:rPr>
                                <w:rFonts w:ascii="Meiryo UI" w:hAnsi="Meiryo UI"/>
                                <w:i/>
                                <w:spacing w:val="-17"/>
                                <w:sz w:val="20"/>
                              </w:rPr>
                              <w:t>−</w:t>
                            </w:r>
                          </w:p>
                        </w:txbxContent>
                      </wps:txbx>
                      <wps:bodyPr wrap="square" lIns="0" tIns="0" rIns="0" bIns="0" rtlCol="0">
                        <a:noAutofit/>
                      </wps:bodyPr>
                    </wps:wsp>
                  </a:graphicData>
                </a:graphic>
              </wp:anchor>
            </w:drawing>
          </mc:Choice>
          <mc:Fallback>
            <w:pict>
              <v:shape style="position:absolute;margin-left:291.895996pt;margin-top:2.982724pt;width:7.75pt;height:17.05pt;mso-position-horizontal-relative:page;mso-position-vertical-relative:paragraph;z-index:-23450112" type="#_x0000_t202" id="docshape87" filled="false" stroked="false">
                <v:textbox inset="0,0,0,0">
                  <w:txbxContent>
                    <w:p>
                      <w:pPr>
                        <w:spacing w:line="233" w:lineRule="exact" w:before="0"/>
                        <w:ind w:left="0" w:right="0" w:firstLine="0"/>
                        <w:jc w:val="left"/>
                        <w:rPr>
                          <w:rFonts w:ascii="Meiryo UI" w:hAnsi="Meiryo UI"/>
                          <w:i/>
                          <w:sz w:val="20"/>
                        </w:rPr>
                      </w:pPr>
                      <w:r>
                        <w:rPr>
                          <w:rFonts w:ascii="Meiryo UI" w:hAnsi="Meiryo UI"/>
                          <w:i/>
                          <w:spacing w:val="-17"/>
                          <w:sz w:val="20"/>
                        </w:rPr>
                        <w:t>−</w:t>
                      </w:r>
                    </w:p>
                  </w:txbxContent>
                </v:textbox>
                <w10:wrap type="none"/>
              </v:shape>
            </w:pict>
          </mc:Fallback>
        </mc:AlternateContent>
      </w:r>
      <w:r>
        <w:rPr>
          <w:i/>
          <w:sz w:val="20"/>
        </w:rPr>
        <w:t>w</w:t>
      </w:r>
      <w:r>
        <w:rPr>
          <w:i/>
          <w:sz w:val="20"/>
          <w:vertAlign w:val="subscript"/>
        </w:rPr>
        <w:t>i</w:t>
      </w:r>
      <w:r>
        <w:rPr>
          <w:i/>
          <w:sz w:val="20"/>
          <w:vertAlign w:val="baseline"/>
        </w:rPr>
        <w:t> </w:t>
      </w:r>
      <w:r>
        <w:rPr>
          <w:rFonts w:ascii="Lucida Sans Unicode"/>
          <w:sz w:val="20"/>
          <w:vertAlign w:val="baseline"/>
        </w:rPr>
        <w:t>=</w:t>
      </w:r>
      <w:r>
        <w:rPr>
          <w:rFonts w:ascii="Lucida Sans Unicode"/>
          <w:spacing w:val="-5"/>
          <w:sz w:val="20"/>
          <w:vertAlign w:val="baseline"/>
        </w:rPr>
        <w:t> </w:t>
      </w:r>
      <w:r>
        <w:rPr>
          <w:sz w:val="20"/>
          <w:vertAlign w:val="baseline"/>
        </w:rPr>
        <w:t>1</w:t>
      </w:r>
      <w:r>
        <w:rPr>
          <w:spacing w:val="80"/>
          <w:w w:val="150"/>
          <w:sz w:val="20"/>
          <w:vertAlign w:val="baseline"/>
        </w:rPr>
        <w:t> </w:t>
      </w:r>
      <w:r>
        <w:rPr>
          <w:i/>
          <w:sz w:val="20"/>
          <w:vertAlign w:val="baseline"/>
        </w:rPr>
        <w:t>p</w:t>
      </w:r>
      <w:r>
        <w:rPr>
          <w:i/>
          <w:sz w:val="20"/>
          <w:vertAlign w:val="subscript"/>
        </w:rPr>
        <w:t>i</w:t>
      </w:r>
      <w:r>
        <w:rPr>
          <w:i/>
          <w:sz w:val="20"/>
          <w:vertAlign w:val="baseline"/>
        </w:rPr>
        <w:t> </w:t>
      </w:r>
      <w:r>
        <w:rPr>
          <w:sz w:val="20"/>
          <w:vertAlign w:val="baseline"/>
        </w:rPr>
        <w:t>(where</w:t>
      </w:r>
      <w:r>
        <w:rPr>
          <w:spacing w:val="80"/>
          <w:sz w:val="20"/>
          <w:vertAlign w:val="baseline"/>
        </w:rPr>
        <w:t> </w:t>
      </w:r>
      <w:r>
        <w:rPr>
          <w:i/>
          <w:sz w:val="20"/>
          <w:vertAlign w:val="baseline"/>
        </w:rPr>
        <w:t>p</w:t>
      </w:r>
      <w:r>
        <w:rPr>
          <w:i/>
          <w:sz w:val="20"/>
          <w:vertAlign w:val="subscript"/>
        </w:rPr>
        <w:t>i</w:t>
      </w:r>
      <w:r>
        <w:rPr>
          <w:i/>
          <w:spacing w:val="40"/>
          <w:sz w:val="20"/>
          <w:vertAlign w:val="baseline"/>
        </w:rPr>
        <w:t> </w:t>
      </w:r>
      <w:r>
        <w:rPr>
          <w:sz w:val="20"/>
          <w:vertAlign w:val="baseline"/>
        </w:rPr>
        <w:t>is the KS</w:t>
      </w:r>
      <w:r>
        <w:rPr>
          <w:spacing w:val="40"/>
          <w:sz w:val="20"/>
          <w:vertAlign w:val="baseline"/>
        </w:rPr>
        <w:t> </w:t>
      </w:r>
      <w:r>
        <w:rPr>
          <w:i/>
          <w:sz w:val="20"/>
          <w:vertAlign w:val="baseline"/>
        </w:rPr>
        <w:t>p</w:t>
      </w:r>
      <w:r>
        <w:rPr>
          <w:sz w:val="20"/>
          <w:vertAlign w:val="baseline"/>
        </w:rPr>
        <w:t>-</w:t>
      </w:r>
      <w:r>
        <w:rPr>
          <w:spacing w:val="-2"/>
          <w:sz w:val="20"/>
          <w:vertAlign w:val="baseline"/>
        </w:rPr>
        <w:t>value)</w:t>
      </w:r>
    </w:p>
    <w:p>
      <w:pPr>
        <w:pStyle w:val="BodyText"/>
        <w:rPr>
          <w:sz w:val="20"/>
        </w:rPr>
      </w:pPr>
    </w:p>
    <w:p>
      <w:pPr>
        <w:pStyle w:val="BodyText"/>
        <w:rPr>
          <w:sz w:val="20"/>
        </w:rPr>
      </w:pPr>
    </w:p>
    <w:p>
      <w:pPr>
        <w:pStyle w:val="BodyText"/>
        <w:spacing w:before="109"/>
        <w:rPr>
          <w:sz w:val="20"/>
        </w:rPr>
      </w:pPr>
    </w:p>
    <w:p>
      <w:pPr>
        <w:spacing w:line="249" w:lineRule="auto" w:before="1"/>
        <w:ind w:left="199" w:right="0" w:firstLine="0"/>
        <w:jc w:val="both"/>
        <w:rPr>
          <w:sz w:val="20"/>
        </w:rPr>
      </w:pPr>
      <w:r>
        <w:rPr>
          <w:i/>
          <w:sz w:val="20"/>
        </w:rPr>
        <w:t>w</w:t>
      </w:r>
      <w:r>
        <w:rPr>
          <w:i/>
          <w:sz w:val="20"/>
          <w:vertAlign w:val="subscript"/>
        </w:rPr>
        <w:t>i</w:t>
      </w:r>
      <w:r>
        <w:rPr>
          <w:i/>
          <w:sz w:val="20"/>
          <w:vertAlign w:val="baseline"/>
        </w:rPr>
        <w:t> </w:t>
      </w:r>
      <w:r>
        <w:rPr>
          <w:sz w:val="20"/>
          <w:vertAlign w:val="baseline"/>
        </w:rPr>
        <w:t>from a </w:t>
      </w:r>
      <w:r>
        <w:rPr>
          <w:sz w:val="20"/>
          <w:vertAlign w:val="baseline"/>
        </w:rPr>
        <w:t>second-stage linear model </w:t>
      </w:r>
      <w:r>
        <w:rPr>
          <w:spacing w:val="-2"/>
          <w:sz w:val="20"/>
          <w:vertAlign w:val="baseline"/>
        </w:rPr>
        <w:t>fitted</w:t>
      </w:r>
      <w:r>
        <w:rPr>
          <w:spacing w:val="-11"/>
          <w:sz w:val="20"/>
          <w:vertAlign w:val="baseline"/>
        </w:rPr>
        <w:t> </w:t>
      </w:r>
      <w:r>
        <w:rPr>
          <w:spacing w:val="-2"/>
          <w:sz w:val="20"/>
          <w:vertAlign w:val="baseline"/>
        </w:rPr>
        <w:t>on</w:t>
      </w:r>
      <w:r>
        <w:rPr>
          <w:spacing w:val="-10"/>
          <w:sz w:val="20"/>
          <w:vertAlign w:val="baseline"/>
        </w:rPr>
        <w:t> </w:t>
      </w:r>
      <w:r>
        <w:rPr>
          <w:spacing w:val="-2"/>
          <w:sz w:val="20"/>
          <w:vertAlign w:val="baseline"/>
        </w:rPr>
        <w:t>rule</w:t>
      </w:r>
      <w:r>
        <w:rPr>
          <w:spacing w:val="-11"/>
          <w:sz w:val="20"/>
          <w:vertAlign w:val="baseline"/>
        </w:rPr>
        <w:t> </w:t>
      </w:r>
      <w:r>
        <w:rPr>
          <w:spacing w:val="-2"/>
          <w:sz w:val="20"/>
          <w:vertAlign w:val="baseline"/>
        </w:rPr>
        <w:t>predic-tions</w:t>
      </w:r>
    </w:p>
    <w:p>
      <w:pPr>
        <w:spacing w:line="249" w:lineRule="auto" w:before="146"/>
        <w:ind w:left="158" w:right="1641" w:firstLine="7"/>
        <w:jc w:val="both"/>
        <w:rPr>
          <w:sz w:val="20"/>
        </w:rPr>
      </w:pPr>
      <w:r>
        <w:rPr/>
        <w:br w:type="column"/>
      </w:r>
      <w:r>
        <w:rPr>
          <w:sz w:val="20"/>
        </w:rPr>
        <w:t>Rules with higher coverage are weighted more — they represent </w:t>
      </w:r>
      <w:r>
        <w:rPr>
          <w:spacing w:val="-2"/>
          <w:sz w:val="20"/>
        </w:rPr>
        <w:t>more</w:t>
      </w:r>
      <w:r>
        <w:rPr>
          <w:spacing w:val="-4"/>
          <w:sz w:val="20"/>
        </w:rPr>
        <w:t> </w:t>
      </w:r>
      <w:r>
        <w:rPr>
          <w:spacing w:val="-2"/>
          <w:sz w:val="20"/>
        </w:rPr>
        <w:t>stable,</w:t>
      </w:r>
      <w:r>
        <w:rPr>
          <w:spacing w:val="-4"/>
          <w:sz w:val="20"/>
        </w:rPr>
        <w:t> </w:t>
      </w:r>
      <w:r>
        <w:rPr>
          <w:spacing w:val="-2"/>
          <w:sz w:val="20"/>
        </w:rPr>
        <w:t>generalisable</w:t>
      </w:r>
      <w:r>
        <w:rPr>
          <w:spacing w:val="-4"/>
          <w:sz w:val="20"/>
        </w:rPr>
        <w:t> </w:t>
      </w:r>
      <w:r>
        <w:rPr>
          <w:spacing w:val="-2"/>
          <w:sz w:val="20"/>
        </w:rPr>
        <w:t>patterns. </w:t>
      </w:r>
      <w:r>
        <w:rPr>
          <w:sz w:val="20"/>
        </w:rPr>
        <w:t>A</w:t>
      </w:r>
      <w:r>
        <w:rPr>
          <w:spacing w:val="-3"/>
          <w:sz w:val="20"/>
        </w:rPr>
        <w:t> </w:t>
      </w:r>
      <w:r>
        <w:rPr>
          <w:sz w:val="20"/>
        </w:rPr>
        <w:t>rule</w:t>
      </w:r>
      <w:r>
        <w:rPr>
          <w:spacing w:val="-2"/>
          <w:sz w:val="20"/>
        </w:rPr>
        <w:t> </w:t>
      </w:r>
      <w:r>
        <w:rPr>
          <w:sz w:val="20"/>
        </w:rPr>
        <w:t>covering</w:t>
      </w:r>
      <w:r>
        <w:rPr>
          <w:spacing w:val="-2"/>
          <w:sz w:val="20"/>
        </w:rPr>
        <w:t> </w:t>
      </w:r>
      <w:r>
        <w:rPr>
          <w:sz w:val="20"/>
        </w:rPr>
        <w:t>28%</w:t>
      </w:r>
      <w:r>
        <w:rPr>
          <w:spacing w:val="-3"/>
          <w:sz w:val="20"/>
        </w:rPr>
        <w:t> </w:t>
      </w:r>
      <w:r>
        <w:rPr>
          <w:sz w:val="20"/>
        </w:rPr>
        <w:t>of</w:t>
      </w:r>
      <w:r>
        <w:rPr>
          <w:spacing w:val="-2"/>
          <w:sz w:val="20"/>
        </w:rPr>
        <w:t> </w:t>
      </w:r>
      <w:r>
        <w:rPr>
          <w:sz w:val="20"/>
        </w:rPr>
        <w:t>years</w:t>
      </w:r>
      <w:r>
        <w:rPr>
          <w:spacing w:val="-2"/>
          <w:sz w:val="20"/>
        </w:rPr>
        <w:t> </w:t>
      </w:r>
      <w:r>
        <w:rPr>
          <w:spacing w:val="-4"/>
          <w:sz w:val="20"/>
        </w:rPr>
        <w:t>gets</w:t>
      </w:r>
    </w:p>
    <w:p>
      <w:pPr>
        <w:spacing w:line="249" w:lineRule="auto" w:before="0"/>
        <w:ind w:left="151" w:right="1676" w:firstLine="169"/>
        <w:jc w:val="both"/>
        <w:rPr>
          <w:sz w:val="20"/>
        </w:rPr>
      </w:pPr>
      <w:r>
        <w:rPr>
          <w:sz w:val="20"/>
        </w:rPr>
        <mc:AlternateContent>
          <mc:Choice Requires="wps">
            <w:drawing>
              <wp:anchor distT="0" distB="0" distL="0" distR="0" allowOverlap="1" layoutInCell="1" locked="0" behindDoc="1" simplePos="0" relativeHeight="479866880">
                <wp:simplePos x="0" y="0"/>
                <wp:positionH relativeFrom="page">
                  <wp:posOffset>4491405</wp:posOffset>
                </wp:positionH>
                <wp:positionV relativeFrom="paragraph">
                  <wp:posOffset>23404</wp:posOffset>
                </wp:positionV>
                <wp:extent cx="260350" cy="216535"/>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260350" cy="216535"/>
                        </a:xfrm>
                        <a:prstGeom prst="rect">
                          <a:avLst/>
                        </a:prstGeom>
                      </wps:spPr>
                      <wps:txbx>
                        <w:txbxContent>
                          <w:p>
                            <w:pPr>
                              <w:spacing w:line="233" w:lineRule="exact" w:before="0"/>
                              <w:ind w:left="0" w:right="0" w:firstLine="0"/>
                              <w:jc w:val="left"/>
                              <w:rPr>
                                <w:rFonts w:ascii="Meiryo UI" w:hAnsi="Meiryo UI"/>
                                <w:i/>
                                <w:sz w:val="20"/>
                              </w:rPr>
                            </w:pPr>
                            <w:r>
                              <w:rPr>
                                <w:rFonts w:ascii="Meiryo UI" w:hAnsi="Meiryo UI"/>
                                <w:i/>
                                <w:sz w:val="20"/>
                              </w:rPr>
                              <w:t>≈</w:t>
                            </w:r>
                            <w:r>
                              <w:rPr>
                                <w:rFonts w:ascii="Meiryo UI" w:hAnsi="Meiryo UI"/>
                                <w:i/>
                                <w:spacing w:val="24"/>
                                <w:sz w:val="20"/>
                              </w:rPr>
                              <w:t> </w:t>
                            </w:r>
                            <w:r>
                              <w:rPr>
                                <w:rFonts w:ascii="Meiryo UI" w:hAnsi="Meiryo UI"/>
                                <w:i/>
                                <w:spacing w:val="-16"/>
                                <w:sz w:val="20"/>
                              </w:rPr>
                              <w:t>×</w:t>
                            </w:r>
                          </w:p>
                        </w:txbxContent>
                      </wps:txbx>
                      <wps:bodyPr wrap="square" lIns="0" tIns="0" rIns="0" bIns="0" rtlCol="0">
                        <a:noAutofit/>
                      </wps:bodyPr>
                    </wps:wsp>
                  </a:graphicData>
                </a:graphic>
              </wp:anchor>
            </w:drawing>
          </mc:Choice>
          <mc:Fallback>
            <w:pict>
              <v:shape style="position:absolute;margin-left:353.653992pt;margin-top:1.842902pt;width:20.5pt;height:17.05pt;mso-position-horizontal-relative:page;mso-position-vertical-relative:paragraph;z-index:-23449600" type="#_x0000_t202" id="docshape88" filled="false" stroked="false">
                <v:textbox inset="0,0,0,0">
                  <w:txbxContent>
                    <w:p>
                      <w:pPr>
                        <w:spacing w:line="233" w:lineRule="exact" w:before="0"/>
                        <w:ind w:left="0" w:right="0" w:firstLine="0"/>
                        <w:jc w:val="left"/>
                        <w:rPr>
                          <w:rFonts w:ascii="Meiryo UI" w:hAnsi="Meiryo UI"/>
                          <w:i/>
                          <w:sz w:val="20"/>
                        </w:rPr>
                      </w:pPr>
                      <w:r>
                        <w:rPr>
                          <w:rFonts w:ascii="Meiryo UI" w:hAnsi="Meiryo UI"/>
                          <w:i/>
                          <w:sz w:val="20"/>
                        </w:rPr>
                        <w:t>≈</w:t>
                      </w:r>
                      <w:r>
                        <w:rPr>
                          <w:rFonts w:ascii="Meiryo UI" w:hAnsi="Meiryo UI"/>
                          <w:i/>
                          <w:spacing w:val="24"/>
                          <w:sz w:val="20"/>
                        </w:rPr>
                        <w:t> </w:t>
                      </w:r>
                      <w:r>
                        <w:rPr>
                          <w:rFonts w:ascii="Meiryo UI" w:hAnsi="Meiryo UI"/>
                          <w:i/>
                          <w:spacing w:val="-16"/>
                          <w:sz w:val="20"/>
                        </w:rPr>
                        <w:t>×</w:t>
                      </w:r>
                    </w:p>
                  </w:txbxContent>
                </v:textbox>
                <w10:wrap type="none"/>
              </v:shape>
            </w:pict>
          </mc:Fallback>
        </mc:AlternateContent>
      </w:r>
      <w:r>
        <w:rPr>
          <w:sz w:val="20"/>
        </w:rPr>
        <w:t>2</w:t>
      </w:r>
      <w:r>
        <w:rPr>
          <w:spacing w:val="40"/>
          <w:sz w:val="20"/>
        </w:rPr>
        <w:t> </w:t>
      </w:r>
      <w:r>
        <w:rPr>
          <w:sz w:val="20"/>
        </w:rPr>
        <w:t>the weight of one </w:t>
      </w:r>
      <w:r>
        <w:rPr>
          <w:sz w:val="20"/>
        </w:rPr>
        <w:t>covering </w:t>
      </w:r>
      <w:r>
        <w:rPr>
          <w:spacing w:val="-4"/>
          <w:sz w:val="20"/>
        </w:rPr>
        <w:t>15%.</w:t>
      </w:r>
    </w:p>
    <w:p>
      <w:pPr>
        <w:spacing w:before="71"/>
        <w:ind w:left="166" w:right="0" w:firstLine="0"/>
        <w:jc w:val="both"/>
        <w:rPr>
          <w:sz w:val="20"/>
        </w:rPr>
      </w:pPr>
      <w:r>
        <w:rPr>
          <w:sz w:val="20"/>
        </w:rPr>
        <w:t>Rules</w:t>
      </w:r>
      <w:r>
        <w:rPr>
          <w:spacing w:val="4"/>
          <w:sz w:val="20"/>
        </w:rPr>
        <w:t> </w:t>
      </w:r>
      <w:r>
        <w:rPr>
          <w:sz w:val="20"/>
        </w:rPr>
        <w:t>with</w:t>
      </w:r>
      <w:r>
        <w:rPr>
          <w:spacing w:val="5"/>
          <w:sz w:val="20"/>
        </w:rPr>
        <w:t> </w:t>
      </w:r>
      <w:r>
        <w:rPr>
          <w:sz w:val="20"/>
        </w:rPr>
        <w:t>stronger</w:t>
      </w:r>
      <w:r>
        <w:rPr>
          <w:spacing w:val="4"/>
          <w:sz w:val="20"/>
        </w:rPr>
        <w:t> </w:t>
      </w:r>
      <w:r>
        <w:rPr>
          <w:sz w:val="20"/>
        </w:rPr>
        <w:t>statistical</w:t>
      </w:r>
      <w:r>
        <w:rPr>
          <w:spacing w:val="5"/>
          <w:sz w:val="20"/>
        </w:rPr>
        <w:t> </w:t>
      </w:r>
      <w:r>
        <w:rPr>
          <w:spacing w:val="-4"/>
          <w:sz w:val="20"/>
        </w:rPr>
        <w:t>sig-</w:t>
      </w:r>
    </w:p>
    <w:p>
      <w:pPr>
        <w:spacing w:line="192" w:lineRule="auto" w:before="46"/>
        <w:ind w:left="158" w:right="1669" w:firstLine="7"/>
        <w:jc w:val="both"/>
        <w:rPr>
          <w:sz w:val="20"/>
        </w:rPr>
      </w:pPr>
      <w:r>
        <w:rPr>
          <w:sz w:val="20"/>
        </w:rPr>
        <w:t>nificance are weighted more.</w:t>
      </w:r>
      <w:r>
        <w:rPr>
          <w:spacing w:val="40"/>
          <w:sz w:val="20"/>
        </w:rPr>
        <w:t> </w:t>
      </w:r>
      <w:r>
        <w:rPr>
          <w:sz w:val="20"/>
        </w:rPr>
        <w:t>A rule with </w:t>
      </w:r>
      <w:r>
        <w:rPr>
          <w:i/>
          <w:sz w:val="20"/>
        </w:rPr>
        <w:t>p </w:t>
      </w:r>
      <w:r>
        <w:rPr>
          <w:rFonts w:ascii="Lucida Sans Unicode"/>
          <w:sz w:val="20"/>
        </w:rPr>
        <w:t>=</w:t>
      </w:r>
      <w:r>
        <w:rPr>
          <w:rFonts w:ascii="Lucida Sans Unicode"/>
          <w:spacing w:val="-4"/>
          <w:sz w:val="20"/>
        </w:rPr>
        <w:t> </w:t>
      </w:r>
      <w:r>
        <w:rPr>
          <w:sz w:val="20"/>
        </w:rPr>
        <w:t>0</w:t>
      </w:r>
      <w:r>
        <w:rPr>
          <w:rFonts w:ascii="Meiryo UI"/>
          <w:i/>
          <w:sz w:val="20"/>
        </w:rPr>
        <w:t>.</w:t>
      </w:r>
      <w:r>
        <w:rPr>
          <w:sz w:val="20"/>
        </w:rPr>
        <w:t>004 gets weight 0.996; a rule with </w:t>
      </w:r>
      <w:r>
        <w:rPr>
          <w:i/>
          <w:sz w:val="20"/>
        </w:rPr>
        <w:t>p </w:t>
      </w:r>
      <w:r>
        <w:rPr>
          <w:rFonts w:ascii="Lucida Sans Unicode"/>
          <w:sz w:val="20"/>
        </w:rPr>
        <w:t>=</w:t>
      </w:r>
      <w:r>
        <w:rPr>
          <w:rFonts w:ascii="Lucida Sans Unicode"/>
          <w:spacing w:val="-7"/>
          <w:sz w:val="20"/>
        </w:rPr>
        <w:t> </w:t>
      </w:r>
      <w:r>
        <w:rPr>
          <w:sz w:val="20"/>
        </w:rPr>
        <w:t>0</w:t>
      </w:r>
      <w:r>
        <w:rPr>
          <w:rFonts w:ascii="Meiryo UI"/>
          <w:i/>
          <w:sz w:val="20"/>
        </w:rPr>
        <w:t>.</w:t>
      </w:r>
      <w:r>
        <w:rPr>
          <w:sz w:val="20"/>
        </w:rPr>
        <w:t>09 gets weight</w:t>
      </w:r>
      <w:r>
        <w:rPr>
          <w:spacing w:val="9"/>
          <w:sz w:val="20"/>
        </w:rPr>
        <w:t> </w:t>
      </w:r>
      <w:r>
        <w:rPr>
          <w:sz w:val="20"/>
        </w:rPr>
        <w:t>0.91.</w:t>
      </w:r>
      <w:r>
        <w:rPr>
          <w:spacing w:val="32"/>
          <w:sz w:val="20"/>
        </w:rPr>
        <w:t> </w:t>
      </w:r>
      <w:r>
        <w:rPr>
          <w:sz w:val="20"/>
        </w:rPr>
        <w:t>Prioritises</w:t>
      </w:r>
      <w:r>
        <w:rPr>
          <w:spacing w:val="9"/>
          <w:sz w:val="20"/>
        </w:rPr>
        <w:t> </w:t>
      </w:r>
      <w:r>
        <w:rPr>
          <w:spacing w:val="-2"/>
          <w:sz w:val="20"/>
        </w:rPr>
        <w:t>statistical</w:t>
      </w:r>
    </w:p>
    <w:p>
      <w:pPr>
        <w:spacing w:before="15"/>
        <w:ind w:left="166" w:right="0" w:firstLine="0"/>
        <w:jc w:val="both"/>
        <w:rPr>
          <w:sz w:val="20"/>
        </w:rPr>
      </w:pPr>
      <w:r>
        <w:rPr>
          <w:sz w:val="20"/>
        </w:rPr>
        <w:t>robustness</w:t>
      </w:r>
      <w:r>
        <w:rPr>
          <w:spacing w:val="-12"/>
          <w:sz w:val="20"/>
        </w:rPr>
        <w:t> </w:t>
      </w:r>
      <w:r>
        <w:rPr>
          <w:sz w:val="20"/>
        </w:rPr>
        <w:t>over</w:t>
      </w:r>
      <w:r>
        <w:rPr>
          <w:spacing w:val="-12"/>
          <w:sz w:val="20"/>
        </w:rPr>
        <w:t> </w:t>
      </w:r>
      <w:r>
        <w:rPr>
          <w:spacing w:val="-2"/>
          <w:sz w:val="20"/>
        </w:rPr>
        <w:t>coverage.</w:t>
      </w:r>
    </w:p>
    <w:p>
      <w:pPr>
        <w:spacing w:line="249" w:lineRule="auto" w:before="81"/>
        <w:ind w:left="166" w:right="1643" w:firstLine="0"/>
        <w:jc w:val="both"/>
        <w:rPr>
          <w:sz w:val="20"/>
        </w:rPr>
      </w:pPr>
      <w:r>
        <w:rPr>
          <w:sz w:val="20"/>
        </w:rPr>
        <w:t>Residuals from first-stage CarenR predictions are used as input to a second-stage</w:t>
      </w:r>
      <w:r>
        <w:rPr>
          <w:spacing w:val="-12"/>
          <w:sz w:val="20"/>
        </w:rPr>
        <w:t> </w:t>
      </w:r>
      <w:r>
        <w:rPr>
          <w:sz w:val="20"/>
        </w:rPr>
        <w:t>model.</w:t>
      </w:r>
      <w:r>
        <w:rPr>
          <w:spacing w:val="-3"/>
          <w:sz w:val="20"/>
        </w:rPr>
        <w:t> </w:t>
      </w:r>
      <w:r>
        <w:rPr>
          <w:sz w:val="20"/>
        </w:rPr>
        <w:t>Equivalent</w:t>
      </w:r>
      <w:r>
        <w:rPr>
          <w:spacing w:val="-12"/>
          <w:sz w:val="20"/>
        </w:rPr>
        <w:t> </w:t>
      </w:r>
      <w:r>
        <w:rPr>
          <w:sz w:val="20"/>
        </w:rPr>
        <w:t>to learning an optimal linear </w:t>
      </w:r>
      <w:r>
        <w:rPr>
          <w:sz w:val="20"/>
        </w:rPr>
        <w:t>combi-nation of rule predictions on the training set.</w:t>
      </w:r>
    </w:p>
    <w:p>
      <w:pPr>
        <w:spacing w:after="0" w:line="249" w:lineRule="auto"/>
        <w:jc w:val="both"/>
        <w:rPr>
          <w:sz w:val="20"/>
        </w:rPr>
        <w:sectPr>
          <w:type w:val="continuous"/>
          <w:pgSz w:w="11910" w:h="16840"/>
          <w:pgMar w:header="1160" w:footer="0" w:top="1120" w:bottom="280" w:left="1275" w:right="425"/>
          <w:cols w:num="4" w:equalWidth="0">
            <w:col w:w="2272" w:space="40"/>
            <w:col w:w="1422" w:space="39"/>
            <w:col w:w="1820" w:space="39"/>
            <w:col w:w="4578"/>
          </w:cols>
        </w:sectPr>
      </w:pPr>
    </w:p>
    <w:p>
      <w:pPr>
        <w:pStyle w:val="BodyText"/>
        <w:spacing w:before="6"/>
        <w:rPr>
          <w:sz w:val="7"/>
        </w:rPr>
      </w:pPr>
    </w:p>
    <w:p>
      <w:pPr>
        <w:spacing w:line="20" w:lineRule="exact"/>
        <w:ind w:left="142" w:right="0" w:firstLine="0"/>
        <w:rPr>
          <w:sz w:val="2"/>
        </w:rPr>
      </w:pPr>
      <w:r>
        <w:rPr>
          <w:sz w:val="2"/>
        </w:rPr>
        <mc:AlternateContent>
          <mc:Choice Requires="wps">
            <w:drawing>
              <wp:inline distT="0" distB="0" distL="0" distR="0">
                <wp:extent cx="5400040" cy="11430"/>
                <wp:effectExtent l="9525" t="0" r="635" b="7620"/>
                <wp:docPr id="104" name="Group 104"/>
                <wp:cNvGraphicFramePr>
                  <a:graphicFrameLocks/>
                </wp:cNvGraphicFramePr>
                <a:graphic>
                  <a:graphicData uri="http://schemas.microsoft.com/office/word/2010/wordprocessingGroup">
                    <wpg:wgp>
                      <wpg:cNvPr id="104" name="Group 104"/>
                      <wpg:cNvGrpSpPr/>
                      <wpg:grpSpPr>
                        <a:xfrm>
                          <a:off x="0" y="0"/>
                          <a:ext cx="5400040" cy="11430"/>
                          <a:chExt cx="5400040" cy="11430"/>
                        </a:xfrm>
                      </wpg:grpSpPr>
                      <wps:wsp>
                        <wps:cNvPr id="105" name="Graphic 105"/>
                        <wps:cNvSpPr/>
                        <wps:spPr>
                          <a:xfrm>
                            <a:off x="0" y="5511"/>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5.2pt;height:.9pt;mso-position-horizontal-relative:char;mso-position-vertical-relative:line" id="docshapegroup89" coordorigin="0,0" coordsize="8504,18">
                <v:line style="position:absolute" from="0,9" to="8504,9" stroked="true" strokeweight=".868pt" strokecolor="#000000">
                  <v:stroke dashstyle="solid"/>
                </v:line>
              </v:group>
            </w:pict>
          </mc:Fallback>
        </mc:AlternateContent>
      </w:r>
      <w:r>
        <w:rPr>
          <w:sz w:val="2"/>
        </w:rPr>
      </w:r>
    </w:p>
    <w:p>
      <w:pPr>
        <w:pStyle w:val="BodyText"/>
        <w:spacing w:before="63"/>
      </w:pPr>
    </w:p>
    <w:p>
      <w:pPr>
        <w:pStyle w:val="BodyText"/>
        <w:spacing w:line="312" w:lineRule="auto"/>
        <w:ind w:left="142" w:right="1557" w:firstLine="338"/>
        <w:jc w:val="both"/>
      </w:pPr>
      <w:r>
        <w:rPr/>
        <w:t>For the default support-weighted case (used by the majority of variants), the full prediction formula for test year </w:t>
      </w:r>
      <w:r>
        <w:rPr>
          <w:i/>
        </w:rPr>
        <w:t>t </w:t>
      </w:r>
      <w:r>
        <w:rPr/>
        <w:t>is:</w:t>
      </w:r>
    </w:p>
    <w:p>
      <w:pPr>
        <w:pStyle w:val="BodyText"/>
        <w:spacing w:line="289" w:lineRule="exact"/>
        <w:ind w:left="481"/>
      </w:pPr>
      <w:r>
        <w:rPr/>
        <w:t>where</w:t>
      </w:r>
      <w:r>
        <w:rPr>
          <w:spacing w:val="-2"/>
        </w:rPr>
        <w:t> </w:t>
      </w:r>
      <w:r>
        <w:rPr>
          <w:i/>
        </w:rPr>
        <w:t>F</w:t>
      </w:r>
      <w:r>
        <w:rPr>
          <w:rFonts w:ascii="Lucida Sans Unicode"/>
        </w:rPr>
        <w:t>(</w:t>
      </w:r>
      <w:r>
        <w:rPr>
          <w:i/>
        </w:rPr>
        <w:t>t</w:t>
      </w:r>
      <w:r>
        <w:rPr>
          <w:rFonts w:ascii="Lucida Sans Unicode"/>
        </w:rPr>
        <w:t>)</w:t>
      </w:r>
      <w:r>
        <w:rPr>
          <w:rFonts w:ascii="Lucida Sans Unicode"/>
          <w:spacing w:val="-19"/>
        </w:rPr>
        <w:t> </w:t>
      </w:r>
      <w:r>
        <w:rPr>
          <w:rFonts w:ascii="Lucida Sans Unicode"/>
        </w:rPr>
        <w:t>=</w:t>
      </w:r>
      <w:r>
        <w:rPr>
          <w:rFonts w:ascii="Lucida Sans Unicode"/>
          <w:spacing w:val="-19"/>
        </w:rPr>
        <w:t> </w:t>
      </w:r>
      <w:r>
        <w:rPr>
          <w:rFonts w:ascii="Meiryo UI"/>
          <w:i/>
        </w:rPr>
        <w:t>{</w:t>
      </w:r>
      <w:r>
        <w:rPr>
          <w:i/>
        </w:rPr>
        <w:t>i</w:t>
      </w:r>
      <w:r>
        <w:rPr>
          <w:i/>
          <w:spacing w:val="-5"/>
        </w:rPr>
        <w:t> </w:t>
      </w:r>
      <w:r>
        <w:rPr/>
        <w:t>:</w:t>
      </w:r>
      <w:r>
        <w:rPr>
          <w:spacing w:val="-6"/>
        </w:rPr>
        <w:t> </w:t>
      </w:r>
      <w:r>
        <w:rPr/>
        <w:t>all</w:t>
      </w:r>
      <w:r>
        <w:rPr>
          <w:spacing w:val="-3"/>
        </w:rPr>
        <w:t> </w:t>
      </w:r>
      <w:r>
        <w:rPr/>
        <w:t>conditions</w:t>
      </w:r>
      <w:r>
        <w:rPr>
          <w:spacing w:val="-2"/>
        </w:rPr>
        <w:t> </w:t>
      </w:r>
      <w:r>
        <w:rPr/>
        <w:t>of</w:t>
      </w:r>
      <w:r>
        <w:rPr>
          <w:spacing w:val="-3"/>
        </w:rPr>
        <w:t> </w:t>
      </w:r>
      <w:r>
        <w:rPr/>
        <w:t>rule</w:t>
      </w:r>
      <w:r>
        <w:rPr>
          <w:spacing w:val="-3"/>
        </w:rPr>
        <w:t> </w:t>
      </w:r>
      <w:r>
        <w:rPr>
          <w:i/>
        </w:rPr>
        <w:t>i</w:t>
      </w:r>
      <w:r>
        <w:rPr>
          <w:i/>
          <w:spacing w:val="-2"/>
        </w:rPr>
        <w:t> </w:t>
      </w:r>
      <w:r>
        <w:rPr/>
        <w:t>are</w:t>
      </w:r>
      <w:r>
        <w:rPr>
          <w:spacing w:val="-3"/>
        </w:rPr>
        <w:t> </w:t>
      </w:r>
      <w:r>
        <w:rPr/>
        <w:t>satisfied</w:t>
      </w:r>
      <w:r>
        <w:rPr>
          <w:spacing w:val="-3"/>
        </w:rPr>
        <w:t> </w:t>
      </w:r>
      <w:r>
        <w:rPr/>
        <w:t>by</w:t>
      </w:r>
      <w:r>
        <w:rPr>
          <w:spacing w:val="-3"/>
        </w:rPr>
        <w:t> </w:t>
      </w:r>
      <w:r>
        <w:rPr/>
        <w:t>features</w:t>
      </w:r>
      <w:r>
        <w:rPr>
          <w:spacing w:val="-2"/>
        </w:rPr>
        <w:t> </w:t>
      </w:r>
      <w:r>
        <w:rPr/>
        <w:t>of</w:t>
      </w:r>
      <w:r>
        <w:rPr>
          <w:spacing w:val="-3"/>
        </w:rPr>
        <w:t> </w:t>
      </w:r>
      <w:r>
        <w:rPr/>
        <w:t>year</w:t>
      </w:r>
      <w:r>
        <w:rPr>
          <w:spacing w:val="-8"/>
        </w:rPr>
        <w:t> </w:t>
      </w:r>
      <w:r>
        <w:rPr>
          <w:i/>
        </w:rPr>
        <w:t>t</w:t>
      </w:r>
      <w:r>
        <w:rPr>
          <w:rFonts w:ascii="Meiryo UI"/>
          <w:i/>
        </w:rPr>
        <w:t>}</w:t>
      </w:r>
      <w:r>
        <w:rPr>
          <w:rFonts w:ascii="Meiryo UI"/>
          <w:i/>
          <w:spacing w:val="-17"/>
        </w:rPr>
        <w:t> </w:t>
      </w:r>
      <w:r>
        <w:rPr/>
        <w:t>is</w:t>
      </w:r>
      <w:r>
        <w:rPr>
          <w:spacing w:val="2"/>
        </w:rPr>
        <w:t> </w:t>
      </w:r>
      <w:r>
        <w:rPr/>
        <w:t>the</w:t>
      </w:r>
      <w:r>
        <w:rPr>
          <w:spacing w:val="2"/>
        </w:rPr>
        <w:t> </w:t>
      </w:r>
      <w:r>
        <w:rPr/>
        <w:t>set</w:t>
      </w:r>
      <w:r>
        <w:rPr>
          <w:spacing w:val="2"/>
        </w:rPr>
        <w:t> </w:t>
      </w:r>
      <w:r>
        <w:rPr/>
        <w:t>of</w:t>
      </w:r>
      <w:r>
        <w:rPr>
          <w:spacing w:val="2"/>
        </w:rPr>
        <w:t> </w:t>
      </w:r>
      <w:r>
        <w:rPr>
          <w:spacing w:val="-2"/>
        </w:rPr>
        <w:t>firing</w:t>
      </w:r>
    </w:p>
    <w:p>
      <w:pPr>
        <w:pStyle w:val="BodyText"/>
        <w:spacing w:line="213" w:lineRule="auto" w:before="10"/>
        <w:ind w:left="142" w:right="1557"/>
        <w:jc w:val="both"/>
      </w:pPr>
      <w:r>
        <w:rPr>
          <w:spacing w:val="-4"/>
        </w:rPr>
        <w:t>rules,</w:t>
      </w:r>
      <w:r>
        <w:rPr>
          <w:spacing w:val="-10"/>
        </w:rPr>
        <w:t> </w:t>
      </w:r>
      <w:r>
        <w:rPr>
          <w:i/>
          <w:spacing w:val="-4"/>
        </w:rPr>
        <w:t>s</w:t>
      </w:r>
      <w:r>
        <w:rPr>
          <w:i/>
          <w:spacing w:val="-4"/>
          <w:vertAlign w:val="subscript"/>
        </w:rPr>
        <w:t>i</w:t>
      </w:r>
      <w:r>
        <w:rPr>
          <w:i/>
          <w:spacing w:val="-10"/>
          <w:vertAlign w:val="baseline"/>
        </w:rPr>
        <w:t> </w:t>
      </w:r>
      <w:r>
        <w:rPr>
          <w:rFonts w:ascii="Meiryo UI" w:hAnsi="Meiryo UI"/>
          <w:i/>
          <w:spacing w:val="-4"/>
          <w:vertAlign w:val="baseline"/>
        </w:rPr>
        <w:t>∈</w:t>
      </w:r>
      <w:r>
        <w:rPr>
          <w:rFonts w:ascii="Meiryo UI" w:hAnsi="Meiryo UI"/>
          <w:i/>
          <w:spacing w:val="-15"/>
          <w:vertAlign w:val="baseline"/>
        </w:rPr>
        <w:t> </w:t>
      </w:r>
      <w:r>
        <w:rPr>
          <w:rFonts w:ascii="Lucida Sans Unicode" w:hAnsi="Lucida Sans Unicode"/>
          <w:spacing w:val="-4"/>
          <w:vertAlign w:val="baseline"/>
        </w:rPr>
        <w:t>[</w:t>
      </w:r>
      <w:r>
        <w:rPr>
          <w:spacing w:val="-4"/>
          <w:vertAlign w:val="baseline"/>
        </w:rPr>
        <w:t>0</w:t>
      </w:r>
      <w:r>
        <w:rPr>
          <w:rFonts w:ascii="Meiryo UI" w:hAnsi="Meiryo UI"/>
          <w:i/>
          <w:spacing w:val="-4"/>
          <w:vertAlign w:val="baseline"/>
        </w:rPr>
        <w:t>.</w:t>
      </w:r>
      <w:r>
        <w:rPr>
          <w:spacing w:val="-4"/>
          <w:vertAlign w:val="baseline"/>
        </w:rPr>
        <w:t>15</w:t>
      </w:r>
      <w:r>
        <w:rPr>
          <w:rFonts w:ascii="Meiryo UI" w:hAnsi="Meiryo UI"/>
          <w:i/>
          <w:spacing w:val="-4"/>
          <w:vertAlign w:val="baseline"/>
        </w:rPr>
        <w:t>,</w:t>
      </w:r>
      <w:r>
        <w:rPr>
          <w:rFonts w:ascii="Meiryo UI" w:hAnsi="Meiryo UI"/>
          <w:i/>
          <w:spacing w:val="-14"/>
          <w:vertAlign w:val="baseline"/>
        </w:rPr>
        <w:t> </w:t>
      </w:r>
      <w:r>
        <w:rPr>
          <w:spacing w:val="-4"/>
          <w:vertAlign w:val="baseline"/>
        </w:rPr>
        <w:t>1</w:t>
      </w:r>
      <w:r>
        <w:rPr>
          <w:rFonts w:ascii="Meiryo UI" w:hAnsi="Meiryo UI"/>
          <w:i/>
          <w:spacing w:val="-4"/>
          <w:vertAlign w:val="baseline"/>
        </w:rPr>
        <w:t>.</w:t>
      </w:r>
      <w:r>
        <w:rPr>
          <w:spacing w:val="-4"/>
          <w:vertAlign w:val="baseline"/>
        </w:rPr>
        <w:t>0</w:t>
      </w:r>
      <w:r>
        <w:rPr>
          <w:rFonts w:ascii="Lucida Sans Unicode" w:hAnsi="Lucida Sans Unicode"/>
          <w:spacing w:val="-4"/>
          <w:vertAlign w:val="baseline"/>
        </w:rPr>
        <w:t>]</w:t>
      </w:r>
      <w:r>
        <w:rPr>
          <w:rFonts w:ascii="Lucida Sans Unicode" w:hAnsi="Lucida Sans Unicode"/>
          <w:spacing w:val="-14"/>
          <w:vertAlign w:val="baseline"/>
        </w:rPr>
        <w:t> </w:t>
      </w:r>
      <w:r>
        <w:rPr>
          <w:spacing w:val="-4"/>
          <w:vertAlign w:val="baseline"/>
        </w:rPr>
        <w:t>is</w:t>
      </w:r>
      <w:r>
        <w:rPr>
          <w:spacing w:val="-10"/>
          <w:vertAlign w:val="baseline"/>
        </w:rPr>
        <w:t> </w:t>
      </w:r>
      <w:r>
        <w:rPr>
          <w:spacing w:val="-4"/>
          <w:vertAlign w:val="baseline"/>
        </w:rPr>
        <w:t>the</w:t>
      </w:r>
      <w:r>
        <w:rPr>
          <w:spacing w:val="-9"/>
          <w:vertAlign w:val="baseline"/>
        </w:rPr>
        <w:t> </w:t>
      </w:r>
      <w:r>
        <w:rPr>
          <w:spacing w:val="-4"/>
          <w:vertAlign w:val="baseline"/>
        </w:rPr>
        <w:t>support</w:t>
      </w:r>
      <w:r>
        <w:rPr>
          <w:spacing w:val="-10"/>
          <w:vertAlign w:val="baseline"/>
        </w:rPr>
        <w:t> </w:t>
      </w:r>
      <w:r>
        <w:rPr>
          <w:spacing w:val="-4"/>
          <w:vertAlign w:val="baseline"/>
        </w:rPr>
        <w:t>fraction</w:t>
      </w:r>
      <w:r>
        <w:rPr>
          <w:spacing w:val="-10"/>
          <w:vertAlign w:val="baseline"/>
        </w:rPr>
        <w:t> </w:t>
      </w:r>
      <w:r>
        <w:rPr>
          <w:spacing w:val="-4"/>
          <w:vertAlign w:val="baseline"/>
        </w:rPr>
        <w:t>of rule </w:t>
      </w:r>
      <w:r>
        <w:rPr>
          <w:i/>
          <w:spacing w:val="-4"/>
          <w:vertAlign w:val="baseline"/>
        </w:rPr>
        <w:t>i</w:t>
      </w:r>
      <w:r>
        <w:rPr>
          <w:spacing w:val="-4"/>
          <w:vertAlign w:val="baseline"/>
        </w:rPr>
        <w:t>, </w:t>
      </w:r>
      <w:r>
        <w:rPr>
          <w:i/>
          <w:spacing w:val="-4"/>
          <w:vertAlign w:val="baseline"/>
        </w:rPr>
        <w:t>m</w:t>
      </w:r>
      <w:r>
        <w:rPr>
          <w:i/>
          <w:spacing w:val="-4"/>
          <w:vertAlign w:val="subscript"/>
        </w:rPr>
        <w:t>i</w:t>
      </w:r>
      <w:r>
        <w:rPr>
          <w:i/>
          <w:spacing w:val="8"/>
          <w:vertAlign w:val="baseline"/>
        </w:rPr>
        <w:t> </w:t>
      </w:r>
      <w:r>
        <w:rPr>
          <w:spacing w:val="-4"/>
          <w:vertAlign w:val="baseline"/>
        </w:rPr>
        <w:t>is the median detrended production residual </w:t>
      </w:r>
      <w:r>
        <w:rPr>
          <w:vertAlign w:val="baseline"/>
        </w:rPr>
        <w:t>among</w:t>
      </w:r>
      <w:r>
        <w:rPr>
          <w:spacing w:val="3"/>
          <w:vertAlign w:val="baseline"/>
        </w:rPr>
        <w:t> </w:t>
      </w:r>
      <w:r>
        <w:rPr>
          <w:vertAlign w:val="baseline"/>
        </w:rPr>
        <w:t>training</w:t>
      </w:r>
      <w:r>
        <w:rPr>
          <w:spacing w:val="4"/>
          <w:vertAlign w:val="baseline"/>
        </w:rPr>
        <w:t> </w:t>
      </w:r>
      <w:r>
        <w:rPr>
          <w:vertAlign w:val="baseline"/>
        </w:rPr>
        <w:t>observations</w:t>
      </w:r>
      <w:r>
        <w:rPr>
          <w:spacing w:val="3"/>
          <w:vertAlign w:val="baseline"/>
        </w:rPr>
        <w:t> </w:t>
      </w:r>
      <w:r>
        <w:rPr>
          <w:vertAlign w:val="baseline"/>
        </w:rPr>
        <w:t>covered</w:t>
      </w:r>
      <w:r>
        <w:rPr>
          <w:spacing w:val="4"/>
          <w:vertAlign w:val="baseline"/>
        </w:rPr>
        <w:t> </w:t>
      </w:r>
      <w:r>
        <w:rPr>
          <w:vertAlign w:val="baseline"/>
        </w:rPr>
        <w:t>by</w:t>
      </w:r>
      <w:r>
        <w:rPr>
          <w:spacing w:val="3"/>
          <w:vertAlign w:val="baseline"/>
        </w:rPr>
        <w:t> </w:t>
      </w:r>
      <w:r>
        <w:rPr>
          <w:vertAlign w:val="baseline"/>
        </w:rPr>
        <w:t>rule</w:t>
      </w:r>
      <w:r>
        <w:rPr>
          <w:spacing w:val="5"/>
          <w:vertAlign w:val="baseline"/>
        </w:rPr>
        <w:t> </w:t>
      </w:r>
      <w:r>
        <w:rPr>
          <w:i/>
          <w:vertAlign w:val="baseline"/>
        </w:rPr>
        <w:t>i</w:t>
      </w:r>
      <w:r>
        <w:rPr>
          <w:vertAlign w:val="baseline"/>
        </w:rPr>
        <w:t>,</w:t>
      </w:r>
      <w:r>
        <w:rPr>
          <w:spacing w:val="6"/>
          <w:vertAlign w:val="baseline"/>
        </w:rPr>
        <w:t> </w:t>
      </w:r>
      <w:r>
        <w:rPr>
          <w:vertAlign w:val="baseline"/>
        </w:rPr>
        <w:t>and</w:t>
      </w:r>
      <w:r>
        <w:rPr>
          <w:spacing w:val="4"/>
          <w:vertAlign w:val="baseline"/>
        </w:rPr>
        <w:t> </w:t>
      </w:r>
      <w:r>
        <w:rPr>
          <w:vertAlign w:val="baseline"/>
        </w:rPr>
        <w:t>median</w:t>
      </w:r>
      <w:r>
        <w:rPr>
          <w:rFonts w:ascii="Lucida Sans Unicode" w:hAnsi="Lucida Sans Unicode"/>
          <w:vertAlign w:val="baseline"/>
        </w:rPr>
        <w:t>(</w:t>
      </w:r>
      <w:r>
        <w:rPr>
          <w:i/>
          <w:vertAlign w:val="baseline"/>
        </w:rPr>
        <w:t>r</w:t>
      </w:r>
      <w:r>
        <w:rPr>
          <w:vertAlign w:val="subscript"/>
        </w:rPr>
        <w:t>1</w:t>
      </w:r>
      <w:r>
        <w:rPr>
          <w:rFonts w:ascii="Meiryo UI" w:hAnsi="Meiryo UI"/>
          <w:i/>
          <w:vertAlign w:val="baseline"/>
        </w:rPr>
        <w:t>,</w:t>
      </w:r>
      <w:r>
        <w:rPr>
          <w:rFonts w:ascii="Meiryo UI" w:hAnsi="Meiryo UI"/>
          <w:i/>
          <w:spacing w:val="-51"/>
          <w:vertAlign w:val="baseline"/>
        </w:rPr>
        <w:t> </w:t>
      </w:r>
      <w:r>
        <w:rPr>
          <w:rFonts w:ascii="Meiryo UI" w:hAnsi="Meiryo UI"/>
          <w:i/>
          <w:vertAlign w:val="baseline"/>
        </w:rPr>
        <w:t>.</w:t>
      </w:r>
      <w:r>
        <w:rPr>
          <w:rFonts w:ascii="Meiryo UI" w:hAnsi="Meiryo UI"/>
          <w:i/>
          <w:spacing w:val="-50"/>
          <w:vertAlign w:val="baseline"/>
        </w:rPr>
        <w:t> </w:t>
      </w:r>
      <w:r>
        <w:rPr>
          <w:rFonts w:ascii="Meiryo UI" w:hAnsi="Meiryo UI"/>
          <w:i/>
          <w:vertAlign w:val="baseline"/>
        </w:rPr>
        <w:t>.</w:t>
      </w:r>
      <w:r>
        <w:rPr>
          <w:rFonts w:ascii="Meiryo UI" w:hAnsi="Meiryo UI"/>
          <w:i/>
          <w:spacing w:val="-51"/>
          <w:vertAlign w:val="baseline"/>
        </w:rPr>
        <w:t> </w:t>
      </w:r>
      <w:r>
        <w:rPr>
          <w:rFonts w:ascii="Meiryo UI" w:hAnsi="Meiryo UI"/>
          <w:i/>
          <w:vertAlign w:val="baseline"/>
        </w:rPr>
        <w:t>.</w:t>
      </w:r>
      <w:r>
        <w:rPr>
          <w:rFonts w:ascii="Meiryo UI" w:hAnsi="Meiryo UI"/>
          <w:i/>
          <w:spacing w:val="-51"/>
          <w:vertAlign w:val="baseline"/>
        </w:rPr>
        <w:t> </w:t>
      </w:r>
      <w:r>
        <w:rPr>
          <w:rFonts w:ascii="Meiryo UI" w:hAnsi="Meiryo UI"/>
          <w:i/>
          <w:vertAlign w:val="baseline"/>
        </w:rPr>
        <w:t>,</w:t>
      </w:r>
      <w:r>
        <w:rPr>
          <w:rFonts w:ascii="Meiryo UI" w:hAnsi="Meiryo UI"/>
          <w:i/>
          <w:spacing w:val="-51"/>
          <w:vertAlign w:val="baseline"/>
        </w:rPr>
        <w:t> </w:t>
      </w:r>
      <w:r>
        <w:rPr>
          <w:i/>
          <w:vertAlign w:val="baseline"/>
        </w:rPr>
        <w:t>r</w:t>
      </w:r>
      <w:r>
        <w:rPr>
          <w:i/>
          <w:vertAlign w:val="subscript"/>
        </w:rPr>
        <w:t>n</w:t>
      </w:r>
      <w:r>
        <w:rPr>
          <w:rFonts w:ascii="Lucida Sans Unicode" w:hAnsi="Lucida Sans Unicode"/>
          <w:vertAlign w:val="baseline"/>
        </w:rPr>
        <w:t>)</w:t>
      </w:r>
      <w:r>
        <w:rPr>
          <w:rFonts w:ascii="Lucida Sans Unicode" w:hAnsi="Lucida Sans Unicode"/>
          <w:spacing w:val="-10"/>
          <w:vertAlign w:val="baseline"/>
        </w:rPr>
        <w:t> </w:t>
      </w:r>
      <w:r>
        <w:rPr>
          <w:vertAlign w:val="baseline"/>
        </w:rPr>
        <w:t>is</w:t>
      </w:r>
      <w:r>
        <w:rPr>
          <w:spacing w:val="3"/>
          <w:vertAlign w:val="baseline"/>
        </w:rPr>
        <w:t> </w:t>
      </w:r>
      <w:r>
        <w:rPr>
          <w:vertAlign w:val="baseline"/>
        </w:rPr>
        <w:t>the</w:t>
      </w:r>
      <w:r>
        <w:rPr>
          <w:spacing w:val="4"/>
          <w:vertAlign w:val="baseline"/>
        </w:rPr>
        <w:t> </w:t>
      </w:r>
      <w:r>
        <w:rPr>
          <w:vertAlign w:val="baseline"/>
        </w:rPr>
        <w:t>training-set</w:t>
      </w:r>
      <w:r>
        <w:rPr>
          <w:spacing w:val="4"/>
          <w:vertAlign w:val="baseline"/>
        </w:rPr>
        <w:t> </w:t>
      </w:r>
      <w:r>
        <w:rPr>
          <w:spacing w:val="-2"/>
          <w:vertAlign w:val="baseline"/>
        </w:rPr>
        <w:t>median</w:t>
      </w:r>
    </w:p>
    <w:p>
      <w:pPr>
        <w:pStyle w:val="BodyText"/>
        <w:spacing w:before="38"/>
        <w:ind w:left="142"/>
        <w:jc w:val="both"/>
      </w:pPr>
      <w:r>
        <w:rPr/>
        <w:t>residual</w:t>
      </w:r>
      <w:r>
        <w:rPr>
          <w:spacing w:val="-9"/>
        </w:rPr>
        <w:t> </w:t>
      </w:r>
      <w:r>
        <w:rPr/>
        <w:t>(the</w:t>
      </w:r>
      <w:r>
        <w:rPr>
          <w:spacing w:val="-8"/>
        </w:rPr>
        <w:t> </w:t>
      </w:r>
      <w:r>
        <w:rPr/>
        <w:t>Naive_Median</w:t>
      </w:r>
      <w:r>
        <w:rPr>
          <w:spacing w:val="-8"/>
        </w:rPr>
        <w:t> </w:t>
      </w:r>
      <w:r>
        <w:rPr/>
        <w:t>prediction,</w:t>
      </w:r>
      <w:r>
        <w:rPr>
          <w:spacing w:val="-8"/>
        </w:rPr>
        <w:t> </w:t>
      </w:r>
      <w:r>
        <w:rPr/>
        <w:t>used</w:t>
      </w:r>
      <w:r>
        <w:rPr>
          <w:spacing w:val="-8"/>
        </w:rPr>
        <w:t> </w:t>
      </w:r>
      <w:r>
        <w:rPr/>
        <w:t>as</w:t>
      </w:r>
      <w:r>
        <w:rPr>
          <w:spacing w:val="-8"/>
        </w:rPr>
        <w:t> </w:t>
      </w:r>
      <w:r>
        <w:rPr/>
        <w:t>fallback</w:t>
      </w:r>
      <w:r>
        <w:rPr>
          <w:spacing w:val="-8"/>
        </w:rPr>
        <w:t> </w:t>
      </w:r>
      <w:r>
        <w:rPr/>
        <w:t>when</w:t>
      </w:r>
      <w:r>
        <w:rPr>
          <w:spacing w:val="-8"/>
        </w:rPr>
        <w:t> </w:t>
      </w:r>
      <w:r>
        <w:rPr/>
        <w:t>no</w:t>
      </w:r>
      <w:r>
        <w:rPr>
          <w:spacing w:val="-8"/>
        </w:rPr>
        <w:t> </w:t>
      </w:r>
      <w:r>
        <w:rPr/>
        <w:t>rules</w:t>
      </w:r>
      <w:r>
        <w:rPr>
          <w:spacing w:val="-8"/>
        </w:rPr>
        <w:t> </w:t>
      </w:r>
      <w:r>
        <w:rPr>
          <w:spacing w:val="-2"/>
        </w:rPr>
        <w:t>fire).</w:t>
      </w:r>
    </w:p>
    <w:p>
      <w:pPr>
        <w:pStyle w:val="BodyText"/>
        <w:spacing w:line="312" w:lineRule="auto" w:before="83"/>
        <w:ind w:left="136" w:right="1557" w:firstLine="344"/>
        <w:jc w:val="both"/>
      </w:pPr>
      <w:r>
        <w:rPr/>
        <w:t>A worked example illustrates the formula. Suppose test year 2015 has the following feature </w:t>
      </w:r>
      <w:r>
        <w:rPr>
          <w:spacing w:val="-4"/>
        </w:rPr>
        <w:t>values:</w:t>
      </w:r>
      <w:r>
        <w:rPr>
          <w:spacing w:val="11"/>
        </w:rPr>
        <w:t> </w:t>
      </w:r>
      <w:r>
        <w:rPr>
          <w:spacing w:val="-4"/>
        </w:rPr>
        <w:t>wet</w:t>
      </w:r>
      <w:r>
        <w:rPr>
          <w:spacing w:val="-9"/>
        </w:rPr>
        <w:t> </w:t>
      </w:r>
      <w:r>
        <w:rPr>
          <w:spacing w:val="-4"/>
        </w:rPr>
        <w:t>days</w:t>
      </w:r>
      <w:r>
        <w:rPr>
          <w:spacing w:val="-8"/>
        </w:rPr>
        <w:t> </w:t>
      </w:r>
      <w:r>
        <w:rPr>
          <w:spacing w:val="-4"/>
        </w:rPr>
        <w:t>post-flowering</w:t>
      </w:r>
      <w:r>
        <w:rPr>
          <w:spacing w:val="-8"/>
        </w:rPr>
        <w:t> </w:t>
      </w:r>
      <w:r>
        <w:rPr>
          <w:spacing w:val="-4"/>
        </w:rPr>
        <w:t>=</w:t>
      </w:r>
      <w:r>
        <w:rPr>
          <w:spacing w:val="-8"/>
        </w:rPr>
        <w:t> </w:t>
      </w:r>
      <w:r>
        <w:rPr>
          <w:spacing w:val="-4"/>
        </w:rPr>
        <w:t>1.2</w:t>
      </w:r>
      <w:r>
        <w:rPr>
          <w:spacing w:val="-8"/>
        </w:rPr>
        <w:t> </w:t>
      </w:r>
      <w:r>
        <w:rPr>
          <w:spacing w:val="-4"/>
        </w:rPr>
        <w:t>days,</w:t>
      </w:r>
      <w:r>
        <w:rPr>
          <w:spacing w:val="-6"/>
        </w:rPr>
        <w:t> </w:t>
      </w:r>
      <w:r>
        <w:rPr>
          <w:spacing w:val="-4"/>
        </w:rPr>
        <w:t>soil</w:t>
      </w:r>
      <w:r>
        <w:rPr>
          <w:spacing w:val="-8"/>
        </w:rPr>
        <w:t> </w:t>
      </w:r>
      <w:r>
        <w:rPr>
          <w:spacing w:val="-4"/>
        </w:rPr>
        <w:t>water</w:t>
      </w:r>
      <w:r>
        <w:rPr>
          <w:spacing w:val="-8"/>
        </w:rPr>
        <w:t> </w:t>
      </w:r>
      <w:r>
        <w:rPr>
          <w:spacing w:val="-4"/>
        </w:rPr>
        <w:t>pre-harvest</w:t>
      </w:r>
      <w:r>
        <w:rPr>
          <w:spacing w:val="-9"/>
        </w:rPr>
        <w:t> </w:t>
      </w:r>
      <w:r>
        <w:rPr>
          <w:spacing w:val="-4"/>
        </w:rPr>
        <w:t>=</w:t>
      </w:r>
      <w:r>
        <w:rPr>
          <w:spacing w:val="-8"/>
        </w:rPr>
        <w:t> </w:t>
      </w:r>
      <w:r>
        <w:rPr>
          <w:spacing w:val="-4"/>
        </w:rPr>
        <w:t>89</w:t>
      </w:r>
      <w:r>
        <w:rPr>
          <w:spacing w:val="-9"/>
        </w:rPr>
        <w:t> </w:t>
      </w:r>
      <w:r>
        <w:rPr>
          <w:spacing w:val="-4"/>
        </w:rPr>
        <w:t>mm,</w:t>
      </w:r>
      <w:r>
        <w:rPr>
          <w:spacing w:val="-6"/>
        </w:rPr>
        <w:t> </w:t>
      </w:r>
      <w:r>
        <w:rPr>
          <w:spacing w:val="-4"/>
        </w:rPr>
        <w:t>heat</w:t>
      </w:r>
      <w:r>
        <w:rPr>
          <w:spacing w:val="-8"/>
        </w:rPr>
        <w:t> </w:t>
      </w:r>
      <w:r>
        <w:rPr>
          <w:spacing w:val="-4"/>
        </w:rPr>
        <w:t>days</w:t>
      </w:r>
      <w:r>
        <w:rPr>
          <w:spacing w:val="-8"/>
        </w:rPr>
        <w:t> </w:t>
      </w:r>
      <w:r>
        <w:rPr>
          <w:spacing w:val="-4"/>
        </w:rPr>
        <w:t>post-</w:t>
      </w:r>
      <w:r>
        <w:rPr>
          <w:spacing w:val="-4"/>
        </w:rPr>
        <w:t>flowering</w:t>
      </w:r>
    </w:p>
    <w:p>
      <w:pPr>
        <w:pStyle w:val="BodyText"/>
        <w:spacing w:line="253" w:lineRule="exact"/>
        <w:ind w:left="142"/>
        <w:jc w:val="both"/>
      </w:pPr>
      <w:r>
        <w:rPr/>
        <w:t>=</w:t>
      </w:r>
      <w:r>
        <w:rPr>
          <w:spacing w:val="-5"/>
        </w:rPr>
        <w:t> </w:t>
      </w:r>
      <w:r>
        <w:rPr/>
        <w:t>0.4</w:t>
      </w:r>
      <w:r>
        <w:rPr>
          <w:spacing w:val="-4"/>
        </w:rPr>
        <w:t> </w:t>
      </w:r>
      <w:r>
        <w:rPr/>
        <w:t>days.</w:t>
      </w:r>
      <w:r>
        <w:rPr>
          <w:spacing w:val="7"/>
        </w:rPr>
        <w:t> </w:t>
      </w:r>
      <w:r>
        <w:rPr/>
        <w:t>Three</w:t>
      </w:r>
      <w:r>
        <w:rPr>
          <w:spacing w:val="-4"/>
        </w:rPr>
        <w:t> </w:t>
      </w:r>
      <w:r>
        <w:rPr/>
        <w:t>rules</w:t>
      </w:r>
      <w:r>
        <w:rPr>
          <w:spacing w:val="-4"/>
        </w:rPr>
        <w:t> </w:t>
      </w:r>
      <w:r>
        <w:rPr>
          <w:spacing w:val="-2"/>
        </w:rPr>
        <w:t>fire:</w:t>
      </w:r>
    </w:p>
    <w:p>
      <w:pPr>
        <w:pStyle w:val="BodyText"/>
        <w:spacing w:line="312" w:lineRule="auto" w:before="83"/>
        <w:ind w:left="142" w:right="1557" w:firstLine="338"/>
        <w:jc w:val="both"/>
      </w:pPr>
      <w:r>
        <w:rPr>
          <w:spacing w:val="-4"/>
        </w:rPr>
        <w:t>The predicted residual (+117.3 mhl) is then re-trended by adding the linear trend value </w:t>
      </w:r>
      <w:r>
        <w:rPr>
          <w:spacing w:val="-4"/>
        </w:rPr>
        <w:t>projected </w:t>
      </w:r>
      <w:r>
        <w:rPr>
          <w:spacing w:val="-2"/>
        </w:rPr>
        <w:t>to</w:t>
      </w:r>
      <w:r>
        <w:rPr>
          <w:spacing w:val="-11"/>
        </w:rPr>
        <w:t> </w:t>
      </w:r>
      <w:r>
        <w:rPr>
          <w:spacing w:val="-2"/>
        </w:rPr>
        <w:t>2015</w:t>
      </w:r>
      <w:r>
        <w:rPr>
          <w:spacing w:val="-11"/>
        </w:rPr>
        <w:t> </w:t>
      </w:r>
      <w:r>
        <w:rPr>
          <w:spacing w:val="-2"/>
        </w:rPr>
        <w:t>to</w:t>
      </w:r>
      <w:r>
        <w:rPr>
          <w:spacing w:val="-11"/>
        </w:rPr>
        <w:t> </w:t>
      </w:r>
      <w:r>
        <w:rPr>
          <w:spacing w:val="-2"/>
        </w:rPr>
        <w:t>produce</w:t>
      </w:r>
      <w:r>
        <w:rPr>
          <w:spacing w:val="-11"/>
        </w:rPr>
        <w:t> </w:t>
      </w:r>
      <w:r>
        <w:rPr>
          <w:spacing w:val="-2"/>
        </w:rPr>
        <w:t>the</w:t>
      </w:r>
      <w:r>
        <w:rPr>
          <w:spacing w:val="-11"/>
        </w:rPr>
        <w:t> </w:t>
      </w:r>
      <w:r>
        <w:rPr>
          <w:spacing w:val="-2"/>
        </w:rPr>
        <w:t>final</w:t>
      </w:r>
      <w:r>
        <w:rPr>
          <w:spacing w:val="-11"/>
        </w:rPr>
        <w:t> </w:t>
      </w:r>
      <w:r>
        <w:rPr>
          <w:spacing w:val="-2"/>
        </w:rPr>
        <w:t>production</w:t>
      </w:r>
      <w:r>
        <w:rPr>
          <w:spacing w:val="-11"/>
        </w:rPr>
        <w:t> </w:t>
      </w:r>
      <w:r>
        <w:rPr>
          <w:spacing w:val="-2"/>
        </w:rPr>
        <w:t>estimate</w:t>
      </w:r>
      <w:r>
        <w:rPr>
          <w:spacing w:val="-11"/>
        </w:rPr>
        <w:t> </w:t>
      </w:r>
      <w:r>
        <w:rPr>
          <w:spacing w:val="-2"/>
        </w:rPr>
        <w:t>in</w:t>
      </w:r>
      <w:r>
        <w:rPr>
          <w:spacing w:val="-11"/>
        </w:rPr>
        <w:t> </w:t>
      </w:r>
      <w:r>
        <w:rPr>
          <w:spacing w:val="-2"/>
        </w:rPr>
        <w:t>mhl.</w:t>
      </w:r>
      <w:r>
        <w:rPr>
          <w:spacing w:val="3"/>
        </w:rPr>
        <w:t> </w:t>
      </w:r>
      <w:r>
        <w:rPr>
          <w:spacing w:val="-2"/>
        </w:rPr>
        <w:t>This</w:t>
      </w:r>
      <w:r>
        <w:rPr>
          <w:spacing w:val="-11"/>
        </w:rPr>
        <w:t> </w:t>
      </w:r>
      <w:r>
        <w:rPr>
          <w:spacing w:val="-2"/>
        </w:rPr>
        <w:t>re-trending</w:t>
      </w:r>
      <w:r>
        <w:rPr>
          <w:spacing w:val="-11"/>
        </w:rPr>
        <w:t> </w:t>
      </w:r>
      <w:r>
        <w:rPr>
          <w:spacing w:val="-2"/>
        </w:rPr>
        <w:t>step</w:t>
      </w:r>
      <w:r>
        <w:rPr>
          <w:spacing w:val="-11"/>
        </w:rPr>
        <w:t> </w:t>
      </w:r>
      <w:r>
        <w:rPr>
          <w:spacing w:val="-2"/>
        </w:rPr>
        <w:t>ensures</w:t>
      </w:r>
      <w:r>
        <w:rPr>
          <w:spacing w:val="-11"/>
        </w:rPr>
        <w:t> </w:t>
      </w:r>
      <w:r>
        <w:rPr>
          <w:spacing w:val="-2"/>
        </w:rPr>
        <w:t>the</w:t>
      </w:r>
      <w:r>
        <w:rPr>
          <w:spacing w:val="-11"/>
        </w:rPr>
        <w:t> </w:t>
      </w:r>
      <w:r>
        <w:rPr>
          <w:spacing w:val="-2"/>
        </w:rPr>
        <w:t>prediction </w:t>
      </w:r>
      <w:r>
        <w:rPr/>
        <w:t>is on the original scale and directly comparable to the actual production value for the MAE </w:t>
      </w:r>
      <w:r>
        <w:rPr>
          <w:spacing w:val="-2"/>
        </w:rPr>
        <w:t>computation.</w:t>
      </w:r>
    </w:p>
    <w:p>
      <w:pPr>
        <w:pStyle w:val="BodyText"/>
        <w:spacing w:after="0" w:line="312" w:lineRule="auto"/>
        <w:jc w:val="both"/>
        <w:sectPr>
          <w:type w:val="continuous"/>
          <w:pgSz w:w="11910" w:h="16840"/>
          <w:pgMar w:header="1160" w:footer="0" w:top="1120" w:bottom="280" w:left="1275" w:right="425"/>
        </w:sectPr>
      </w:pPr>
    </w:p>
    <w:p>
      <w:pPr>
        <w:pStyle w:val="BodyText"/>
        <w:rPr>
          <w:sz w:val="20"/>
        </w:rPr>
      </w:pPr>
    </w:p>
    <w:p>
      <w:pPr>
        <w:pStyle w:val="BodyText"/>
        <w:spacing w:before="38"/>
        <w:rPr>
          <w:sz w:val="20"/>
        </w:rPr>
      </w:pPr>
    </w:p>
    <w:p>
      <w:pPr>
        <w:spacing w:before="1"/>
        <w:ind w:left="601" w:right="888" w:firstLine="0"/>
        <w:jc w:val="center"/>
        <w:rPr>
          <w:sz w:val="20"/>
        </w:rPr>
      </w:pPr>
      <w:bookmarkStart w:name="_bookmark51" w:id="97"/>
      <w:bookmarkEnd w:id="97"/>
      <w:r>
        <w:rPr/>
      </w:r>
      <w:r>
        <w:rPr>
          <w:b/>
          <w:sz w:val="20"/>
        </w:rPr>
        <w:t>Table</w:t>
      </w:r>
      <w:r>
        <w:rPr>
          <w:b/>
          <w:spacing w:val="-12"/>
          <w:sz w:val="20"/>
        </w:rPr>
        <w:t> </w:t>
      </w:r>
      <w:r>
        <w:rPr>
          <w:b/>
          <w:sz w:val="20"/>
        </w:rPr>
        <w:t>3.6:</w:t>
      </w:r>
      <w:r>
        <w:rPr>
          <w:b/>
          <w:spacing w:val="-2"/>
          <w:sz w:val="20"/>
        </w:rPr>
        <w:t> </w:t>
      </w:r>
      <w:r>
        <w:rPr>
          <w:sz w:val="20"/>
        </w:rPr>
        <w:t>Worked</w:t>
      </w:r>
      <w:r>
        <w:rPr>
          <w:spacing w:val="-12"/>
          <w:sz w:val="20"/>
        </w:rPr>
        <w:t> </w:t>
      </w:r>
      <w:r>
        <w:rPr>
          <w:sz w:val="20"/>
        </w:rPr>
        <w:t>example</w:t>
      </w:r>
      <w:r>
        <w:rPr>
          <w:spacing w:val="-12"/>
          <w:sz w:val="20"/>
        </w:rPr>
        <w:t> </w:t>
      </w:r>
      <w:r>
        <w:rPr>
          <w:sz w:val="20"/>
        </w:rPr>
        <w:t>of</w:t>
      </w:r>
      <w:r>
        <w:rPr>
          <w:spacing w:val="-11"/>
          <w:sz w:val="20"/>
        </w:rPr>
        <w:t> </w:t>
      </w:r>
      <w:r>
        <w:rPr>
          <w:sz w:val="20"/>
        </w:rPr>
        <w:t>the</w:t>
      </w:r>
      <w:r>
        <w:rPr>
          <w:spacing w:val="-12"/>
          <w:sz w:val="20"/>
        </w:rPr>
        <w:t> </w:t>
      </w:r>
      <w:r>
        <w:rPr>
          <w:sz w:val="20"/>
        </w:rPr>
        <w:t>support-weighted</w:t>
      </w:r>
      <w:r>
        <w:rPr>
          <w:spacing w:val="-11"/>
          <w:sz w:val="20"/>
        </w:rPr>
        <w:t> </w:t>
      </w:r>
      <w:r>
        <w:rPr>
          <w:sz w:val="20"/>
        </w:rPr>
        <w:t>prediction</w:t>
      </w:r>
      <w:r>
        <w:rPr>
          <w:spacing w:val="-12"/>
          <w:sz w:val="20"/>
        </w:rPr>
        <w:t> </w:t>
      </w:r>
      <w:r>
        <w:rPr>
          <w:spacing w:val="-2"/>
          <w:sz w:val="20"/>
        </w:rPr>
        <w:t>formula.</w:t>
      </w:r>
    </w:p>
    <w:p>
      <w:pPr>
        <w:pStyle w:val="BodyText"/>
        <w:spacing w:before="5"/>
        <w:rPr>
          <w:sz w:val="18"/>
        </w:rPr>
      </w:pPr>
      <w:r>
        <w:rPr>
          <w:sz w:val="18"/>
        </w:rPr>
        <mc:AlternateContent>
          <mc:Choice Requires="wps">
            <w:drawing>
              <wp:anchor distT="0" distB="0" distL="0" distR="0" allowOverlap="1" layoutInCell="1" locked="0" behindDoc="1" simplePos="0" relativeHeight="487607296">
                <wp:simplePos x="0" y="0"/>
                <wp:positionH relativeFrom="page">
                  <wp:posOffset>1260005</wp:posOffset>
                </wp:positionH>
                <wp:positionV relativeFrom="paragraph">
                  <wp:posOffset>150005</wp:posOffset>
                </wp:positionV>
                <wp:extent cx="5400040" cy="1270"/>
                <wp:effectExtent l="0" t="0" r="0" b="0"/>
                <wp:wrapTopAndBottom/>
                <wp:docPr id="110" name="Graphic 110"/>
                <wp:cNvGraphicFramePr>
                  <a:graphicFrameLocks/>
                </wp:cNvGraphicFramePr>
                <a:graphic>
                  <a:graphicData uri="http://schemas.microsoft.com/office/word/2010/wordprocessingShape">
                    <wps:wsp>
                      <wps:cNvPr id="110" name="Graphic 110"/>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1.811473pt;width:425.2pt;height:.1pt;mso-position-horizontal-relative:page;mso-position-vertical-relative:paragraph;z-index:-15709184;mso-wrap-distance-left:0;mso-wrap-distance-right:0" id="docshape94" coordorigin="1984,236" coordsize="8504,0" path="m1984,236l10488,236e" filled="false" stroked="true" strokeweight=".868pt" strokecolor="#000000">
                <v:path arrowok="t"/>
                <v:stroke dashstyle="solid"/>
                <w10:wrap type="topAndBottom"/>
              </v:shape>
            </w:pict>
          </mc:Fallback>
        </mc:AlternateContent>
      </w:r>
    </w:p>
    <w:p>
      <w:pPr>
        <w:tabs>
          <w:tab w:pos="1748" w:val="left" w:leader="none"/>
          <w:tab w:pos="4476" w:val="left" w:leader="none"/>
          <w:tab w:pos="5600" w:val="left" w:leader="none"/>
          <w:tab w:pos="6133" w:val="left" w:leader="none"/>
          <w:tab w:pos="7392" w:val="left" w:leader="none"/>
        </w:tabs>
        <w:spacing w:line="205" w:lineRule="exact" w:before="92"/>
        <w:ind w:left="828" w:right="0" w:firstLine="0"/>
        <w:jc w:val="left"/>
        <w:rPr>
          <w:b/>
          <w:sz w:val="20"/>
        </w:rPr>
      </w:pPr>
      <w:r>
        <w:rPr>
          <w:b/>
          <w:spacing w:val="-4"/>
          <w:sz w:val="20"/>
        </w:rPr>
        <w:t>Rule</w:t>
      </w:r>
      <w:r>
        <w:rPr>
          <w:b/>
          <w:sz w:val="20"/>
        </w:rPr>
        <w:tab/>
        <w:t>Conditions</w:t>
      </w:r>
      <w:r>
        <w:rPr>
          <w:b/>
          <w:spacing w:val="-11"/>
          <w:sz w:val="20"/>
        </w:rPr>
        <w:t> </w:t>
      </w:r>
      <w:r>
        <w:rPr>
          <w:b/>
          <w:spacing w:val="-2"/>
          <w:sz w:val="20"/>
        </w:rPr>
        <w:t>matched</w:t>
      </w:r>
      <w:r>
        <w:rPr>
          <w:b/>
          <w:sz w:val="20"/>
        </w:rPr>
        <w:tab/>
      </w:r>
      <w:r>
        <w:rPr>
          <w:b/>
          <w:spacing w:val="-2"/>
          <w:sz w:val="20"/>
        </w:rPr>
        <w:t>Subgroup</w:t>
      </w:r>
      <w:r>
        <w:rPr>
          <w:b/>
          <w:sz w:val="20"/>
        </w:rPr>
        <w:tab/>
      </w:r>
      <w:r>
        <w:rPr>
          <w:b/>
          <w:spacing w:val="-5"/>
          <w:sz w:val="20"/>
        </w:rPr>
        <w:t>me-</w:t>
      </w:r>
      <w:r>
        <w:rPr>
          <w:b/>
          <w:sz w:val="20"/>
        </w:rPr>
        <w:tab/>
        <w:t>Support</w:t>
      </w:r>
      <w:r>
        <w:rPr>
          <w:b/>
          <w:spacing w:val="-10"/>
          <w:sz w:val="20"/>
        </w:rPr>
        <w:t> </w:t>
      </w:r>
      <w:r>
        <w:rPr>
          <w:i/>
          <w:spacing w:val="-5"/>
          <w:sz w:val="20"/>
        </w:rPr>
        <w:t>s</w:t>
      </w:r>
      <w:r>
        <w:rPr>
          <w:i/>
          <w:spacing w:val="-5"/>
          <w:sz w:val="20"/>
          <w:vertAlign w:val="subscript"/>
        </w:rPr>
        <w:t>i</w:t>
      </w:r>
      <w:r>
        <w:rPr>
          <w:i/>
          <w:sz w:val="20"/>
          <w:vertAlign w:val="baseline"/>
        </w:rPr>
        <w:tab/>
      </w:r>
      <w:r>
        <w:rPr>
          <w:b/>
          <w:sz w:val="20"/>
          <w:vertAlign w:val="baseline"/>
        </w:rPr>
        <w:t>Weighted</w:t>
      </w:r>
      <w:r>
        <w:rPr>
          <w:b/>
          <w:spacing w:val="47"/>
          <w:sz w:val="20"/>
          <w:vertAlign w:val="baseline"/>
        </w:rPr>
        <w:t> </w:t>
      </w:r>
      <w:r>
        <w:rPr>
          <w:b/>
          <w:spacing w:val="-2"/>
          <w:sz w:val="20"/>
          <w:vertAlign w:val="baseline"/>
        </w:rPr>
        <w:t>contribu-</w:t>
      </w:r>
    </w:p>
    <w:p>
      <w:pPr>
        <w:tabs>
          <w:tab w:pos="7392" w:val="left" w:leader="none"/>
        </w:tabs>
        <w:spacing w:line="305" w:lineRule="exact" w:before="0" w:after="52"/>
        <w:ind w:left="4476" w:right="0" w:firstLine="0"/>
        <w:jc w:val="left"/>
        <w:rPr>
          <w:i/>
          <w:sz w:val="20"/>
        </w:rPr>
      </w:pPr>
      <w:r>
        <w:rPr>
          <w:b/>
          <w:spacing w:val="-18"/>
          <w:sz w:val="20"/>
        </w:rPr>
        <w:t>dian</w:t>
      </w:r>
      <w:r>
        <w:rPr>
          <w:b/>
          <w:spacing w:val="2"/>
          <w:sz w:val="20"/>
        </w:rPr>
        <w:t> </w:t>
      </w:r>
      <w:r>
        <w:rPr>
          <w:i/>
          <w:spacing w:val="-18"/>
          <w:sz w:val="20"/>
        </w:rPr>
        <w:t>m</w:t>
      </w:r>
      <w:r>
        <w:rPr>
          <w:spacing w:val="-18"/>
          <w:sz w:val="20"/>
        </w:rPr>
        <w:t>˜</w:t>
      </w:r>
      <w:r>
        <w:rPr>
          <w:spacing w:val="-19"/>
          <w:sz w:val="20"/>
        </w:rPr>
        <w:t> </w:t>
      </w:r>
      <w:r>
        <w:rPr>
          <w:i/>
          <w:spacing w:val="-18"/>
          <w:sz w:val="20"/>
          <w:vertAlign w:val="subscript"/>
        </w:rPr>
        <w:t>i</w:t>
      </w:r>
      <w:r>
        <w:rPr>
          <w:i/>
          <w:sz w:val="20"/>
          <w:vertAlign w:val="baseline"/>
        </w:rPr>
        <w:tab/>
      </w:r>
      <w:r>
        <w:rPr>
          <w:b/>
          <w:spacing w:val="-14"/>
          <w:sz w:val="20"/>
          <w:vertAlign w:val="baseline"/>
        </w:rPr>
        <w:t>tion</w:t>
      </w:r>
      <w:r>
        <w:rPr>
          <w:b/>
          <w:spacing w:val="4"/>
          <w:sz w:val="20"/>
          <w:vertAlign w:val="baseline"/>
        </w:rPr>
        <w:t> </w:t>
      </w:r>
      <w:r>
        <w:rPr>
          <w:i/>
          <w:spacing w:val="-14"/>
          <w:sz w:val="20"/>
          <w:vertAlign w:val="baseline"/>
        </w:rPr>
        <w:t>s</w:t>
      </w:r>
      <w:r>
        <w:rPr>
          <w:i/>
          <w:spacing w:val="-14"/>
          <w:sz w:val="20"/>
          <w:vertAlign w:val="subscript"/>
        </w:rPr>
        <w:t>i</w:t>
      </w:r>
      <w:r>
        <w:rPr>
          <w:i/>
          <w:spacing w:val="-9"/>
          <w:sz w:val="20"/>
          <w:vertAlign w:val="baseline"/>
        </w:rPr>
        <w:t> </w:t>
      </w:r>
      <w:r>
        <w:rPr>
          <w:rFonts w:ascii="Meiryo UI" w:hAnsi="Meiryo UI"/>
          <w:i/>
          <w:spacing w:val="-14"/>
          <w:sz w:val="20"/>
          <w:vertAlign w:val="baseline"/>
        </w:rPr>
        <w:t>·</w:t>
      </w:r>
      <w:r>
        <w:rPr>
          <w:rFonts w:ascii="Meiryo UI" w:hAnsi="Meiryo UI"/>
          <w:i/>
          <w:spacing w:val="-38"/>
          <w:sz w:val="20"/>
          <w:vertAlign w:val="baseline"/>
        </w:rPr>
        <w:t> </w:t>
      </w:r>
      <w:r>
        <w:rPr>
          <w:i/>
          <w:spacing w:val="-14"/>
          <w:sz w:val="20"/>
          <w:vertAlign w:val="baseline"/>
        </w:rPr>
        <w:t>m</w:t>
      </w:r>
      <w:r>
        <w:rPr>
          <w:spacing w:val="-14"/>
          <w:sz w:val="20"/>
          <w:vertAlign w:val="baseline"/>
        </w:rPr>
        <w:t>˜</w:t>
      </w:r>
      <w:r>
        <w:rPr>
          <w:spacing w:val="-19"/>
          <w:sz w:val="20"/>
          <w:vertAlign w:val="baseline"/>
        </w:rPr>
        <w:t> </w:t>
      </w:r>
      <w:r>
        <w:rPr>
          <w:i/>
          <w:spacing w:val="-14"/>
          <w:sz w:val="20"/>
          <w:vertAlign w:val="subscript"/>
        </w:rPr>
        <w:t>i</w:t>
      </w:r>
    </w:p>
    <w:p>
      <w:pPr>
        <w:spacing w:line="20" w:lineRule="exact"/>
        <w:ind w:left="709" w:right="0" w:firstLine="0"/>
        <w:rPr>
          <w:sz w:val="2"/>
        </w:rPr>
      </w:pPr>
      <w:r>
        <w:rPr>
          <w:sz w:val="2"/>
        </w:rPr>
        <mc:AlternateContent>
          <mc:Choice Requires="wps">
            <w:drawing>
              <wp:inline distT="0" distB="0" distL="0" distR="0">
                <wp:extent cx="5400040" cy="6985"/>
                <wp:effectExtent l="9525" t="0" r="635" b="2539"/>
                <wp:docPr id="111" name="Group 111"/>
                <wp:cNvGraphicFramePr>
                  <a:graphicFrameLocks/>
                </wp:cNvGraphicFramePr>
                <a:graphic>
                  <a:graphicData uri="http://schemas.microsoft.com/office/word/2010/wordprocessingGroup">
                    <wpg:wgp>
                      <wpg:cNvPr id="111" name="Group 111"/>
                      <wpg:cNvGrpSpPr/>
                      <wpg:grpSpPr>
                        <a:xfrm>
                          <a:off x="0" y="0"/>
                          <a:ext cx="5400040" cy="6985"/>
                          <a:chExt cx="5400040" cy="6985"/>
                        </a:xfrm>
                      </wpg:grpSpPr>
                      <wps:wsp>
                        <wps:cNvPr id="112" name="Graphic 112"/>
                        <wps:cNvSpPr/>
                        <wps:spPr>
                          <a:xfrm>
                            <a:off x="0" y="3441"/>
                            <a:ext cx="5400040" cy="1270"/>
                          </a:xfrm>
                          <a:custGeom>
                            <a:avLst/>
                            <a:gdLst/>
                            <a:ahLst/>
                            <a:cxnLst/>
                            <a:rect l="l" t="t" r="r" b="b"/>
                            <a:pathLst>
                              <a:path w="5400040" h="0">
                                <a:moveTo>
                                  <a:pt x="0" y="0"/>
                                </a:moveTo>
                                <a:lnTo>
                                  <a:pt x="5400001"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5.2pt;height:.550pt;mso-position-horizontal-relative:char;mso-position-vertical-relative:line" id="docshapegroup95" coordorigin="0,0" coordsize="8504,11">
                <v:line style="position:absolute" from="0,5" to="8504,5" stroked="true" strokeweight=".542pt" strokecolor="#000000">
                  <v:stroke dashstyle="solid"/>
                </v:line>
              </v:group>
            </w:pict>
          </mc:Fallback>
        </mc:AlternateContent>
      </w:r>
      <w:r>
        <w:rPr>
          <w:sz w:val="2"/>
        </w:rPr>
      </w:r>
    </w:p>
    <w:p>
      <w:pPr>
        <w:pStyle w:val="BodyText"/>
        <w:rPr>
          <w:i/>
          <w:sz w:val="3"/>
        </w:rPr>
      </w:pPr>
    </w:p>
    <w:p>
      <w:pPr>
        <w:pStyle w:val="BodyText"/>
        <w:spacing w:after="0"/>
        <w:rPr>
          <w:i/>
          <w:sz w:val="3"/>
        </w:rPr>
        <w:sectPr>
          <w:headerReference w:type="default" r:id="rId55"/>
          <w:headerReference w:type="even" r:id="rId56"/>
          <w:pgSz w:w="11910" w:h="16840"/>
          <w:pgMar w:header="1160" w:footer="0" w:top="1420" w:bottom="280" w:left="1275" w:right="425"/>
          <w:pgNumType w:start="31"/>
        </w:sectPr>
      </w:pPr>
    </w:p>
    <w:p>
      <w:pPr>
        <w:tabs>
          <w:tab w:pos="1741" w:val="left" w:leader="none"/>
          <w:tab w:pos="2370" w:val="left" w:leader="none"/>
          <w:tab w:pos="3050" w:val="left" w:leader="none"/>
        </w:tabs>
        <w:spacing w:line="205" w:lineRule="exact" w:before="43"/>
        <w:ind w:left="821" w:right="0" w:firstLine="0"/>
        <w:jc w:val="center"/>
        <w:rPr>
          <w:sz w:val="20"/>
        </w:rPr>
      </w:pPr>
      <w:r>
        <w:rPr>
          <w:sz w:val="20"/>
        </w:rPr>
        <w:t>Rule</w:t>
      </w:r>
      <w:r>
        <w:rPr>
          <w:spacing w:val="-5"/>
          <w:sz w:val="20"/>
        </w:rPr>
        <w:t> </w:t>
      </w:r>
      <w:r>
        <w:rPr>
          <w:spacing w:val="-10"/>
          <w:sz w:val="20"/>
        </w:rPr>
        <w:t>1</w:t>
      </w:r>
      <w:r>
        <w:rPr>
          <w:sz w:val="20"/>
        </w:rPr>
        <w:tab/>
      </w:r>
      <w:r>
        <w:rPr>
          <w:spacing w:val="-5"/>
          <w:sz w:val="20"/>
        </w:rPr>
        <w:t>Wet</w:t>
      </w:r>
      <w:r>
        <w:rPr>
          <w:sz w:val="20"/>
        </w:rPr>
        <w:tab/>
      </w:r>
      <w:r>
        <w:rPr>
          <w:spacing w:val="-4"/>
          <w:sz w:val="20"/>
        </w:rPr>
        <w:t>days</w:t>
      </w:r>
      <w:r>
        <w:rPr>
          <w:sz w:val="20"/>
        </w:rPr>
        <w:tab/>
      </w:r>
      <w:r>
        <w:rPr>
          <w:spacing w:val="-2"/>
          <w:sz w:val="20"/>
        </w:rPr>
        <w:t>post-flowering</w:t>
      </w:r>
    </w:p>
    <w:p>
      <w:pPr>
        <w:spacing w:line="291" w:lineRule="exact" w:before="0"/>
        <w:ind w:left="269" w:right="0" w:firstLine="0"/>
        <w:jc w:val="center"/>
        <w:rPr>
          <w:rFonts w:ascii="Lucida Sans Unicode"/>
          <w:sz w:val="20"/>
        </w:rPr>
      </w:pPr>
      <w:r>
        <w:rPr>
          <w:rFonts w:ascii="Lucida Sans Unicode"/>
          <w:sz w:val="20"/>
        </w:rPr>
        <mc:AlternateContent>
          <mc:Choice Requires="wps">
            <w:drawing>
              <wp:anchor distT="0" distB="0" distL="0" distR="0" allowOverlap="1" layoutInCell="1" locked="0" behindDoc="1" simplePos="0" relativeHeight="479869440">
                <wp:simplePos x="0" y="0"/>
                <wp:positionH relativeFrom="page">
                  <wp:posOffset>1919744</wp:posOffset>
                </wp:positionH>
                <wp:positionV relativeFrom="paragraph">
                  <wp:posOffset>45360</wp:posOffset>
                </wp:positionV>
                <wp:extent cx="84455" cy="216535"/>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84455" cy="216535"/>
                        </a:xfrm>
                        <a:prstGeom prst="rect">
                          <a:avLst/>
                        </a:prstGeom>
                      </wps:spPr>
                      <wps:txbx>
                        <w:txbxContent>
                          <w:p>
                            <w:pPr>
                              <w:spacing w:line="233" w:lineRule="exact" w:before="0"/>
                              <w:ind w:left="0" w:right="0" w:firstLine="0"/>
                              <w:jc w:val="left"/>
                              <w:rPr>
                                <w:rFonts w:ascii="Meiryo UI" w:hAnsi="Meiryo UI"/>
                                <w:i/>
                                <w:sz w:val="20"/>
                              </w:rPr>
                            </w:pPr>
                            <w:r>
                              <w:rPr>
                                <w:rFonts w:ascii="Meiryo UI" w:hAnsi="Meiryo UI"/>
                                <w:i/>
                                <w:spacing w:val="-10"/>
                                <w:w w:val="80"/>
                                <w:sz w:val="20"/>
                              </w:rPr>
                              <w:t>∈</w:t>
                            </w:r>
                          </w:p>
                        </w:txbxContent>
                      </wps:txbx>
                      <wps:bodyPr wrap="square" lIns="0" tIns="0" rIns="0" bIns="0" rtlCol="0">
                        <a:noAutofit/>
                      </wps:bodyPr>
                    </wps:wsp>
                  </a:graphicData>
                </a:graphic>
              </wp:anchor>
            </w:drawing>
          </mc:Choice>
          <mc:Fallback>
            <w:pict>
              <v:shape style="position:absolute;margin-left:151.160995pt;margin-top:3.571725pt;width:6.65pt;height:17.05pt;mso-position-horizontal-relative:page;mso-position-vertical-relative:paragraph;z-index:-23447040" type="#_x0000_t202" id="docshape96" filled="false" stroked="false">
                <v:textbox inset="0,0,0,0">
                  <w:txbxContent>
                    <w:p>
                      <w:pPr>
                        <w:spacing w:line="233" w:lineRule="exact" w:before="0"/>
                        <w:ind w:left="0" w:right="0" w:firstLine="0"/>
                        <w:jc w:val="left"/>
                        <w:rPr>
                          <w:rFonts w:ascii="Meiryo UI" w:hAnsi="Meiryo UI"/>
                          <w:i/>
                          <w:sz w:val="20"/>
                        </w:rPr>
                      </w:pPr>
                      <w:r>
                        <w:rPr>
                          <w:rFonts w:ascii="Meiryo UI" w:hAnsi="Meiryo UI"/>
                          <w:i/>
                          <w:spacing w:val="-10"/>
                          <w:w w:val="80"/>
                          <w:sz w:val="20"/>
                        </w:rPr>
                        <w:t>∈</w:t>
                      </w:r>
                    </w:p>
                  </w:txbxContent>
                </v:textbox>
                <w10:wrap type="none"/>
              </v:shape>
            </w:pict>
          </mc:Fallback>
        </mc:AlternateContent>
      </w:r>
      <w:r>
        <w:rPr>
          <w:rFonts w:ascii="Lucida Sans Unicode"/>
          <w:w w:val="90"/>
          <w:sz w:val="20"/>
        </w:rPr>
        <w:t>[</w:t>
      </w:r>
      <w:r>
        <w:rPr>
          <w:w w:val="90"/>
          <w:sz w:val="20"/>
        </w:rPr>
        <w:t>0</w:t>
      </w:r>
      <w:r>
        <w:rPr>
          <w:rFonts w:ascii="Meiryo UI"/>
          <w:i/>
          <w:w w:val="90"/>
          <w:sz w:val="20"/>
        </w:rPr>
        <w:t>,</w:t>
      </w:r>
      <w:r>
        <w:rPr>
          <w:rFonts w:ascii="Meiryo UI"/>
          <w:i/>
          <w:spacing w:val="-37"/>
          <w:w w:val="90"/>
          <w:sz w:val="20"/>
        </w:rPr>
        <w:t> </w:t>
      </w:r>
      <w:r>
        <w:rPr>
          <w:w w:val="90"/>
          <w:sz w:val="20"/>
        </w:rPr>
        <w:t>3</w:t>
      </w:r>
      <w:r>
        <w:rPr>
          <w:rFonts w:ascii="Meiryo UI"/>
          <w:i/>
          <w:w w:val="90"/>
          <w:sz w:val="20"/>
        </w:rPr>
        <w:t>.</w:t>
      </w:r>
      <w:r>
        <w:rPr>
          <w:w w:val="90"/>
          <w:sz w:val="20"/>
        </w:rPr>
        <w:t>3</w:t>
      </w:r>
      <w:r>
        <w:rPr>
          <w:spacing w:val="-20"/>
          <w:w w:val="90"/>
          <w:sz w:val="20"/>
        </w:rPr>
        <w:t> </w:t>
      </w:r>
      <w:r>
        <w:rPr>
          <w:spacing w:val="-7"/>
          <w:w w:val="90"/>
          <w:sz w:val="20"/>
        </w:rPr>
        <w:t>d</w:t>
      </w:r>
      <w:r>
        <w:rPr>
          <w:rFonts w:ascii="Lucida Sans Unicode"/>
          <w:spacing w:val="-7"/>
          <w:w w:val="90"/>
          <w:sz w:val="20"/>
        </w:rPr>
        <w:t>]</w:t>
      </w:r>
    </w:p>
    <w:p>
      <w:pPr>
        <w:tabs>
          <w:tab w:pos="2419" w:val="left" w:leader="none"/>
          <w:tab w:pos="3149" w:val="left" w:leader="none"/>
        </w:tabs>
        <w:spacing w:line="187" w:lineRule="exact" w:before="0"/>
        <w:ind w:left="1738" w:right="0" w:firstLine="0"/>
        <w:jc w:val="center"/>
        <w:rPr>
          <w:sz w:val="20"/>
        </w:rPr>
      </w:pPr>
      <w:r>
        <w:rPr>
          <w:spacing w:val="-5"/>
          <w:sz w:val="20"/>
        </w:rPr>
        <w:t>Wet</w:t>
      </w:r>
      <w:r>
        <w:rPr>
          <w:sz w:val="20"/>
        </w:rPr>
        <w:tab/>
      </w:r>
      <w:r>
        <w:rPr>
          <w:spacing w:val="-4"/>
          <w:sz w:val="20"/>
        </w:rPr>
        <w:t>days</w:t>
      </w:r>
      <w:r>
        <w:rPr>
          <w:sz w:val="20"/>
        </w:rPr>
        <w:tab/>
        <w:t>post-</w:t>
      </w:r>
      <w:r>
        <w:rPr>
          <w:spacing w:val="-2"/>
          <w:sz w:val="20"/>
        </w:rPr>
        <w:t>maturity</w:t>
      </w:r>
    </w:p>
    <w:p>
      <w:pPr>
        <w:spacing w:line="309" w:lineRule="exact" w:before="0"/>
        <w:ind w:left="92" w:right="0" w:firstLine="0"/>
        <w:jc w:val="center"/>
        <w:rPr>
          <w:rFonts w:ascii="Lucida Sans Unicode" w:hAnsi="Lucida Sans Unicode"/>
          <w:sz w:val="20"/>
        </w:rPr>
      </w:pPr>
      <w:r>
        <w:rPr>
          <w:rFonts w:ascii="Meiryo UI" w:hAnsi="Meiryo UI"/>
          <w:i/>
          <w:w w:val="85"/>
          <w:sz w:val="20"/>
        </w:rPr>
        <w:t>∈</w:t>
      </w:r>
      <w:r>
        <w:rPr>
          <w:rFonts w:ascii="Meiryo UI" w:hAnsi="Meiryo UI"/>
          <w:i/>
          <w:spacing w:val="-1"/>
          <w:w w:val="85"/>
          <w:sz w:val="20"/>
        </w:rPr>
        <w:t> </w:t>
      </w:r>
      <w:r>
        <w:rPr>
          <w:rFonts w:ascii="Lucida Sans Unicode" w:hAnsi="Lucida Sans Unicode"/>
          <w:w w:val="85"/>
          <w:sz w:val="20"/>
        </w:rPr>
        <w:t>[</w:t>
      </w:r>
      <w:r>
        <w:rPr>
          <w:w w:val="85"/>
          <w:sz w:val="20"/>
        </w:rPr>
        <w:t>0</w:t>
      </w:r>
      <w:r>
        <w:rPr>
          <w:rFonts w:ascii="Meiryo UI" w:hAnsi="Meiryo UI"/>
          <w:i/>
          <w:w w:val="85"/>
          <w:sz w:val="20"/>
        </w:rPr>
        <w:t>,</w:t>
      </w:r>
      <w:r>
        <w:rPr>
          <w:rFonts w:ascii="Meiryo UI" w:hAnsi="Meiryo UI"/>
          <w:i/>
          <w:spacing w:val="-29"/>
          <w:w w:val="85"/>
          <w:sz w:val="20"/>
        </w:rPr>
        <w:t> </w:t>
      </w:r>
      <w:r>
        <w:rPr>
          <w:w w:val="85"/>
          <w:sz w:val="20"/>
        </w:rPr>
        <w:t>3</w:t>
      </w:r>
      <w:r>
        <w:rPr>
          <w:rFonts w:ascii="Meiryo UI" w:hAnsi="Meiryo UI"/>
          <w:i/>
          <w:w w:val="85"/>
          <w:sz w:val="20"/>
        </w:rPr>
        <w:t>.</w:t>
      </w:r>
      <w:r>
        <w:rPr>
          <w:w w:val="85"/>
          <w:sz w:val="20"/>
        </w:rPr>
        <w:t>5</w:t>
      </w:r>
      <w:r>
        <w:rPr>
          <w:spacing w:val="-14"/>
          <w:w w:val="85"/>
          <w:sz w:val="20"/>
        </w:rPr>
        <w:t> </w:t>
      </w:r>
      <w:r>
        <w:rPr>
          <w:spacing w:val="-5"/>
          <w:w w:val="85"/>
          <w:sz w:val="20"/>
        </w:rPr>
        <w:t>d</w:t>
      </w:r>
      <w:r>
        <w:rPr>
          <w:rFonts w:ascii="Lucida Sans Unicode" w:hAnsi="Lucida Sans Unicode"/>
          <w:spacing w:val="-5"/>
          <w:w w:val="85"/>
          <w:sz w:val="20"/>
        </w:rPr>
        <w:t>]</w:t>
      </w:r>
    </w:p>
    <w:p>
      <w:pPr>
        <w:tabs>
          <w:tab w:pos="1741" w:val="left" w:leader="none"/>
          <w:tab w:pos="2370" w:val="left" w:leader="none"/>
          <w:tab w:pos="3050" w:val="left" w:leader="none"/>
        </w:tabs>
        <w:spacing w:line="205" w:lineRule="exact" w:before="36"/>
        <w:ind w:left="821" w:right="0" w:firstLine="0"/>
        <w:jc w:val="center"/>
        <w:rPr>
          <w:sz w:val="20"/>
        </w:rPr>
      </w:pPr>
      <w:r>
        <w:rPr>
          <w:sz w:val="20"/>
        </w:rPr>
        <w:t>Rule</w:t>
      </w:r>
      <w:r>
        <w:rPr>
          <w:spacing w:val="-5"/>
          <w:sz w:val="20"/>
        </w:rPr>
        <w:t> </w:t>
      </w:r>
      <w:r>
        <w:rPr>
          <w:spacing w:val="-10"/>
          <w:sz w:val="20"/>
        </w:rPr>
        <w:t>5</w:t>
      </w:r>
      <w:r>
        <w:rPr>
          <w:sz w:val="20"/>
        </w:rPr>
        <w:tab/>
      </w:r>
      <w:r>
        <w:rPr>
          <w:spacing w:val="-5"/>
          <w:sz w:val="20"/>
        </w:rPr>
        <w:t>Wet</w:t>
      </w:r>
      <w:r>
        <w:rPr>
          <w:sz w:val="20"/>
        </w:rPr>
        <w:tab/>
      </w:r>
      <w:r>
        <w:rPr>
          <w:spacing w:val="-4"/>
          <w:sz w:val="20"/>
        </w:rPr>
        <w:t>days</w:t>
      </w:r>
      <w:r>
        <w:rPr>
          <w:sz w:val="20"/>
        </w:rPr>
        <w:tab/>
      </w:r>
      <w:r>
        <w:rPr>
          <w:spacing w:val="-2"/>
          <w:sz w:val="20"/>
        </w:rPr>
        <w:t>post-flowering</w:t>
      </w:r>
    </w:p>
    <w:p>
      <w:pPr>
        <w:spacing w:line="291" w:lineRule="exact" w:before="0"/>
        <w:ind w:left="269" w:right="0" w:firstLine="0"/>
        <w:jc w:val="center"/>
        <w:rPr>
          <w:rFonts w:ascii="Lucida Sans Unicode"/>
          <w:sz w:val="20"/>
        </w:rPr>
      </w:pPr>
      <w:r>
        <w:rPr>
          <w:rFonts w:ascii="Lucida Sans Unicode"/>
          <w:sz w:val="20"/>
        </w:rPr>
        <mc:AlternateContent>
          <mc:Choice Requires="wps">
            <w:drawing>
              <wp:anchor distT="0" distB="0" distL="0" distR="0" allowOverlap="1" layoutInCell="1" locked="0" behindDoc="1" simplePos="0" relativeHeight="479869952">
                <wp:simplePos x="0" y="0"/>
                <wp:positionH relativeFrom="page">
                  <wp:posOffset>1919744</wp:posOffset>
                </wp:positionH>
                <wp:positionV relativeFrom="paragraph">
                  <wp:posOffset>45445</wp:posOffset>
                </wp:positionV>
                <wp:extent cx="84455" cy="216535"/>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84455" cy="216535"/>
                        </a:xfrm>
                        <a:prstGeom prst="rect">
                          <a:avLst/>
                        </a:prstGeom>
                      </wps:spPr>
                      <wps:txbx>
                        <w:txbxContent>
                          <w:p>
                            <w:pPr>
                              <w:spacing w:line="233" w:lineRule="exact" w:before="0"/>
                              <w:ind w:left="0" w:right="0" w:firstLine="0"/>
                              <w:jc w:val="left"/>
                              <w:rPr>
                                <w:rFonts w:ascii="Meiryo UI" w:hAnsi="Meiryo UI"/>
                                <w:i/>
                                <w:sz w:val="20"/>
                              </w:rPr>
                            </w:pPr>
                            <w:r>
                              <w:rPr>
                                <w:rFonts w:ascii="Meiryo UI" w:hAnsi="Meiryo UI"/>
                                <w:i/>
                                <w:spacing w:val="-10"/>
                                <w:w w:val="80"/>
                                <w:sz w:val="20"/>
                              </w:rPr>
                              <w:t>∈</w:t>
                            </w:r>
                          </w:p>
                        </w:txbxContent>
                      </wps:txbx>
                      <wps:bodyPr wrap="square" lIns="0" tIns="0" rIns="0" bIns="0" rtlCol="0">
                        <a:noAutofit/>
                      </wps:bodyPr>
                    </wps:wsp>
                  </a:graphicData>
                </a:graphic>
              </wp:anchor>
            </w:drawing>
          </mc:Choice>
          <mc:Fallback>
            <w:pict>
              <v:shape style="position:absolute;margin-left:151.160995pt;margin-top:3.578383pt;width:6.65pt;height:17.05pt;mso-position-horizontal-relative:page;mso-position-vertical-relative:paragraph;z-index:-23446528" type="#_x0000_t202" id="docshape97" filled="false" stroked="false">
                <v:textbox inset="0,0,0,0">
                  <w:txbxContent>
                    <w:p>
                      <w:pPr>
                        <w:spacing w:line="233" w:lineRule="exact" w:before="0"/>
                        <w:ind w:left="0" w:right="0" w:firstLine="0"/>
                        <w:jc w:val="left"/>
                        <w:rPr>
                          <w:rFonts w:ascii="Meiryo UI" w:hAnsi="Meiryo UI"/>
                          <w:i/>
                          <w:sz w:val="20"/>
                        </w:rPr>
                      </w:pPr>
                      <w:r>
                        <w:rPr>
                          <w:rFonts w:ascii="Meiryo UI" w:hAnsi="Meiryo UI"/>
                          <w:i/>
                          <w:spacing w:val="-10"/>
                          <w:w w:val="80"/>
                          <w:sz w:val="20"/>
                        </w:rPr>
                        <w:t>∈</w:t>
                      </w:r>
                    </w:p>
                  </w:txbxContent>
                </v:textbox>
                <w10:wrap type="none"/>
              </v:shape>
            </w:pict>
          </mc:Fallback>
        </mc:AlternateContent>
      </w:r>
      <w:r>
        <w:rPr>
          <w:rFonts w:ascii="Lucida Sans Unicode"/>
          <w:w w:val="90"/>
          <w:sz w:val="20"/>
        </w:rPr>
        <w:t>[</w:t>
      </w:r>
      <w:r>
        <w:rPr>
          <w:w w:val="90"/>
          <w:sz w:val="20"/>
        </w:rPr>
        <w:t>0</w:t>
      </w:r>
      <w:r>
        <w:rPr>
          <w:rFonts w:ascii="Meiryo UI"/>
          <w:i/>
          <w:w w:val="90"/>
          <w:sz w:val="20"/>
        </w:rPr>
        <w:t>,</w:t>
      </w:r>
      <w:r>
        <w:rPr>
          <w:rFonts w:ascii="Meiryo UI"/>
          <w:i/>
          <w:spacing w:val="-37"/>
          <w:w w:val="90"/>
          <w:sz w:val="20"/>
        </w:rPr>
        <w:t> </w:t>
      </w:r>
      <w:r>
        <w:rPr>
          <w:w w:val="90"/>
          <w:sz w:val="20"/>
        </w:rPr>
        <w:t>3</w:t>
      </w:r>
      <w:r>
        <w:rPr>
          <w:rFonts w:ascii="Meiryo UI"/>
          <w:i/>
          <w:w w:val="90"/>
          <w:sz w:val="20"/>
        </w:rPr>
        <w:t>.</w:t>
      </w:r>
      <w:r>
        <w:rPr>
          <w:w w:val="90"/>
          <w:sz w:val="20"/>
        </w:rPr>
        <w:t>3</w:t>
      </w:r>
      <w:r>
        <w:rPr>
          <w:spacing w:val="-20"/>
          <w:w w:val="90"/>
          <w:sz w:val="20"/>
        </w:rPr>
        <w:t> </w:t>
      </w:r>
      <w:r>
        <w:rPr>
          <w:spacing w:val="-7"/>
          <w:w w:val="90"/>
          <w:sz w:val="20"/>
        </w:rPr>
        <w:t>d</w:t>
      </w:r>
      <w:r>
        <w:rPr>
          <w:rFonts w:ascii="Lucida Sans Unicode"/>
          <w:spacing w:val="-7"/>
          <w:w w:val="90"/>
          <w:sz w:val="20"/>
        </w:rPr>
        <w:t>]</w:t>
      </w:r>
    </w:p>
    <w:p>
      <w:pPr>
        <w:tabs>
          <w:tab w:pos="2494" w:val="left" w:leader="none"/>
          <w:tab w:pos="3228" w:val="left" w:leader="none"/>
        </w:tabs>
        <w:spacing w:line="187" w:lineRule="exact" w:before="0"/>
        <w:ind w:left="1748" w:right="0" w:firstLine="0"/>
        <w:jc w:val="center"/>
        <w:rPr>
          <w:sz w:val="20"/>
        </w:rPr>
      </w:pPr>
      <w:r>
        <w:rPr>
          <w:spacing w:val="-4"/>
          <w:sz w:val="20"/>
        </w:rPr>
        <w:t>Heat</w:t>
      </w:r>
      <w:r>
        <w:rPr>
          <w:sz w:val="20"/>
        </w:rPr>
        <w:tab/>
      </w:r>
      <w:r>
        <w:rPr>
          <w:spacing w:val="-4"/>
          <w:sz w:val="20"/>
        </w:rPr>
        <w:t>days</w:t>
      </w:r>
      <w:r>
        <w:rPr>
          <w:sz w:val="20"/>
        </w:rPr>
        <w:tab/>
        <w:t>pre-</w:t>
      </w:r>
      <w:r>
        <w:rPr>
          <w:spacing w:val="-2"/>
          <w:sz w:val="20"/>
        </w:rPr>
        <w:t>maturity</w:t>
      </w:r>
    </w:p>
    <w:p>
      <w:pPr>
        <w:spacing w:line="309" w:lineRule="exact" w:before="0"/>
        <w:ind w:left="92" w:right="0" w:firstLine="0"/>
        <w:jc w:val="center"/>
        <w:rPr>
          <w:rFonts w:ascii="Lucida Sans Unicode" w:hAnsi="Lucida Sans Unicode"/>
          <w:sz w:val="20"/>
        </w:rPr>
      </w:pPr>
      <w:r>
        <w:rPr>
          <w:rFonts w:ascii="Meiryo UI" w:hAnsi="Meiryo UI"/>
          <w:i/>
          <w:w w:val="85"/>
          <w:sz w:val="20"/>
        </w:rPr>
        <w:t>∈</w:t>
      </w:r>
      <w:r>
        <w:rPr>
          <w:rFonts w:ascii="Meiryo UI" w:hAnsi="Meiryo UI"/>
          <w:i/>
          <w:spacing w:val="-1"/>
          <w:w w:val="85"/>
          <w:sz w:val="20"/>
        </w:rPr>
        <w:t> </w:t>
      </w:r>
      <w:r>
        <w:rPr>
          <w:rFonts w:ascii="Lucida Sans Unicode" w:hAnsi="Lucida Sans Unicode"/>
          <w:w w:val="85"/>
          <w:sz w:val="20"/>
        </w:rPr>
        <w:t>[</w:t>
      </w:r>
      <w:r>
        <w:rPr>
          <w:w w:val="85"/>
          <w:sz w:val="20"/>
        </w:rPr>
        <w:t>0</w:t>
      </w:r>
      <w:r>
        <w:rPr>
          <w:rFonts w:ascii="Meiryo UI" w:hAnsi="Meiryo UI"/>
          <w:i/>
          <w:w w:val="85"/>
          <w:sz w:val="20"/>
        </w:rPr>
        <w:t>,</w:t>
      </w:r>
      <w:r>
        <w:rPr>
          <w:rFonts w:ascii="Meiryo UI" w:hAnsi="Meiryo UI"/>
          <w:i/>
          <w:spacing w:val="-29"/>
          <w:w w:val="85"/>
          <w:sz w:val="20"/>
        </w:rPr>
        <w:t> </w:t>
      </w:r>
      <w:r>
        <w:rPr>
          <w:w w:val="85"/>
          <w:sz w:val="20"/>
        </w:rPr>
        <w:t>3</w:t>
      </w:r>
      <w:r>
        <w:rPr>
          <w:rFonts w:ascii="Meiryo UI" w:hAnsi="Meiryo UI"/>
          <w:i/>
          <w:w w:val="85"/>
          <w:sz w:val="20"/>
        </w:rPr>
        <w:t>.</w:t>
      </w:r>
      <w:r>
        <w:rPr>
          <w:w w:val="85"/>
          <w:sz w:val="20"/>
        </w:rPr>
        <w:t>7</w:t>
      </w:r>
      <w:r>
        <w:rPr>
          <w:spacing w:val="-14"/>
          <w:w w:val="85"/>
          <w:sz w:val="20"/>
        </w:rPr>
        <w:t> </w:t>
      </w:r>
      <w:r>
        <w:rPr>
          <w:spacing w:val="-5"/>
          <w:w w:val="85"/>
          <w:sz w:val="20"/>
        </w:rPr>
        <w:t>d</w:t>
      </w:r>
      <w:r>
        <w:rPr>
          <w:rFonts w:ascii="Lucida Sans Unicode" w:hAnsi="Lucida Sans Unicode"/>
          <w:spacing w:val="-5"/>
          <w:w w:val="85"/>
          <w:sz w:val="20"/>
        </w:rPr>
        <w:t>]</w:t>
      </w:r>
    </w:p>
    <w:p>
      <w:pPr>
        <w:tabs>
          <w:tab w:pos="1741" w:val="left" w:leader="none"/>
          <w:tab w:pos="2370" w:val="left" w:leader="none"/>
          <w:tab w:pos="3050" w:val="left" w:leader="none"/>
        </w:tabs>
        <w:spacing w:line="205" w:lineRule="exact" w:before="36"/>
        <w:ind w:left="821" w:right="0" w:firstLine="0"/>
        <w:jc w:val="center"/>
        <w:rPr>
          <w:sz w:val="20"/>
        </w:rPr>
      </w:pPr>
      <w:r>
        <w:rPr>
          <w:sz w:val="20"/>
        </w:rPr>
        <w:t>Rule</w:t>
      </w:r>
      <w:r>
        <w:rPr>
          <w:spacing w:val="-5"/>
          <w:sz w:val="20"/>
        </w:rPr>
        <w:t> </w:t>
      </w:r>
      <w:r>
        <w:rPr>
          <w:spacing w:val="-10"/>
          <w:sz w:val="20"/>
        </w:rPr>
        <w:t>7</w:t>
      </w:r>
      <w:r>
        <w:rPr>
          <w:sz w:val="20"/>
        </w:rPr>
        <w:tab/>
      </w:r>
      <w:r>
        <w:rPr>
          <w:spacing w:val="-5"/>
          <w:sz w:val="20"/>
        </w:rPr>
        <w:t>Wet</w:t>
      </w:r>
      <w:r>
        <w:rPr>
          <w:sz w:val="20"/>
        </w:rPr>
        <w:tab/>
      </w:r>
      <w:r>
        <w:rPr>
          <w:spacing w:val="-4"/>
          <w:sz w:val="20"/>
        </w:rPr>
        <w:t>days</w:t>
      </w:r>
      <w:r>
        <w:rPr>
          <w:sz w:val="20"/>
        </w:rPr>
        <w:tab/>
      </w:r>
      <w:r>
        <w:rPr>
          <w:spacing w:val="-2"/>
          <w:sz w:val="20"/>
        </w:rPr>
        <w:t>post-flowering</w:t>
      </w:r>
    </w:p>
    <w:p>
      <w:pPr>
        <w:spacing w:line="291" w:lineRule="exact" w:before="0"/>
        <w:ind w:left="269" w:right="0" w:firstLine="0"/>
        <w:jc w:val="center"/>
        <w:rPr>
          <w:rFonts w:ascii="Lucida Sans Unicode"/>
          <w:sz w:val="20"/>
        </w:rPr>
      </w:pPr>
      <w:r>
        <w:rPr>
          <w:rFonts w:ascii="Lucida Sans Unicode"/>
          <w:sz w:val="20"/>
        </w:rPr>
        <mc:AlternateContent>
          <mc:Choice Requires="wps">
            <w:drawing>
              <wp:anchor distT="0" distB="0" distL="0" distR="0" allowOverlap="1" layoutInCell="1" locked="0" behindDoc="1" simplePos="0" relativeHeight="479870464">
                <wp:simplePos x="0" y="0"/>
                <wp:positionH relativeFrom="page">
                  <wp:posOffset>1919744</wp:posOffset>
                </wp:positionH>
                <wp:positionV relativeFrom="paragraph">
                  <wp:posOffset>45529</wp:posOffset>
                </wp:positionV>
                <wp:extent cx="84455" cy="216535"/>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84455" cy="216535"/>
                        </a:xfrm>
                        <a:prstGeom prst="rect">
                          <a:avLst/>
                        </a:prstGeom>
                      </wps:spPr>
                      <wps:txbx>
                        <w:txbxContent>
                          <w:p>
                            <w:pPr>
                              <w:spacing w:line="233" w:lineRule="exact" w:before="0"/>
                              <w:ind w:left="0" w:right="0" w:firstLine="0"/>
                              <w:jc w:val="left"/>
                              <w:rPr>
                                <w:rFonts w:ascii="Meiryo UI" w:hAnsi="Meiryo UI"/>
                                <w:i/>
                                <w:sz w:val="20"/>
                              </w:rPr>
                            </w:pPr>
                            <w:r>
                              <w:rPr>
                                <w:rFonts w:ascii="Meiryo UI" w:hAnsi="Meiryo UI"/>
                                <w:i/>
                                <w:spacing w:val="-10"/>
                                <w:w w:val="80"/>
                                <w:sz w:val="20"/>
                              </w:rPr>
                              <w:t>∈</w:t>
                            </w:r>
                          </w:p>
                        </w:txbxContent>
                      </wps:txbx>
                      <wps:bodyPr wrap="square" lIns="0" tIns="0" rIns="0" bIns="0" rtlCol="0">
                        <a:noAutofit/>
                      </wps:bodyPr>
                    </wps:wsp>
                  </a:graphicData>
                </a:graphic>
              </wp:anchor>
            </w:drawing>
          </mc:Choice>
          <mc:Fallback>
            <w:pict>
              <v:shape style="position:absolute;margin-left:151.160995pt;margin-top:3.585011pt;width:6.65pt;height:17.05pt;mso-position-horizontal-relative:page;mso-position-vertical-relative:paragraph;z-index:-23446016" type="#_x0000_t202" id="docshape98" filled="false" stroked="false">
                <v:textbox inset="0,0,0,0">
                  <w:txbxContent>
                    <w:p>
                      <w:pPr>
                        <w:spacing w:line="233" w:lineRule="exact" w:before="0"/>
                        <w:ind w:left="0" w:right="0" w:firstLine="0"/>
                        <w:jc w:val="left"/>
                        <w:rPr>
                          <w:rFonts w:ascii="Meiryo UI" w:hAnsi="Meiryo UI"/>
                          <w:i/>
                          <w:sz w:val="20"/>
                        </w:rPr>
                      </w:pPr>
                      <w:r>
                        <w:rPr>
                          <w:rFonts w:ascii="Meiryo UI" w:hAnsi="Meiryo UI"/>
                          <w:i/>
                          <w:spacing w:val="-10"/>
                          <w:w w:val="80"/>
                          <w:sz w:val="20"/>
                        </w:rPr>
                        <w:t>∈</w:t>
                      </w:r>
                    </w:p>
                  </w:txbxContent>
                </v:textbox>
                <w10:wrap type="none"/>
              </v:shape>
            </w:pict>
          </mc:Fallback>
        </mc:AlternateContent>
      </w:r>
      <w:r>
        <w:rPr>
          <w:rFonts w:ascii="Lucida Sans Unicode"/>
          <w:w w:val="90"/>
          <w:sz w:val="20"/>
        </w:rPr>
        <w:t>[</w:t>
      </w:r>
      <w:r>
        <w:rPr>
          <w:w w:val="90"/>
          <w:sz w:val="20"/>
        </w:rPr>
        <w:t>0</w:t>
      </w:r>
      <w:r>
        <w:rPr>
          <w:rFonts w:ascii="Meiryo UI"/>
          <w:i/>
          <w:w w:val="90"/>
          <w:sz w:val="20"/>
        </w:rPr>
        <w:t>,</w:t>
      </w:r>
      <w:r>
        <w:rPr>
          <w:rFonts w:ascii="Meiryo UI"/>
          <w:i/>
          <w:spacing w:val="-37"/>
          <w:w w:val="90"/>
          <w:sz w:val="20"/>
        </w:rPr>
        <w:t> </w:t>
      </w:r>
      <w:r>
        <w:rPr>
          <w:w w:val="90"/>
          <w:sz w:val="20"/>
        </w:rPr>
        <w:t>3</w:t>
      </w:r>
      <w:r>
        <w:rPr>
          <w:rFonts w:ascii="Meiryo UI"/>
          <w:i/>
          <w:w w:val="90"/>
          <w:sz w:val="20"/>
        </w:rPr>
        <w:t>.</w:t>
      </w:r>
      <w:r>
        <w:rPr>
          <w:w w:val="90"/>
          <w:sz w:val="20"/>
        </w:rPr>
        <w:t>3</w:t>
      </w:r>
      <w:r>
        <w:rPr>
          <w:spacing w:val="-20"/>
          <w:w w:val="90"/>
          <w:sz w:val="20"/>
        </w:rPr>
        <w:t> </w:t>
      </w:r>
      <w:r>
        <w:rPr>
          <w:spacing w:val="-7"/>
          <w:w w:val="90"/>
          <w:sz w:val="20"/>
        </w:rPr>
        <w:t>d</w:t>
      </w:r>
      <w:r>
        <w:rPr>
          <w:rFonts w:ascii="Lucida Sans Unicode"/>
          <w:spacing w:val="-7"/>
          <w:w w:val="90"/>
          <w:sz w:val="20"/>
        </w:rPr>
        <w:t>]</w:t>
      </w:r>
    </w:p>
    <w:p>
      <w:pPr>
        <w:tabs>
          <w:tab w:pos="2469" w:val="left" w:leader="none"/>
          <w:tab w:pos="3319" w:val="left" w:leader="none"/>
        </w:tabs>
        <w:spacing w:line="187" w:lineRule="exact" w:before="0"/>
        <w:ind w:left="1741" w:right="0" w:firstLine="0"/>
        <w:jc w:val="center"/>
        <w:rPr>
          <w:sz w:val="20"/>
        </w:rPr>
      </w:pPr>
      <w:r>
        <w:rPr>
          <w:spacing w:val="-4"/>
          <w:sz w:val="20"/>
        </w:rPr>
        <w:t>Soil</w:t>
      </w:r>
      <w:r>
        <w:rPr>
          <w:sz w:val="20"/>
        </w:rPr>
        <w:tab/>
      </w:r>
      <w:r>
        <w:rPr>
          <w:spacing w:val="-2"/>
          <w:sz w:val="20"/>
        </w:rPr>
        <w:t>water</w:t>
      </w:r>
      <w:r>
        <w:rPr>
          <w:sz w:val="20"/>
        </w:rPr>
        <w:tab/>
        <w:t>pre-</w:t>
      </w:r>
      <w:r>
        <w:rPr>
          <w:spacing w:val="-2"/>
          <w:sz w:val="20"/>
        </w:rPr>
        <w:t>harvest</w:t>
      </w:r>
    </w:p>
    <w:p>
      <w:pPr>
        <w:spacing w:line="291" w:lineRule="exact" w:before="0"/>
        <w:ind w:left="623" w:right="0" w:firstLine="0"/>
        <w:jc w:val="center"/>
        <w:rPr>
          <w:rFonts w:ascii="Lucida Sans Unicode"/>
          <w:sz w:val="20"/>
        </w:rPr>
      </w:pPr>
      <w:r>
        <w:rPr>
          <w:rFonts w:ascii="Lucida Sans Unicode"/>
          <w:sz w:val="20"/>
        </w:rPr>
        <mc:AlternateContent>
          <mc:Choice Requires="wps">
            <w:drawing>
              <wp:anchor distT="0" distB="0" distL="0" distR="0" allowOverlap="1" layoutInCell="1" locked="0" behindDoc="1" simplePos="0" relativeHeight="479870976">
                <wp:simplePos x="0" y="0"/>
                <wp:positionH relativeFrom="page">
                  <wp:posOffset>1919744</wp:posOffset>
                </wp:positionH>
                <wp:positionV relativeFrom="paragraph">
                  <wp:posOffset>45536</wp:posOffset>
                </wp:positionV>
                <wp:extent cx="84455" cy="216535"/>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84455" cy="216535"/>
                        </a:xfrm>
                        <a:prstGeom prst="rect">
                          <a:avLst/>
                        </a:prstGeom>
                      </wps:spPr>
                      <wps:txbx>
                        <w:txbxContent>
                          <w:p>
                            <w:pPr>
                              <w:spacing w:line="233" w:lineRule="exact" w:before="0"/>
                              <w:ind w:left="0" w:right="0" w:firstLine="0"/>
                              <w:jc w:val="left"/>
                              <w:rPr>
                                <w:rFonts w:ascii="Meiryo UI" w:hAnsi="Meiryo UI"/>
                                <w:i/>
                                <w:sz w:val="20"/>
                              </w:rPr>
                            </w:pPr>
                            <w:r>
                              <w:rPr>
                                <w:rFonts w:ascii="Meiryo UI" w:hAnsi="Meiryo UI"/>
                                <w:i/>
                                <w:spacing w:val="-10"/>
                                <w:w w:val="80"/>
                                <w:sz w:val="20"/>
                              </w:rPr>
                              <w:t>∈</w:t>
                            </w:r>
                          </w:p>
                        </w:txbxContent>
                      </wps:txbx>
                      <wps:bodyPr wrap="square" lIns="0" tIns="0" rIns="0" bIns="0" rtlCol="0">
                        <a:noAutofit/>
                      </wps:bodyPr>
                    </wps:wsp>
                  </a:graphicData>
                </a:graphic>
              </wp:anchor>
            </w:drawing>
          </mc:Choice>
          <mc:Fallback>
            <w:pict>
              <v:shape style="position:absolute;margin-left:151.160995pt;margin-top:3.585519pt;width:6.65pt;height:17.05pt;mso-position-horizontal-relative:page;mso-position-vertical-relative:paragraph;z-index:-23445504" type="#_x0000_t202" id="docshape99" filled="false" stroked="false">
                <v:textbox inset="0,0,0,0">
                  <w:txbxContent>
                    <w:p>
                      <w:pPr>
                        <w:spacing w:line="233" w:lineRule="exact" w:before="0"/>
                        <w:ind w:left="0" w:right="0" w:firstLine="0"/>
                        <w:jc w:val="left"/>
                        <w:rPr>
                          <w:rFonts w:ascii="Meiryo UI" w:hAnsi="Meiryo UI"/>
                          <w:i/>
                          <w:sz w:val="20"/>
                        </w:rPr>
                      </w:pPr>
                      <w:r>
                        <w:rPr>
                          <w:rFonts w:ascii="Meiryo UI" w:hAnsi="Meiryo UI"/>
                          <w:i/>
                          <w:spacing w:val="-10"/>
                          <w:w w:val="80"/>
                          <w:sz w:val="20"/>
                        </w:rPr>
                        <w:t>∈</w:t>
                      </w:r>
                    </w:p>
                  </w:txbxContent>
                </v:textbox>
                <w10:wrap type="none"/>
              </v:shape>
            </w:pict>
          </mc:Fallback>
        </mc:AlternateContent>
      </w:r>
      <w:r>
        <w:rPr>
          <w:rFonts w:ascii="Lucida Sans Unicode"/>
          <w:spacing w:val="-6"/>
          <w:sz w:val="20"/>
        </w:rPr>
        <w:t>[</w:t>
      </w:r>
      <w:r>
        <w:rPr>
          <w:spacing w:val="-6"/>
          <w:sz w:val="20"/>
        </w:rPr>
        <w:t>74</w:t>
      </w:r>
      <w:r>
        <w:rPr>
          <w:rFonts w:ascii="Meiryo UI"/>
          <w:i/>
          <w:spacing w:val="-6"/>
          <w:sz w:val="20"/>
        </w:rPr>
        <w:t>,</w:t>
      </w:r>
      <w:r>
        <w:rPr>
          <w:rFonts w:ascii="Meiryo UI"/>
          <w:i/>
          <w:spacing w:val="-41"/>
          <w:sz w:val="20"/>
        </w:rPr>
        <w:t> </w:t>
      </w:r>
      <w:r>
        <w:rPr>
          <w:spacing w:val="-6"/>
          <w:sz w:val="20"/>
        </w:rPr>
        <w:t>231</w:t>
      </w:r>
      <w:r>
        <w:rPr>
          <w:spacing w:val="-23"/>
          <w:sz w:val="20"/>
        </w:rPr>
        <w:t> </w:t>
      </w:r>
      <w:r>
        <w:rPr>
          <w:spacing w:val="-6"/>
          <w:sz w:val="20"/>
        </w:rPr>
        <w:t>mm</w:t>
      </w:r>
      <w:r>
        <w:rPr>
          <w:rFonts w:ascii="Lucida Sans Unicode"/>
          <w:spacing w:val="-6"/>
          <w:sz w:val="20"/>
        </w:rPr>
        <w:t>]</w:t>
      </w:r>
    </w:p>
    <w:p>
      <w:pPr>
        <w:tabs>
          <w:tab w:pos="2494" w:val="left" w:leader="none"/>
          <w:tab w:pos="3228" w:val="left" w:leader="none"/>
        </w:tabs>
        <w:spacing w:line="187" w:lineRule="exact" w:before="0"/>
        <w:ind w:left="1748" w:right="0" w:firstLine="0"/>
        <w:jc w:val="center"/>
        <w:rPr>
          <w:sz w:val="20"/>
        </w:rPr>
      </w:pPr>
      <w:r>
        <w:rPr>
          <w:spacing w:val="-4"/>
          <w:sz w:val="20"/>
        </w:rPr>
        <w:t>Heat</w:t>
      </w:r>
      <w:r>
        <w:rPr>
          <w:sz w:val="20"/>
        </w:rPr>
        <w:tab/>
      </w:r>
      <w:r>
        <w:rPr>
          <w:spacing w:val="-4"/>
          <w:sz w:val="20"/>
        </w:rPr>
        <w:t>days</w:t>
      </w:r>
      <w:r>
        <w:rPr>
          <w:sz w:val="20"/>
        </w:rPr>
        <w:tab/>
        <w:t>pre-</w:t>
      </w:r>
      <w:r>
        <w:rPr>
          <w:spacing w:val="-2"/>
          <w:sz w:val="20"/>
        </w:rPr>
        <w:t>maturity</w:t>
      </w:r>
    </w:p>
    <w:p>
      <w:pPr>
        <w:spacing w:line="309" w:lineRule="exact" w:before="0"/>
        <w:ind w:left="92" w:right="0" w:firstLine="0"/>
        <w:jc w:val="center"/>
        <w:rPr>
          <w:rFonts w:ascii="Lucida Sans Unicode" w:hAnsi="Lucida Sans Unicode"/>
          <w:sz w:val="20"/>
        </w:rPr>
      </w:pPr>
      <w:r>
        <w:rPr>
          <w:rFonts w:ascii="Lucida Sans Unicode" w:hAnsi="Lucida Sans Unicode"/>
          <w:sz w:val="20"/>
        </w:rPr>
        <mc:AlternateContent>
          <mc:Choice Requires="wps">
            <w:drawing>
              <wp:anchor distT="0" distB="0" distL="0" distR="0" allowOverlap="1" layoutInCell="1" locked="0" behindDoc="0" simplePos="0" relativeHeight="15749632">
                <wp:simplePos x="0" y="0"/>
                <wp:positionH relativeFrom="page">
                  <wp:posOffset>1260005</wp:posOffset>
                </wp:positionH>
                <wp:positionV relativeFrom="paragraph">
                  <wp:posOffset>226935</wp:posOffset>
                </wp:positionV>
                <wp:extent cx="5400040" cy="1270"/>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5400040" cy="1270"/>
                        </a:xfrm>
                        <a:custGeom>
                          <a:avLst/>
                          <a:gdLst/>
                          <a:ahLst/>
                          <a:cxnLst/>
                          <a:rect l="l" t="t" r="r" b="b"/>
                          <a:pathLst>
                            <a:path w="5400040" h="0">
                              <a:moveTo>
                                <a:pt x="0" y="0"/>
                              </a:moveTo>
                              <a:lnTo>
                                <a:pt x="5400001"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9632" from="99.212997pt,17.868946pt" to="524.409997pt,17.868946pt" stroked="true" strokeweight=".542pt" strokecolor="#000000">
                <v:stroke dashstyle="solid"/>
                <w10:wrap type="none"/>
              </v:line>
            </w:pict>
          </mc:Fallback>
        </mc:AlternateContent>
      </w:r>
      <w:r>
        <w:rPr>
          <w:rFonts w:ascii="Meiryo UI" w:hAnsi="Meiryo UI"/>
          <w:i/>
          <w:w w:val="85"/>
          <w:sz w:val="20"/>
        </w:rPr>
        <w:t>∈</w:t>
      </w:r>
      <w:r>
        <w:rPr>
          <w:rFonts w:ascii="Meiryo UI" w:hAnsi="Meiryo UI"/>
          <w:i/>
          <w:spacing w:val="-1"/>
          <w:w w:val="85"/>
          <w:sz w:val="20"/>
        </w:rPr>
        <w:t> </w:t>
      </w:r>
      <w:r>
        <w:rPr>
          <w:rFonts w:ascii="Lucida Sans Unicode" w:hAnsi="Lucida Sans Unicode"/>
          <w:w w:val="85"/>
          <w:sz w:val="20"/>
        </w:rPr>
        <w:t>[</w:t>
      </w:r>
      <w:r>
        <w:rPr>
          <w:w w:val="85"/>
          <w:sz w:val="20"/>
        </w:rPr>
        <w:t>0</w:t>
      </w:r>
      <w:r>
        <w:rPr>
          <w:rFonts w:ascii="Meiryo UI" w:hAnsi="Meiryo UI"/>
          <w:i/>
          <w:w w:val="85"/>
          <w:sz w:val="20"/>
        </w:rPr>
        <w:t>,</w:t>
      </w:r>
      <w:r>
        <w:rPr>
          <w:rFonts w:ascii="Meiryo UI" w:hAnsi="Meiryo UI"/>
          <w:i/>
          <w:spacing w:val="-29"/>
          <w:w w:val="85"/>
          <w:sz w:val="20"/>
        </w:rPr>
        <w:t> </w:t>
      </w:r>
      <w:r>
        <w:rPr>
          <w:w w:val="85"/>
          <w:sz w:val="20"/>
        </w:rPr>
        <w:t>3</w:t>
      </w:r>
      <w:r>
        <w:rPr>
          <w:rFonts w:ascii="Meiryo UI" w:hAnsi="Meiryo UI"/>
          <w:i/>
          <w:w w:val="85"/>
          <w:sz w:val="20"/>
        </w:rPr>
        <w:t>.</w:t>
      </w:r>
      <w:r>
        <w:rPr>
          <w:w w:val="85"/>
          <w:sz w:val="20"/>
        </w:rPr>
        <w:t>7</w:t>
      </w:r>
      <w:r>
        <w:rPr>
          <w:spacing w:val="-14"/>
          <w:w w:val="85"/>
          <w:sz w:val="20"/>
        </w:rPr>
        <w:t> </w:t>
      </w:r>
      <w:r>
        <w:rPr>
          <w:spacing w:val="-5"/>
          <w:w w:val="85"/>
          <w:sz w:val="20"/>
        </w:rPr>
        <w:t>d</w:t>
      </w:r>
      <w:r>
        <w:rPr>
          <w:rFonts w:ascii="Lucida Sans Unicode" w:hAnsi="Lucida Sans Unicode"/>
          <w:spacing w:val="-5"/>
          <w:w w:val="85"/>
          <w:sz w:val="20"/>
        </w:rPr>
        <w:t>]</w:t>
      </w:r>
    </w:p>
    <w:p>
      <w:pPr>
        <w:tabs>
          <w:tab w:pos="1848" w:val="left" w:leader="none"/>
          <w:tab w:pos="3108" w:val="left" w:leader="none"/>
        </w:tabs>
        <w:spacing w:before="10"/>
        <w:ind w:left="192" w:right="0" w:firstLine="0"/>
        <w:jc w:val="left"/>
        <w:rPr>
          <w:sz w:val="20"/>
        </w:rPr>
      </w:pPr>
      <w:r>
        <w:rPr/>
        <w:br w:type="column"/>
      </w:r>
      <w:r>
        <w:rPr>
          <w:rFonts w:ascii="Lucida Sans Unicode"/>
          <w:sz w:val="20"/>
        </w:rPr>
        <w:t>+</w:t>
      </w:r>
      <w:r>
        <w:rPr>
          <w:sz w:val="20"/>
        </w:rPr>
        <w:t>121</w:t>
      </w:r>
      <w:r>
        <w:rPr>
          <w:spacing w:val="-9"/>
          <w:sz w:val="20"/>
        </w:rPr>
        <w:t> </w:t>
      </w:r>
      <w:r>
        <w:rPr>
          <w:spacing w:val="-5"/>
          <w:sz w:val="20"/>
        </w:rPr>
        <w:t>mhl</w:t>
      </w:r>
      <w:r>
        <w:rPr>
          <w:sz w:val="20"/>
        </w:rPr>
        <w:tab/>
      </w:r>
      <w:r>
        <w:rPr>
          <w:spacing w:val="-2"/>
          <w:sz w:val="20"/>
        </w:rPr>
        <w:t>0.281</w:t>
      </w:r>
      <w:r>
        <w:rPr>
          <w:sz w:val="20"/>
        </w:rPr>
        <w:tab/>
      </w:r>
      <w:r>
        <w:rPr>
          <w:spacing w:val="-2"/>
          <w:sz w:val="20"/>
        </w:rPr>
        <w:t>34.00</w:t>
      </w:r>
    </w:p>
    <w:p>
      <w:pPr>
        <w:tabs>
          <w:tab w:pos="1848" w:val="left" w:leader="none"/>
          <w:tab w:pos="3556" w:val="right" w:leader="none"/>
        </w:tabs>
        <w:spacing w:before="721"/>
        <w:ind w:left="192" w:right="0" w:firstLine="0"/>
        <w:jc w:val="left"/>
        <w:rPr>
          <w:sz w:val="20"/>
        </w:rPr>
      </w:pPr>
      <w:r>
        <w:rPr>
          <w:rFonts w:ascii="Lucida Sans Unicode"/>
          <w:sz w:val="20"/>
        </w:rPr>
        <w:t>+</w:t>
      </w:r>
      <w:r>
        <w:rPr>
          <w:sz w:val="20"/>
        </w:rPr>
        <w:t>115</w:t>
      </w:r>
      <w:r>
        <w:rPr>
          <w:spacing w:val="-9"/>
          <w:sz w:val="20"/>
        </w:rPr>
        <w:t> </w:t>
      </w:r>
      <w:r>
        <w:rPr>
          <w:spacing w:val="-5"/>
          <w:sz w:val="20"/>
        </w:rPr>
        <w:t>mhl</w:t>
      </w:r>
      <w:r>
        <w:rPr>
          <w:sz w:val="20"/>
        </w:rPr>
        <w:tab/>
      </w:r>
      <w:r>
        <w:rPr>
          <w:spacing w:val="-2"/>
          <w:sz w:val="20"/>
        </w:rPr>
        <w:t>0.247</w:t>
      </w:r>
      <w:r>
        <w:rPr>
          <w:sz w:val="20"/>
        </w:rPr>
        <w:tab/>
      </w:r>
      <w:r>
        <w:rPr>
          <w:spacing w:val="-2"/>
          <w:sz w:val="20"/>
        </w:rPr>
        <w:t>28.41</w:t>
      </w:r>
    </w:p>
    <w:p>
      <w:pPr>
        <w:tabs>
          <w:tab w:pos="1848" w:val="left" w:leader="none"/>
          <w:tab w:pos="3556" w:val="right" w:leader="none"/>
        </w:tabs>
        <w:spacing w:before="721"/>
        <w:ind w:left="192" w:right="0" w:firstLine="0"/>
        <w:jc w:val="left"/>
        <w:rPr>
          <w:sz w:val="20"/>
        </w:rPr>
      </w:pPr>
      <w:r>
        <w:rPr>
          <w:rFonts w:ascii="Lucida Sans Unicode"/>
          <w:sz w:val="20"/>
        </w:rPr>
        <w:t>+</w:t>
      </w:r>
      <w:r>
        <w:rPr>
          <w:sz w:val="20"/>
        </w:rPr>
        <w:t>115</w:t>
      </w:r>
      <w:r>
        <w:rPr>
          <w:spacing w:val="-9"/>
          <w:sz w:val="20"/>
        </w:rPr>
        <w:t> </w:t>
      </w:r>
      <w:r>
        <w:rPr>
          <w:spacing w:val="-5"/>
          <w:sz w:val="20"/>
        </w:rPr>
        <w:t>mhl</w:t>
      </w:r>
      <w:r>
        <w:rPr>
          <w:sz w:val="20"/>
        </w:rPr>
        <w:tab/>
      </w:r>
      <w:r>
        <w:rPr>
          <w:spacing w:val="-2"/>
          <w:sz w:val="20"/>
        </w:rPr>
        <w:t>0.213</w:t>
      </w:r>
      <w:r>
        <w:rPr>
          <w:sz w:val="20"/>
        </w:rPr>
        <w:tab/>
      </w:r>
      <w:r>
        <w:rPr>
          <w:spacing w:val="-2"/>
          <w:sz w:val="20"/>
        </w:rPr>
        <w:t>24.50</w:t>
      </w:r>
    </w:p>
    <w:p>
      <w:pPr>
        <w:spacing w:after="0"/>
        <w:jc w:val="left"/>
        <w:rPr>
          <w:sz w:val="20"/>
        </w:rPr>
        <w:sectPr>
          <w:type w:val="continuous"/>
          <w:pgSz w:w="11910" w:h="16840"/>
          <w:pgMar w:header="1160" w:footer="0" w:top="1120" w:bottom="280" w:left="1275" w:right="425"/>
          <w:cols w:num="2" w:equalWidth="0">
            <w:col w:w="4245" w:space="40"/>
            <w:col w:w="5925"/>
          </w:cols>
        </w:sectPr>
      </w:pPr>
    </w:p>
    <w:p>
      <w:pPr>
        <w:tabs>
          <w:tab w:pos="6133" w:val="left" w:leader="none"/>
          <w:tab w:pos="7392" w:val="left" w:leader="none"/>
        </w:tabs>
        <w:spacing w:before="86"/>
        <w:ind w:left="828" w:right="0" w:firstLine="0"/>
        <w:jc w:val="left"/>
        <w:rPr>
          <w:sz w:val="20"/>
        </w:rPr>
      </w:pPr>
      <w:r>
        <w:rPr>
          <w:spacing w:val="-5"/>
          <w:w w:val="105"/>
          <w:sz w:val="20"/>
        </w:rPr>
        <w:t>Sum</w:t>
      </w:r>
      <w:r>
        <w:rPr>
          <w:sz w:val="20"/>
        </w:rPr>
        <w:tab/>
      </w:r>
      <w:r>
        <w:rPr>
          <w:rFonts w:ascii="Calibri" w:hAnsi="Calibri"/>
          <w:w w:val="105"/>
          <w:position w:val="0"/>
          <w:sz w:val="20"/>
        </w:rPr>
        <w:t>∑</w:t>
      </w:r>
      <w:r>
        <w:rPr>
          <w:rFonts w:ascii="Calibri" w:hAnsi="Calibri"/>
          <w:spacing w:val="-24"/>
          <w:w w:val="105"/>
          <w:position w:val="0"/>
          <w:sz w:val="20"/>
        </w:rPr>
        <w:t> </w:t>
      </w:r>
      <w:r>
        <w:rPr>
          <w:i/>
          <w:w w:val="105"/>
          <w:sz w:val="20"/>
        </w:rPr>
        <w:t>s</w:t>
      </w:r>
      <w:r>
        <w:rPr>
          <w:i/>
          <w:w w:val="105"/>
          <w:sz w:val="20"/>
          <w:vertAlign w:val="subscript"/>
        </w:rPr>
        <w:t>i</w:t>
      </w:r>
      <w:r>
        <w:rPr>
          <w:i/>
          <w:spacing w:val="9"/>
          <w:w w:val="105"/>
          <w:sz w:val="20"/>
          <w:vertAlign w:val="baseline"/>
        </w:rPr>
        <w:t> </w:t>
      </w:r>
      <w:r>
        <w:rPr>
          <w:rFonts w:ascii="Lucida Sans Unicode" w:hAnsi="Lucida Sans Unicode"/>
          <w:w w:val="105"/>
          <w:sz w:val="20"/>
          <w:vertAlign w:val="baseline"/>
        </w:rPr>
        <w:t>=</w:t>
      </w:r>
      <w:r>
        <w:rPr>
          <w:rFonts w:ascii="Lucida Sans Unicode" w:hAnsi="Lucida Sans Unicode"/>
          <w:spacing w:val="-18"/>
          <w:w w:val="105"/>
          <w:sz w:val="20"/>
          <w:vertAlign w:val="baseline"/>
        </w:rPr>
        <w:t> </w:t>
      </w:r>
      <w:r>
        <w:rPr>
          <w:spacing w:val="-2"/>
          <w:w w:val="105"/>
          <w:sz w:val="20"/>
          <w:vertAlign w:val="baseline"/>
        </w:rPr>
        <w:t>0</w:t>
      </w:r>
      <w:r>
        <w:rPr>
          <w:rFonts w:ascii="Meiryo UI" w:hAnsi="Meiryo UI"/>
          <w:i/>
          <w:spacing w:val="-2"/>
          <w:w w:val="105"/>
          <w:sz w:val="20"/>
          <w:vertAlign w:val="baseline"/>
        </w:rPr>
        <w:t>.</w:t>
      </w:r>
      <w:r>
        <w:rPr>
          <w:spacing w:val="-2"/>
          <w:w w:val="105"/>
          <w:sz w:val="20"/>
          <w:vertAlign w:val="baseline"/>
        </w:rPr>
        <w:t>741</w:t>
      </w:r>
      <w:r>
        <w:rPr>
          <w:sz w:val="20"/>
          <w:vertAlign w:val="baseline"/>
        </w:rPr>
        <w:tab/>
      </w:r>
      <w:r>
        <w:rPr>
          <w:rFonts w:ascii="Calibri" w:hAnsi="Calibri"/>
          <w:spacing w:val="-10"/>
          <w:w w:val="105"/>
          <w:position w:val="0"/>
          <w:sz w:val="20"/>
          <w:vertAlign w:val="baseline"/>
        </w:rPr>
        <w:t>∑</w:t>
      </w:r>
      <w:r>
        <w:rPr>
          <w:rFonts w:ascii="Calibri" w:hAnsi="Calibri"/>
          <w:spacing w:val="-27"/>
          <w:w w:val="105"/>
          <w:position w:val="0"/>
          <w:sz w:val="20"/>
          <w:vertAlign w:val="baseline"/>
        </w:rPr>
        <w:t> </w:t>
      </w:r>
      <w:r>
        <w:rPr>
          <w:i/>
          <w:spacing w:val="11"/>
          <w:sz w:val="20"/>
          <w:vertAlign w:val="baseline"/>
        </w:rPr>
        <w:t>s</w:t>
      </w:r>
      <w:r>
        <w:rPr>
          <w:i/>
          <w:spacing w:val="20"/>
          <w:w w:val="120"/>
          <w:sz w:val="20"/>
          <w:vertAlign w:val="subscript"/>
        </w:rPr>
        <w:t>i</w:t>
      </w:r>
      <w:r>
        <w:rPr>
          <w:i/>
          <w:spacing w:val="-85"/>
          <w:sz w:val="20"/>
          <w:vertAlign w:val="baseline"/>
        </w:rPr>
        <w:t>m</w:t>
      </w:r>
      <w:r>
        <w:rPr>
          <w:spacing w:val="11"/>
          <w:sz w:val="20"/>
          <w:vertAlign w:val="baseline"/>
        </w:rPr>
        <w:t>˜</w:t>
      </w:r>
      <w:r>
        <w:rPr>
          <w:spacing w:val="-24"/>
          <w:w w:val="105"/>
          <w:sz w:val="20"/>
          <w:vertAlign w:val="baseline"/>
        </w:rPr>
        <w:t> </w:t>
      </w:r>
      <w:r>
        <w:rPr>
          <w:i/>
          <w:spacing w:val="-10"/>
          <w:w w:val="110"/>
          <w:sz w:val="20"/>
          <w:vertAlign w:val="subscript"/>
        </w:rPr>
        <w:t>i</w:t>
      </w:r>
      <w:r>
        <w:rPr>
          <w:i/>
          <w:w w:val="110"/>
          <w:sz w:val="20"/>
          <w:vertAlign w:val="baseline"/>
        </w:rPr>
        <w:t> </w:t>
      </w:r>
      <w:r>
        <w:rPr>
          <w:rFonts w:ascii="Lucida Sans Unicode" w:hAnsi="Lucida Sans Unicode"/>
          <w:spacing w:val="-10"/>
          <w:w w:val="105"/>
          <w:sz w:val="20"/>
          <w:vertAlign w:val="baseline"/>
        </w:rPr>
        <w:t>=</w:t>
      </w:r>
      <w:r>
        <w:rPr>
          <w:rFonts w:ascii="Lucida Sans Unicode" w:hAnsi="Lucida Sans Unicode"/>
          <w:spacing w:val="-22"/>
          <w:w w:val="105"/>
          <w:sz w:val="20"/>
          <w:vertAlign w:val="baseline"/>
        </w:rPr>
        <w:t> </w:t>
      </w:r>
      <w:r>
        <w:rPr>
          <w:spacing w:val="-10"/>
          <w:w w:val="105"/>
          <w:sz w:val="20"/>
          <w:vertAlign w:val="baseline"/>
        </w:rPr>
        <w:t>86</w:t>
      </w:r>
      <w:r>
        <w:rPr>
          <w:rFonts w:ascii="Meiryo UI" w:hAnsi="Meiryo UI"/>
          <w:i/>
          <w:spacing w:val="-10"/>
          <w:w w:val="105"/>
          <w:sz w:val="20"/>
          <w:vertAlign w:val="baseline"/>
        </w:rPr>
        <w:t>.</w:t>
      </w:r>
      <w:r>
        <w:rPr>
          <w:spacing w:val="-10"/>
          <w:w w:val="105"/>
          <w:sz w:val="20"/>
          <w:vertAlign w:val="baseline"/>
        </w:rPr>
        <w:t>91</w:t>
      </w:r>
    </w:p>
    <w:p>
      <w:pPr>
        <w:spacing w:before="56"/>
        <w:ind w:left="828" w:right="0" w:firstLine="0"/>
        <w:jc w:val="left"/>
        <w:rPr>
          <w:sz w:val="20"/>
        </w:rPr>
      </w:pPr>
      <w:r>
        <w:rPr>
          <w:sz w:val="20"/>
        </w:rPr>
        <mc:AlternateContent>
          <mc:Choice Requires="wps">
            <w:drawing>
              <wp:anchor distT="0" distB="0" distL="0" distR="0" allowOverlap="1" layoutInCell="1" locked="0" behindDoc="1" simplePos="0" relativeHeight="487608320">
                <wp:simplePos x="0" y="0"/>
                <wp:positionH relativeFrom="page">
                  <wp:posOffset>1260005</wp:posOffset>
                </wp:positionH>
                <wp:positionV relativeFrom="paragraph">
                  <wp:posOffset>280817</wp:posOffset>
                </wp:positionV>
                <wp:extent cx="5400040" cy="1270"/>
                <wp:effectExtent l="0" t="0" r="0" b="0"/>
                <wp:wrapTopAndBottom/>
                <wp:docPr id="118" name="Graphic 118"/>
                <wp:cNvGraphicFramePr>
                  <a:graphicFrameLocks/>
                </wp:cNvGraphicFramePr>
                <a:graphic>
                  <a:graphicData uri="http://schemas.microsoft.com/office/word/2010/wordprocessingShape">
                    <wps:wsp>
                      <wps:cNvPr id="118" name="Graphic 118"/>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22.111601pt;width:425.2pt;height:.1pt;mso-position-horizontal-relative:page;mso-position-vertical-relative:paragraph;z-index:-15708160;mso-wrap-distance-left:0;mso-wrap-distance-right:0" id="docshape100" coordorigin="1984,442" coordsize="8504,0" path="m1984,442l10488,442e" filled="false" stroked="true" strokeweight=".868pt" strokecolor="#000000">
                <v:path arrowok="t"/>
                <v:stroke dashstyle="solid"/>
                <w10:wrap type="topAndBottom"/>
              </v:shape>
            </w:pict>
          </mc:Fallback>
        </mc:AlternateContent>
      </w:r>
      <w:r>
        <w:rPr>
          <w:b/>
          <w:spacing w:val="-6"/>
          <w:sz w:val="20"/>
        </w:rPr>
        <w:t>Prediction</w:t>
      </w:r>
      <w:r>
        <w:rPr>
          <w:b/>
          <w:spacing w:val="9"/>
          <w:sz w:val="20"/>
        </w:rPr>
        <w:t> </w:t>
      </w:r>
      <w:r>
        <w:rPr>
          <w:i/>
          <w:spacing w:val="-6"/>
          <w:sz w:val="20"/>
        </w:rPr>
        <w:t>y</w:t>
      </w:r>
      <w:r>
        <w:rPr>
          <w:spacing w:val="-6"/>
          <w:sz w:val="20"/>
        </w:rPr>
        <w:t>ˆ </w:t>
      </w:r>
      <w:r>
        <w:rPr>
          <w:rFonts w:ascii="Lucida Sans Unicode" w:hAnsi="Lucida Sans Unicode"/>
          <w:spacing w:val="-6"/>
          <w:sz w:val="20"/>
        </w:rPr>
        <w:t>=</w:t>
      </w:r>
      <w:r>
        <w:rPr>
          <w:rFonts w:ascii="Lucida Sans Unicode" w:hAnsi="Lucida Sans Unicode"/>
          <w:spacing w:val="-15"/>
          <w:sz w:val="20"/>
        </w:rPr>
        <w:t> </w:t>
      </w:r>
      <w:r>
        <w:rPr>
          <w:spacing w:val="-6"/>
          <w:sz w:val="20"/>
        </w:rPr>
        <w:t>86</w:t>
      </w:r>
      <w:r>
        <w:rPr>
          <w:rFonts w:ascii="Meiryo UI" w:hAnsi="Meiryo UI"/>
          <w:i/>
          <w:spacing w:val="-6"/>
          <w:sz w:val="20"/>
        </w:rPr>
        <w:t>.</w:t>
      </w:r>
      <w:r>
        <w:rPr>
          <w:spacing w:val="-6"/>
          <w:sz w:val="20"/>
        </w:rPr>
        <w:t>91</w:t>
      </w:r>
      <w:r>
        <w:rPr>
          <w:spacing w:val="-26"/>
          <w:sz w:val="20"/>
        </w:rPr>
        <w:t> </w:t>
      </w:r>
      <w:r>
        <w:rPr>
          <w:rFonts w:ascii="Meiryo UI" w:hAnsi="Meiryo UI"/>
          <w:i/>
          <w:spacing w:val="-6"/>
          <w:sz w:val="20"/>
        </w:rPr>
        <w:t>/</w:t>
      </w:r>
      <w:r>
        <w:rPr>
          <w:rFonts w:ascii="Meiryo UI" w:hAnsi="Meiryo UI"/>
          <w:i/>
          <w:spacing w:val="-44"/>
          <w:sz w:val="20"/>
        </w:rPr>
        <w:t> </w:t>
      </w:r>
      <w:r>
        <w:rPr>
          <w:spacing w:val="-6"/>
          <w:sz w:val="20"/>
        </w:rPr>
        <w:t>0</w:t>
      </w:r>
      <w:r>
        <w:rPr>
          <w:rFonts w:ascii="Meiryo UI" w:hAnsi="Meiryo UI"/>
          <w:i/>
          <w:spacing w:val="-6"/>
          <w:sz w:val="20"/>
        </w:rPr>
        <w:t>.</w:t>
      </w:r>
      <w:r>
        <w:rPr>
          <w:spacing w:val="-6"/>
          <w:sz w:val="20"/>
        </w:rPr>
        <w:t>741</w:t>
      </w:r>
      <w:r>
        <w:rPr>
          <w:spacing w:val="-2"/>
          <w:sz w:val="20"/>
        </w:rPr>
        <w:t> </w:t>
      </w:r>
      <w:r>
        <w:rPr>
          <w:rFonts w:ascii="Lucida Sans Unicode" w:hAnsi="Lucida Sans Unicode"/>
          <w:spacing w:val="-6"/>
          <w:sz w:val="20"/>
        </w:rPr>
        <w:t>=</w:t>
      </w:r>
      <w:r>
        <w:rPr>
          <w:rFonts w:ascii="Lucida Sans Unicode" w:hAnsi="Lucida Sans Unicode"/>
          <w:spacing w:val="-16"/>
          <w:sz w:val="20"/>
        </w:rPr>
        <w:t> </w:t>
      </w:r>
      <w:r>
        <w:rPr>
          <w:rFonts w:ascii="Lucida Sans Unicode" w:hAnsi="Lucida Sans Unicode"/>
          <w:spacing w:val="-6"/>
          <w:sz w:val="20"/>
        </w:rPr>
        <w:t>+</w:t>
      </w:r>
      <w:r>
        <w:rPr>
          <w:spacing w:val="-6"/>
          <w:sz w:val="20"/>
        </w:rPr>
        <w:t>117</w:t>
      </w:r>
      <w:r>
        <w:rPr>
          <w:rFonts w:ascii="Meiryo UI" w:hAnsi="Meiryo UI"/>
          <w:i/>
          <w:spacing w:val="-6"/>
          <w:sz w:val="20"/>
        </w:rPr>
        <w:t>.</w:t>
      </w:r>
      <w:r>
        <w:rPr>
          <w:spacing w:val="-6"/>
          <w:sz w:val="20"/>
        </w:rPr>
        <w:t>3</w:t>
      </w:r>
      <w:r>
        <w:rPr>
          <w:spacing w:val="3"/>
          <w:sz w:val="20"/>
        </w:rPr>
        <w:t> </w:t>
      </w:r>
      <w:r>
        <w:rPr>
          <w:spacing w:val="-6"/>
          <w:sz w:val="20"/>
        </w:rPr>
        <w:t>mhl</w:t>
      </w:r>
    </w:p>
    <w:p>
      <w:pPr>
        <w:pStyle w:val="BodyText"/>
        <w:spacing w:before="164"/>
      </w:pPr>
    </w:p>
    <w:p>
      <w:pPr>
        <w:pStyle w:val="BodyText"/>
        <w:spacing w:line="312" w:lineRule="auto"/>
        <w:ind w:left="703" w:right="952" w:firstLine="344"/>
        <w:jc w:val="both"/>
      </w:pPr>
      <w:r>
        <w:rPr>
          <w:b/>
        </w:rPr>
        <w:t>Why support weighting rather than equal weighting? </w:t>
      </w:r>
      <w:r>
        <w:rPr/>
        <w:t>Equal weighting would give every firing rule the same influence regardless of how broadly applicable it is. A rule covering 15% of training years (the minimum support threshold adopted in this thesis) represents a pattern seen</w:t>
      </w:r>
      <w:r>
        <w:rPr>
          <w:spacing w:val="80"/>
        </w:rPr>
        <w:t> </w:t>
      </w:r>
      <w:r>
        <w:rPr/>
        <w:t>in roughly 13 years out of 89; a rule covering 28% of years was observed in approximately 25 years. Giving equal weight to both would over-represent narrow, potentially less stable patterns. Support</w:t>
      </w:r>
      <w:r>
        <w:rPr>
          <w:spacing w:val="-7"/>
        </w:rPr>
        <w:t> </w:t>
      </w:r>
      <w:r>
        <w:rPr/>
        <w:t>weighting</w:t>
      </w:r>
      <w:r>
        <w:rPr>
          <w:spacing w:val="-7"/>
        </w:rPr>
        <w:t> </w:t>
      </w:r>
      <w:r>
        <w:rPr/>
        <w:t>is</w:t>
      </w:r>
      <w:r>
        <w:rPr>
          <w:spacing w:val="-7"/>
        </w:rPr>
        <w:t> </w:t>
      </w:r>
      <w:r>
        <w:rPr/>
        <w:t>a</w:t>
      </w:r>
      <w:r>
        <w:rPr>
          <w:spacing w:val="-7"/>
        </w:rPr>
        <w:t> </w:t>
      </w:r>
      <w:r>
        <w:rPr/>
        <w:t>principled</w:t>
      </w:r>
      <w:r>
        <w:rPr>
          <w:spacing w:val="-7"/>
        </w:rPr>
        <w:t> </w:t>
      </w:r>
      <w:r>
        <w:rPr/>
        <w:t>way</w:t>
      </w:r>
      <w:r>
        <w:rPr>
          <w:spacing w:val="-7"/>
        </w:rPr>
        <w:t> </w:t>
      </w:r>
      <w:r>
        <w:rPr/>
        <w:t>to</w:t>
      </w:r>
      <w:r>
        <w:rPr>
          <w:spacing w:val="-7"/>
        </w:rPr>
        <w:t> </w:t>
      </w:r>
      <w:r>
        <w:rPr/>
        <w:t>account</w:t>
      </w:r>
      <w:r>
        <w:rPr>
          <w:spacing w:val="-7"/>
        </w:rPr>
        <w:t> </w:t>
      </w:r>
      <w:r>
        <w:rPr/>
        <w:t>for</w:t>
      </w:r>
      <w:r>
        <w:rPr>
          <w:spacing w:val="-7"/>
        </w:rPr>
        <w:t> </w:t>
      </w:r>
      <w:r>
        <w:rPr/>
        <w:t>statistical</w:t>
      </w:r>
      <w:r>
        <w:rPr>
          <w:spacing w:val="-7"/>
        </w:rPr>
        <w:t> </w:t>
      </w:r>
      <w:r>
        <w:rPr/>
        <w:t>reliability</w:t>
      </w:r>
      <w:r>
        <w:rPr>
          <w:spacing w:val="-7"/>
        </w:rPr>
        <w:t> </w:t>
      </w:r>
      <w:r>
        <w:rPr/>
        <w:t>without</w:t>
      </w:r>
      <w:r>
        <w:rPr>
          <w:spacing w:val="-7"/>
        </w:rPr>
        <w:t> </w:t>
      </w:r>
      <w:r>
        <w:rPr/>
        <w:t>fully</w:t>
      </w:r>
      <w:r>
        <w:rPr>
          <w:spacing w:val="-7"/>
        </w:rPr>
        <w:t> </w:t>
      </w:r>
      <w:r>
        <w:rPr/>
        <w:t>discarding less-common rules; they still contribute, but proportionally to their historical recurrence.</w:t>
      </w:r>
    </w:p>
    <w:p>
      <w:pPr>
        <w:spacing w:line="299" w:lineRule="exact" w:before="0"/>
        <w:ind w:left="1047" w:right="0" w:firstLine="0"/>
        <w:jc w:val="both"/>
        <w:rPr>
          <w:sz w:val="22"/>
        </w:rPr>
      </w:pPr>
      <w:r>
        <w:rPr>
          <w:b/>
          <w:sz w:val="22"/>
        </w:rPr>
        <w:t>The</w:t>
      </w:r>
      <w:r>
        <w:rPr>
          <w:b/>
          <w:spacing w:val="15"/>
          <w:sz w:val="22"/>
        </w:rPr>
        <w:t> </w:t>
      </w:r>
      <w:r>
        <w:rPr>
          <w:b/>
          <w:sz w:val="22"/>
        </w:rPr>
        <w:t>confidence-weighted</w:t>
      </w:r>
      <w:r>
        <w:rPr>
          <w:b/>
          <w:spacing w:val="15"/>
          <w:sz w:val="22"/>
        </w:rPr>
        <w:t> </w:t>
      </w:r>
      <w:r>
        <w:rPr>
          <w:b/>
          <w:sz w:val="22"/>
        </w:rPr>
        <w:t>variant</w:t>
      </w:r>
      <w:r>
        <w:rPr>
          <w:b/>
          <w:spacing w:val="15"/>
          <w:sz w:val="22"/>
        </w:rPr>
        <w:t> </w:t>
      </w:r>
      <w:r>
        <w:rPr>
          <w:b/>
          <w:sz w:val="22"/>
        </w:rPr>
        <w:t>(CarenR_Dist_Conf)</w:t>
      </w:r>
      <w:r>
        <w:rPr>
          <w:b/>
          <w:spacing w:val="15"/>
          <w:sz w:val="22"/>
        </w:rPr>
        <w:t> </w:t>
      </w:r>
      <w:r>
        <w:rPr>
          <w:sz w:val="22"/>
        </w:rPr>
        <w:t>uses</w:t>
      </w:r>
      <w:r>
        <w:rPr>
          <w:spacing w:val="15"/>
          <w:sz w:val="22"/>
        </w:rPr>
        <w:t> </w:t>
      </w:r>
      <w:r>
        <w:rPr>
          <w:sz w:val="22"/>
        </w:rPr>
        <w:t>1</w:t>
      </w:r>
      <w:r>
        <w:rPr>
          <w:spacing w:val="-20"/>
          <w:sz w:val="22"/>
        </w:rPr>
        <w:t> </w:t>
      </w:r>
      <w:r>
        <w:rPr>
          <w:rFonts w:ascii="Meiryo UI" w:hAnsi="Meiryo UI"/>
          <w:i/>
          <w:sz w:val="22"/>
        </w:rPr>
        <w:t>−</w:t>
      </w:r>
      <w:r>
        <w:rPr>
          <w:rFonts w:ascii="Meiryo UI" w:hAnsi="Meiryo UI"/>
          <w:i/>
          <w:spacing w:val="-21"/>
          <w:sz w:val="22"/>
        </w:rPr>
        <w:t> </w:t>
      </w:r>
      <w:r>
        <w:rPr>
          <w:i/>
          <w:sz w:val="22"/>
        </w:rPr>
        <w:t>p</w:t>
      </w:r>
      <w:r>
        <w:rPr>
          <w:i/>
          <w:sz w:val="22"/>
          <w:vertAlign w:val="subscript"/>
        </w:rPr>
        <w:t>i</w:t>
      </w:r>
      <w:r>
        <w:rPr>
          <w:i/>
          <w:spacing w:val="25"/>
          <w:sz w:val="22"/>
          <w:vertAlign w:val="baseline"/>
        </w:rPr>
        <w:t> </w:t>
      </w:r>
      <w:r>
        <w:rPr>
          <w:sz w:val="22"/>
          <w:vertAlign w:val="baseline"/>
        </w:rPr>
        <w:t>as</w:t>
      </w:r>
      <w:r>
        <w:rPr>
          <w:spacing w:val="15"/>
          <w:sz w:val="22"/>
          <w:vertAlign w:val="baseline"/>
        </w:rPr>
        <w:t> </w:t>
      </w:r>
      <w:r>
        <w:rPr>
          <w:sz w:val="22"/>
          <w:vertAlign w:val="baseline"/>
        </w:rPr>
        <w:t>the</w:t>
      </w:r>
      <w:r>
        <w:rPr>
          <w:spacing w:val="15"/>
          <w:sz w:val="22"/>
          <w:vertAlign w:val="baseline"/>
        </w:rPr>
        <w:t> </w:t>
      </w:r>
      <w:r>
        <w:rPr>
          <w:sz w:val="22"/>
          <w:vertAlign w:val="baseline"/>
        </w:rPr>
        <w:t>weight,</w:t>
      </w:r>
      <w:r>
        <w:rPr>
          <w:spacing w:val="18"/>
          <w:sz w:val="22"/>
          <w:vertAlign w:val="baseline"/>
        </w:rPr>
        <w:t> </w:t>
      </w:r>
      <w:r>
        <w:rPr>
          <w:spacing w:val="-2"/>
          <w:sz w:val="22"/>
          <w:vertAlign w:val="baseline"/>
        </w:rPr>
        <w:t>giving</w:t>
      </w:r>
    </w:p>
    <w:p>
      <w:pPr>
        <w:pStyle w:val="BodyText"/>
        <w:spacing w:line="312" w:lineRule="auto" w:before="31"/>
        <w:ind w:left="709" w:right="954"/>
        <w:jc w:val="both"/>
      </w:pPr>
      <w:r>
        <w:rPr/>
        <w:t>more influence to rules whose subgroup distribution is most statistically distinct from the global </w:t>
      </w:r>
      <w:r>
        <w:rPr>
          <w:spacing w:val="-2"/>
        </w:rPr>
        <w:t>distribution.</w:t>
      </w:r>
      <w:r>
        <w:rPr/>
        <w:t> </w:t>
      </w:r>
      <w:r>
        <w:rPr>
          <w:spacing w:val="-2"/>
        </w:rPr>
        <w:t>In</w:t>
      </w:r>
      <w:r>
        <w:rPr>
          <w:spacing w:val="-9"/>
        </w:rPr>
        <w:t> </w:t>
      </w:r>
      <w:r>
        <w:rPr>
          <w:spacing w:val="-2"/>
        </w:rPr>
        <w:t>theory</w:t>
      </w:r>
      <w:r>
        <w:rPr>
          <w:spacing w:val="-9"/>
        </w:rPr>
        <w:t> </w:t>
      </w:r>
      <w:r>
        <w:rPr>
          <w:spacing w:val="-2"/>
        </w:rPr>
        <w:t>this</w:t>
      </w:r>
      <w:r>
        <w:rPr>
          <w:spacing w:val="-9"/>
        </w:rPr>
        <w:t> </w:t>
      </w:r>
      <w:r>
        <w:rPr>
          <w:spacing w:val="-2"/>
        </w:rPr>
        <w:t>should</w:t>
      </w:r>
      <w:r>
        <w:rPr>
          <w:spacing w:val="-9"/>
        </w:rPr>
        <w:t> </w:t>
      </w:r>
      <w:r>
        <w:rPr>
          <w:spacing w:val="-2"/>
        </w:rPr>
        <w:t>favour</w:t>
      </w:r>
      <w:r>
        <w:rPr>
          <w:spacing w:val="-9"/>
        </w:rPr>
        <w:t> </w:t>
      </w:r>
      <w:r>
        <w:rPr>
          <w:spacing w:val="-2"/>
        </w:rPr>
        <w:t>the</w:t>
      </w:r>
      <w:r>
        <w:rPr>
          <w:spacing w:val="-9"/>
        </w:rPr>
        <w:t> </w:t>
      </w:r>
      <w:r>
        <w:rPr>
          <w:spacing w:val="-2"/>
        </w:rPr>
        <w:t>most</w:t>
      </w:r>
      <w:r>
        <w:rPr>
          <w:spacing w:val="-9"/>
        </w:rPr>
        <w:t> </w:t>
      </w:r>
      <w:r>
        <w:rPr>
          <w:spacing w:val="-2"/>
        </w:rPr>
        <w:t>reliable</w:t>
      </w:r>
      <w:r>
        <w:rPr>
          <w:spacing w:val="-9"/>
        </w:rPr>
        <w:t> </w:t>
      </w:r>
      <w:r>
        <w:rPr>
          <w:spacing w:val="-2"/>
        </w:rPr>
        <w:t>patterns;</w:t>
      </w:r>
      <w:r>
        <w:rPr>
          <w:spacing w:val="-9"/>
        </w:rPr>
        <w:t> </w:t>
      </w:r>
      <w:r>
        <w:rPr>
          <w:spacing w:val="-2"/>
        </w:rPr>
        <w:t>in</w:t>
      </w:r>
      <w:r>
        <w:rPr>
          <w:spacing w:val="-9"/>
        </w:rPr>
        <w:t> </w:t>
      </w:r>
      <w:r>
        <w:rPr>
          <w:spacing w:val="-2"/>
        </w:rPr>
        <w:t>practice</w:t>
      </w:r>
      <w:r>
        <w:rPr>
          <w:spacing w:val="-9"/>
        </w:rPr>
        <w:t> </w:t>
      </w:r>
      <w:r>
        <w:rPr>
          <w:spacing w:val="-2"/>
        </w:rPr>
        <w:t>it</w:t>
      </w:r>
      <w:r>
        <w:rPr>
          <w:spacing w:val="-9"/>
        </w:rPr>
        <w:t> </w:t>
      </w:r>
      <w:r>
        <w:rPr>
          <w:spacing w:val="-2"/>
        </w:rPr>
        <w:t>performs</w:t>
      </w:r>
      <w:r>
        <w:rPr>
          <w:spacing w:val="-9"/>
        </w:rPr>
        <w:t> </w:t>
      </w:r>
      <w:r>
        <w:rPr>
          <w:spacing w:val="-2"/>
        </w:rPr>
        <w:t>compara-</w:t>
      </w:r>
      <w:r>
        <w:rPr/>
        <w:t>bly</w:t>
      </w:r>
      <w:r>
        <w:rPr>
          <w:spacing w:val="-5"/>
        </w:rPr>
        <w:t> </w:t>
      </w:r>
      <w:r>
        <w:rPr/>
        <w:t>to</w:t>
      </w:r>
      <w:r>
        <w:rPr>
          <w:spacing w:val="-5"/>
        </w:rPr>
        <w:t> </w:t>
      </w:r>
      <w:r>
        <w:rPr/>
        <w:t>support</w:t>
      </w:r>
      <w:r>
        <w:rPr>
          <w:spacing w:val="-5"/>
        </w:rPr>
        <w:t> </w:t>
      </w:r>
      <w:r>
        <w:rPr/>
        <w:t>weighting</w:t>
      </w:r>
      <w:r>
        <w:rPr>
          <w:spacing w:val="-5"/>
        </w:rPr>
        <w:t> </w:t>
      </w:r>
      <w:r>
        <w:rPr/>
        <w:t>(RDD</w:t>
      </w:r>
      <w:r>
        <w:rPr>
          <w:spacing w:val="-5"/>
        </w:rPr>
        <w:t> </w:t>
      </w:r>
      <w:r>
        <w:rPr/>
        <w:t>rank</w:t>
      </w:r>
      <w:r>
        <w:rPr>
          <w:spacing w:val="-5"/>
        </w:rPr>
        <w:t> </w:t>
      </w:r>
      <w:r>
        <w:rPr/>
        <w:t>6,</w:t>
      </w:r>
      <w:r>
        <w:rPr>
          <w:spacing w:val="-5"/>
        </w:rPr>
        <w:t> </w:t>
      </w:r>
      <w:r>
        <w:rPr/>
        <w:t>RVV</w:t>
      </w:r>
      <w:r>
        <w:rPr>
          <w:spacing w:val="-5"/>
        </w:rPr>
        <w:t> </w:t>
      </w:r>
      <w:r>
        <w:rPr/>
        <w:t>rank</w:t>
      </w:r>
      <w:r>
        <w:rPr>
          <w:spacing w:val="-5"/>
        </w:rPr>
        <w:t> </w:t>
      </w:r>
      <w:r>
        <w:rPr/>
        <w:t>3</w:t>
      </w:r>
      <w:r>
        <w:rPr>
          <w:spacing w:val="-5"/>
        </w:rPr>
        <w:t> </w:t>
      </w:r>
      <w:r>
        <w:rPr/>
        <w:t>in</w:t>
      </w:r>
      <w:r>
        <w:rPr>
          <w:spacing w:val="-5"/>
        </w:rPr>
        <w:t> </w:t>
      </w:r>
      <w:r>
        <w:rPr/>
        <w:t>Table</w:t>
      </w:r>
      <w:r>
        <w:rPr>
          <w:spacing w:val="-5"/>
        </w:rPr>
        <w:t> </w:t>
      </w:r>
      <w:hyperlink w:history="true" w:anchor="_bookmark100">
        <w:r>
          <w:rPr>
            <w:color w:val="8B2C18"/>
          </w:rPr>
          <w:t>5.1</w:t>
        </w:r>
      </w:hyperlink>
      <w:r>
        <w:rPr/>
        <w:t>),</w:t>
      </w:r>
      <w:r>
        <w:rPr>
          <w:spacing w:val="-5"/>
        </w:rPr>
        <w:t> </w:t>
      </w:r>
      <w:r>
        <w:rPr/>
        <w:t>suggesting</w:t>
      </w:r>
      <w:r>
        <w:rPr>
          <w:spacing w:val="-5"/>
        </w:rPr>
        <w:t> </w:t>
      </w:r>
      <w:r>
        <w:rPr/>
        <w:t>that</w:t>
      </w:r>
      <w:r>
        <w:rPr>
          <w:spacing w:val="-5"/>
        </w:rPr>
        <w:t> </w:t>
      </w:r>
      <w:r>
        <w:rPr/>
        <w:t>KS</w:t>
      </w:r>
      <w:r>
        <w:rPr>
          <w:spacing w:val="-5"/>
        </w:rPr>
        <w:t> </w:t>
      </w:r>
      <w:r>
        <w:rPr/>
        <w:t>p-value</w:t>
      </w:r>
      <w:r>
        <w:rPr>
          <w:spacing w:val="-5"/>
        </w:rPr>
        <w:t> </w:t>
      </w:r>
      <w:r>
        <w:rPr/>
        <w:t>and support are correlated enough that both approaches identify the same rules as most important.</w:t>
      </w:r>
    </w:p>
    <w:p>
      <w:pPr>
        <w:spacing w:line="304" w:lineRule="exact" w:before="0"/>
        <w:ind w:left="1047" w:right="0" w:firstLine="0"/>
        <w:jc w:val="both"/>
        <w:rPr>
          <w:sz w:val="22"/>
        </w:rPr>
      </w:pPr>
      <w:r>
        <w:rPr>
          <w:b/>
          <w:sz w:val="22"/>
        </w:rPr>
        <w:t>When</w:t>
      </w:r>
      <w:r>
        <w:rPr>
          <w:b/>
          <w:spacing w:val="-14"/>
          <w:sz w:val="22"/>
        </w:rPr>
        <w:t> </w:t>
      </w:r>
      <w:r>
        <w:rPr>
          <w:b/>
          <w:sz w:val="22"/>
        </w:rPr>
        <w:t>exactly</w:t>
      </w:r>
      <w:r>
        <w:rPr>
          <w:b/>
          <w:spacing w:val="-14"/>
          <w:sz w:val="22"/>
        </w:rPr>
        <w:t> </w:t>
      </w:r>
      <w:r>
        <w:rPr>
          <w:b/>
          <w:sz w:val="22"/>
        </w:rPr>
        <w:t>one</w:t>
      </w:r>
      <w:r>
        <w:rPr>
          <w:b/>
          <w:spacing w:val="-13"/>
          <w:sz w:val="22"/>
        </w:rPr>
        <w:t> </w:t>
      </w:r>
      <w:r>
        <w:rPr>
          <w:b/>
          <w:sz w:val="22"/>
        </w:rPr>
        <w:t>rule</w:t>
      </w:r>
      <w:r>
        <w:rPr>
          <w:b/>
          <w:spacing w:val="-9"/>
          <w:sz w:val="22"/>
        </w:rPr>
        <w:t> </w:t>
      </w:r>
      <w:r>
        <w:rPr>
          <w:b/>
          <w:sz w:val="22"/>
        </w:rPr>
        <w:t>fires,</w:t>
      </w:r>
      <w:r>
        <w:rPr>
          <w:b/>
          <w:spacing w:val="-9"/>
          <w:sz w:val="22"/>
        </w:rPr>
        <w:t> </w:t>
      </w:r>
      <w:r>
        <w:rPr>
          <w:sz w:val="22"/>
        </w:rPr>
        <w:t>the</w:t>
      </w:r>
      <w:r>
        <w:rPr>
          <w:spacing w:val="-9"/>
          <w:sz w:val="22"/>
        </w:rPr>
        <w:t> </w:t>
      </w:r>
      <w:r>
        <w:rPr>
          <w:sz w:val="22"/>
        </w:rPr>
        <w:t>formula</w:t>
      </w:r>
      <w:r>
        <w:rPr>
          <w:spacing w:val="-9"/>
          <w:sz w:val="22"/>
        </w:rPr>
        <w:t> </w:t>
      </w:r>
      <w:r>
        <w:rPr>
          <w:sz w:val="22"/>
        </w:rPr>
        <w:t>simplifies</w:t>
      </w:r>
      <w:r>
        <w:rPr>
          <w:spacing w:val="-9"/>
          <w:sz w:val="22"/>
        </w:rPr>
        <w:t> </w:t>
      </w:r>
      <w:r>
        <w:rPr>
          <w:sz w:val="22"/>
        </w:rPr>
        <w:t>to</w:t>
      </w:r>
      <w:r>
        <w:rPr>
          <w:spacing w:val="-9"/>
          <w:sz w:val="22"/>
        </w:rPr>
        <w:t> </w:t>
      </w:r>
      <w:r>
        <w:rPr>
          <w:i/>
          <w:sz w:val="22"/>
        </w:rPr>
        <w:t>y</w:t>
      </w:r>
      <w:r>
        <w:rPr>
          <w:sz w:val="22"/>
        </w:rPr>
        <w:t>ˆ</w:t>
      </w:r>
      <w:r>
        <w:rPr>
          <w:rFonts w:ascii="Lucida Sans Unicode" w:hAnsi="Lucida Sans Unicode"/>
          <w:sz w:val="22"/>
        </w:rPr>
        <w:t>(</w:t>
      </w:r>
      <w:r>
        <w:rPr>
          <w:i/>
          <w:sz w:val="22"/>
        </w:rPr>
        <w:t>t</w:t>
      </w:r>
      <w:r>
        <w:rPr>
          <w:rFonts w:ascii="Lucida Sans Unicode" w:hAnsi="Lucida Sans Unicode"/>
          <w:sz w:val="22"/>
        </w:rPr>
        <w:t>)</w:t>
      </w:r>
      <w:r>
        <w:rPr>
          <w:rFonts w:ascii="Lucida Sans Unicode" w:hAnsi="Lucida Sans Unicode"/>
          <w:spacing w:val="-22"/>
          <w:sz w:val="22"/>
        </w:rPr>
        <w:t> </w:t>
      </w:r>
      <w:r>
        <w:rPr>
          <w:rFonts w:ascii="Lucida Sans Unicode" w:hAnsi="Lucida Sans Unicode"/>
          <w:sz w:val="22"/>
        </w:rPr>
        <w:t>=</w:t>
      </w:r>
      <w:r>
        <w:rPr>
          <w:rFonts w:ascii="Lucida Sans Unicode" w:hAnsi="Lucida Sans Unicode"/>
          <w:spacing w:val="-21"/>
          <w:sz w:val="22"/>
        </w:rPr>
        <w:t> </w:t>
      </w:r>
      <w:r>
        <w:rPr>
          <w:i/>
          <w:sz w:val="22"/>
        </w:rPr>
        <w:t>m</w:t>
      </w:r>
      <w:r>
        <w:rPr>
          <w:i/>
          <w:sz w:val="22"/>
          <w:vertAlign w:val="subscript"/>
        </w:rPr>
        <w:t>i</w:t>
      </w:r>
      <w:r>
        <w:rPr>
          <w:sz w:val="22"/>
          <w:vertAlign w:val="baseline"/>
        </w:rPr>
        <w:t>,</w:t>
      </w:r>
      <w:r>
        <w:rPr>
          <w:spacing w:val="-9"/>
          <w:sz w:val="22"/>
          <w:vertAlign w:val="baseline"/>
        </w:rPr>
        <w:t> </w:t>
      </w:r>
      <w:r>
        <w:rPr>
          <w:sz w:val="22"/>
          <w:vertAlign w:val="baseline"/>
        </w:rPr>
        <w:t>the</w:t>
      </w:r>
      <w:r>
        <w:rPr>
          <w:spacing w:val="-9"/>
          <w:sz w:val="22"/>
          <w:vertAlign w:val="baseline"/>
        </w:rPr>
        <w:t> </w:t>
      </w:r>
      <w:r>
        <w:rPr>
          <w:sz w:val="22"/>
          <w:vertAlign w:val="baseline"/>
        </w:rPr>
        <w:t>prediction</w:t>
      </w:r>
      <w:r>
        <w:rPr>
          <w:spacing w:val="-9"/>
          <w:sz w:val="22"/>
          <w:vertAlign w:val="baseline"/>
        </w:rPr>
        <w:t> </w:t>
      </w:r>
      <w:r>
        <w:rPr>
          <w:sz w:val="22"/>
          <w:vertAlign w:val="baseline"/>
        </w:rPr>
        <w:t>is</w:t>
      </w:r>
      <w:r>
        <w:rPr>
          <w:spacing w:val="-9"/>
          <w:sz w:val="22"/>
          <w:vertAlign w:val="baseline"/>
        </w:rPr>
        <w:t> </w:t>
      </w:r>
      <w:r>
        <w:rPr>
          <w:sz w:val="22"/>
          <w:vertAlign w:val="baseline"/>
        </w:rPr>
        <w:t>simply</w:t>
      </w:r>
      <w:r>
        <w:rPr>
          <w:spacing w:val="-9"/>
          <w:sz w:val="22"/>
          <w:vertAlign w:val="baseline"/>
        </w:rPr>
        <w:t> </w:t>
      </w:r>
      <w:r>
        <w:rPr>
          <w:spacing w:val="-5"/>
          <w:sz w:val="22"/>
          <w:vertAlign w:val="baseline"/>
        </w:rPr>
        <w:t>the</w:t>
      </w:r>
    </w:p>
    <w:p>
      <w:pPr>
        <w:pStyle w:val="BodyText"/>
        <w:spacing w:line="312" w:lineRule="auto" w:before="27"/>
        <w:ind w:left="701" w:right="982" w:firstLine="7"/>
        <w:jc w:val="both"/>
      </w:pPr>
      <w:r>
        <w:rPr/>
        <w:t>median residual of the matching subgroup, independent of support (which cancels). The support weighting only has an effect when two or more rules fire simultaneously, resolving conflicts by favouring more broadly applicable rules.</w:t>
      </w:r>
    </w:p>
    <w:p>
      <w:pPr>
        <w:pStyle w:val="BodyText"/>
        <w:spacing w:before="156"/>
      </w:pPr>
    </w:p>
    <w:p>
      <w:pPr>
        <w:pStyle w:val="Heading2"/>
        <w:numPr>
          <w:ilvl w:val="1"/>
          <w:numId w:val="17"/>
        </w:numPr>
        <w:tabs>
          <w:tab w:pos="1354" w:val="left" w:leader="none"/>
        </w:tabs>
        <w:spacing w:line="240" w:lineRule="auto" w:before="0" w:after="0"/>
        <w:ind w:left="1354" w:right="0" w:hanging="645"/>
        <w:jc w:val="left"/>
      </w:pPr>
      <w:bookmarkStart w:name="3.9 Formal Stationarity Testing" w:id="98"/>
      <w:bookmarkEnd w:id="98"/>
      <w:r>
        <w:rPr>
          <w:b w:val="0"/>
        </w:rPr>
      </w:r>
      <w:bookmarkStart w:name="_bookmark52" w:id="99"/>
      <w:bookmarkEnd w:id="99"/>
      <w:r>
        <w:rPr>
          <w:b w:val="0"/>
        </w:rPr>
      </w:r>
      <w:r>
        <w:rPr/>
        <w:t>Formal</w:t>
      </w:r>
      <w:r>
        <w:rPr>
          <w:spacing w:val="20"/>
        </w:rPr>
        <w:t> </w:t>
      </w:r>
      <w:r>
        <w:rPr/>
        <w:t>Stationarity</w:t>
      </w:r>
      <w:r>
        <w:rPr>
          <w:spacing w:val="20"/>
        </w:rPr>
        <w:t> </w:t>
      </w:r>
      <w:r>
        <w:rPr>
          <w:spacing w:val="-2"/>
        </w:rPr>
        <w:t>Testing</w:t>
      </w:r>
    </w:p>
    <w:p>
      <w:pPr>
        <w:pStyle w:val="BodyText"/>
        <w:spacing w:line="312" w:lineRule="auto" w:before="294"/>
        <w:ind w:left="709" w:right="954" w:hanging="7"/>
        <w:jc w:val="both"/>
      </w:pPr>
      <w:r>
        <w:rPr/>
        <w:t>The</w:t>
      </w:r>
      <w:r>
        <w:rPr>
          <w:spacing w:val="-10"/>
        </w:rPr>
        <w:t> </w:t>
      </w:r>
      <w:r>
        <w:rPr/>
        <w:t>need</w:t>
      </w:r>
      <w:r>
        <w:rPr>
          <w:spacing w:val="-10"/>
        </w:rPr>
        <w:t> </w:t>
      </w:r>
      <w:r>
        <w:rPr/>
        <w:t>for</w:t>
      </w:r>
      <w:r>
        <w:rPr>
          <w:spacing w:val="-10"/>
        </w:rPr>
        <w:t> </w:t>
      </w:r>
      <w:r>
        <w:rPr/>
        <w:t>detrending</w:t>
      </w:r>
      <w:r>
        <w:rPr>
          <w:spacing w:val="-10"/>
        </w:rPr>
        <w:t> </w:t>
      </w:r>
      <w:r>
        <w:rPr/>
        <w:t>is</w:t>
      </w:r>
      <w:r>
        <w:rPr>
          <w:spacing w:val="-10"/>
        </w:rPr>
        <w:t> </w:t>
      </w:r>
      <w:r>
        <w:rPr/>
        <w:t>not</w:t>
      </w:r>
      <w:r>
        <w:rPr>
          <w:spacing w:val="-10"/>
        </w:rPr>
        <w:t> </w:t>
      </w:r>
      <w:r>
        <w:rPr/>
        <w:t>merely</w:t>
      </w:r>
      <w:r>
        <w:rPr>
          <w:spacing w:val="-10"/>
        </w:rPr>
        <w:t> </w:t>
      </w:r>
      <w:r>
        <w:rPr/>
        <w:t>heuristic: both</w:t>
      </w:r>
      <w:r>
        <w:rPr>
          <w:spacing w:val="-10"/>
        </w:rPr>
        <w:t> </w:t>
      </w:r>
      <w:r>
        <w:rPr/>
        <w:t>production</w:t>
      </w:r>
      <w:r>
        <w:rPr>
          <w:spacing w:val="-10"/>
        </w:rPr>
        <w:t> </w:t>
      </w:r>
      <w:r>
        <w:rPr/>
        <w:t>series</w:t>
      </w:r>
      <w:r>
        <w:rPr>
          <w:spacing w:val="-10"/>
        </w:rPr>
        <w:t> </w:t>
      </w:r>
      <w:r>
        <w:rPr/>
        <w:t>exhibit</w:t>
      </w:r>
      <w:r>
        <w:rPr>
          <w:spacing w:val="-10"/>
        </w:rPr>
        <w:t> </w:t>
      </w:r>
      <w:r>
        <w:rPr/>
        <w:t>statistically</w:t>
      </w:r>
      <w:r>
        <w:rPr>
          <w:spacing w:val="-10"/>
        </w:rPr>
        <w:t> </w:t>
      </w:r>
      <w:r>
        <w:rPr/>
        <w:t>signifi-cant</w:t>
      </w:r>
      <w:r>
        <w:rPr>
          <w:spacing w:val="-14"/>
        </w:rPr>
        <w:t> </w:t>
      </w:r>
      <w:r>
        <w:rPr/>
        <w:t>non-stationarity</w:t>
      </w:r>
      <w:r>
        <w:rPr>
          <w:spacing w:val="-14"/>
        </w:rPr>
        <w:t> </w:t>
      </w:r>
      <w:r>
        <w:rPr/>
        <w:t>in</w:t>
      </w:r>
      <w:r>
        <w:rPr>
          <w:spacing w:val="-14"/>
        </w:rPr>
        <w:t> </w:t>
      </w:r>
      <w:r>
        <w:rPr/>
        <w:t>their</w:t>
      </w:r>
      <w:r>
        <w:rPr>
          <w:spacing w:val="-13"/>
        </w:rPr>
        <w:t> </w:t>
      </w:r>
      <w:r>
        <w:rPr/>
        <w:t>raw</w:t>
      </w:r>
      <w:r>
        <w:rPr>
          <w:spacing w:val="-14"/>
        </w:rPr>
        <w:t> </w:t>
      </w:r>
      <w:r>
        <w:rPr/>
        <w:t>form,</w:t>
      </w:r>
      <w:r>
        <w:rPr>
          <w:spacing w:val="-14"/>
        </w:rPr>
        <w:t> </w:t>
      </w:r>
      <w:r>
        <w:rPr/>
        <w:t>formally</w:t>
      </w:r>
      <w:r>
        <w:rPr>
          <w:spacing w:val="-14"/>
        </w:rPr>
        <w:t> </w:t>
      </w:r>
      <w:r>
        <w:rPr/>
        <w:t>confirmed</w:t>
      </w:r>
      <w:r>
        <w:rPr>
          <w:spacing w:val="-13"/>
        </w:rPr>
        <w:t> </w:t>
      </w:r>
      <w:r>
        <w:rPr/>
        <w:t>by</w:t>
      </w:r>
      <w:r>
        <w:rPr>
          <w:spacing w:val="-14"/>
        </w:rPr>
        <w:t> </w:t>
      </w:r>
      <w:r>
        <w:rPr/>
        <w:t>two</w:t>
      </w:r>
      <w:r>
        <w:rPr>
          <w:spacing w:val="-14"/>
        </w:rPr>
        <w:t> </w:t>
      </w:r>
      <w:r>
        <w:rPr/>
        <w:t>complementary</w:t>
      </w:r>
      <w:r>
        <w:rPr>
          <w:spacing w:val="-14"/>
        </w:rPr>
        <w:t> </w:t>
      </w:r>
      <w:r>
        <w:rPr/>
        <w:t>tests.</w:t>
      </w:r>
      <w:r>
        <w:rPr>
          <w:spacing w:val="-9"/>
        </w:rPr>
        <w:t> </w:t>
      </w:r>
      <w:r>
        <w:rPr/>
        <w:t>The</w:t>
      </w:r>
      <w:r>
        <w:rPr>
          <w:spacing w:val="-14"/>
        </w:rPr>
        <w:t> </w:t>
      </w:r>
      <w:r>
        <w:rPr/>
        <w:t>Aug-</w:t>
      </w:r>
      <w:r>
        <w:rPr>
          <w:spacing w:val="-4"/>
        </w:rPr>
        <w:t>mented</w:t>
      </w:r>
      <w:r>
        <w:rPr>
          <w:spacing w:val="-3"/>
        </w:rPr>
        <w:t> </w:t>
      </w:r>
      <w:r>
        <w:rPr>
          <w:spacing w:val="-4"/>
        </w:rPr>
        <w:t>Dickey-Fuller</w:t>
      </w:r>
      <w:r>
        <w:rPr>
          <w:spacing w:val="-2"/>
        </w:rPr>
        <w:t> </w:t>
      </w:r>
      <w:r>
        <w:rPr>
          <w:spacing w:val="-4"/>
        </w:rPr>
        <w:t>(ADF)</w:t>
      </w:r>
      <w:r>
        <w:rPr>
          <w:spacing w:val="-2"/>
        </w:rPr>
        <w:t> </w:t>
      </w:r>
      <w:r>
        <w:rPr>
          <w:spacing w:val="-4"/>
        </w:rPr>
        <w:t>test</w:t>
      </w:r>
      <w:r>
        <w:rPr>
          <w:spacing w:val="-2"/>
        </w:rPr>
        <w:t> </w:t>
      </w:r>
      <w:r>
        <w:rPr>
          <w:spacing w:val="-4"/>
        </w:rPr>
        <w:t>uses</w:t>
      </w:r>
      <w:r>
        <w:rPr>
          <w:spacing w:val="-2"/>
        </w:rPr>
        <w:t> </w:t>
      </w:r>
      <w:r>
        <w:rPr>
          <w:spacing w:val="-4"/>
        </w:rPr>
        <w:t>the</w:t>
      </w:r>
      <w:r>
        <w:rPr>
          <w:spacing w:val="-3"/>
        </w:rPr>
        <w:t> </w:t>
      </w:r>
      <w:r>
        <w:rPr>
          <w:spacing w:val="-4"/>
        </w:rPr>
        <w:t>null</w:t>
      </w:r>
      <w:r>
        <w:rPr>
          <w:spacing w:val="-2"/>
        </w:rPr>
        <w:t> </w:t>
      </w:r>
      <w:r>
        <w:rPr>
          <w:spacing w:val="-4"/>
        </w:rPr>
        <w:t>hypothesis</w:t>
      </w:r>
      <w:r>
        <w:rPr>
          <w:spacing w:val="-2"/>
        </w:rPr>
        <w:t> </w:t>
      </w:r>
      <w:r>
        <w:rPr>
          <w:spacing w:val="-4"/>
        </w:rPr>
        <w:t>that</w:t>
      </w:r>
      <w:r>
        <w:rPr>
          <w:spacing w:val="-2"/>
        </w:rPr>
        <w:t> </w:t>
      </w:r>
      <w:r>
        <w:rPr>
          <w:spacing w:val="-4"/>
        </w:rPr>
        <w:t>a</w:t>
      </w:r>
      <w:r>
        <w:rPr>
          <w:spacing w:val="-2"/>
        </w:rPr>
        <w:t> </w:t>
      </w:r>
      <w:r>
        <w:rPr>
          <w:spacing w:val="-4"/>
        </w:rPr>
        <w:t>unit</w:t>
      </w:r>
      <w:r>
        <w:rPr>
          <w:spacing w:val="-3"/>
        </w:rPr>
        <w:t> </w:t>
      </w:r>
      <w:r>
        <w:rPr>
          <w:spacing w:val="-4"/>
        </w:rPr>
        <w:t>root</w:t>
      </w:r>
      <w:r>
        <w:rPr>
          <w:spacing w:val="-2"/>
        </w:rPr>
        <w:t> </w:t>
      </w:r>
      <w:r>
        <w:rPr>
          <w:spacing w:val="-4"/>
        </w:rPr>
        <w:t>is</w:t>
      </w:r>
      <w:r>
        <w:rPr>
          <w:spacing w:val="-2"/>
        </w:rPr>
        <w:t> </w:t>
      </w:r>
      <w:r>
        <w:rPr>
          <w:spacing w:val="-4"/>
        </w:rPr>
        <w:t>present</w:t>
      </w:r>
      <w:r>
        <w:rPr>
          <w:spacing w:val="-2"/>
        </w:rPr>
        <w:t> </w:t>
      </w:r>
      <w:r>
        <w:rPr>
          <w:spacing w:val="-4"/>
        </w:rPr>
        <w:t>(non-stationary);</w:t>
      </w:r>
    </w:p>
    <w:p>
      <w:pPr>
        <w:pStyle w:val="BodyText"/>
        <w:spacing w:after="0" w:line="312" w:lineRule="auto"/>
        <w:jc w:val="both"/>
        <w:sectPr>
          <w:type w:val="continuous"/>
          <w:pgSz w:w="11910" w:h="16840"/>
          <w:pgMar w:header="1160" w:footer="0" w:top="1120" w:bottom="280" w:left="1275" w:right="425"/>
        </w:sectPr>
      </w:pPr>
    </w:p>
    <w:p>
      <w:pPr>
        <w:pStyle w:val="BodyText"/>
      </w:pPr>
    </w:p>
    <w:p>
      <w:pPr>
        <w:pStyle w:val="BodyText"/>
        <w:spacing w:before="25"/>
      </w:pPr>
    </w:p>
    <w:p>
      <w:pPr>
        <w:pStyle w:val="BodyText"/>
        <w:spacing w:line="312" w:lineRule="auto" w:before="1"/>
        <w:ind w:left="134" w:right="1519" w:firstLine="7"/>
        <w:jc w:val="both"/>
      </w:pPr>
      <w:r>
        <w:rPr/>
        <w:t>rejection at </w:t>
      </w:r>
      <w:r>
        <w:rPr>
          <w:i/>
        </w:rPr>
        <w:t>α </w:t>
      </w:r>
      <w:r>
        <w:rPr/>
        <w:t>= 0.05 indicates stationarity. The KPSS (Kwiatkowski-Phillips-Schmidt-Shin) test reverses this logic, using the null hypothesis of stationarity; rejection indicates non-stationarity. Applying both tests provides a more robust assessment than either test alone, since ADF has low power against near-unit-root processes and KPSS is sensitive to long-run variance estimation.</w:t>
      </w:r>
    </w:p>
    <w:p>
      <w:pPr>
        <w:pStyle w:val="BodyText"/>
        <w:spacing w:line="312" w:lineRule="auto"/>
        <w:ind w:left="142" w:right="1557" w:firstLine="338"/>
        <w:jc w:val="both"/>
      </w:pPr>
      <w:r>
        <w:rPr>
          <w:spacing w:val="-2"/>
        </w:rPr>
        <w:t>Table</w:t>
      </w:r>
      <w:r>
        <w:rPr>
          <w:spacing w:val="-8"/>
        </w:rPr>
        <w:t> </w:t>
      </w:r>
      <w:hyperlink w:history="true" w:anchor="_bookmark53">
        <w:r>
          <w:rPr>
            <w:color w:val="8B2C18"/>
            <w:spacing w:val="-2"/>
          </w:rPr>
          <w:t>3.7</w:t>
        </w:r>
      </w:hyperlink>
      <w:r>
        <w:rPr>
          <w:color w:val="8B2C18"/>
          <w:spacing w:val="-8"/>
        </w:rPr>
        <w:t> </w:t>
      </w:r>
      <w:r>
        <w:rPr>
          <w:spacing w:val="-2"/>
        </w:rPr>
        <w:t>reports</w:t>
      </w:r>
      <w:r>
        <w:rPr>
          <w:spacing w:val="-8"/>
        </w:rPr>
        <w:t> </w:t>
      </w:r>
      <w:r>
        <w:rPr>
          <w:spacing w:val="-2"/>
        </w:rPr>
        <w:t>the</w:t>
      </w:r>
      <w:r>
        <w:rPr>
          <w:spacing w:val="-8"/>
        </w:rPr>
        <w:t> </w:t>
      </w:r>
      <w:r>
        <w:rPr>
          <w:spacing w:val="-2"/>
        </w:rPr>
        <w:t>test</w:t>
      </w:r>
      <w:r>
        <w:rPr>
          <w:spacing w:val="-8"/>
        </w:rPr>
        <w:t> </w:t>
      </w:r>
      <w:r>
        <w:rPr>
          <w:spacing w:val="-2"/>
        </w:rPr>
        <w:t>results</w:t>
      </w:r>
      <w:r>
        <w:rPr>
          <w:spacing w:val="-8"/>
        </w:rPr>
        <w:t> </w:t>
      </w:r>
      <w:r>
        <w:rPr>
          <w:spacing w:val="-2"/>
        </w:rPr>
        <w:t>for</w:t>
      </w:r>
      <w:r>
        <w:rPr>
          <w:spacing w:val="-8"/>
        </w:rPr>
        <w:t> </w:t>
      </w:r>
      <w:r>
        <w:rPr>
          <w:spacing w:val="-2"/>
        </w:rPr>
        <w:t>the</w:t>
      </w:r>
      <w:r>
        <w:rPr>
          <w:spacing w:val="-8"/>
        </w:rPr>
        <w:t> </w:t>
      </w:r>
      <w:r>
        <w:rPr>
          <w:spacing w:val="-2"/>
        </w:rPr>
        <w:t>raw</w:t>
      </w:r>
      <w:r>
        <w:rPr>
          <w:spacing w:val="-8"/>
        </w:rPr>
        <w:t> </w:t>
      </w:r>
      <w:r>
        <w:rPr>
          <w:spacing w:val="-2"/>
        </w:rPr>
        <w:t>production</w:t>
      </w:r>
      <w:r>
        <w:rPr>
          <w:spacing w:val="-8"/>
        </w:rPr>
        <w:t> </w:t>
      </w:r>
      <w:r>
        <w:rPr>
          <w:spacing w:val="-2"/>
        </w:rPr>
        <w:t>series</w:t>
      </w:r>
      <w:r>
        <w:rPr>
          <w:spacing w:val="-8"/>
        </w:rPr>
        <w:t> </w:t>
      </w:r>
      <w:r>
        <w:rPr>
          <w:spacing w:val="-2"/>
        </w:rPr>
        <w:t>and</w:t>
      </w:r>
      <w:r>
        <w:rPr>
          <w:spacing w:val="-8"/>
        </w:rPr>
        <w:t> </w:t>
      </w:r>
      <w:r>
        <w:rPr>
          <w:spacing w:val="-2"/>
        </w:rPr>
        <w:t>the</w:t>
      </w:r>
      <w:r>
        <w:rPr>
          <w:spacing w:val="-8"/>
        </w:rPr>
        <w:t> </w:t>
      </w:r>
      <w:r>
        <w:rPr>
          <w:spacing w:val="-2"/>
        </w:rPr>
        <w:t>linear</w:t>
      </w:r>
      <w:r>
        <w:rPr>
          <w:spacing w:val="-8"/>
        </w:rPr>
        <w:t> </w:t>
      </w:r>
      <w:r>
        <w:rPr>
          <w:spacing w:val="-2"/>
        </w:rPr>
        <w:t>detrended</w:t>
      </w:r>
      <w:r>
        <w:rPr>
          <w:spacing w:val="-8"/>
        </w:rPr>
        <w:t> </w:t>
      </w:r>
      <w:r>
        <w:rPr>
          <w:spacing w:val="-2"/>
        </w:rPr>
        <w:t>residuals </w:t>
      </w:r>
      <w:r>
        <w:rPr/>
        <w:t>for both regions.</w:t>
      </w:r>
    </w:p>
    <w:p>
      <w:pPr>
        <w:spacing w:before="124"/>
        <w:ind w:left="1899" w:right="0" w:firstLine="0"/>
        <w:jc w:val="left"/>
        <w:rPr>
          <w:sz w:val="20"/>
        </w:rPr>
      </w:pPr>
      <w:bookmarkStart w:name="_bookmark53" w:id="100"/>
      <w:bookmarkEnd w:id="100"/>
      <w:r>
        <w:rPr/>
      </w:r>
      <w:r>
        <w:rPr>
          <w:b/>
          <w:sz w:val="20"/>
        </w:rPr>
        <w:t>Table</w:t>
      </w:r>
      <w:r>
        <w:rPr>
          <w:b/>
          <w:spacing w:val="-5"/>
          <w:sz w:val="20"/>
        </w:rPr>
        <w:t> </w:t>
      </w:r>
      <w:r>
        <w:rPr>
          <w:b/>
          <w:sz w:val="20"/>
        </w:rPr>
        <w:t>3.7:</w:t>
      </w:r>
      <w:r>
        <w:rPr>
          <w:b/>
          <w:spacing w:val="6"/>
          <w:sz w:val="20"/>
        </w:rPr>
        <w:t> </w:t>
      </w:r>
      <w:r>
        <w:rPr>
          <w:sz w:val="20"/>
        </w:rPr>
        <w:t>Stationarity</w:t>
      </w:r>
      <w:r>
        <w:rPr>
          <w:spacing w:val="-5"/>
          <w:sz w:val="20"/>
        </w:rPr>
        <w:t> </w:t>
      </w:r>
      <w:r>
        <w:rPr>
          <w:sz w:val="20"/>
        </w:rPr>
        <w:t>test</w:t>
      </w:r>
      <w:r>
        <w:rPr>
          <w:spacing w:val="-5"/>
          <w:sz w:val="20"/>
        </w:rPr>
        <w:t> </w:t>
      </w:r>
      <w:r>
        <w:rPr>
          <w:sz w:val="20"/>
        </w:rPr>
        <w:t>results.</w:t>
      </w:r>
      <w:r>
        <w:rPr>
          <w:spacing w:val="7"/>
          <w:sz w:val="20"/>
        </w:rPr>
        <w:t> </w:t>
      </w:r>
      <w:r>
        <w:rPr>
          <w:sz w:val="20"/>
        </w:rPr>
        <w:t>ADF</w:t>
      </w:r>
      <w:r>
        <w:rPr>
          <w:spacing w:val="-5"/>
          <w:sz w:val="20"/>
        </w:rPr>
        <w:t> </w:t>
      </w:r>
      <w:r>
        <w:rPr>
          <w:sz w:val="20"/>
        </w:rPr>
        <w:t>H</w:t>
      </w:r>
      <w:r>
        <w:rPr>
          <w:sz w:val="20"/>
          <w:vertAlign w:val="subscript"/>
        </w:rPr>
        <w:t>0</w:t>
      </w:r>
      <w:r>
        <w:rPr>
          <w:sz w:val="20"/>
          <w:vertAlign w:val="baseline"/>
        </w:rPr>
        <w:t>:</w:t>
      </w:r>
      <w:r>
        <w:rPr>
          <w:spacing w:val="6"/>
          <w:sz w:val="20"/>
          <w:vertAlign w:val="baseline"/>
        </w:rPr>
        <w:t> </w:t>
      </w:r>
      <w:r>
        <w:rPr>
          <w:sz w:val="20"/>
          <w:vertAlign w:val="baseline"/>
        </w:rPr>
        <w:t>unit</w:t>
      </w:r>
      <w:r>
        <w:rPr>
          <w:spacing w:val="-5"/>
          <w:sz w:val="20"/>
          <w:vertAlign w:val="baseline"/>
        </w:rPr>
        <w:t> </w:t>
      </w:r>
      <w:r>
        <w:rPr>
          <w:sz w:val="20"/>
          <w:vertAlign w:val="baseline"/>
        </w:rPr>
        <w:t>root</w:t>
      </w:r>
      <w:r>
        <w:rPr>
          <w:spacing w:val="-4"/>
          <w:sz w:val="20"/>
          <w:vertAlign w:val="baseline"/>
        </w:rPr>
        <w:t> </w:t>
      </w:r>
      <w:r>
        <w:rPr>
          <w:spacing w:val="-2"/>
          <w:sz w:val="20"/>
          <w:vertAlign w:val="baseline"/>
        </w:rPr>
        <w:t>present.</w:t>
      </w:r>
    </w:p>
    <w:p>
      <w:pPr>
        <w:pStyle w:val="BodyText"/>
        <w:spacing w:before="5"/>
        <w:rPr>
          <w:sz w:val="18"/>
        </w:rPr>
      </w:pPr>
      <w:r>
        <w:rPr>
          <w:sz w:val="18"/>
        </w:rPr>
        <mc:AlternateContent>
          <mc:Choice Requires="wps">
            <w:drawing>
              <wp:anchor distT="0" distB="0" distL="0" distR="0" allowOverlap="1" layoutInCell="1" locked="0" behindDoc="1" simplePos="0" relativeHeight="487611392">
                <wp:simplePos x="0" y="0"/>
                <wp:positionH relativeFrom="page">
                  <wp:posOffset>899998</wp:posOffset>
                </wp:positionH>
                <wp:positionV relativeFrom="paragraph">
                  <wp:posOffset>150101</wp:posOffset>
                </wp:positionV>
                <wp:extent cx="5400040" cy="1270"/>
                <wp:effectExtent l="0" t="0" r="0" b="0"/>
                <wp:wrapTopAndBottom/>
                <wp:docPr id="119" name="Graphic 119"/>
                <wp:cNvGraphicFramePr>
                  <a:graphicFrameLocks/>
                </wp:cNvGraphicFramePr>
                <a:graphic>
                  <a:graphicData uri="http://schemas.microsoft.com/office/word/2010/wordprocessingShape">
                    <wps:wsp>
                      <wps:cNvPr id="119" name="Graphic 119"/>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1.819047pt;width:425.2pt;height:.1pt;mso-position-horizontal-relative:page;mso-position-vertical-relative:paragraph;z-index:-15705088;mso-wrap-distance-left:0;mso-wrap-distance-right:0" id="docshape101" coordorigin="1417,236" coordsize="8504,0" path="m1417,236l9921,236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74"/>
        <w:gridCol w:w="1415"/>
        <w:gridCol w:w="905"/>
        <w:gridCol w:w="905"/>
        <w:gridCol w:w="1302"/>
        <w:gridCol w:w="905"/>
        <w:gridCol w:w="905"/>
        <w:gridCol w:w="1498"/>
      </w:tblGrid>
      <w:tr>
        <w:trPr>
          <w:trHeight w:val="585" w:hRule="atLeast"/>
        </w:trPr>
        <w:tc>
          <w:tcPr>
            <w:tcW w:w="674" w:type="dxa"/>
            <w:tcBorders>
              <w:top w:val="nil"/>
              <w:left w:val="nil"/>
              <w:right w:val="single" w:sz="4" w:space="0" w:color="000000"/>
            </w:tcBorders>
          </w:tcPr>
          <w:p>
            <w:pPr>
              <w:pStyle w:val="TableParagraph"/>
              <w:spacing w:before="31"/>
              <w:ind w:left="79"/>
              <w:rPr>
                <w:sz w:val="20"/>
              </w:rPr>
            </w:pPr>
            <w:r>
              <w:rPr>
                <w:spacing w:val="-2"/>
                <w:sz w:val="20"/>
              </w:rPr>
              <w:t>Region</w:t>
            </w:r>
          </w:p>
        </w:tc>
        <w:tc>
          <w:tcPr>
            <w:tcW w:w="1415" w:type="dxa"/>
            <w:tcBorders>
              <w:top w:val="nil"/>
              <w:left w:val="single" w:sz="4" w:space="0" w:color="000000"/>
              <w:right w:val="single" w:sz="4" w:space="0" w:color="000000"/>
            </w:tcBorders>
          </w:tcPr>
          <w:p>
            <w:pPr>
              <w:pStyle w:val="TableParagraph"/>
              <w:spacing w:before="31"/>
              <w:ind w:left="78"/>
              <w:rPr>
                <w:sz w:val="20"/>
              </w:rPr>
            </w:pPr>
            <w:r>
              <w:rPr>
                <w:spacing w:val="-2"/>
                <w:sz w:val="20"/>
              </w:rPr>
              <w:t>Series</w:t>
            </w:r>
          </w:p>
        </w:tc>
        <w:tc>
          <w:tcPr>
            <w:tcW w:w="905" w:type="dxa"/>
            <w:tcBorders>
              <w:top w:val="nil"/>
              <w:left w:val="single" w:sz="4" w:space="0" w:color="000000"/>
              <w:right w:val="single" w:sz="4" w:space="0" w:color="000000"/>
            </w:tcBorders>
          </w:tcPr>
          <w:p>
            <w:pPr>
              <w:pStyle w:val="TableParagraph"/>
              <w:spacing w:before="31"/>
              <w:ind w:left="77"/>
              <w:rPr>
                <w:sz w:val="20"/>
              </w:rPr>
            </w:pPr>
            <w:r>
              <w:rPr>
                <w:spacing w:val="-5"/>
                <w:sz w:val="20"/>
              </w:rPr>
              <w:t>ADF</w:t>
            </w:r>
          </w:p>
          <w:p>
            <w:pPr>
              <w:pStyle w:val="TableParagraph"/>
              <w:spacing w:before="9"/>
              <w:ind w:left="77"/>
              <w:rPr>
                <w:sz w:val="20"/>
              </w:rPr>
            </w:pPr>
            <w:r>
              <w:rPr>
                <w:spacing w:val="-2"/>
                <w:sz w:val="20"/>
              </w:rPr>
              <w:t>statistic</w:t>
            </w:r>
          </w:p>
        </w:tc>
        <w:tc>
          <w:tcPr>
            <w:tcW w:w="905" w:type="dxa"/>
            <w:tcBorders>
              <w:top w:val="nil"/>
              <w:left w:val="single" w:sz="4" w:space="0" w:color="000000"/>
              <w:right w:val="single" w:sz="4" w:space="0" w:color="000000"/>
            </w:tcBorders>
          </w:tcPr>
          <w:p>
            <w:pPr>
              <w:pStyle w:val="TableParagraph"/>
              <w:spacing w:before="31"/>
              <w:ind w:left="77"/>
              <w:rPr>
                <w:sz w:val="20"/>
              </w:rPr>
            </w:pPr>
            <w:r>
              <w:rPr>
                <w:spacing w:val="-5"/>
                <w:sz w:val="20"/>
              </w:rPr>
              <w:t>ADF</w:t>
            </w:r>
          </w:p>
          <w:p>
            <w:pPr>
              <w:pStyle w:val="TableParagraph"/>
              <w:spacing w:before="9"/>
              <w:ind w:left="77"/>
              <w:rPr>
                <w:sz w:val="20"/>
              </w:rPr>
            </w:pPr>
            <w:r>
              <w:rPr>
                <w:spacing w:val="-2"/>
                <w:sz w:val="20"/>
              </w:rPr>
              <w:t>p-</w:t>
            </w:r>
            <w:r>
              <w:rPr>
                <w:spacing w:val="-4"/>
                <w:sz w:val="20"/>
              </w:rPr>
              <w:t>value</w:t>
            </w:r>
          </w:p>
        </w:tc>
        <w:tc>
          <w:tcPr>
            <w:tcW w:w="1302" w:type="dxa"/>
            <w:tcBorders>
              <w:top w:val="nil"/>
              <w:left w:val="single" w:sz="4" w:space="0" w:color="000000"/>
              <w:right w:val="single" w:sz="4" w:space="0" w:color="000000"/>
            </w:tcBorders>
          </w:tcPr>
          <w:p>
            <w:pPr>
              <w:pStyle w:val="TableParagraph"/>
              <w:spacing w:before="31"/>
              <w:ind w:left="76"/>
              <w:rPr>
                <w:sz w:val="20"/>
              </w:rPr>
            </w:pPr>
            <w:r>
              <w:rPr>
                <w:spacing w:val="-2"/>
                <w:sz w:val="20"/>
              </w:rPr>
              <w:t>Verdict</w:t>
            </w:r>
          </w:p>
        </w:tc>
        <w:tc>
          <w:tcPr>
            <w:tcW w:w="905" w:type="dxa"/>
            <w:tcBorders>
              <w:top w:val="nil"/>
              <w:left w:val="single" w:sz="4" w:space="0" w:color="000000"/>
              <w:right w:val="single" w:sz="4" w:space="0" w:color="000000"/>
            </w:tcBorders>
          </w:tcPr>
          <w:p>
            <w:pPr>
              <w:pStyle w:val="TableParagraph"/>
              <w:spacing w:before="31"/>
              <w:ind w:left="75"/>
              <w:rPr>
                <w:sz w:val="20"/>
              </w:rPr>
            </w:pPr>
            <w:r>
              <w:rPr>
                <w:spacing w:val="-4"/>
                <w:sz w:val="20"/>
              </w:rPr>
              <w:t>KPSS</w:t>
            </w:r>
          </w:p>
          <w:p>
            <w:pPr>
              <w:pStyle w:val="TableParagraph"/>
              <w:spacing w:before="9"/>
              <w:ind w:left="75"/>
              <w:rPr>
                <w:sz w:val="20"/>
              </w:rPr>
            </w:pPr>
            <w:r>
              <w:rPr>
                <w:spacing w:val="-2"/>
                <w:sz w:val="20"/>
              </w:rPr>
              <w:t>statistic</w:t>
            </w:r>
          </w:p>
        </w:tc>
        <w:tc>
          <w:tcPr>
            <w:tcW w:w="905" w:type="dxa"/>
            <w:tcBorders>
              <w:top w:val="nil"/>
              <w:left w:val="single" w:sz="4" w:space="0" w:color="000000"/>
              <w:right w:val="single" w:sz="4" w:space="0" w:color="000000"/>
            </w:tcBorders>
          </w:tcPr>
          <w:p>
            <w:pPr>
              <w:pStyle w:val="TableParagraph"/>
              <w:spacing w:before="31"/>
              <w:ind w:left="75"/>
              <w:rPr>
                <w:sz w:val="20"/>
              </w:rPr>
            </w:pPr>
            <w:r>
              <w:rPr>
                <w:sz w:val="20"/>
              </w:rPr>
              <w:t>KPSS</w:t>
            </w:r>
            <w:r>
              <w:rPr>
                <w:spacing w:val="69"/>
                <w:sz w:val="20"/>
              </w:rPr>
              <w:t> </w:t>
            </w:r>
            <w:r>
              <w:rPr>
                <w:spacing w:val="-5"/>
                <w:sz w:val="20"/>
              </w:rPr>
              <w:t>p-</w:t>
            </w:r>
          </w:p>
          <w:p>
            <w:pPr>
              <w:pStyle w:val="TableParagraph"/>
              <w:spacing w:before="9"/>
              <w:ind w:left="70"/>
              <w:rPr>
                <w:sz w:val="20"/>
              </w:rPr>
            </w:pPr>
            <w:r>
              <w:rPr>
                <w:spacing w:val="-2"/>
                <w:sz w:val="20"/>
              </w:rPr>
              <w:t>value</w:t>
            </w:r>
          </w:p>
        </w:tc>
        <w:tc>
          <w:tcPr>
            <w:tcW w:w="1498" w:type="dxa"/>
            <w:tcBorders>
              <w:top w:val="nil"/>
              <w:left w:val="single" w:sz="4" w:space="0" w:color="000000"/>
              <w:right w:val="nil"/>
            </w:tcBorders>
          </w:tcPr>
          <w:p>
            <w:pPr>
              <w:pStyle w:val="TableParagraph"/>
              <w:spacing w:before="31"/>
              <w:ind w:left="74"/>
              <w:rPr>
                <w:sz w:val="20"/>
              </w:rPr>
            </w:pPr>
            <w:r>
              <w:rPr>
                <w:spacing w:val="-2"/>
                <w:sz w:val="20"/>
              </w:rPr>
              <w:t>Verdict</w:t>
            </w:r>
          </w:p>
        </w:tc>
      </w:tr>
    </w:tbl>
    <w:p>
      <w:pPr>
        <w:pStyle w:val="BodyText"/>
        <w:spacing w:before="10"/>
        <w:rPr>
          <w:sz w:val="4"/>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4"/>
        <w:gridCol w:w="1415"/>
        <w:gridCol w:w="905"/>
        <w:gridCol w:w="905"/>
        <w:gridCol w:w="1302"/>
        <w:gridCol w:w="905"/>
        <w:gridCol w:w="905"/>
        <w:gridCol w:w="1498"/>
      </w:tblGrid>
      <w:tr>
        <w:trPr>
          <w:trHeight w:val="787" w:hRule="atLeast"/>
        </w:trPr>
        <w:tc>
          <w:tcPr>
            <w:tcW w:w="674" w:type="dxa"/>
            <w:tcBorders>
              <w:right w:val="single" w:sz="4" w:space="0" w:color="000000"/>
            </w:tcBorders>
          </w:tcPr>
          <w:p>
            <w:pPr>
              <w:pStyle w:val="TableParagraph"/>
              <w:spacing w:before="31"/>
              <w:ind w:left="16" w:right="102"/>
              <w:jc w:val="center"/>
              <w:rPr>
                <w:sz w:val="20"/>
              </w:rPr>
            </w:pPr>
            <w:r>
              <w:rPr>
                <w:spacing w:val="-5"/>
                <w:sz w:val="20"/>
              </w:rPr>
              <w:t>RDD</w:t>
            </w:r>
          </w:p>
        </w:tc>
        <w:tc>
          <w:tcPr>
            <w:tcW w:w="1415" w:type="dxa"/>
            <w:tcBorders>
              <w:left w:val="single" w:sz="4" w:space="0" w:color="000000"/>
              <w:right w:val="single" w:sz="4" w:space="0" w:color="000000"/>
            </w:tcBorders>
          </w:tcPr>
          <w:p>
            <w:pPr>
              <w:pStyle w:val="TableParagraph"/>
              <w:tabs>
                <w:tab w:pos="733" w:val="left" w:leader="none"/>
              </w:tabs>
              <w:spacing w:line="249" w:lineRule="auto" w:before="31"/>
              <w:ind w:left="78" w:right="67"/>
              <w:rPr>
                <w:sz w:val="20"/>
              </w:rPr>
            </w:pPr>
            <w:r>
              <w:rPr>
                <w:spacing w:val="-4"/>
                <w:sz w:val="20"/>
              </w:rPr>
              <w:t>Raw</w:t>
            </w:r>
            <w:r>
              <w:rPr>
                <w:sz w:val="20"/>
              </w:rPr>
              <w:tab/>
            </w:r>
            <w:r>
              <w:rPr>
                <w:spacing w:val="-2"/>
                <w:sz w:val="20"/>
              </w:rPr>
              <w:t>(Wine_ </w:t>
            </w:r>
            <w:r>
              <w:rPr>
                <w:spacing w:val="-4"/>
                <w:sz w:val="20"/>
              </w:rPr>
              <w:t>mhl)</w:t>
            </w:r>
          </w:p>
        </w:tc>
        <w:tc>
          <w:tcPr>
            <w:tcW w:w="905" w:type="dxa"/>
            <w:tcBorders>
              <w:left w:val="single" w:sz="4" w:space="0" w:color="000000"/>
              <w:right w:val="single" w:sz="4" w:space="0" w:color="000000"/>
            </w:tcBorders>
          </w:tcPr>
          <w:p>
            <w:pPr>
              <w:pStyle w:val="TableParagraph"/>
              <w:spacing w:before="31"/>
              <w:ind w:left="77"/>
              <w:rPr>
                <w:sz w:val="20"/>
              </w:rPr>
            </w:pPr>
            <w:r>
              <w:rPr>
                <w:spacing w:val="-2"/>
                <w:sz w:val="20"/>
              </w:rPr>
              <w:t>-1.800</w:t>
            </w:r>
          </w:p>
        </w:tc>
        <w:tc>
          <w:tcPr>
            <w:tcW w:w="905" w:type="dxa"/>
            <w:tcBorders>
              <w:left w:val="single" w:sz="4" w:space="0" w:color="000000"/>
              <w:right w:val="single" w:sz="4" w:space="0" w:color="000000"/>
            </w:tcBorders>
          </w:tcPr>
          <w:p>
            <w:pPr>
              <w:pStyle w:val="TableParagraph"/>
              <w:spacing w:before="31"/>
              <w:ind w:left="77"/>
              <w:rPr>
                <w:sz w:val="20"/>
              </w:rPr>
            </w:pPr>
            <w:r>
              <w:rPr>
                <w:spacing w:val="-2"/>
                <w:sz w:val="20"/>
              </w:rPr>
              <w:t>0.381</w:t>
            </w:r>
          </w:p>
        </w:tc>
        <w:tc>
          <w:tcPr>
            <w:tcW w:w="1302" w:type="dxa"/>
            <w:tcBorders>
              <w:left w:val="single" w:sz="4" w:space="0" w:color="000000"/>
              <w:right w:val="single" w:sz="4" w:space="0" w:color="000000"/>
            </w:tcBorders>
          </w:tcPr>
          <w:p>
            <w:pPr>
              <w:pStyle w:val="TableParagraph"/>
              <w:spacing w:line="249" w:lineRule="auto" w:before="31"/>
              <w:ind w:left="70" w:right="400" w:firstLine="6"/>
              <w:rPr>
                <w:sz w:val="20"/>
              </w:rPr>
            </w:pPr>
            <w:r>
              <w:rPr>
                <w:spacing w:val="-4"/>
                <w:sz w:val="20"/>
              </w:rPr>
              <w:t>Non-</w:t>
            </w:r>
            <w:r>
              <w:rPr>
                <w:spacing w:val="-2"/>
                <w:sz w:val="20"/>
              </w:rPr>
              <w:t>stationary </w:t>
            </w:r>
            <w:r>
              <w:rPr>
                <w:sz w:val="20"/>
              </w:rPr>
              <w:t>(unit</w:t>
            </w:r>
            <w:r>
              <w:rPr>
                <w:spacing w:val="-5"/>
                <w:sz w:val="20"/>
              </w:rPr>
              <w:t> </w:t>
            </w:r>
            <w:r>
              <w:rPr>
                <w:spacing w:val="-2"/>
                <w:sz w:val="20"/>
              </w:rPr>
              <w:t>root)</w:t>
            </w:r>
          </w:p>
        </w:tc>
        <w:tc>
          <w:tcPr>
            <w:tcW w:w="905" w:type="dxa"/>
            <w:tcBorders>
              <w:left w:val="single" w:sz="4" w:space="0" w:color="000000"/>
              <w:right w:val="single" w:sz="4" w:space="0" w:color="000000"/>
            </w:tcBorders>
          </w:tcPr>
          <w:p>
            <w:pPr>
              <w:pStyle w:val="TableParagraph"/>
              <w:spacing w:before="31"/>
              <w:ind w:left="75"/>
              <w:rPr>
                <w:sz w:val="20"/>
              </w:rPr>
            </w:pPr>
            <w:r>
              <w:rPr>
                <w:spacing w:val="-2"/>
                <w:sz w:val="20"/>
              </w:rPr>
              <w:t>0.134</w:t>
            </w:r>
          </w:p>
        </w:tc>
        <w:tc>
          <w:tcPr>
            <w:tcW w:w="905" w:type="dxa"/>
            <w:tcBorders>
              <w:left w:val="single" w:sz="4" w:space="0" w:color="000000"/>
              <w:right w:val="single" w:sz="4" w:space="0" w:color="000000"/>
            </w:tcBorders>
          </w:tcPr>
          <w:p>
            <w:pPr>
              <w:pStyle w:val="TableParagraph"/>
              <w:spacing w:before="31"/>
              <w:ind w:left="75"/>
              <w:rPr>
                <w:sz w:val="20"/>
              </w:rPr>
            </w:pPr>
            <w:r>
              <w:rPr>
                <w:spacing w:val="-2"/>
                <w:sz w:val="20"/>
              </w:rPr>
              <w:t>0.071</w:t>
            </w:r>
          </w:p>
        </w:tc>
        <w:tc>
          <w:tcPr>
            <w:tcW w:w="1498" w:type="dxa"/>
            <w:tcBorders>
              <w:left w:val="single" w:sz="4" w:space="0" w:color="000000"/>
            </w:tcBorders>
          </w:tcPr>
          <w:p>
            <w:pPr>
              <w:pStyle w:val="TableParagraph"/>
              <w:spacing w:line="249" w:lineRule="auto" w:before="31"/>
              <w:ind w:left="74" w:right="49"/>
              <w:jc w:val="both"/>
              <w:rPr>
                <w:sz w:val="20"/>
              </w:rPr>
            </w:pPr>
            <w:r>
              <w:rPr>
                <w:sz w:val="20"/>
              </w:rPr>
              <w:t>Borderline </w:t>
            </w:r>
            <w:r>
              <w:rPr>
                <w:sz w:val="20"/>
              </w:rPr>
              <w:t>sta-tionary around </w:t>
            </w:r>
            <w:r>
              <w:rPr>
                <w:spacing w:val="-2"/>
                <w:sz w:val="20"/>
              </w:rPr>
              <w:t>trend</w:t>
            </w:r>
          </w:p>
        </w:tc>
      </w:tr>
      <w:tr>
        <w:trPr>
          <w:trHeight w:val="789" w:hRule="atLeast"/>
        </w:trPr>
        <w:tc>
          <w:tcPr>
            <w:tcW w:w="674" w:type="dxa"/>
            <w:tcBorders>
              <w:right w:val="single" w:sz="4" w:space="0" w:color="000000"/>
            </w:tcBorders>
          </w:tcPr>
          <w:p>
            <w:pPr>
              <w:pStyle w:val="TableParagraph"/>
              <w:ind w:left="16" w:right="102"/>
              <w:jc w:val="center"/>
              <w:rPr>
                <w:sz w:val="20"/>
              </w:rPr>
            </w:pPr>
            <w:r>
              <w:rPr>
                <w:spacing w:val="-5"/>
                <w:sz w:val="20"/>
              </w:rPr>
              <w:t>RDD</w:t>
            </w:r>
          </w:p>
        </w:tc>
        <w:tc>
          <w:tcPr>
            <w:tcW w:w="1415" w:type="dxa"/>
            <w:tcBorders>
              <w:left w:val="single" w:sz="4" w:space="0" w:color="000000"/>
              <w:right w:val="single" w:sz="4" w:space="0" w:color="000000"/>
            </w:tcBorders>
          </w:tcPr>
          <w:p>
            <w:pPr>
              <w:pStyle w:val="TableParagraph"/>
              <w:spacing w:line="249" w:lineRule="auto"/>
              <w:ind w:left="78" w:right="44"/>
              <w:jc w:val="both"/>
              <w:rPr>
                <w:sz w:val="20"/>
              </w:rPr>
            </w:pPr>
            <w:r>
              <w:rPr>
                <w:sz w:val="20"/>
              </w:rPr>
              <w:t>Linear </w:t>
            </w:r>
            <w:r>
              <w:rPr>
                <w:sz w:val="20"/>
              </w:rPr>
              <w:t>de-trended residu-</w:t>
            </w:r>
            <w:r>
              <w:rPr>
                <w:spacing w:val="-4"/>
                <w:sz w:val="20"/>
              </w:rPr>
              <w:t>als</w:t>
            </w:r>
          </w:p>
        </w:tc>
        <w:tc>
          <w:tcPr>
            <w:tcW w:w="905" w:type="dxa"/>
            <w:tcBorders>
              <w:left w:val="single" w:sz="4" w:space="0" w:color="000000"/>
              <w:right w:val="single" w:sz="4" w:space="0" w:color="000000"/>
            </w:tcBorders>
          </w:tcPr>
          <w:p>
            <w:pPr>
              <w:pStyle w:val="TableParagraph"/>
              <w:ind w:left="77"/>
              <w:rPr>
                <w:sz w:val="20"/>
              </w:rPr>
            </w:pPr>
            <w:r>
              <w:rPr>
                <w:spacing w:val="-2"/>
                <w:sz w:val="20"/>
              </w:rPr>
              <w:t>-8.520</w:t>
            </w:r>
          </w:p>
        </w:tc>
        <w:tc>
          <w:tcPr>
            <w:tcW w:w="905" w:type="dxa"/>
            <w:tcBorders>
              <w:left w:val="single" w:sz="4" w:space="0" w:color="000000"/>
              <w:right w:val="single" w:sz="4" w:space="0" w:color="000000"/>
            </w:tcBorders>
          </w:tcPr>
          <w:p>
            <w:pPr>
              <w:pStyle w:val="TableParagraph"/>
              <w:ind w:left="77"/>
              <w:rPr>
                <w:sz w:val="20"/>
              </w:rPr>
            </w:pPr>
            <w:r>
              <w:rPr>
                <w:spacing w:val="-2"/>
                <w:sz w:val="20"/>
              </w:rPr>
              <w:t>&lt;0.001</w:t>
            </w:r>
          </w:p>
          <w:p>
            <w:pPr>
              <w:pStyle w:val="TableParagraph"/>
              <w:spacing w:before="10"/>
              <w:ind w:left="57"/>
              <w:rPr>
                <w:sz w:val="20"/>
              </w:rPr>
            </w:pPr>
            <w:r>
              <w:rPr>
                <w:spacing w:val="-5"/>
                <w:sz w:val="20"/>
              </w:rPr>
              <w:t>***</w:t>
            </w:r>
          </w:p>
        </w:tc>
        <w:tc>
          <w:tcPr>
            <w:tcW w:w="1302" w:type="dxa"/>
            <w:tcBorders>
              <w:left w:val="single" w:sz="4" w:space="0" w:color="000000"/>
              <w:right w:val="single" w:sz="4" w:space="0" w:color="000000"/>
            </w:tcBorders>
          </w:tcPr>
          <w:p>
            <w:pPr>
              <w:pStyle w:val="TableParagraph"/>
              <w:spacing w:before="24"/>
              <w:ind w:left="76"/>
              <w:rPr>
                <w:rFonts w:ascii="Adobe Clean" w:hAnsi="Adobe Clean"/>
                <w:sz w:val="20"/>
              </w:rPr>
            </w:pPr>
            <w:r>
              <w:rPr>
                <w:sz w:val="20"/>
              </w:rPr>
              <w:t>Stationary</w:t>
            </w:r>
            <w:r>
              <w:rPr>
                <w:spacing w:val="-10"/>
                <w:sz w:val="20"/>
              </w:rPr>
              <w:t> </w:t>
            </w:r>
            <w:r>
              <w:rPr>
                <w:rFonts w:ascii="Adobe Clean" w:hAnsi="Adobe Clean"/>
                <w:spacing w:val="-10"/>
                <w:w w:val="110"/>
                <w:sz w:val="20"/>
              </w:rPr>
              <w:t>✓</w:t>
            </w:r>
          </w:p>
        </w:tc>
        <w:tc>
          <w:tcPr>
            <w:tcW w:w="905" w:type="dxa"/>
            <w:tcBorders>
              <w:left w:val="single" w:sz="4" w:space="0" w:color="000000"/>
              <w:right w:val="single" w:sz="4" w:space="0" w:color="000000"/>
            </w:tcBorders>
          </w:tcPr>
          <w:p>
            <w:pPr>
              <w:pStyle w:val="TableParagraph"/>
              <w:ind w:left="75"/>
              <w:rPr>
                <w:sz w:val="20"/>
              </w:rPr>
            </w:pPr>
            <w:r>
              <w:rPr>
                <w:spacing w:val="-2"/>
                <w:sz w:val="20"/>
              </w:rPr>
              <w:t>0.134</w:t>
            </w:r>
          </w:p>
        </w:tc>
        <w:tc>
          <w:tcPr>
            <w:tcW w:w="905" w:type="dxa"/>
            <w:tcBorders>
              <w:left w:val="single" w:sz="4" w:space="0" w:color="000000"/>
              <w:right w:val="single" w:sz="4" w:space="0" w:color="000000"/>
            </w:tcBorders>
          </w:tcPr>
          <w:p>
            <w:pPr>
              <w:pStyle w:val="TableParagraph"/>
              <w:ind w:left="75"/>
              <w:rPr>
                <w:sz w:val="20"/>
              </w:rPr>
            </w:pPr>
            <w:r>
              <w:rPr>
                <w:spacing w:val="-2"/>
                <w:sz w:val="20"/>
              </w:rPr>
              <w:t>0.100</w:t>
            </w:r>
          </w:p>
        </w:tc>
        <w:tc>
          <w:tcPr>
            <w:tcW w:w="1498" w:type="dxa"/>
            <w:tcBorders>
              <w:left w:val="single" w:sz="4" w:space="0" w:color="000000"/>
            </w:tcBorders>
          </w:tcPr>
          <w:p>
            <w:pPr>
              <w:pStyle w:val="TableParagraph"/>
              <w:spacing w:before="24"/>
              <w:ind w:left="74"/>
              <w:rPr>
                <w:rFonts w:ascii="Adobe Clean" w:hAnsi="Adobe Clean"/>
                <w:sz w:val="20"/>
              </w:rPr>
            </w:pPr>
            <w:r>
              <w:rPr>
                <w:sz w:val="20"/>
              </w:rPr>
              <w:t>Stationary</w:t>
            </w:r>
            <w:r>
              <w:rPr>
                <w:spacing w:val="-10"/>
                <w:sz w:val="20"/>
              </w:rPr>
              <w:t> </w:t>
            </w:r>
            <w:r>
              <w:rPr>
                <w:rFonts w:ascii="Adobe Clean" w:hAnsi="Adobe Clean"/>
                <w:spacing w:val="-10"/>
                <w:w w:val="110"/>
                <w:sz w:val="20"/>
              </w:rPr>
              <w:t>✓</w:t>
            </w:r>
          </w:p>
        </w:tc>
      </w:tr>
      <w:tr>
        <w:trPr>
          <w:trHeight w:val="789" w:hRule="atLeast"/>
        </w:trPr>
        <w:tc>
          <w:tcPr>
            <w:tcW w:w="674" w:type="dxa"/>
            <w:tcBorders>
              <w:right w:val="single" w:sz="4" w:space="0" w:color="000000"/>
            </w:tcBorders>
          </w:tcPr>
          <w:p>
            <w:pPr>
              <w:pStyle w:val="TableParagraph"/>
              <w:ind w:right="102"/>
              <w:jc w:val="center"/>
              <w:rPr>
                <w:sz w:val="20"/>
              </w:rPr>
            </w:pPr>
            <w:r>
              <w:rPr>
                <w:spacing w:val="-5"/>
                <w:sz w:val="20"/>
              </w:rPr>
              <w:t>RVV</w:t>
            </w:r>
          </w:p>
        </w:tc>
        <w:tc>
          <w:tcPr>
            <w:tcW w:w="1415" w:type="dxa"/>
            <w:tcBorders>
              <w:left w:val="single" w:sz="4" w:space="0" w:color="000000"/>
              <w:right w:val="single" w:sz="4" w:space="0" w:color="000000"/>
            </w:tcBorders>
          </w:tcPr>
          <w:p>
            <w:pPr>
              <w:pStyle w:val="TableParagraph"/>
              <w:tabs>
                <w:tab w:pos="733" w:val="left" w:leader="none"/>
              </w:tabs>
              <w:spacing w:line="249" w:lineRule="auto"/>
              <w:ind w:left="78" w:right="67"/>
              <w:rPr>
                <w:sz w:val="20"/>
              </w:rPr>
            </w:pPr>
            <w:r>
              <w:rPr>
                <w:spacing w:val="-4"/>
                <w:sz w:val="20"/>
              </w:rPr>
              <w:t>Raw</w:t>
            </w:r>
            <w:r>
              <w:rPr>
                <w:sz w:val="20"/>
              </w:rPr>
              <w:tab/>
            </w:r>
            <w:r>
              <w:rPr>
                <w:spacing w:val="-2"/>
                <w:sz w:val="20"/>
              </w:rPr>
              <w:t>(Wine_ </w:t>
            </w:r>
            <w:r>
              <w:rPr>
                <w:spacing w:val="-4"/>
                <w:sz w:val="20"/>
              </w:rPr>
              <w:t>mhl)</w:t>
            </w:r>
          </w:p>
        </w:tc>
        <w:tc>
          <w:tcPr>
            <w:tcW w:w="905" w:type="dxa"/>
            <w:tcBorders>
              <w:left w:val="single" w:sz="4" w:space="0" w:color="000000"/>
              <w:right w:val="single" w:sz="4" w:space="0" w:color="000000"/>
            </w:tcBorders>
          </w:tcPr>
          <w:p>
            <w:pPr>
              <w:pStyle w:val="TableParagraph"/>
              <w:ind w:left="77"/>
              <w:rPr>
                <w:sz w:val="20"/>
              </w:rPr>
            </w:pPr>
            <w:r>
              <w:rPr>
                <w:spacing w:val="-2"/>
                <w:sz w:val="20"/>
              </w:rPr>
              <w:t>-0.490</w:t>
            </w:r>
          </w:p>
        </w:tc>
        <w:tc>
          <w:tcPr>
            <w:tcW w:w="905" w:type="dxa"/>
            <w:tcBorders>
              <w:left w:val="single" w:sz="4" w:space="0" w:color="000000"/>
              <w:right w:val="single" w:sz="4" w:space="0" w:color="000000"/>
            </w:tcBorders>
          </w:tcPr>
          <w:p>
            <w:pPr>
              <w:pStyle w:val="TableParagraph"/>
              <w:ind w:left="77"/>
              <w:rPr>
                <w:sz w:val="20"/>
              </w:rPr>
            </w:pPr>
            <w:r>
              <w:rPr>
                <w:spacing w:val="-2"/>
                <w:sz w:val="20"/>
              </w:rPr>
              <w:t>0.894</w:t>
            </w:r>
          </w:p>
        </w:tc>
        <w:tc>
          <w:tcPr>
            <w:tcW w:w="1302" w:type="dxa"/>
            <w:tcBorders>
              <w:left w:val="single" w:sz="4" w:space="0" w:color="000000"/>
              <w:right w:val="single" w:sz="4" w:space="0" w:color="000000"/>
            </w:tcBorders>
          </w:tcPr>
          <w:p>
            <w:pPr>
              <w:pStyle w:val="TableParagraph"/>
              <w:spacing w:line="249" w:lineRule="auto"/>
              <w:ind w:left="70" w:right="400" w:firstLine="6"/>
              <w:rPr>
                <w:sz w:val="20"/>
              </w:rPr>
            </w:pPr>
            <w:r>
              <w:rPr>
                <w:spacing w:val="-4"/>
                <w:sz w:val="20"/>
              </w:rPr>
              <w:t>Non-</w:t>
            </w:r>
            <w:r>
              <w:rPr>
                <w:spacing w:val="-2"/>
                <w:sz w:val="20"/>
              </w:rPr>
              <w:t>stationary </w:t>
            </w:r>
            <w:r>
              <w:rPr>
                <w:sz w:val="20"/>
              </w:rPr>
              <w:t>(unit</w:t>
            </w:r>
            <w:r>
              <w:rPr>
                <w:spacing w:val="-5"/>
                <w:sz w:val="20"/>
              </w:rPr>
              <w:t> </w:t>
            </w:r>
            <w:r>
              <w:rPr>
                <w:spacing w:val="-2"/>
                <w:sz w:val="20"/>
              </w:rPr>
              <w:t>root)</w:t>
            </w:r>
          </w:p>
        </w:tc>
        <w:tc>
          <w:tcPr>
            <w:tcW w:w="905" w:type="dxa"/>
            <w:tcBorders>
              <w:left w:val="single" w:sz="4" w:space="0" w:color="000000"/>
              <w:right w:val="single" w:sz="4" w:space="0" w:color="000000"/>
            </w:tcBorders>
          </w:tcPr>
          <w:p>
            <w:pPr>
              <w:pStyle w:val="TableParagraph"/>
              <w:ind w:left="75"/>
              <w:rPr>
                <w:sz w:val="20"/>
              </w:rPr>
            </w:pPr>
            <w:r>
              <w:rPr>
                <w:spacing w:val="-2"/>
                <w:sz w:val="20"/>
              </w:rPr>
              <w:t>0.332</w:t>
            </w:r>
          </w:p>
        </w:tc>
        <w:tc>
          <w:tcPr>
            <w:tcW w:w="905" w:type="dxa"/>
            <w:tcBorders>
              <w:left w:val="single" w:sz="4" w:space="0" w:color="000000"/>
              <w:right w:val="single" w:sz="4" w:space="0" w:color="000000"/>
            </w:tcBorders>
          </w:tcPr>
          <w:p>
            <w:pPr>
              <w:pStyle w:val="TableParagraph"/>
              <w:ind w:left="75"/>
              <w:rPr>
                <w:sz w:val="20"/>
              </w:rPr>
            </w:pPr>
            <w:r>
              <w:rPr>
                <w:sz w:val="20"/>
              </w:rPr>
              <w:t>0.010</w:t>
            </w:r>
            <w:r>
              <w:rPr>
                <w:spacing w:val="-6"/>
                <w:sz w:val="20"/>
              </w:rPr>
              <w:t> </w:t>
            </w:r>
            <w:r>
              <w:rPr>
                <w:spacing w:val="-5"/>
                <w:sz w:val="20"/>
              </w:rPr>
              <w:t>**</w:t>
            </w:r>
          </w:p>
        </w:tc>
        <w:tc>
          <w:tcPr>
            <w:tcW w:w="1498" w:type="dxa"/>
            <w:tcBorders>
              <w:left w:val="single" w:sz="4" w:space="0" w:color="000000"/>
            </w:tcBorders>
          </w:tcPr>
          <w:p>
            <w:pPr>
              <w:pStyle w:val="TableParagraph"/>
              <w:spacing w:line="249" w:lineRule="auto"/>
              <w:ind w:left="68" w:firstLine="6"/>
              <w:rPr>
                <w:sz w:val="20"/>
              </w:rPr>
            </w:pPr>
            <w:r>
              <w:rPr>
                <w:spacing w:val="-2"/>
                <w:sz w:val="20"/>
              </w:rPr>
              <w:t>Non-stationary (rejects</w:t>
            </w:r>
            <w:r>
              <w:rPr>
                <w:spacing w:val="-11"/>
                <w:sz w:val="20"/>
              </w:rPr>
              <w:t> </w:t>
            </w:r>
            <w:r>
              <w:rPr>
                <w:spacing w:val="-2"/>
                <w:sz w:val="20"/>
              </w:rPr>
              <w:t>stationar-</w:t>
            </w:r>
            <w:r>
              <w:rPr>
                <w:sz w:val="20"/>
              </w:rPr>
              <w:t>ity</w:t>
            </w:r>
            <w:r>
              <w:rPr>
                <w:spacing w:val="-5"/>
                <w:sz w:val="20"/>
              </w:rPr>
              <w:t> </w:t>
            </w:r>
            <w:r>
              <w:rPr>
                <w:sz w:val="20"/>
              </w:rPr>
              <w:t>around</w:t>
            </w:r>
            <w:r>
              <w:rPr>
                <w:spacing w:val="-5"/>
                <w:sz w:val="20"/>
              </w:rPr>
              <w:t> </w:t>
            </w:r>
            <w:r>
              <w:rPr>
                <w:spacing w:val="-2"/>
                <w:sz w:val="20"/>
              </w:rPr>
              <w:t>trend)</w:t>
            </w:r>
          </w:p>
        </w:tc>
      </w:tr>
      <w:tr>
        <w:trPr>
          <w:trHeight w:val="1066" w:hRule="atLeast"/>
        </w:trPr>
        <w:tc>
          <w:tcPr>
            <w:tcW w:w="674" w:type="dxa"/>
            <w:tcBorders>
              <w:bottom w:val="single" w:sz="8" w:space="0" w:color="000000"/>
              <w:right w:val="single" w:sz="4" w:space="0" w:color="000000"/>
            </w:tcBorders>
          </w:tcPr>
          <w:p>
            <w:pPr>
              <w:pStyle w:val="TableParagraph"/>
              <w:ind w:right="102"/>
              <w:jc w:val="center"/>
              <w:rPr>
                <w:sz w:val="20"/>
              </w:rPr>
            </w:pPr>
            <w:r>
              <w:rPr>
                <w:spacing w:val="-5"/>
                <w:sz w:val="20"/>
              </w:rPr>
              <w:t>RVV</w:t>
            </w:r>
          </w:p>
        </w:tc>
        <w:tc>
          <w:tcPr>
            <w:tcW w:w="1415" w:type="dxa"/>
            <w:tcBorders>
              <w:left w:val="single" w:sz="4" w:space="0" w:color="000000"/>
              <w:bottom w:val="single" w:sz="8" w:space="0" w:color="000000"/>
              <w:right w:val="single" w:sz="4" w:space="0" w:color="000000"/>
            </w:tcBorders>
          </w:tcPr>
          <w:p>
            <w:pPr>
              <w:pStyle w:val="TableParagraph"/>
              <w:spacing w:line="249" w:lineRule="auto"/>
              <w:ind w:left="78" w:right="44"/>
              <w:jc w:val="both"/>
              <w:rPr>
                <w:sz w:val="20"/>
              </w:rPr>
            </w:pPr>
            <w:r>
              <w:rPr>
                <w:sz w:val="20"/>
              </w:rPr>
              <w:t>Linear </w:t>
            </w:r>
            <w:r>
              <w:rPr>
                <w:sz w:val="20"/>
              </w:rPr>
              <w:t>de-trended residu-</w:t>
            </w:r>
            <w:r>
              <w:rPr>
                <w:spacing w:val="-4"/>
                <w:sz w:val="20"/>
              </w:rPr>
              <w:t>als</w:t>
            </w:r>
          </w:p>
        </w:tc>
        <w:tc>
          <w:tcPr>
            <w:tcW w:w="905" w:type="dxa"/>
            <w:tcBorders>
              <w:left w:val="single" w:sz="4" w:space="0" w:color="000000"/>
              <w:bottom w:val="single" w:sz="8" w:space="0" w:color="000000"/>
              <w:right w:val="single" w:sz="4" w:space="0" w:color="000000"/>
            </w:tcBorders>
          </w:tcPr>
          <w:p>
            <w:pPr>
              <w:pStyle w:val="TableParagraph"/>
              <w:ind w:left="77"/>
              <w:rPr>
                <w:sz w:val="20"/>
              </w:rPr>
            </w:pPr>
            <w:r>
              <w:rPr>
                <w:spacing w:val="-2"/>
                <w:sz w:val="20"/>
              </w:rPr>
              <w:t>-1.817</w:t>
            </w:r>
          </w:p>
        </w:tc>
        <w:tc>
          <w:tcPr>
            <w:tcW w:w="905" w:type="dxa"/>
            <w:tcBorders>
              <w:left w:val="single" w:sz="4" w:space="0" w:color="000000"/>
              <w:bottom w:val="single" w:sz="8" w:space="0" w:color="000000"/>
              <w:right w:val="single" w:sz="4" w:space="0" w:color="000000"/>
            </w:tcBorders>
          </w:tcPr>
          <w:p>
            <w:pPr>
              <w:pStyle w:val="TableParagraph"/>
              <w:ind w:left="77"/>
              <w:rPr>
                <w:sz w:val="20"/>
              </w:rPr>
            </w:pPr>
            <w:r>
              <w:rPr>
                <w:spacing w:val="-2"/>
                <w:sz w:val="20"/>
              </w:rPr>
              <w:t>0.372</w:t>
            </w:r>
          </w:p>
        </w:tc>
        <w:tc>
          <w:tcPr>
            <w:tcW w:w="1302" w:type="dxa"/>
            <w:tcBorders>
              <w:left w:val="single" w:sz="4" w:space="0" w:color="000000"/>
              <w:bottom w:val="single" w:sz="8" w:space="0" w:color="000000"/>
              <w:right w:val="single" w:sz="4" w:space="0" w:color="000000"/>
            </w:tcBorders>
          </w:tcPr>
          <w:p>
            <w:pPr>
              <w:pStyle w:val="TableParagraph"/>
              <w:tabs>
                <w:tab w:pos="882" w:val="left" w:leader="none"/>
              </w:tabs>
              <w:spacing w:line="249" w:lineRule="auto"/>
              <w:ind w:left="70" w:right="79" w:firstLine="6"/>
              <w:rPr>
                <w:sz w:val="20"/>
              </w:rPr>
            </w:pPr>
            <w:r>
              <w:rPr>
                <w:spacing w:val="-4"/>
                <w:sz w:val="20"/>
              </w:rPr>
              <w:t>Non-</w:t>
            </w:r>
            <w:r>
              <w:rPr>
                <w:spacing w:val="-2"/>
                <w:sz w:val="20"/>
              </w:rPr>
              <w:t>stationary (unit</w:t>
            </w:r>
            <w:r>
              <w:rPr>
                <w:sz w:val="20"/>
              </w:rPr>
              <w:tab/>
            </w:r>
            <w:r>
              <w:rPr>
                <w:spacing w:val="-4"/>
                <w:sz w:val="20"/>
              </w:rPr>
              <w:t>root </w:t>
            </w:r>
            <w:r>
              <w:rPr>
                <w:spacing w:val="-2"/>
                <w:sz w:val="20"/>
              </w:rPr>
              <w:t>remains)</w:t>
            </w:r>
          </w:p>
        </w:tc>
        <w:tc>
          <w:tcPr>
            <w:tcW w:w="905" w:type="dxa"/>
            <w:tcBorders>
              <w:left w:val="single" w:sz="4" w:space="0" w:color="000000"/>
              <w:bottom w:val="single" w:sz="8" w:space="0" w:color="000000"/>
              <w:right w:val="single" w:sz="4" w:space="0" w:color="000000"/>
            </w:tcBorders>
          </w:tcPr>
          <w:p>
            <w:pPr>
              <w:pStyle w:val="TableParagraph"/>
              <w:ind w:left="75"/>
              <w:rPr>
                <w:sz w:val="20"/>
              </w:rPr>
            </w:pPr>
            <w:r>
              <w:rPr>
                <w:spacing w:val="-2"/>
                <w:sz w:val="20"/>
              </w:rPr>
              <w:t>0.332</w:t>
            </w:r>
          </w:p>
        </w:tc>
        <w:tc>
          <w:tcPr>
            <w:tcW w:w="905" w:type="dxa"/>
            <w:tcBorders>
              <w:left w:val="single" w:sz="4" w:space="0" w:color="000000"/>
              <w:bottom w:val="single" w:sz="8" w:space="0" w:color="000000"/>
              <w:right w:val="single" w:sz="4" w:space="0" w:color="000000"/>
            </w:tcBorders>
          </w:tcPr>
          <w:p>
            <w:pPr>
              <w:pStyle w:val="TableParagraph"/>
              <w:ind w:left="75"/>
              <w:rPr>
                <w:sz w:val="20"/>
              </w:rPr>
            </w:pPr>
            <w:r>
              <w:rPr>
                <w:spacing w:val="-2"/>
                <w:sz w:val="20"/>
              </w:rPr>
              <w:t>0.100</w:t>
            </w:r>
          </w:p>
        </w:tc>
        <w:tc>
          <w:tcPr>
            <w:tcW w:w="1498" w:type="dxa"/>
            <w:tcBorders>
              <w:left w:val="single" w:sz="4" w:space="0" w:color="000000"/>
              <w:bottom w:val="single" w:sz="8" w:space="0" w:color="000000"/>
            </w:tcBorders>
          </w:tcPr>
          <w:p>
            <w:pPr>
              <w:pStyle w:val="TableParagraph"/>
              <w:spacing w:line="244" w:lineRule="auto" w:before="24"/>
              <w:ind w:left="68" w:right="49" w:firstLine="6"/>
              <w:jc w:val="both"/>
              <w:rPr>
                <w:sz w:val="20"/>
              </w:rPr>
            </w:pPr>
            <w:r>
              <w:rPr>
                <w:w w:val="105"/>
                <w:sz w:val="20"/>
              </w:rPr>
              <w:t>Stationary</w:t>
            </w:r>
            <w:r>
              <w:rPr>
                <w:w w:val="105"/>
                <w:sz w:val="20"/>
              </w:rPr>
              <w:t> </w:t>
            </w:r>
            <w:r>
              <w:rPr>
                <w:rFonts w:ascii="Adobe Clean" w:hAnsi="Adobe Clean"/>
                <w:w w:val="105"/>
                <w:sz w:val="20"/>
              </w:rPr>
              <w:t>✓ </w:t>
            </w:r>
            <w:r>
              <w:rPr>
                <w:w w:val="105"/>
                <w:sz w:val="20"/>
              </w:rPr>
              <w:t>(level</w:t>
            </w:r>
            <w:r>
              <w:rPr>
                <w:w w:val="105"/>
                <w:sz w:val="20"/>
              </w:rPr>
              <w:t> </w:t>
            </w:r>
            <w:r>
              <w:rPr>
                <w:w w:val="105"/>
                <w:sz w:val="20"/>
              </w:rPr>
              <w:t>stationar-</w:t>
            </w:r>
            <w:r>
              <w:rPr>
                <w:spacing w:val="-4"/>
                <w:w w:val="105"/>
                <w:sz w:val="20"/>
              </w:rPr>
              <w:t>ity)</w:t>
            </w:r>
          </w:p>
        </w:tc>
      </w:tr>
    </w:tbl>
    <w:p>
      <w:pPr>
        <w:pStyle w:val="BodyText"/>
        <w:spacing w:before="75"/>
        <w:rPr>
          <w:sz w:val="20"/>
        </w:rPr>
      </w:pPr>
    </w:p>
    <w:p>
      <w:pPr>
        <w:pStyle w:val="BodyText"/>
        <w:spacing w:line="312" w:lineRule="auto"/>
        <w:ind w:left="142" w:right="1557" w:firstLine="338"/>
        <w:jc w:val="both"/>
      </w:pPr>
      <w:r>
        <w:rPr/>
        <w:t>The results have three important implications for the methodological choices made in </w:t>
      </w:r>
      <w:r>
        <w:rPr/>
        <w:t>this </w:t>
      </w:r>
      <w:r>
        <w:rPr>
          <w:spacing w:val="-2"/>
        </w:rPr>
        <w:t>thesis.</w:t>
      </w:r>
    </w:p>
    <w:p>
      <w:pPr>
        <w:pStyle w:val="BodyText"/>
        <w:spacing w:line="312" w:lineRule="auto"/>
        <w:ind w:left="142" w:right="1551" w:firstLine="338"/>
        <w:jc w:val="both"/>
      </w:pPr>
      <w:r>
        <w:rPr>
          <w:b/>
          <w:spacing w:val="-4"/>
        </w:rPr>
        <w:t>Implication</w:t>
      </w:r>
      <w:r>
        <w:rPr>
          <w:b/>
          <w:spacing w:val="-9"/>
        </w:rPr>
        <w:t> </w:t>
      </w:r>
      <w:r>
        <w:rPr>
          <w:b/>
          <w:spacing w:val="-4"/>
        </w:rPr>
        <w:t>1:</w:t>
      </w:r>
      <w:r>
        <w:rPr>
          <w:b/>
          <w:spacing w:val="10"/>
        </w:rPr>
        <w:t> </w:t>
      </w:r>
      <w:r>
        <w:rPr>
          <w:b/>
          <w:spacing w:val="-4"/>
        </w:rPr>
        <w:t>Detrending</w:t>
      </w:r>
      <w:r>
        <w:rPr>
          <w:b/>
          <w:spacing w:val="-9"/>
        </w:rPr>
        <w:t> </w:t>
      </w:r>
      <w:r>
        <w:rPr>
          <w:b/>
          <w:spacing w:val="-4"/>
        </w:rPr>
        <w:t>is</w:t>
      </w:r>
      <w:r>
        <w:rPr>
          <w:b/>
          <w:spacing w:val="-9"/>
        </w:rPr>
        <w:t> </w:t>
      </w:r>
      <w:r>
        <w:rPr>
          <w:b/>
          <w:spacing w:val="-4"/>
        </w:rPr>
        <w:t>formally</w:t>
      </w:r>
      <w:r>
        <w:rPr>
          <w:b/>
          <w:spacing w:val="-9"/>
        </w:rPr>
        <w:t> </w:t>
      </w:r>
      <w:r>
        <w:rPr>
          <w:b/>
          <w:spacing w:val="-4"/>
        </w:rPr>
        <w:t>justified</w:t>
      </w:r>
      <w:r>
        <w:rPr>
          <w:b/>
          <w:spacing w:val="-9"/>
        </w:rPr>
        <w:t> </w:t>
      </w:r>
      <w:r>
        <w:rPr>
          <w:b/>
          <w:spacing w:val="-4"/>
        </w:rPr>
        <w:t>for</w:t>
      </w:r>
      <w:r>
        <w:rPr>
          <w:b/>
          <w:spacing w:val="-9"/>
        </w:rPr>
        <w:t> </w:t>
      </w:r>
      <w:r>
        <w:rPr>
          <w:b/>
          <w:spacing w:val="-4"/>
        </w:rPr>
        <w:t>both</w:t>
      </w:r>
      <w:r>
        <w:rPr>
          <w:b/>
          <w:spacing w:val="-9"/>
        </w:rPr>
        <w:t> </w:t>
      </w:r>
      <w:r>
        <w:rPr>
          <w:b/>
          <w:spacing w:val="-4"/>
        </w:rPr>
        <w:t>regions.</w:t>
      </w:r>
      <w:r>
        <w:rPr>
          <w:b/>
          <w:spacing w:val="12"/>
        </w:rPr>
        <w:t> </w:t>
      </w:r>
      <w:r>
        <w:rPr>
          <w:spacing w:val="-4"/>
        </w:rPr>
        <w:t>Both</w:t>
      </w:r>
      <w:r>
        <w:rPr>
          <w:spacing w:val="-9"/>
        </w:rPr>
        <w:t> </w:t>
      </w:r>
      <w:r>
        <w:rPr>
          <w:spacing w:val="-4"/>
        </w:rPr>
        <w:t>raw</w:t>
      </w:r>
      <w:r>
        <w:rPr>
          <w:spacing w:val="-9"/>
        </w:rPr>
        <w:t> </w:t>
      </w:r>
      <w:r>
        <w:rPr>
          <w:spacing w:val="-4"/>
        </w:rPr>
        <w:t>series</w:t>
      </w:r>
      <w:r>
        <w:rPr>
          <w:spacing w:val="-9"/>
        </w:rPr>
        <w:t> </w:t>
      </w:r>
      <w:r>
        <w:rPr>
          <w:spacing w:val="-4"/>
        </w:rPr>
        <w:t>fail</w:t>
      </w:r>
      <w:r>
        <w:rPr>
          <w:spacing w:val="-9"/>
        </w:rPr>
        <w:t> </w:t>
      </w:r>
      <w:r>
        <w:rPr>
          <w:spacing w:val="-4"/>
        </w:rPr>
        <w:t>the</w:t>
      </w:r>
      <w:r>
        <w:rPr>
          <w:spacing w:val="-9"/>
        </w:rPr>
        <w:t> </w:t>
      </w:r>
      <w:r>
        <w:rPr>
          <w:spacing w:val="-4"/>
        </w:rPr>
        <w:t>ADF </w:t>
      </w:r>
      <w:r>
        <w:rPr/>
        <w:t>test</w:t>
      </w:r>
      <w:r>
        <w:rPr>
          <w:spacing w:val="-4"/>
        </w:rPr>
        <w:t> </w:t>
      </w:r>
      <w:r>
        <w:rPr/>
        <w:t>(p</w:t>
      </w:r>
      <w:r>
        <w:rPr>
          <w:spacing w:val="-4"/>
        </w:rPr>
        <w:t> </w:t>
      </w:r>
      <w:r>
        <w:rPr/>
        <w:t>=</w:t>
      </w:r>
      <w:r>
        <w:rPr>
          <w:spacing w:val="-4"/>
        </w:rPr>
        <w:t> </w:t>
      </w:r>
      <w:r>
        <w:rPr/>
        <w:t>0.38</w:t>
      </w:r>
      <w:r>
        <w:rPr>
          <w:spacing w:val="-4"/>
        </w:rPr>
        <w:t> </w:t>
      </w:r>
      <w:r>
        <w:rPr/>
        <w:t>for</w:t>
      </w:r>
      <w:r>
        <w:rPr>
          <w:spacing w:val="-4"/>
        </w:rPr>
        <w:t> </w:t>
      </w:r>
      <w:r>
        <w:rPr/>
        <w:t>RDD,</w:t>
      </w:r>
      <w:r>
        <w:rPr>
          <w:spacing w:val="-4"/>
        </w:rPr>
        <w:t> </w:t>
      </w:r>
      <w:r>
        <w:rPr/>
        <w:t>p</w:t>
      </w:r>
      <w:r>
        <w:rPr>
          <w:spacing w:val="-4"/>
        </w:rPr>
        <w:t> </w:t>
      </w:r>
      <w:r>
        <w:rPr/>
        <w:t>=</w:t>
      </w:r>
      <w:r>
        <w:rPr>
          <w:spacing w:val="-4"/>
        </w:rPr>
        <w:t> </w:t>
      </w:r>
      <w:r>
        <w:rPr/>
        <w:t>0.89</w:t>
      </w:r>
      <w:r>
        <w:rPr>
          <w:spacing w:val="-4"/>
        </w:rPr>
        <w:t> </w:t>
      </w:r>
      <w:r>
        <w:rPr/>
        <w:t>for</w:t>
      </w:r>
      <w:r>
        <w:rPr>
          <w:spacing w:val="-4"/>
        </w:rPr>
        <w:t> </w:t>
      </w:r>
      <w:r>
        <w:rPr/>
        <w:t>RVV),</w:t>
      </w:r>
      <w:r>
        <w:rPr>
          <w:spacing w:val="-4"/>
        </w:rPr>
        <w:t> </w:t>
      </w:r>
      <w:r>
        <w:rPr/>
        <w:t>confirming</w:t>
      </w:r>
      <w:r>
        <w:rPr>
          <w:spacing w:val="-4"/>
        </w:rPr>
        <w:t> </w:t>
      </w:r>
      <w:r>
        <w:rPr/>
        <w:t>that</w:t>
      </w:r>
      <w:r>
        <w:rPr>
          <w:spacing w:val="-4"/>
        </w:rPr>
        <w:t> </w:t>
      </w:r>
      <w:r>
        <w:rPr/>
        <w:t>unit</w:t>
      </w:r>
      <w:r>
        <w:rPr>
          <w:spacing w:val="-4"/>
        </w:rPr>
        <w:t> </w:t>
      </w:r>
      <w:r>
        <w:rPr/>
        <w:t>roots</w:t>
      </w:r>
      <w:r>
        <w:rPr>
          <w:spacing w:val="-4"/>
        </w:rPr>
        <w:t> </w:t>
      </w:r>
      <w:r>
        <w:rPr/>
        <w:t>cannot</w:t>
      </w:r>
      <w:r>
        <w:rPr>
          <w:spacing w:val="-4"/>
        </w:rPr>
        <w:t> </w:t>
      </w:r>
      <w:r>
        <w:rPr/>
        <w:t>be</w:t>
      </w:r>
      <w:r>
        <w:rPr>
          <w:spacing w:val="-4"/>
        </w:rPr>
        <w:t> </w:t>
      </w:r>
      <w:r>
        <w:rPr/>
        <w:t>rejected</w:t>
      </w:r>
      <w:r>
        <w:rPr>
          <w:spacing w:val="-4"/>
        </w:rPr>
        <w:t> </w:t>
      </w:r>
      <w:r>
        <w:rPr/>
        <w:t>in</w:t>
      </w:r>
      <w:r>
        <w:rPr>
          <w:spacing w:val="-4"/>
        </w:rPr>
        <w:t> </w:t>
      </w:r>
      <w:r>
        <w:rPr/>
        <w:t>either series.</w:t>
      </w:r>
      <w:r>
        <w:rPr>
          <w:spacing w:val="40"/>
        </w:rPr>
        <w:t> </w:t>
      </w:r>
      <w:r>
        <w:rPr/>
        <w:t>The linear trend slopes are both highly statistically significant (p &lt; 0.0001), confirming that the observed trends are not artefacts of sampling variability.</w:t>
      </w:r>
      <w:r>
        <w:rPr>
          <w:spacing w:val="40"/>
        </w:rPr>
        <w:t> </w:t>
      </w:r>
      <w:r>
        <w:rPr/>
        <w:t>Applying machine learning models</w:t>
      </w:r>
      <w:r>
        <w:rPr>
          <w:spacing w:val="-9"/>
        </w:rPr>
        <w:t> </w:t>
      </w:r>
      <w:r>
        <w:rPr/>
        <w:t>to</w:t>
      </w:r>
      <w:r>
        <w:rPr>
          <w:spacing w:val="-9"/>
        </w:rPr>
        <w:t> </w:t>
      </w:r>
      <w:r>
        <w:rPr/>
        <w:t>the</w:t>
      </w:r>
      <w:r>
        <w:rPr>
          <w:spacing w:val="-9"/>
        </w:rPr>
        <w:t> </w:t>
      </w:r>
      <w:r>
        <w:rPr/>
        <w:t>raw</w:t>
      </w:r>
      <w:r>
        <w:rPr>
          <w:spacing w:val="-9"/>
        </w:rPr>
        <w:t> </w:t>
      </w:r>
      <w:r>
        <w:rPr/>
        <w:t>series</w:t>
      </w:r>
      <w:r>
        <w:rPr>
          <w:spacing w:val="-9"/>
        </w:rPr>
        <w:t> </w:t>
      </w:r>
      <w:r>
        <w:rPr/>
        <w:t>without</w:t>
      </w:r>
      <w:r>
        <w:rPr>
          <w:spacing w:val="-9"/>
        </w:rPr>
        <w:t> </w:t>
      </w:r>
      <w:r>
        <w:rPr/>
        <w:t>detrending</w:t>
      </w:r>
      <w:r>
        <w:rPr>
          <w:spacing w:val="-9"/>
        </w:rPr>
        <w:t> </w:t>
      </w:r>
      <w:r>
        <w:rPr/>
        <w:t>would</w:t>
      </w:r>
      <w:r>
        <w:rPr>
          <w:spacing w:val="-9"/>
        </w:rPr>
        <w:t> </w:t>
      </w:r>
      <w:r>
        <w:rPr/>
        <w:t>violate</w:t>
      </w:r>
      <w:r>
        <w:rPr>
          <w:spacing w:val="-9"/>
        </w:rPr>
        <w:t> </w:t>
      </w:r>
      <w:r>
        <w:rPr/>
        <w:t>the</w:t>
      </w:r>
      <w:r>
        <w:rPr>
          <w:spacing w:val="-9"/>
        </w:rPr>
        <w:t> </w:t>
      </w:r>
      <w:r>
        <w:rPr/>
        <w:t>stationarity</w:t>
      </w:r>
      <w:r>
        <w:rPr>
          <w:spacing w:val="-9"/>
        </w:rPr>
        <w:t> </w:t>
      </w:r>
      <w:r>
        <w:rPr/>
        <w:t>assumptions</w:t>
      </w:r>
      <w:r>
        <w:rPr>
          <w:spacing w:val="-9"/>
        </w:rPr>
        <w:t> </w:t>
      </w:r>
      <w:r>
        <w:rPr/>
        <w:t>implicit</w:t>
      </w:r>
      <w:r>
        <w:rPr>
          <w:spacing w:val="-9"/>
        </w:rPr>
        <w:t> </w:t>
      </w:r>
      <w:r>
        <w:rPr/>
        <w:t>in cross-sectional</w:t>
      </w:r>
      <w:r>
        <w:rPr>
          <w:spacing w:val="-4"/>
        </w:rPr>
        <w:t> </w:t>
      </w:r>
      <w:r>
        <w:rPr/>
        <w:t>feature-based</w:t>
      </w:r>
      <w:r>
        <w:rPr>
          <w:spacing w:val="-4"/>
        </w:rPr>
        <w:t> </w:t>
      </w:r>
      <w:r>
        <w:rPr/>
        <w:t>modelling</w:t>
      </w:r>
      <w:r>
        <w:rPr>
          <w:spacing w:val="-4"/>
        </w:rPr>
        <w:t> </w:t>
      </w:r>
      <w:r>
        <w:rPr/>
        <w:t>and</w:t>
      </w:r>
      <w:r>
        <w:rPr>
          <w:spacing w:val="-4"/>
        </w:rPr>
        <w:t> </w:t>
      </w:r>
      <w:r>
        <w:rPr/>
        <w:t>would</w:t>
      </w:r>
      <w:r>
        <w:rPr>
          <w:spacing w:val="-4"/>
        </w:rPr>
        <w:t> </w:t>
      </w:r>
      <w:r>
        <w:rPr/>
        <w:t>confound</w:t>
      </w:r>
      <w:r>
        <w:rPr>
          <w:spacing w:val="-4"/>
        </w:rPr>
        <w:t> </w:t>
      </w:r>
      <w:r>
        <w:rPr/>
        <w:t>climate</w:t>
      </w:r>
      <w:r>
        <w:rPr>
          <w:spacing w:val="-4"/>
        </w:rPr>
        <w:t> </w:t>
      </w:r>
      <w:r>
        <w:rPr/>
        <w:t>effects</w:t>
      </w:r>
      <w:r>
        <w:rPr>
          <w:spacing w:val="-4"/>
        </w:rPr>
        <w:t> </w:t>
      </w:r>
      <w:r>
        <w:rPr/>
        <w:t>with</w:t>
      </w:r>
      <w:r>
        <w:rPr>
          <w:spacing w:val="-4"/>
        </w:rPr>
        <w:t> </w:t>
      </w:r>
      <w:r>
        <w:rPr/>
        <w:t>structural</w:t>
      </w:r>
      <w:r>
        <w:rPr>
          <w:spacing w:val="-4"/>
        </w:rPr>
        <w:t> </w:t>
      </w:r>
      <w:r>
        <w:rPr/>
        <w:t>level </w:t>
      </w:r>
      <w:r>
        <w:rPr>
          <w:spacing w:val="-2"/>
        </w:rPr>
        <w:t>changes.</w:t>
      </w:r>
    </w:p>
    <w:p>
      <w:pPr>
        <w:pStyle w:val="BodyText"/>
        <w:spacing w:line="312" w:lineRule="auto"/>
        <w:ind w:left="142" w:right="1542" w:firstLine="338"/>
        <w:jc w:val="both"/>
      </w:pPr>
      <w:r>
        <w:rPr>
          <w:b/>
        </w:rPr>
        <w:t>Implication 2:</w:t>
      </w:r>
      <w:r>
        <w:rPr>
          <w:b/>
          <w:spacing w:val="40"/>
        </w:rPr>
        <w:t> </w:t>
      </w:r>
      <w:r>
        <w:rPr>
          <w:b/>
        </w:rPr>
        <w:t>Linear detrending achieves full stationarity in RDD but only partial </w:t>
      </w:r>
      <w:r>
        <w:rPr>
          <w:b/>
          <w:spacing w:val="-2"/>
        </w:rPr>
        <w:t>stationarity</w:t>
      </w:r>
      <w:r>
        <w:rPr>
          <w:b/>
          <w:spacing w:val="-11"/>
        </w:rPr>
        <w:t> </w:t>
      </w:r>
      <w:r>
        <w:rPr>
          <w:b/>
          <w:spacing w:val="-2"/>
        </w:rPr>
        <w:t>in</w:t>
      </w:r>
      <w:r>
        <w:rPr>
          <w:b/>
          <w:spacing w:val="-11"/>
        </w:rPr>
        <w:t> </w:t>
      </w:r>
      <w:r>
        <w:rPr>
          <w:b/>
          <w:spacing w:val="-2"/>
        </w:rPr>
        <w:t>RVV.</w:t>
      </w:r>
      <w:r>
        <w:rPr>
          <w:b/>
          <w:spacing w:val="-11"/>
        </w:rPr>
        <w:t> </w:t>
      </w:r>
      <w:r>
        <w:rPr>
          <w:spacing w:val="-2"/>
        </w:rPr>
        <w:t>After</w:t>
      </w:r>
      <w:r>
        <w:rPr>
          <w:spacing w:val="-11"/>
        </w:rPr>
        <w:t> </w:t>
      </w:r>
      <w:r>
        <w:rPr>
          <w:spacing w:val="-2"/>
        </w:rPr>
        <w:t>linear</w:t>
      </w:r>
      <w:r>
        <w:rPr>
          <w:spacing w:val="-11"/>
        </w:rPr>
        <w:t> </w:t>
      </w:r>
      <w:r>
        <w:rPr>
          <w:spacing w:val="-2"/>
        </w:rPr>
        <w:t>detrending,</w:t>
      </w:r>
      <w:r>
        <w:rPr>
          <w:spacing w:val="-10"/>
        </w:rPr>
        <w:t> </w:t>
      </w:r>
      <w:r>
        <w:rPr>
          <w:spacing w:val="-2"/>
        </w:rPr>
        <w:t>the</w:t>
      </w:r>
      <w:r>
        <w:rPr>
          <w:spacing w:val="-11"/>
        </w:rPr>
        <w:t> </w:t>
      </w:r>
      <w:r>
        <w:rPr>
          <w:spacing w:val="-2"/>
        </w:rPr>
        <w:t>RDD</w:t>
      </w:r>
      <w:r>
        <w:rPr>
          <w:spacing w:val="-10"/>
        </w:rPr>
        <w:t> </w:t>
      </w:r>
      <w:r>
        <w:rPr>
          <w:spacing w:val="-2"/>
        </w:rPr>
        <w:t>residuals</w:t>
      </w:r>
      <w:r>
        <w:rPr>
          <w:spacing w:val="-11"/>
        </w:rPr>
        <w:t> </w:t>
      </w:r>
      <w:r>
        <w:rPr>
          <w:spacing w:val="-2"/>
        </w:rPr>
        <w:t>pass</w:t>
      </w:r>
      <w:r>
        <w:rPr>
          <w:spacing w:val="-11"/>
        </w:rPr>
        <w:t> </w:t>
      </w:r>
      <w:r>
        <w:rPr>
          <w:spacing w:val="-2"/>
        </w:rPr>
        <w:t>both</w:t>
      </w:r>
      <w:r>
        <w:rPr>
          <w:spacing w:val="-11"/>
        </w:rPr>
        <w:t> </w:t>
      </w:r>
      <w:r>
        <w:rPr>
          <w:spacing w:val="-2"/>
        </w:rPr>
        <w:t>the</w:t>
      </w:r>
      <w:r>
        <w:rPr>
          <w:spacing w:val="-10"/>
        </w:rPr>
        <w:t> </w:t>
      </w:r>
      <w:r>
        <w:rPr>
          <w:spacing w:val="-2"/>
        </w:rPr>
        <w:t>ADF</w:t>
      </w:r>
      <w:r>
        <w:rPr>
          <w:spacing w:val="-11"/>
        </w:rPr>
        <w:t> </w:t>
      </w:r>
      <w:r>
        <w:rPr>
          <w:spacing w:val="-2"/>
        </w:rPr>
        <w:t>test</w:t>
      </w:r>
      <w:r>
        <w:rPr>
          <w:spacing w:val="-11"/>
        </w:rPr>
        <w:t> </w:t>
      </w:r>
      <w:r>
        <w:rPr>
          <w:spacing w:val="-2"/>
        </w:rPr>
        <w:t>(p</w:t>
      </w:r>
      <w:r>
        <w:rPr>
          <w:spacing w:val="-11"/>
        </w:rPr>
        <w:t> </w:t>
      </w:r>
      <w:r>
        <w:rPr>
          <w:spacing w:val="-2"/>
        </w:rPr>
        <w:t>&lt;</w:t>
      </w:r>
      <w:r>
        <w:rPr>
          <w:spacing w:val="-10"/>
        </w:rPr>
        <w:t> </w:t>
      </w:r>
      <w:r>
        <w:rPr>
          <w:spacing w:val="-2"/>
        </w:rPr>
        <w:t>0.001) </w:t>
      </w:r>
      <w:r>
        <w:rPr/>
        <w:t>and</w:t>
      </w:r>
      <w:r>
        <w:rPr>
          <w:spacing w:val="-9"/>
        </w:rPr>
        <w:t> </w:t>
      </w:r>
      <w:r>
        <w:rPr/>
        <w:t>the</w:t>
      </w:r>
      <w:r>
        <w:rPr>
          <w:spacing w:val="-9"/>
        </w:rPr>
        <w:t> </w:t>
      </w:r>
      <w:r>
        <w:rPr/>
        <w:t>KPSS</w:t>
      </w:r>
      <w:r>
        <w:rPr>
          <w:spacing w:val="-9"/>
        </w:rPr>
        <w:t> </w:t>
      </w:r>
      <w:r>
        <w:rPr/>
        <w:t>test</w:t>
      </w:r>
      <w:r>
        <w:rPr>
          <w:spacing w:val="-9"/>
        </w:rPr>
        <w:t> </w:t>
      </w:r>
      <w:r>
        <w:rPr/>
        <w:t>(p</w:t>
      </w:r>
      <w:r>
        <w:rPr>
          <w:spacing w:val="-9"/>
        </w:rPr>
        <w:t> </w:t>
      </w:r>
      <w:r>
        <w:rPr/>
        <w:t>=</w:t>
      </w:r>
      <w:r>
        <w:rPr>
          <w:spacing w:val="-9"/>
        </w:rPr>
        <w:t> </w:t>
      </w:r>
      <w:r>
        <w:rPr/>
        <w:t>0.10),</w:t>
      </w:r>
      <w:r>
        <w:rPr>
          <w:spacing w:val="-9"/>
        </w:rPr>
        <w:t> </w:t>
      </w:r>
      <w:r>
        <w:rPr/>
        <w:t>confirming</w:t>
      </w:r>
      <w:r>
        <w:rPr>
          <w:spacing w:val="-9"/>
        </w:rPr>
        <w:t> </w:t>
      </w:r>
      <w:r>
        <w:rPr/>
        <w:t>stationarity</w:t>
      </w:r>
      <w:r>
        <w:rPr>
          <w:spacing w:val="-9"/>
        </w:rPr>
        <w:t> </w:t>
      </w:r>
      <w:r>
        <w:rPr/>
        <w:t>by</w:t>
      </w:r>
      <w:r>
        <w:rPr>
          <w:spacing w:val="-9"/>
        </w:rPr>
        <w:t> </w:t>
      </w:r>
      <w:r>
        <w:rPr/>
        <w:t>both</w:t>
      </w:r>
      <w:r>
        <w:rPr>
          <w:spacing w:val="-9"/>
        </w:rPr>
        <w:t> </w:t>
      </w:r>
      <w:r>
        <w:rPr/>
        <w:t>criteria. The</w:t>
      </w:r>
      <w:r>
        <w:rPr>
          <w:spacing w:val="-9"/>
        </w:rPr>
        <w:t> </w:t>
      </w:r>
      <w:r>
        <w:rPr/>
        <w:t>RVV</w:t>
      </w:r>
      <w:r>
        <w:rPr>
          <w:spacing w:val="-9"/>
        </w:rPr>
        <w:t> </w:t>
      </w:r>
      <w:r>
        <w:rPr/>
        <w:t>residuals</w:t>
      </w:r>
      <w:r>
        <w:rPr>
          <w:spacing w:val="-9"/>
        </w:rPr>
        <w:t> </w:t>
      </w:r>
      <w:r>
        <w:rPr/>
        <w:t>pass</w:t>
      </w:r>
      <w:r>
        <w:rPr>
          <w:spacing w:val="-9"/>
        </w:rPr>
        <w:t> </w:t>
      </w:r>
      <w:r>
        <w:rPr/>
        <w:t>the KPSS</w:t>
      </w:r>
      <w:r>
        <w:rPr>
          <w:spacing w:val="-1"/>
        </w:rPr>
        <w:t> </w:t>
      </w:r>
      <w:r>
        <w:rPr/>
        <w:t>level-stationarity</w:t>
      </w:r>
      <w:r>
        <w:rPr>
          <w:spacing w:val="-1"/>
        </w:rPr>
        <w:t> </w:t>
      </w:r>
      <w:r>
        <w:rPr/>
        <w:t>test</w:t>
      </w:r>
      <w:r>
        <w:rPr>
          <w:spacing w:val="-1"/>
        </w:rPr>
        <w:t> </w:t>
      </w:r>
      <w:r>
        <w:rPr/>
        <w:t>(p</w:t>
      </w:r>
      <w:r>
        <w:rPr>
          <w:spacing w:val="-1"/>
        </w:rPr>
        <w:t> </w:t>
      </w:r>
      <w:r>
        <w:rPr/>
        <w:t>=</w:t>
      </w:r>
      <w:r>
        <w:rPr>
          <w:spacing w:val="-1"/>
        </w:rPr>
        <w:t> </w:t>
      </w:r>
      <w:r>
        <w:rPr/>
        <w:t>0.10)</w:t>
      </w:r>
      <w:r>
        <w:rPr>
          <w:spacing w:val="-1"/>
        </w:rPr>
        <w:t> </w:t>
      </w:r>
      <w:r>
        <w:rPr/>
        <w:t>but</w:t>
      </w:r>
      <w:r>
        <w:rPr>
          <w:spacing w:val="-1"/>
        </w:rPr>
        <w:t> </w:t>
      </w:r>
      <w:r>
        <w:rPr/>
        <w:t>fail</w:t>
      </w:r>
      <w:r>
        <w:rPr>
          <w:spacing w:val="-1"/>
        </w:rPr>
        <w:t> </w:t>
      </w:r>
      <w:r>
        <w:rPr/>
        <w:t>the</w:t>
      </w:r>
      <w:r>
        <w:rPr>
          <w:spacing w:val="-1"/>
        </w:rPr>
        <w:t> </w:t>
      </w:r>
      <w:r>
        <w:rPr/>
        <w:t>ADF</w:t>
      </w:r>
      <w:r>
        <w:rPr>
          <w:spacing w:val="-1"/>
        </w:rPr>
        <w:t> </w:t>
      </w:r>
      <w:r>
        <w:rPr/>
        <w:t>test</w:t>
      </w:r>
      <w:r>
        <w:rPr>
          <w:spacing w:val="-1"/>
        </w:rPr>
        <w:t> </w:t>
      </w:r>
      <w:r>
        <w:rPr/>
        <w:t>(p</w:t>
      </w:r>
      <w:r>
        <w:rPr>
          <w:spacing w:val="-1"/>
        </w:rPr>
        <w:t> </w:t>
      </w:r>
      <w:r>
        <w:rPr/>
        <w:t>=</w:t>
      </w:r>
      <w:r>
        <w:rPr>
          <w:spacing w:val="-1"/>
        </w:rPr>
        <w:t> </w:t>
      </w:r>
      <w:r>
        <w:rPr/>
        <w:t>0.37),</w:t>
      </w:r>
      <w:r>
        <w:rPr>
          <w:spacing w:val="-1"/>
        </w:rPr>
        <w:t> </w:t>
      </w:r>
      <w:r>
        <w:rPr/>
        <w:t>indicating</w:t>
      </w:r>
      <w:r>
        <w:rPr>
          <w:spacing w:val="-1"/>
        </w:rPr>
        <w:t> </w:t>
      </w:r>
      <w:r>
        <w:rPr/>
        <w:t>that</w:t>
      </w:r>
      <w:r>
        <w:rPr>
          <w:spacing w:val="-1"/>
        </w:rPr>
        <w:t> </w:t>
      </w:r>
      <w:r>
        <w:rPr/>
        <w:t>a</w:t>
      </w:r>
      <w:r>
        <w:rPr>
          <w:spacing w:val="-1"/>
        </w:rPr>
        <w:t> </w:t>
      </w:r>
      <w:r>
        <w:rPr/>
        <w:t>unit</w:t>
      </w:r>
      <w:r>
        <w:rPr>
          <w:spacing w:val="-1"/>
        </w:rPr>
        <w:t> </w:t>
      </w:r>
      <w:r>
        <w:rPr/>
        <w:t>root cannot</w:t>
      </w:r>
      <w:r>
        <w:rPr>
          <w:spacing w:val="-8"/>
        </w:rPr>
        <w:t> </w:t>
      </w:r>
      <w:r>
        <w:rPr/>
        <w:t>be</w:t>
      </w:r>
      <w:r>
        <w:rPr>
          <w:spacing w:val="-8"/>
        </w:rPr>
        <w:t> </w:t>
      </w:r>
      <w:r>
        <w:rPr/>
        <w:t>rejected</w:t>
      </w:r>
      <w:r>
        <w:rPr>
          <w:spacing w:val="-8"/>
        </w:rPr>
        <w:t> </w:t>
      </w:r>
      <w:r>
        <w:rPr/>
        <w:t>even</w:t>
      </w:r>
      <w:r>
        <w:rPr>
          <w:spacing w:val="-8"/>
        </w:rPr>
        <w:t> </w:t>
      </w:r>
      <w:r>
        <w:rPr/>
        <w:t>after</w:t>
      </w:r>
      <w:r>
        <w:rPr>
          <w:spacing w:val="-8"/>
        </w:rPr>
        <w:t> </w:t>
      </w:r>
      <w:r>
        <w:rPr/>
        <w:t>removing</w:t>
      </w:r>
      <w:r>
        <w:rPr>
          <w:spacing w:val="-8"/>
        </w:rPr>
        <w:t> </w:t>
      </w:r>
      <w:r>
        <w:rPr/>
        <w:t>the</w:t>
      </w:r>
      <w:r>
        <w:rPr>
          <w:spacing w:val="-8"/>
        </w:rPr>
        <w:t> </w:t>
      </w:r>
      <w:r>
        <w:rPr/>
        <w:t>linear</w:t>
      </w:r>
      <w:r>
        <w:rPr>
          <w:spacing w:val="-8"/>
        </w:rPr>
        <w:t> </w:t>
      </w:r>
      <w:r>
        <w:rPr/>
        <w:t>trend. This</w:t>
      </w:r>
      <w:r>
        <w:rPr>
          <w:spacing w:val="-8"/>
        </w:rPr>
        <w:t> </w:t>
      </w:r>
      <w:r>
        <w:rPr/>
        <w:t>is</w:t>
      </w:r>
      <w:r>
        <w:rPr>
          <w:spacing w:val="-8"/>
        </w:rPr>
        <w:t> </w:t>
      </w:r>
      <w:r>
        <w:rPr/>
        <w:t>formal</w:t>
      </w:r>
      <w:r>
        <w:rPr>
          <w:spacing w:val="-8"/>
        </w:rPr>
        <w:t> </w:t>
      </w:r>
      <w:r>
        <w:rPr/>
        <w:t>statistical</w:t>
      </w:r>
      <w:r>
        <w:rPr>
          <w:spacing w:val="-8"/>
        </w:rPr>
        <w:t> </w:t>
      </w:r>
      <w:r>
        <w:rPr/>
        <w:t>evidence</w:t>
      </w:r>
      <w:r>
        <w:rPr>
          <w:spacing w:val="-8"/>
        </w:rPr>
        <w:t> </w:t>
      </w:r>
      <w:r>
        <w:rPr/>
        <w:t>that</w:t>
      </w:r>
      <w:r>
        <w:rPr>
          <w:spacing w:val="-8"/>
        </w:rPr>
        <w:t> </w:t>
      </w:r>
      <w:r>
        <w:rPr/>
        <w:t>the RVV structural change, the sharp non-linear decline associated with EU accession and industry </w:t>
      </w:r>
      <w:r>
        <w:rPr>
          <w:spacing w:val="-2"/>
        </w:rPr>
        <w:t>restructuring,</w:t>
      </w:r>
      <w:r>
        <w:rPr>
          <w:spacing w:val="-11"/>
        </w:rPr>
        <w:t> </w:t>
      </w:r>
      <w:r>
        <w:rPr>
          <w:spacing w:val="-2"/>
        </w:rPr>
        <w:t>is</w:t>
      </w:r>
      <w:r>
        <w:rPr>
          <w:spacing w:val="-12"/>
        </w:rPr>
        <w:t> </w:t>
      </w:r>
      <w:r>
        <w:rPr>
          <w:spacing w:val="-2"/>
        </w:rPr>
        <w:t>not</w:t>
      </w:r>
      <w:r>
        <w:rPr>
          <w:spacing w:val="-12"/>
        </w:rPr>
        <w:t> </w:t>
      </w:r>
      <w:r>
        <w:rPr>
          <w:spacing w:val="-2"/>
        </w:rPr>
        <w:t>fully</w:t>
      </w:r>
      <w:r>
        <w:rPr>
          <w:spacing w:val="-11"/>
        </w:rPr>
        <w:t> </w:t>
      </w:r>
      <w:r>
        <w:rPr>
          <w:spacing w:val="-2"/>
        </w:rPr>
        <w:t>captured</w:t>
      </w:r>
      <w:r>
        <w:rPr>
          <w:spacing w:val="-12"/>
        </w:rPr>
        <w:t> </w:t>
      </w:r>
      <w:r>
        <w:rPr>
          <w:spacing w:val="-2"/>
        </w:rPr>
        <w:t>by</w:t>
      </w:r>
      <w:r>
        <w:rPr>
          <w:spacing w:val="-12"/>
        </w:rPr>
        <w:t> </w:t>
      </w:r>
      <w:r>
        <w:rPr>
          <w:spacing w:val="-2"/>
        </w:rPr>
        <w:t>a</w:t>
      </w:r>
      <w:r>
        <w:rPr>
          <w:spacing w:val="-11"/>
        </w:rPr>
        <w:t> </w:t>
      </w:r>
      <w:r>
        <w:rPr>
          <w:spacing w:val="-2"/>
        </w:rPr>
        <w:t>linear</w:t>
      </w:r>
      <w:r>
        <w:rPr>
          <w:spacing w:val="-12"/>
        </w:rPr>
        <w:t> </w:t>
      </w:r>
      <w:r>
        <w:rPr>
          <w:spacing w:val="-2"/>
        </w:rPr>
        <w:t>trend.</w:t>
      </w:r>
      <w:r>
        <w:rPr>
          <w:spacing w:val="3"/>
        </w:rPr>
        <w:t> </w:t>
      </w:r>
      <w:r>
        <w:rPr>
          <w:spacing w:val="-2"/>
        </w:rPr>
        <w:t>Persistent</w:t>
      </w:r>
      <w:r>
        <w:rPr>
          <w:spacing w:val="-12"/>
        </w:rPr>
        <w:t> </w:t>
      </w:r>
      <w:r>
        <w:rPr>
          <w:spacing w:val="-2"/>
        </w:rPr>
        <w:t>non-stationarity</w:t>
      </w:r>
      <w:r>
        <w:rPr>
          <w:spacing w:val="-12"/>
        </w:rPr>
        <w:t> </w:t>
      </w:r>
      <w:r>
        <w:rPr>
          <w:spacing w:val="-2"/>
        </w:rPr>
        <w:t>in</w:t>
      </w:r>
      <w:r>
        <w:rPr>
          <w:spacing w:val="-11"/>
        </w:rPr>
        <w:t> </w:t>
      </w:r>
      <w:r>
        <w:rPr>
          <w:spacing w:val="-2"/>
        </w:rPr>
        <w:t>the</w:t>
      </w:r>
      <w:r>
        <w:rPr>
          <w:spacing w:val="-12"/>
        </w:rPr>
        <w:t> </w:t>
      </w:r>
      <w:r>
        <w:rPr>
          <w:spacing w:val="-2"/>
        </w:rPr>
        <w:t>RVV</w:t>
      </w:r>
      <w:r>
        <w:rPr>
          <w:spacing w:val="-12"/>
        </w:rPr>
        <w:t> </w:t>
      </w:r>
      <w:r>
        <w:rPr>
          <w:spacing w:val="-2"/>
        </w:rPr>
        <w:t>residuals </w:t>
      </w:r>
      <w:r>
        <w:rPr/>
        <w:t>means</w:t>
      </w:r>
      <w:r>
        <w:rPr>
          <w:spacing w:val="-16"/>
        </w:rPr>
        <w:t> </w:t>
      </w:r>
      <w:r>
        <w:rPr/>
        <w:t>that</w:t>
      </w:r>
      <w:r>
        <w:rPr>
          <w:spacing w:val="-14"/>
        </w:rPr>
        <w:t> </w:t>
      </w:r>
      <w:r>
        <w:rPr/>
        <w:t>the</w:t>
      </w:r>
      <w:r>
        <w:rPr>
          <w:spacing w:val="-14"/>
        </w:rPr>
        <w:t> </w:t>
      </w:r>
      <w:r>
        <w:rPr/>
        <w:t>era-composition</w:t>
      </w:r>
      <w:r>
        <w:rPr>
          <w:spacing w:val="-13"/>
        </w:rPr>
        <w:t> </w:t>
      </w:r>
      <w:r>
        <w:rPr/>
        <w:t>effects</w:t>
      </w:r>
      <w:r>
        <w:rPr>
          <w:spacing w:val="-14"/>
        </w:rPr>
        <w:t> </w:t>
      </w:r>
      <w:r>
        <w:rPr/>
        <w:t>observed</w:t>
      </w:r>
      <w:r>
        <w:rPr>
          <w:spacing w:val="-14"/>
        </w:rPr>
        <w:t> </w:t>
      </w:r>
      <w:r>
        <w:rPr/>
        <w:t>in</w:t>
      </w:r>
      <w:r>
        <w:rPr>
          <w:spacing w:val="-14"/>
        </w:rPr>
        <w:t> </w:t>
      </w:r>
      <w:r>
        <w:rPr/>
        <w:t>the</w:t>
      </w:r>
      <w:r>
        <w:rPr>
          <w:spacing w:val="-13"/>
        </w:rPr>
        <w:t> </w:t>
      </w:r>
      <w:r>
        <w:rPr/>
        <w:t>walk-forward</w:t>
      </w:r>
      <w:r>
        <w:rPr>
          <w:spacing w:val="-14"/>
        </w:rPr>
        <w:t> </w:t>
      </w:r>
      <w:r>
        <w:rPr/>
        <w:t>evaluation</w:t>
      </w:r>
      <w:r>
        <w:rPr>
          <w:spacing w:val="-14"/>
        </w:rPr>
        <w:t> </w:t>
      </w:r>
      <w:r>
        <w:rPr/>
        <w:t>(Section</w:t>
      </w:r>
      <w:r>
        <w:rPr>
          <w:spacing w:val="-14"/>
        </w:rPr>
        <w:t> </w:t>
      </w:r>
      <w:hyperlink w:history="true" w:anchor="_bookmark107">
        <w:r>
          <w:rPr>
            <w:color w:val="8B2C18"/>
          </w:rPr>
          <w:t>5.3</w:t>
        </w:r>
      </w:hyperlink>
      <w:r>
        <w:rPr/>
        <w:t>)</w:t>
      </w:r>
      <w:r>
        <w:rPr>
          <w:spacing w:val="-13"/>
        </w:rPr>
        <w:t> </w:t>
      </w:r>
      <w:r>
        <w:rPr/>
        <w:t>have </w:t>
      </w:r>
      <w:r>
        <w:rPr>
          <w:spacing w:val="-2"/>
        </w:rPr>
        <w:t>a</w:t>
      </w:r>
      <w:r>
        <w:rPr>
          <w:spacing w:val="-11"/>
        </w:rPr>
        <w:t> </w:t>
      </w:r>
      <w:r>
        <w:rPr>
          <w:spacing w:val="-2"/>
        </w:rPr>
        <w:t>formal</w:t>
      </w:r>
      <w:r>
        <w:rPr>
          <w:spacing w:val="-11"/>
        </w:rPr>
        <w:t> </w:t>
      </w:r>
      <w:r>
        <w:rPr>
          <w:spacing w:val="-2"/>
        </w:rPr>
        <w:t>statistical</w:t>
      </w:r>
      <w:r>
        <w:rPr>
          <w:spacing w:val="-11"/>
        </w:rPr>
        <w:t> </w:t>
      </w:r>
      <w:r>
        <w:rPr>
          <w:spacing w:val="-2"/>
        </w:rPr>
        <w:t>basis:</w:t>
      </w:r>
      <w:r>
        <w:rPr/>
        <w:t> </w:t>
      </w:r>
      <w:r>
        <w:rPr>
          <w:spacing w:val="-2"/>
        </w:rPr>
        <w:t>the</w:t>
      </w:r>
      <w:r>
        <w:rPr>
          <w:spacing w:val="-11"/>
        </w:rPr>
        <w:t> </w:t>
      </w:r>
      <w:r>
        <w:rPr>
          <w:spacing w:val="-2"/>
        </w:rPr>
        <w:t>residuals</w:t>
      </w:r>
      <w:r>
        <w:rPr>
          <w:spacing w:val="-11"/>
        </w:rPr>
        <w:t> </w:t>
      </w:r>
      <w:r>
        <w:rPr>
          <w:spacing w:val="-2"/>
        </w:rPr>
        <w:t>themselves</w:t>
      </w:r>
      <w:r>
        <w:rPr>
          <w:spacing w:val="-11"/>
        </w:rPr>
        <w:t> </w:t>
      </w:r>
      <w:r>
        <w:rPr>
          <w:spacing w:val="-2"/>
        </w:rPr>
        <w:t>are</w:t>
      </w:r>
      <w:r>
        <w:rPr>
          <w:spacing w:val="-11"/>
        </w:rPr>
        <w:t> </w:t>
      </w:r>
      <w:r>
        <w:rPr>
          <w:spacing w:val="-2"/>
        </w:rPr>
        <w:t>non-stationary,</w:t>
      </w:r>
      <w:r>
        <w:rPr>
          <w:spacing w:val="-10"/>
        </w:rPr>
        <w:t> </w:t>
      </w:r>
      <w:r>
        <w:rPr>
          <w:spacing w:val="-2"/>
        </w:rPr>
        <w:t>which</w:t>
      </w:r>
      <w:r>
        <w:rPr>
          <w:spacing w:val="-11"/>
        </w:rPr>
        <w:t> </w:t>
      </w:r>
      <w:r>
        <w:rPr>
          <w:spacing w:val="-2"/>
        </w:rPr>
        <w:t>means</w:t>
      </w:r>
      <w:r>
        <w:rPr>
          <w:spacing w:val="-11"/>
        </w:rPr>
        <w:t> </w:t>
      </w:r>
      <w:r>
        <w:rPr>
          <w:spacing w:val="-2"/>
        </w:rPr>
        <w:t>rules</w:t>
      </w:r>
      <w:r>
        <w:rPr>
          <w:spacing w:val="-11"/>
        </w:rPr>
        <w:t> </w:t>
      </w:r>
      <w:r>
        <w:rPr>
          <w:spacing w:val="-2"/>
        </w:rPr>
        <w:t>discovered </w:t>
      </w:r>
      <w:r>
        <w:rPr/>
        <w:t>in early training windows may not generalise to later test windows.</w:t>
      </w:r>
    </w:p>
    <w:p>
      <w:pPr>
        <w:pStyle w:val="BodyText"/>
        <w:spacing w:after="0" w:line="312" w:lineRule="auto"/>
        <w:jc w:val="both"/>
        <w:sectPr>
          <w:pgSz w:w="11910" w:h="16840"/>
          <w:pgMar w:header="1160" w:footer="0" w:top="1420" w:bottom="280" w:left="1275" w:right="425"/>
        </w:sectPr>
      </w:pPr>
    </w:p>
    <w:p>
      <w:pPr>
        <w:pStyle w:val="BodyText"/>
      </w:pPr>
    </w:p>
    <w:p>
      <w:pPr>
        <w:pStyle w:val="BodyText"/>
        <w:spacing w:before="25"/>
      </w:pPr>
    </w:p>
    <w:p>
      <w:pPr>
        <w:pStyle w:val="BodyText"/>
        <w:spacing w:line="312" w:lineRule="auto" w:before="1"/>
        <w:ind w:left="701" w:right="952" w:firstLine="346"/>
        <w:jc w:val="both"/>
      </w:pPr>
      <w:r>
        <w:rPr>
          <w:b/>
        </w:rPr>
        <w:t>Implication 3: The mixed RVV result formally motivates LOESS detrending as a more flexible</w:t>
      </w:r>
      <w:r>
        <w:rPr>
          <w:b/>
          <w:spacing w:val="-3"/>
        </w:rPr>
        <w:t> </w:t>
      </w:r>
      <w:r>
        <w:rPr>
          <w:b/>
        </w:rPr>
        <w:t>alternative. </w:t>
      </w:r>
      <w:r>
        <w:rPr/>
        <w:t>The</w:t>
      </w:r>
      <w:r>
        <w:rPr>
          <w:spacing w:val="-3"/>
        </w:rPr>
        <w:t> </w:t>
      </w:r>
      <w:r>
        <w:rPr/>
        <w:t>fact</w:t>
      </w:r>
      <w:r>
        <w:rPr>
          <w:spacing w:val="-3"/>
        </w:rPr>
        <w:t> </w:t>
      </w:r>
      <w:r>
        <w:rPr/>
        <w:t>that</w:t>
      </w:r>
      <w:r>
        <w:rPr>
          <w:spacing w:val="-3"/>
        </w:rPr>
        <w:t> </w:t>
      </w:r>
      <w:r>
        <w:rPr/>
        <w:t>RVV</w:t>
      </w:r>
      <w:r>
        <w:rPr>
          <w:spacing w:val="-3"/>
        </w:rPr>
        <w:t> </w:t>
      </w:r>
      <w:r>
        <w:rPr/>
        <w:t>residuals</w:t>
      </w:r>
      <w:r>
        <w:rPr>
          <w:spacing w:val="-3"/>
        </w:rPr>
        <w:t> </w:t>
      </w:r>
      <w:r>
        <w:rPr/>
        <w:t>pass</w:t>
      </w:r>
      <w:r>
        <w:rPr>
          <w:spacing w:val="-3"/>
        </w:rPr>
        <w:t> </w:t>
      </w:r>
      <w:r>
        <w:rPr/>
        <w:t>KPSS</w:t>
      </w:r>
      <w:r>
        <w:rPr>
          <w:spacing w:val="-3"/>
        </w:rPr>
        <w:t> </w:t>
      </w:r>
      <w:r>
        <w:rPr/>
        <w:t>but</w:t>
      </w:r>
      <w:r>
        <w:rPr>
          <w:spacing w:val="-3"/>
        </w:rPr>
        <w:t> </w:t>
      </w:r>
      <w:r>
        <w:rPr/>
        <w:t>fail</w:t>
      </w:r>
      <w:r>
        <w:rPr>
          <w:spacing w:val="-3"/>
        </w:rPr>
        <w:t> </w:t>
      </w:r>
      <w:r>
        <w:rPr/>
        <w:t>ADF</w:t>
      </w:r>
      <w:r>
        <w:rPr>
          <w:spacing w:val="-3"/>
        </w:rPr>
        <w:t> </w:t>
      </w:r>
      <w:r>
        <w:rPr/>
        <w:t>after</w:t>
      </w:r>
      <w:r>
        <w:rPr>
          <w:spacing w:val="-3"/>
        </w:rPr>
        <w:t> </w:t>
      </w:r>
      <w:r>
        <w:rPr/>
        <w:t>linear</w:t>
      </w:r>
      <w:r>
        <w:rPr>
          <w:spacing w:val="-3"/>
        </w:rPr>
        <w:t> </w:t>
      </w:r>
      <w:r>
        <w:rPr/>
        <w:t>detrending confirms</w:t>
      </w:r>
      <w:r>
        <w:rPr>
          <w:spacing w:val="-5"/>
        </w:rPr>
        <w:t> </w:t>
      </w:r>
      <w:r>
        <w:rPr/>
        <w:t>that</w:t>
      </w:r>
      <w:r>
        <w:rPr>
          <w:spacing w:val="-5"/>
        </w:rPr>
        <w:t> </w:t>
      </w:r>
      <w:r>
        <w:rPr/>
        <w:t>the</w:t>
      </w:r>
      <w:r>
        <w:rPr>
          <w:spacing w:val="-5"/>
        </w:rPr>
        <w:t> </w:t>
      </w:r>
      <w:r>
        <w:rPr/>
        <w:t>linear</w:t>
      </w:r>
      <w:r>
        <w:rPr>
          <w:spacing w:val="-5"/>
        </w:rPr>
        <w:t> </w:t>
      </w:r>
      <w:r>
        <w:rPr/>
        <w:t>trend</w:t>
      </w:r>
      <w:r>
        <w:rPr>
          <w:spacing w:val="-5"/>
        </w:rPr>
        <w:t> </w:t>
      </w:r>
      <w:r>
        <w:rPr/>
        <w:t>removes</w:t>
      </w:r>
      <w:r>
        <w:rPr>
          <w:spacing w:val="-5"/>
        </w:rPr>
        <w:t> </w:t>
      </w:r>
      <w:r>
        <w:rPr/>
        <w:t>the</w:t>
      </w:r>
      <w:r>
        <w:rPr>
          <w:spacing w:val="-5"/>
        </w:rPr>
        <w:t> </w:t>
      </w:r>
      <w:r>
        <w:rPr/>
        <w:t>long-run</w:t>
      </w:r>
      <w:r>
        <w:rPr>
          <w:spacing w:val="-5"/>
        </w:rPr>
        <w:t> </w:t>
      </w:r>
      <w:r>
        <w:rPr/>
        <w:t>structural</w:t>
      </w:r>
      <w:r>
        <w:rPr>
          <w:spacing w:val="-5"/>
        </w:rPr>
        <w:t> </w:t>
      </w:r>
      <w:r>
        <w:rPr/>
        <w:t>level</w:t>
      </w:r>
      <w:r>
        <w:rPr>
          <w:spacing w:val="-5"/>
        </w:rPr>
        <w:t> </w:t>
      </w:r>
      <w:r>
        <w:rPr/>
        <w:t>but</w:t>
      </w:r>
      <w:r>
        <w:rPr>
          <w:spacing w:val="-5"/>
        </w:rPr>
        <w:t> </w:t>
      </w:r>
      <w:r>
        <w:rPr/>
        <w:t>not</w:t>
      </w:r>
      <w:r>
        <w:rPr>
          <w:spacing w:val="-5"/>
        </w:rPr>
        <w:t> </w:t>
      </w:r>
      <w:r>
        <w:rPr/>
        <w:t>all</w:t>
      </w:r>
      <w:r>
        <w:rPr>
          <w:spacing w:val="-5"/>
        </w:rPr>
        <w:t> </w:t>
      </w:r>
      <w:r>
        <w:rPr/>
        <w:t>persistent</w:t>
      </w:r>
      <w:r>
        <w:rPr>
          <w:spacing w:val="-5"/>
        </w:rPr>
        <w:t> </w:t>
      </w:r>
      <w:r>
        <w:rPr/>
        <w:t>structure. A more flexible detrending (LOESS) would in principle resolve this residual non-stationarity. The LOESS sensitivity analysis (Section </w:t>
      </w:r>
      <w:hyperlink w:history="true" w:anchor="_bookmark113">
        <w:r>
          <w:rPr>
            <w:color w:val="8B2C18"/>
          </w:rPr>
          <w:t>5.5</w:t>
        </w:r>
      </w:hyperlink>
      <w:r>
        <w:rPr/>
        <w:t>) demonstrates that LOESS does reduce the Naive_ Median baseline substantially for RVV, consistent with reducing the residual non-stationarity. </w:t>
      </w:r>
      <w:r>
        <w:rPr>
          <w:spacing w:val="-2"/>
        </w:rPr>
        <w:t>However,</w:t>
      </w:r>
      <w:r>
        <w:rPr>
          <w:spacing w:val="-12"/>
        </w:rPr>
        <w:t> </w:t>
      </w:r>
      <w:r>
        <w:rPr>
          <w:spacing w:val="-2"/>
        </w:rPr>
        <w:t>it</w:t>
      </w:r>
      <w:r>
        <w:rPr>
          <w:spacing w:val="-12"/>
        </w:rPr>
        <w:t> </w:t>
      </w:r>
      <w:r>
        <w:rPr>
          <w:spacing w:val="-2"/>
        </w:rPr>
        <w:t>simultaneously</w:t>
      </w:r>
      <w:r>
        <w:rPr>
          <w:spacing w:val="-12"/>
        </w:rPr>
        <w:t> </w:t>
      </w:r>
      <w:r>
        <w:rPr>
          <w:spacing w:val="-2"/>
        </w:rPr>
        <w:t>removes</w:t>
      </w:r>
      <w:r>
        <w:rPr>
          <w:spacing w:val="-11"/>
        </w:rPr>
        <w:t> </w:t>
      </w:r>
      <w:r>
        <w:rPr>
          <w:spacing w:val="-2"/>
        </w:rPr>
        <w:t>the</w:t>
      </w:r>
      <w:r>
        <w:rPr>
          <w:spacing w:val="-12"/>
        </w:rPr>
        <w:t> </w:t>
      </w:r>
      <w:r>
        <w:rPr>
          <w:spacing w:val="-2"/>
        </w:rPr>
        <w:t>climate</w:t>
      </w:r>
      <w:r>
        <w:rPr>
          <w:spacing w:val="-12"/>
        </w:rPr>
        <w:t> </w:t>
      </w:r>
      <w:r>
        <w:rPr>
          <w:spacing w:val="-2"/>
        </w:rPr>
        <w:t>signal</w:t>
      </w:r>
      <w:r>
        <w:rPr>
          <w:spacing w:val="-12"/>
        </w:rPr>
        <w:t> </w:t>
      </w:r>
      <w:r>
        <w:rPr>
          <w:spacing w:val="-2"/>
        </w:rPr>
        <w:t>required</w:t>
      </w:r>
      <w:r>
        <w:rPr>
          <w:spacing w:val="-11"/>
        </w:rPr>
        <w:t> </w:t>
      </w:r>
      <w:r>
        <w:rPr>
          <w:spacing w:val="-2"/>
        </w:rPr>
        <w:t>for</w:t>
      </w:r>
      <w:r>
        <w:rPr>
          <w:spacing w:val="-12"/>
        </w:rPr>
        <w:t> </w:t>
      </w:r>
      <w:r>
        <w:rPr>
          <w:spacing w:val="-2"/>
        </w:rPr>
        <w:t>rule</w:t>
      </w:r>
      <w:r>
        <w:rPr>
          <w:spacing w:val="-12"/>
        </w:rPr>
        <w:t> </w:t>
      </w:r>
      <w:r>
        <w:rPr>
          <w:spacing w:val="-2"/>
        </w:rPr>
        <w:t>induction,</w:t>
      </w:r>
      <w:r>
        <w:rPr>
          <w:spacing w:val="-12"/>
        </w:rPr>
        <w:t> </w:t>
      </w:r>
      <w:r>
        <w:rPr>
          <w:spacing w:val="-2"/>
        </w:rPr>
        <w:t>a</w:t>
      </w:r>
      <w:r>
        <w:rPr>
          <w:spacing w:val="-11"/>
        </w:rPr>
        <w:t> </w:t>
      </w:r>
      <w:r>
        <w:rPr>
          <w:spacing w:val="-2"/>
        </w:rPr>
        <w:t>direct</w:t>
      </w:r>
      <w:r>
        <w:rPr>
          <w:spacing w:val="-12"/>
        </w:rPr>
        <w:t> </w:t>
      </w:r>
      <w:r>
        <w:rPr>
          <w:spacing w:val="-2"/>
        </w:rPr>
        <w:t>empirical </w:t>
      </w:r>
      <w:r>
        <w:rPr/>
        <w:t>manifestation of the Decision 1 / Decision 2 trade-off formalised in Section </w:t>
      </w:r>
      <w:hyperlink w:history="true" w:anchor="_bookmark35">
        <w:r>
          <w:rPr>
            <w:color w:val="8B2C18"/>
          </w:rPr>
          <w:t>3.3</w:t>
        </w:r>
      </w:hyperlink>
      <w:r>
        <w:rPr/>
        <w:t>.</w:t>
      </w:r>
    </w:p>
    <w:p>
      <w:pPr>
        <w:pStyle w:val="BodyText"/>
        <w:spacing w:line="312" w:lineRule="auto"/>
        <w:ind w:left="702" w:right="954" w:firstLine="345"/>
        <w:jc w:val="both"/>
      </w:pPr>
      <w:r>
        <w:rPr/>
        <w:t>The stationarity test results therefore serve as formal grounding for three methodological choices:</w:t>
      </w:r>
      <w:r>
        <w:rPr>
          <w:spacing w:val="-3"/>
        </w:rPr>
        <w:t> </w:t>
      </w:r>
      <w:r>
        <w:rPr/>
        <w:t>(1)</w:t>
      </w:r>
      <w:r>
        <w:rPr>
          <w:spacing w:val="-14"/>
        </w:rPr>
        <w:t> </w:t>
      </w:r>
      <w:r>
        <w:rPr/>
        <w:t>the</w:t>
      </w:r>
      <w:r>
        <w:rPr>
          <w:spacing w:val="-13"/>
        </w:rPr>
        <w:t> </w:t>
      </w:r>
      <w:r>
        <w:rPr/>
        <w:t>decision</w:t>
      </w:r>
      <w:r>
        <w:rPr>
          <w:spacing w:val="-14"/>
        </w:rPr>
        <w:t> </w:t>
      </w:r>
      <w:r>
        <w:rPr/>
        <w:t>to</w:t>
      </w:r>
      <w:r>
        <w:rPr>
          <w:spacing w:val="-13"/>
        </w:rPr>
        <w:t> </w:t>
      </w:r>
      <w:r>
        <w:rPr/>
        <w:t>detrend</w:t>
      </w:r>
      <w:r>
        <w:rPr>
          <w:spacing w:val="-14"/>
        </w:rPr>
        <w:t> </w:t>
      </w:r>
      <w:r>
        <w:rPr/>
        <w:t>rather</w:t>
      </w:r>
      <w:r>
        <w:rPr>
          <w:spacing w:val="-13"/>
        </w:rPr>
        <w:t> </w:t>
      </w:r>
      <w:r>
        <w:rPr/>
        <w:t>than</w:t>
      </w:r>
      <w:r>
        <w:rPr>
          <w:spacing w:val="-14"/>
        </w:rPr>
        <w:t> </w:t>
      </w:r>
      <w:r>
        <w:rPr/>
        <w:t>model</w:t>
      </w:r>
      <w:r>
        <w:rPr>
          <w:spacing w:val="-13"/>
        </w:rPr>
        <w:t> </w:t>
      </w:r>
      <w:r>
        <w:rPr/>
        <w:t>raw</w:t>
      </w:r>
      <w:r>
        <w:rPr>
          <w:spacing w:val="-14"/>
        </w:rPr>
        <w:t> </w:t>
      </w:r>
      <w:r>
        <w:rPr/>
        <w:t>production</w:t>
      </w:r>
      <w:r>
        <w:rPr>
          <w:spacing w:val="-13"/>
        </w:rPr>
        <w:t> </w:t>
      </w:r>
      <w:r>
        <w:rPr/>
        <w:t>values;</w:t>
      </w:r>
      <w:r>
        <w:rPr>
          <w:spacing w:val="-14"/>
        </w:rPr>
        <w:t> </w:t>
      </w:r>
      <w:r>
        <w:rPr/>
        <w:t>(2)</w:t>
      </w:r>
      <w:r>
        <w:rPr>
          <w:spacing w:val="-13"/>
        </w:rPr>
        <w:t> </w:t>
      </w:r>
      <w:r>
        <w:rPr/>
        <w:t>the</w:t>
      </w:r>
      <w:r>
        <w:rPr>
          <w:spacing w:val="-14"/>
        </w:rPr>
        <w:t> </w:t>
      </w:r>
      <w:r>
        <w:rPr/>
        <w:t>acknowledge-ment</w:t>
      </w:r>
      <w:r>
        <w:rPr>
          <w:spacing w:val="-7"/>
        </w:rPr>
        <w:t> </w:t>
      </w:r>
      <w:r>
        <w:rPr/>
        <w:t>that</w:t>
      </w:r>
      <w:r>
        <w:rPr>
          <w:spacing w:val="-7"/>
        </w:rPr>
        <w:t> </w:t>
      </w:r>
      <w:r>
        <w:rPr/>
        <w:t>linear</w:t>
      </w:r>
      <w:r>
        <w:rPr>
          <w:spacing w:val="-7"/>
        </w:rPr>
        <w:t> </w:t>
      </w:r>
      <w:r>
        <w:rPr/>
        <w:t>detrending</w:t>
      </w:r>
      <w:r>
        <w:rPr>
          <w:spacing w:val="-7"/>
        </w:rPr>
        <w:t> </w:t>
      </w:r>
      <w:r>
        <w:rPr/>
        <w:t>is</w:t>
      </w:r>
      <w:r>
        <w:rPr>
          <w:spacing w:val="-7"/>
        </w:rPr>
        <w:t> </w:t>
      </w:r>
      <w:r>
        <w:rPr/>
        <w:t>imperfect</w:t>
      </w:r>
      <w:r>
        <w:rPr>
          <w:spacing w:val="-7"/>
        </w:rPr>
        <w:t> </w:t>
      </w:r>
      <w:r>
        <w:rPr/>
        <w:t>for</w:t>
      </w:r>
      <w:r>
        <w:rPr>
          <w:spacing w:val="-7"/>
        </w:rPr>
        <w:t> </w:t>
      </w:r>
      <w:r>
        <w:rPr/>
        <w:t>RVV</w:t>
      </w:r>
      <w:r>
        <w:rPr>
          <w:spacing w:val="-7"/>
        </w:rPr>
        <w:t> </w:t>
      </w:r>
      <w:r>
        <w:rPr/>
        <w:t>and</w:t>
      </w:r>
      <w:r>
        <w:rPr>
          <w:spacing w:val="-7"/>
        </w:rPr>
        <w:t> </w:t>
      </w:r>
      <w:r>
        <w:rPr/>
        <w:t>that</w:t>
      </w:r>
      <w:r>
        <w:rPr>
          <w:spacing w:val="-7"/>
        </w:rPr>
        <w:t> </w:t>
      </w:r>
      <w:r>
        <w:rPr/>
        <w:t>some</w:t>
      </w:r>
      <w:r>
        <w:rPr>
          <w:spacing w:val="-7"/>
        </w:rPr>
        <w:t> </w:t>
      </w:r>
      <w:r>
        <w:rPr/>
        <w:t>residual</w:t>
      </w:r>
      <w:r>
        <w:rPr>
          <w:spacing w:val="-7"/>
        </w:rPr>
        <w:t> </w:t>
      </w:r>
      <w:r>
        <w:rPr/>
        <w:t>non-stationarity</w:t>
      </w:r>
      <w:r>
        <w:rPr>
          <w:spacing w:val="-7"/>
        </w:rPr>
        <w:t> </w:t>
      </w:r>
      <w:r>
        <w:rPr/>
        <w:t>remains; and (3) the decision to retain linear detrending despite this imperfection, because the alternative </w:t>
      </w:r>
      <w:r>
        <w:rPr>
          <w:spacing w:val="-2"/>
        </w:rPr>
        <w:t>(LOESS)</w:t>
      </w:r>
      <w:r>
        <w:rPr>
          <w:spacing w:val="-10"/>
        </w:rPr>
        <w:t> </w:t>
      </w:r>
      <w:r>
        <w:rPr>
          <w:spacing w:val="-2"/>
        </w:rPr>
        <w:t>resolves</w:t>
      </w:r>
      <w:r>
        <w:rPr>
          <w:spacing w:val="-10"/>
        </w:rPr>
        <w:t> </w:t>
      </w:r>
      <w:r>
        <w:rPr>
          <w:spacing w:val="-2"/>
        </w:rPr>
        <w:t>the</w:t>
      </w:r>
      <w:r>
        <w:rPr>
          <w:spacing w:val="-10"/>
        </w:rPr>
        <w:t> </w:t>
      </w:r>
      <w:r>
        <w:rPr>
          <w:spacing w:val="-2"/>
        </w:rPr>
        <w:t>non-stationarity</w:t>
      </w:r>
      <w:r>
        <w:rPr>
          <w:spacing w:val="-10"/>
        </w:rPr>
        <w:t> </w:t>
      </w:r>
      <w:r>
        <w:rPr>
          <w:spacing w:val="-2"/>
        </w:rPr>
        <w:t>at</w:t>
      </w:r>
      <w:r>
        <w:rPr>
          <w:spacing w:val="-10"/>
        </w:rPr>
        <w:t> </w:t>
      </w:r>
      <w:r>
        <w:rPr>
          <w:spacing w:val="-2"/>
        </w:rPr>
        <w:t>the</w:t>
      </w:r>
      <w:r>
        <w:rPr>
          <w:spacing w:val="-10"/>
        </w:rPr>
        <w:t> </w:t>
      </w:r>
      <w:r>
        <w:rPr>
          <w:spacing w:val="-2"/>
        </w:rPr>
        <w:t>cost</w:t>
      </w:r>
      <w:r>
        <w:rPr>
          <w:spacing w:val="-10"/>
        </w:rPr>
        <w:t> </w:t>
      </w:r>
      <w:r>
        <w:rPr>
          <w:spacing w:val="-2"/>
        </w:rPr>
        <w:t>of</w:t>
      </w:r>
      <w:r>
        <w:rPr>
          <w:spacing w:val="-10"/>
        </w:rPr>
        <w:t> </w:t>
      </w:r>
      <w:r>
        <w:rPr>
          <w:spacing w:val="-2"/>
        </w:rPr>
        <w:t>eliminating</w:t>
      </w:r>
      <w:r>
        <w:rPr>
          <w:spacing w:val="-10"/>
        </w:rPr>
        <w:t> </w:t>
      </w:r>
      <w:r>
        <w:rPr>
          <w:spacing w:val="-2"/>
        </w:rPr>
        <w:t>the</w:t>
      </w:r>
      <w:r>
        <w:rPr>
          <w:spacing w:val="-10"/>
        </w:rPr>
        <w:t> </w:t>
      </w:r>
      <w:r>
        <w:rPr>
          <w:spacing w:val="-2"/>
        </w:rPr>
        <w:t>climate</w:t>
      </w:r>
      <w:r>
        <w:rPr>
          <w:spacing w:val="-10"/>
        </w:rPr>
        <w:t> </w:t>
      </w:r>
      <w:r>
        <w:rPr>
          <w:spacing w:val="-2"/>
        </w:rPr>
        <w:t>signal</w:t>
      </w:r>
      <w:r>
        <w:rPr>
          <w:spacing w:val="-10"/>
        </w:rPr>
        <w:t> </w:t>
      </w:r>
      <w:r>
        <w:rPr>
          <w:spacing w:val="-2"/>
        </w:rPr>
        <w:t>that</w:t>
      </w:r>
      <w:r>
        <w:rPr>
          <w:spacing w:val="-10"/>
        </w:rPr>
        <w:t> </w:t>
      </w:r>
      <w:r>
        <w:rPr>
          <w:spacing w:val="-2"/>
        </w:rPr>
        <w:t>is</w:t>
      </w:r>
      <w:r>
        <w:rPr>
          <w:spacing w:val="-10"/>
        </w:rPr>
        <w:t> </w:t>
      </w:r>
      <w:r>
        <w:rPr>
          <w:spacing w:val="-2"/>
        </w:rPr>
        <w:t>the</w:t>
      </w:r>
      <w:r>
        <w:rPr>
          <w:spacing w:val="-10"/>
        </w:rPr>
        <w:t> </w:t>
      </w:r>
      <w:r>
        <w:rPr>
          <w:spacing w:val="-2"/>
        </w:rPr>
        <w:t>thesis’s </w:t>
      </w:r>
      <w:r>
        <w:rPr/>
        <w:t>primary object of study.</w:t>
      </w:r>
    </w:p>
    <w:p>
      <w:pPr>
        <w:pStyle w:val="BodyText"/>
        <w:spacing w:before="128"/>
      </w:pPr>
    </w:p>
    <w:p>
      <w:pPr>
        <w:pStyle w:val="Heading2"/>
        <w:numPr>
          <w:ilvl w:val="1"/>
          <w:numId w:val="17"/>
        </w:numPr>
        <w:tabs>
          <w:tab w:pos="1498" w:val="left" w:leader="none"/>
        </w:tabs>
        <w:spacing w:line="240" w:lineRule="auto" w:before="0" w:after="0"/>
        <w:ind w:left="1498" w:right="0" w:hanging="789"/>
        <w:jc w:val="left"/>
      </w:pPr>
      <w:bookmarkStart w:name="3.10 Data Sources" w:id="101"/>
      <w:bookmarkEnd w:id="101"/>
      <w:r>
        <w:rPr>
          <w:b w:val="0"/>
        </w:rPr>
      </w:r>
      <w:bookmarkStart w:name="_bookmark54" w:id="102"/>
      <w:bookmarkEnd w:id="102"/>
      <w:r>
        <w:rPr>
          <w:b w:val="0"/>
        </w:rPr>
      </w:r>
      <w:r>
        <w:rPr/>
        <w:t>Data</w:t>
      </w:r>
      <w:r>
        <w:rPr>
          <w:spacing w:val="12"/>
        </w:rPr>
        <w:t> </w:t>
      </w:r>
      <w:r>
        <w:rPr>
          <w:spacing w:val="-2"/>
        </w:rPr>
        <w:t>Sources</w:t>
      </w:r>
    </w:p>
    <w:p>
      <w:pPr>
        <w:pStyle w:val="BodyText"/>
        <w:spacing w:line="312" w:lineRule="auto" w:before="289"/>
        <w:ind w:left="709" w:right="990" w:hanging="7"/>
        <w:jc w:val="both"/>
      </w:pPr>
      <w:r>
        <w:rPr>
          <w:spacing w:val="-2"/>
        </w:rPr>
        <w:t>The</w:t>
      </w:r>
      <w:r>
        <w:rPr>
          <w:spacing w:val="-8"/>
        </w:rPr>
        <w:t> </w:t>
      </w:r>
      <w:r>
        <w:rPr>
          <w:spacing w:val="-2"/>
        </w:rPr>
        <w:t>datasets</w:t>
      </w:r>
      <w:r>
        <w:rPr>
          <w:spacing w:val="-8"/>
        </w:rPr>
        <w:t> </w:t>
      </w:r>
      <w:r>
        <w:rPr>
          <w:spacing w:val="-2"/>
        </w:rPr>
        <w:t>for</w:t>
      </w:r>
      <w:r>
        <w:rPr>
          <w:spacing w:val="-8"/>
        </w:rPr>
        <w:t> </w:t>
      </w:r>
      <w:r>
        <w:rPr>
          <w:spacing w:val="-2"/>
        </w:rPr>
        <w:t>both</w:t>
      </w:r>
      <w:r>
        <w:rPr>
          <w:spacing w:val="-8"/>
        </w:rPr>
        <w:t> </w:t>
      </w:r>
      <w:r>
        <w:rPr>
          <w:spacing w:val="-2"/>
        </w:rPr>
        <w:t>regions</w:t>
      </w:r>
      <w:r>
        <w:rPr>
          <w:spacing w:val="-8"/>
        </w:rPr>
        <w:t> </w:t>
      </w:r>
      <w:r>
        <w:rPr>
          <w:spacing w:val="-2"/>
        </w:rPr>
        <w:t>originate</w:t>
      </w:r>
      <w:r>
        <w:rPr>
          <w:spacing w:val="-8"/>
        </w:rPr>
        <w:t> </w:t>
      </w:r>
      <w:r>
        <w:rPr>
          <w:spacing w:val="-2"/>
        </w:rPr>
        <w:t>from</w:t>
      </w:r>
      <w:r>
        <w:rPr>
          <w:spacing w:val="-8"/>
        </w:rPr>
        <w:t> </w:t>
      </w:r>
      <w:r>
        <w:rPr>
          <w:spacing w:val="-2"/>
        </w:rPr>
        <w:t>two</w:t>
      </w:r>
      <w:r>
        <w:rPr>
          <w:spacing w:val="-8"/>
        </w:rPr>
        <w:t> </w:t>
      </w:r>
      <w:r>
        <w:rPr>
          <w:spacing w:val="-2"/>
        </w:rPr>
        <w:t>independent</w:t>
      </w:r>
      <w:r>
        <w:rPr>
          <w:spacing w:val="-8"/>
        </w:rPr>
        <w:t> </w:t>
      </w:r>
      <w:r>
        <w:rPr>
          <w:spacing w:val="-2"/>
        </w:rPr>
        <w:t>source</w:t>
      </w:r>
      <w:r>
        <w:rPr>
          <w:spacing w:val="-8"/>
        </w:rPr>
        <w:t> </w:t>
      </w:r>
      <w:r>
        <w:rPr>
          <w:spacing w:val="-2"/>
        </w:rPr>
        <w:t>streams</w:t>
      </w:r>
      <w:r>
        <w:rPr>
          <w:spacing w:val="-8"/>
        </w:rPr>
        <w:t> </w:t>
      </w:r>
      <w:r>
        <w:rPr>
          <w:spacing w:val="-2"/>
        </w:rPr>
        <w:t>that</w:t>
      </w:r>
      <w:r>
        <w:rPr>
          <w:spacing w:val="-8"/>
        </w:rPr>
        <w:t> </w:t>
      </w:r>
      <w:r>
        <w:rPr>
          <w:spacing w:val="-2"/>
        </w:rPr>
        <w:t>were</w:t>
      </w:r>
      <w:r>
        <w:rPr>
          <w:spacing w:val="-8"/>
        </w:rPr>
        <w:t> </w:t>
      </w:r>
      <w:r>
        <w:rPr>
          <w:spacing w:val="-2"/>
        </w:rPr>
        <w:t>joined</w:t>
      </w:r>
      <w:r>
        <w:rPr>
          <w:spacing w:val="-8"/>
        </w:rPr>
        <w:t> </w:t>
      </w:r>
      <w:r>
        <w:rPr>
          <w:spacing w:val="-2"/>
        </w:rPr>
        <w:t>at</w:t>
      </w:r>
      <w:r>
        <w:rPr>
          <w:spacing w:val="-8"/>
        </w:rPr>
        <w:t> </w:t>
      </w:r>
      <w:r>
        <w:rPr>
          <w:spacing w:val="-2"/>
        </w:rPr>
        <w:t>the </w:t>
      </w:r>
      <w:r>
        <w:rPr/>
        <w:t>annual level.</w:t>
      </w:r>
    </w:p>
    <w:p>
      <w:pPr>
        <w:pStyle w:val="BodyText"/>
        <w:spacing w:before="47"/>
      </w:pPr>
    </w:p>
    <w:p>
      <w:pPr>
        <w:pStyle w:val="Heading3"/>
        <w:numPr>
          <w:ilvl w:val="2"/>
          <w:numId w:val="17"/>
        </w:numPr>
        <w:tabs>
          <w:tab w:pos="1546" w:val="left" w:leader="none"/>
        </w:tabs>
        <w:spacing w:line="240" w:lineRule="auto" w:before="0" w:after="0"/>
        <w:ind w:left="1546" w:right="0" w:hanging="837"/>
        <w:jc w:val="left"/>
      </w:pPr>
      <w:bookmarkStart w:name="3.10.1 Meteorological Data" w:id="103"/>
      <w:bookmarkEnd w:id="103"/>
      <w:r>
        <w:rPr>
          <w:b w:val="0"/>
        </w:rPr>
      </w:r>
      <w:bookmarkStart w:name="_bookmark55" w:id="104"/>
      <w:bookmarkEnd w:id="104"/>
      <w:r>
        <w:rPr>
          <w:b w:val="0"/>
        </w:rPr>
      </w:r>
      <w:r>
        <w:rPr>
          <w:spacing w:val="-2"/>
        </w:rPr>
        <w:t>Meteorological</w:t>
      </w:r>
      <w:r>
        <w:rPr>
          <w:spacing w:val="6"/>
        </w:rPr>
        <w:t> </w:t>
      </w:r>
      <w:r>
        <w:rPr>
          <w:spacing w:val="-4"/>
        </w:rPr>
        <w:t>Data</w:t>
      </w:r>
    </w:p>
    <w:p>
      <w:pPr>
        <w:pStyle w:val="BodyText"/>
        <w:spacing w:line="312" w:lineRule="auto" w:before="219"/>
        <w:ind w:left="692" w:right="990" w:firstLine="16"/>
        <w:jc w:val="both"/>
      </w:pPr>
      <w:r>
        <w:rPr/>
        <w:t>Daily</w:t>
      </w:r>
      <w:r>
        <w:rPr>
          <w:spacing w:val="-9"/>
        </w:rPr>
        <w:t> </w:t>
      </w:r>
      <w:r>
        <w:rPr/>
        <w:t>meteorological</w:t>
      </w:r>
      <w:r>
        <w:rPr>
          <w:spacing w:val="-9"/>
        </w:rPr>
        <w:t> </w:t>
      </w:r>
      <w:r>
        <w:rPr/>
        <w:t>records</w:t>
      </w:r>
      <w:r>
        <w:rPr>
          <w:spacing w:val="-9"/>
        </w:rPr>
        <w:t> </w:t>
      </w:r>
      <w:r>
        <w:rPr/>
        <w:t>for</w:t>
      </w:r>
      <w:r>
        <w:rPr>
          <w:spacing w:val="-9"/>
        </w:rPr>
        <w:t> </w:t>
      </w:r>
      <w:r>
        <w:rPr/>
        <w:t>the</w:t>
      </w:r>
      <w:r>
        <w:rPr>
          <w:spacing w:val="-9"/>
        </w:rPr>
        <w:t> </w:t>
      </w:r>
      <w:r>
        <w:rPr/>
        <w:t>Douro</w:t>
      </w:r>
      <w:r>
        <w:rPr>
          <w:spacing w:val="-9"/>
        </w:rPr>
        <w:t> </w:t>
      </w:r>
      <w:r>
        <w:rPr/>
        <w:t>region</w:t>
      </w:r>
      <w:r>
        <w:rPr>
          <w:spacing w:val="-9"/>
        </w:rPr>
        <w:t> </w:t>
      </w:r>
      <w:r>
        <w:rPr/>
        <w:t>were</w:t>
      </w:r>
      <w:r>
        <w:rPr>
          <w:spacing w:val="-9"/>
        </w:rPr>
        <w:t> </w:t>
      </w:r>
      <w:r>
        <w:rPr/>
        <w:t>sourced</w:t>
      </w:r>
      <w:r>
        <w:rPr>
          <w:spacing w:val="-9"/>
        </w:rPr>
        <w:t> </w:t>
      </w:r>
      <w:r>
        <w:rPr/>
        <w:t>from</w:t>
      </w:r>
      <w:r>
        <w:rPr>
          <w:spacing w:val="-9"/>
        </w:rPr>
        <w:t> </w:t>
      </w:r>
      <w:r>
        <w:rPr/>
        <w:t>the</w:t>
      </w:r>
      <w:r>
        <w:rPr>
          <w:spacing w:val="-9"/>
        </w:rPr>
        <w:t> </w:t>
      </w:r>
      <w:r>
        <w:rPr/>
        <w:t>BCM</w:t>
      </w:r>
      <w:r>
        <w:rPr>
          <w:spacing w:val="-9"/>
        </w:rPr>
        <w:t> </w:t>
      </w:r>
      <w:r>
        <w:rPr/>
        <w:t>base</w:t>
      </w:r>
      <w:r>
        <w:rPr>
          <w:spacing w:val="-9"/>
        </w:rPr>
        <w:t> </w:t>
      </w:r>
      <w:r>
        <w:rPr/>
        <w:t>climate</w:t>
      </w:r>
      <w:r>
        <w:rPr>
          <w:spacing w:val="-9"/>
        </w:rPr>
        <w:t> </w:t>
      </w:r>
      <w:r>
        <w:rPr/>
        <w:t>files maintained</w:t>
      </w:r>
      <w:r>
        <w:rPr>
          <w:spacing w:val="-3"/>
        </w:rPr>
        <w:t> </w:t>
      </w:r>
      <w:r>
        <w:rPr/>
        <w:t>by</w:t>
      </w:r>
      <w:r>
        <w:rPr>
          <w:spacing w:val="-3"/>
        </w:rPr>
        <w:t> </w:t>
      </w:r>
      <w:r>
        <w:rPr/>
        <w:t>the</w:t>
      </w:r>
      <w:r>
        <w:rPr>
          <w:spacing w:val="-3"/>
        </w:rPr>
        <w:t> </w:t>
      </w:r>
      <w:r>
        <w:rPr/>
        <w:t>University</w:t>
      </w:r>
      <w:r>
        <w:rPr>
          <w:spacing w:val="-3"/>
        </w:rPr>
        <w:t> </w:t>
      </w:r>
      <w:r>
        <w:rPr/>
        <w:t>of</w:t>
      </w:r>
      <w:r>
        <w:rPr>
          <w:spacing w:val="-3"/>
        </w:rPr>
        <w:t> </w:t>
      </w:r>
      <w:r>
        <w:rPr/>
        <w:t>Porto’s</w:t>
      </w:r>
      <w:r>
        <w:rPr>
          <w:spacing w:val="-3"/>
        </w:rPr>
        <w:t> </w:t>
      </w:r>
      <w:r>
        <w:rPr/>
        <w:t>viticulture</w:t>
      </w:r>
      <w:r>
        <w:rPr>
          <w:spacing w:val="-3"/>
        </w:rPr>
        <w:t> </w:t>
      </w:r>
      <w:r>
        <w:rPr/>
        <w:t>research</w:t>
      </w:r>
      <w:r>
        <w:rPr>
          <w:spacing w:val="-3"/>
        </w:rPr>
        <w:t> </w:t>
      </w:r>
      <w:r>
        <w:rPr/>
        <w:t>group</w:t>
      </w:r>
      <w:r>
        <w:rPr>
          <w:spacing w:val="-3"/>
        </w:rPr>
        <w:t> </w:t>
      </w:r>
      <w:r>
        <w:rPr/>
        <w:t>(Professor</w:t>
      </w:r>
      <w:r>
        <w:rPr>
          <w:spacing w:val="-3"/>
        </w:rPr>
        <w:t> </w:t>
      </w:r>
      <w:r>
        <w:rPr/>
        <w:t>Mário</w:t>
      </w:r>
      <w:r>
        <w:rPr>
          <w:spacing w:val="-3"/>
        </w:rPr>
        <w:t> </w:t>
      </w:r>
      <w:r>
        <w:rPr/>
        <w:t>Cunha). The source</w:t>
      </w:r>
      <w:r>
        <w:rPr>
          <w:spacing w:val="-5"/>
        </w:rPr>
        <w:t> </w:t>
      </w:r>
      <w:r>
        <w:rPr/>
        <w:t>files</w:t>
      </w:r>
      <w:r>
        <w:rPr>
          <w:spacing w:val="-5"/>
        </w:rPr>
        <w:t> </w:t>
      </w:r>
      <w:r>
        <w:rPr/>
        <w:t>(BCM_base_RDD.xls,</w:t>
      </w:r>
      <w:r>
        <w:rPr>
          <w:spacing w:val="-5"/>
        </w:rPr>
        <w:t> </w:t>
      </w:r>
      <w:r>
        <w:rPr/>
        <w:t>BCM_base_RVV.xls)</w:t>
      </w:r>
      <w:r>
        <w:rPr>
          <w:spacing w:val="-5"/>
        </w:rPr>
        <w:t> </w:t>
      </w:r>
      <w:r>
        <w:rPr/>
        <w:t>contain</w:t>
      </w:r>
      <w:r>
        <w:rPr>
          <w:spacing w:val="-5"/>
        </w:rPr>
        <w:t> </w:t>
      </w:r>
      <w:r>
        <w:rPr/>
        <w:t>one</w:t>
      </w:r>
      <w:r>
        <w:rPr>
          <w:spacing w:val="-5"/>
        </w:rPr>
        <w:t> </w:t>
      </w:r>
      <w:r>
        <w:rPr/>
        <w:t>row</w:t>
      </w:r>
      <w:r>
        <w:rPr>
          <w:spacing w:val="-5"/>
        </w:rPr>
        <w:t> </w:t>
      </w:r>
      <w:r>
        <w:rPr/>
        <w:t>per</w:t>
      </w:r>
      <w:r>
        <w:rPr>
          <w:spacing w:val="-5"/>
        </w:rPr>
        <w:t> </w:t>
      </w:r>
      <w:r>
        <w:rPr/>
        <w:t>calendar</w:t>
      </w:r>
      <w:r>
        <w:rPr>
          <w:spacing w:val="-5"/>
        </w:rPr>
        <w:t> </w:t>
      </w:r>
      <w:r>
        <w:rPr/>
        <w:t>day</w:t>
      </w:r>
      <w:r>
        <w:rPr>
          <w:spacing w:val="-5"/>
        </w:rPr>
        <w:t> </w:t>
      </w:r>
      <w:r>
        <w:rPr/>
        <w:t>from 1933-01-01 to 2022-12-31 for RDD (32,842 daily records) and from 1941-01-01 to 2022-11-</w:t>
      </w:r>
      <w:r>
        <w:rPr/>
        <w:t>13 for</w:t>
      </w:r>
      <w:r>
        <w:rPr>
          <w:spacing w:val="-10"/>
        </w:rPr>
        <w:t> </w:t>
      </w:r>
      <w:r>
        <w:rPr/>
        <w:t>RVV</w:t>
      </w:r>
      <w:r>
        <w:rPr>
          <w:spacing w:val="-10"/>
        </w:rPr>
        <w:t> </w:t>
      </w:r>
      <w:r>
        <w:rPr/>
        <w:t>(29,902</w:t>
      </w:r>
      <w:r>
        <w:rPr>
          <w:spacing w:val="-10"/>
        </w:rPr>
        <w:t> </w:t>
      </w:r>
      <w:r>
        <w:rPr/>
        <w:t>daily</w:t>
      </w:r>
      <w:r>
        <w:rPr>
          <w:spacing w:val="-10"/>
        </w:rPr>
        <w:t> </w:t>
      </w:r>
      <w:r>
        <w:rPr/>
        <w:t>records). Each</w:t>
      </w:r>
      <w:r>
        <w:rPr>
          <w:spacing w:val="-10"/>
        </w:rPr>
        <w:t> </w:t>
      </w:r>
      <w:r>
        <w:rPr/>
        <w:t>daily</w:t>
      </w:r>
      <w:r>
        <w:rPr>
          <w:spacing w:val="-10"/>
        </w:rPr>
        <w:t> </w:t>
      </w:r>
      <w:r>
        <w:rPr/>
        <w:t>record</w:t>
      </w:r>
      <w:r>
        <w:rPr>
          <w:spacing w:val="-10"/>
        </w:rPr>
        <w:t> </w:t>
      </w:r>
      <w:r>
        <w:rPr/>
        <w:t>contains</w:t>
      </w:r>
      <w:r>
        <w:rPr>
          <w:spacing w:val="-10"/>
        </w:rPr>
        <w:t> </w:t>
      </w:r>
      <w:r>
        <w:rPr/>
        <w:t>the</w:t>
      </w:r>
      <w:r>
        <w:rPr>
          <w:spacing w:val="-10"/>
        </w:rPr>
        <w:t> </w:t>
      </w:r>
      <w:r>
        <w:rPr/>
        <w:t>following</w:t>
      </w:r>
      <w:r>
        <w:rPr>
          <w:spacing w:val="-10"/>
        </w:rPr>
        <w:t> </w:t>
      </w:r>
      <w:r>
        <w:rPr/>
        <w:t>primary</w:t>
      </w:r>
      <w:r>
        <w:rPr>
          <w:spacing w:val="-10"/>
        </w:rPr>
        <w:t> </w:t>
      </w:r>
      <w:r>
        <w:rPr/>
        <w:t>meteorological </w:t>
      </w:r>
      <w:r>
        <w:rPr>
          <w:spacing w:val="-2"/>
        </w:rPr>
        <w:t>variables:</w:t>
      </w:r>
    </w:p>
    <w:p>
      <w:pPr>
        <w:spacing w:before="77"/>
        <w:ind w:left="601" w:right="888" w:firstLine="0"/>
        <w:jc w:val="center"/>
        <w:rPr>
          <w:sz w:val="20"/>
        </w:rPr>
      </w:pPr>
      <w:bookmarkStart w:name="_bookmark56" w:id="105"/>
      <w:bookmarkEnd w:id="105"/>
      <w:r>
        <w:rPr/>
      </w:r>
      <w:r>
        <w:rPr>
          <w:b/>
          <w:sz w:val="20"/>
        </w:rPr>
        <w:t>Table</w:t>
      </w:r>
      <w:r>
        <w:rPr>
          <w:b/>
          <w:spacing w:val="-9"/>
          <w:sz w:val="20"/>
        </w:rPr>
        <w:t> </w:t>
      </w:r>
      <w:r>
        <w:rPr>
          <w:b/>
          <w:sz w:val="20"/>
        </w:rPr>
        <w:t>3.8:</w:t>
      </w:r>
      <w:r>
        <w:rPr>
          <w:b/>
          <w:spacing w:val="2"/>
          <w:sz w:val="20"/>
        </w:rPr>
        <w:t> </w:t>
      </w:r>
      <w:r>
        <w:rPr>
          <w:sz w:val="20"/>
        </w:rPr>
        <w:t>Primary</w:t>
      </w:r>
      <w:r>
        <w:rPr>
          <w:spacing w:val="-9"/>
          <w:sz w:val="20"/>
        </w:rPr>
        <w:t> </w:t>
      </w:r>
      <w:r>
        <w:rPr>
          <w:sz w:val="20"/>
        </w:rPr>
        <w:t>daily</w:t>
      </w:r>
      <w:r>
        <w:rPr>
          <w:spacing w:val="-8"/>
          <w:sz w:val="20"/>
        </w:rPr>
        <w:t> </w:t>
      </w:r>
      <w:r>
        <w:rPr>
          <w:sz w:val="20"/>
        </w:rPr>
        <w:t>meteorological</w:t>
      </w:r>
      <w:r>
        <w:rPr>
          <w:spacing w:val="-9"/>
          <w:sz w:val="20"/>
        </w:rPr>
        <w:t> </w:t>
      </w:r>
      <w:r>
        <w:rPr>
          <w:sz w:val="20"/>
        </w:rPr>
        <w:t>variables</w:t>
      </w:r>
      <w:r>
        <w:rPr>
          <w:spacing w:val="-8"/>
          <w:sz w:val="20"/>
        </w:rPr>
        <w:t> </w:t>
      </w:r>
      <w:r>
        <w:rPr>
          <w:sz w:val="20"/>
        </w:rPr>
        <w:t>in</w:t>
      </w:r>
      <w:r>
        <w:rPr>
          <w:spacing w:val="-9"/>
          <w:sz w:val="20"/>
        </w:rPr>
        <w:t> </w:t>
      </w:r>
      <w:r>
        <w:rPr>
          <w:sz w:val="20"/>
        </w:rPr>
        <w:t>the</w:t>
      </w:r>
      <w:r>
        <w:rPr>
          <w:spacing w:val="-8"/>
          <w:sz w:val="20"/>
        </w:rPr>
        <w:t> </w:t>
      </w:r>
      <w:r>
        <w:rPr>
          <w:sz w:val="20"/>
        </w:rPr>
        <w:t>raw</w:t>
      </w:r>
      <w:r>
        <w:rPr>
          <w:spacing w:val="-9"/>
          <w:sz w:val="20"/>
        </w:rPr>
        <w:t> </w:t>
      </w:r>
      <w:r>
        <w:rPr>
          <w:sz w:val="20"/>
        </w:rPr>
        <w:t>source</w:t>
      </w:r>
      <w:r>
        <w:rPr>
          <w:spacing w:val="-8"/>
          <w:sz w:val="20"/>
        </w:rPr>
        <w:t> </w:t>
      </w:r>
      <w:r>
        <w:rPr>
          <w:spacing w:val="-2"/>
          <w:sz w:val="20"/>
        </w:rPr>
        <w:t>files.</w:t>
      </w:r>
    </w:p>
    <w:p>
      <w:pPr>
        <w:pStyle w:val="BodyText"/>
        <w:spacing w:before="6"/>
        <w:rPr>
          <w:sz w:val="18"/>
        </w:rPr>
      </w:pPr>
      <w:r>
        <w:rPr>
          <w:sz w:val="18"/>
        </w:rPr>
        <mc:AlternateContent>
          <mc:Choice Requires="wps">
            <w:drawing>
              <wp:anchor distT="0" distB="0" distL="0" distR="0" allowOverlap="1" layoutInCell="1" locked="0" behindDoc="1" simplePos="0" relativeHeight="487611904">
                <wp:simplePos x="0" y="0"/>
                <wp:positionH relativeFrom="page">
                  <wp:posOffset>1260005</wp:posOffset>
                </wp:positionH>
                <wp:positionV relativeFrom="paragraph">
                  <wp:posOffset>150597</wp:posOffset>
                </wp:positionV>
                <wp:extent cx="5400040" cy="1270"/>
                <wp:effectExtent l="0" t="0" r="0" b="0"/>
                <wp:wrapTopAndBottom/>
                <wp:docPr id="124" name="Graphic 124"/>
                <wp:cNvGraphicFramePr>
                  <a:graphicFrameLocks/>
                </wp:cNvGraphicFramePr>
                <a:graphic>
                  <a:graphicData uri="http://schemas.microsoft.com/office/word/2010/wordprocessingShape">
                    <wps:wsp>
                      <wps:cNvPr id="124" name="Graphic 124"/>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1.858078pt;width:425.2pt;height:.1pt;mso-position-horizontal-relative:page;mso-position-vertical-relative:paragraph;z-index:-15704576;mso-wrap-distance-left:0;mso-wrap-distance-right:0" id="docshape106" coordorigin="1984,237" coordsize="8504,0" path="m1984,237l10488,237e" filled="false" stroked="true" strokeweight=".868pt" strokecolor="#000000">
                <v:path arrowok="t"/>
                <v:stroke dashstyle="solid"/>
                <w10:wrap type="topAndBottom"/>
              </v:shape>
            </w:pict>
          </mc:Fallback>
        </mc:AlternateContent>
      </w:r>
    </w:p>
    <w:p>
      <w:pPr>
        <w:tabs>
          <w:tab w:pos="1791" w:val="left" w:leader="none"/>
          <w:tab w:pos="5115" w:val="left" w:leader="none"/>
        </w:tabs>
        <w:spacing w:before="92"/>
        <w:ind w:left="828" w:right="0" w:firstLine="0"/>
        <w:jc w:val="left"/>
        <w:rPr>
          <w:b/>
          <w:sz w:val="20"/>
        </w:rPr>
      </w:pPr>
      <w:r>
        <w:rPr>
          <w:b/>
          <w:spacing w:val="-2"/>
          <w:sz w:val="20"/>
        </w:rPr>
        <w:t>Variable</w:t>
      </w:r>
      <w:r>
        <w:rPr>
          <w:b/>
          <w:sz w:val="20"/>
        </w:rPr>
        <w:tab/>
      </w:r>
      <w:r>
        <w:rPr>
          <w:b/>
          <w:spacing w:val="-2"/>
          <w:sz w:val="20"/>
        </w:rPr>
        <w:t>Description</w:t>
      </w:r>
      <w:r>
        <w:rPr>
          <w:b/>
          <w:sz w:val="20"/>
        </w:rPr>
        <w:tab/>
      </w:r>
      <w:r>
        <w:rPr>
          <w:b/>
          <w:spacing w:val="-4"/>
          <w:sz w:val="20"/>
        </w:rPr>
        <w:t>Unit</w:t>
      </w:r>
    </w:p>
    <w:p>
      <w:pPr>
        <w:pStyle w:val="BodyText"/>
        <w:spacing w:before="11"/>
        <w:rPr>
          <w:b/>
          <w:sz w:val="5"/>
        </w:rPr>
      </w:pPr>
      <w:r>
        <w:rPr>
          <w:b/>
          <w:sz w:val="5"/>
        </w:rPr>
        <mc:AlternateContent>
          <mc:Choice Requires="wps">
            <w:drawing>
              <wp:anchor distT="0" distB="0" distL="0" distR="0" allowOverlap="1" layoutInCell="1" locked="0" behindDoc="1" simplePos="0" relativeHeight="487612416">
                <wp:simplePos x="0" y="0"/>
                <wp:positionH relativeFrom="page">
                  <wp:posOffset>1260005</wp:posOffset>
                </wp:positionH>
                <wp:positionV relativeFrom="paragraph">
                  <wp:posOffset>58978</wp:posOffset>
                </wp:positionV>
                <wp:extent cx="5400040" cy="1270"/>
                <wp:effectExtent l="0" t="0" r="0" b="0"/>
                <wp:wrapTopAndBottom/>
                <wp:docPr id="125" name="Graphic 125"/>
                <wp:cNvGraphicFramePr>
                  <a:graphicFrameLocks/>
                </wp:cNvGraphicFramePr>
                <a:graphic>
                  <a:graphicData uri="http://schemas.microsoft.com/office/word/2010/wordprocessingShape">
                    <wps:wsp>
                      <wps:cNvPr id="125" name="Graphic 125"/>
                      <wps:cNvSpPr/>
                      <wps:spPr>
                        <a:xfrm>
                          <a:off x="0" y="0"/>
                          <a:ext cx="5400040" cy="1270"/>
                        </a:xfrm>
                        <a:custGeom>
                          <a:avLst/>
                          <a:gdLst/>
                          <a:ahLst/>
                          <a:cxnLst/>
                          <a:rect l="l" t="t" r="r" b="b"/>
                          <a:pathLst>
                            <a:path w="5400040" h="0">
                              <a:moveTo>
                                <a:pt x="0" y="0"/>
                              </a:moveTo>
                              <a:lnTo>
                                <a:pt x="5400001"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4.643977pt;width:425.2pt;height:.1pt;mso-position-horizontal-relative:page;mso-position-vertical-relative:paragraph;z-index:-15704064;mso-wrap-distance-left:0;mso-wrap-distance-right:0" id="docshape107" coordorigin="1984,93" coordsize="8504,0" path="m1984,93l10488,93e" filled="false" stroked="true" strokeweight=".542pt" strokecolor="#000000">
                <v:path arrowok="t"/>
                <v:stroke dashstyle="solid"/>
                <w10:wrap type="topAndBottom"/>
              </v:shape>
            </w:pict>
          </mc:Fallback>
        </mc:AlternateContent>
      </w:r>
    </w:p>
    <w:p>
      <w:pPr>
        <w:tabs>
          <w:tab w:pos="1791" w:val="left" w:leader="none"/>
          <w:tab w:pos="5115" w:val="left" w:leader="none"/>
        </w:tabs>
        <w:spacing w:line="321" w:lineRule="exact" w:before="32"/>
        <w:ind w:left="828" w:right="0" w:firstLine="0"/>
        <w:jc w:val="left"/>
        <w:rPr>
          <w:sz w:val="20"/>
        </w:rPr>
      </w:pPr>
      <w:r>
        <w:rPr>
          <w:spacing w:val="-4"/>
          <w:sz w:val="20"/>
        </w:rPr>
        <w:t>Tmax</w:t>
      </w:r>
      <w:r>
        <w:rPr>
          <w:sz w:val="20"/>
        </w:rPr>
        <w:tab/>
        <w:t>Daily</w:t>
      </w:r>
      <w:r>
        <w:rPr>
          <w:spacing w:val="-8"/>
          <w:sz w:val="20"/>
        </w:rPr>
        <w:t> </w:t>
      </w:r>
      <w:r>
        <w:rPr>
          <w:sz w:val="20"/>
        </w:rPr>
        <w:t>maximum</w:t>
      </w:r>
      <w:r>
        <w:rPr>
          <w:spacing w:val="-7"/>
          <w:sz w:val="20"/>
        </w:rPr>
        <w:t> </w:t>
      </w:r>
      <w:r>
        <w:rPr>
          <w:spacing w:val="-2"/>
          <w:sz w:val="20"/>
        </w:rPr>
        <w:t>temperature</w:t>
      </w:r>
      <w:r>
        <w:rPr>
          <w:sz w:val="20"/>
        </w:rPr>
        <w:tab/>
      </w:r>
      <w:r>
        <w:rPr>
          <w:rFonts w:ascii="Meiryo UI" w:hAnsi="Meiryo UI"/>
          <w:i/>
          <w:spacing w:val="-5"/>
          <w:sz w:val="20"/>
          <w:vertAlign w:val="superscript"/>
        </w:rPr>
        <w:t>◦</w:t>
      </w:r>
      <w:r>
        <w:rPr>
          <w:spacing w:val="-5"/>
          <w:sz w:val="20"/>
          <w:vertAlign w:val="baseline"/>
        </w:rPr>
        <w:t>C</w:t>
      </w:r>
    </w:p>
    <w:p>
      <w:pPr>
        <w:tabs>
          <w:tab w:pos="1791" w:val="left" w:leader="none"/>
          <w:tab w:pos="5115" w:val="left" w:leader="none"/>
        </w:tabs>
        <w:spacing w:line="311" w:lineRule="exact" w:before="0"/>
        <w:ind w:left="828" w:right="0" w:firstLine="0"/>
        <w:jc w:val="left"/>
        <w:rPr>
          <w:sz w:val="20"/>
        </w:rPr>
      </w:pPr>
      <w:r>
        <w:rPr>
          <w:spacing w:val="-4"/>
          <w:sz w:val="20"/>
        </w:rPr>
        <w:t>Tmin</w:t>
      </w:r>
      <w:r>
        <w:rPr>
          <w:sz w:val="20"/>
        </w:rPr>
        <w:tab/>
        <w:t>Daily</w:t>
      </w:r>
      <w:r>
        <w:rPr>
          <w:spacing w:val="-8"/>
          <w:sz w:val="20"/>
        </w:rPr>
        <w:t> </w:t>
      </w:r>
      <w:r>
        <w:rPr>
          <w:sz w:val="20"/>
        </w:rPr>
        <w:t>minimum</w:t>
      </w:r>
      <w:r>
        <w:rPr>
          <w:spacing w:val="-7"/>
          <w:sz w:val="20"/>
        </w:rPr>
        <w:t> </w:t>
      </w:r>
      <w:r>
        <w:rPr>
          <w:spacing w:val="-2"/>
          <w:sz w:val="20"/>
        </w:rPr>
        <w:t>temperature</w:t>
      </w:r>
      <w:r>
        <w:rPr>
          <w:sz w:val="20"/>
        </w:rPr>
        <w:tab/>
      </w:r>
      <w:r>
        <w:rPr>
          <w:rFonts w:ascii="Meiryo UI" w:hAnsi="Meiryo UI"/>
          <w:i/>
          <w:spacing w:val="-5"/>
          <w:sz w:val="20"/>
          <w:vertAlign w:val="superscript"/>
        </w:rPr>
        <w:t>◦</w:t>
      </w:r>
      <w:r>
        <w:rPr>
          <w:spacing w:val="-5"/>
          <w:sz w:val="20"/>
          <w:vertAlign w:val="baseline"/>
        </w:rPr>
        <w:t>C</w:t>
      </w:r>
    </w:p>
    <w:p>
      <w:pPr>
        <w:tabs>
          <w:tab w:pos="1791" w:val="left" w:leader="none"/>
          <w:tab w:pos="5115" w:val="left" w:leader="none"/>
        </w:tabs>
        <w:spacing w:line="321" w:lineRule="exact" w:before="0" w:after="43"/>
        <w:ind w:left="828" w:right="0" w:firstLine="0"/>
        <w:jc w:val="left"/>
        <w:rPr>
          <w:sz w:val="20"/>
        </w:rPr>
      </w:pPr>
      <w:r>
        <w:rPr>
          <w:spacing w:val="-4"/>
          <w:sz w:val="20"/>
        </w:rPr>
        <w:t>Tmed</w:t>
      </w:r>
      <w:r>
        <w:rPr>
          <w:sz w:val="20"/>
        </w:rPr>
        <w:tab/>
        <w:t>Daily</w:t>
      </w:r>
      <w:r>
        <w:rPr>
          <w:spacing w:val="-6"/>
          <w:sz w:val="20"/>
        </w:rPr>
        <w:t> </w:t>
      </w:r>
      <w:r>
        <w:rPr>
          <w:sz w:val="20"/>
        </w:rPr>
        <w:t>mean</w:t>
      </w:r>
      <w:r>
        <w:rPr>
          <w:spacing w:val="-5"/>
          <w:sz w:val="20"/>
        </w:rPr>
        <w:t> </w:t>
      </w:r>
      <w:r>
        <w:rPr>
          <w:spacing w:val="-2"/>
          <w:sz w:val="20"/>
        </w:rPr>
        <w:t>temperature</w:t>
      </w:r>
      <w:r>
        <w:rPr>
          <w:sz w:val="20"/>
        </w:rPr>
        <w:tab/>
      </w:r>
      <w:r>
        <w:rPr>
          <w:rFonts w:ascii="Meiryo UI" w:hAnsi="Meiryo UI"/>
          <w:i/>
          <w:spacing w:val="-5"/>
          <w:sz w:val="20"/>
          <w:vertAlign w:val="superscript"/>
        </w:rPr>
        <w:t>◦</w:t>
      </w:r>
      <w:r>
        <w:rPr>
          <w:spacing w:val="-5"/>
          <w:sz w:val="20"/>
          <w:vertAlign w:val="baseline"/>
        </w:rPr>
        <w:t>C</w:t>
      </w:r>
    </w:p>
    <w:tbl>
      <w:tblPr>
        <w:tblW w:w="0" w:type="auto"/>
        <w:jc w:val="left"/>
        <w:tblInd w:w="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9"/>
        <w:gridCol w:w="3498"/>
        <w:gridCol w:w="4217"/>
      </w:tblGrid>
      <w:tr>
        <w:trPr>
          <w:trHeight w:val="275" w:hRule="atLeast"/>
        </w:trPr>
        <w:tc>
          <w:tcPr>
            <w:tcW w:w="789" w:type="dxa"/>
          </w:tcPr>
          <w:p>
            <w:pPr>
              <w:pStyle w:val="TableParagraph"/>
              <w:spacing w:line="227" w:lineRule="exact" w:before="0"/>
              <w:ind w:left="119"/>
              <w:rPr>
                <w:sz w:val="20"/>
              </w:rPr>
            </w:pPr>
            <w:r>
              <w:rPr>
                <w:spacing w:val="-4"/>
                <w:sz w:val="20"/>
              </w:rPr>
              <w:t>Rain</w:t>
            </w:r>
          </w:p>
        </w:tc>
        <w:tc>
          <w:tcPr>
            <w:tcW w:w="3498" w:type="dxa"/>
          </w:tcPr>
          <w:p>
            <w:pPr>
              <w:pStyle w:val="TableParagraph"/>
              <w:spacing w:line="227" w:lineRule="exact" w:before="0"/>
              <w:ind w:left="292"/>
              <w:rPr>
                <w:sz w:val="20"/>
              </w:rPr>
            </w:pPr>
            <w:r>
              <w:rPr>
                <w:sz w:val="20"/>
              </w:rPr>
              <w:t>Daily</w:t>
            </w:r>
            <w:r>
              <w:rPr>
                <w:spacing w:val="-5"/>
                <w:sz w:val="20"/>
              </w:rPr>
              <w:t> </w:t>
            </w:r>
            <w:r>
              <w:rPr>
                <w:sz w:val="20"/>
              </w:rPr>
              <w:t>total</w:t>
            </w:r>
            <w:r>
              <w:rPr>
                <w:spacing w:val="-5"/>
                <w:sz w:val="20"/>
              </w:rPr>
              <w:t> </w:t>
            </w:r>
            <w:r>
              <w:rPr>
                <w:spacing w:val="-2"/>
                <w:sz w:val="20"/>
              </w:rPr>
              <w:t>rainfall</w:t>
            </w:r>
          </w:p>
        </w:tc>
        <w:tc>
          <w:tcPr>
            <w:tcW w:w="4217" w:type="dxa"/>
          </w:tcPr>
          <w:p>
            <w:pPr>
              <w:pStyle w:val="TableParagraph"/>
              <w:spacing w:line="227" w:lineRule="exact" w:before="0"/>
              <w:ind w:left="119"/>
              <w:rPr>
                <w:sz w:val="20"/>
              </w:rPr>
            </w:pPr>
            <w:r>
              <w:rPr>
                <w:spacing w:val="-5"/>
                <w:sz w:val="20"/>
              </w:rPr>
              <w:t>mm</w:t>
            </w:r>
          </w:p>
        </w:tc>
      </w:tr>
      <w:tr>
        <w:trPr>
          <w:trHeight w:val="298" w:hRule="atLeast"/>
        </w:trPr>
        <w:tc>
          <w:tcPr>
            <w:tcW w:w="789" w:type="dxa"/>
          </w:tcPr>
          <w:p>
            <w:pPr>
              <w:pStyle w:val="TableParagraph"/>
              <w:ind w:left="119"/>
              <w:rPr>
                <w:sz w:val="20"/>
              </w:rPr>
            </w:pPr>
            <w:r>
              <w:rPr>
                <w:spacing w:val="-5"/>
                <w:sz w:val="20"/>
              </w:rPr>
              <w:t>Sm</w:t>
            </w:r>
          </w:p>
        </w:tc>
        <w:tc>
          <w:tcPr>
            <w:tcW w:w="3498" w:type="dxa"/>
          </w:tcPr>
          <w:p>
            <w:pPr>
              <w:pStyle w:val="TableParagraph"/>
              <w:ind w:left="292"/>
              <w:rPr>
                <w:sz w:val="20"/>
              </w:rPr>
            </w:pPr>
            <w:r>
              <w:rPr>
                <w:sz w:val="20"/>
              </w:rPr>
              <w:t>Soil</w:t>
            </w:r>
            <w:r>
              <w:rPr>
                <w:spacing w:val="-13"/>
                <w:sz w:val="20"/>
              </w:rPr>
              <w:t> </w:t>
            </w:r>
            <w:r>
              <w:rPr>
                <w:sz w:val="20"/>
              </w:rPr>
              <w:t>water</w:t>
            </w:r>
            <w:r>
              <w:rPr>
                <w:spacing w:val="-12"/>
                <w:sz w:val="20"/>
              </w:rPr>
              <w:t> </w:t>
            </w:r>
            <w:r>
              <w:rPr>
                <w:sz w:val="20"/>
              </w:rPr>
              <w:t>availability</w:t>
            </w:r>
            <w:r>
              <w:rPr>
                <w:spacing w:val="-12"/>
                <w:sz w:val="20"/>
              </w:rPr>
              <w:t> </w:t>
            </w:r>
            <w:r>
              <w:rPr>
                <w:sz w:val="20"/>
              </w:rPr>
              <w:t>(model-</w:t>
            </w:r>
            <w:r>
              <w:rPr>
                <w:spacing w:val="-2"/>
                <w:sz w:val="20"/>
              </w:rPr>
              <w:t>derived)</w:t>
            </w:r>
          </w:p>
        </w:tc>
        <w:tc>
          <w:tcPr>
            <w:tcW w:w="4217" w:type="dxa"/>
          </w:tcPr>
          <w:p>
            <w:pPr>
              <w:pStyle w:val="TableParagraph"/>
              <w:ind w:left="119"/>
              <w:rPr>
                <w:sz w:val="20"/>
              </w:rPr>
            </w:pPr>
            <w:r>
              <w:rPr>
                <w:spacing w:val="-5"/>
                <w:sz w:val="20"/>
              </w:rPr>
              <w:t>mm</w:t>
            </w:r>
          </w:p>
        </w:tc>
      </w:tr>
      <w:tr>
        <w:trPr>
          <w:trHeight w:val="323" w:hRule="atLeast"/>
        </w:trPr>
        <w:tc>
          <w:tcPr>
            <w:tcW w:w="789" w:type="dxa"/>
          </w:tcPr>
          <w:p>
            <w:pPr>
              <w:pStyle w:val="TableParagraph"/>
              <w:spacing w:before="45"/>
              <w:ind w:left="119"/>
              <w:rPr>
                <w:sz w:val="20"/>
              </w:rPr>
            </w:pPr>
            <w:r>
              <w:rPr>
                <w:spacing w:val="-5"/>
                <w:sz w:val="20"/>
              </w:rPr>
              <w:t>Iaf</w:t>
            </w:r>
          </w:p>
        </w:tc>
        <w:tc>
          <w:tcPr>
            <w:tcW w:w="3498" w:type="dxa"/>
          </w:tcPr>
          <w:p>
            <w:pPr>
              <w:pStyle w:val="TableParagraph"/>
              <w:spacing w:before="45"/>
              <w:ind w:left="292"/>
              <w:rPr>
                <w:sz w:val="20"/>
              </w:rPr>
            </w:pPr>
            <w:r>
              <w:rPr>
                <w:sz w:val="20"/>
              </w:rPr>
              <w:t>Leaf</w:t>
            </w:r>
            <w:r>
              <w:rPr>
                <w:spacing w:val="-8"/>
                <w:sz w:val="20"/>
              </w:rPr>
              <w:t> </w:t>
            </w:r>
            <w:r>
              <w:rPr>
                <w:sz w:val="20"/>
              </w:rPr>
              <w:t>Area</w:t>
            </w:r>
            <w:r>
              <w:rPr>
                <w:spacing w:val="-8"/>
                <w:sz w:val="20"/>
              </w:rPr>
              <w:t> </w:t>
            </w:r>
            <w:r>
              <w:rPr>
                <w:sz w:val="20"/>
              </w:rPr>
              <w:t>Index</w:t>
            </w:r>
            <w:r>
              <w:rPr>
                <w:spacing w:val="-7"/>
                <w:sz w:val="20"/>
              </w:rPr>
              <w:t> </w:t>
            </w:r>
            <w:r>
              <w:rPr>
                <w:sz w:val="20"/>
              </w:rPr>
              <w:t>(phenological</w:t>
            </w:r>
            <w:r>
              <w:rPr>
                <w:spacing w:val="-8"/>
                <w:sz w:val="20"/>
              </w:rPr>
              <w:t> </w:t>
            </w:r>
            <w:r>
              <w:rPr>
                <w:spacing w:val="-2"/>
                <w:sz w:val="20"/>
              </w:rPr>
              <w:t>model)</w:t>
            </w:r>
          </w:p>
        </w:tc>
        <w:tc>
          <w:tcPr>
            <w:tcW w:w="4217" w:type="dxa"/>
          </w:tcPr>
          <w:p>
            <w:pPr>
              <w:pStyle w:val="TableParagraph"/>
              <w:spacing w:before="45"/>
              <w:ind w:left="119"/>
              <w:rPr>
                <w:sz w:val="20"/>
              </w:rPr>
            </w:pPr>
            <w:r>
              <w:rPr>
                <w:spacing w:val="-2"/>
                <w:w w:val="105"/>
                <w:sz w:val="20"/>
              </w:rPr>
              <w:t>m</w:t>
            </w:r>
            <w:r>
              <w:rPr>
                <w:spacing w:val="-2"/>
                <w:w w:val="105"/>
                <w:sz w:val="20"/>
                <w:vertAlign w:val="superscript"/>
              </w:rPr>
              <w:t>2</w:t>
            </w:r>
            <w:r>
              <w:rPr>
                <w:spacing w:val="-2"/>
                <w:w w:val="105"/>
                <w:sz w:val="20"/>
                <w:vertAlign w:val="baseline"/>
              </w:rPr>
              <w:t>/m</w:t>
            </w:r>
            <w:r>
              <w:rPr>
                <w:spacing w:val="-2"/>
                <w:w w:val="105"/>
                <w:sz w:val="20"/>
                <w:vertAlign w:val="superscript"/>
              </w:rPr>
              <w:t>2</w:t>
            </w:r>
          </w:p>
        </w:tc>
      </w:tr>
      <w:tr>
        <w:trPr>
          <w:trHeight w:val="348" w:hRule="atLeast"/>
        </w:trPr>
        <w:tc>
          <w:tcPr>
            <w:tcW w:w="789" w:type="dxa"/>
            <w:tcBorders>
              <w:bottom w:val="single" w:sz="8" w:space="0" w:color="000000"/>
            </w:tcBorders>
          </w:tcPr>
          <w:p>
            <w:pPr>
              <w:pStyle w:val="TableParagraph"/>
              <w:ind w:left="119"/>
              <w:rPr>
                <w:sz w:val="20"/>
              </w:rPr>
            </w:pPr>
            <w:r>
              <w:rPr>
                <w:spacing w:val="-5"/>
                <w:sz w:val="20"/>
              </w:rPr>
              <w:t>Eto</w:t>
            </w:r>
          </w:p>
        </w:tc>
        <w:tc>
          <w:tcPr>
            <w:tcW w:w="3498" w:type="dxa"/>
            <w:tcBorders>
              <w:bottom w:val="single" w:sz="8" w:space="0" w:color="000000"/>
            </w:tcBorders>
          </w:tcPr>
          <w:p>
            <w:pPr>
              <w:pStyle w:val="TableParagraph"/>
              <w:ind w:left="292"/>
              <w:rPr>
                <w:sz w:val="20"/>
              </w:rPr>
            </w:pPr>
            <w:r>
              <w:rPr>
                <w:sz w:val="20"/>
              </w:rPr>
              <w:t>Reference</w:t>
            </w:r>
            <w:r>
              <w:rPr>
                <w:spacing w:val="-10"/>
                <w:sz w:val="20"/>
              </w:rPr>
              <w:t> </w:t>
            </w:r>
            <w:r>
              <w:rPr>
                <w:spacing w:val="-2"/>
                <w:sz w:val="20"/>
              </w:rPr>
              <w:t>evapotranspiration</w:t>
            </w:r>
          </w:p>
        </w:tc>
        <w:tc>
          <w:tcPr>
            <w:tcW w:w="4217" w:type="dxa"/>
            <w:tcBorders>
              <w:bottom w:val="single" w:sz="8" w:space="0" w:color="000000"/>
            </w:tcBorders>
          </w:tcPr>
          <w:p>
            <w:pPr>
              <w:pStyle w:val="TableParagraph"/>
              <w:ind w:left="119"/>
              <w:rPr>
                <w:sz w:val="20"/>
              </w:rPr>
            </w:pPr>
            <w:r>
              <w:rPr>
                <w:spacing w:val="-5"/>
                <w:sz w:val="20"/>
              </w:rPr>
              <w:t>mm</w:t>
            </w:r>
          </w:p>
        </w:tc>
      </w:tr>
    </w:tbl>
    <w:p>
      <w:pPr>
        <w:pStyle w:val="BodyText"/>
        <w:spacing w:before="111"/>
        <w:rPr>
          <w:sz w:val="20"/>
        </w:rPr>
      </w:pPr>
    </w:p>
    <w:p>
      <w:pPr>
        <w:pStyle w:val="BodyText"/>
        <w:spacing w:line="312" w:lineRule="auto"/>
        <w:ind w:left="709" w:right="990" w:firstLine="338"/>
      </w:pPr>
      <w:r>
        <w:rPr/>
        <w:t>The</w:t>
      </w:r>
      <w:r>
        <w:rPr>
          <w:spacing w:val="-9"/>
        </w:rPr>
        <w:t> </w:t>
      </w:r>
      <w:r>
        <w:rPr/>
        <w:t>soil</w:t>
      </w:r>
      <w:r>
        <w:rPr>
          <w:spacing w:val="-9"/>
        </w:rPr>
        <w:t> </w:t>
      </w:r>
      <w:r>
        <w:rPr/>
        <w:t>water</w:t>
      </w:r>
      <w:r>
        <w:rPr>
          <w:spacing w:val="-9"/>
        </w:rPr>
        <w:t> </w:t>
      </w:r>
      <w:r>
        <w:rPr/>
        <w:t>availability</w:t>
      </w:r>
      <w:r>
        <w:rPr>
          <w:spacing w:val="-9"/>
        </w:rPr>
        <w:t> </w:t>
      </w:r>
      <w:r>
        <w:rPr/>
        <w:t>(Sm)</w:t>
      </w:r>
      <w:r>
        <w:rPr>
          <w:spacing w:val="-9"/>
        </w:rPr>
        <w:t> </w:t>
      </w:r>
      <w:r>
        <w:rPr/>
        <w:t>and</w:t>
      </w:r>
      <w:r>
        <w:rPr>
          <w:spacing w:val="-9"/>
        </w:rPr>
        <w:t> </w:t>
      </w:r>
      <w:r>
        <w:rPr/>
        <w:t>Leaf</w:t>
      </w:r>
      <w:r>
        <w:rPr>
          <w:spacing w:val="-9"/>
        </w:rPr>
        <w:t> </w:t>
      </w:r>
      <w:r>
        <w:rPr/>
        <w:t>Area</w:t>
      </w:r>
      <w:r>
        <w:rPr>
          <w:spacing w:val="-9"/>
        </w:rPr>
        <w:t> </w:t>
      </w:r>
      <w:r>
        <w:rPr/>
        <w:t>Index</w:t>
      </w:r>
      <w:r>
        <w:rPr>
          <w:spacing w:val="-9"/>
        </w:rPr>
        <w:t> </w:t>
      </w:r>
      <w:r>
        <w:rPr/>
        <w:t>(Iaf)</w:t>
      </w:r>
      <w:r>
        <w:rPr>
          <w:spacing w:val="-9"/>
        </w:rPr>
        <w:t> </w:t>
      </w:r>
      <w:r>
        <w:rPr/>
        <w:t>values</w:t>
      </w:r>
      <w:r>
        <w:rPr>
          <w:spacing w:val="-9"/>
        </w:rPr>
        <w:t> </w:t>
      </w:r>
      <w:r>
        <w:rPr/>
        <w:t>are</w:t>
      </w:r>
      <w:r>
        <w:rPr>
          <w:spacing w:val="-9"/>
        </w:rPr>
        <w:t> </w:t>
      </w:r>
      <w:r>
        <w:rPr/>
        <w:t>not</w:t>
      </w:r>
      <w:r>
        <w:rPr>
          <w:spacing w:val="-9"/>
        </w:rPr>
        <w:t> </w:t>
      </w:r>
      <w:r>
        <w:rPr/>
        <w:t>direct</w:t>
      </w:r>
      <w:r>
        <w:rPr>
          <w:spacing w:val="-9"/>
        </w:rPr>
        <w:t> </w:t>
      </w:r>
      <w:r>
        <w:rPr/>
        <w:t>measurements </w:t>
      </w:r>
      <w:r>
        <w:rPr>
          <w:spacing w:val="-2"/>
        </w:rPr>
        <w:t>but</w:t>
      </w:r>
      <w:r>
        <w:rPr>
          <w:spacing w:val="-9"/>
        </w:rPr>
        <w:t> </w:t>
      </w:r>
      <w:r>
        <w:rPr>
          <w:spacing w:val="-2"/>
        </w:rPr>
        <w:t>model-derived</w:t>
      </w:r>
      <w:r>
        <w:rPr>
          <w:spacing w:val="-8"/>
        </w:rPr>
        <w:t> </w:t>
      </w:r>
      <w:r>
        <w:rPr>
          <w:spacing w:val="-2"/>
        </w:rPr>
        <w:t>estimates</w:t>
      </w:r>
      <w:r>
        <w:rPr>
          <w:spacing w:val="-8"/>
        </w:rPr>
        <w:t> </w:t>
      </w:r>
      <w:r>
        <w:rPr>
          <w:spacing w:val="-2"/>
        </w:rPr>
        <w:t>produced</w:t>
      </w:r>
      <w:r>
        <w:rPr>
          <w:spacing w:val="-8"/>
        </w:rPr>
        <w:t> </w:t>
      </w:r>
      <w:r>
        <w:rPr>
          <w:spacing w:val="-2"/>
        </w:rPr>
        <w:t>by</w:t>
      </w:r>
      <w:r>
        <w:rPr>
          <w:spacing w:val="-8"/>
        </w:rPr>
        <w:t> </w:t>
      </w:r>
      <w:r>
        <w:rPr>
          <w:spacing w:val="-2"/>
        </w:rPr>
        <w:t>the</w:t>
      </w:r>
      <w:r>
        <w:rPr>
          <w:spacing w:val="-8"/>
        </w:rPr>
        <w:t> </w:t>
      </w:r>
      <w:r>
        <w:rPr>
          <w:spacing w:val="-2"/>
        </w:rPr>
        <w:t>STICS</w:t>
      </w:r>
      <w:r>
        <w:rPr>
          <w:spacing w:val="-8"/>
        </w:rPr>
        <w:t> </w:t>
      </w:r>
      <w:r>
        <w:rPr>
          <w:spacing w:val="-2"/>
        </w:rPr>
        <w:t>vine</w:t>
      </w:r>
      <w:r>
        <w:rPr>
          <w:spacing w:val="-8"/>
        </w:rPr>
        <w:t> </w:t>
      </w:r>
      <w:r>
        <w:rPr>
          <w:spacing w:val="-2"/>
        </w:rPr>
        <w:t>growth</w:t>
      </w:r>
      <w:r>
        <w:rPr>
          <w:spacing w:val="-9"/>
        </w:rPr>
        <w:t> </w:t>
      </w:r>
      <w:r>
        <w:rPr>
          <w:spacing w:val="-2"/>
        </w:rPr>
        <w:t>model</w:t>
      </w:r>
      <w:r>
        <w:rPr>
          <w:spacing w:val="-8"/>
        </w:rPr>
        <w:t> </w:t>
      </w:r>
      <w:r>
        <w:rPr>
          <w:spacing w:val="-2"/>
        </w:rPr>
        <w:t>calibrated</w:t>
      </w:r>
      <w:r>
        <w:rPr>
          <w:spacing w:val="-8"/>
        </w:rPr>
        <w:t> </w:t>
      </w:r>
      <w:r>
        <w:rPr>
          <w:spacing w:val="-2"/>
        </w:rPr>
        <w:t>to</w:t>
      </w:r>
      <w:r>
        <w:rPr>
          <w:spacing w:val="-8"/>
        </w:rPr>
        <w:t> </w:t>
      </w:r>
      <w:r>
        <w:rPr>
          <w:spacing w:val="-2"/>
        </w:rPr>
        <w:t>each</w:t>
      </w:r>
      <w:r>
        <w:rPr>
          <w:spacing w:val="-8"/>
        </w:rPr>
        <w:t> </w:t>
      </w:r>
      <w:r>
        <w:rPr>
          <w:spacing w:val="-2"/>
        </w:rPr>
        <w:t>region’s</w:t>
      </w:r>
    </w:p>
    <w:p>
      <w:pPr>
        <w:pStyle w:val="BodyText"/>
        <w:spacing w:after="0" w:line="312" w:lineRule="auto"/>
        <w:sectPr>
          <w:headerReference w:type="default" r:id="rId57"/>
          <w:headerReference w:type="even" r:id="rId58"/>
          <w:pgSz w:w="11910" w:h="16840"/>
          <w:pgMar w:header="1160" w:footer="0" w:top="1420" w:bottom="280" w:left="1275" w:right="425"/>
          <w:pgNumType w:start="33"/>
        </w:sectPr>
      </w:pPr>
    </w:p>
    <w:p>
      <w:pPr>
        <w:pStyle w:val="BodyText"/>
      </w:pPr>
    </w:p>
    <w:p>
      <w:pPr>
        <w:pStyle w:val="BodyText"/>
        <w:spacing w:before="25"/>
      </w:pPr>
    </w:p>
    <w:p>
      <w:pPr>
        <w:pStyle w:val="BodyText"/>
        <w:spacing w:line="312" w:lineRule="auto" w:before="1"/>
        <w:ind w:left="142" w:right="1529"/>
        <w:jc w:val="both"/>
      </w:pPr>
      <w:r>
        <w:rPr/>
        <w:t>soil and vine characteristics by Professor Cunha’s group over decades of field work.</w:t>
      </w:r>
      <w:r>
        <w:rPr>
          <w:spacing w:val="40"/>
        </w:rPr>
        <w:t> </w:t>
      </w:r>
      <w:r>
        <w:rPr/>
        <w:t>These modelled variables are critical for the analysis: Sm represents the balance between precipitation, evapotranspiration, and soil water-holding capacity integrated daily, while Iaf represents vine canopy development as a continuous daily estimate anchored to the vine’s phenological state.</w:t>
      </w:r>
    </w:p>
    <w:p>
      <w:pPr>
        <w:pStyle w:val="BodyText"/>
        <w:spacing w:line="312" w:lineRule="auto" w:before="3"/>
        <w:ind w:left="136" w:right="1527" w:firstLine="344"/>
        <w:jc w:val="both"/>
      </w:pPr>
      <w:r>
        <w:rPr>
          <w:spacing w:val="-4"/>
        </w:rPr>
        <w:t>In Stage 1 of the pipeline (script:</w:t>
      </w:r>
      <w:r>
        <w:rPr>
          <w:spacing w:val="21"/>
        </w:rPr>
        <w:t> </w:t>
      </w:r>
      <w:r>
        <w:rPr>
          <w:spacing w:val="-4"/>
        </w:rPr>
        <w:t>1_data_preparation_stage_1.R), five binary/threshold indicator </w:t>
      </w:r>
      <w:r>
        <w:rPr>
          <w:spacing w:val="-2"/>
        </w:rPr>
        <w:t>variables</w:t>
      </w:r>
      <w:r>
        <w:rPr>
          <w:spacing w:val="-4"/>
        </w:rPr>
        <w:t> </w:t>
      </w:r>
      <w:r>
        <w:rPr>
          <w:spacing w:val="-2"/>
        </w:rPr>
        <w:t>were</w:t>
      </w:r>
      <w:r>
        <w:rPr>
          <w:spacing w:val="-3"/>
        </w:rPr>
        <w:t> </w:t>
      </w:r>
      <w:r>
        <w:rPr>
          <w:spacing w:val="-2"/>
        </w:rPr>
        <w:t>derived</w:t>
      </w:r>
      <w:r>
        <w:rPr>
          <w:spacing w:val="-3"/>
        </w:rPr>
        <w:t> </w:t>
      </w:r>
      <w:r>
        <w:rPr>
          <w:spacing w:val="-2"/>
        </w:rPr>
        <w:t>from</w:t>
      </w:r>
      <w:r>
        <w:rPr>
          <w:spacing w:val="-3"/>
        </w:rPr>
        <w:t> </w:t>
      </w:r>
      <w:r>
        <w:rPr>
          <w:spacing w:val="-2"/>
        </w:rPr>
        <w:t>the</w:t>
      </w:r>
      <w:r>
        <w:rPr>
          <w:spacing w:val="-3"/>
        </w:rPr>
        <w:t> </w:t>
      </w:r>
      <w:r>
        <w:rPr>
          <w:spacing w:val="-2"/>
        </w:rPr>
        <w:t>pre-processed</w:t>
      </w:r>
      <w:r>
        <w:rPr>
          <w:spacing w:val="-4"/>
        </w:rPr>
        <w:t> </w:t>
      </w:r>
      <w:r>
        <w:rPr>
          <w:spacing w:val="-2"/>
        </w:rPr>
        <w:t>daily</w:t>
      </w:r>
      <w:r>
        <w:rPr>
          <w:spacing w:val="-3"/>
        </w:rPr>
        <w:t> </w:t>
      </w:r>
      <w:r>
        <w:rPr>
          <w:spacing w:val="-2"/>
        </w:rPr>
        <w:t>records</w:t>
      </w:r>
      <w:r>
        <w:rPr>
          <w:spacing w:val="-3"/>
        </w:rPr>
        <w:t> </w:t>
      </w:r>
      <w:r>
        <w:rPr>
          <w:spacing w:val="-2"/>
        </w:rPr>
        <w:t>provided</w:t>
      </w:r>
      <w:r>
        <w:rPr>
          <w:spacing w:val="-3"/>
        </w:rPr>
        <w:t> </w:t>
      </w:r>
      <w:r>
        <w:rPr>
          <w:spacing w:val="-2"/>
        </w:rPr>
        <w:t>by</w:t>
      </w:r>
      <w:r>
        <w:rPr>
          <w:spacing w:val="-3"/>
        </w:rPr>
        <w:t> </w:t>
      </w:r>
      <w:r>
        <w:rPr>
          <w:spacing w:val="-2"/>
        </w:rPr>
        <w:t>Professor</w:t>
      </w:r>
      <w:r>
        <w:rPr>
          <w:spacing w:val="-3"/>
        </w:rPr>
        <w:t> </w:t>
      </w:r>
      <w:r>
        <w:rPr>
          <w:spacing w:val="-2"/>
        </w:rPr>
        <w:t>Cunha’s</w:t>
      </w:r>
      <w:r>
        <w:rPr>
          <w:spacing w:val="-4"/>
        </w:rPr>
        <w:t> </w:t>
      </w:r>
      <w:r>
        <w:rPr>
          <w:spacing w:val="-2"/>
        </w:rPr>
        <w:t>group:</w:t>
      </w:r>
    </w:p>
    <w:p>
      <w:pPr>
        <w:spacing w:before="152"/>
        <w:ind w:left="893" w:right="0" w:firstLine="0"/>
        <w:jc w:val="both"/>
        <w:rPr>
          <w:sz w:val="20"/>
        </w:rPr>
      </w:pPr>
      <w:bookmarkStart w:name="_bookmark57" w:id="106"/>
      <w:bookmarkEnd w:id="106"/>
      <w:r>
        <w:rPr/>
      </w:r>
      <w:r>
        <w:rPr>
          <w:b/>
          <w:sz w:val="20"/>
        </w:rPr>
        <w:t>Table</w:t>
      </w:r>
      <w:r>
        <w:rPr>
          <w:b/>
          <w:spacing w:val="-10"/>
          <w:sz w:val="20"/>
        </w:rPr>
        <w:t> </w:t>
      </w:r>
      <w:r>
        <w:rPr>
          <w:b/>
          <w:sz w:val="20"/>
        </w:rPr>
        <w:t>3.9: </w:t>
      </w:r>
      <w:r>
        <w:rPr>
          <w:sz w:val="20"/>
        </w:rPr>
        <w:t>Binary</w:t>
      </w:r>
      <w:r>
        <w:rPr>
          <w:spacing w:val="-9"/>
          <w:sz w:val="20"/>
        </w:rPr>
        <w:t> </w:t>
      </w:r>
      <w:r>
        <w:rPr>
          <w:sz w:val="20"/>
        </w:rPr>
        <w:t>threshold</w:t>
      </w:r>
      <w:r>
        <w:rPr>
          <w:spacing w:val="-10"/>
          <w:sz w:val="20"/>
        </w:rPr>
        <w:t> </w:t>
      </w:r>
      <w:r>
        <w:rPr>
          <w:sz w:val="20"/>
        </w:rPr>
        <w:t>indicators</w:t>
      </w:r>
      <w:r>
        <w:rPr>
          <w:spacing w:val="-9"/>
          <w:sz w:val="20"/>
        </w:rPr>
        <w:t> </w:t>
      </w:r>
      <w:r>
        <w:rPr>
          <w:sz w:val="20"/>
        </w:rPr>
        <w:t>derived</w:t>
      </w:r>
      <w:r>
        <w:rPr>
          <w:spacing w:val="-10"/>
          <w:sz w:val="20"/>
        </w:rPr>
        <w:t> </w:t>
      </w:r>
      <w:r>
        <w:rPr>
          <w:sz w:val="20"/>
        </w:rPr>
        <w:t>from</w:t>
      </w:r>
      <w:r>
        <w:rPr>
          <w:spacing w:val="-10"/>
          <w:sz w:val="20"/>
        </w:rPr>
        <w:t> </w:t>
      </w:r>
      <w:r>
        <w:rPr>
          <w:sz w:val="20"/>
        </w:rPr>
        <w:t>raw</w:t>
      </w:r>
      <w:r>
        <w:rPr>
          <w:spacing w:val="-9"/>
          <w:sz w:val="20"/>
        </w:rPr>
        <w:t> </w:t>
      </w:r>
      <w:r>
        <w:rPr>
          <w:sz w:val="20"/>
        </w:rPr>
        <w:t>daily</w:t>
      </w:r>
      <w:r>
        <w:rPr>
          <w:spacing w:val="-10"/>
          <w:sz w:val="20"/>
        </w:rPr>
        <w:t> </w:t>
      </w:r>
      <w:r>
        <w:rPr>
          <w:sz w:val="20"/>
        </w:rPr>
        <w:t>meteorological</w:t>
      </w:r>
      <w:r>
        <w:rPr>
          <w:spacing w:val="-9"/>
          <w:sz w:val="20"/>
        </w:rPr>
        <w:t> </w:t>
      </w:r>
      <w:r>
        <w:rPr>
          <w:spacing w:val="-2"/>
          <w:sz w:val="20"/>
        </w:rPr>
        <w:t>variables.</w:t>
      </w:r>
    </w:p>
    <w:p>
      <w:pPr>
        <w:pStyle w:val="BodyText"/>
        <w:spacing w:before="5"/>
        <w:rPr>
          <w:sz w:val="18"/>
        </w:rPr>
      </w:pPr>
      <w:r>
        <w:rPr>
          <w:sz w:val="18"/>
        </w:rPr>
        <mc:AlternateContent>
          <mc:Choice Requires="wps">
            <w:drawing>
              <wp:anchor distT="0" distB="0" distL="0" distR="0" allowOverlap="1" layoutInCell="1" locked="0" behindDoc="1" simplePos="0" relativeHeight="487612928">
                <wp:simplePos x="0" y="0"/>
                <wp:positionH relativeFrom="page">
                  <wp:posOffset>899998</wp:posOffset>
                </wp:positionH>
                <wp:positionV relativeFrom="paragraph">
                  <wp:posOffset>150393</wp:posOffset>
                </wp:positionV>
                <wp:extent cx="5400040" cy="1270"/>
                <wp:effectExtent l="0" t="0" r="0" b="0"/>
                <wp:wrapTopAndBottom/>
                <wp:docPr id="126" name="Graphic 126"/>
                <wp:cNvGraphicFramePr>
                  <a:graphicFrameLocks/>
                </wp:cNvGraphicFramePr>
                <a:graphic>
                  <a:graphicData uri="http://schemas.microsoft.com/office/word/2010/wordprocessingShape">
                    <wps:wsp>
                      <wps:cNvPr id="126" name="Graphic 126"/>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1.842047pt;width:425.2pt;height:.1pt;mso-position-horizontal-relative:page;mso-position-vertical-relative:paragraph;z-index:-15703552;mso-wrap-distance-left:0;mso-wrap-distance-right:0" id="docshape108" coordorigin="1417,237" coordsize="8504,0" path="m1417,237l9921,237e" filled="false" stroked="true" strokeweight=".868pt" strokecolor="#000000">
                <v:path arrowok="t"/>
                <v:stroke dashstyle="solid"/>
                <w10:wrap type="topAndBottom"/>
              </v:shape>
            </w:pict>
          </mc:Fallback>
        </mc:AlternateContent>
      </w:r>
    </w:p>
    <w:p>
      <w:pPr>
        <w:tabs>
          <w:tab w:pos="2201" w:val="left" w:leader="none"/>
          <w:tab w:pos="4424" w:val="left" w:leader="none"/>
        </w:tabs>
        <w:spacing w:before="92"/>
        <w:ind w:left="261" w:right="0" w:firstLine="0"/>
        <w:jc w:val="left"/>
        <w:rPr>
          <w:b/>
          <w:sz w:val="20"/>
        </w:rPr>
      </w:pPr>
      <w:r>
        <w:rPr>
          <w:b/>
          <w:sz w:val="20"/>
        </w:rPr>
        <w:t>Derived</w:t>
      </w:r>
      <w:r>
        <w:rPr>
          <w:b/>
          <w:spacing w:val="-12"/>
          <w:sz w:val="20"/>
        </w:rPr>
        <w:t> </w:t>
      </w:r>
      <w:r>
        <w:rPr>
          <w:b/>
          <w:spacing w:val="-2"/>
          <w:sz w:val="20"/>
        </w:rPr>
        <w:t>indicator</w:t>
      </w:r>
      <w:r>
        <w:rPr>
          <w:b/>
          <w:sz w:val="20"/>
        </w:rPr>
        <w:tab/>
      </w:r>
      <w:r>
        <w:rPr>
          <w:b/>
          <w:spacing w:val="-2"/>
          <w:sz w:val="20"/>
        </w:rPr>
        <w:t>Condition</w:t>
      </w:r>
      <w:r>
        <w:rPr>
          <w:b/>
          <w:sz w:val="20"/>
        </w:rPr>
        <w:tab/>
      </w:r>
      <w:r>
        <w:rPr>
          <w:b/>
          <w:spacing w:val="-2"/>
          <w:sz w:val="20"/>
        </w:rPr>
        <w:t>Agronomic</w:t>
      </w:r>
      <w:r>
        <w:rPr>
          <w:b/>
          <w:spacing w:val="3"/>
          <w:sz w:val="20"/>
        </w:rPr>
        <w:t> </w:t>
      </w:r>
      <w:r>
        <w:rPr>
          <w:b/>
          <w:spacing w:val="-2"/>
          <w:sz w:val="20"/>
        </w:rPr>
        <w:t>meaning</w:t>
      </w:r>
    </w:p>
    <w:p>
      <w:pPr>
        <w:pStyle w:val="BodyText"/>
        <w:spacing w:before="11"/>
        <w:rPr>
          <w:b/>
          <w:sz w:val="5"/>
        </w:rPr>
      </w:pPr>
      <w:r>
        <w:rPr>
          <w:b/>
          <w:sz w:val="5"/>
        </w:rPr>
        <mc:AlternateContent>
          <mc:Choice Requires="wps">
            <w:drawing>
              <wp:anchor distT="0" distB="0" distL="0" distR="0" allowOverlap="1" layoutInCell="1" locked="0" behindDoc="1" simplePos="0" relativeHeight="487613440">
                <wp:simplePos x="0" y="0"/>
                <wp:positionH relativeFrom="page">
                  <wp:posOffset>899998</wp:posOffset>
                </wp:positionH>
                <wp:positionV relativeFrom="paragraph">
                  <wp:posOffset>58978</wp:posOffset>
                </wp:positionV>
                <wp:extent cx="5400040" cy="1270"/>
                <wp:effectExtent l="0" t="0" r="0" b="0"/>
                <wp:wrapTopAndBottom/>
                <wp:docPr id="127" name="Graphic 127"/>
                <wp:cNvGraphicFramePr>
                  <a:graphicFrameLocks/>
                </wp:cNvGraphicFramePr>
                <a:graphic>
                  <a:graphicData uri="http://schemas.microsoft.com/office/word/2010/wordprocessingShape">
                    <wps:wsp>
                      <wps:cNvPr id="127" name="Graphic 127"/>
                      <wps:cNvSpPr/>
                      <wps:spPr>
                        <a:xfrm>
                          <a:off x="0" y="0"/>
                          <a:ext cx="5400040" cy="1270"/>
                        </a:xfrm>
                        <a:custGeom>
                          <a:avLst/>
                          <a:gdLst/>
                          <a:ahLst/>
                          <a:cxnLst/>
                          <a:rect l="l" t="t" r="r" b="b"/>
                          <a:pathLst>
                            <a:path w="5400040" h="0">
                              <a:moveTo>
                                <a:pt x="0" y="0"/>
                              </a:moveTo>
                              <a:lnTo>
                                <a:pt x="5400001"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4.643977pt;width:425.2pt;height:.1pt;mso-position-horizontal-relative:page;mso-position-vertical-relative:paragraph;z-index:-15703040;mso-wrap-distance-left:0;mso-wrap-distance-right:0" id="docshape109" coordorigin="1417,93" coordsize="8504,0" path="m1417,93l9921,93e" filled="false" stroked="true" strokeweight=".542pt" strokecolor="#000000">
                <v:path arrowok="t"/>
                <v:stroke dashstyle="solid"/>
                <w10:wrap type="topAndBottom"/>
              </v:shape>
            </w:pict>
          </mc:Fallback>
        </mc:AlternateContent>
      </w:r>
    </w:p>
    <w:p>
      <w:pPr>
        <w:tabs>
          <w:tab w:pos="2201" w:val="left" w:leader="none"/>
          <w:tab w:pos="4424" w:val="left" w:leader="none"/>
        </w:tabs>
        <w:spacing w:line="321" w:lineRule="exact" w:before="32"/>
        <w:ind w:left="261" w:right="0" w:firstLine="0"/>
        <w:jc w:val="left"/>
        <w:rPr>
          <w:sz w:val="20"/>
        </w:rPr>
      </w:pPr>
      <w:r>
        <w:rPr>
          <w:rFonts w:ascii="Courier New"/>
          <w:spacing w:val="-2"/>
          <w:sz w:val="20"/>
        </w:rPr>
        <w:t>R&gt;0.1</w:t>
      </w:r>
      <w:r>
        <w:rPr>
          <w:rFonts w:ascii="Courier New"/>
          <w:sz w:val="20"/>
        </w:rPr>
        <w:tab/>
      </w:r>
      <w:r>
        <w:rPr>
          <w:spacing w:val="-2"/>
          <w:sz w:val="20"/>
        </w:rPr>
        <w:t>Rain</w:t>
      </w:r>
      <w:r>
        <w:rPr>
          <w:spacing w:val="-9"/>
          <w:sz w:val="20"/>
        </w:rPr>
        <w:t> </w:t>
      </w:r>
      <w:r>
        <w:rPr>
          <w:rFonts w:ascii="Meiryo UI"/>
          <w:i/>
          <w:spacing w:val="-2"/>
          <w:sz w:val="20"/>
        </w:rPr>
        <w:t>&gt;</w:t>
      </w:r>
      <w:r>
        <w:rPr>
          <w:rFonts w:ascii="Meiryo UI"/>
          <w:i/>
          <w:spacing w:val="-24"/>
          <w:sz w:val="20"/>
        </w:rPr>
        <w:t> </w:t>
      </w:r>
      <w:r>
        <w:rPr>
          <w:spacing w:val="-2"/>
          <w:sz w:val="20"/>
        </w:rPr>
        <w:t>0</w:t>
      </w:r>
      <w:r>
        <w:rPr>
          <w:rFonts w:ascii="Meiryo UI"/>
          <w:i/>
          <w:spacing w:val="-2"/>
          <w:sz w:val="20"/>
        </w:rPr>
        <w:t>.</w:t>
      </w:r>
      <w:r>
        <w:rPr>
          <w:spacing w:val="-2"/>
          <w:sz w:val="20"/>
        </w:rPr>
        <w:t>1</w:t>
      </w:r>
      <w:r>
        <w:rPr>
          <w:spacing w:val="-4"/>
          <w:sz w:val="20"/>
        </w:rPr>
        <w:t> </w:t>
      </w:r>
      <w:r>
        <w:rPr>
          <w:spacing w:val="-5"/>
          <w:sz w:val="20"/>
        </w:rPr>
        <w:t>mm</w:t>
      </w:r>
      <w:r>
        <w:rPr>
          <w:sz w:val="20"/>
        </w:rPr>
        <w:tab/>
        <w:t>Wet</w:t>
      </w:r>
      <w:r>
        <w:rPr>
          <w:spacing w:val="-10"/>
          <w:sz w:val="20"/>
        </w:rPr>
        <w:t> </w:t>
      </w:r>
      <w:r>
        <w:rPr>
          <w:sz w:val="20"/>
        </w:rPr>
        <w:t>day</w:t>
      </w:r>
      <w:r>
        <w:rPr>
          <w:spacing w:val="-9"/>
          <w:sz w:val="20"/>
        </w:rPr>
        <w:t> </w:t>
      </w:r>
      <w:r>
        <w:rPr>
          <w:sz w:val="20"/>
        </w:rPr>
        <w:t>indicator</w:t>
      </w:r>
      <w:r>
        <w:rPr>
          <w:spacing w:val="-10"/>
          <w:sz w:val="20"/>
        </w:rPr>
        <w:t> </w:t>
      </w:r>
      <w:r>
        <w:rPr>
          <w:sz w:val="20"/>
        </w:rPr>
        <w:t>(trace</w:t>
      </w:r>
      <w:r>
        <w:rPr>
          <w:spacing w:val="-9"/>
          <w:sz w:val="20"/>
        </w:rPr>
        <w:t> </w:t>
      </w:r>
      <w:r>
        <w:rPr>
          <w:spacing w:val="-2"/>
          <w:sz w:val="20"/>
        </w:rPr>
        <w:t>rainfall)</w:t>
      </w:r>
    </w:p>
    <w:p>
      <w:pPr>
        <w:tabs>
          <w:tab w:pos="2201" w:val="left" w:leader="none"/>
          <w:tab w:pos="4424" w:val="left" w:leader="none"/>
        </w:tabs>
        <w:spacing w:line="311" w:lineRule="exact" w:before="0"/>
        <w:ind w:left="261" w:right="0" w:firstLine="0"/>
        <w:jc w:val="left"/>
        <w:rPr>
          <w:sz w:val="20"/>
        </w:rPr>
      </w:pPr>
      <w:r>
        <w:rPr>
          <w:rFonts w:ascii="Courier New" w:hAnsi="Courier New"/>
          <w:spacing w:val="-2"/>
          <w:sz w:val="20"/>
        </w:rPr>
        <w:t>Tmed&lt;15</w:t>
      </w:r>
      <w:r>
        <w:rPr>
          <w:rFonts w:ascii="Courier New" w:hAnsi="Courier New"/>
          <w:sz w:val="20"/>
        </w:rPr>
        <w:tab/>
      </w:r>
      <w:r>
        <w:rPr>
          <w:sz w:val="20"/>
        </w:rPr>
        <w:t>Tmed</w:t>
      </w:r>
      <w:r>
        <w:rPr>
          <w:spacing w:val="-13"/>
          <w:sz w:val="20"/>
        </w:rPr>
        <w:t> </w:t>
      </w:r>
      <w:r>
        <w:rPr>
          <w:rFonts w:ascii="Meiryo UI" w:hAnsi="Meiryo UI"/>
          <w:i/>
          <w:sz w:val="20"/>
        </w:rPr>
        <w:t>&lt;</w:t>
      </w:r>
      <w:r>
        <w:rPr>
          <w:rFonts w:ascii="Meiryo UI" w:hAnsi="Meiryo UI"/>
          <w:i/>
          <w:spacing w:val="-24"/>
          <w:sz w:val="20"/>
        </w:rPr>
        <w:t> </w:t>
      </w:r>
      <w:r>
        <w:rPr>
          <w:spacing w:val="-4"/>
          <w:sz w:val="20"/>
        </w:rPr>
        <w:t>15</w:t>
      </w:r>
      <w:r>
        <w:rPr>
          <w:rFonts w:ascii="Meiryo UI" w:hAnsi="Meiryo UI"/>
          <w:i/>
          <w:spacing w:val="-4"/>
          <w:sz w:val="20"/>
          <w:vertAlign w:val="superscript"/>
        </w:rPr>
        <w:t>◦</w:t>
      </w:r>
      <w:r>
        <w:rPr>
          <w:spacing w:val="-4"/>
          <w:sz w:val="20"/>
          <w:vertAlign w:val="baseline"/>
        </w:rPr>
        <w:t>C</w:t>
      </w:r>
      <w:r>
        <w:rPr>
          <w:sz w:val="20"/>
          <w:vertAlign w:val="baseline"/>
        </w:rPr>
        <w:tab/>
        <w:t>Cold</w:t>
      </w:r>
      <w:r>
        <w:rPr>
          <w:spacing w:val="-11"/>
          <w:sz w:val="20"/>
          <w:vertAlign w:val="baseline"/>
        </w:rPr>
        <w:t> </w:t>
      </w:r>
      <w:r>
        <w:rPr>
          <w:sz w:val="20"/>
          <w:vertAlign w:val="baseline"/>
        </w:rPr>
        <w:t>day,</w:t>
      </w:r>
      <w:r>
        <w:rPr>
          <w:spacing w:val="-10"/>
          <w:sz w:val="20"/>
          <w:vertAlign w:val="baseline"/>
        </w:rPr>
        <w:t> </w:t>
      </w:r>
      <w:r>
        <w:rPr>
          <w:sz w:val="20"/>
          <w:vertAlign w:val="baseline"/>
        </w:rPr>
        <w:t>impairs</w:t>
      </w:r>
      <w:r>
        <w:rPr>
          <w:spacing w:val="-11"/>
          <w:sz w:val="20"/>
          <w:vertAlign w:val="baseline"/>
        </w:rPr>
        <w:t> </w:t>
      </w:r>
      <w:r>
        <w:rPr>
          <w:sz w:val="20"/>
          <w:vertAlign w:val="baseline"/>
        </w:rPr>
        <w:t>flowering</w:t>
      </w:r>
      <w:r>
        <w:rPr>
          <w:spacing w:val="-10"/>
          <w:sz w:val="20"/>
          <w:vertAlign w:val="baseline"/>
        </w:rPr>
        <w:t> </w:t>
      </w:r>
      <w:r>
        <w:rPr>
          <w:sz w:val="20"/>
          <w:vertAlign w:val="baseline"/>
        </w:rPr>
        <w:t>and</w:t>
      </w:r>
      <w:r>
        <w:rPr>
          <w:spacing w:val="-11"/>
          <w:sz w:val="20"/>
          <w:vertAlign w:val="baseline"/>
        </w:rPr>
        <w:t> </w:t>
      </w:r>
      <w:r>
        <w:rPr>
          <w:sz w:val="20"/>
          <w:vertAlign w:val="baseline"/>
        </w:rPr>
        <w:t>fruit</w:t>
      </w:r>
      <w:r>
        <w:rPr>
          <w:spacing w:val="-10"/>
          <w:sz w:val="20"/>
          <w:vertAlign w:val="baseline"/>
        </w:rPr>
        <w:t> </w:t>
      </w:r>
      <w:r>
        <w:rPr>
          <w:spacing w:val="-5"/>
          <w:sz w:val="20"/>
          <w:vertAlign w:val="baseline"/>
        </w:rPr>
        <w:t>set</w:t>
      </w:r>
    </w:p>
    <w:p>
      <w:pPr>
        <w:tabs>
          <w:tab w:pos="2201" w:val="left" w:leader="none"/>
          <w:tab w:pos="4425" w:val="left" w:leader="none"/>
        </w:tabs>
        <w:spacing w:line="305" w:lineRule="exact" w:before="0"/>
        <w:ind w:left="261" w:right="0" w:firstLine="0"/>
        <w:jc w:val="left"/>
        <w:rPr>
          <w:sz w:val="20"/>
        </w:rPr>
      </w:pPr>
      <w:r>
        <w:rPr>
          <w:rFonts w:ascii="Courier New" w:hAnsi="Courier New"/>
          <w:spacing w:val="-2"/>
          <w:sz w:val="20"/>
        </w:rPr>
        <w:t>Tmax&gt;35</w:t>
      </w:r>
      <w:r>
        <w:rPr>
          <w:rFonts w:ascii="Courier New" w:hAnsi="Courier New"/>
          <w:sz w:val="20"/>
        </w:rPr>
        <w:tab/>
      </w:r>
      <w:r>
        <w:rPr>
          <w:sz w:val="20"/>
        </w:rPr>
        <w:t>Tmax</w:t>
      </w:r>
      <w:r>
        <w:rPr>
          <w:spacing w:val="-13"/>
          <w:sz w:val="20"/>
        </w:rPr>
        <w:t> </w:t>
      </w:r>
      <w:r>
        <w:rPr>
          <w:rFonts w:ascii="Meiryo UI" w:hAnsi="Meiryo UI"/>
          <w:i/>
          <w:sz w:val="20"/>
        </w:rPr>
        <w:t>&gt;</w:t>
      </w:r>
      <w:r>
        <w:rPr>
          <w:rFonts w:ascii="Meiryo UI" w:hAnsi="Meiryo UI"/>
          <w:i/>
          <w:spacing w:val="-24"/>
          <w:sz w:val="20"/>
        </w:rPr>
        <w:t> </w:t>
      </w:r>
      <w:r>
        <w:rPr>
          <w:spacing w:val="-4"/>
          <w:sz w:val="20"/>
        </w:rPr>
        <w:t>35</w:t>
      </w:r>
      <w:r>
        <w:rPr>
          <w:rFonts w:ascii="Meiryo UI" w:hAnsi="Meiryo UI"/>
          <w:i/>
          <w:spacing w:val="-4"/>
          <w:sz w:val="20"/>
          <w:vertAlign w:val="superscript"/>
        </w:rPr>
        <w:t>◦</w:t>
      </w:r>
      <w:r>
        <w:rPr>
          <w:spacing w:val="-4"/>
          <w:sz w:val="20"/>
          <w:vertAlign w:val="baseline"/>
        </w:rPr>
        <w:t>C</w:t>
      </w:r>
      <w:r>
        <w:rPr>
          <w:sz w:val="20"/>
          <w:vertAlign w:val="baseline"/>
        </w:rPr>
        <w:tab/>
        <w:t>Heat-stress</w:t>
      </w:r>
      <w:r>
        <w:rPr>
          <w:spacing w:val="-8"/>
          <w:sz w:val="20"/>
          <w:vertAlign w:val="baseline"/>
        </w:rPr>
        <w:t> </w:t>
      </w:r>
      <w:r>
        <w:rPr>
          <w:sz w:val="20"/>
          <w:vertAlign w:val="baseline"/>
        </w:rPr>
        <w:t>day,</w:t>
      </w:r>
      <w:r>
        <w:rPr>
          <w:spacing w:val="-7"/>
          <w:sz w:val="20"/>
          <w:vertAlign w:val="baseline"/>
        </w:rPr>
        <w:t> </w:t>
      </w:r>
      <w:r>
        <w:rPr>
          <w:sz w:val="20"/>
          <w:vertAlign w:val="baseline"/>
        </w:rPr>
        <w:t>causes</w:t>
      </w:r>
      <w:r>
        <w:rPr>
          <w:spacing w:val="-7"/>
          <w:sz w:val="20"/>
          <w:vertAlign w:val="baseline"/>
        </w:rPr>
        <w:t> </w:t>
      </w:r>
      <w:r>
        <w:rPr>
          <w:sz w:val="20"/>
          <w:vertAlign w:val="baseline"/>
        </w:rPr>
        <w:t>flower</w:t>
      </w:r>
      <w:r>
        <w:rPr>
          <w:spacing w:val="-7"/>
          <w:sz w:val="20"/>
          <w:vertAlign w:val="baseline"/>
        </w:rPr>
        <w:t> </w:t>
      </w:r>
      <w:r>
        <w:rPr>
          <w:sz w:val="20"/>
          <w:vertAlign w:val="baseline"/>
        </w:rPr>
        <w:t>abortion,</w:t>
      </w:r>
      <w:r>
        <w:rPr>
          <w:spacing w:val="-7"/>
          <w:sz w:val="20"/>
          <w:vertAlign w:val="baseline"/>
        </w:rPr>
        <w:t> </w:t>
      </w:r>
      <w:r>
        <w:rPr>
          <w:spacing w:val="-2"/>
          <w:sz w:val="20"/>
          <w:vertAlign w:val="baseline"/>
        </w:rPr>
        <w:t>accelerates</w:t>
      </w:r>
    </w:p>
    <w:p>
      <w:pPr>
        <w:spacing w:line="214" w:lineRule="exact" w:before="0"/>
        <w:ind w:left="4425" w:right="0" w:firstLine="0"/>
        <w:jc w:val="left"/>
        <w:rPr>
          <w:sz w:val="20"/>
        </w:rPr>
      </w:pPr>
      <w:r>
        <w:rPr>
          <w:spacing w:val="-2"/>
          <w:sz w:val="20"/>
        </w:rPr>
        <w:t>ripening</w:t>
      </w:r>
    </w:p>
    <w:p>
      <w:pPr>
        <w:tabs>
          <w:tab w:pos="2201" w:val="left" w:leader="none"/>
          <w:tab w:pos="4424" w:val="left" w:leader="none"/>
        </w:tabs>
        <w:spacing w:line="321" w:lineRule="exact" w:before="21"/>
        <w:ind w:left="261" w:right="0" w:firstLine="0"/>
        <w:jc w:val="left"/>
        <w:rPr>
          <w:sz w:val="20"/>
        </w:rPr>
      </w:pPr>
      <w:r>
        <w:rPr>
          <w:rFonts w:ascii="Courier New" w:hAnsi="Courier New"/>
          <w:spacing w:val="-2"/>
          <w:sz w:val="20"/>
        </w:rPr>
        <w:t>Tmin&lt;0</w:t>
      </w:r>
      <w:r>
        <w:rPr>
          <w:rFonts w:ascii="Courier New" w:hAnsi="Courier New"/>
          <w:sz w:val="20"/>
        </w:rPr>
        <w:tab/>
      </w:r>
      <w:r>
        <w:rPr>
          <w:sz w:val="20"/>
        </w:rPr>
        <w:t>Tmin</w:t>
      </w:r>
      <w:r>
        <w:rPr>
          <w:spacing w:val="-12"/>
          <w:sz w:val="20"/>
        </w:rPr>
        <w:t> </w:t>
      </w:r>
      <w:r>
        <w:rPr>
          <w:rFonts w:ascii="Meiryo UI" w:hAnsi="Meiryo UI"/>
          <w:i/>
          <w:sz w:val="20"/>
        </w:rPr>
        <w:t>&lt;</w:t>
      </w:r>
      <w:r>
        <w:rPr>
          <w:rFonts w:ascii="Meiryo UI" w:hAnsi="Meiryo UI"/>
          <w:i/>
          <w:spacing w:val="-24"/>
          <w:sz w:val="20"/>
        </w:rPr>
        <w:t> </w:t>
      </w:r>
      <w:r>
        <w:rPr>
          <w:spacing w:val="-5"/>
          <w:sz w:val="20"/>
        </w:rPr>
        <w:t>0</w:t>
      </w:r>
      <w:r>
        <w:rPr>
          <w:rFonts w:ascii="Meiryo UI" w:hAnsi="Meiryo UI"/>
          <w:i/>
          <w:spacing w:val="-5"/>
          <w:sz w:val="20"/>
          <w:vertAlign w:val="superscript"/>
        </w:rPr>
        <w:t>◦</w:t>
      </w:r>
      <w:r>
        <w:rPr>
          <w:spacing w:val="-5"/>
          <w:sz w:val="20"/>
          <w:vertAlign w:val="baseline"/>
        </w:rPr>
        <w:t>C</w:t>
      </w:r>
      <w:r>
        <w:rPr>
          <w:sz w:val="20"/>
          <w:vertAlign w:val="baseline"/>
        </w:rPr>
        <w:tab/>
        <w:t>Frost</w:t>
      </w:r>
      <w:r>
        <w:rPr>
          <w:spacing w:val="-8"/>
          <w:sz w:val="20"/>
          <w:vertAlign w:val="baseline"/>
        </w:rPr>
        <w:t> </w:t>
      </w:r>
      <w:r>
        <w:rPr>
          <w:sz w:val="20"/>
          <w:vertAlign w:val="baseline"/>
        </w:rPr>
        <w:t>day,</w:t>
      </w:r>
      <w:r>
        <w:rPr>
          <w:spacing w:val="-8"/>
          <w:sz w:val="20"/>
          <w:vertAlign w:val="baseline"/>
        </w:rPr>
        <w:t> </w:t>
      </w:r>
      <w:r>
        <w:rPr>
          <w:sz w:val="20"/>
          <w:vertAlign w:val="baseline"/>
        </w:rPr>
        <w:t>potential</w:t>
      </w:r>
      <w:r>
        <w:rPr>
          <w:spacing w:val="-8"/>
          <w:sz w:val="20"/>
          <w:vertAlign w:val="baseline"/>
        </w:rPr>
        <w:t> </w:t>
      </w:r>
      <w:r>
        <w:rPr>
          <w:sz w:val="20"/>
          <w:vertAlign w:val="baseline"/>
        </w:rPr>
        <w:t>bud</w:t>
      </w:r>
      <w:r>
        <w:rPr>
          <w:spacing w:val="-8"/>
          <w:sz w:val="20"/>
          <w:vertAlign w:val="baseline"/>
        </w:rPr>
        <w:t> </w:t>
      </w:r>
      <w:r>
        <w:rPr>
          <w:sz w:val="20"/>
          <w:vertAlign w:val="baseline"/>
        </w:rPr>
        <w:t>and</w:t>
      </w:r>
      <w:r>
        <w:rPr>
          <w:spacing w:val="-8"/>
          <w:sz w:val="20"/>
          <w:vertAlign w:val="baseline"/>
        </w:rPr>
        <w:t> </w:t>
      </w:r>
      <w:r>
        <w:rPr>
          <w:sz w:val="20"/>
          <w:vertAlign w:val="baseline"/>
        </w:rPr>
        <w:t>shoot</w:t>
      </w:r>
      <w:r>
        <w:rPr>
          <w:spacing w:val="-8"/>
          <w:sz w:val="20"/>
          <w:vertAlign w:val="baseline"/>
        </w:rPr>
        <w:t> </w:t>
      </w:r>
      <w:r>
        <w:rPr>
          <w:spacing w:val="-2"/>
          <w:sz w:val="20"/>
          <w:vertAlign w:val="baseline"/>
        </w:rPr>
        <w:t>damage</w:t>
      </w:r>
    </w:p>
    <w:p>
      <w:pPr>
        <w:tabs>
          <w:tab w:pos="2201" w:val="left" w:leader="none"/>
          <w:tab w:pos="3172" w:val="left" w:leader="none"/>
          <w:tab w:pos="4425" w:val="left" w:leader="none"/>
        </w:tabs>
        <w:spacing w:line="305" w:lineRule="exact" w:before="0"/>
        <w:ind w:left="261" w:right="0" w:firstLine="0"/>
        <w:jc w:val="left"/>
        <w:rPr>
          <w:sz w:val="20"/>
        </w:rPr>
      </w:pPr>
      <w:r>
        <w:rPr>
          <w:sz w:val="20"/>
        </w:rPr>
        <mc:AlternateContent>
          <mc:Choice Requires="wps">
            <w:drawing>
              <wp:anchor distT="0" distB="0" distL="0" distR="0" allowOverlap="1" layoutInCell="1" locked="0" behindDoc="1" simplePos="0" relativeHeight="479875072">
                <wp:simplePos x="0" y="0"/>
                <wp:positionH relativeFrom="page">
                  <wp:posOffset>2694292</wp:posOffset>
                </wp:positionH>
                <wp:positionV relativeFrom="paragraph">
                  <wp:posOffset>55788</wp:posOffset>
                </wp:positionV>
                <wp:extent cx="98425" cy="216535"/>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98425" cy="216535"/>
                        </a:xfrm>
                        <a:prstGeom prst="rect">
                          <a:avLst/>
                        </a:prstGeom>
                      </wps:spPr>
                      <wps:txbx>
                        <w:txbxContent>
                          <w:p>
                            <w:pPr>
                              <w:spacing w:line="233" w:lineRule="exact" w:before="0"/>
                              <w:ind w:left="0" w:right="0" w:firstLine="0"/>
                              <w:jc w:val="left"/>
                              <w:rPr>
                                <w:rFonts w:ascii="Meiryo UI" w:hAnsi="Meiryo UI"/>
                                <w:i/>
                                <w:sz w:val="20"/>
                              </w:rPr>
                            </w:pPr>
                            <w:r>
                              <w:rPr>
                                <w:rFonts w:ascii="Meiryo UI" w:hAnsi="Meiryo UI"/>
                                <w:i/>
                                <w:spacing w:val="-17"/>
                                <w:sz w:val="20"/>
                              </w:rPr>
                              <w:t>×</w:t>
                            </w:r>
                          </w:p>
                        </w:txbxContent>
                      </wps:txbx>
                      <wps:bodyPr wrap="square" lIns="0" tIns="0" rIns="0" bIns="0" rtlCol="0">
                        <a:noAutofit/>
                      </wps:bodyPr>
                    </wps:wsp>
                  </a:graphicData>
                </a:graphic>
              </wp:anchor>
            </w:drawing>
          </mc:Choice>
          <mc:Fallback>
            <w:pict>
              <v:shape style="position:absolute;margin-left:212.149002pt;margin-top:4.392820pt;width:7.75pt;height:17.05pt;mso-position-horizontal-relative:page;mso-position-vertical-relative:paragraph;z-index:-23441408" type="#_x0000_t202" id="docshape110" filled="false" stroked="false">
                <v:textbox inset="0,0,0,0">
                  <w:txbxContent>
                    <w:p>
                      <w:pPr>
                        <w:spacing w:line="233" w:lineRule="exact" w:before="0"/>
                        <w:ind w:left="0" w:right="0" w:firstLine="0"/>
                        <w:jc w:val="left"/>
                        <w:rPr>
                          <w:rFonts w:ascii="Meiryo UI" w:hAnsi="Meiryo UI"/>
                          <w:i/>
                          <w:sz w:val="20"/>
                        </w:rPr>
                      </w:pPr>
                      <w:r>
                        <w:rPr>
                          <w:rFonts w:ascii="Meiryo UI" w:hAnsi="Meiryo UI"/>
                          <w:i/>
                          <w:spacing w:val="-17"/>
                          <w:sz w:val="20"/>
                        </w:rPr>
                        <w:t>×</w:t>
                      </w:r>
                    </w:p>
                  </w:txbxContent>
                </v:textbox>
                <w10:wrap type="none"/>
              </v:shape>
            </w:pict>
          </mc:Fallback>
        </mc:AlternateContent>
      </w:r>
      <w:r>
        <w:rPr>
          <w:rFonts w:ascii="Courier New"/>
          <w:spacing w:val="-2"/>
          <w:sz w:val="20"/>
        </w:rPr>
        <w:t>Sm&lt;1.5Wp</w:t>
      </w:r>
      <w:r>
        <w:rPr>
          <w:rFonts w:ascii="Courier New"/>
          <w:sz w:val="20"/>
        </w:rPr>
        <w:tab/>
      </w:r>
      <w:r>
        <w:rPr>
          <w:spacing w:val="-2"/>
          <w:sz w:val="20"/>
        </w:rPr>
        <w:t>Sm</w:t>
      </w:r>
      <w:r>
        <w:rPr>
          <w:spacing w:val="-7"/>
          <w:sz w:val="20"/>
        </w:rPr>
        <w:t> </w:t>
      </w:r>
      <w:r>
        <w:rPr>
          <w:rFonts w:ascii="Meiryo UI"/>
          <w:i/>
          <w:spacing w:val="-2"/>
          <w:sz w:val="20"/>
        </w:rPr>
        <w:t>&lt;</w:t>
      </w:r>
      <w:r>
        <w:rPr>
          <w:rFonts w:ascii="Meiryo UI"/>
          <w:i/>
          <w:spacing w:val="-24"/>
          <w:sz w:val="20"/>
        </w:rPr>
        <w:t> </w:t>
      </w:r>
      <w:r>
        <w:rPr>
          <w:spacing w:val="-5"/>
          <w:sz w:val="20"/>
        </w:rPr>
        <w:t>1</w:t>
      </w:r>
      <w:r>
        <w:rPr>
          <w:rFonts w:ascii="Meiryo UI"/>
          <w:i/>
          <w:spacing w:val="-5"/>
          <w:sz w:val="20"/>
        </w:rPr>
        <w:t>.</w:t>
      </w:r>
      <w:r>
        <w:rPr>
          <w:spacing w:val="-5"/>
          <w:sz w:val="20"/>
        </w:rPr>
        <w:t>5</w:t>
      </w:r>
      <w:r>
        <w:rPr>
          <w:sz w:val="20"/>
        </w:rPr>
        <w:tab/>
        <w:t>wilting</w:t>
      </w:r>
      <w:r>
        <w:rPr>
          <w:spacing w:val="-13"/>
          <w:sz w:val="20"/>
        </w:rPr>
        <w:t> </w:t>
      </w:r>
      <w:r>
        <w:rPr>
          <w:spacing w:val="-2"/>
          <w:sz w:val="20"/>
        </w:rPr>
        <w:t>point</w:t>
      </w:r>
      <w:r>
        <w:rPr>
          <w:sz w:val="20"/>
        </w:rPr>
        <w:tab/>
        <w:t>Severe</w:t>
      </w:r>
      <w:r>
        <w:rPr>
          <w:spacing w:val="-6"/>
          <w:sz w:val="20"/>
        </w:rPr>
        <w:t> </w:t>
      </w:r>
      <w:r>
        <w:rPr>
          <w:sz w:val="20"/>
        </w:rPr>
        <w:t>soil</w:t>
      </w:r>
      <w:r>
        <w:rPr>
          <w:spacing w:val="-4"/>
          <w:sz w:val="20"/>
        </w:rPr>
        <w:t> </w:t>
      </w:r>
      <w:r>
        <w:rPr>
          <w:sz w:val="20"/>
        </w:rPr>
        <w:t>water</w:t>
      </w:r>
      <w:r>
        <w:rPr>
          <w:spacing w:val="-4"/>
          <w:sz w:val="20"/>
        </w:rPr>
        <w:t> </w:t>
      </w:r>
      <w:r>
        <w:rPr>
          <w:sz w:val="20"/>
        </w:rPr>
        <w:t>stress,</w:t>
      </w:r>
      <w:r>
        <w:rPr>
          <w:spacing w:val="-4"/>
          <w:sz w:val="20"/>
        </w:rPr>
        <w:t> </w:t>
      </w:r>
      <w:r>
        <w:rPr>
          <w:sz w:val="20"/>
        </w:rPr>
        <w:t>below</w:t>
      </w:r>
      <w:r>
        <w:rPr>
          <w:spacing w:val="-3"/>
          <w:sz w:val="20"/>
        </w:rPr>
        <w:t> </w:t>
      </w:r>
      <w:r>
        <w:rPr>
          <w:sz w:val="20"/>
        </w:rPr>
        <w:t>vine</w:t>
      </w:r>
      <w:r>
        <w:rPr>
          <w:spacing w:val="-4"/>
          <w:sz w:val="20"/>
        </w:rPr>
        <w:t> </w:t>
      </w:r>
      <w:r>
        <w:rPr>
          <w:sz w:val="20"/>
        </w:rPr>
        <w:t>survival</w:t>
      </w:r>
      <w:r>
        <w:rPr>
          <w:spacing w:val="-3"/>
          <w:sz w:val="20"/>
        </w:rPr>
        <w:t> </w:t>
      </w:r>
      <w:r>
        <w:rPr>
          <w:spacing w:val="-2"/>
          <w:sz w:val="20"/>
        </w:rPr>
        <w:t>thresh-</w:t>
      </w:r>
    </w:p>
    <w:p>
      <w:pPr>
        <w:spacing w:line="214" w:lineRule="exact" w:before="0"/>
        <w:ind w:left="4425" w:right="0" w:firstLine="0"/>
        <w:jc w:val="left"/>
        <w:rPr>
          <w:sz w:val="20"/>
        </w:rPr>
      </w:pPr>
      <w:r>
        <w:rPr>
          <w:spacing w:val="-5"/>
          <w:sz w:val="20"/>
        </w:rPr>
        <w:t>old</w:t>
      </w:r>
    </w:p>
    <w:p>
      <w:pPr>
        <w:tabs>
          <w:tab w:pos="2201" w:val="left" w:leader="none"/>
          <w:tab w:pos="4425" w:val="left" w:leader="none"/>
        </w:tabs>
        <w:spacing w:before="22"/>
        <w:ind w:left="261" w:right="0" w:firstLine="0"/>
        <w:jc w:val="left"/>
        <w:rPr>
          <w:sz w:val="20"/>
        </w:rPr>
      </w:pPr>
      <w:r>
        <w:rPr>
          <w:sz w:val="20"/>
        </w:rPr>
        <mc:AlternateContent>
          <mc:Choice Requires="wps">
            <w:drawing>
              <wp:anchor distT="0" distB="0" distL="0" distR="0" allowOverlap="1" layoutInCell="1" locked="0" behindDoc="1" simplePos="0" relativeHeight="487613952">
                <wp:simplePos x="0" y="0"/>
                <wp:positionH relativeFrom="page">
                  <wp:posOffset>899998</wp:posOffset>
                </wp:positionH>
                <wp:positionV relativeFrom="paragraph">
                  <wp:posOffset>258975</wp:posOffset>
                </wp:positionV>
                <wp:extent cx="5400040" cy="1270"/>
                <wp:effectExtent l="0" t="0" r="0" b="0"/>
                <wp:wrapTopAndBottom/>
                <wp:docPr id="129" name="Graphic 129"/>
                <wp:cNvGraphicFramePr>
                  <a:graphicFrameLocks/>
                </wp:cNvGraphicFramePr>
                <a:graphic>
                  <a:graphicData uri="http://schemas.microsoft.com/office/word/2010/wordprocessingShape">
                    <wps:wsp>
                      <wps:cNvPr id="129" name="Graphic 129"/>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20.391777pt;width:425.2pt;height:.1pt;mso-position-horizontal-relative:page;mso-position-vertical-relative:paragraph;z-index:-15702528;mso-wrap-distance-left:0;mso-wrap-distance-right:0" id="docshape111" coordorigin="1417,408" coordsize="8504,0" path="m1417,408l9921,408e" filled="false" stroked="true" strokeweight=".868pt" strokecolor="#000000">
                <v:path arrowok="t"/>
                <v:stroke dashstyle="solid"/>
                <w10:wrap type="topAndBottom"/>
              </v:shape>
            </w:pict>
          </mc:Fallback>
        </mc:AlternateContent>
      </w:r>
      <w:r>
        <w:rPr>
          <w:rFonts w:ascii="Courier New" w:hAnsi="Courier New"/>
          <w:spacing w:val="-2"/>
          <w:sz w:val="20"/>
        </w:rPr>
        <w:t>Sm&gt;0.9Fc</w:t>
      </w:r>
      <w:r>
        <w:rPr>
          <w:rFonts w:ascii="Courier New" w:hAnsi="Courier New"/>
          <w:sz w:val="20"/>
        </w:rPr>
        <w:tab/>
      </w:r>
      <w:r>
        <w:rPr>
          <w:spacing w:val="-6"/>
          <w:sz w:val="20"/>
        </w:rPr>
        <w:t>Sm </w:t>
      </w:r>
      <w:r>
        <w:rPr>
          <w:rFonts w:ascii="Meiryo UI" w:hAnsi="Meiryo UI"/>
          <w:i/>
          <w:spacing w:val="-6"/>
          <w:sz w:val="20"/>
        </w:rPr>
        <w:t>&gt;</w:t>
      </w:r>
      <w:r>
        <w:rPr>
          <w:rFonts w:ascii="Meiryo UI" w:hAnsi="Meiryo UI"/>
          <w:i/>
          <w:spacing w:val="-29"/>
          <w:sz w:val="20"/>
        </w:rPr>
        <w:t> </w:t>
      </w:r>
      <w:r>
        <w:rPr>
          <w:spacing w:val="-6"/>
          <w:sz w:val="20"/>
        </w:rPr>
        <w:t>0</w:t>
      </w:r>
      <w:r>
        <w:rPr>
          <w:rFonts w:ascii="Meiryo UI" w:hAnsi="Meiryo UI"/>
          <w:i/>
          <w:spacing w:val="-6"/>
          <w:sz w:val="20"/>
        </w:rPr>
        <w:t>.</w:t>
      </w:r>
      <w:r>
        <w:rPr>
          <w:spacing w:val="-6"/>
          <w:sz w:val="20"/>
        </w:rPr>
        <w:t>9</w:t>
      </w:r>
      <w:r>
        <w:rPr>
          <w:rFonts w:ascii="Meiryo UI" w:hAnsi="Meiryo UI"/>
          <w:i/>
          <w:spacing w:val="-6"/>
          <w:sz w:val="20"/>
        </w:rPr>
        <w:t>×</w:t>
      </w:r>
      <w:r>
        <w:rPr>
          <w:rFonts w:ascii="Meiryo UI" w:hAnsi="Meiryo UI"/>
          <w:i/>
          <w:spacing w:val="-24"/>
          <w:sz w:val="20"/>
        </w:rPr>
        <w:t> </w:t>
      </w:r>
      <w:r>
        <w:rPr>
          <w:spacing w:val="-6"/>
          <w:sz w:val="20"/>
        </w:rPr>
        <w:t>field capacity</w:t>
      </w:r>
      <w:r>
        <w:rPr>
          <w:sz w:val="20"/>
        </w:rPr>
        <w:tab/>
      </w:r>
      <w:r>
        <w:rPr>
          <w:spacing w:val="-2"/>
          <w:sz w:val="20"/>
        </w:rPr>
        <w:t>Near-saturation,</w:t>
      </w:r>
      <w:r>
        <w:rPr>
          <w:spacing w:val="7"/>
          <w:sz w:val="20"/>
        </w:rPr>
        <w:t> </w:t>
      </w:r>
      <w:r>
        <w:rPr>
          <w:spacing w:val="-2"/>
          <w:sz w:val="20"/>
        </w:rPr>
        <w:t>promotes</w:t>
      </w:r>
      <w:r>
        <w:rPr>
          <w:spacing w:val="7"/>
          <w:sz w:val="20"/>
        </w:rPr>
        <w:t> </w:t>
      </w:r>
      <w:r>
        <w:rPr>
          <w:spacing w:val="-2"/>
          <w:sz w:val="20"/>
        </w:rPr>
        <w:t>disease,</w:t>
      </w:r>
      <w:r>
        <w:rPr>
          <w:spacing w:val="7"/>
          <w:sz w:val="20"/>
        </w:rPr>
        <w:t> </w:t>
      </w:r>
      <w:r>
        <w:rPr>
          <w:spacing w:val="-2"/>
          <w:sz w:val="20"/>
        </w:rPr>
        <w:t>excessive</w:t>
      </w:r>
      <w:r>
        <w:rPr>
          <w:spacing w:val="7"/>
          <w:sz w:val="20"/>
        </w:rPr>
        <w:t> </w:t>
      </w:r>
      <w:r>
        <w:rPr>
          <w:spacing w:val="-2"/>
          <w:sz w:val="20"/>
        </w:rPr>
        <w:t>vigour</w:t>
      </w:r>
    </w:p>
    <w:p>
      <w:pPr>
        <w:pStyle w:val="BodyText"/>
        <w:spacing w:before="70"/>
      </w:pPr>
    </w:p>
    <w:p>
      <w:pPr>
        <w:pStyle w:val="BodyText"/>
        <w:spacing w:line="312" w:lineRule="auto"/>
        <w:ind w:left="142" w:right="990" w:firstLine="338"/>
      </w:pPr>
      <w:r>
        <w:rPr/>
        <w:t>The resulting Stage 1 output is a clean daily dataset with 17 columns per region (dataPrep_ meteo_rdd.csv, dataPrep_meteo_rvv.csv) spanning the full time horizon.</w:t>
      </w:r>
    </w:p>
    <w:p>
      <w:pPr>
        <w:pStyle w:val="BodyText"/>
        <w:spacing w:before="82"/>
      </w:pPr>
    </w:p>
    <w:p>
      <w:pPr>
        <w:pStyle w:val="Heading3"/>
        <w:numPr>
          <w:ilvl w:val="2"/>
          <w:numId w:val="17"/>
        </w:numPr>
        <w:tabs>
          <w:tab w:pos="979" w:val="left" w:leader="none"/>
        </w:tabs>
        <w:spacing w:line="240" w:lineRule="auto" w:before="1" w:after="0"/>
        <w:ind w:left="979" w:right="0" w:hanging="837"/>
        <w:jc w:val="left"/>
      </w:pPr>
      <w:bookmarkStart w:name="3.10.2 Phenology and Production Data" w:id="107"/>
      <w:bookmarkEnd w:id="107"/>
      <w:r>
        <w:rPr>
          <w:b w:val="0"/>
        </w:rPr>
      </w:r>
      <w:bookmarkStart w:name="_bookmark58" w:id="108"/>
      <w:bookmarkEnd w:id="108"/>
      <w:r>
        <w:rPr>
          <w:b w:val="0"/>
        </w:rPr>
      </w:r>
      <w:r>
        <w:rPr/>
        <w:t>Phenology</w:t>
      </w:r>
      <w:r>
        <w:rPr>
          <w:spacing w:val="-14"/>
        </w:rPr>
        <w:t> </w:t>
      </w:r>
      <w:r>
        <w:rPr/>
        <w:t>and</w:t>
      </w:r>
      <w:r>
        <w:rPr>
          <w:spacing w:val="-11"/>
        </w:rPr>
        <w:t> </w:t>
      </w:r>
      <w:r>
        <w:rPr/>
        <w:t>Production</w:t>
      </w:r>
      <w:r>
        <w:rPr>
          <w:spacing w:val="-11"/>
        </w:rPr>
        <w:t> </w:t>
      </w:r>
      <w:r>
        <w:rPr>
          <w:spacing w:val="-4"/>
        </w:rPr>
        <w:t>Data</w:t>
      </w:r>
    </w:p>
    <w:p>
      <w:pPr>
        <w:pStyle w:val="BodyText"/>
        <w:spacing w:line="312" w:lineRule="auto" w:before="227"/>
        <w:ind w:left="142" w:right="1539" w:hanging="8"/>
        <w:jc w:val="both"/>
      </w:pPr>
      <w:r>
        <w:rPr/>
        <w:t>Annual wine production records and vine phenological dates were sourced from the Pheno_Prd </w:t>
      </w:r>
      <w:r>
        <w:rPr>
          <w:spacing w:val="-2"/>
        </w:rPr>
        <w:t>source</w:t>
      </w:r>
      <w:r>
        <w:rPr>
          <w:spacing w:val="-10"/>
        </w:rPr>
        <w:t> </w:t>
      </w:r>
      <w:r>
        <w:rPr>
          <w:spacing w:val="-2"/>
        </w:rPr>
        <w:t>files</w:t>
      </w:r>
      <w:r>
        <w:rPr>
          <w:spacing w:val="-11"/>
        </w:rPr>
        <w:t> </w:t>
      </w:r>
      <w:r>
        <w:rPr>
          <w:spacing w:val="-2"/>
        </w:rPr>
        <w:t>maintained</w:t>
      </w:r>
      <w:r>
        <w:rPr>
          <w:spacing w:val="-10"/>
        </w:rPr>
        <w:t> </w:t>
      </w:r>
      <w:r>
        <w:rPr>
          <w:spacing w:val="-2"/>
        </w:rPr>
        <w:t>by</w:t>
      </w:r>
      <w:r>
        <w:rPr>
          <w:spacing w:val="-11"/>
        </w:rPr>
        <w:t> </w:t>
      </w:r>
      <w:r>
        <w:rPr>
          <w:spacing w:val="-2"/>
        </w:rPr>
        <w:t>the</w:t>
      </w:r>
      <w:r>
        <w:rPr>
          <w:spacing w:val="-10"/>
        </w:rPr>
        <w:t> </w:t>
      </w:r>
      <w:r>
        <w:rPr>
          <w:spacing w:val="-2"/>
        </w:rPr>
        <w:t>same</w:t>
      </w:r>
      <w:r>
        <w:rPr>
          <w:spacing w:val="-11"/>
        </w:rPr>
        <w:t> </w:t>
      </w:r>
      <w:r>
        <w:rPr>
          <w:spacing w:val="-2"/>
        </w:rPr>
        <w:t>research</w:t>
      </w:r>
      <w:r>
        <w:rPr>
          <w:spacing w:val="-10"/>
        </w:rPr>
        <w:t> </w:t>
      </w:r>
      <w:r>
        <w:rPr>
          <w:spacing w:val="-2"/>
        </w:rPr>
        <w:t>group</w:t>
      </w:r>
      <w:r>
        <w:rPr>
          <w:spacing w:val="-11"/>
        </w:rPr>
        <w:t> </w:t>
      </w:r>
      <w:r>
        <w:rPr>
          <w:spacing w:val="-2"/>
        </w:rPr>
        <w:t>(Pheno_Prd_1933_2022_recente.xlsx</w:t>
      </w:r>
      <w:r>
        <w:rPr>
          <w:spacing w:val="-10"/>
        </w:rPr>
        <w:t> </w:t>
      </w:r>
      <w:r>
        <w:rPr>
          <w:spacing w:val="-2"/>
        </w:rPr>
        <w:t>for</w:t>
      </w:r>
      <w:r>
        <w:rPr>
          <w:spacing w:val="-11"/>
        </w:rPr>
        <w:t> </w:t>
      </w:r>
      <w:r>
        <w:rPr>
          <w:spacing w:val="-2"/>
        </w:rPr>
        <w:t>RDD; </w:t>
      </w:r>
      <w:r>
        <w:rPr/>
        <w:t>equivalent for RVV). Each annual record contains:</w:t>
      </w:r>
    </w:p>
    <w:p>
      <w:pPr>
        <w:spacing w:before="151"/>
        <w:ind w:left="2122" w:right="0" w:firstLine="0"/>
        <w:jc w:val="both"/>
        <w:rPr>
          <w:sz w:val="20"/>
        </w:rPr>
      </w:pPr>
      <w:bookmarkStart w:name="_bookmark59" w:id="109"/>
      <w:bookmarkEnd w:id="109"/>
      <w:r>
        <w:rPr/>
      </w:r>
      <w:r>
        <w:rPr>
          <w:b/>
          <w:sz w:val="20"/>
        </w:rPr>
        <w:t>Table</w:t>
      </w:r>
      <w:r>
        <w:rPr>
          <w:b/>
          <w:spacing w:val="-10"/>
          <w:sz w:val="20"/>
        </w:rPr>
        <w:t> </w:t>
      </w:r>
      <w:r>
        <w:rPr>
          <w:b/>
          <w:sz w:val="20"/>
        </w:rPr>
        <w:t>3.10: </w:t>
      </w:r>
      <w:r>
        <w:rPr>
          <w:sz w:val="20"/>
        </w:rPr>
        <w:t>Annual</w:t>
      </w:r>
      <w:r>
        <w:rPr>
          <w:spacing w:val="-10"/>
          <w:sz w:val="20"/>
        </w:rPr>
        <w:t> </w:t>
      </w:r>
      <w:r>
        <w:rPr>
          <w:sz w:val="20"/>
        </w:rPr>
        <w:t>phenology</w:t>
      </w:r>
      <w:r>
        <w:rPr>
          <w:spacing w:val="-9"/>
          <w:sz w:val="20"/>
        </w:rPr>
        <w:t> </w:t>
      </w:r>
      <w:r>
        <w:rPr>
          <w:sz w:val="20"/>
        </w:rPr>
        <w:t>and</w:t>
      </w:r>
      <w:r>
        <w:rPr>
          <w:spacing w:val="-10"/>
          <w:sz w:val="20"/>
        </w:rPr>
        <w:t> </w:t>
      </w:r>
      <w:r>
        <w:rPr>
          <w:sz w:val="20"/>
        </w:rPr>
        <w:t>production</w:t>
      </w:r>
      <w:r>
        <w:rPr>
          <w:spacing w:val="-9"/>
          <w:sz w:val="20"/>
        </w:rPr>
        <w:t> </w:t>
      </w:r>
      <w:r>
        <w:rPr>
          <w:spacing w:val="-2"/>
          <w:sz w:val="20"/>
        </w:rPr>
        <w:t>variables.</w:t>
      </w:r>
    </w:p>
    <w:p>
      <w:pPr>
        <w:pStyle w:val="BodyText"/>
        <w:spacing w:before="8"/>
        <w:rPr>
          <w:sz w:val="17"/>
        </w:rPr>
      </w:pPr>
      <w:r>
        <w:rPr>
          <w:sz w:val="17"/>
        </w:rPr>
        <mc:AlternateContent>
          <mc:Choice Requires="wps">
            <w:drawing>
              <wp:anchor distT="0" distB="0" distL="0" distR="0" allowOverlap="1" layoutInCell="1" locked="0" behindDoc="1" simplePos="0" relativeHeight="487614464">
                <wp:simplePos x="0" y="0"/>
                <wp:positionH relativeFrom="page">
                  <wp:posOffset>899998</wp:posOffset>
                </wp:positionH>
                <wp:positionV relativeFrom="paragraph">
                  <wp:posOffset>145062</wp:posOffset>
                </wp:positionV>
                <wp:extent cx="5400040" cy="1536065"/>
                <wp:effectExtent l="0" t="0" r="0" b="0"/>
                <wp:wrapTopAndBottom/>
                <wp:docPr id="130" name="Group 130"/>
                <wp:cNvGraphicFramePr>
                  <a:graphicFrameLocks/>
                </wp:cNvGraphicFramePr>
                <a:graphic>
                  <a:graphicData uri="http://schemas.microsoft.com/office/word/2010/wordprocessingGroup">
                    <wpg:wgp>
                      <wpg:cNvPr id="130" name="Group 130"/>
                      <wpg:cNvGrpSpPr/>
                      <wpg:grpSpPr>
                        <a:xfrm>
                          <a:off x="0" y="0"/>
                          <a:ext cx="5400040" cy="1536065"/>
                          <a:chExt cx="5400040" cy="1536065"/>
                        </a:xfrm>
                      </wpg:grpSpPr>
                      <wps:wsp>
                        <wps:cNvPr id="131" name="Graphic 131"/>
                        <wps:cNvSpPr/>
                        <wps:spPr>
                          <a:xfrm>
                            <a:off x="0" y="5511"/>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wps:wsp>
                        <wps:cNvPr id="132" name="Graphic 132"/>
                        <wps:cNvSpPr/>
                        <wps:spPr>
                          <a:xfrm>
                            <a:off x="683488" y="49771"/>
                            <a:ext cx="1270" cy="197485"/>
                          </a:xfrm>
                          <a:custGeom>
                            <a:avLst/>
                            <a:gdLst/>
                            <a:ahLst/>
                            <a:cxnLst/>
                            <a:rect l="l" t="t" r="r" b="b"/>
                            <a:pathLst>
                              <a:path w="0" h="197485">
                                <a:moveTo>
                                  <a:pt x="0" y="19738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3" name="Graphic 133"/>
                        <wps:cNvSpPr/>
                        <wps:spPr>
                          <a:xfrm>
                            <a:off x="0" y="274459"/>
                            <a:ext cx="5400040" cy="1270"/>
                          </a:xfrm>
                          <a:custGeom>
                            <a:avLst/>
                            <a:gdLst/>
                            <a:ahLst/>
                            <a:cxnLst/>
                            <a:rect l="l" t="t" r="r" b="b"/>
                            <a:pathLst>
                              <a:path w="5400040" h="0">
                                <a:moveTo>
                                  <a:pt x="0" y="0"/>
                                </a:moveTo>
                                <a:lnTo>
                                  <a:pt x="5400001" y="0"/>
                                </a:lnTo>
                              </a:path>
                            </a:pathLst>
                          </a:custGeom>
                          <a:ln w="6883">
                            <a:solidFill>
                              <a:srgbClr val="000000"/>
                            </a:solidFill>
                            <a:prstDash val="solid"/>
                          </a:ln>
                        </wps:spPr>
                        <wps:bodyPr wrap="square" lIns="0" tIns="0" rIns="0" bIns="0" rtlCol="0">
                          <a:prstTxWarp prst="textNoShape">
                            <a:avLst/>
                          </a:prstTxWarp>
                          <a:noAutofit/>
                        </wps:bodyPr>
                      </wps:wsp>
                      <wps:wsp>
                        <wps:cNvPr id="134" name="Graphic 134"/>
                        <wps:cNvSpPr/>
                        <wps:spPr>
                          <a:xfrm>
                            <a:off x="683488" y="316661"/>
                            <a:ext cx="1270" cy="197485"/>
                          </a:xfrm>
                          <a:custGeom>
                            <a:avLst/>
                            <a:gdLst/>
                            <a:ahLst/>
                            <a:cxnLst/>
                            <a:rect l="l" t="t" r="r" b="b"/>
                            <a:pathLst>
                              <a:path w="0" h="197485">
                                <a:moveTo>
                                  <a:pt x="0" y="19738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5" name="Graphic 135"/>
                        <wps:cNvSpPr/>
                        <wps:spPr>
                          <a:xfrm>
                            <a:off x="683488" y="514045"/>
                            <a:ext cx="1270" cy="197485"/>
                          </a:xfrm>
                          <a:custGeom>
                            <a:avLst/>
                            <a:gdLst/>
                            <a:ahLst/>
                            <a:cxnLst/>
                            <a:rect l="l" t="t" r="r" b="b"/>
                            <a:pathLst>
                              <a:path w="0" h="197485">
                                <a:moveTo>
                                  <a:pt x="0" y="19738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6" name="Graphic 136"/>
                        <wps:cNvSpPr/>
                        <wps:spPr>
                          <a:xfrm>
                            <a:off x="683488" y="711428"/>
                            <a:ext cx="1270" cy="197485"/>
                          </a:xfrm>
                          <a:custGeom>
                            <a:avLst/>
                            <a:gdLst/>
                            <a:ahLst/>
                            <a:cxnLst/>
                            <a:rect l="l" t="t" r="r" b="b"/>
                            <a:pathLst>
                              <a:path w="0" h="197485">
                                <a:moveTo>
                                  <a:pt x="0" y="19738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7" name="Graphic 137"/>
                        <wps:cNvSpPr/>
                        <wps:spPr>
                          <a:xfrm>
                            <a:off x="683488" y="908799"/>
                            <a:ext cx="1270" cy="197485"/>
                          </a:xfrm>
                          <a:custGeom>
                            <a:avLst/>
                            <a:gdLst/>
                            <a:ahLst/>
                            <a:cxnLst/>
                            <a:rect l="l" t="t" r="r" b="b"/>
                            <a:pathLst>
                              <a:path w="0" h="197485">
                                <a:moveTo>
                                  <a:pt x="0" y="19738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8" name="Graphic 138"/>
                        <wps:cNvSpPr/>
                        <wps:spPr>
                          <a:xfrm>
                            <a:off x="683488" y="1106182"/>
                            <a:ext cx="1270" cy="197485"/>
                          </a:xfrm>
                          <a:custGeom>
                            <a:avLst/>
                            <a:gdLst/>
                            <a:ahLst/>
                            <a:cxnLst/>
                            <a:rect l="l" t="t" r="r" b="b"/>
                            <a:pathLst>
                              <a:path w="0" h="197485">
                                <a:moveTo>
                                  <a:pt x="0" y="19738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9" name="Graphic 139"/>
                        <wps:cNvSpPr/>
                        <wps:spPr>
                          <a:xfrm>
                            <a:off x="683488" y="1303566"/>
                            <a:ext cx="1270" cy="197485"/>
                          </a:xfrm>
                          <a:custGeom>
                            <a:avLst/>
                            <a:gdLst/>
                            <a:ahLst/>
                            <a:cxnLst/>
                            <a:rect l="l" t="t" r="r" b="b"/>
                            <a:pathLst>
                              <a:path w="0" h="197485">
                                <a:moveTo>
                                  <a:pt x="0" y="19738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0" name="Graphic 140"/>
                        <wps:cNvSpPr/>
                        <wps:spPr>
                          <a:xfrm>
                            <a:off x="0" y="1530311"/>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wps:wsp>
                        <wps:cNvPr id="141" name="Textbox 141"/>
                        <wps:cNvSpPr txBox="1"/>
                        <wps:spPr>
                          <a:xfrm>
                            <a:off x="0" y="0"/>
                            <a:ext cx="5400040" cy="1536065"/>
                          </a:xfrm>
                          <a:prstGeom prst="rect">
                            <a:avLst/>
                          </a:prstGeom>
                        </wps:spPr>
                        <wps:txbx>
                          <w:txbxContent>
                            <w:p>
                              <w:pPr>
                                <w:tabs>
                                  <w:tab w:pos="1199" w:val="left" w:leader="none"/>
                                </w:tabs>
                                <w:spacing w:before="109"/>
                                <w:ind w:left="119" w:right="0" w:firstLine="0"/>
                                <w:jc w:val="left"/>
                                <w:rPr>
                                  <w:sz w:val="20"/>
                                </w:rPr>
                              </w:pPr>
                              <w:r>
                                <w:rPr>
                                  <w:spacing w:val="-2"/>
                                  <w:sz w:val="20"/>
                                </w:rPr>
                                <w:t>Variable</w:t>
                              </w:r>
                              <w:r>
                                <w:rPr>
                                  <w:sz w:val="20"/>
                                </w:rPr>
                                <w:tab/>
                              </w:r>
                              <w:r>
                                <w:rPr>
                                  <w:spacing w:val="-2"/>
                                  <w:sz w:val="20"/>
                                </w:rPr>
                                <w:t>Description</w:t>
                              </w:r>
                            </w:p>
                            <w:p>
                              <w:pPr>
                                <w:tabs>
                                  <w:tab w:pos="1199" w:val="left" w:leader="none"/>
                                </w:tabs>
                                <w:spacing w:line="324" w:lineRule="auto" w:before="190"/>
                                <w:ind w:left="119" w:right="2590" w:firstLine="0"/>
                                <w:jc w:val="left"/>
                                <w:rPr>
                                  <w:sz w:val="20"/>
                                </w:rPr>
                              </w:pPr>
                              <w:r>
                                <w:rPr>
                                  <w:spacing w:val="-2"/>
                                  <w:sz w:val="20"/>
                                </w:rPr>
                                <w:t>Wine_mhl</w:t>
                              </w:r>
                              <w:r>
                                <w:rPr>
                                  <w:sz w:val="20"/>
                                </w:rPr>
                                <w:tab/>
                                <w:t>Annual</w:t>
                              </w:r>
                              <w:r>
                                <w:rPr>
                                  <w:spacing w:val="-10"/>
                                  <w:sz w:val="20"/>
                                </w:rPr>
                                <w:t> </w:t>
                              </w:r>
                              <w:r>
                                <w:rPr>
                                  <w:sz w:val="20"/>
                                </w:rPr>
                                <w:t>regional</w:t>
                              </w:r>
                              <w:r>
                                <w:rPr>
                                  <w:spacing w:val="-10"/>
                                  <w:sz w:val="20"/>
                                </w:rPr>
                                <w:t> </w:t>
                              </w:r>
                              <w:r>
                                <w:rPr>
                                  <w:sz w:val="20"/>
                                </w:rPr>
                                <w:t>wine</w:t>
                              </w:r>
                              <w:r>
                                <w:rPr>
                                  <w:spacing w:val="-10"/>
                                  <w:sz w:val="20"/>
                                </w:rPr>
                                <w:t> </w:t>
                              </w:r>
                              <w:r>
                                <w:rPr>
                                  <w:sz w:val="20"/>
                                </w:rPr>
                                <w:t>production</w:t>
                              </w:r>
                              <w:r>
                                <w:rPr>
                                  <w:spacing w:val="-10"/>
                                  <w:sz w:val="20"/>
                                </w:rPr>
                                <w:t> </w:t>
                              </w:r>
                              <w:r>
                                <w:rPr>
                                  <w:sz w:val="20"/>
                                </w:rPr>
                                <w:t>(thousands</w:t>
                              </w:r>
                              <w:r>
                                <w:rPr>
                                  <w:spacing w:val="-10"/>
                                  <w:sz w:val="20"/>
                                </w:rPr>
                                <w:t> </w:t>
                              </w:r>
                              <w:r>
                                <w:rPr>
                                  <w:sz w:val="20"/>
                                </w:rPr>
                                <w:t>of</w:t>
                              </w:r>
                              <w:r>
                                <w:rPr>
                                  <w:spacing w:val="-10"/>
                                  <w:sz w:val="20"/>
                                </w:rPr>
                                <w:t> </w:t>
                              </w:r>
                              <w:r>
                                <w:rPr>
                                  <w:sz w:val="20"/>
                                </w:rPr>
                                <w:t>hectolitres) </w:t>
                              </w:r>
                              <w:r>
                                <w:rPr>
                                  <w:spacing w:val="-2"/>
                                  <w:sz w:val="20"/>
                                </w:rPr>
                                <w:t>DOY_BB</w:t>
                              </w:r>
                              <w:r>
                                <w:rPr>
                                  <w:sz w:val="20"/>
                                </w:rPr>
                                <w:tab/>
                                <w:t>Day of Year of Bud Break, start of vegetative growth </w:t>
                              </w:r>
                              <w:r>
                                <w:rPr>
                                  <w:spacing w:val="-2"/>
                                  <w:sz w:val="20"/>
                                </w:rPr>
                                <w:t>DOY_Fl</w:t>
                              </w:r>
                              <w:r>
                                <w:rPr>
                                  <w:sz w:val="20"/>
                                </w:rPr>
                                <w:tab/>
                                <w:t>Day of Year of Flowering, critical fruit-set window</w:t>
                              </w:r>
                            </w:p>
                            <w:p>
                              <w:pPr>
                                <w:tabs>
                                  <w:tab w:pos="1199" w:val="left" w:leader="none"/>
                                </w:tabs>
                                <w:spacing w:line="324" w:lineRule="auto" w:before="1"/>
                                <w:ind w:left="119" w:right="2076" w:firstLine="0"/>
                                <w:jc w:val="left"/>
                                <w:rPr>
                                  <w:sz w:val="20"/>
                                </w:rPr>
                              </w:pPr>
                              <w:r>
                                <w:rPr>
                                  <w:spacing w:val="-2"/>
                                  <w:sz w:val="20"/>
                                </w:rPr>
                                <w:t>DOY_sM</w:t>
                              </w:r>
                              <w:r>
                                <w:rPr>
                                  <w:sz w:val="20"/>
                                </w:rPr>
                                <w:tab/>
                                <w:t>Day</w:t>
                              </w:r>
                              <w:r>
                                <w:rPr>
                                  <w:spacing w:val="-9"/>
                                  <w:sz w:val="20"/>
                                </w:rPr>
                                <w:t> </w:t>
                              </w:r>
                              <w:r>
                                <w:rPr>
                                  <w:sz w:val="20"/>
                                </w:rPr>
                                <w:t>of</w:t>
                              </w:r>
                              <w:r>
                                <w:rPr>
                                  <w:spacing w:val="-9"/>
                                  <w:sz w:val="20"/>
                                </w:rPr>
                                <w:t> </w:t>
                              </w:r>
                              <w:r>
                                <w:rPr>
                                  <w:sz w:val="20"/>
                                </w:rPr>
                                <w:t>Year</w:t>
                              </w:r>
                              <w:r>
                                <w:rPr>
                                  <w:spacing w:val="-9"/>
                                  <w:sz w:val="20"/>
                                </w:rPr>
                                <w:t> </w:t>
                              </w:r>
                              <w:r>
                                <w:rPr>
                                  <w:sz w:val="20"/>
                                </w:rPr>
                                <w:t>of</w:t>
                              </w:r>
                              <w:r>
                                <w:rPr>
                                  <w:spacing w:val="-9"/>
                                  <w:sz w:val="20"/>
                                </w:rPr>
                                <w:t> </w:t>
                              </w:r>
                              <w:r>
                                <w:rPr>
                                  <w:sz w:val="20"/>
                                </w:rPr>
                                <w:t>Start</w:t>
                              </w:r>
                              <w:r>
                                <w:rPr>
                                  <w:spacing w:val="-9"/>
                                  <w:sz w:val="20"/>
                                </w:rPr>
                                <w:t> </w:t>
                              </w:r>
                              <w:r>
                                <w:rPr>
                                  <w:sz w:val="20"/>
                                </w:rPr>
                                <w:t>of</w:t>
                              </w:r>
                              <w:r>
                                <w:rPr>
                                  <w:spacing w:val="-9"/>
                                  <w:sz w:val="20"/>
                                </w:rPr>
                                <w:t> </w:t>
                              </w:r>
                              <w:r>
                                <w:rPr>
                                  <w:sz w:val="20"/>
                                </w:rPr>
                                <w:t>Maturity</w:t>
                              </w:r>
                              <w:r>
                                <w:rPr>
                                  <w:spacing w:val="-9"/>
                                  <w:sz w:val="20"/>
                                </w:rPr>
                                <w:t> </w:t>
                              </w:r>
                              <w:r>
                                <w:rPr>
                                  <w:sz w:val="20"/>
                                </w:rPr>
                                <w:t>(veraison),</w:t>
                              </w:r>
                              <w:r>
                                <w:rPr>
                                  <w:spacing w:val="-9"/>
                                  <w:sz w:val="20"/>
                                </w:rPr>
                                <w:t> </w:t>
                              </w:r>
                              <w:r>
                                <w:rPr>
                                  <w:sz w:val="20"/>
                                </w:rPr>
                                <w:t>berry</w:t>
                              </w:r>
                              <w:r>
                                <w:rPr>
                                  <w:spacing w:val="-9"/>
                                  <w:sz w:val="20"/>
                                </w:rPr>
                                <w:t> </w:t>
                              </w:r>
                              <w:r>
                                <w:rPr>
                                  <w:sz w:val="20"/>
                                </w:rPr>
                                <w:t>ripening</w:t>
                              </w:r>
                              <w:r>
                                <w:rPr>
                                  <w:spacing w:val="-9"/>
                                  <w:sz w:val="20"/>
                                </w:rPr>
                                <w:t> </w:t>
                              </w:r>
                              <w:r>
                                <w:rPr>
                                  <w:sz w:val="20"/>
                                </w:rPr>
                                <w:t>begins </w:t>
                              </w:r>
                              <w:r>
                                <w:rPr>
                                  <w:spacing w:val="-2"/>
                                  <w:sz w:val="20"/>
                                </w:rPr>
                                <w:t>DOY_Fs</w:t>
                              </w:r>
                              <w:r>
                                <w:rPr>
                                  <w:sz w:val="20"/>
                                </w:rPr>
                                <w:tab/>
                                <w:t>Day of Year of Fruit Set, end of berry cell division</w:t>
                              </w:r>
                            </w:p>
                            <w:p>
                              <w:pPr>
                                <w:tabs>
                                  <w:tab w:pos="1199" w:val="left" w:leader="none"/>
                                </w:tabs>
                                <w:spacing w:before="1"/>
                                <w:ind w:left="119" w:right="0" w:firstLine="0"/>
                                <w:jc w:val="left"/>
                                <w:rPr>
                                  <w:sz w:val="20"/>
                                </w:rPr>
                              </w:pPr>
                              <w:r>
                                <w:rPr>
                                  <w:spacing w:val="-2"/>
                                  <w:sz w:val="20"/>
                                </w:rPr>
                                <w:t>DOY_Hv</w:t>
                              </w:r>
                              <w:r>
                                <w:rPr>
                                  <w:sz w:val="20"/>
                                </w:rPr>
                                <w:tab/>
                                <w:t>Day</w:t>
                              </w:r>
                              <w:r>
                                <w:rPr>
                                  <w:spacing w:val="-9"/>
                                  <w:sz w:val="20"/>
                                </w:rPr>
                                <w:t> </w:t>
                              </w:r>
                              <w:r>
                                <w:rPr>
                                  <w:sz w:val="20"/>
                                </w:rPr>
                                <w:t>of</w:t>
                              </w:r>
                              <w:r>
                                <w:rPr>
                                  <w:spacing w:val="-8"/>
                                  <w:sz w:val="20"/>
                                </w:rPr>
                                <w:t> </w:t>
                              </w:r>
                              <w:r>
                                <w:rPr>
                                  <w:sz w:val="20"/>
                                </w:rPr>
                                <w:t>Year</w:t>
                              </w:r>
                              <w:r>
                                <w:rPr>
                                  <w:spacing w:val="-8"/>
                                  <w:sz w:val="20"/>
                                </w:rPr>
                                <w:t> </w:t>
                              </w:r>
                              <w:r>
                                <w:rPr>
                                  <w:sz w:val="20"/>
                                </w:rPr>
                                <w:t>of</w:t>
                              </w:r>
                              <w:r>
                                <w:rPr>
                                  <w:spacing w:val="-8"/>
                                  <w:sz w:val="20"/>
                                </w:rPr>
                                <w:t> </w:t>
                              </w:r>
                              <w:r>
                                <w:rPr>
                                  <w:sz w:val="20"/>
                                </w:rPr>
                                <w:t>Harvest,</w:t>
                              </w:r>
                              <w:r>
                                <w:rPr>
                                  <w:spacing w:val="-8"/>
                                  <w:sz w:val="20"/>
                                </w:rPr>
                                <w:t> </w:t>
                              </w:r>
                              <w:r>
                                <w:rPr>
                                  <w:sz w:val="20"/>
                                </w:rPr>
                                <w:t>end</w:t>
                              </w:r>
                              <w:r>
                                <w:rPr>
                                  <w:spacing w:val="-8"/>
                                  <w:sz w:val="20"/>
                                </w:rPr>
                                <w:t> </w:t>
                              </w:r>
                              <w:r>
                                <w:rPr>
                                  <w:sz w:val="20"/>
                                </w:rPr>
                                <w:t>of</w:t>
                              </w:r>
                              <w:r>
                                <w:rPr>
                                  <w:spacing w:val="-8"/>
                                  <w:sz w:val="20"/>
                                </w:rPr>
                                <w:t> </w:t>
                              </w:r>
                              <w:r>
                                <w:rPr>
                                  <w:sz w:val="20"/>
                                </w:rPr>
                                <w:t>growing</w:t>
                              </w:r>
                              <w:r>
                                <w:rPr>
                                  <w:spacing w:val="-8"/>
                                  <w:sz w:val="20"/>
                                </w:rPr>
                                <w:t> </w:t>
                              </w:r>
                              <w:r>
                                <w:rPr>
                                  <w:spacing w:val="-2"/>
                                  <w:sz w:val="20"/>
                                </w:rPr>
                                <w:t>season</w:t>
                              </w:r>
                            </w:p>
                          </w:txbxContent>
                        </wps:txbx>
                        <wps:bodyPr wrap="square" lIns="0" tIns="0" rIns="0" bIns="0" rtlCol="0">
                          <a:noAutofit/>
                        </wps:bodyPr>
                      </wps:wsp>
                    </wpg:wgp>
                  </a:graphicData>
                </a:graphic>
              </wp:anchor>
            </w:drawing>
          </mc:Choice>
          <mc:Fallback>
            <w:pict>
              <v:group style="position:absolute;margin-left:70.865997pt;margin-top:11.422279pt;width:425.2pt;height:120.95pt;mso-position-horizontal-relative:page;mso-position-vertical-relative:paragraph;z-index:-15702016;mso-wrap-distance-left:0;mso-wrap-distance-right:0" id="docshapegroup112" coordorigin="1417,228" coordsize="8504,2419">
                <v:line style="position:absolute" from="1417,237" to="9921,237" stroked="true" strokeweight=".868pt" strokecolor="#000000">
                  <v:stroke dashstyle="solid"/>
                </v:line>
                <v:line style="position:absolute" from="2494,618" to="2494,307" stroked="true" strokeweight=".398pt" strokecolor="#000000">
                  <v:stroke dashstyle="solid"/>
                </v:line>
                <v:line style="position:absolute" from="1417,661" to="9921,661" stroked="true" strokeweight=".542pt" strokecolor="#000000">
                  <v:stroke dashstyle="solid"/>
                </v:line>
                <v:line style="position:absolute" from="2494,1038" to="2494,727" stroked="true" strokeweight=".398pt" strokecolor="#000000">
                  <v:stroke dashstyle="solid"/>
                </v:line>
                <v:line style="position:absolute" from="2494,1349" to="2494,1038" stroked="true" strokeweight=".398pt" strokecolor="#000000">
                  <v:stroke dashstyle="solid"/>
                </v:line>
                <v:line style="position:absolute" from="2494,1660" to="2494,1349" stroked="true" strokeweight=".398pt" strokecolor="#000000">
                  <v:stroke dashstyle="solid"/>
                </v:line>
                <v:line style="position:absolute" from="2494,1970" to="2494,1660" stroked="true" strokeweight=".398pt" strokecolor="#000000">
                  <v:stroke dashstyle="solid"/>
                </v:line>
                <v:line style="position:absolute" from="2494,2281" to="2494,1970" stroked="true" strokeweight=".398pt" strokecolor="#000000">
                  <v:stroke dashstyle="solid"/>
                </v:line>
                <v:line style="position:absolute" from="2494,2592" to="2494,2281" stroked="true" strokeweight=".398pt" strokecolor="#000000">
                  <v:stroke dashstyle="solid"/>
                </v:line>
                <v:line style="position:absolute" from="1417,2638" to="9921,2638" stroked="true" strokeweight=".868pt" strokecolor="#000000">
                  <v:stroke dashstyle="solid"/>
                </v:line>
                <v:shape style="position:absolute;left:1417;top:228;width:8504;height:2419" type="#_x0000_t202" id="docshape113" filled="false" stroked="false">
                  <v:textbox inset="0,0,0,0">
                    <w:txbxContent>
                      <w:p>
                        <w:pPr>
                          <w:tabs>
                            <w:tab w:pos="1199" w:val="left" w:leader="none"/>
                          </w:tabs>
                          <w:spacing w:before="109"/>
                          <w:ind w:left="119" w:right="0" w:firstLine="0"/>
                          <w:jc w:val="left"/>
                          <w:rPr>
                            <w:sz w:val="20"/>
                          </w:rPr>
                        </w:pPr>
                        <w:r>
                          <w:rPr>
                            <w:spacing w:val="-2"/>
                            <w:sz w:val="20"/>
                          </w:rPr>
                          <w:t>Variable</w:t>
                        </w:r>
                        <w:r>
                          <w:rPr>
                            <w:sz w:val="20"/>
                          </w:rPr>
                          <w:tab/>
                        </w:r>
                        <w:r>
                          <w:rPr>
                            <w:spacing w:val="-2"/>
                            <w:sz w:val="20"/>
                          </w:rPr>
                          <w:t>Description</w:t>
                        </w:r>
                      </w:p>
                      <w:p>
                        <w:pPr>
                          <w:tabs>
                            <w:tab w:pos="1199" w:val="left" w:leader="none"/>
                          </w:tabs>
                          <w:spacing w:line="324" w:lineRule="auto" w:before="190"/>
                          <w:ind w:left="119" w:right="2590" w:firstLine="0"/>
                          <w:jc w:val="left"/>
                          <w:rPr>
                            <w:sz w:val="20"/>
                          </w:rPr>
                        </w:pPr>
                        <w:r>
                          <w:rPr>
                            <w:spacing w:val="-2"/>
                            <w:sz w:val="20"/>
                          </w:rPr>
                          <w:t>Wine_mhl</w:t>
                        </w:r>
                        <w:r>
                          <w:rPr>
                            <w:sz w:val="20"/>
                          </w:rPr>
                          <w:tab/>
                          <w:t>Annual</w:t>
                        </w:r>
                        <w:r>
                          <w:rPr>
                            <w:spacing w:val="-10"/>
                            <w:sz w:val="20"/>
                          </w:rPr>
                          <w:t> </w:t>
                        </w:r>
                        <w:r>
                          <w:rPr>
                            <w:sz w:val="20"/>
                          </w:rPr>
                          <w:t>regional</w:t>
                        </w:r>
                        <w:r>
                          <w:rPr>
                            <w:spacing w:val="-10"/>
                            <w:sz w:val="20"/>
                          </w:rPr>
                          <w:t> </w:t>
                        </w:r>
                        <w:r>
                          <w:rPr>
                            <w:sz w:val="20"/>
                          </w:rPr>
                          <w:t>wine</w:t>
                        </w:r>
                        <w:r>
                          <w:rPr>
                            <w:spacing w:val="-10"/>
                            <w:sz w:val="20"/>
                          </w:rPr>
                          <w:t> </w:t>
                        </w:r>
                        <w:r>
                          <w:rPr>
                            <w:sz w:val="20"/>
                          </w:rPr>
                          <w:t>production</w:t>
                        </w:r>
                        <w:r>
                          <w:rPr>
                            <w:spacing w:val="-10"/>
                            <w:sz w:val="20"/>
                          </w:rPr>
                          <w:t> </w:t>
                        </w:r>
                        <w:r>
                          <w:rPr>
                            <w:sz w:val="20"/>
                          </w:rPr>
                          <w:t>(thousands</w:t>
                        </w:r>
                        <w:r>
                          <w:rPr>
                            <w:spacing w:val="-10"/>
                            <w:sz w:val="20"/>
                          </w:rPr>
                          <w:t> </w:t>
                        </w:r>
                        <w:r>
                          <w:rPr>
                            <w:sz w:val="20"/>
                          </w:rPr>
                          <w:t>of</w:t>
                        </w:r>
                        <w:r>
                          <w:rPr>
                            <w:spacing w:val="-10"/>
                            <w:sz w:val="20"/>
                          </w:rPr>
                          <w:t> </w:t>
                        </w:r>
                        <w:r>
                          <w:rPr>
                            <w:sz w:val="20"/>
                          </w:rPr>
                          <w:t>hectolitres) </w:t>
                        </w:r>
                        <w:r>
                          <w:rPr>
                            <w:spacing w:val="-2"/>
                            <w:sz w:val="20"/>
                          </w:rPr>
                          <w:t>DOY_BB</w:t>
                        </w:r>
                        <w:r>
                          <w:rPr>
                            <w:sz w:val="20"/>
                          </w:rPr>
                          <w:tab/>
                          <w:t>Day of Year of Bud Break, start of vegetative growth </w:t>
                        </w:r>
                        <w:r>
                          <w:rPr>
                            <w:spacing w:val="-2"/>
                            <w:sz w:val="20"/>
                          </w:rPr>
                          <w:t>DOY_Fl</w:t>
                        </w:r>
                        <w:r>
                          <w:rPr>
                            <w:sz w:val="20"/>
                          </w:rPr>
                          <w:tab/>
                          <w:t>Day of Year of Flowering, critical fruit-set window</w:t>
                        </w:r>
                      </w:p>
                      <w:p>
                        <w:pPr>
                          <w:tabs>
                            <w:tab w:pos="1199" w:val="left" w:leader="none"/>
                          </w:tabs>
                          <w:spacing w:line="324" w:lineRule="auto" w:before="1"/>
                          <w:ind w:left="119" w:right="2076" w:firstLine="0"/>
                          <w:jc w:val="left"/>
                          <w:rPr>
                            <w:sz w:val="20"/>
                          </w:rPr>
                        </w:pPr>
                        <w:r>
                          <w:rPr>
                            <w:spacing w:val="-2"/>
                            <w:sz w:val="20"/>
                          </w:rPr>
                          <w:t>DOY_sM</w:t>
                        </w:r>
                        <w:r>
                          <w:rPr>
                            <w:sz w:val="20"/>
                          </w:rPr>
                          <w:tab/>
                          <w:t>Day</w:t>
                        </w:r>
                        <w:r>
                          <w:rPr>
                            <w:spacing w:val="-9"/>
                            <w:sz w:val="20"/>
                          </w:rPr>
                          <w:t> </w:t>
                        </w:r>
                        <w:r>
                          <w:rPr>
                            <w:sz w:val="20"/>
                          </w:rPr>
                          <w:t>of</w:t>
                        </w:r>
                        <w:r>
                          <w:rPr>
                            <w:spacing w:val="-9"/>
                            <w:sz w:val="20"/>
                          </w:rPr>
                          <w:t> </w:t>
                        </w:r>
                        <w:r>
                          <w:rPr>
                            <w:sz w:val="20"/>
                          </w:rPr>
                          <w:t>Year</w:t>
                        </w:r>
                        <w:r>
                          <w:rPr>
                            <w:spacing w:val="-9"/>
                            <w:sz w:val="20"/>
                          </w:rPr>
                          <w:t> </w:t>
                        </w:r>
                        <w:r>
                          <w:rPr>
                            <w:sz w:val="20"/>
                          </w:rPr>
                          <w:t>of</w:t>
                        </w:r>
                        <w:r>
                          <w:rPr>
                            <w:spacing w:val="-9"/>
                            <w:sz w:val="20"/>
                          </w:rPr>
                          <w:t> </w:t>
                        </w:r>
                        <w:r>
                          <w:rPr>
                            <w:sz w:val="20"/>
                          </w:rPr>
                          <w:t>Start</w:t>
                        </w:r>
                        <w:r>
                          <w:rPr>
                            <w:spacing w:val="-9"/>
                            <w:sz w:val="20"/>
                          </w:rPr>
                          <w:t> </w:t>
                        </w:r>
                        <w:r>
                          <w:rPr>
                            <w:sz w:val="20"/>
                          </w:rPr>
                          <w:t>of</w:t>
                        </w:r>
                        <w:r>
                          <w:rPr>
                            <w:spacing w:val="-9"/>
                            <w:sz w:val="20"/>
                          </w:rPr>
                          <w:t> </w:t>
                        </w:r>
                        <w:r>
                          <w:rPr>
                            <w:sz w:val="20"/>
                          </w:rPr>
                          <w:t>Maturity</w:t>
                        </w:r>
                        <w:r>
                          <w:rPr>
                            <w:spacing w:val="-9"/>
                            <w:sz w:val="20"/>
                          </w:rPr>
                          <w:t> </w:t>
                        </w:r>
                        <w:r>
                          <w:rPr>
                            <w:sz w:val="20"/>
                          </w:rPr>
                          <w:t>(veraison),</w:t>
                        </w:r>
                        <w:r>
                          <w:rPr>
                            <w:spacing w:val="-9"/>
                            <w:sz w:val="20"/>
                          </w:rPr>
                          <w:t> </w:t>
                        </w:r>
                        <w:r>
                          <w:rPr>
                            <w:sz w:val="20"/>
                          </w:rPr>
                          <w:t>berry</w:t>
                        </w:r>
                        <w:r>
                          <w:rPr>
                            <w:spacing w:val="-9"/>
                            <w:sz w:val="20"/>
                          </w:rPr>
                          <w:t> </w:t>
                        </w:r>
                        <w:r>
                          <w:rPr>
                            <w:sz w:val="20"/>
                          </w:rPr>
                          <w:t>ripening</w:t>
                        </w:r>
                        <w:r>
                          <w:rPr>
                            <w:spacing w:val="-9"/>
                            <w:sz w:val="20"/>
                          </w:rPr>
                          <w:t> </w:t>
                        </w:r>
                        <w:r>
                          <w:rPr>
                            <w:sz w:val="20"/>
                          </w:rPr>
                          <w:t>begins </w:t>
                        </w:r>
                        <w:r>
                          <w:rPr>
                            <w:spacing w:val="-2"/>
                            <w:sz w:val="20"/>
                          </w:rPr>
                          <w:t>DOY_Fs</w:t>
                        </w:r>
                        <w:r>
                          <w:rPr>
                            <w:sz w:val="20"/>
                          </w:rPr>
                          <w:tab/>
                          <w:t>Day of Year of Fruit Set, end of berry cell division</w:t>
                        </w:r>
                      </w:p>
                      <w:p>
                        <w:pPr>
                          <w:tabs>
                            <w:tab w:pos="1199" w:val="left" w:leader="none"/>
                          </w:tabs>
                          <w:spacing w:before="1"/>
                          <w:ind w:left="119" w:right="0" w:firstLine="0"/>
                          <w:jc w:val="left"/>
                          <w:rPr>
                            <w:sz w:val="20"/>
                          </w:rPr>
                        </w:pPr>
                        <w:r>
                          <w:rPr>
                            <w:spacing w:val="-2"/>
                            <w:sz w:val="20"/>
                          </w:rPr>
                          <w:t>DOY_Hv</w:t>
                        </w:r>
                        <w:r>
                          <w:rPr>
                            <w:sz w:val="20"/>
                          </w:rPr>
                          <w:tab/>
                          <w:t>Day</w:t>
                        </w:r>
                        <w:r>
                          <w:rPr>
                            <w:spacing w:val="-9"/>
                            <w:sz w:val="20"/>
                          </w:rPr>
                          <w:t> </w:t>
                        </w:r>
                        <w:r>
                          <w:rPr>
                            <w:sz w:val="20"/>
                          </w:rPr>
                          <w:t>of</w:t>
                        </w:r>
                        <w:r>
                          <w:rPr>
                            <w:spacing w:val="-8"/>
                            <w:sz w:val="20"/>
                          </w:rPr>
                          <w:t> </w:t>
                        </w:r>
                        <w:r>
                          <w:rPr>
                            <w:sz w:val="20"/>
                          </w:rPr>
                          <w:t>Year</w:t>
                        </w:r>
                        <w:r>
                          <w:rPr>
                            <w:spacing w:val="-8"/>
                            <w:sz w:val="20"/>
                          </w:rPr>
                          <w:t> </w:t>
                        </w:r>
                        <w:r>
                          <w:rPr>
                            <w:sz w:val="20"/>
                          </w:rPr>
                          <w:t>of</w:t>
                        </w:r>
                        <w:r>
                          <w:rPr>
                            <w:spacing w:val="-8"/>
                            <w:sz w:val="20"/>
                          </w:rPr>
                          <w:t> </w:t>
                        </w:r>
                        <w:r>
                          <w:rPr>
                            <w:sz w:val="20"/>
                          </w:rPr>
                          <w:t>Harvest,</w:t>
                        </w:r>
                        <w:r>
                          <w:rPr>
                            <w:spacing w:val="-8"/>
                            <w:sz w:val="20"/>
                          </w:rPr>
                          <w:t> </w:t>
                        </w:r>
                        <w:r>
                          <w:rPr>
                            <w:sz w:val="20"/>
                          </w:rPr>
                          <w:t>end</w:t>
                        </w:r>
                        <w:r>
                          <w:rPr>
                            <w:spacing w:val="-8"/>
                            <w:sz w:val="20"/>
                          </w:rPr>
                          <w:t> </w:t>
                        </w:r>
                        <w:r>
                          <w:rPr>
                            <w:sz w:val="20"/>
                          </w:rPr>
                          <w:t>of</w:t>
                        </w:r>
                        <w:r>
                          <w:rPr>
                            <w:spacing w:val="-8"/>
                            <w:sz w:val="20"/>
                          </w:rPr>
                          <w:t> </w:t>
                        </w:r>
                        <w:r>
                          <w:rPr>
                            <w:sz w:val="20"/>
                          </w:rPr>
                          <w:t>growing</w:t>
                        </w:r>
                        <w:r>
                          <w:rPr>
                            <w:spacing w:val="-8"/>
                            <w:sz w:val="20"/>
                          </w:rPr>
                          <w:t> </w:t>
                        </w:r>
                        <w:r>
                          <w:rPr>
                            <w:spacing w:val="-2"/>
                            <w:sz w:val="20"/>
                          </w:rPr>
                          <w:t>season</w:t>
                        </w:r>
                      </w:p>
                    </w:txbxContent>
                  </v:textbox>
                  <w10:wrap type="none"/>
                </v:shape>
                <w10:wrap type="topAndBottom"/>
              </v:group>
            </w:pict>
          </mc:Fallback>
        </mc:AlternateContent>
      </w:r>
    </w:p>
    <w:p>
      <w:pPr>
        <w:pStyle w:val="BodyText"/>
        <w:spacing w:before="70"/>
      </w:pPr>
    </w:p>
    <w:p>
      <w:pPr>
        <w:pStyle w:val="BodyText"/>
        <w:spacing w:line="312" w:lineRule="auto"/>
        <w:ind w:left="142" w:right="1529" w:firstLine="338"/>
        <w:jc w:val="both"/>
      </w:pPr>
      <w:r>
        <w:rPr>
          <w:spacing w:val="-2"/>
        </w:rPr>
        <w:t>The</w:t>
      </w:r>
      <w:r>
        <w:rPr>
          <w:spacing w:val="-12"/>
        </w:rPr>
        <w:t> </w:t>
      </w:r>
      <w:r>
        <w:rPr>
          <w:spacing w:val="-2"/>
        </w:rPr>
        <w:t>phenological</w:t>
      </w:r>
      <w:r>
        <w:rPr>
          <w:spacing w:val="-12"/>
        </w:rPr>
        <w:t> </w:t>
      </w:r>
      <w:r>
        <w:rPr>
          <w:spacing w:val="-2"/>
        </w:rPr>
        <w:t>dates</w:t>
      </w:r>
      <w:r>
        <w:rPr>
          <w:spacing w:val="-12"/>
        </w:rPr>
        <w:t> </w:t>
      </w:r>
      <w:r>
        <w:rPr>
          <w:spacing w:val="-2"/>
        </w:rPr>
        <w:t>(DOY_BB</w:t>
      </w:r>
      <w:r>
        <w:rPr>
          <w:spacing w:val="-11"/>
        </w:rPr>
        <w:t> </w:t>
      </w:r>
      <w:r>
        <w:rPr>
          <w:spacing w:val="-2"/>
        </w:rPr>
        <w:t>through</w:t>
      </w:r>
      <w:r>
        <w:rPr>
          <w:spacing w:val="-12"/>
        </w:rPr>
        <w:t> </w:t>
      </w:r>
      <w:r>
        <w:rPr>
          <w:spacing w:val="-2"/>
        </w:rPr>
        <w:t>DOY_Hv)</w:t>
      </w:r>
      <w:r>
        <w:rPr>
          <w:spacing w:val="-12"/>
        </w:rPr>
        <w:t> </w:t>
      </w:r>
      <w:r>
        <w:rPr>
          <w:spacing w:val="-2"/>
        </w:rPr>
        <w:t>are</w:t>
      </w:r>
      <w:r>
        <w:rPr>
          <w:spacing w:val="-12"/>
        </w:rPr>
        <w:t> </w:t>
      </w:r>
      <w:r>
        <w:rPr>
          <w:spacing w:val="-2"/>
        </w:rPr>
        <w:t>derived</w:t>
      </w:r>
      <w:r>
        <w:rPr>
          <w:spacing w:val="-11"/>
        </w:rPr>
        <w:t> </w:t>
      </w:r>
      <w:r>
        <w:rPr>
          <w:spacing w:val="-2"/>
        </w:rPr>
        <w:t>from</w:t>
      </w:r>
      <w:r>
        <w:rPr>
          <w:spacing w:val="-12"/>
        </w:rPr>
        <w:t> </w:t>
      </w:r>
      <w:r>
        <w:rPr>
          <w:spacing w:val="-2"/>
        </w:rPr>
        <w:t>the</w:t>
      </w:r>
      <w:r>
        <w:rPr>
          <w:spacing w:val="-12"/>
        </w:rPr>
        <w:t> </w:t>
      </w:r>
      <w:r>
        <w:rPr>
          <w:spacing w:val="-2"/>
        </w:rPr>
        <w:t>STICS</w:t>
      </w:r>
      <w:r>
        <w:rPr>
          <w:spacing w:val="-12"/>
        </w:rPr>
        <w:t> </w:t>
      </w:r>
      <w:r>
        <w:rPr>
          <w:spacing w:val="-2"/>
        </w:rPr>
        <w:t>phenological </w:t>
      </w:r>
      <w:r>
        <w:rPr/>
        <w:t>sub-model and represent the average calendar date of each key event across the regional vine population for each year.</w:t>
      </w:r>
      <w:r>
        <w:rPr>
          <w:spacing w:val="33"/>
        </w:rPr>
        <w:t> </w:t>
      </w:r>
      <w:r>
        <w:rPr/>
        <w:t>These dates vary by 2–4 weeks across years for each stage, reflecting the sensitivity of vine phenology to temperature, warmer springs advance flowering and harvest, cooler springs delay them. The variability in these anchor dates is what makes phenology-based</w:t>
      </w:r>
    </w:p>
    <w:p>
      <w:pPr>
        <w:pStyle w:val="BodyText"/>
        <w:spacing w:after="0" w:line="312" w:lineRule="auto"/>
        <w:jc w:val="both"/>
        <w:sectPr>
          <w:pgSz w:w="11910" w:h="16840"/>
          <w:pgMar w:header="1160" w:footer="0" w:top="1420" w:bottom="280" w:left="1275" w:right="425"/>
        </w:sectPr>
      </w:pPr>
    </w:p>
    <w:p>
      <w:pPr>
        <w:pStyle w:val="BodyText"/>
      </w:pPr>
    </w:p>
    <w:p>
      <w:pPr>
        <w:pStyle w:val="BodyText"/>
        <w:spacing w:before="25"/>
      </w:pPr>
    </w:p>
    <w:p>
      <w:pPr>
        <w:pStyle w:val="BodyText"/>
        <w:spacing w:line="312" w:lineRule="auto" w:before="1"/>
        <w:ind w:left="709" w:right="990" w:hanging="8"/>
        <w:jc w:val="both"/>
      </w:pPr>
      <w:r>
        <w:rPr/>
        <w:t>windowing more informative than fixed calendar windows: a feature computed as “the 20 days before</w:t>
      </w:r>
      <w:r>
        <w:rPr>
          <w:spacing w:val="-12"/>
        </w:rPr>
        <w:t> </w:t>
      </w:r>
      <w:r>
        <w:rPr/>
        <w:t>Harvest”</w:t>
      </w:r>
      <w:r>
        <w:rPr>
          <w:spacing w:val="-12"/>
        </w:rPr>
        <w:t> </w:t>
      </w:r>
      <w:r>
        <w:rPr/>
        <w:t>adapts</w:t>
      </w:r>
      <w:r>
        <w:rPr>
          <w:spacing w:val="-12"/>
        </w:rPr>
        <w:t> </w:t>
      </w:r>
      <w:r>
        <w:rPr/>
        <w:t>to</w:t>
      </w:r>
      <w:r>
        <w:rPr>
          <w:spacing w:val="-12"/>
        </w:rPr>
        <w:t> </w:t>
      </w:r>
      <w:r>
        <w:rPr/>
        <w:t>the</w:t>
      </w:r>
      <w:r>
        <w:rPr>
          <w:spacing w:val="-12"/>
        </w:rPr>
        <w:t> </w:t>
      </w:r>
      <w:r>
        <w:rPr/>
        <w:t>actual</w:t>
      </w:r>
      <w:r>
        <w:rPr>
          <w:spacing w:val="-12"/>
        </w:rPr>
        <w:t> </w:t>
      </w:r>
      <w:r>
        <w:rPr/>
        <w:t>harvest</w:t>
      </w:r>
      <w:r>
        <w:rPr>
          <w:spacing w:val="-12"/>
        </w:rPr>
        <w:t> </w:t>
      </w:r>
      <w:r>
        <w:rPr/>
        <w:t>date</w:t>
      </w:r>
      <w:r>
        <w:rPr>
          <w:spacing w:val="-12"/>
        </w:rPr>
        <w:t> </w:t>
      </w:r>
      <w:r>
        <w:rPr/>
        <w:t>of</w:t>
      </w:r>
      <w:r>
        <w:rPr>
          <w:spacing w:val="-12"/>
        </w:rPr>
        <w:t> </w:t>
      </w:r>
      <w:r>
        <w:rPr/>
        <w:t>each</w:t>
      </w:r>
      <w:r>
        <w:rPr>
          <w:spacing w:val="-12"/>
        </w:rPr>
        <w:t> </w:t>
      </w:r>
      <w:r>
        <w:rPr/>
        <w:t>year</w:t>
      </w:r>
      <w:r>
        <w:rPr>
          <w:spacing w:val="-12"/>
        </w:rPr>
        <w:t> </w:t>
      </w:r>
      <w:r>
        <w:rPr/>
        <w:t>rather</w:t>
      </w:r>
      <w:r>
        <w:rPr>
          <w:spacing w:val="-12"/>
        </w:rPr>
        <w:t> </w:t>
      </w:r>
      <w:r>
        <w:rPr/>
        <w:t>than</w:t>
      </w:r>
      <w:r>
        <w:rPr>
          <w:spacing w:val="-12"/>
        </w:rPr>
        <w:t> </w:t>
      </w:r>
      <w:r>
        <w:rPr/>
        <w:t>always</w:t>
      </w:r>
      <w:r>
        <w:rPr>
          <w:spacing w:val="-12"/>
        </w:rPr>
        <w:t> </w:t>
      </w:r>
      <w:r>
        <w:rPr/>
        <w:t>covering,</w:t>
      </w:r>
      <w:r>
        <w:rPr>
          <w:spacing w:val="-12"/>
        </w:rPr>
        <w:t> </w:t>
      </w:r>
      <w:r>
        <w:rPr/>
        <w:t>say,</w:t>
      </w:r>
      <w:r>
        <w:rPr>
          <w:spacing w:val="-12"/>
        </w:rPr>
        <w:t> </w:t>
      </w:r>
      <w:r>
        <w:rPr/>
        <w:t>the first three weeks of September.</w:t>
      </w:r>
    </w:p>
    <w:p>
      <w:pPr>
        <w:pStyle w:val="BodyText"/>
        <w:spacing w:line="312" w:lineRule="auto" w:before="15"/>
        <w:ind w:left="692" w:right="962" w:firstLine="355"/>
        <w:jc w:val="both"/>
      </w:pPr>
      <w:r>
        <w:rPr>
          <w:spacing w:val="-2"/>
        </w:rPr>
        <w:t>The</w:t>
      </w:r>
      <w:r>
        <w:rPr>
          <w:spacing w:val="-10"/>
        </w:rPr>
        <w:t> </w:t>
      </w:r>
      <w:r>
        <w:rPr>
          <w:spacing w:val="-2"/>
        </w:rPr>
        <w:t>production</w:t>
      </w:r>
      <w:r>
        <w:rPr>
          <w:spacing w:val="-10"/>
        </w:rPr>
        <w:t> </w:t>
      </w:r>
      <w:r>
        <w:rPr>
          <w:spacing w:val="-2"/>
        </w:rPr>
        <w:t>series</w:t>
      </w:r>
      <w:r>
        <w:rPr>
          <w:spacing w:val="-10"/>
        </w:rPr>
        <w:t> </w:t>
      </w:r>
      <w:r>
        <w:rPr>
          <w:spacing w:val="-2"/>
        </w:rPr>
        <w:t>for</w:t>
      </w:r>
      <w:r>
        <w:rPr>
          <w:spacing w:val="-10"/>
        </w:rPr>
        <w:t> </w:t>
      </w:r>
      <w:r>
        <w:rPr>
          <w:spacing w:val="-2"/>
        </w:rPr>
        <w:t>RDD</w:t>
      </w:r>
      <w:r>
        <w:rPr>
          <w:spacing w:val="-10"/>
        </w:rPr>
        <w:t> </w:t>
      </w:r>
      <w:r>
        <w:rPr>
          <w:spacing w:val="-2"/>
        </w:rPr>
        <w:t>spans</w:t>
      </w:r>
      <w:r>
        <w:rPr>
          <w:spacing w:val="-10"/>
        </w:rPr>
        <w:t> </w:t>
      </w:r>
      <w:r>
        <w:rPr>
          <w:spacing w:val="-2"/>
        </w:rPr>
        <w:t>1933–2022</w:t>
      </w:r>
      <w:r>
        <w:rPr>
          <w:spacing w:val="-10"/>
        </w:rPr>
        <w:t> </w:t>
      </w:r>
      <w:r>
        <w:rPr>
          <w:spacing w:val="-2"/>
        </w:rPr>
        <w:t>(90</w:t>
      </w:r>
      <w:r>
        <w:rPr>
          <w:spacing w:val="-10"/>
        </w:rPr>
        <w:t> </w:t>
      </w:r>
      <w:r>
        <w:rPr>
          <w:spacing w:val="-2"/>
        </w:rPr>
        <w:t>observations),</w:t>
      </w:r>
      <w:r>
        <w:rPr>
          <w:spacing w:val="-10"/>
        </w:rPr>
        <w:t> </w:t>
      </w:r>
      <w:r>
        <w:rPr>
          <w:spacing w:val="-2"/>
        </w:rPr>
        <w:t>but</w:t>
      </w:r>
      <w:r>
        <w:rPr>
          <w:spacing w:val="-10"/>
        </w:rPr>
        <w:t> </w:t>
      </w:r>
      <w:r>
        <w:rPr>
          <w:spacing w:val="-2"/>
        </w:rPr>
        <w:t>the</w:t>
      </w:r>
      <w:r>
        <w:rPr>
          <w:spacing w:val="-10"/>
        </w:rPr>
        <w:t> </w:t>
      </w:r>
      <w:r>
        <w:rPr>
          <w:spacing w:val="-2"/>
        </w:rPr>
        <w:t>feature</w:t>
      </w:r>
      <w:r>
        <w:rPr>
          <w:spacing w:val="-10"/>
        </w:rPr>
        <w:t> </w:t>
      </w:r>
      <w:r>
        <w:rPr>
          <w:spacing w:val="-2"/>
        </w:rPr>
        <w:t>construction </w:t>
      </w:r>
      <w:r>
        <w:rPr/>
        <w:t>starts at 1934 to allow for previous-year (y0) features, leaving 89 usable observations. For RVV, </w:t>
      </w:r>
      <w:r>
        <w:rPr>
          <w:spacing w:val="-2"/>
        </w:rPr>
        <w:t>the</w:t>
      </w:r>
      <w:r>
        <w:rPr>
          <w:spacing w:val="-5"/>
        </w:rPr>
        <w:t> </w:t>
      </w:r>
      <w:r>
        <w:rPr>
          <w:spacing w:val="-2"/>
        </w:rPr>
        <w:t>series</w:t>
      </w:r>
      <w:r>
        <w:rPr>
          <w:spacing w:val="-5"/>
        </w:rPr>
        <w:t> </w:t>
      </w:r>
      <w:r>
        <w:rPr>
          <w:spacing w:val="-2"/>
        </w:rPr>
        <w:t>spans</w:t>
      </w:r>
      <w:r>
        <w:rPr>
          <w:spacing w:val="-5"/>
        </w:rPr>
        <w:t> </w:t>
      </w:r>
      <w:r>
        <w:rPr>
          <w:spacing w:val="-2"/>
        </w:rPr>
        <w:t>1942–2021</w:t>
      </w:r>
      <w:r>
        <w:rPr>
          <w:spacing w:val="-5"/>
        </w:rPr>
        <w:t> </w:t>
      </w:r>
      <w:r>
        <w:rPr>
          <w:spacing w:val="-2"/>
        </w:rPr>
        <w:t>with</w:t>
      </w:r>
      <w:r>
        <w:rPr>
          <w:spacing w:val="-5"/>
        </w:rPr>
        <w:t> </w:t>
      </w:r>
      <w:r>
        <w:rPr>
          <w:spacing w:val="-2"/>
        </w:rPr>
        <w:t>80</w:t>
      </w:r>
      <w:r>
        <w:rPr>
          <w:spacing w:val="-5"/>
        </w:rPr>
        <w:t> </w:t>
      </w:r>
      <w:r>
        <w:rPr>
          <w:spacing w:val="-2"/>
        </w:rPr>
        <w:t>usable</w:t>
      </w:r>
      <w:r>
        <w:rPr>
          <w:spacing w:val="-5"/>
        </w:rPr>
        <w:t> </w:t>
      </w:r>
      <w:r>
        <w:rPr>
          <w:spacing w:val="-2"/>
        </w:rPr>
        <w:t>observations. The</w:t>
      </w:r>
      <w:r>
        <w:rPr>
          <w:spacing w:val="-5"/>
        </w:rPr>
        <w:t> </w:t>
      </w:r>
      <w:r>
        <w:rPr>
          <w:spacing w:val="-2"/>
        </w:rPr>
        <w:t>production</w:t>
      </w:r>
      <w:r>
        <w:rPr>
          <w:spacing w:val="-5"/>
        </w:rPr>
        <w:t> </w:t>
      </w:r>
      <w:r>
        <w:rPr>
          <w:spacing w:val="-2"/>
        </w:rPr>
        <w:t>values</w:t>
      </w:r>
      <w:r>
        <w:rPr>
          <w:spacing w:val="-5"/>
        </w:rPr>
        <w:t> </w:t>
      </w:r>
      <w:r>
        <w:rPr>
          <w:spacing w:val="-2"/>
        </w:rPr>
        <w:t>show</w:t>
      </w:r>
      <w:r>
        <w:rPr>
          <w:spacing w:val="-5"/>
        </w:rPr>
        <w:t> </w:t>
      </w:r>
      <w:r>
        <w:rPr>
          <w:spacing w:val="-2"/>
        </w:rPr>
        <w:t>the</w:t>
      </w:r>
      <w:r>
        <w:rPr>
          <w:spacing w:val="-5"/>
        </w:rPr>
        <w:t> </w:t>
      </w:r>
      <w:r>
        <w:rPr>
          <w:spacing w:val="-2"/>
        </w:rPr>
        <w:t>structural </w:t>
      </w:r>
      <w:r>
        <w:rPr/>
        <w:t>trajectories</w:t>
      </w:r>
      <w:r>
        <w:rPr>
          <w:spacing w:val="-16"/>
        </w:rPr>
        <w:t> </w:t>
      </w:r>
      <w:r>
        <w:rPr/>
        <w:t>described</w:t>
      </w:r>
      <w:r>
        <w:rPr>
          <w:spacing w:val="-14"/>
        </w:rPr>
        <w:t> </w:t>
      </w:r>
      <w:r>
        <w:rPr/>
        <w:t>in</w:t>
      </w:r>
      <w:r>
        <w:rPr>
          <w:spacing w:val="-14"/>
        </w:rPr>
        <w:t> </w:t>
      </w:r>
      <w:r>
        <w:rPr/>
        <w:t>Chapter</w:t>
      </w:r>
      <w:r>
        <w:rPr>
          <w:spacing w:val="-13"/>
        </w:rPr>
        <w:t> </w:t>
      </w:r>
      <w:hyperlink w:history="true" w:anchor="_bookmark5">
        <w:r>
          <w:rPr>
            <w:color w:val="8B2C18"/>
          </w:rPr>
          <w:t>2</w:t>
        </w:r>
      </w:hyperlink>
      <w:r>
        <w:rPr/>
        <w:t>:</w:t>
      </w:r>
      <w:r>
        <w:rPr>
          <w:spacing w:val="-14"/>
        </w:rPr>
        <w:t> </w:t>
      </w:r>
      <w:r>
        <w:rPr/>
        <w:t>RDD</w:t>
      </w:r>
      <w:r>
        <w:rPr>
          <w:spacing w:val="-14"/>
        </w:rPr>
        <w:t> </w:t>
      </w:r>
      <w:r>
        <w:rPr/>
        <w:t>production</w:t>
      </w:r>
      <w:r>
        <w:rPr>
          <w:spacing w:val="-14"/>
        </w:rPr>
        <w:t> </w:t>
      </w:r>
      <w:r>
        <w:rPr/>
        <w:t>ranging</w:t>
      </w:r>
      <w:r>
        <w:rPr>
          <w:spacing w:val="-13"/>
        </w:rPr>
        <w:t> </w:t>
      </w:r>
      <w:r>
        <w:rPr/>
        <w:t>from</w:t>
      </w:r>
      <w:r>
        <w:rPr>
          <w:spacing w:val="-14"/>
        </w:rPr>
        <w:t> </w:t>
      </w:r>
      <w:r>
        <w:rPr/>
        <w:t>518</w:t>
      </w:r>
      <w:r>
        <w:rPr>
          <w:spacing w:val="-14"/>
        </w:rPr>
        <w:t> </w:t>
      </w:r>
      <w:r>
        <w:rPr/>
        <w:t>to</w:t>
      </w:r>
      <w:r>
        <w:rPr>
          <w:spacing w:val="-14"/>
        </w:rPr>
        <w:t> </w:t>
      </w:r>
      <w:r>
        <w:rPr/>
        <w:t>1,961</w:t>
      </w:r>
      <w:r>
        <w:rPr>
          <w:spacing w:val="-13"/>
        </w:rPr>
        <w:t> </w:t>
      </w:r>
      <w:r>
        <w:rPr/>
        <w:t>mhl</w:t>
      </w:r>
      <w:r>
        <w:rPr>
          <w:spacing w:val="-14"/>
        </w:rPr>
        <w:t> </w:t>
      </w:r>
      <w:r>
        <w:rPr/>
        <w:t>with</w:t>
      </w:r>
      <w:r>
        <w:rPr>
          <w:spacing w:val="-14"/>
        </w:rPr>
        <w:t> </w:t>
      </w:r>
      <w:r>
        <w:rPr/>
        <w:t>a</w:t>
      </w:r>
      <w:r>
        <w:rPr>
          <w:spacing w:val="-14"/>
        </w:rPr>
        <w:t> </w:t>
      </w:r>
      <w:r>
        <w:rPr/>
        <w:t>mean</w:t>
      </w:r>
      <w:r>
        <w:rPr>
          <w:spacing w:val="-13"/>
        </w:rPr>
        <w:t> </w:t>
      </w:r>
      <w:r>
        <w:rPr/>
        <w:t>of 1,116 mhl and an upward trend; RVV production ranging from 494 to 3,443 mhl with a mean of 1,621 mhl and a sharp downward trend since the 1960s.</w:t>
      </w:r>
    </w:p>
    <w:p>
      <w:pPr>
        <w:pStyle w:val="BodyText"/>
        <w:spacing w:before="234"/>
      </w:pPr>
    </w:p>
    <w:p>
      <w:pPr>
        <w:pStyle w:val="Heading2"/>
        <w:numPr>
          <w:ilvl w:val="1"/>
          <w:numId w:val="17"/>
        </w:numPr>
        <w:tabs>
          <w:tab w:pos="1498" w:val="left" w:leader="none"/>
        </w:tabs>
        <w:spacing w:line="240" w:lineRule="auto" w:before="0" w:after="0"/>
        <w:ind w:left="1498" w:right="0" w:hanging="789"/>
        <w:jc w:val="left"/>
      </w:pPr>
      <w:bookmarkStart w:name="3.11 Feature Engineering: From Daily Rec" w:id="110"/>
      <w:bookmarkEnd w:id="110"/>
      <w:r>
        <w:rPr>
          <w:b w:val="0"/>
        </w:rPr>
      </w:r>
      <w:bookmarkStart w:name="_bookmark60" w:id="111"/>
      <w:bookmarkEnd w:id="111"/>
      <w:r>
        <w:rPr>
          <w:b w:val="0"/>
        </w:rPr>
      </w:r>
      <w:r>
        <w:rPr/>
        <w:t>Feature</w:t>
      </w:r>
      <w:r>
        <w:rPr>
          <w:spacing w:val="14"/>
        </w:rPr>
        <w:t> </w:t>
      </w:r>
      <w:r>
        <w:rPr/>
        <w:t>Engineering:</w:t>
      </w:r>
      <w:r>
        <w:rPr>
          <w:spacing w:val="35"/>
        </w:rPr>
        <w:t> </w:t>
      </w:r>
      <w:r>
        <w:rPr/>
        <w:t>From</w:t>
      </w:r>
      <w:r>
        <w:rPr>
          <w:spacing w:val="14"/>
        </w:rPr>
        <w:t> </w:t>
      </w:r>
      <w:r>
        <w:rPr/>
        <w:t>Daily</w:t>
      </w:r>
      <w:r>
        <w:rPr>
          <w:spacing w:val="15"/>
        </w:rPr>
        <w:t> </w:t>
      </w:r>
      <w:r>
        <w:rPr/>
        <w:t>Records</w:t>
      </w:r>
      <w:r>
        <w:rPr>
          <w:spacing w:val="14"/>
        </w:rPr>
        <w:t> </w:t>
      </w:r>
      <w:r>
        <w:rPr/>
        <w:t>to</w:t>
      </w:r>
      <w:r>
        <w:rPr>
          <w:spacing w:val="15"/>
        </w:rPr>
        <w:t> </w:t>
      </w:r>
      <w:r>
        <w:rPr/>
        <w:t>Annual</w:t>
      </w:r>
      <w:r>
        <w:rPr>
          <w:spacing w:val="14"/>
        </w:rPr>
        <w:t> </w:t>
      </w:r>
      <w:r>
        <w:rPr>
          <w:spacing w:val="-2"/>
        </w:rPr>
        <w:t>Features</w:t>
      </w:r>
    </w:p>
    <w:p>
      <w:pPr>
        <w:pStyle w:val="BodyText"/>
        <w:spacing w:line="328" w:lineRule="exact" w:before="263"/>
        <w:ind w:left="709" w:right="975" w:hanging="7"/>
        <w:jc w:val="both"/>
      </w:pPr>
      <w:r>
        <w:rPr>
          <w:spacing w:val="-2"/>
        </w:rPr>
        <w:t>The</w:t>
      </w:r>
      <w:r>
        <w:rPr>
          <w:spacing w:val="-8"/>
        </w:rPr>
        <w:t> </w:t>
      </w:r>
      <w:r>
        <w:rPr>
          <w:spacing w:val="-2"/>
        </w:rPr>
        <w:t>core</w:t>
      </w:r>
      <w:r>
        <w:rPr>
          <w:spacing w:val="-8"/>
        </w:rPr>
        <w:t> </w:t>
      </w:r>
      <w:r>
        <w:rPr>
          <w:spacing w:val="-2"/>
        </w:rPr>
        <w:t>methodological</w:t>
      </w:r>
      <w:r>
        <w:rPr>
          <w:spacing w:val="-8"/>
        </w:rPr>
        <w:t> </w:t>
      </w:r>
      <w:r>
        <w:rPr>
          <w:spacing w:val="-2"/>
        </w:rPr>
        <w:t>contribution</w:t>
      </w:r>
      <w:r>
        <w:rPr>
          <w:spacing w:val="-8"/>
        </w:rPr>
        <w:t> </w:t>
      </w:r>
      <w:r>
        <w:rPr>
          <w:spacing w:val="-2"/>
        </w:rPr>
        <w:t>of</w:t>
      </w:r>
      <w:r>
        <w:rPr>
          <w:spacing w:val="-8"/>
        </w:rPr>
        <w:t> </w:t>
      </w:r>
      <w:r>
        <w:rPr>
          <w:spacing w:val="-2"/>
        </w:rPr>
        <w:t>the</w:t>
      </w:r>
      <w:r>
        <w:rPr>
          <w:spacing w:val="-8"/>
        </w:rPr>
        <w:t> </w:t>
      </w:r>
      <w:r>
        <w:rPr>
          <w:spacing w:val="-2"/>
        </w:rPr>
        <w:t>data</w:t>
      </w:r>
      <w:r>
        <w:rPr>
          <w:spacing w:val="-8"/>
        </w:rPr>
        <w:t> </w:t>
      </w:r>
      <w:r>
        <w:rPr>
          <w:spacing w:val="-2"/>
        </w:rPr>
        <w:t>pipeline</w:t>
      </w:r>
      <w:r>
        <w:rPr>
          <w:spacing w:val="-8"/>
        </w:rPr>
        <w:t> </w:t>
      </w:r>
      <w:r>
        <w:rPr>
          <w:spacing w:val="-2"/>
        </w:rPr>
        <w:t>is</w:t>
      </w:r>
      <w:r>
        <w:rPr>
          <w:spacing w:val="-8"/>
        </w:rPr>
        <w:t> </w:t>
      </w:r>
      <w:r>
        <w:rPr>
          <w:spacing w:val="-2"/>
        </w:rPr>
        <w:t>the</w:t>
      </w:r>
      <w:r>
        <w:rPr>
          <w:spacing w:val="-8"/>
        </w:rPr>
        <w:t> </w:t>
      </w:r>
      <w:r>
        <w:rPr>
          <w:spacing w:val="-2"/>
        </w:rPr>
        <w:t>transformation</w:t>
      </w:r>
      <w:r>
        <w:rPr>
          <w:spacing w:val="-8"/>
        </w:rPr>
        <w:t> </w:t>
      </w:r>
      <w:r>
        <w:rPr>
          <w:spacing w:val="-2"/>
        </w:rPr>
        <w:t>from</w:t>
      </w:r>
      <w:r>
        <w:rPr>
          <w:spacing w:val="-8"/>
        </w:rPr>
        <w:t> </w:t>
      </w:r>
      <w:r>
        <w:rPr>
          <w:spacing w:val="-2"/>
        </w:rPr>
        <w:t>32,842</w:t>
      </w:r>
      <w:r>
        <w:rPr>
          <w:spacing w:val="-8"/>
        </w:rPr>
        <w:t> </w:t>
      </w:r>
      <w:r>
        <w:rPr>
          <w:spacing w:val="-2"/>
        </w:rPr>
        <w:t>(RDD) </w:t>
      </w:r>
      <w:r>
        <w:rPr>
          <w:spacing w:val="-4"/>
        </w:rPr>
        <w:t>and</w:t>
      </w:r>
      <w:r>
        <w:rPr>
          <w:spacing w:val="-5"/>
        </w:rPr>
        <w:t> </w:t>
      </w:r>
      <w:r>
        <w:rPr>
          <w:spacing w:val="-4"/>
        </w:rPr>
        <w:t>29,902</w:t>
      </w:r>
      <w:r>
        <w:rPr>
          <w:spacing w:val="-5"/>
        </w:rPr>
        <w:t> </w:t>
      </w:r>
      <w:r>
        <w:rPr>
          <w:spacing w:val="-4"/>
        </w:rPr>
        <w:t>(RVV)</w:t>
      </w:r>
      <w:r>
        <w:rPr>
          <w:spacing w:val="-5"/>
        </w:rPr>
        <w:t> </w:t>
      </w:r>
      <w:r>
        <w:rPr>
          <w:spacing w:val="-4"/>
        </w:rPr>
        <w:t>daily</w:t>
      </w:r>
      <w:r>
        <w:rPr>
          <w:spacing w:val="-5"/>
        </w:rPr>
        <w:t> </w:t>
      </w:r>
      <w:r>
        <w:rPr>
          <w:spacing w:val="-4"/>
        </w:rPr>
        <w:t>records</w:t>
      </w:r>
      <w:r>
        <w:rPr>
          <w:spacing w:val="-5"/>
        </w:rPr>
        <w:t> </w:t>
      </w:r>
      <w:r>
        <w:rPr>
          <w:spacing w:val="-4"/>
        </w:rPr>
        <w:t>into</w:t>
      </w:r>
      <w:r>
        <w:rPr>
          <w:spacing w:val="-5"/>
        </w:rPr>
        <w:t> </w:t>
      </w:r>
      <w:r>
        <w:rPr>
          <w:spacing w:val="-4"/>
        </w:rPr>
        <w:t>59</w:t>
      </w:r>
      <w:r>
        <w:rPr>
          <w:spacing w:val="-5"/>
        </w:rPr>
        <w:t> </w:t>
      </w:r>
      <w:r>
        <w:rPr>
          <w:spacing w:val="-4"/>
        </w:rPr>
        <w:t>annual</w:t>
      </w:r>
      <w:r>
        <w:rPr>
          <w:spacing w:val="-5"/>
        </w:rPr>
        <w:t> </w:t>
      </w:r>
      <w:r>
        <w:rPr>
          <w:spacing w:val="-4"/>
        </w:rPr>
        <w:t>agroclimatic</w:t>
      </w:r>
      <w:r>
        <w:rPr>
          <w:spacing w:val="-5"/>
        </w:rPr>
        <w:t> </w:t>
      </w:r>
      <w:r>
        <w:rPr>
          <w:spacing w:val="-4"/>
        </w:rPr>
        <w:t>features</w:t>
      </w:r>
      <w:r>
        <w:rPr>
          <w:spacing w:val="-5"/>
        </w:rPr>
        <w:t> </w:t>
      </w:r>
      <w:r>
        <w:rPr>
          <w:spacing w:val="-4"/>
        </w:rPr>
        <w:t>per</w:t>
      </w:r>
      <w:r>
        <w:rPr>
          <w:spacing w:val="-5"/>
        </w:rPr>
        <w:t> </w:t>
      </w:r>
      <w:r>
        <w:rPr>
          <w:spacing w:val="-4"/>
        </w:rPr>
        <w:t>region.</w:t>
      </w:r>
      <w:r>
        <w:rPr>
          <w:spacing w:val="18"/>
        </w:rPr>
        <w:t> </w:t>
      </w:r>
      <w:r>
        <w:rPr>
          <w:spacing w:val="-4"/>
        </w:rPr>
        <w:t>This</w:t>
      </w:r>
      <w:r>
        <w:rPr>
          <w:spacing w:val="-5"/>
        </w:rPr>
        <w:t> </w:t>
      </w:r>
      <w:r>
        <w:rPr>
          <w:spacing w:val="-4"/>
        </w:rPr>
        <w:t>transformation </w:t>
      </w:r>
      <w:r>
        <w:rPr>
          <w:spacing w:val="-2"/>
        </w:rPr>
        <w:t>is</w:t>
      </w:r>
      <w:r>
        <w:rPr>
          <w:spacing w:val="-4"/>
        </w:rPr>
        <w:t> </w:t>
      </w:r>
      <w:r>
        <w:rPr>
          <w:spacing w:val="-2"/>
        </w:rPr>
        <w:t>performed</w:t>
      </w:r>
      <w:r>
        <w:rPr>
          <w:spacing w:val="-4"/>
        </w:rPr>
        <w:t> </w:t>
      </w:r>
      <w:r>
        <w:rPr>
          <w:spacing w:val="-2"/>
        </w:rPr>
        <w:t>by</w:t>
      </w:r>
      <w:r>
        <w:rPr>
          <w:spacing w:val="-4"/>
        </w:rPr>
        <w:t> </w:t>
      </w:r>
      <w:r>
        <w:rPr>
          <w:spacing w:val="-2"/>
        </w:rPr>
        <w:t>script</w:t>
      </w:r>
      <w:r>
        <w:rPr>
          <w:spacing w:val="-4"/>
        </w:rPr>
        <w:t> </w:t>
      </w:r>
      <w:r>
        <w:rPr>
          <w:spacing w:val="-2"/>
        </w:rPr>
        <w:t>2_features_creation.R</w:t>
      </w:r>
      <w:r>
        <w:rPr>
          <w:spacing w:val="-4"/>
        </w:rPr>
        <w:t> </w:t>
      </w:r>
      <w:r>
        <w:rPr>
          <w:spacing w:val="-2"/>
        </w:rPr>
        <w:t>and</w:t>
      </w:r>
      <w:r>
        <w:rPr>
          <w:spacing w:val="-4"/>
        </w:rPr>
        <w:t> </w:t>
      </w:r>
      <w:r>
        <w:rPr>
          <w:spacing w:val="-2"/>
        </w:rPr>
        <w:t>is</w:t>
      </w:r>
      <w:r>
        <w:rPr>
          <w:spacing w:val="-4"/>
        </w:rPr>
        <w:t> </w:t>
      </w:r>
      <w:r>
        <w:rPr>
          <w:spacing w:val="-2"/>
        </w:rPr>
        <w:t>anchored</w:t>
      </w:r>
      <w:r>
        <w:rPr>
          <w:spacing w:val="-4"/>
        </w:rPr>
        <w:t> </w:t>
      </w:r>
      <w:r>
        <w:rPr>
          <w:spacing w:val="-2"/>
        </w:rPr>
        <w:t>entirely</w:t>
      </w:r>
      <w:r>
        <w:rPr>
          <w:spacing w:val="-4"/>
        </w:rPr>
        <w:t> </w:t>
      </w:r>
      <w:r>
        <w:rPr>
          <w:spacing w:val="-2"/>
        </w:rPr>
        <w:t>on</w:t>
      </w:r>
      <w:r>
        <w:rPr>
          <w:spacing w:val="-4"/>
        </w:rPr>
        <w:t> </w:t>
      </w:r>
      <w:r>
        <w:rPr>
          <w:spacing w:val="-2"/>
        </w:rPr>
        <w:t>the</w:t>
      </w:r>
      <w:r>
        <w:rPr>
          <w:spacing w:val="-4"/>
        </w:rPr>
        <w:t> </w:t>
      </w:r>
      <w:r>
        <w:rPr>
          <w:spacing w:val="-2"/>
        </w:rPr>
        <w:t>phenological</w:t>
      </w:r>
      <w:r>
        <w:rPr>
          <w:spacing w:val="-4"/>
        </w:rPr>
        <w:t> </w:t>
      </w:r>
      <w:r>
        <w:rPr>
          <w:spacing w:val="-2"/>
        </w:rPr>
        <w:t>dates</w:t>
      </w:r>
      <w:r>
        <w:rPr>
          <w:spacing w:val="-4"/>
        </w:rPr>
        <w:t> </w:t>
      </w:r>
      <w:r>
        <w:rPr>
          <w:spacing w:val="-2"/>
        </w:rPr>
        <w:t>for each</w:t>
      </w:r>
      <w:r>
        <w:rPr>
          <w:spacing w:val="-5"/>
        </w:rPr>
        <w:t> </w:t>
      </w:r>
      <w:r>
        <w:rPr>
          <w:spacing w:val="-2"/>
        </w:rPr>
        <w:t>year.</w:t>
      </w:r>
      <w:r>
        <w:rPr>
          <w:spacing w:val="10"/>
        </w:rPr>
        <w:t> </w:t>
      </w:r>
      <w:r>
        <w:rPr>
          <w:spacing w:val="-2"/>
        </w:rPr>
        <w:t>For each</w:t>
      </w:r>
      <w:r>
        <w:rPr>
          <w:spacing w:val="-3"/>
        </w:rPr>
        <w:t> </w:t>
      </w:r>
      <w:r>
        <w:rPr>
          <w:spacing w:val="-2"/>
        </w:rPr>
        <w:t>year</w:t>
      </w:r>
      <w:r>
        <w:rPr>
          <w:spacing w:val="-3"/>
        </w:rPr>
        <w:t> </w:t>
      </w:r>
      <w:r>
        <w:rPr>
          <w:spacing w:val="-2"/>
        </w:rPr>
        <w:t>y1, each</w:t>
      </w:r>
      <w:r>
        <w:rPr>
          <w:spacing w:val="-3"/>
        </w:rPr>
        <w:t> </w:t>
      </w:r>
      <w:r>
        <w:rPr>
          <w:spacing w:val="-2"/>
        </w:rPr>
        <w:t>combination of</w:t>
      </w:r>
      <w:r>
        <w:rPr>
          <w:spacing w:val="-3"/>
        </w:rPr>
        <w:t> </w:t>
      </w:r>
      <w:r>
        <w:rPr>
          <w:spacing w:val="-2"/>
        </w:rPr>
        <w:t>(meteorological</w:t>
      </w:r>
      <w:r>
        <w:rPr>
          <w:spacing w:val="-3"/>
        </w:rPr>
        <w:t> </w:t>
      </w:r>
      <w:r>
        <w:rPr>
          <w:spacing w:val="-2"/>
        </w:rPr>
        <w:t>variable </w:t>
      </w:r>
      <w:r>
        <w:rPr>
          <w:rFonts w:ascii="Meiryo UI" w:hAnsi="Meiryo UI"/>
          <w:i/>
          <w:spacing w:val="-2"/>
        </w:rPr>
        <w:t>×</w:t>
      </w:r>
      <w:r>
        <w:rPr>
          <w:rFonts w:ascii="Meiryo UI" w:hAnsi="Meiryo UI"/>
          <w:i/>
          <w:spacing w:val="-21"/>
        </w:rPr>
        <w:t> </w:t>
      </w:r>
      <w:r>
        <w:rPr>
          <w:spacing w:val="-2"/>
        </w:rPr>
        <w:t>phenological</w:t>
      </w:r>
      <w:r>
        <w:rPr>
          <w:spacing w:val="-3"/>
        </w:rPr>
        <w:t> </w:t>
      </w:r>
      <w:r>
        <w:rPr>
          <w:spacing w:val="-2"/>
        </w:rPr>
        <w:t>anchor</w:t>
      </w:r>
    </w:p>
    <w:p>
      <w:pPr>
        <w:pStyle w:val="BodyText"/>
        <w:spacing w:line="358" w:lineRule="exact"/>
        <w:ind w:left="709"/>
        <w:jc w:val="both"/>
      </w:pPr>
      <w:r>
        <w:rPr>
          <w:rFonts w:ascii="Meiryo UI" w:hAnsi="Meiryo UI"/>
          <w:i/>
          <w:spacing w:val="-2"/>
        </w:rPr>
        <w:t>×</w:t>
      </w:r>
      <w:r>
        <w:rPr>
          <w:rFonts w:ascii="Meiryo UI" w:hAnsi="Meiryo UI"/>
          <w:i/>
          <w:spacing w:val="-21"/>
        </w:rPr>
        <w:t> </w:t>
      </w:r>
      <w:r>
        <w:rPr>
          <w:spacing w:val="-2"/>
        </w:rPr>
        <w:t>window</w:t>
      </w:r>
      <w:r>
        <w:rPr>
          <w:spacing w:val="-3"/>
        </w:rPr>
        <w:t> </w:t>
      </w:r>
      <w:r>
        <w:rPr>
          <w:spacing w:val="-2"/>
        </w:rPr>
        <w:t>position </w:t>
      </w:r>
      <w:r>
        <w:rPr>
          <w:rFonts w:ascii="Meiryo UI" w:hAnsi="Meiryo UI"/>
          <w:i/>
          <w:spacing w:val="-2"/>
        </w:rPr>
        <w:t>×</w:t>
      </w:r>
      <w:r>
        <w:rPr>
          <w:rFonts w:ascii="Meiryo UI" w:hAnsi="Meiryo UI"/>
          <w:i/>
          <w:spacing w:val="-21"/>
        </w:rPr>
        <w:t> </w:t>
      </w:r>
      <w:r>
        <w:rPr>
          <w:spacing w:val="-2"/>
        </w:rPr>
        <w:t>window</w:t>
      </w:r>
      <w:r>
        <w:rPr>
          <w:spacing w:val="-1"/>
        </w:rPr>
        <w:t> </w:t>
      </w:r>
      <w:r>
        <w:rPr>
          <w:spacing w:val="-2"/>
        </w:rPr>
        <w:t>width</w:t>
      </w:r>
      <w:r>
        <w:rPr>
          <w:spacing w:val="-1"/>
        </w:rPr>
        <w:t> </w:t>
      </w:r>
      <w:r>
        <w:rPr>
          <w:rFonts w:ascii="Meiryo UI" w:hAnsi="Meiryo UI"/>
          <w:i/>
          <w:spacing w:val="-2"/>
        </w:rPr>
        <w:t>×</w:t>
      </w:r>
      <w:r>
        <w:rPr>
          <w:rFonts w:ascii="Meiryo UI" w:hAnsi="Meiryo UI"/>
          <w:i/>
          <w:spacing w:val="-21"/>
        </w:rPr>
        <w:t> </w:t>
      </w:r>
      <w:r>
        <w:rPr>
          <w:spacing w:val="-2"/>
        </w:rPr>
        <w:t>year offset)</w:t>
      </w:r>
      <w:r>
        <w:rPr>
          <w:spacing w:val="-1"/>
        </w:rPr>
        <w:t> </w:t>
      </w:r>
      <w:r>
        <w:rPr>
          <w:spacing w:val="-2"/>
        </w:rPr>
        <w:t>defines one</w:t>
      </w:r>
      <w:r>
        <w:rPr>
          <w:spacing w:val="-1"/>
        </w:rPr>
        <w:t> </w:t>
      </w:r>
      <w:r>
        <w:rPr>
          <w:spacing w:val="-2"/>
        </w:rPr>
        <w:t>feature.</w:t>
      </w:r>
    </w:p>
    <w:p>
      <w:pPr>
        <w:pStyle w:val="BodyText"/>
        <w:spacing w:before="182"/>
      </w:pPr>
    </w:p>
    <w:p>
      <w:pPr>
        <w:pStyle w:val="Heading3"/>
        <w:numPr>
          <w:ilvl w:val="2"/>
          <w:numId w:val="17"/>
        </w:numPr>
        <w:tabs>
          <w:tab w:pos="1546" w:val="left" w:leader="none"/>
        </w:tabs>
        <w:spacing w:line="240" w:lineRule="auto" w:before="1" w:after="0"/>
        <w:ind w:left="1546" w:right="0" w:hanging="837"/>
        <w:jc w:val="left"/>
      </w:pPr>
      <w:bookmarkStart w:name="3.11.1 Feature Naming Convention" w:id="112"/>
      <w:bookmarkEnd w:id="112"/>
      <w:r>
        <w:rPr>
          <w:b w:val="0"/>
        </w:rPr>
      </w:r>
      <w:bookmarkStart w:name="_bookmark61" w:id="113"/>
      <w:bookmarkEnd w:id="113"/>
      <w:r>
        <w:rPr>
          <w:b w:val="0"/>
        </w:rPr>
      </w:r>
      <w:r>
        <w:rPr/>
        <w:t>Feature</w:t>
      </w:r>
      <w:r>
        <w:rPr>
          <w:spacing w:val="-15"/>
        </w:rPr>
        <w:t> </w:t>
      </w:r>
      <w:r>
        <w:rPr/>
        <w:t>Naming</w:t>
      </w:r>
      <w:r>
        <w:rPr>
          <w:spacing w:val="-15"/>
        </w:rPr>
        <w:t> </w:t>
      </w:r>
      <w:r>
        <w:rPr>
          <w:spacing w:val="-2"/>
        </w:rPr>
        <w:t>Convention</w:t>
      </w:r>
    </w:p>
    <w:p>
      <w:pPr>
        <w:pStyle w:val="BodyText"/>
        <w:spacing w:line="312" w:lineRule="auto" w:before="250"/>
        <w:ind w:left="709" w:right="990" w:hanging="8"/>
      </w:pPr>
      <w:r>
        <w:rPr/>
        <w:t>All</w:t>
      </w:r>
      <w:r>
        <w:rPr>
          <w:spacing w:val="-13"/>
        </w:rPr>
        <w:t> </w:t>
      </w:r>
      <w:r>
        <w:rPr/>
        <w:t>59</w:t>
      </w:r>
      <w:r>
        <w:rPr>
          <w:spacing w:val="-13"/>
        </w:rPr>
        <w:t> </w:t>
      </w:r>
      <w:r>
        <w:rPr/>
        <w:t>features</w:t>
      </w:r>
      <w:r>
        <w:rPr>
          <w:spacing w:val="-13"/>
        </w:rPr>
        <w:t> </w:t>
      </w:r>
      <w:r>
        <w:rPr/>
        <w:t>follow</w:t>
      </w:r>
      <w:r>
        <w:rPr>
          <w:spacing w:val="-13"/>
        </w:rPr>
        <w:t> </w:t>
      </w:r>
      <w:r>
        <w:rPr/>
        <w:t>a</w:t>
      </w:r>
      <w:r>
        <w:rPr>
          <w:spacing w:val="-13"/>
        </w:rPr>
        <w:t> </w:t>
      </w:r>
      <w:r>
        <w:rPr/>
        <w:t>systematic</w:t>
      </w:r>
      <w:r>
        <w:rPr>
          <w:spacing w:val="-13"/>
        </w:rPr>
        <w:t> </w:t>
      </w:r>
      <w:r>
        <w:rPr/>
        <w:t>naming</w:t>
      </w:r>
      <w:r>
        <w:rPr>
          <w:spacing w:val="-13"/>
        </w:rPr>
        <w:t> </w:t>
      </w:r>
      <w:r>
        <w:rPr/>
        <w:t>convention</w:t>
      </w:r>
      <w:r>
        <w:rPr>
          <w:spacing w:val="-13"/>
        </w:rPr>
        <w:t> </w:t>
      </w:r>
      <w:r>
        <w:rPr/>
        <w:t>that</w:t>
      </w:r>
      <w:r>
        <w:rPr>
          <w:spacing w:val="-13"/>
        </w:rPr>
        <w:t> </w:t>
      </w:r>
      <w:r>
        <w:rPr/>
        <w:t>encodes</w:t>
      </w:r>
      <w:r>
        <w:rPr>
          <w:spacing w:val="-13"/>
        </w:rPr>
        <w:t> </w:t>
      </w:r>
      <w:r>
        <w:rPr/>
        <w:t>all</w:t>
      </w:r>
      <w:r>
        <w:rPr>
          <w:spacing w:val="-13"/>
        </w:rPr>
        <w:t> </w:t>
      </w:r>
      <w:r>
        <w:rPr/>
        <w:t>relevant</w:t>
      </w:r>
      <w:r>
        <w:rPr>
          <w:spacing w:val="-13"/>
        </w:rPr>
        <w:t> </w:t>
      </w:r>
      <w:r>
        <w:rPr/>
        <w:t>information</w:t>
      </w:r>
      <w:r>
        <w:rPr>
          <w:spacing w:val="-13"/>
        </w:rPr>
        <w:t> </w:t>
      </w:r>
      <w:r>
        <w:rPr/>
        <w:t>about how the feature was computed:</w:t>
      </w:r>
    </w:p>
    <w:p>
      <w:pPr>
        <w:pStyle w:val="BodyText"/>
        <w:spacing w:line="326" w:lineRule="auto" w:before="15"/>
        <w:ind w:left="1047" w:right="5583"/>
      </w:pPr>
      <w:r>
        <w:rPr>
          <w:spacing w:val="-2"/>
        </w:rPr>
        <w:t>variable_stage_year_positionwidth where:</w:t>
      </w:r>
    </w:p>
    <w:p>
      <w:pPr>
        <w:spacing w:before="116"/>
        <w:ind w:left="601" w:right="888" w:firstLine="0"/>
        <w:jc w:val="center"/>
        <w:rPr>
          <w:sz w:val="20"/>
        </w:rPr>
      </w:pPr>
      <w:bookmarkStart w:name="_bookmark62" w:id="114"/>
      <w:bookmarkEnd w:id="114"/>
      <w:r>
        <w:rPr/>
      </w:r>
      <w:r>
        <w:rPr>
          <w:b/>
          <w:sz w:val="20"/>
        </w:rPr>
        <w:t>Table</w:t>
      </w:r>
      <w:r>
        <w:rPr>
          <w:b/>
          <w:spacing w:val="-13"/>
          <w:sz w:val="20"/>
        </w:rPr>
        <w:t> </w:t>
      </w:r>
      <w:r>
        <w:rPr>
          <w:b/>
          <w:sz w:val="20"/>
        </w:rPr>
        <w:t>3.11:</w:t>
      </w:r>
      <w:r>
        <w:rPr>
          <w:b/>
          <w:spacing w:val="-3"/>
          <w:sz w:val="20"/>
        </w:rPr>
        <w:t> </w:t>
      </w:r>
      <w:r>
        <w:rPr>
          <w:sz w:val="20"/>
        </w:rPr>
        <w:t>Feature</w:t>
      </w:r>
      <w:r>
        <w:rPr>
          <w:spacing w:val="-13"/>
          <w:sz w:val="20"/>
        </w:rPr>
        <w:t> </w:t>
      </w:r>
      <w:r>
        <w:rPr>
          <w:sz w:val="20"/>
        </w:rPr>
        <w:t>naming</w:t>
      </w:r>
      <w:r>
        <w:rPr>
          <w:spacing w:val="-12"/>
          <w:sz w:val="20"/>
        </w:rPr>
        <w:t> </w:t>
      </w:r>
      <w:r>
        <w:rPr>
          <w:sz w:val="20"/>
        </w:rPr>
        <w:t>convention</w:t>
      </w:r>
      <w:r>
        <w:rPr>
          <w:spacing w:val="-12"/>
          <w:sz w:val="20"/>
        </w:rPr>
        <w:t> </w:t>
      </w:r>
      <w:r>
        <w:rPr>
          <w:spacing w:val="-2"/>
          <w:sz w:val="20"/>
        </w:rPr>
        <w:t>components.</w:t>
      </w:r>
    </w:p>
    <w:p>
      <w:pPr>
        <w:pStyle w:val="BodyText"/>
        <w:spacing w:before="5"/>
        <w:rPr>
          <w:sz w:val="18"/>
        </w:rPr>
      </w:pPr>
      <w:r>
        <w:rPr>
          <w:sz w:val="18"/>
        </w:rPr>
        <mc:AlternateContent>
          <mc:Choice Requires="wps">
            <w:drawing>
              <wp:anchor distT="0" distB="0" distL="0" distR="0" allowOverlap="1" layoutInCell="1" locked="0" behindDoc="1" simplePos="0" relativeHeight="487615488">
                <wp:simplePos x="0" y="0"/>
                <wp:positionH relativeFrom="page">
                  <wp:posOffset>1260005</wp:posOffset>
                </wp:positionH>
                <wp:positionV relativeFrom="paragraph">
                  <wp:posOffset>150348</wp:posOffset>
                </wp:positionV>
                <wp:extent cx="5400040" cy="1270"/>
                <wp:effectExtent l="0" t="0" r="0" b="0"/>
                <wp:wrapTopAndBottom/>
                <wp:docPr id="146" name="Graphic 146"/>
                <wp:cNvGraphicFramePr>
                  <a:graphicFrameLocks/>
                </wp:cNvGraphicFramePr>
                <a:graphic>
                  <a:graphicData uri="http://schemas.microsoft.com/office/word/2010/wordprocessingShape">
                    <wps:wsp>
                      <wps:cNvPr id="146" name="Graphic 146"/>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1.838477pt;width:425.2pt;height:.1pt;mso-position-horizontal-relative:page;mso-position-vertical-relative:paragraph;z-index:-15700992;mso-wrap-distance-left:0;mso-wrap-distance-right:0" id="docshape118" coordorigin="1984,237" coordsize="8504,0" path="m1984,237l10488,237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7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64"/>
        <w:gridCol w:w="4447"/>
        <w:gridCol w:w="2795"/>
      </w:tblGrid>
      <w:tr>
        <w:trPr>
          <w:trHeight w:val="346" w:hRule="atLeast"/>
        </w:trPr>
        <w:tc>
          <w:tcPr>
            <w:tcW w:w="1264" w:type="dxa"/>
            <w:tcBorders>
              <w:top w:val="nil"/>
              <w:left w:val="nil"/>
              <w:right w:val="single" w:sz="4" w:space="0" w:color="000000"/>
            </w:tcBorders>
          </w:tcPr>
          <w:p>
            <w:pPr>
              <w:pStyle w:val="TableParagraph"/>
              <w:spacing w:before="31"/>
              <w:ind w:left="119"/>
              <w:rPr>
                <w:b/>
                <w:sz w:val="20"/>
              </w:rPr>
            </w:pPr>
            <w:r>
              <w:rPr>
                <w:b/>
                <w:spacing w:val="-2"/>
                <w:sz w:val="20"/>
              </w:rPr>
              <w:t>Component</w:t>
            </w:r>
          </w:p>
        </w:tc>
        <w:tc>
          <w:tcPr>
            <w:tcW w:w="4447" w:type="dxa"/>
            <w:tcBorders>
              <w:top w:val="nil"/>
              <w:left w:val="single" w:sz="4" w:space="0" w:color="000000"/>
              <w:right w:val="single" w:sz="4" w:space="0" w:color="000000"/>
            </w:tcBorders>
          </w:tcPr>
          <w:p>
            <w:pPr>
              <w:pStyle w:val="TableParagraph"/>
              <w:spacing w:before="31"/>
              <w:ind w:left="118"/>
              <w:rPr>
                <w:b/>
                <w:sz w:val="20"/>
              </w:rPr>
            </w:pPr>
            <w:r>
              <w:rPr>
                <w:b/>
                <w:spacing w:val="-2"/>
                <w:sz w:val="20"/>
              </w:rPr>
              <w:t>Options</w:t>
            </w:r>
          </w:p>
        </w:tc>
        <w:tc>
          <w:tcPr>
            <w:tcW w:w="2795" w:type="dxa"/>
            <w:tcBorders>
              <w:top w:val="nil"/>
              <w:left w:val="single" w:sz="4" w:space="0" w:color="000000"/>
              <w:right w:val="nil"/>
            </w:tcBorders>
          </w:tcPr>
          <w:p>
            <w:pPr>
              <w:pStyle w:val="TableParagraph"/>
              <w:spacing w:before="31"/>
              <w:ind w:left="117"/>
              <w:rPr>
                <w:b/>
                <w:sz w:val="20"/>
              </w:rPr>
            </w:pPr>
            <w:r>
              <w:rPr>
                <w:b/>
                <w:spacing w:val="-2"/>
                <w:sz w:val="20"/>
              </w:rPr>
              <w:t>Meaning</w:t>
            </w:r>
          </w:p>
        </w:tc>
      </w:tr>
    </w:tbl>
    <w:p>
      <w:pPr>
        <w:pStyle w:val="BodyText"/>
        <w:spacing w:before="10"/>
        <w:rPr>
          <w:sz w:val="4"/>
        </w:rPr>
      </w:pPr>
    </w:p>
    <w:tbl>
      <w:tblPr>
        <w:tblW w:w="0" w:type="auto"/>
        <w:jc w:val="left"/>
        <w:tblInd w:w="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64"/>
        <w:gridCol w:w="4447"/>
        <w:gridCol w:w="2795"/>
      </w:tblGrid>
      <w:tr>
        <w:trPr>
          <w:trHeight w:val="523" w:hRule="atLeast"/>
        </w:trPr>
        <w:tc>
          <w:tcPr>
            <w:tcW w:w="1264" w:type="dxa"/>
            <w:tcBorders>
              <w:right w:val="single" w:sz="4" w:space="0" w:color="000000"/>
            </w:tcBorders>
          </w:tcPr>
          <w:p>
            <w:pPr>
              <w:pStyle w:val="TableParagraph"/>
              <w:spacing w:before="51"/>
              <w:ind w:left="119"/>
              <w:rPr>
                <w:rFonts w:ascii="Courier New"/>
                <w:sz w:val="20"/>
              </w:rPr>
            </w:pPr>
            <w:r>
              <w:rPr>
                <w:rFonts w:ascii="Courier New"/>
                <w:spacing w:val="-2"/>
                <w:sz w:val="20"/>
              </w:rPr>
              <w:t>variable</w:t>
            </w:r>
          </w:p>
        </w:tc>
        <w:tc>
          <w:tcPr>
            <w:tcW w:w="4447" w:type="dxa"/>
            <w:tcBorders>
              <w:left w:val="single" w:sz="4" w:space="0" w:color="000000"/>
              <w:right w:val="single" w:sz="4" w:space="0" w:color="000000"/>
            </w:tcBorders>
          </w:tcPr>
          <w:p>
            <w:pPr>
              <w:pStyle w:val="TableParagraph"/>
              <w:spacing w:line="240" w:lineRule="atLeast" w:before="23"/>
              <w:ind w:left="118"/>
              <w:rPr>
                <w:rFonts w:ascii="Courier New"/>
                <w:sz w:val="20"/>
              </w:rPr>
            </w:pPr>
            <w:r>
              <w:rPr>
                <w:rFonts w:ascii="Courier New"/>
                <w:sz w:val="20"/>
              </w:rPr>
              <w:t>tm,</w:t>
            </w:r>
            <w:r>
              <w:rPr>
                <w:rFonts w:ascii="Courier New"/>
                <w:spacing w:val="-11"/>
                <w:sz w:val="20"/>
              </w:rPr>
              <w:t> </w:t>
            </w:r>
            <w:r>
              <w:rPr>
                <w:rFonts w:ascii="Courier New"/>
                <w:sz w:val="20"/>
              </w:rPr>
              <w:t>tn,</w:t>
            </w:r>
            <w:r>
              <w:rPr>
                <w:rFonts w:ascii="Courier New"/>
                <w:spacing w:val="-11"/>
                <w:sz w:val="20"/>
              </w:rPr>
              <w:t> </w:t>
            </w:r>
            <w:r>
              <w:rPr>
                <w:rFonts w:ascii="Courier New"/>
                <w:sz w:val="20"/>
              </w:rPr>
              <w:t>swa,</w:t>
            </w:r>
            <w:r>
              <w:rPr>
                <w:rFonts w:ascii="Courier New"/>
                <w:spacing w:val="-11"/>
                <w:sz w:val="20"/>
              </w:rPr>
              <w:t> </w:t>
            </w:r>
            <w:r>
              <w:rPr>
                <w:rFonts w:ascii="Courier New"/>
                <w:sz w:val="20"/>
              </w:rPr>
              <w:t>iaf,</w:t>
            </w:r>
            <w:r>
              <w:rPr>
                <w:rFonts w:ascii="Courier New"/>
                <w:spacing w:val="-11"/>
                <w:sz w:val="20"/>
              </w:rPr>
              <w:t> </w:t>
            </w:r>
            <w:r>
              <w:rPr>
                <w:rFonts w:ascii="Courier New"/>
                <w:sz w:val="20"/>
              </w:rPr>
              <w:t>rf,</w:t>
            </w:r>
            <w:r>
              <w:rPr>
                <w:rFonts w:ascii="Courier New"/>
                <w:spacing w:val="-11"/>
                <w:sz w:val="20"/>
              </w:rPr>
              <w:t> </w:t>
            </w:r>
            <w:r>
              <w:rPr>
                <w:rFonts w:ascii="Courier New"/>
                <w:sz w:val="20"/>
              </w:rPr>
              <w:t>days.rf, sw.less.15wp, sw.above.09fc,</w:t>
            </w:r>
          </w:p>
        </w:tc>
        <w:tc>
          <w:tcPr>
            <w:tcW w:w="2795" w:type="dxa"/>
            <w:tcBorders>
              <w:left w:val="single" w:sz="4" w:space="0" w:color="000000"/>
            </w:tcBorders>
          </w:tcPr>
          <w:p>
            <w:pPr>
              <w:pStyle w:val="TableParagraph"/>
              <w:spacing w:line="240" w:lineRule="atLeast" w:before="21"/>
              <w:ind w:left="117"/>
              <w:rPr>
                <w:sz w:val="20"/>
              </w:rPr>
            </w:pPr>
            <w:r>
              <w:rPr>
                <w:sz w:val="20"/>
              </w:rPr>
              <w:t>Meteorological</w:t>
            </w:r>
            <w:r>
              <w:rPr>
                <w:spacing w:val="29"/>
                <w:sz w:val="20"/>
              </w:rPr>
              <w:t> </w:t>
            </w:r>
            <w:r>
              <w:rPr>
                <w:sz w:val="20"/>
              </w:rPr>
              <w:t>quantity</w:t>
            </w:r>
            <w:r>
              <w:rPr>
                <w:spacing w:val="29"/>
                <w:sz w:val="20"/>
              </w:rPr>
              <w:t> </w:t>
            </w:r>
            <w:r>
              <w:rPr>
                <w:sz w:val="20"/>
              </w:rPr>
              <w:t>aggre-</w:t>
            </w:r>
            <w:r>
              <w:rPr>
                <w:spacing w:val="-2"/>
                <w:sz w:val="20"/>
              </w:rPr>
              <w:t>gated</w:t>
            </w:r>
          </w:p>
        </w:tc>
      </w:tr>
      <w:tr>
        <w:trPr>
          <w:trHeight w:val="234" w:hRule="atLeast"/>
        </w:trPr>
        <w:tc>
          <w:tcPr>
            <w:tcW w:w="1264" w:type="dxa"/>
            <w:tcBorders>
              <w:right w:val="single" w:sz="4" w:space="0" w:color="000000"/>
            </w:tcBorders>
          </w:tcPr>
          <w:p>
            <w:pPr>
              <w:pStyle w:val="TableParagraph"/>
              <w:spacing w:before="0"/>
              <w:rPr>
                <w:sz w:val="16"/>
              </w:rPr>
            </w:pPr>
          </w:p>
        </w:tc>
        <w:tc>
          <w:tcPr>
            <w:tcW w:w="4447" w:type="dxa"/>
            <w:tcBorders>
              <w:left w:val="single" w:sz="4" w:space="0" w:color="000000"/>
              <w:right w:val="single" w:sz="4" w:space="0" w:color="000000"/>
            </w:tcBorders>
          </w:tcPr>
          <w:p>
            <w:pPr>
              <w:pStyle w:val="TableParagraph"/>
              <w:spacing w:line="209" w:lineRule="exact" w:before="6"/>
              <w:ind w:left="118"/>
              <w:rPr>
                <w:rFonts w:ascii="Courier New"/>
                <w:sz w:val="20"/>
              </w:rPr>
            </w:pPr>
            <w:r>
              <w:rPr>
                <w:rFonts w:ascii="Courier New"/>
                <w:spacing w:val="-2"/>
                <w:sz w:val="20"/>
              </w:rPr>
              <w:t>days.maxTemp.above.35,</w:t>
            </w:r>
          </w:p>
        </w:tc>
        <w:tc>
          <w:tcPr>
            <w:tcW w:w="2795" w:type="dxa"/>
            <w:tcBorders>
              <w:left w:val="single" w:sz="4" w:space="0" w:color="000000"/>
            </w:tcBorders>
          </w:tcPr>
          <w:p>
            <w:pPr>
              <w:pStyle w:val="TableParagraph"/>
              <w:spacing w:before="0"/>
              <w:rPr>
                <w:sz w:val="16"/>
              </w:rPr>
            </w:pPr>
          </w:p>
        </w:tc>
      </w:tr>
      <w:tr>
        <w:trPr>
          <w:trHeight w:val="239" w:hRule="atLeast"/>
        </w:trPr>
        <w:tc>
          <w:tcPr>
            <w:tcW w:w="1264" w:type="dxa"/>
            <w:tcBorders>
              <w:right w:val="single" w:sz="4" w:space="0" w:color="000000"/>
            </w:tcBorders>
          </w:tcPr>
          <w:p>
            <w:pPr>
              <w:pStyle w:val="TableParagraph"/>
              <w:spacing w:before="0"/>
              <w:rPr>
                <w:sz w:val="16"/>
              </w:rPr>
            </w:pPr>
          </w:p>
        </w:tc>
        <w:tc>
          <w:tcPr>
            <w:tcW w:w="4447" w:type="dxa"/>
            <w:tcBorders>
              <w:left w:val="single" w:sz="4" w:space="0" w:color="000000"/>
              <w:right w:val="single" w:sz="4" w:space="0" w:color="000000"/>
            </w:tcBorders>
          </w:tcPr>
          <w:p>
            <w:pPr>
              <w:pStyle w:val="TableParagraph"/>
              <w:spacing w:line="209" w:lineRule="exact" w:before="10"/>
              <w:ind w:left="118"/>
              <w:rPr>
                <w:rFonts w:ascii="Courier New"/>
                <w:sz w:val="20"/>
              </w:rPr>
            </w:pPr>
            <w:r>
              <w:rPr>
                <w:rFonts w:ascii="Courier New"/>
                <w:spacing w:val="-2"/>
                <w:sz w:val="20"/>
              </w:rPr>
              <w:t>tm.days.less.15,</w:t>
            </w:r>
          </w:p>
        </w:tc>
        <w:tc>
          <w:tcPr>
            <w:tcW w:w="2795" w:type="dxa"/>
            <w:tcBorders>
              <w:left w:val="single" w:sz="4" w:space="0" w:color="000000"/>
            </w:tcBorders>
          </w:tcPr>
          <w:p>
            <w:pPr>
              <w:pStyle w:val="TableParagraph"/>
              <w:spacing w:before="0"/>
              <w:rPr>
                <w:sz w:val="16"/>
              </w:rPr>
            </w:pPr>
          </w:p>
        </w:tc>
      </w:tr>
      <w:tr>
        <w:trPr>
          <w:trHeight w:val="263" w:hRule="atLeast"/>
        </w:trPr>
        <w:tc>
          <w:tcPr>
            <w:tcW w:w="1264" w:type="dxa"/>
            <w:tcBorders>
              <w:right w:val="single" w:sz="4" w:space="0" w:color="000000"/>
            </w:tcBorders>
          </w:tcPr>
          <w:p>
            <w:pPr>
              <w:pStyle w:val="TableParagraph"/>
              <w:spacing w:before="0"/>
              <w:rPr>
                <w:sz w:val="18"/>
              </w:rPr>
            </w:pPr>
          </w:p>
        </w:tc>
        <w:tc>
          <w:tcPr>
            <w:tcW w:w="4447" w:type="dxa"/>
            <w:tcBorders>
              <w:left w:val="single" w:sz="4" w:space="0" w:color="000000"/>
              <w:right w:val="single" w:sz="4" w:space="0" w:color="000000"/>
            </w:tcBorders>
          </w:tcPr>
          <w:p>
            <w:pPr>
              <w:pStyle w:val="TableParagraph"/>
              <w:spacing w:before="10"/>
              <w:ind w:left="118"/>
              <w:rPr>
                <w:rFonts w:ascii="Courier New"/>
                <w:sz w:val="20"/>
              </w:rPr>
            </w:pPr>
            <w:r>
              <w:rPr>
                <w:rFonts w:ascii="Courier New"/>
                <w:spacing w:val="-2"/>
                <w:sz w:val="20"/>
              </w:rPr>
              <w:t>days.minTemp.less.0</w:t>
            </w:r>
          </w:p>
        </w:tc>
        <w:tc>
          <w:tcPr>
            <w:tcW w:w="2795" w:type="dxa"/>
            <w:tcBorders>
              <w:left w:val="single" w:sz="4" w:space="0" w:color="000000"/>
            </w:tcBorders>
          </w:tcPr>
          <w:p>
            <w:pPr>
              <w:pStyle w:val="TableParagraph"/>
              <w:spacing w:before="0"/>
              <w:rPr>
                <w:sz w:val="18"/>
              </w:rPr>
            </w:pPr>
          </w:p>
        </w:tc>
      </w:tr>
      <w:tr>
        <w:trPr>
          <w:trHeight w:val="554" w:hRule="atLeast"/>
        </w:trPr>
        <w:tc>
          <w:tcPr>
            <w:tcW w:w="1264" w:type="dxa"/>
            <w:tcBorders>
              <w:right w:val="single" w:sz="4" w:space="0" w:color="000000"/>
            </w:tcBorders>
          </w:tcPr>
          <w:p>
            <w:pPr>
              <w:pStyle w:val="TableParagraph"/>
              <w:spacing w:before="57"/>
              <w:ind w:left="119"/>
              <w:rPr>
                <w:rFonts w:ascii="Courier New"/>
                <w:sz w:val="20"/>
              </w:rPr>
            </w:pPr>
            <w:r>
              <w:rPr>
                <w:rFonts w:ascii="Courier New"/>
                <w:spacing w:val="-2"/>
                <w:sz w:val="20"/>
              </w:rPr>
              <w:t>stage</w:t>
            </w:r>
          </w:p>
        </w:tc>
        <w:tc>
          <w:tcPr>
            <w:tcW w:w="4447" w:type="dxa"/>
            <w:tcBorders>
              <w:left w:val="single" w:sz="4" w:space="0" w:color="000000"/>
              <w:right w:val="single" w:sz="4" w:space="0" w:color="000000"/>
            </w:tcBorders>
          </w:tcPr>
          <w:p>
            <w:pPr>
              <w:pStyle w:val="TableParagraph"/>
              <w:spacing w:line="243" w:lineRule="exact" w:before="37"/>
              <w:ind w:left="118"/>
              <w:rPr>
                <w:sz w:val="20"/>
              </w:rPr>
            </w:pPr>
            <w:r>
              <w:rPr>
                <w:rFonts w:ascii="Courier New"/>
                <w:spacing w:val="-2"/>
                <w:sz w:val="20"/>
              </w:rPr>
              <w:t>bb</w:t>
            </w:r>
            <w:r>
              <w:rPr>
                <w:rFonts w:ascii="Courier New"/>
                <w:spacing w:val="-74"/>
                <w:sz w:val="20"/>
              </w:rPr>
              <w:t> </w:t>
            </w:r>
            <w:r>
              <w:rPr>
                <w:spacing w:val="-2"/>
                <w:sz w:val="20"/>
              </w:rPr>
              <w:t>(Bud</w:t>
            </w:r>
            <w:r>
              <w:rPr>
                <w:spacing w:val="-11"/>
                <w:sz w:val="20"/>
              </w:rPr>
              <w:t> </w:t>
            </w:r>
            <w:r>
              <w:rPr>
                <w:spacing w:val="-2"/>
                <w:sz w:val="20"/>
              </w:rPr>
              <w:t>Break),</w:t>
            </w:r>
            <w:r>
              <w:rPr>
                <w:spacing w:val="-8"/>
                <w:sz w:val="20"/>
              </w:rPr>
              <w:t> </w:t>
            </w:r>
            <w:r>
              <w:rPr>
                <w:rFonts w:ascii="Courier New"/>
                <w:spacing w:val="-2"/>
                <w:sz w:val="20"/>
              </w:rPr>
              <w:t>fl</w:t>
            </w:r>
            <w:r>
              <w:rPr>
                <w:rFonts w:ascii="Courier New"/>
                <w:spacing w:val="-74"/>
                <w:sz w:val="20"/>
              </w:rPr>
              <w:t> </w:t>
            </w:r>
            <w:r>
              <w:rPr>
                <w:spacing w:val="-2"/>
                <w:sz w:val="20"/>
              </w:rPr>
              <w:t>(Flowering),</w:t>
            </w:r>
            <w:r>
              <w:rPr>
                <w:spacing w:val="-6"/>
                <w:sz w:val="20"/>
              </w:rPr>
              <w:t> </w:t>
            </w:r>
            <w:r>
              <w:rPr>
                <w:rFonts w:ascii="Courier New"/>
                <w:spacing w:val="-2"/>
                <w:sz w:val="20"/>
              </w:rPr>
              <w:t>sM</w:t>
            </w:r>
            <w:r>
              <w:rPr>
                <w:rFonts w:ascii="Courier New"/>
                <w:spacing w:val="-74"/>
                <w:sz w:val="20"/>
              </w:rPr>
              <w:t> </w:t>
            </w:r>
            <w:r>
              <w:rPr>
                <w:spacing w:val="-2"/>
                <w:sz w:val="20"/>
              </w:rPr>
              <w:t>(Start</w:t>
            </w:r>
            <w:r>
              <w:rPr>
                <w:spacing w:val="-6"/>
                <w:sz w:val="20"/>
              </w:rPr>
              <w:t> </w:t>
            </w:r>
            <w:r>
              <w:rPr>
                <w:spacing w:val="-2"/>
                <w:sz w:val="20"/>
              </w:rPr>
              <w:t>Maturity),</w:t>
            </w:r>
          </w:p>
          <w:p>
            <w:pPr>
              <w:pStyle w:val="TableParagraph"/>
              <w:spacing w:line="243" w:lineRule="exact" w:before="0"/>
              <w:ind w:left="118"/>
              <w:rPr>
                <w:sz w:val="20"/>
              </w:rPr>
            </w:pPr>
            <w:r>
              <w:rPr>
                <w:rFonts w:ascii="Courier New"/>
                <w:spacing w:val="-2"/>
                <w:sz w:val="20"/>
              </w:rPr>
              <w:t>hv</w:t>
            </w:r>
            <w:r>
              <w:rPr>
                <w:rFonts w:ascii="Courier New"/>
                <w:spacing w:val="-70"/>
                <w:sz w:val="20"/>
              </w:rPr>
              <w:t> </w:t>
            </w:r>
            <w:r>
              <w:rPr>
                <w:spacing w:val="-2"/>
                <w:sz w:val="20"/>
              </w:rPr>
              <w:t>(Harvest)</w:t>
            </w:r>
          </w:p>
        </w:tc>
        <w:tc>
          <w:tcPr>
            <w:tcW w:w="2795" w:type="dxa"/>
            <w:tcBorders>
              <w:left w:val="single" w:sz="4" w:space="0" w:color="000000"/>
            </w:tcBorders>
          </w:tcPr>
          <w:p>
            <w:pPr>
              <w:pStyle w:val="TableParagraph"/>
              <w:spacing w:before="37"/>
              <w:ind w:left="117"/>
              <w:rPr>
                <w:sz w:val="20"/>
              </w:rPr>
            </w:pPr>
            <w:r>
              <w:rPr>
                <w:sz w:val="20"/>
              </w:rPr>
              <w:t>Phenological</w:t>
            </w:r>
            <w:r>
              <w:rPr>
                <w:spacing w:val="-9"/>
                <w:sz w:val="20"/>
              </w:rPr>
              <w:t> </w:t>
            </w:r>
            <w:r>
              <w:rPr>
                <w:sz w:val="20"/>
              </w:rPr>
              <w:t>anchor</w:t>
            </w:r>
            <w:r>
              <w:rPr>
                <w:spacing w:val="-9"/>
                <w:sz w:val="20"/>
              </w:rPr>
              <w:t> </w:t>
            </w:r>
            <w:r>
              <w:rPr>
                <w:spacing w:val="-2"/>
                <w:sz w:val="20"/>
              </w:rPr>
              <w:t>point</w:t>
            </w:r>
          </w:p>
        </w:tc>
      </w:tr>
      <w:tr>
        <w:trPr>
          <w:trHeight w:val="350" w:hRule="atLeast"/>
        </w:trPr>
        <w:tc>
          <w:tcPr>
            <w:tcW w:w="1264" w:type="dxa"/>
            <w:tcBorders>
              <w:right w:val="single" w:sz="4" w:space="0" w:color="000000"/>
            </w:tcBorders>
          </w:tcPr>
          <w:p>
            <w:pPr>
              <w:pStyle w:val="TableParagraph"/>
              <w:spacing w:before="53"/>
              <w:ind w:left="119"/>
              <w:rPr>
                <w:rFonts w:ascii="Courier New"/>
                <w:sz w:val="20"/>
              </w:rPr>
            </w:pPr>
            <w:r>
              <w:rPr>
                <w:rFonts w:ascii="Courier New"/>
                <w:spacing w:val="-4"/>
                <w:sz w:val="20"/>
              </w:rPr>
              <w:t>year</w:t>
            </w:r>
          </w:p>
        </w:tc>
        <w:tc>
          <w:tcPr>
            <w:tcW w:w="4447" w:type="dxa"/>
            <w:tcBorders>
              <w:left w:val="single" w:sz="4" w:space="0" w:color="000000"/>
              <w:right w:val="single" w:sz="4" w:space="0" w:color="000000"/>
            </w:tcBorders>
          </w:tcPr>
          <w:p>
            <w:pPr>
              <w:pStyle w:val="TableParagraph"/>
              <w:ind w:left="118"/>
              <w:rPr>
                <w:sz w:val="20"/>
              </w:rPr>
            </w:pPr>
            <w:r>
              <w:rPr>
                <w:rFonts w:ascii="Courier New"/>
                <w:sz w:val="20"/>
              </w:rPr>
              <w:t>y1</w:t>
            </w:r>
            <w:r>
              <w:rPr>
                <w:rFonts w:ascii="Courier New"/>
                <w:spacing w:val="-71"/>
                <w:sz w:val="20"/>
              </w:rPr>
              <w:t> </w:t>
            </w:r>
            <w:r>
              <w:rPr>
                <w:sz w:val="20"/>
              </w:rPr>
              <w:t>(current</w:t>
            </w:r>
            <w:r>
              <w:rPr>
                <w:spacing w:val="-13"/>
                <w:sz w:val="20"/>
              </w:rPr>
              <w:t> </w:t>
            </w:r>
            <w:r>
              <w:rPr>
                <w:sz w:val="20"/>
              </w:rPr>
              <w:t>year),</w:t>
            </w:r>
            <w:r>
              <w:rPr>
                <w:spacing w:val="-12"/>
                <w:sz w:val="20"/>
              </w:rPr>
              <w:t> </w:t>
            </w:r>
            <w:r>
              <w:rPr>
                <w:rFonts w:ascii="Courier New"/>
                <w:sz w:val="20"/>
              </w:rPr>
              <w:t>y0</w:t>
            </w:r>
            <w:r>
              <w:rPr>
                <w:rFonts w:ascii="Courier New"/>
                <w:spacing w:val="-71"/>
                <w:sz w:val="20"/>
              </w:rPr>
              <w:t> </w:t>
            </w:r>
            <w:r>
              <w:rPr>
                <w:sz w:val="20"/>
              </w:rPr>
              <w:t>(previous</w:t>
            </w:r>
            <w:r>
              <w:rPr>
                <w:spacing w:val="-7"/>
                <w:sz w:val="20"/>
              </w:rPr>
              <w:t> </w:t>
            </w:r>
            <w:r>
              <w:rPr>
                <w:spacing w:val="-2"/>
                <w:sz w:val="20"/>
              </w:rPr>
              <w:t>year)</w:t>
            </w:r>
          </w:p>
        </w:tc>
        <w:tc>
          <w:tcPr>
            <w:tcW w:w="2795" w:type="dxa"/>
            <w:tcBorders>
              <w:left w:val="single" w:sz="4" w:space="0" w:color="000000"/>
            </w:tcBorders>
          </w:tcPr>
          <w:p>
            <w:pPr>
              <w:pStyle w:val="TableParagraph"/>
              <w:ind w:left="117"/>
              <w:rPr>
                <w:sz w:val="20"/>
              </w:rPr>
            </w:pPr>
            <w:r>
              <w:rPr>
                <w:sz w:val="20"/>
              </w:rPr>
              <w:t>Growing</w:t>
            </w:r>
            <w:r>
              <w:rPr>
                <w:spacing w:val="-10"/>
                <w:sz w:val="20"/>
              </w:rPr>
              <w:t> </w:t>
            </w:r>
            <w:r>
              <w:rPr>
                <w:sz w:val="20"/>
              </w:rPr>
              <w:t>season</w:t>
            </w:r>
            <w:r>
              <w:rPr>
                <w:spacing w:val="-10"/>
                <w:sz w:val="20"/>
              </w:rPr>
              <w:t> </w:t>
            </w:r>
            <w:r>
              <w:rPr>
                <w:spacing w:val="-2"/>
                <w:sz w:val="20"/>
              </w:rPr>
              <w:t>reference</w:t>
            </w:r>
          </w:p>
        </w:tc>
      </w:tr>
      <w:tr>
        <w:trPr>
          <w:trHeight w:val="589" w:hRule="atLeast"/>
        </w:trPr>
        <w:tc>
          <w:tcPr>
            <w:tcW w:w="1264" w:type="dxa"/>
            <w:tcBorders>
              <w:right w:val="single" w:sz="4" w:space="0" w:color="000000"/>
            </w:tcBorders>
          </w:tcPr>
          <w:p>
            <w:pPr>
              <w:pStyle w:val="TableParagraph"/>
              <w:spacing w:before="93"/>
              <w:ind w:left="119"/>
              <w:rPr>
                <w:rFonts w:ascii="Courier New"/>
                <w:sz w:val="20"/>
              </w:rPr>
            </w:pPr>
            <w:r>
              <w:rPr>
                <w:rFonts w:ascii="Courier New"/>
                <w:spacing w:val="-2"/>
                <w:sz w:val="20"/>
              </w:rPr>
              <w:t>position</w:t>
            </w:r>
          </w:p>
        </w:tc>
        <w:tc>
          <w:tcPr>
            <w:tcW w:w="4447" w:type="dxa"/>
            <w:tcBorders>
              <w:left w:val="single" w:sz="4" w:space="0" w:color="000000"/>
              <w:right w:val="single" w:sz="4" w:space="0" w:color="000000"/>
            </w:tcBorders>
          </w:tcPr>
          <w:p>
            <w:pPr>
              <w:pStyle w:val="TableParagraph"/>
              <w:spacing w:before="72"/>
              <w:ind w:left="118"/>
              <w:rPr>
                <w:sz w:val="20"/>
              </w:rPr>
            </w:pPr>
            <w:r>
              <w:rPr>
                <w:rFonts w:ascii="Courier New"/>
                <w:sz w:val="20"/>
              </w:rPr>
              <w:t>c</w:t>
            </w:r>
            <w:r>
              <w:rPr>
                <w:rFonts w:ascii="Courier New"/>
                <w:spacing w:val="-71"/>
                <w:sz w:val="20"/>
              </w:rPr>
              <w:t> </w:t>
            </w:r>
            <w:r>
              <w:rPr>
                <w:sz w:val="20"/>
              </w:rPr>
              <w:t>(centred),</w:t>
            </w:r>
            <w:r>
              <w:rPr>
                <w:spacing w:val="-13"/>
                <w:sz w:val="20"/>
              </w:rPr>
              <w:t> </w:t>
            </w:r>
            <w:r>
              <w:rPr>
                <w:rFonts w:ascii="Courier New"/>
                <w:sz w:val="20"/>
              </w:rPr>
              <w:t>b</w:t>
            </w:r>
            <w:r>
              <w:rPr>
                <w:rFonts w:ascii="Courier New"/>
                <w:spacing w:val="-71"/>
                <w:sz w:val="20"/>
              </w:rPr>
              <w:t> </w:t>
            </w:r>
            <w:r>
              <w:rPr>
                <w:sz w:val="20"/>
              </w:rPr>
              <w:t>(before),</w:t>
            </w:r>
            <w:r>
              <w:rPr>
                <w:spacing w:val="-8"/>
                <w:sz w:val="20"/>
              </w:rPr>
              <w:t> </w:t>
            </w:r>
            <w:r>
              <w:rPr>
                <w:rFonts w:ascii="Courier New"/>
                <w:sz w:val="20"/>
              </w:rPr>
              <w:t>a</w:t>
            </w:r>
            <w:r>
              <w:rPr>
                <w:rFonts w:ascii="Courier New"/>
                <w:spacing w:val="-71"/>
                <w:sz w:val="20"/>
              </w:rPr>
              <w:t> </w:t>
            </w:r>
            <w:r>
              <w:rPr>
                <w:spacing w:val="-2"/>
                <w:sz w:val="20"/>
              </w:rPr>
              <w:t>(after)</w:t>
            </w:r>
          </w:p>
        </w:tc>
        <w:tc>
          <w:tcPr>
            <w:tcW w:w="2795" w:type="dxa"/>
            <w:tcBorders>
              <w:left w:val="single" w:sz="4" w:space="0" w:color="000000"/>
            </w:tcBorders>
          </w:tcPr>
          <w:p>
            <w:pPr>
              <w:pStyle w:val="TableParagraph"/>
              <w:spacing w:line="249" w:lineRule="auto" w:before="72"/>
              <w:ind w:left="117"/>
              <w:rPr>
                <w:sz w:val="20"/>
              </w:rPr>
            </w:pPr>
            <w:r>
              <w:rPr>
                <w:sz w:val="20"/>
              </w:rPr>
              <w:t>Window</w:t>
            </w:r>
            <w:r>
              <w:rPr>
                <w:spacing w:val="80"/>
                <w:sz w:val="20"/>
              </w:rPr>
              <w:t> </w:t>
            </w:r>
            <w:r>
              <w:rPr>
                <w:sz w:val="20"/>
              </w:rPr>
              <w:t>position</w:t>
            </w:r>
            <w:r>
              <w:rPr>
                <w:spacing w:val="80"/>
                <w:sz w:val="20"/>
              </w:rPr>
              <w:t> </w:t>
            </w:r>
            <w:r>
              <w:rPr>
                <w:sz w:val="20"/>
              </w:rPr>
              <w:t>relative</w:t>
            </w:r>
            <w:r>
              <w:rPr>
                <w:spacing w:val="80"/>
                <w:sz w:val="20"/>
              </w:rPr>
              <w:t> </w:t>
            </w:r>
            <w:r>
              <w:rPr>
                <w:sz w:val="20"/>
              </w:rPr>
              <w:t>to </w:t>
            </w:r>
            <w:r>
              <w:rPr>
                <w:spacing w:val="-2"/>
                <w:sz w:val="20"/>
              </w:rPr>
              <w:t>stage</w:t>
            </w:r>
          </w:p>
        </w:tc>
      </w:tr>
      <w:tr>
        <w:trPr>
          <w:trHeight w:val="348" w:hRule="atLeast"/>
        </w:trPr>
        <w:tc>
          <w:tcPr>
            <w:tcW w:w="1264" w:type="dxa"/>
            <w:tcBorders>
              <w:bottom w:val="single" w:sz="8" w:space="0" w:color="000000"/>
              <w:right w:val="single" w:sz="4" w:space="0" w:color="000000"/>
            </w:tcBorders>
          </w:tcPr>
          <w:p>
            <w:pPr>
              <w:pStyle w:val="TableParagraph"/>
              <w:spacing w:before="53"/>
              <w:ind w:left="119"/>
              <w:rPr>
                <w:rFonts w:ascii="Courier New"/>
                <w:sz w:val="20"/>
              </w:rPr>
            </w:pPr>
            <w:r>
              <w:rPr>
                <w:rFonts w:ascii="Courier New"/>
                <w:spacing w:val="-2"/>
                <w:sz w:val="20"/>
              </w:rPr>
              <w:t>width</w:t>
            </w:r>
          </w:p>
        </w:tc>
        <w:tc>
          <w:tcPr>
            <w:tcW w:w="4447" w:type="dxa"/>
            <w:tcBorders>
              <w:left w:val="single" w:sz="4" w:space="0" w:color="000000"/>
              <w:bottom w:val="single" w:sz="8" w:space="0" w:color="000000"/>
              <w:right w:val="single" w:sz="4" w:space="0" w:color="000000"/>
            </w:tcBorders>
          </w:tcPr>
          <w:p>
            <w:pPr>
              <w:pStyle w:val="TableParagraph"/>
              <w:ind w:left="118"/>
              <w:rPr>
                <w:sz w:val="20"/>
              </w:rPr>
            </w:pPr>
            <w:r>
              <w:rPr>
                <w:rFonts w:ascii="Courier New"/>
                <w:sz w:val="20"/>
              </w:rPr>
              <w:t>5,</w:t>
            </w:r>
            <w:r>
              <w:rPr>
                <w:rFonts w:ascii="Courier New"/>
                <w:spacing w:val="-6"/>
                <w:sz w:val="20"/>
              </w:rPr>
              <w:t> </w:t>
            </w:r>
            <w:r>
              <w:rPr>
                <w:rFonts w:ascii="Courier New"/>
                <w:sz w:val="20"/>
              </w:rPr>
              <w:t>10,</w:t>
            </w:r>
            <w:r>
              <w:rPr>
                <w:rFonts w:ascii="Courier New"/>
                <w:spacing w:val="-5"/>
                <w:sz w:val="20"/>
              </w:rPr>
              <w:t> </w:t>
            </w:r>
            <w:r>
              <w:rPr>
                <w:rFonts w:ascii="Courier New"/>
                <w:sz w:val="20"/>
              </w:rPr>
              <w:t>15,</w:t>
            </w:r>
            <w:r>
              <w:rPr>
                <w:rFonts w:ascii="Courier New"/>
                <w:spacing w:val="-5"/>
                <w:sz w:val="20"/>
              </w:rPr>
              <w:t> </w:t>
            </w:r>
            <w:r>
              <w:rPr>
                <w:rFonts w:ascii="Courier New"/>
                <w:sz w:val="20"/>
              </w:rPr>
              <w:t>20,</w:t>
            </w:r>
            <w:r>
              <w:rPr>
                <w:rFonts w:ascii="Courier New"/>
                <w:spacing w:val="-4"/>
                <w:sz w:val="20"/>
              </w:rPr>
              <w:t> </w:t>
            </w:r>
            <w:r>
              <w:rPr>
                <w:rFonts w:ascii="Courier New"/>
                <w:sz w:val="20"/>
              </w:rPr>
              <w:t>30</w:t>
            </w:r>
            <w:r>
              <w:rPr>
                <w:rFonts w:ascii="Courier New"/>
                <w:spacing w:val="-71"/>
                <w:sz w:val="20"/>
              </w:rPr>
              <w:t> </w:t>
            </w:r>
            <w:r>
              <w:rPr>
                <w:spacing w:val="-2"/>
                <w:sz w:val="20"/>
              </w:rPr>
              <w:t>(days)</w:t>
            </w:r>
          </w:p>
        </w:tc>
        <w:tc>
          <w:tcPr>
            <w:tcW w:w="2795" w:type="dxa"/>
            <w:tcBorders>
              <w:left w:val="single" w:sz="4" w:space="0" w:color="000000"/>
              <w:bottom w:val="single" w:sz="8" w:space="0" w:color="000000"/>
            </w:tcBorders>
          </w:tcPr>
          <w:p>
            <w:pPr>
              <w:pStyle w:val="TableParagraph"/>
              <w:ind w:left="117"/>
              <w:rPr>
                <w:sz w:val="20"/>
              </w:rPr>
            </w:pPr>
            <w:r>
              <w:rPr>
                <w:spacing w:val="-2"/>
                <w:sz w:val="20"/>
              </w:rPr>
              <w:t>Aggregation</w:t>
            </w:r>
            <w:r>
              <w:rPr>
                <w:spacing w:val="3"/>
                <w:sz w:val="20"/>
              </w:rPr>
              <w:t> </w:t>
            </w:r>
            <w:r>
              <w:rPr>
                <w:spacing w:val="-2"/>
                <w:sz w:val="20"/>
              </w:rPr>
              <w:t>window</w:t>
            </w:r>
            <w:r>
              <w:rPr>
                <w:spacing w:val="3"/>
                <w:sz w:val="20"/>
              </w:rPr>
              <w:t> </w:t>
            </w:r>
            <w:r>
              <w:rPr>
                <w:spacing w:val="-2"/>
                <w:sz w:val="20"/>
              </w:rPr>
              <w:t>width</w:t>
            </w:r>
          </w:p>
        </w:tc>
      </w:tr>
    </w:tbl>
    <w:p>
      <w:pPr>
        <w:pStyle w:val="BodyText"/>
        <w:spacing w:before="174"/>
        <w:rPr>
          <w:sz w:val="20"/>
        </w:rPr>
      </w:pPr>
    </w:p>
    <w:p>
      <w:pPr>
        <w:pStyle w:val="BodyText"/>
        <w:spacing w:line="312" w:lineRule="auto"/>
        <w:ind w:left="709" w:right="990" w:firstLine="338"/>
      </w:pPr>
      <w:r>
        <w:rPr/>
        <w:t>For example: swa_hv_y1_b20 = soil water availability (swa), in the 20 days BEFORE (b20) Harvest</w:t>
      </w:r>
      <w:r>
        <w:rPr>
          <w:spacing w:val="16"/>
        </w:rPr>
        <w:t> </w:t>
      </w:r>
      <w:r>
        <w:rPr/>
        <w:t>(hv),</w:t>
      </w:r>
      <w:r>
        <w:rPr>
          <w:spacing w:val="19"/>
        </w:rPr>
        <w:t> </w:t>
      </w:r>
      <w:r>
        <w:rPr/>
        <w:t>in</w:t>
      </w:r>
      <w:r>
        <w:rPr>
          <w:spacing w:val="17"/>
        </w:rPr>
        <w:t> </w:t>
      </w:r>
      <w:r>
        <w:rPr/>
        <w:t>the</w:t>
      </w:r>
      <w:r>
        <w:rPr>
          <w:spacing w:val="16"/>
        </w:rPr>
        <w:t> </w:t>
      </w:r>
      <w:r>
        <w:rPr/>
        <w:t>current</w:t>
      </w:r>
      <w:r>
        <w:rPr>
          <w:spacing w:val="17"/>
        </w:rPr>
        <w:t> </w:t>
      </w:r>
      <w:r>
        <w:rPr/>
        <w:t>year</w:t>
      </w:r>
      <w:r>
        <w:rPr>
          <w:spacing w:val="16"/>
        </w:rPr>
        <w:t> </w:t>
      </w:r>
      <w:r>
        <w:rPr/>
        <w:t>(y1).</w:t>
      </w:r>
      <w:r>
        <w:rPr>
          <w:spacing w:val="58"/>
        </w:rPr>
        <w:t> </w:t>
      </w:r>
      <w:r>
        <w:rPr/>
        <w:t>tm_fl_y0_b10</w:t>
      </w:r>
      <w:r>
        <w:rPr>
          <w:spacing w:val="17"/>
        </w:rPr>
        <w:t> </w:t>
      </w:r>
      <w:r>
        <w:rPr/>
        <w:t>=</w:t>
      </w:r>
      <w:r>
        <w:rPr>
          <w:spacing w:val="16"/>
        </w:rPr>
        <w:t> </w:t>
      </w:r>
      <w:r>
        <w:rPr/>
        <w:t>mean</w:t>
      </w:r>
      <w:r>
        <w:rPr>
          <w:spacing w:val="17"/>
        </w:rPr>
        <w:t> </w:t>
      </w:r>
      <w:r>
        <w:rPr/>
        <w:t>temperature</w:t>
      </w:r>
      <w:r>
        <w:rPr>
          <w:spacing w:val="16"/>
        </w:rPr>
        <w:t> </w:t>
      </w:r>
      <w:r>
        <w:rPr/>
        <w:t>(tm),</w:t>
      </w:r>
      <w:r>
        <w:rPr>
          <w:spacing w:val="19"/>
        </w:rPr>
        <w:t> </w:t>
      </w:r>
      <w:r>
        <w:rPr/>
        <w:t>in</w:t>
      </w:r>
      <w:r>
        <w:rPr>
          <w:spacing w:val="17"/>
        </w:rPr>
        <w:t> </w:t>
      </w:r>
      <w:r>
        <w:rPr/>
        <w:t>the</w:t>
      </w:r>
      <w:r>
        <w:rPr>
          <w:spacing w:val="16"/>
        </w:rPr>
        <w:t> </w:t>
      </w:r>
      <w:r>
        <w:rPr/>
        <w:t>10</w:t>
      </w:r>
      <w:r>
        <w:rPr>
          <w:spacing w:val="17"/>
        </w:rPr>
        <w:t> </w:t>
      </w:r>
      <w:r>
        <w:rPr>
          <w:spacing w:val="-4"/>
        </w:rPr>
        <w:t>days</w:t>
      </w:r>
    </w:p>
    <w:p>
      <w:pPr>
        <w:pStyle w:val="BodyText"/>
        <w:spacing w:after="0" w:line="312" w:lineRule="auto"/>
        <w:sectPr>
          <w:headerReference w:type="default" r:id="rId59"/>
          <w:headerReference w:type="even" r:id="rId60"/>
          <w:pgSz w:w="11910" w:h="16840"/>
          <w:pgMar w:header="1160" w:footer="0" w:top="1420" w:bottom="280" w:left="1275" w:right="425"/>
          <w:pgNumType w:start="35"/>
        </w:sectPr>
      </w:pPr>
    </w:p>
    <w:p>
      <w:pPr>
        <w:pStyle w:val="BodyText"/>
      </w:pPr>
    </w:p>
    <w:p>
      <w:pPr>
        <w:pStyle w:val="BodyText"/>
        <w:spacing w:before="25"/>
      </w:pPr>
    </w:p>
    <w:p>
      <w:pPr>
        <w:pStyle w:val="BodyText"/>
        <w:spacing w:line="312" w:lineRule="auto" w:before="1"/>
        <w:ind w:left="142" w:right="1530"/>
        <w:jc w:val="both"/>
      </w:pPr>
      <w:r>
        <w:rPr>
          <w:spacing w:val="-2"/>
        </w:rPr>
        <w:t>BEFORE</w:t>
      </w:r>
      <w:r>
        <w:rPr>
          <w:spacing w:val="-9"/>
        </w:rPr>
        <w:t> </w:t>
      </w:r>
      <w:r>
        <w:rPr>
          <w:spacing w:val="-2"/>
        </w:rPr>
        <w:t>(b10)</w:t>
      </w:r>
      <w:r>
        <w:rPr>
          <w:spacing w:val="-9"/>
        </w:rPr>
        <w:t> </w:t>
      </w:r>
      <w:r>
        <w:rPr>
          <w:spacing w:val="-2"/>
        </w:rPr>
        <w:t>Flowering</w:t>
      </w:r>
      <w:r>
        <w:rPr>
          <w:spacing w:val="-9"/>
        </w:rPr>
        <w:t> </w:t>
      </w:r>
      <w:r>
        <w:rPr>
          <w:spacing w:val="-2"/>
        </w:rPr>
        <w:t>(fl),</w:t>
      </w:r>
      <w:r>
        <w:rPr>
          <w:spacing w:val="-9"/>
        </w:rPr>
        <w:t> </w:t>
      </w:r>
      <w:r>
        <w:rPr>
          <w:spacing w:val="-2"/>
        </w:rPr>
        <w:t>in</w:t>
      </w:r>
      <w:r>
        <w:rPr>
          <w:spacing w:val="-9"/>
        </w:rPr>
        <w:t> </w:t>
      </w:r>
      <w:r>
        <w:rPr>
          <w:spacing w:val="-2"/>
        </w:rPr>
        <w:t>the</w:t>
      </w:r>
      <w:r>
        <w:rPr>
          <w:spacing w:val="-9"/>
        </w:rPr>
        <w:t> </w:t>
      </w:r>
      <w:r>
        <w:rPr>
          <w:spacing w:val="-2"/>
        </w:rPr>
        <w:t>PREVIOUS</w:t>
      </w:r>
      <w:r>
        <w:rPr>
          <w:spacing w:val="-9"/>
        </w:rPr>
        <w:t> </w:t>
      </w:r>
      <w:r>
        <w:rPr>
          <w:spacing w:val="-2"/>
        </w:rPr>
        <w:t>year</w:t>
      </w:r>
      <w:r>
        <w:rPr>
          <w:spacing w:val="-9"/>
        </w:rPr>
        <w:t> </w:t>
      </w:r>
      <w:r>
        <w:rPr>
          <w:spacing w:val="-2"/>
        </w:rPr>
        <w:t>(y0). iaf_fl_y1_a10</w:t>
      </w:r>
      <w:r>
        <w:rPr>
          <w:spacing w:val="-9"/>
        </w:rPr>
        <w:t> </w:t>
      </w:r>
      <w:r>
        <w:rPr>
          <w:spacing w:val="-2"/>
        </w:rPr>
        <w:t>=</w:t>
      </w:r>
      <w:r>
        <w:rPr>
          <w:spacing w:val="-9"/>
        </w:rPr>
        <w:t> </w:t>
      </w:r>
      <w:r>
        <w:rPr>
          <w:spacing w:val="-2"/>
        </w:rPr>
        <w:t>Leaf</w:t>
      </w:r>
      <w:r>
        <w:rPr>
          <w:spacing w:val="-9"/>
        </w:rPr>
        <w:t> </w:t>
      </w:r>
      <w:r>
        <w:rPr>
          <w:spacing w:val="-2"/>
        </w:rPr>
        <w:t>Area</w:t>
      </w:r>
      <w:r>
        <w:rPr>
          <w:spacing w:val="-9"/>
        </w:rPr>
        <w:t> </w:t>
      </w:r>
      <w:r>
        <w:rPr>
          <w:spacing w:val="-2"/>
        </w:rPr>
        <w:t>Index</w:t>
      </w:r>
      <w:r>
        <w:rPr>
          <w:spacing w:val="-9"/>
        </w:rPr>
        <w:t> </w:t>
      </w:r>
      <w:r>
        <w:rPr>
          <w:spacing w:val="-2"/>
        </w:rPr>
        <w:t>(iaf), </w:t>
      </w:r>
      <w:r>
        <w:rPr/>
        <w:t>in the 10 days AFTER (a10) Flowering (fl), in the current year (y1).</w:t>
      </w:r>
    </w:p>
    <w:p>
      <w:pPr>
        <w:pStyle w:val="BodyText"/>
        <w:spacing w:before="55"/>
      </w:pPr>
    </w:p>
    <w:p>
      <w:pPr>
        <w:pStyle w:val="Heading3"/>
        <w:numPr>
          <w:ilvl w:val="2"/>
          <w:numId w:val="17"/>
        </w:numPr>
        <w:tabs>
          <w:tab w:pos="979" w:val="left" w:leader="none"/>
        </w:tabs>
        <w:spacing w:line="240" w:lineRule="auto" w:before="0" w:after="0"/>
        <w:ind w:left="979" w:right="0" w:hanging="837"/>
        <w:jc w:val="left"/>
      </w:pPr>
      <w:bookmarkStart w:name="3.11.2 Feature Groups and Counts" w:id="115"/>
      <w:bookmarkEnd w:id="115"/>
      <w:r>
        <w:rPr>
          <w:b w:val="0"/>
        </w:rPr>
      </w:r>
      <w:bookmarkStart w:name="_bookmark63" w:id="116"/>
      <w:bookmarkEnd w:id="116"/>
      <w:r>
        <w:rPr>
          <w:b w:val="0"/>
        </w:rPr>
      </w:r>
      <w:r>
        <w:rPr/>
        <w:t>Feature</w:t>
      </w:r>
      <w:r>
        <w:rPr>
          <w:spacing w:val="-13"/>
        </w:rPr>
        <w:t> </w:t>
      </w:r>
      <w:r>
        <w:rPr/>
        <w:t>Groups</w:t>
      </w:r>
      <w:r>
        <w:rPr>
          <w:spacing w:val="-13"/>
        </w:rPr>
        <w:t> </w:t>
      </w:r>
      <w:r>
        <w:rPr/>
        <w:t>and</w:t>
      </w:r>
      <w:r>
        <w:rPr>
          <w:spacing w:val="-13"/>
        </w:rPr>
        <w:t> </w:t>
      </w:r>
      <w:r>
        <w:rPr>
          <w:spacing w:val="-2"/>
        </w:rPr>
        <w:t>Counts</w:t>
      </w:r>
    </w:p>
    <w:p>
      <w:pPr>
        <w:pStyle w:val="BodyText"/>
        <w:spacing w:line="312" w:lineRule="auto" w:before="218"/>
        <w:ind w:left="135" w:right="1557"/>
        <w:jc w:val="both"/>
      </w:pPr>
      <w:r>
        <w:rPr>
          <w:spacing w:val="-2"/>
        </w:rPr>
        <w:t>Table</w:t>
      </w:r>
      <w:r>
        <w:rPr>
          <w:spacing w:val="-7"/>
        </w:rPr>
        <w:t> </w:t>
      </w:r>
      <w:hyperlink w:history="true" w:anchor="_bookmark64">
        <w:r>
          <w:rPr>
            <w:color w:val="8B2C18"/>
            <w:spacing w:val="-2"/>
          </w:rPr>
          <w:t>3.12</w:t>
        </w:r>
      </w:hyperlink>
      <w:r>
        <w:rPr>
          <w:color w:val="8B2C18"/>
          <w:spacing w:val="-7"/>
        </w:rPr>
        <w:t> </w:t>
      </w:r>
      <w:r>
        <w:rPr>
          <w:spacing w:val="-2"/>
        </w:rPr>
        <w:t>summarises</w:t>
      </w:r>
      <w:r>
        <w:rPr>
          <w:spacing w:val="-8"/>
        </w:rPr>
        <w:t> </w:t>
      </w:r>
      <w:r>
        <w:rPr>
          <w:spacing w:val="-2"/>
        </w:rPr>
        <w:t>the</w:t>
      </w:r>
      <w:r>
        <w:rPr>
          <w:spacing w:val="-7"/>
        </w:rPr>
        <w:t> </w:t>
      </w:r>
      <w:r>
        <w:rPr>
          <w:spacing w:val="-2"/>
        </w:rPr>
        <w:t>59</w:t>
      </w:r>
      <w:r>
        <w:rPr>
          <w:spacing w:val="-7"/>
        </w:rPr>
        <w:t> </w:t>
      </w:r>
      <w:r>
        <w:rPr>
          <w:spacing w:val="-2"/>
        </w:rPr>
        <w:t>features</w:t>
      </w:r>
      <w:r>
        <w:rPr>
          <w:spacing w:val="-8"/>
        </w:rPr>
        <w:t> </w:t>
      </w:r>
      <w:r>
        <w:rPr>
          <w:spacing w:val="-2"/>
        </w:rPr>
        <w:t>by</w:t>
      </w:r>
      <w:r>
        <w:rPr>
          <w:spacing w:val="-7"/>
        </w:rPr>
        <w:t> </w:t>
      </w:r>
      <w:r>
        <w:rPr>
          <w:spacing w:val="-2"/>
        </w:rPr>
        <w:t>variable</w:t>
      </w:r>
      <w:r>
        <w:rPr>
          <w:spacing w:val="-7"/>
        </w:rPr>
        <w:t> </w:t>
      </w:r>
      <w:r>
        <w:rPr>
          <w:spacing w:val="-2"/>
        </w:rPr>
        <w:t>family</w:t>
      </w:r>
      <w:r>
        <w:rPr>
          <w:spacing w:val="-8"/>
        </w:rPr>
        <w:t> </w:t>
      </w:r>
      <w:r>
        <w:rPr>
          <w:spacing w:val="-2"/>
        </w:rPr>
        <w:t>and</w:t>
      </w:r>
      <w:r>
        <w:rPr>
          <w:spacing w:val="-7"/>
        </w:rPr>
        <w:t> </w:t>
      </w:r>
      <w:r>
        <w:rPr>
          <w:spacing w:val="-2"/>
        </w:rPr>
        <w:t>their</w:t>
      </w:r>
      <w:r>
        <w:rPr>
          <w:spacing w:val="-7"/>
        </w:rPr>
        <w:t> </w:t>
      </w:r>
      <w:r>
        <w:rPr>
          <w:spacing w:val="-2"/>
        </w:rPr>
        <w:t>counts. The</w:t>
      </w:r>
      <w:r>
        <w:rPr>
          <w:spacing w:val="-7"/>
        </w:rPr>
        <w:t> </w:t>
      </w:r>
      <w:r>
        <w:rPr>
          <w:spacing w:val="-2"/>
        </w:rPr>
        <w:t>distribution</w:t>
      </w:r>
      <w:r>
        <w:rPr>
          <w:spacing w:val="-7"/>
        </w:rPr>
        <w:t> </w:t>
      </w:r>
      <w:r>
        <w:rPr>
          <w:spacing w:val="-2"/>
        </w:rPr>
        <w:t>reflects </w:t>
      </w:r>
      <w:r>
        <w:rPr/>
        <w:t>the relative importance of different variable types in the viticulture literature: mean temperature (tm) and minimum temperature (tn) variables are most numerous because temperature governs nearly every phenological process; soil water and LAI variables are next because they are the primary within-season stress indicators; rainfall and heat/cold day counts complete the picture.</w:t>
      </w:r>
    </w:p>
    <w:p>
      <w:pPr>
        <w:spacing w:before="140"/>
        <w:ind w:left="725" w:right="0" w:firstLine="0"/>
        <w:jc w:val="both"/>
        <w:rPr>
          <w:sz w:val="20"/>
        </w:rPr>
      </w:pPr>
      <w:bookmarkStart w:name="_bookmark64" w:id="117"/>
      <w:bookmarkEnd w:id="117"/>
      <w:r>
        <w:rPr/>
      </w:r>
      <w:r>
        <w:rPr>
          <w:b/>
          <w:sz w:val="20"/>
        </w:rPr>
        <w:t>Table</w:t>
      </w:r>
      <w:r>
        <w:rPr>
          <w:b/>
          <w:spacing w:val="-9"/>
          <w:sz w:val="20"/>
        </w:rPr>
        <w:t> </w:t>
      </w:r>
      <w:r>
        <w:rPr>
          <w:b/>
          <w:sz w:val="20"/>
        </w:rPr>
        <w:t>3.12:</w:t>
      </w:r>
      <w:r>
        <w:rPr>
          <w:b/>
          <w:spacing w:val="1"/>
          <w:sz w:val="20"/>
        </w:rPr>
        <w:t> </w:t>
      </w:r>
      <w:r>
        <w:rPr>
          <w:sz w:val="20"/>
        </w:rPr>
        <w:t>Feature</w:t>
      </w:r>
      <w:r>
        <w:rPr>
          <w:spacing w:val="-8"/>
          <w:sz w:val="20"/>
        </w:rPr>
        <w:t> </w:t>
      </w:r>
      <w:r>
        <w:rPr>
          <w:sz w:val="20"/>
        </w:rPr>
        <w:t>groups,</w:t>
      </w:r>
      <w:r>
        <w:rPr>
          <w:spacing w:val="-9"/>
          <w:sz w:val="20"/>
        </w:rPr>
        <w:t> </w:t>
      </w:r>
      <w:r>
        <w:rPr>
          <w:sz w:val="20"/>
        </w:rPr>
        <w:t>counts,</w:t>
      </w:r>
      <w:r>
        <w:rPr>
          <w:spacing w:val="-8"/>
          <w:sz w:val="20"/>
        </w:rPr>
        <w:t> </w:t>
      </w:r>
      <w:r>
        <w:rPr>
          <w:sz w:val="20"/>
        </w:rPr>
        <w:t>and</w:t>
      </w:r>
      <w:r>
        <w:rPr>
          <w:spacing w:val="-9"/>
          <w:sz w:val="20"/>
        </w:rPr>
        <w:t> </w:t>
      </w:r>
      <w:r>
        <w:rPr>
          <w:sz w:val="20"/>
        </w:rPr>
        <w:t>agronomic</w:t>
      </w:r>
      <w:r>
        <w:rPr>
          <w:spacing w:val="-9"/>
          <w:sz w:val="20"/>
        </w:rPr>
        <w:t> </w:t>
      </w:r>
      <w:r>
        <w:rPr>
          <w:sz w:val="20"/>
        </w:rPr>
        <w:t>meanings.</w:t>
      </w:r>
      <w:r>
        <w:rPr>
          <w:spacing w:val="2"/>
          <w:sz w:val="20"/>
        </w:rPr>
        <w:t> </w:t>
      </w:r>
      <w:r>
        <w:rPr>
          <w:sz w:val="20"/>
        </w:rPr>
        <w:t>Total:</w:t>
      </w:r>
      <w:r>
        <w:rPr>
          <w:spacing w:val="1"/>
          <w:sz w:val="20"/>
        </w:rPr>
        <w:t> </w:t>
      </w:r>
      <w:r>
        <w:rPr>
          <w:sz w:val="20"/>
        </w:rPr>
        <w:t>59</w:t>
      </w:r>
      <w:r>
        <w:rPr>
          <w:spacing w:val="-8"/>
          <w:sz w:val="20"/>
        </w:rPr>
        <w:t> </w:t>
      </w:r>
      <w:r>
        <w:rPr>
          <w:sz w:val="20"/>
        </w:rPr>
        <w:t>features</w:t>
      </w:r>
      <w:r>
        <w:rPr>
          <w:spacing w:val="-9"/>
          <w:sz w:val="20"/>
        </w:rPr>
        <w:t> </w:t>
      </w:r>
      <w:r>
        <w:rPr>
          <w:sz w:val="20"/>
        </w:rPr>
        <w:t>per</w:t>
      </w:r>
      <w:r>
        <w:rPr>
          <w:spacing w:val="-8"/>
          <w:sz w:val="20"/>
        </w:rPr>
        <w:t> </w:t>
      </w:r>
      <w:r>
        <w:rPr>
          <w:spacing w:val="-2"/>
          <w:sz w:val="20"/>
        </w:rPr>
        <w:t>region.</w:t>
      </w:r>
    </w:p>
    <w:p>
      <w:pPr>
        <w:pStyle w:val="BodyText"/>
        <w:spacing w:before="5"/>
        <w:rPr>
          <w:sz w:val="18"/>
        </w:rPr>
      </w:pPr>
      <w:r>
        <w:rPr>
          <w:sz w:val="18"/>
        </w:rPr>
        <mc:AlternateContent>
          <mc:Choice Requires="wps">
            <w:drawing>
              <wp:anchor distT="0" distB="0" distL="0" distR="0" allowOverlap="1" layoutInCell="1" locked="0" behindDoc="1" simplePos="0" relativeHeight="487616000">
                <wp:simplePos x="0" y="0"/>
                <wp:positionH relativeFrom="page">
                  <wp:posOffset>899998</wp:posOffset>
                </wp:positionH>
                <wp:positionV relativeFrom="paragraph">
                  <wp:posOffset>150325</wp:posOffset>
                </wp:positionV>
                <wp:extent cx="5400040" cy="1270"/>
                <wp:effectExtent l="0" t="0" r="0" b="0"/>
                <wp:wrapTopAndBottom/>
                <wp:docPr id="147" name="Graphic 147"/>
                <wp:cNvGraphicFramePr>
                  <a:graphicFrameLocks/>
                </wp:cNvGraphicFramePr>
                <a:graphic>
                  <a:graphicData uri="http://schemas.microsoft.com/office/word/2010/wordprocessingShape">
                    <wps:wsp>
                      <wps:cNvPr id="147" name="Graphic 147"/>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1.836689pt;width:425.2pt;height:.1pt;mso-position-horizontal-relative:page;mso-position-vertical-relative:paragraph;z-index:-15700480;mso-wrap-distance-left:0;mso-wrap-distance-right:0" id="docshape119" coordorigin="1417,237" coordsize="8504,0" path="m1417,237l9921,237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1"/>
        <w:gridCol w:w="2515"/>
        <w:gridCol w:w="814"/>
        <w:gridCol w:w="2794"/>
      </w:tblGrid>
      <w:tr>
        <w:trPr>
          <w:trHeight w:val="346" w:hRule="atLeast"/>
        </w:trPr>
        <w:tc>
          <w:tcPr>
            <w:tcW w:w="2381" w:type="dxa"/>
            <w:tcBorders>
              <w:top w:val="nil"/>
              <w:left w:val="nil"/>
              <w:right w:val="single" w:sz="4" w:space="0" w:color="000000"/>
            </w:tcBorders>
          </w:tcPr>
          <w:p>
            <w:pPr>
              <w:pStyle w:val="TableParagraph"/>
              <w:spacing w:before="31"/>
              <w:ind w:left="119"/>
              <w:rPr>
                <w:b/>
                <w:sz w:val="20"/>
              </w:rPr>
            </w:pPr>
            <w:r>
              <w:rPr>
                <w:b/>
                <w:spacing w:val="-4"/>
                <w:sz w:val="20"/>
              </w:rPr>
              <w:t>Variable</w:t>
            </w:r>
            <w:r>
              <w:rPr>
                <w:b/>
                <w:spacing w:val="4"/>
                <w:sz w:val="20"/>
              </w:rPr>
              <w:t> </w:t>
            </w:r>
            <w:r>
              <w:rPr>
                <w:b/>
                <w:spacing w:val="-2"/>
                <w:sz w:val="20"/>
              </w:rPr>
              <w:t>family</w:t>
            </w:r>
          </w:p>
        </w:tc>
        <w:tc>
          <w:tcPr>
            <w:tcW w:w="2515" w:type="dxa"/>
            <w:tcBorders>
              <w:top w:val="nil"/>
              <w:left w:val="single" w:sz="4" w:space="0" w:color="000000"/>
              <w:right w:val="single" w:sz="4" w:space="0" w:color="000000"/>
            </w:tcBorders>
          </w:tcPr>
          <w:p>
            <w:pPr>
              <w:pStyle w:val="TableParagraph"/>
              <w:spacing w:before="31"/>
              <w:ind w:left="118"/>
              <w:rPr>
                <w:b/>
                <w:sz w:val="20"/>
              </w:rPr>
            </w:pPr>
            <w:r>
              <w:rPr>
                <w:b/>
                <w:spacing w:val="-2"/>
                <w:sz w:val="20"/>
              </w:rPr>
              <w:t>Symbol</w:t>
            </w:r>
          </w:p>
        </w:tc>
        <w:tc>
          <w:tcPr>
            <w:tcW w:w="814" w:type="dxa"/>
            <w:tcBorders>
              <w:top w:val="nil"/>
              <w:left w:val="single" w:sz="4" w:space="0" w:color="000000"/>
              <w:right w:val="single" w:sz="4" w:space="0" w:color="000000"/>
            </w:tcBorders>
          </w:tcPr>
          <w:p>
            <w:pPr>
              <w:pStyle w:val="TableParagraph"/>
              <w:spacing w:before="31"/>
              <w:ind w:left="118"/>
              <w:rPr>
                <w:b/>
                <w:sz w:val="20"/>
              </w:rPr>
            </w:pPr>
            <w:r>
              <w:rPr>
                <w:b/>
                <w:spacing w:val="-10"/>
                <w:sz w:val="20"/>
              </w:rPr>
              <w:t>N</w:t>
            </w:r>
          </w:p>
        </w:tc>
        <w:tc>
          <w:tcPr>
            <w:tcW w:w="2794" w:type="dxa"/>
            <w:tcBorders>
              <w:top w:val="nil"/>
              <w:left w:val="single" w:sz="4" w:space="0" w:color="000000"/>
              <w:right w:val="nil"/>
            </w:tcBorders>
          </w:tcPr>
          <w:p>
            <w:pPr>
              <w:pStyle w:val="TableParagraph"/>
              <w:spacing w:before="31"/>
              <w:ind w:left="118"/>
              <w:rPr>
                <w:b/>
                <w:sz w:val="20"/>
              </w:rPr>
            </w:pPr>
            <w:r>
              <w:rPr>
                <w:b/>
                <w:sz w:val="20"/>
              </w:rPr>
              <w:t>What</w:t>
            </w:r>
            <w:r>
              <w:rPr>
                <w:b/>
                <w:spacing w:val="-4"/>
                <w:sz w:val="20"/>
              </w:rPr>
              <w:t> </w:t>
            </w:r>
            <w:r>
              <w:rPr>
                <w:b/>
                <w:sz w:val="20"/>
              </w:rPr>
              <w:t>it</w:t>
            </w:r>
            <w:r>
              <w:rPr>
                <w:b/>
                <w:spacing w:val="-4"/>
                <w:sz w:val="20"/>
              </w:rPr>
              <w:t> </w:t>
            </w:r>
            <w:r>
              <w:rPr>
                <w:b/>
                <w:spacing w:val="-2"/>
                <w:sz w:val="20"/>
              </w:rPr>
              <w:t>measures</w:t>
            </w:r>
          </w:p>
        </w:tc>
      </w:tr>
    </w:tbl>
    <w:p>
      <w:pPr>
        <w:pStyle w:val="BodyText"/>
        <w:spacing w:before="10"/>
        <w:rPr>
          <w:sz w:val="4"/>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81"/>
        <w:gridCol w:w="2515"/>
        <w:gridCol w:w="814"/>
        <w:gridCol w:w="2794"/>
      </w:tblGrid>
      <w:tr>
        <w:trPr>
          <w:trHeight w:val="548" w:hRule="atLeast"/>
        </w:trPr>
        <w:tc>
          <w:tcPr>
            <w:tcW w:w="2381" w:type="dxa"/>
            <w:tcBorders>
              <w:right w:val="single" w:sz="4" w:space="0" w:color="000000"/>
            </w:tcBorders>
          </w:tcPr>
          <w:p>
            <w:pPr>
              <w:pStyle w:val="TableParagraph"/>
              <w:spacing w:before="31"/>
              <w:ind w:left="119"/>
              <w:rPr>
                <w:sz w:val="20"/>
              </w:rPr>
            </w:pPr>
            <w:r>
              <w:rPr>
                <w:sz w:val="20"/>
              </w:rPr>
              <w:t>Mean</w:t>
            </w:r>
            <w:r>
              <w:rPr>
                <w:spacing w:val="-6"/>
                <w:sz w:val="20"/>
              </w:rPr>
              <w:t> </w:t>
            </w:r>
            <w:r>
              <w:rPr>
                <w:sz w:val="20"/>
              </w:rPr>
              <w:t>daily</w:t>
            </w:r>
            <w:r>
              <w:rPr>
                <w:spacing w:val="-5"/>
                <w:sz w:val="20"/>
              </w:rPr>
              <w:t> </w:t>
            </w:r>
            <w:r>
              <w:rPr>
                <w:spacing w:val="-2"/>
                <w:sz w:val="20"/>
              </w:rPr>
              <w:t>temperature</w:t>
            </w:r>
          </w:p>
        </w:tc>
        <w:tc>
          <w:tcPr>
            <w:tcW w:w="2515" w:type="dxa"/>
            <w:tcBorders>
              <w:left w:val="single" w:sz="4" w:space="0" w:color="000000"/>
              <w:right w:val="single" w:sz="4" w:space="0" w:color="000000"/>
            </w:tcBorders>
          </w:tcPr>
          <w:p>
            <w:pPr>
              <w:pStyle w:val="TableParagraph"/>
              <w:spacing w:before="31"/>
              <w:ind w:left="118"/>
              <w:rPr>
                <w:sz w:val="20"/>
              </w:rPr>
            </w:pPr>
            <w:r>
              <w:rPr>
                <w:spacing w:val="-5"/>
                <w:sz w:val="20"/>
              </w:rPr>
              <w:t>tm</w:t>
            </w:r>
          </w:p>
        </w:tc>
        <w:tc>
          <w:tcPr>
            <w:tcW w:w="814" w:type="dxa"/>
            <w:tcBorders>
              <w:left w:val="single" w:sz="4" w:space="0" w:color="000000"/>
              <w:right w:val="single" w:sz="4" w:space="0" w:color="000000"/>
            </w:tcBorders>
          </w:tcPr>
          <w:p>
            <w:pPr>
              <w:pStyle w:val="TableParagraph"/>
              <w:spacing w:before="31"/>
              <w:ind w:left="118"/>
              <w:rPr>
                <w:sz w:val="20"/>
              </w:rPr>
            </w:pPr>
            <w:r>
              <w:rPr>
                <w:spacing w:val="-5"/>
                <w:sz w:val="20"/>
              </w:rPr>
              <w:t>12</w:t>
            </w:r>
          </w:p>
        </w:tc>
        <w:tc>
          <w:tcPr>
            <w:tcW w:w="2794" w:type="dxa"/>
            <w:tcBorders>
              <w:left w:val="single" w:sz="4" w:space="0" w:color="000000"/>
            </w:tcBorders>
          </w:tcPr>
          <w:p>
            <w:pPr>
              <w:pStyle w:val="TableParagraph"/>
              <w:spacing w:line="249" w:lineRule="auto" w:before="31"/>
              <w:ind w:left="118"/>
              <w:rPr>
                <w:sz w:val="20"/>
              </w:rPr>
            </w:pPr>
            <w:r>
              <w:rPr>
                <w:sz w:val="20"/>
              </w:rPr>
              <w:t>Average</w:t>
            </w:r>
            <w:r>
              <w:rPr>
                <w:spacing w:val="32"/>
                <w:sz w:val="20"/>
              </w:rPr>
              <w:t> </w:t>
            </w:r>
            <w:r>
              <w:rPr>
                <w:sz w:val="20"/>
              </w:rPr>
              <w:t>thermal</w:t>
            </w:r>
            <w:r>
              <w:rPr>
                <w:spacing w:val="32"/>
                <w:sz w:val="20"/>
              </w:rPr>
              <w:t> </w:t>
            </w:r>
            <w:r>
              <w:rPr>
                <w:sz w:val="20"/>
              </w:rPr>
              <w:t>conditions</w:t>
            </w:r>
            <w:r>
              <w:rPr>
                <w:spacing w:val="32"/>
                <w:sz w:val="20"/>
              </w:rPr>
              <w:t> </w:t>
            </w:r>
            <w:r>
              <w:rPr>
                <w:sz w:val="20"/>
              </w:rPr>
              <w:t>at key phenological windows</w:t>
            </w:r>
          </w:p>
        </w:tc>
      </w:tr>
      <w:tr>
        <w:trPr>
          <w:trHeight w:val="549" w:hRule="atLeast"/>
        </w:trPr>
        <w:tc>
          <w:tcPr>
            <w:tcW w:w="2381" w:type="dxa"/>
            <w:tcBorders>
              <w:right w:val="single" w:sz="4" w:space="0" w:color="000000"/>
            </w:tcBorders>
          </w:tcPr>
          <w:p>
            <w:pPr>
              <w:pStyle w:val="TableParagraph"/>
              <w:ind w:left="119"/>
              <w:rPr>
                <w:sz w:val="20"/>
              </w:rPr>
            </w:pPr>
            <w:r>
              <w:rPr>
                <w:sz w:val="20"/>
              </w:rPr>
              <w:t>Leaf</w:t>
            </w:r>
            <w:r>
              <w:rPr>
                <w:spacing w:val="-5"/>
                <w:sz w:val="20"/>
              </w:rPr>
              <w:t> </w:t>
            </w:r>
            <w:r>
              <w:rPr>
                <w:sz w:val="20"/>
              </w:rPr>
              <w:t>Area</w:t>
            </w:r>
            <w:r>
              <w:rPr>
                <w:spacing w:val="-5"/>
                <w:sz w:val="20"/>
              </w:rPr>
              <w:t> </w:t>
            </w:r>
            <w:r>
              <w:rPr>
                <w:spacing w:val="-2"/>
                <w:sz w:val="20"/>
              </w:rPr>
              <w:t>Index</w:t>
            </w:r>
          </w:p>
        </w:tc>
        <w:tc>
          <w:tcPr>
            <w:tcW w:w="2515" w:type="dxa"/>
            <w:tcBorders>
              <w:left w:val="single" w:sz="4" w:space="0" w:color="000000"/>
              <w:right w:val="single" w:sz="4" w:space="0" w:color="000000"/>
            </w:tcBorders>
          </w:tcPr>
          <w:p>
            <w:pPr>
              <w:pStyle w:val="TableParagraph"/>
              <w:ind w:left="118"/>
              <w:rPr>
                <w:sz w:val="20"/>
              </w:rPr>
            </w:pPr>
            <w:r>
              <w:rPr>
                <w:spacing w:val="-5"/>
                <w:sz w:val="20"/>
              </w:rPr>
              <w:t>iaf</w:t>
            </w:r>
          </w:p>
        </w:tc>
        <w:tc>
          <w:tcPr>
            <w:tcW w:w="814" w:type="dxa"/>
            <w:tcBorders>
              <w:left w:val="single" w:sz="4" w:space="0" w:color="000000"/>
              <w:right w:val="single" w:sz="4" w:space="0" w:color="000000"/>
            </w:tcBorders>
          </w:tcPr>
          <w:p>
            <w:pPr>
              <w:pStyle w:val="TableParagraph"/>
              <w:ind w:left="118"/>
              <w:rPr>
                <w:sz w:val="20"/>
              </w:rPr>
            </w:pPr>
            <w:r>
              <w:rPr>
                <w:spacing w:val="-5"/>
                <w:sz w:val="20"/>
              </w:rPr>
              <w:t>10</w:t>
            </w:r>
          </w:p>
        </w:tc>
        <w:tc>
          <w:tcPr>
            <w:tcW w:w="2794" w:type="dxa"/>
            <w:tcBorders>
              <w:left w:val="single" w:sz="4" w:space="0" w:color="000000"/>
            </w:tcBorders>
          </w:tcPr>
          <w:p>
            <w:pPr>
              <w:pStyle w:val="TableParagraph"/>
              <w:spacing w:line="249" w:lineRule="auto"/>
              <w:ind w:left="118"/>
              <w:rPr>
                <w:sz w:val="20"/>
              </w:rPr>
            </w:pPr>
            <w:r>
              <w:rPr>
                <w:spacing w:val="-4"/>
                <w:sz w:val="20"/>
              </w:rPr>
              <w:t>Vine</w:t>
            </w:r>
            <w:r>
              <w:rPr>
                <w:spacing w:val="-10"/>
                <w:sz w:val="20"/>
              </w:rPr>
              <w:t> </w:t>
            </w:r>
            <w:r>
              <w:rPr>
                <w:spacing w:val="-4"/>
                <w:sz w:val="20"/>
              </w:rPr>
              <w:t>canopy</w:t>
            </w:r>
            <w:r>
              <w:rPr>
                <w:spacing w:val="-10"/>
                <w:sz w:val="20"/>
              </w:rPr>
              <w:t> </w:t>
            </w:r>
            <w:r>
              <w:rPr>
                <w:spacing w:val="-4"/>
                <w:sz w:val="20"/>
              </w:rPr>
              <w:t>development,</w:t>
            </w:r>
            <w:r>
              <w:rPr>
                <w:spacing w:val="-9"/>
                <w:sz w:val="20"/>
              </w:rPr>
              <w:t> </w:t>
            </w:r>
            <w:r>
              <w:rPr>
                <w:spacing w:val="-4"/>
                <w:sz w:val="20"/>
              </w:rPr>
              <w:t>proxy </w:t>
            </w:r>
            <w:r>
              <w:rPr>
                <w:sz w:val="20"/>
              </w:rPr>
              <w:t>for vegetative vigour</w:t>
            </w:r>
          </w:p>
        </w:tc>
      </w:tr>
      <w:tr>
        <w:trPr>
          <w:trHeight w:val="549" w:hRule="atLeast"/>
        </w:trPr>
        <w:tc>
          <w:tcPr>
            <w:tcW w:w="2381" w:type="dxa"/>
            <w:tcBorders>
              <w:right w:val="single" w:sz="4" w:space="0" w:color="000000"/>
            </w:tcBorders>
          </w:tcPr>
          <w:p>
            <w:pPr>
              <w:pStyle w:val="TableParagraph"/>
              <w:ind w:left="119"/>
              <w:rPr>
                <w:sz w:val="20"/>
              </w:rPr>
            </w:pPr>
            <w:r>
              <w:rPr>
                <w:sz w:val="20"/>
              </w:rPr>
              <w:t>Soil</w:t>
            </w:r>
            <w:r>
              <w:rPr>
                <w:spacing w:val="-10"/>
                <w:sz w:val="20"/>
              </w:rPr>
              <w:t> </w:t>
            </w:r>
            <w:r>
              <w:rPr>
                <w:sz w:val="20"/>
              </w:rPr>
              <w:t>water</w:t>
            </w:r>
            <w:r>
              <w:rPr>
                <w:spacing w:val="-9"/>
                <w:sz w:val="20"/>
              </w:rPr>
              <w:t> </w:t>
            </w:r>
            <w:r>
              <w:rPr>
                <w:sz w:val="20"/>
              </w:rPr>
              <w:t>deficit</w:t>
            </w:r>
            <w:r>
              <w:rPr>
                <w:spacing w:val="-9"/>
                <w:sz w:val="20"/>
              </w:rPr>
              <w:t> </w:t>
            </w:r>
            <w:r>
              <w:rPr>
                <w:spacing w:val="-4"/>
                <w:sz w:val="20"/>
              </w:rPr>
              <w:t>days</w:t>
            </w:r>
          </w:p>
        </w:tc>
        <w:tc>
          <w:tcPr>
            <w:tcW w:w="2515" w:type="dxa"/>
            <w:tcBorders>
              <w:left w:val="single" w:sz="4" w:space="0" w:color="000000"/>
              <w:right w:val="single" w:sz="4" w:space="0" w:color="000000"/>
            </w:tcBorders>
          </w:tcPr>
          <w:p>
            <w:pPr>
              <w:pStyle w:val="TableParagraph"/>
              <w:ind w:left="118"/>
              <w:rPr>
                <w:sz w:val="20"/>
              </w:rPr>
            </w:pPr>
            <w:r>
              <w:rPr>
                <w:spacing w:val="-2"/>
                <w:sz w:val="20"/>
              </w:rPr>
              <w:t>sw.less.15wp</w:t>
            </w:r>
          </w:p>
        </w:tc>
        <w:tc>
          <w:tcPr>
            <w:tcW w:w="814" w:type="dxa"/>
            <w:tcBorders>
              <w:left w:val="single" w:sz="4" w:space="0" w:color="000000"/>
              <w:right w:val="single" w:sz="4" w:space="0" w:color="000000"/>
            </w:tcBorders>
          </w:tcPr>
          <w:p>
            <w:pPr>
              <w:pStyle w:val="TableParagraph"/>
              <w:ind w:left="118"/>
              <w:rPr>
                <w:sz w:val="20"/>
              </w:rPr>
            </w:pPr>
            <w:r>
              <w:rPr>
                <w:spacing w:val="-10"/>
                <w:sz w:val="20"/>
              </w:rPr>
              <w:t>8</w:t>
            </w:r>
          </w:p>
        </w:tc>
        <w:tc>
          <w:tcPr>
            <w:tcW w:w="2794" w:type="dxa"/>
            <w:tcBorders>
              <w:left w:val="single" w:sz="4" w:space="0" w:color="000000"/>
            </w:tcBorders>
          </w:tcPr>
          <w:p>
            <w:pPr>
              <w:pStyle w:val="TableParagraph"/>
              <w:spacing w:line="211" w:lineRule="auto" w:before="3"/>
              <w:ind w:left="111" w:firstLine="7"/>
              <w:rPr>
                <w:sz w:val="20"/>
              </w:rPr>
            </w:pPr>
            <w:r>
              <w:rPr>
                <w:sz w:val="20"/>
              </w:rPr>
              <w:t>Days</w:t>
            </w:r>
            <w:r>
              <w:rPr>
                <w:spacing w:val="32"/>
                <w:sz w:val="20"/>
              </w:rPr>
              <w:t> </w:t>
            </w:r>
            <w:r>
              <w:rPr>
                <w:sz w:val="20"/>
              </w:rPr>
              <w:t>when</w:t>
            </w:r>
            <w:r>
              <w:rPr>
                <w:spacing w:val="32"/>
                <w:sz w:val="20"/>
              </w:rPr>
              <w:t> </w:t>
            </w:r>
            <w:r>
              <w:rPr>
                <w:sz w:val="20"/>
              </w:rPr>
              <w:t>soil</w:t>
            </w:r>
            <w:r>
              <w:rPr>
                <w:spacing w:val="32"/>
                <w:sz w:val="20"/>
              </w:rPr>
              <w:t> </w:t>
            </w:r>
            <w:r>
              <w:rPr>
                <w:sz w:val="20"/>
              </w:rPr>
              <w:t>water</w:t>
            </w:r>
            <w:r>
              <w:rPr>
                <w:spacing w:val="32"/>
                <w:sz w:val="20"/>
              </w:rPr>
              <w:t> </w:t>
            </w:r>
            <w:r>
              <w:rPr>
                <w:sz w:val="20"/>
              </w:rPr>
              <w:t>&lt;</w:t>
            </w:r>
            <w:r>
              <w:rPr>
                <w:spacing w:val="32"/>
                <w:sz w:val="20"/>
              </w:rPr>
              <w:t> </w:t>
            </w:r>
            <w:r>
              <w:rPr>
                <w:sz w:val="20"/>
              </w:rPr>
              <w:t>1.5</w:t>
            </w:r>
            <w:r>
              <w:rPr>
                <w:rFonts w:ascii="Meiryo UI" w:hAnsi="Meiryo UI"/>
                <w:i/>
                <w:sz w:val="20"/>
              </w:rPr>
              <w:t>×</w:t>
            </w:r>
            <w:r>
              <w:rPr>
                <w:rFonts w:ascii="Meiryo UI" w:hAnsi="Meiryo UI"/>
                <w:i/>
                <w:sz w:val="20"/>
              </w:rPr>
              <w:t> </w:t>
            </w:r>
            <w:r>
              <w:rPr>
                <w:sz w:val="20"/>
              </w:rPr>
              <w:t>wilting point, severe stress</w:t>
            </w:r>
          </w:p>
        </w:tc>
      </w:tr>
      <w:tr>
        <w:trPr>
          <w:trHeight w:val="549" w:hRule="atLeast"/>
        </w:trPr>
        <w:tc>
          <w:tcPr>
            <w:tcW w:w="2381" w:type="dxa"/>
            <w:tcBorders>
              <w:right w:val="single" w:sz="4" w:space="0" w:color="000000"/>
            </w:tcBorders>
          </w:tcPr>
          <w:p>
            <w:pPr>
              <w:pStyle w:val="TableParagraph"/>
              <w:ind w:left="119"/>
              <w:rPr>
                <w:sz w:val="20"/>
              </w:rPr>
            </w:pPr>
            <w:r>
              <w:rPr>
                <w:sz w:val="20"/>
              </w:rPr>
              <w:t>Rainfall</w:t>
            </w:r>
            <w:r>
              <w:rPr>
                <w:spacing w:val="-12"/>
                <w:sz w:val="20"/>
              </w:rPr>
              <w:t> </w:t>
            </w:r>
            <w:r>
              <w:rPr>
                <w:sz w:val="20"/>
              </w:rPr>
              <w:t>event</w:t>
            </w:r>
            <w:r>
              <w:rPr>
                <w:spacing w:val="-11"/>
                <w:sz w:val="20"/>
              </w:rPr>
              <w:t> </w:t>
            </w:r>
            <w:r>
              <w:rPr>
                <w:spacing w:val="-2"/>
                <w:sz w:val="20"/>
              </w:rPr>
              <w:t>count</w:t>
            </w:r>
          </w:p>
        </w:tc>
        <w:tc>
          <w:tcPr>
            <w:tcW w:w="2515" w:type="dxa"/>
            <w:tcBorders>
              <w:left w:val="single" w:sz="4" w:space="0" w:color="000000"/>
              <w:right w:val="single" w:sz="4" w:space="0" w:color="000000"/>
            </w:tcBorders>
          </w:tcPr>
          <w:p>
            <w:pPr>
              <w:pStyle w:val="TableParagraph"/>
              <w:ind w:left="118"/>
              <w:rPr>
                <w:sz w:val="20"/>
              </w:rPr>
            </w:pPr>
            <w:r>
              <w:rPr>
                <w:spacing w:val="-2"/>
                <w:sz w:val="20"/>
              </w:rPr>
              <w:t>days.rf.above.1mm</w:t>
            </w:r>
          </w:p>
        </w:tc>
        <w:tc>
          <w:tcPr>
            <w:tcW w:w="814" w:type="dxa"/>
            <w:tcBorders>
              <w:left w:val="single" w:sz="4" w:space="0" w:color="000000"/>
              <w:right w:val="single" w:sz="4" w:space="0" w:color="000000"/>
            </w:tcBorders>
          </w:tcPr>
          <w:p>
            <w:pPr>
              <w:pStyle w:val="TableParagraph"/>
              <w:ind w:left="118"/>
              <w:rPr>
                <w:sz w:val="20"/>
              </w:rPr>
            </w:pPr>
            <w:r>
              <w:rPr>
                <w:spacing w:val="-10"/>
                <w:sz w:val="20"/>
              </w:rPr>
              <w:t>6</w:t>
            </w:r>
          </w:p>
        </w:tc>
        <w:tc>
          <w:tcPr>
            <w:tcW w:w="2794" w:type="dxa"/>
            <w:tcBorders>
              <w:left w:val="single" w:sz="4" w:space="0" w:color="000000"/>
            </w:tcBorders>
          </w:tcPr>
          <w:p>
            <w:pPr>
              <w:pStyle w:val="TableParagraph"/>
              <w:spacing w:line="249" w:lineRule="auto"/>
              <w:ind w:left="118"/>
              <w:rPr>
                <w:sz w:val="20"/>
              </w:rPr>
            </w:pPr>
            <w:r>
              <w:rPr>
                <w:spacing w:val="-2"/>
                <w:sz w:val="20"/>
              </w:rPr>
              <w:t>Number</w:t>
            </w:r>
            <w:r>
              <w:rPr>
                <w:spacing w:val="-9"/>
                <w:sz w:val="20"/>
              </w:rPr>
              <w:t> </w:t>
            </w:r>
            <w:r>
              <w:rPr>
                <w:spacing w:val="-2"/>
                <w:sz w:val="20"/>
              </w:rPr>
              <w:t>of</w:t>
            </w:r>
            <w:r>
              <w:rPr>
                <w:spacing w:val="-9"/>
                <w:sz w:val="20"/>
              </w:rPr>
              <w:t> </w:t>
            </w:r>
            <w:r>
              <w:rPr>
                <w:spacing w:val="-2"/>
                <w:sz w:val="20"/>
              </w:rPr>
              <w:t>days</w:t>
            </w:r>
            <w:r>
              <w:rPr>
                <w:spacing w:val="-9"/>
                <w:sz w:val="20"/>
              </w:rPr>
              <w:t> </w:t>
            </w:r>
            <w:r>
              <w:rPr>
                <w:spacing w:val="-2"/>
                <w:sz w:val="20"/>
              </w:rPr>
              <w:t>with</w:t>
            </w:r>
            <w:r>
              <w:rPr>
                <w:spacing w:val="-9"/>
                <w:sz w:val="20"/>
              </w:rPr>
              <w:t> </w:t>
            </w:r>
            <w:r>
              <w:rPr>
                <w:spacing w:val="-2"/>
                <w:sz w:val="20"/>
              </w:rPr>
              <w:t>rainfall</w:t>
            </w:r>
            <w:r>
              <w:rPr>
                <w:spacing w:val="-9"/>
                <w:sz w:val="20"/>
              </w:rPr>
              <w:t> </w:t>
            </w:r>
            <w:r>
              <w:rPr>
                <w:spacing w:val="-2"/>
                <w:sz w:val="20"/>
              </w:rPr>
              <w:t>&gt;</w:t>
            </w:r>
            <w:r>
              <w:rPr>
                <w:spacing w:val="-9"/>
                <w:sz w:val="20"/>
              </w:rPr>
              <w:t> </w:t>
            </w:r>
            <w:r>
              <w:rPr>
                <w:spacing w:val="-2"/>
                <w:sz w:val="20"/>
              </w:rPr>
              <w:t>1 </w:t>
            </w:r>
            <w:r>
              <w:rPr>
                <w:sz w:val="20"/>
              </w:rPr>
              <w:t>mm, disease pressure proxy</w:t>
            </w:r>
          </w:p>
        </w:tc>
      </w:tr>
      <w:tr>
        <w:trPr>
          <w:trHeight w:val="549" w:hRule="atLeast"/>
        </w:trPr>
        <w:tc>
          <w:tcPr>
            <w:tcW w:w="2381" w:type="dxa"/>
            <w:tcBorders>
              <w:right w:val="single" w:sz="4" w:space="0" w:color="000000"/>
            </w:tcBorders>
          </w:tcPr>
          <w:p>
            <w:pPr>
              <w:pStyle w:val="TableParagraph"/>
              <w:ind w:left="119"/>
              <w:rPr>
                <w:sz w:val="20"/>
              </w:rPr>
            </w:pPr>
            <w:r>
              <w:rPr>
                <w:sz w:val="20"/>
              </w:rPr>
              <w:t>Soil</w:t>
            </w:r>
            <w:r>
              <w:rPr>
                <w:spacing w:val="-6"/>
                <w:sz w:val="20"/>
              </w:rPr>
              <w:t> </w:t>
            </w:r>
            <w:r>
              <w:rPr>
                <w:sz w:val="20"/>
              </w:rPr>
              <w:t>water</w:t>
            </w:r>
            <w:r>
              <w:rPr>
                <w:spacing w:val="-6"/>
                <w:sz w:val="20"/>
              </w:rPr>
              <w:t> </w:t>
            </w:r>
            <w:r>
              <w:rPr>
                <w:spacing w:val="-2"/>
                <w:sz w:val="20"/>
              </w:rPr>
              <w:t>availability</w:t>
            </w:r>
          </w:p>
        </w:tc>
        <w:tc>
          <w:tcPr>
            <w:tcW w:w="2515" w:type="dxa"/>
            <w:tcBorders>
              <w:left w:val="single" w:sz="4" w:space="0" w:color="000000"/>
              <w:right w:val="single" w:sz="4" w:space="0" w:color="000000"/>
            </w:tcBorders>
          </w:tcPr>
          <w:p>
            <w:pPr>
              <w:pStyle w:val="TableParagraph"/>
              <w:ind w:left="118"/>
              <w:rPr>
                <w:sz w:val="20"/>
              </w:rPr>
            </w:pPr>
            <w:r>
              <w:rPr>
                <w:spacing w:val="-5"/>
                <w:sz w:val="20"/>
              </w:rPr>
              <w:t>swa</w:t>
            </w:r>
          </w:p>
        </w:tc>
        <w:tc>
          <w:tcPr>
            <w:tcW w:w="814" w:type="dxa"/>
            <w:tcBorders>
              <w:left w:val="single" w:sz="4" w:space="0" w:color="000000"/>
              <w:right w:val="single" w:sz="4" w:space="0" w:color="000000"/>
            </w:tcBorders>
          </w:tcPr>
          <w:p>
            <w:pPr>
              <w:pStyle w:val="TableParagraph"/>
              <w:ind w:left="118"/>
              <w:rPr>
                <w:sz w:val="20"/>
              </w:rPr>
            </w:pPr>
            <w:r>
              <w:rPr>
                <w:spacing w:val="-10"/>
                <w:sz w:val="20"/>
              </w:rPr>
              <w:t>5</w:t>
            </w:r>
          </w:p>
        </w:tc>
        <w:tc>
          <w:tcPr>
            <w:tcW w:w="2794" w:type="dxa"/>
            <w:tcBorders>
              <w:left w:val="single" w:sz="4" w:space="0" w:color="000000"/>
            </w:tcBorders>
          </w:tcPr>
          <w:p>
            <w:pPr>
              <w:pStyle w:val="TableParagraph"/>
              <w:spacing w:line="249" w:lineRule="auto"/>
              <w:ind w:left="118"/>
              <w:rPr>
                <w:sz w:val="20"/>
              </w:rPr>
            </w:pPr>
            <w:r>
              <w:rPr>
                <w:sz w:val="20"/>
              </w:rPr>
              <w:t>Absolute soil water balance </w:t>
            </w:r>
            <w:r>
              <w:rPr>
                <w:sz w:val="20"/>
              </w:rPr>
              <w:t>at harvest</w:t>
            </w:r>
            <w:r>
              <w:rPr>
                <w:spacing w:val="-1"/>
                <w:sz w:val="20"/>
              </w:rPr>
              <w:t> </w:t>
            </w:r>
            <w:r>
              <w:rPr>
                <w:sz w:val="20"/>
              </w:rPr>
              <w:t>and</w:t>
            </w:r>
            <w:r>
              <w:rPr>
                <w:spacing w:val="-1"/>
                <w:sz w:val="20"/>
              </w:rPr>
              <w:t> </w:t>
            </w:r>
            <w:r>
              <w:rPr>
                <w:sz w:val="20"/>
              </w:rPr>
              <w:t>flowering</w:t>
            </w:r>
            <w:r>
              <w:rPr>
                <w:spacing w:val="-1"/>
                <w:sz w:val="20"/>
              </w:rPr>
              <w:t> </w:t>
            </w:r>
            <w:r>
              <w:rPr>
                <w:sz w:val="20"/>
              </w:rPr>
              <w:t>windows</w:t>
            </w:r>
          </w:p>
        </w:tc>
      </w:tr>
      <w:tr>
        <w:trPr>
          <w:trHeight w:val="549" w:hRule="atLeast"/>
        </w:trPr>
        <w:tc>
          <w:tcPr>
            <w:tcW w:w="2381" w:type="dxa"/>
            <w:tcBorders>
              <w:right w:val="single" w:sz="4" w:space="0" w:color="000000"/>
            </w:tcBorders>
          </w:tcPr>
          <w:p>
            <w:pPr>
              <w:pStyle w:val="TableParagraph"/>
              <w:ind w:left="119"/>
              <w:rPr>
                <w:sz w:val="20"/>
              </w:rPr>
            </w:pPr>
            <w:r>
              <w:rPr>
                <w:sz w:val="20"/>
              </w:rPr>
              <w:t>Soil</w:t>
            </w:r>
            <w:r>
              <w:rPr>
                <w:spacing w:val="-7"/>
                <w:sz w:val="20"/>
              </w:rPr>
              <w:t> </w:t>
            </w:r>
            <w:r>
              <w:rPr>
                <w:sz w:val="20"/>
              </w:rPr>
              <w:t>saturation</w:t>
            </w:r>
            <w:r>
              <w:rPr>
                <w:spacing w:val="-7"/>
                <w:sz w:val="20"/>
              </w:rPr>
              <w:t> </w:t>
            </w:r>
            <w:r>
              <w:rPr>
                <w:spacing w:val="-4"/>
                <w:sz w:val="20"/>
              </w:rPr>
              <w:t>days</w:t>
            </w:r>
          </w:p>
        </w:tc>
        <w:tc>
          <w:tcPr>
            <w:tcW w:w="2515" w:type="dxa"/>
            <w:tcBorders>
              <w:left w:val="single" w:sz="4" w:space="0" w:color="000000"/>
              <w:right w:val="single" w:sz="4" w:space="0" w:color="000000"/>
            </w:tcBorders>
          </w:tcPr>
          <w:p>
            <w:pPr>
              <w:pStyle w:val="TableParagraph"/>
              <w:ind w:left="118"/>
              <w:rPr>
                <w:sz w:val="20"/>
              </w:rPr>
            </w:pPr>
            <w:r>
              <w:rPr>
                <w:spacing w:val="-2"/>
                <w:sz w:val="20"/>
              </w:rPr>
              <w:t>sw.above.09fc</w:t>
            </w:r>
          </w:p>
        </w:tc>
        <w:tc>
          <w:tcPr>
            <w:tcW w:w="814" w:type="dxa"/>
            <w:tcBorders>
              <w:left w:val="single" w:sz="4" w:space="0" w:color="000000"/>
              <w:right w:val="single" w:sz="4" w:space="0" w:color="000000"/>
            </w:tcBorders>
          </w:tcPr>
          <w:p>
            <w:pPr>
              <w:pStyle w:val="TableParagraph"/>
              <w:ind w:left="118"/>
              <w:rPr>
                <w:sz w:val="20"/>
              </w:rPr>
            </w:pPr>
            <w:r>
              <w:rPr>
                <w:spacing w:val="-10"/>
                <w:sz w:val="20"/>
              </w:rPr>
              <w:t>4</w:t>
            </w:r>
          </w:p>
        </w:tc>
        <w:tc>
          <w:tcPr>
            <w:tcW w:w="2794" w:type="dxa"/>
            <w:tcBorders>
              <w:left w:val="single" w:sz="4" w:space="0" w:color="000000"/>
            </w:tcBorders>
          </w:tcPr>
          <w:p>
            <w:pPr>
              <w:pStyle w:val="TableParagraph"/>
              <w:spacing w:line="249" w:lineRule="auto"/>
              <w:ind w:left="118"/>
              <w:rPr>
                <w:sz w:val="20"/>
              </w:rPr>
            </w:pPr>
            <w:r>
              <w:rPr>
                <w:sz w:val="20"/>
              </w:rPr>
              <w:t>Days</w:t>
            </w:r>
            <w:r>
              <w:rPr>
                <w:spacing w:val="40"/>
                <w:sz w:val="20"/>
              </w:rPr>
              <w:t> </w:t>
            </w:r>
            <w:r>
              <w:rPr>
                <w:sz w:val="20"/>
              </w:rPr>
              <w:t>when</w:t>
            </w:r>
            <w:r>
              <w:rPr>
                <w:spacing w:val="40"/>
                <w:sz w:val="20"/>
              </w:rPr>
              <w:t> </w:t>
            </w:r>
            <w:r>
              <w:rPr>
                <w:sz w:val="20"/>
              </w:rPr>
              <w:t>soil</w:t>
            </w:r>
            <w:r>
              <w:rPr>
                <w:spacing w:val="40"/>
                <w:sz w:val="20"/>
              </w:rPr>
              <w:t> </w:t>
            </w:r>
            <w:r>
              <w:rPr>
                <w:sz w:val="20"/>
              </w:rPr>
              <w:t>water</w:t>
            </w:r>
            <w:r>
              <w:rPr>
                <w:spacing w:val="40"/>
                <w:sz w:val="20"/>
              </w:rPr>
              <w:t> </w:t>
            </w:r>
            <w:r>
              <w:rPr>
                <w:sz w:val="20"/>
              </w:rPr>
              <w:t>&gt;</w:t>
            </w:r>
            <w:r>
              <w:rPr>
                <w:spacing w:val="40"/>
                <w:sz w:val="20"/>
              </w:rPr>
              <w:t> </w:t>
            </w:r>
            <w:r>
              <w:rPr>
                <w:sz w:val="20"/>
              </w:rPr>
              <w:t>90% field capacity, excess moisture</w:t>
            </w:r>
          </w:p>
        </w:tc>
      </w:tr>
      <w:tr>
        <w:trPr>
          <w:trHeight w:val="549" w:hRule="atLeast"/>
        </w:trPr>
        <w:tc>
          <w:tcPr>
            <w:tcW w:w="2381" w:type="dxa"/>
            <w:tcBorders>
              <w:right w:val="single" w:sz="4" w:space="0" w:color="000000"/>
            </w:tcBorders>
          </w:tcPr>
          <w:p>
            <w:pPr>
              <w:pStyle w:val="TableParagraph"/>
              <w:spacing w:line="199" w:lineRule="auto" w:before="64"/>
              <w:ind w:left="119"/>
              <w:rPr>
                <w:sz w:val="20"/>
              </w:rPr>
            </w:pPr>
            <w:r>
              <w:rPr>
                <w:sz w:val="20"/>
              </w:rPr>
              <w:t>Heat stress days (Tmax </w:t>
            </w:r>
            <w:r>
              <w:rPr>
                <w:sz w:val="20"/>
              </w:rPr>
              <w:t>&gt; </w:t>
            </w:r>
            <w:r>
              <w:rPr>
                <w:spacing w:val="-4"/>
                <w:sz w:val="20"/>
              </w:rPr>
              <w:t>35</w:t>
            </w:r>
            <w:r>
              <w:rPr>
                <w:rFonts w:ascii="Meiryo UI" w:hAnsi="Meiryo UI"/>
                <w:i/>
                <w:spacing w:val="-4"/>
                <w:sz w:val="20"/>
                <w:vertAlign w:val="superscript"/>
              </w:rPr>
              <w:t>◦</w:t>
            </w:r>
            <w:r>
              <w:rPr>
                <w:spacing w:val="-4"/>
                <w:sz w:val="20"/>
                <w:vertAlign w:val="baseline"/>
              </w:rPr>
              <w:t>C)</w:t>
            </w:r>
          </w:p>
        </w:tc>
        <w:tc>
          <w:tcPr>
            <w:tcW w:w="2515" w:type="dxa"/>
            <w:tcBorders>
              <w:left w:val="single" w:sz="4" w:space="0" w:color="000000"/>
              <w:right w:val="single" w:sz="4" w:space="0" w:color="000000"/>
            </w:tcBorders>
          </w:tcPr>
          <w:p>
            <w:pPr>
              <w:pStyle w:val="TableParagraph"/>
              <w:tabs>
                <w:tab w:pos="2340" w:val="left" w:leader="none"/>
              </w:tabs>
              <w:spacing w:line="249" w:lineRule="auto"/>
              <w:ind w:left="118" w:right="105"/>
              <w:rPr>
                <w:sz w:val="20"/>
              </w:rPr>
            </w:pPr>
            <w:r>
              <w:rPr>
                <w:spacing w:val="-2"/>
                <w:sz w:val="20"/>
              </w:rPr>
              <w:t>days.maxTemp.above.35</w:t>
            </w:r>
            <w:r>
              <w:rPr>
                <w:sz w:val="20"/>
              </w:rPr>
              <w:tab/>
            </w:r>
            <w:r>
              <w:rPr>
                <w:spacing w:val="-10"/>
                <w:sz w:val="20"/>
              </w:rPr>
              <w:t>/</w:t>
            </w:r>
            <w:r>
              <w:rPr>
                <w:spacing w:val="-2"/>
                <w:sz w:val="20"/>
              </w:rPr>
              <w:t> days.tempMax.above.35</w:t>
            </w:r>
          </w:p>
        </w:tc>
        <w:tc>
          <w:tcPr>
            <w:tcW w:w="814" w:type="dxa"/>
            <w:tcBorders>
              <w:left w:val="single" w:sz="4" w:space="0" w:color="000000"/>
              <w:right w:val="single" w:sz="4" w:space="0" w:color="000000"/>
            </w:tcBorders>
          </w:tcPr>
          <w:p>
            <w:pPr>
              <w:pStyle w:val="TableParagraph"/>
              <w:ind w:left="118"/>
              <w:rPr>
                <w:sz w:val="20"/>
              </w:rPr>
            </w:pPr>
            <w:r>
              <w:rPr>
                <w:spacing w:val="-10"/>
                <w:sz w:val="20"/>
              </w:rPr>
              <w:t>4</w:t>
            </w:r>
          </w:p>
        </w:tc>
        <w:tc>
          <w:tcPr>
            <w:tcW w:w="2794" w:type="dxa"/>
            <w:tcBorders>
              <w:left w:val="single" w:sz="4" w:space="0" w:color="000000"/>
            </w:tcBorders>
          </w:tcPr>
          <w:p>
            <w:pPr>
              <w:pStyle w:val="TableParagraph"/>
              <w:spacing w:line="249" w:lineRule="auto"/>
              <w:ind w:left="118"/>
              <w:rPr>
                <w:sz w:val="20"/>
              </w:rPr>
            </w:pPr>
            <w:r>
              <w:rPr>
                <w:spacing w:val="-4"/>
                <w:sz w:val="20"/>
              </w:rPr>
              <w:t>Extreme</w:t>
            </w:r>
            <w:r>
              <w:rPr>
                <w:spacing w:val="-12"/>
                <w:sz w:val="20"/>
              </w:rPr>
              <w:t> </w:t>
            </w:r>
            <w:r>
              <w:rPr>
                <w:spacing w:val="-4"/>
                <w:sz w:val="20"/>
              </w:rPr>
              <w:t>heat</w:t>
            </w:r>
            <w:r>
              <w:rPr>
                <w:spacing w:val="-12"/>
                <w:sz w:val="20"/>
              </w:rPr>
              <w:t> </w:t>
            </w:r>
            <w:r>
              <w:rPr>
                <w:spacing w:val="-4"/>
                <w:sz w:val="20"/>
              </w:rPr>
              <w:t>events,</w:t>
            </w:r>
            <w:r>
              <w:rPr>
                <w:spacing w:val="-10"/>
                <w:sz w:val="20"/>
              </w:rPr>
              <w:t> </w:t>
            </w:r>
            <w:r>
              <w:rPr>
                <w:spacing w:val="-4"/>
                <w:sz w:val="20"/>
              </w:rPr>
              <w:t>flower</w:t>
            </w:r>
            <w:r>
              <w:rPr>
                <w:spacing w:val="-12"/>
                <w:sz w:val="20"/>
              </w:rPr>
              <w:t> </w:t>
            </w:r>
            <w:r>
              <w:rPr>
                <w:spacing w:val="-4"/>
                <w:sz w:val="20"/>
              </w:rPr>
              <w:t>abor-</w:t>
            </w:r>
            <w:r>
              <w:rPr>
                <w:sz w:val="20"/>
              </w:rPr>
              <w:t>tion and thermal damage</w:t>
            </w:r>
          </w:p>
        </w:tc>
      </w:tr>
      <w:tr>
        <w:trPr>
          <w:trHeight w:val="549" w:hRule="atLeast"/>
        </w:trPr>
        <w:tc>
          <w:tcPr>
            <w:tcW w:w="2381" w:type="dxa"/>
            <w:tcBorders>
              <w:right w:val="single" w:sz="4" w:space="0" w:color="000000"/>
            </w:tcBorders>
          </w:tcPr>
          <w:p>
            <w:pPr>
              <w:pStyle w:val="TableParagraph"/>
              <w:ind w:left="119"/>
              <w:rPr>
                <w:sz w:val="20"/>
              </w:rPr>
            </w:pPr>
            <w:r>
              <w:rPr>
                <w:sz w:val="20"/>
              </w:rPr>
              <w:t>Rainfall</w:t>
            </w:r>
            <w:r>
              <w:rPr>
                <w:spacing w:val="-10"/>
                <w:sz w:val="20"/>
              </w:rPr>
              <w:t> </w:t>
            </w:r>
            <w:r>
              <w:rPr>
                <w:spacing w:val="-5"/>
                <w:sz w:val="20"/>
              </w:rPr>
              <w:t>sum</w:t>
            </w:r>
          </w:p>
        </w:tc>
        <w:tc>
          <w:tcPr>
            <w:tcW w:w="2515" w:type="dxa"/>
            <w:tcBorders>
              <w:left w:val="single" w:sz="4" w:space="0" w:color="000000"/>
              <w:right w:val="single" w:sz="4" w:space="0" w:color="000000"/>
            </w:tcBorders>
          </w:tcPr>
          <w:p>
            <w:pPr>
              <w:pStyle w:val="TableParagraph"/>
              <w:ind w:left="118"/>
              <w:rPr>
                <w:sz w:val="20"/>
              </w:rPr>
            </w:pPr>
            <w:r>
              <w:rPr>
                <w:spacing w:val="-5"/>
                <w:sz w:val="20"/>
              </w:rPr>
              <w:t>rf</w:t>
            </w:r>
          </w:p>
        </w:tc>
        <w:tc>
          <w:tcPr>
            <w:tcW w:w="814" w:type="dxa"/>
            <w:tcBorders>
              <w:left w:val="single" w:sz="4" w:space="0" w:color="000000"/>
              <w:right w:val="single" w:sz="4" w:space="0" w:color="000000"/>
            </w:tcBorders>
          </w:tcPr>
          <w:p>
            <w:pPr>
              <w:pStyle w:val="TableParagraph"/>
              <w:ind w:left="118"/>
              <w:rPr>
                <w:sz w:val="20"/>
              </w:rPr>
            </w:pPr>
            <w:r>
              <w:rPr>
                <w:spacing w:val="-10"/>
                <w:sz w:val="20"/>
              </w:rPr>
              <w:t>3</w:t>
            </w:r>
          </w:p>
        </w:tc>
        <w:tc>
          <w:tcPr>
            <w:tcW w:w="2794" w:type="dxa"/>
            <w:tcBorders>
              <w:left w:val="single" w:sz="4" w:space="0" w:color="000000"/>
            </w:tcBorders>
          </w:tcPr>
          <w:p>
            <w:pPr>
              <w:pStyle w:val="TableParagraph"/>
              <w:spacing w:line="249" w:lineRule="auto"/>
              <w:ind w:left="118" w:right="111"/>
              <w:rPr>
                <w:sz w:val="20"/>
              </w:rPr>
            </w:pPr>
            <w:r>
              <w:rPr>
                <w:spacing w:val="-2"/>
                <w:sz w:val="20"/>
              </w:rPr>
              <w:t>Total</w:t>
            </w:r>
            <w:r>
              <w:rPr>
                <w:spacing w:val="-13"/>
                <w:sz w:val="20"/>
              </w:rPr>
              <w:t> </w:t>
            </w:r>
            <w:r>
              <w:rPr>
                <w:spacing w:val="-2"/>
                <w:sz w:val="20"/>
              </w:rPr>
              <w:t>precipitation</w:t>
            </w:r>
            <w:r>
              <w:rPr>
                <w:spacing w:val="-10"/>
                <w:sz w:val="20"/>
              </w:rPr>
              <w:t> </w:t>
            </w:r>
            <w:r>
              <w:rPr>
                <w:spacing w:val="-2"/>
                <w:sz w:val="20"/>
              </w:rPr>
              <w:t>at</w:t>
            </w:r>
            <w:r>
              <w:rPr>
                <w:spacing w:val="-11"/>
                <w:sz w:val="20"/>
              </w:rPr>
              <w:t> </w:t>
            </w:r>
            <w:r>
              <w:rPr>
                <w:spacing w:val="-2"/>
                <w:sz w:val="20"/>
              </w:rPr>
              <w:t>harvest</w:t>
            </w:r>
            <w:r>
              <w:rPr>
                <w:spacing w:val="-10"/>
                <w:sz w:val="20"/>
              </w:rPr>
              <w:t> </w:t>
            </w:r>
            <w:r>
              <w:rPr>
                <w:spacing w:val="-2"/>
                <w:sz w:val="20"/>
              </w:rPr>
              <w:t>and </w:t>
            </w:r>
            <w:r>
              <w:rPr>
                <w:sz w:val="20"/>
              </w:rPr>
              <w:t>flowering windows</w:t>
            </w:r>
          </w:p>
        </w:tc>
      </w:tr>
      <w:tr>
        <w:trPr>
          <w:trHeight w:val="549" w:hRule="atLeast"/>
        </w:trPr>
        <w:tc>
          <w:tcPr>
            <w:tcW w:w="2381" w:type="dxa"/>
            <w:tcBorders>
              <w:right w:val="single" w:sz="4" w:space="0" w:color="000000"/>
            </w:tcBorders>
          </w:tcPr>
          <w:p>
            <w:pPr>
              <w:pStyle w:val="TableParagraph"/>
              <w:spacing w:line="303" w:lineRule="exact" w:before="0"/>
              <w:ind w:left="119"/>
              <w:rPr>
                <w:sz w:val="20"/>
              </w:rPr>
            </w:pPr>
            <w:r>
              <w:rPr>
                <w:sz w:val="20"/>
              </w:rPr>
              <w:t>Cold</w:t>
            </w:r>
            <w:r>
              <w:rPr>
                <w:spacing w:val="-5"/>
                <w:sz w:val="20"/>
              </w:rPr>
              <w:t> </w:t>
            </w:r>
            <w:r>
              <w:rPr>
                <w:sz w:val="20"/>
              </w:rPr>
              <w:t>days</w:t>
            </w:r>
            <w:r>
              <w:rPr>
                <w:spacing w:val="-4"/>
                <w:sz w:val="20"/>
              </w:rPr>
              <w:t> </w:t>
            </w:r>
            <w:r>
              <w:rPr>
                <w:sz w:val="20"/>
              </w:rPr>
              <w:t>(Tmed</w:t>
            </w:r>
            <w:r>
              <w:rPr>
                <w:spacing w:val="-5"/>
                <w:sz w:val="20"/>
              </w:rPr>
              <w:t> </w:t>
            </w:r>
            <w:r>
              <w:rPr>
                <w:sz w:val="20"/>
              </w:rPr>
              <w:t>&lt;</w:t>
            </w:r>
            <w:r>
              <w:rPr>
                <w:spacing w:val="-5"/>
                <w:sz w:val="20"/>
              </w:rPr>
              <w:t> </w:t>
            </w:r>
            <w:r>
              <w:rPr>
                <w:spacing w:val="-4"/>
                <w:sz w:val="20"/>
              </w:rPr>
              <w:t>15</w:t>
            </w:r>
            <w:r>
              <w:rPr>
                <w:rFonts w:ascii="Meiryo UI" w:hAnsi="Meiryo UI"/>
                <w:i/>
                <w:spacing w:val="-4"/>
                <w:sz w:val="20"/>
                <w:vertAlign w:val="superscript"/>
              </w:rPr>
              <w:t>◦</w:t>
            </w:r>
            <w:r>
              <w:rPr>
                <w:spacing w:val="-4"/>
                <w:sz w:val="20"/>
                <w:vertAlign w:val="baseline"/>
              </w:rPr>
              <w:t>C)</w:t>
            </w:r>
          </w:p>
        </w:tc>
        <w:tc>
          <w:tcPr>
            <w:tcW w:w="2515" w:type="dxa"/>
            <w:tcBorders>
              <w:left w:val="single" w:sz="4" w:space="0" w:color="000000"/>
              <w:right w:val="single" w:sz="4" w:space="0" w:color="000000"/>
            </w:tcBorders>
          </w:tcPr>
          <w:p>
            <w:pPr>
              <w:pStyle w:val="TableParagraph"/>
              <w:ind w:left="118"/>
              <w:rPr>
                <w:sz w:val="20"/>
              </w:rPr>
            </w:pPr>
            <w:r>
              <w:rPr>
                <w:spacing w:val="-2"/>
                <w:sz w:val="20"/>
              </w:rPr>
              <w:t>tm.days.less.15</w:t>
            </w:r>
          </w:p>
        </w:tc>
        <w:tc>
          <w:tcPr>
            <w:tcW w:w="814" w:type="dxa"/>
            <w:tcBorders>
              <w:left w:val="single" w:sz="4" w:space="0" w:color="000000"/>
              <w:right w:val="single" w:sz="4" w:space="0" w:color="000000"/>
            </w:tcBorders>
          </w:tcPr>
          <w:p>
            <w:pPr>
              <w:pStyle w:val="TableParagraph"/>
              <w:ind w:left="118"/>
              <w:rPr>
                <w:sz w:val="20"/>
              </w:rPr>
            </w:pPr>
            <w:r>
              <w:rPr>
                <w:spacing w:val="-10"/>
                <w:sz w:val="20"/>
              </w:rPr>
              <w:t>2</w:t>
            </w:r>
          </w:p>
        </w:tc>
        <w:tc>
          <w:tcPr>
            <w:tcW w:w="2794" w:type="dxa"/>
            <w:tcBorders>
              <w:left w:val="single" w:sz="4" w:space="0" w:color="000000"/>
            </w:tcBorders>
          </w:tcPr>
          <w:p>
            <w:pPr>
              <w:pStyle w:val="TableParagraph"/>
              <w:spacing w:line="249" w:lineRule="auto"/>
              <w:ind w:left="118"/>
              <w:rPr>
                <w:sz w:val="20"/>
              </w:rPr>
            </w:pPr>
            <w:r>
              <w:rPr>
                <w:sz w:val="20"/>
              </w:rPr>
              <w:t>Cool</w:t>
            </w:r>
            <w:r>
              <w:rPr>
                <w:spacing w:val="-14"/>
                <w:sz w:val="20"/>
              </w:rPr>
              <w:t> </w:t>
            </w:r>
            <w:r>
              <w:rPr>
                <w:sz w:val="20"/>
              </w:rPr>
              <w:t>days</w:t>
            </w:r>
            <w:r>
              <w:rPr>
                <w:spacing w:val="-12"/>
                <w:sz w:val="20"/>
              </w:rPr>
              <w:t> </w:t>
            </w:r>
            <w:r>
              <w:rPr>
                <w:sz w:val="20"/>
              </w:rPr>
              <w:t>impairing</w:t>
            </w:r>
            <w:r>
              <w:rPr>
                <w:spacing w:val="-12"/>
                <w:sz w:val="20"/>
              </w:rPr>
              <w:t> </w:t>
            </w:r>
            <w:r>
              <w:rPr>
                <w:sz w:val="20"/>
              </w:rPr>
              <w:t>pollination and fruit set</w:t>
            </w:r>
          </w:p>
        </w:tc>
      </w:tr>
      <w:tr>
        <w:trPr>
          <w:trHeight w:val="549" w:hRule="atLeast"/>
        </w:trPr>
        <w:tc>
          <w:tcPr>
            <w:tcW w:w="2381" w:type="dxa"/>
            <w:tcBorders>
              <w:right w:val="single" w:sz="4" w:space="0" w:color="000000"/>
            </w:tcBorders>
          </w:tcPr>
          <w:p>
            <w:pPr>
              <w:pStyle w:val="TableParagraph"/>
              <w:spacing w:line="303" w:lineRule="exact" w:before="0"/>
              <w:ind w:left="119"/>
              <w:rPr>
                <w:sz w:val="20"/>
              </w:rPr>
            </w:pPr>
            <w:r>
              <w:rPr>
                <w:sz w:val="20"/>
              </w:rPr>
              <w:t>Frost</w:t>
            </w:r>
            <w:r>
              <w:rPr>
                <w:spacing w:val="-5"/>
                <w:sz w:val="20"/>
              </w:rPr>
              <w:t> </w:t>
            </w:r>
            <w:r>
              <w:rPr>
                <w:sz w:val="20"/>
              </w:rPr>
              <w:t>days</w:t>
            </w:r>
            <w:r>
              <w:rPr>
                <w:spacing w:val="-4"/>
                <w:sz w:val="20"/>
              </w:rPr>
              <w:t> </w:t>
            </w:r>
            <w:r>
              <w:rPr>
                <w:sz w:val="20"/>
              </w:rPr>
              <w:t>(Tmin</w:t>
            </w:r>
            <w:r>
              <w:rPr>
                <w:spacing w:val="-5"/>
                <w:sz w:val="20"/>
              </w:rPr>
              <w:t> </w:t>
            </w:r>
            <w:r>
              <w:rPr>
                <w:sz w:val="20"/>
              </w:rPr>
              <w:t>&lt;</w:t>
            </w:r>
            <w:r>
              <w:rPr>
                <w:spacing w:val="-4"/>
                <w:sz w:val="20"/>
              </w:rPr>
              <w:t> 0</w:t>
            </w:r>
            <w:r>
              <w:rPr>
                <w:rFonts w:ascii="Meiryo UI" w:hAnsi="Meiryo UI"/>
                <w:i/>
                <w:spacing w:val="-4"/>
                <w:sz w:val="20"/>
                <w:vertAlign w:val="superscript"/>
              </w:rPr>
              <w:t>◦</w:t>
            </w:r>
            <w:r>
              <w:rPr>
                <w:spacing w:val="-4"/>
                <w:sz w:val="20"/>
                <w:vertAlign w:val="baseline"/>
              </w:rPr>
              <w:t>C)</w:t>
            </w:r>
          </w:p>
        </w:tc>
        <w:tc>
          <w:tcPr>
            <w:tcW w:w="2515" w:type="dxa"/>
            <w:tcBorders>
              <w:left w:val="single" w:sz="4" w:space="0" w:color="000000"/>
              <w:right w:val="single" w:sz="4" w:space="0" w:color="000000"/>
            </w:tcBorders>
          </w:tcPr>
          <w:p>
            <w:pPr>
              <w:pStyle w:val="TableParagraph"/>
              <w:ind w:left="118"/>
              <w:rPr>
                <w:sz w:val="20"/>
              </w:rPr>
            </w:pPr>
            <w:r>
              <w:rPr>
                <w:spacing w:val="-2"/>
                <w:sz w:val="20"/>
              </w:rPr>
              <w:t>days.minTemp.less.0</w:t>
            </w:r>
          </w:p>
        </w:tc>
        <w:tc>
          <w:tcPr>
            <w:tcW w:w="814" w:type="dxa"/>
            <w:tcBorders>
              <w:left w:val="single" w:sz="4" w:space="0" w:color="000000"/>
              <w:right w:val="single" w:sz="4" w:space="0" w:color="000000"/>
            </w:tcBorders>
          </w:tcPr>
          <w:p>
            <w:pPr>
              <w:pStyle w:val="TableParagraph"/>
              <w:ind w:left="118"/>
              <w:rPr>
                <w:sz w:val="20"/>
              </w:rPr>
            </w:pPr>
            <w:r>
              <w:rPr>
                <w:spacing w:val="-10"/>
                <w:sz w:val="20"/>
              </w:rPr>
              <w:t>2</w:t>
            </w:r>
          </w:p>
        </w:tc>
        <w:tc>
          <w:tcPr>
            <w:tcW w:w="2794" w:type="dxa"/>
            <w:tcBorders>
              <w:left w:val="single" w:sz="4" w:space="0" w:color="000000"/>
            </w:tcBorders>
          </w:tcPr>
          <w:p>
            <w:pPr>
              <w:pStyle w:val="TableParagraph"/>
              <w:spacing w:line="249" w:lineRule="auto"/>
              <w:ind w:left="118"/>
              <w:rPr>
                <w:sz w:val="20"/>
              </w:rPr>
            </w:pPr>
            <w:r>
              <w:rPr>
                <w:spacing w:val="-2"/>
                <w:sz w:val="20"/>
              </w:rPr>
              <w:t>Frost</w:t>
            </w:r>
            <w:r>
              <w:rPr>
                <w:spacing w:val="-11"/>
                <w:sz w:val="20"/>
              </w:rPr>
              <w:t> </w:t>
            </w:r>
            <w:r>
              <w:rPr>
                <w:spacing w:val="-2"/>
                <w:sz w:val="20"/>
              </w:rPr>
              <w:t>events,</w:t>
            </w:r>
            <w:r>
              <w:rPr>
                <w:spacing w:val="-10"/>
                <w:sz w:val="20"/>
              </w:rPr>
              <w:t> </w:t>
            </w:r>
            <w:r>
              <w:rPr>
                <w:spacing w:val="-2"/>
                <w:sz w:val="20"/>
              </w:rPr>
              <w:t>bud</w:t>
            </w:r>
            <w:r>
              <w:rPr>
                <w:spacing w:val="-11"/>
                <w:sz w:val="20"/>
              </w:rPr>
              <w:t> </w:t>
            </w:r>
            <w:r>
              <w:rPr>
                <w:spacing w:val="-2"/>
                <w:sz w:val="20"/>
              </w:rPr>
              <w:t>and</w:t>
            </w:r>
            <w:r>
              <w:rPr>
                <w:spacing w:val="-10"/>
                <w:sz w:val="20"/>
              </w:rPr>
              <w:t> </w:t>
            </w:r>
            <w:r>
              <w:rPr>
                <w:spacing w:val="-2"/>
                <w:sz w:val="20"/>
              </w:rPr>
              <w:t>shoot</w:t>
            </w:r>
            <w:r>
              <w:rPr>
                <w:spacing w:val="-11"/>
                <w:sz w:val="20"/>
              </w:rPr>
              <w:t> </w:t>
            </w:r>
            <w:r>
              <w:rPr>
                <w:spacing w:val="-2"/>
                <w:sz w:val="20"/>
              </w:rPr>
              <w:t>dam-</w:t>
            </w:r>
            <w:r>
              <w:rPr>
                <w:sz w:val="20"/>
              </w:rPr>
              <w:t>age risk</w:t>
            </w:r>
          </w:p>
        </w:tc>
      </w:tr>
      <w:tr>
        <w:trPr>
          <w:trHeight w:val="549" w:hRule="atLeast"/>
        </w:trPr>
        <w:tc>
          <w:tcPr>
            <w:tcW w:w="2381" w:type="dxa"/>
            <w:tcBorders>
              <w:right w:val="single" w:sz="4" w:space="0" w:color="000000"/>
            </w:tcBorders>
          </w:tcPr>
          <w:p>
            <w:pPr>
              <w:pStyle w:val="TableParagraph"/>
              <w:ind w:left="119"/>
              <w:rPr>
                <w:sz w:val="20"/>
              </w:rPr>
            </w:pPr>
            <w:r>
              <w:rPr>
                <w:sz w:val="20"/>
              </w:rPr>
              <w:t>Minimum</w:t>
            </w:r>
            <w:r>
              <w:rPr>
                <w:spacing w:val="-11"/>
                <w:sz w:val="20"/>
              </w:rPr>
              <w:t> </w:t>
            </w:r>
            <w:r>
              <w:rPr>
                <w:spacing w:val="-2"/>
                <w:sz w:val="20"/>
              </w:rPr>
              <w:t>temperature</w:t>
            </w:r>
          </w:p>
        </w:tc>
        <w:tc>
          <w:tcPr>
            <w:tcW w:w="2515" w:type="dxa"/>
            <w:tcBorders>
              <w:left w:val="single" w:sz="4" w:space="0" w:color="000000"/>
              <w:right w:val="single" w:sz="4" w:space="0" w:color="000000"/>
            </w:tcBorders>
          </w:tcPr>
          <w:p>
            <w:pPr>
              <w:pStyle w:val="TableParagraph"/>
              <w:ind w:left="118"/>
              <w:rPr>
                <w:sz w:val="20"/>
              </w:rPr>
            </w:pPr>
            <w:r>
              <w:rPr>
                <w:spacing w:val="-5"/>
                <w:sz w:val="20"/>
              </w:rPr>
              <w:t>tn</w:t>
            </w:r>
          </w:p>
        </w:tc>
        <w:tc>
          <w:tcPr>
            <w:tcW w:w="814" w:type="dxa"/>
            <w:tcBorders>
              <w:left w:val="single" w:sz="4" w:space="0" w:color="000000"/>
              <w:right w:val="single" w:sz="4" w:space="0" w:color="000000"/>
            </w:tcBorders>
          </w:tcPr>
          <w:p>
            <w:pPr>
              <w:pStyle w:val="TableParagraph"/>
              <w:ind w:left="118"/>
              <w:rPr>
                <w:sz w:val="20"/>
              </w:rPr>
            </w:pPr>
            <w:r>
              <w:rPr>
                <w:spacing w:val="-10"/>
                <w:sz w:val="20"/>
              </w:rPr>
              <w:t>1</w:t>
            </w:r>
          </w:p>
        </w:tc>
        <w:tc>
          <w:tcPr>
            <w:tcW w:w="2794" w:type="dxa"/>
            <w:tcBorders>
              <w:left w:val="single" w:sz="4" w:space="0" w:color="000000"/>
            </w:tcBorders>
          </w:tcPr>
          <w:p>
            <w:pPr>
              <w:pStyle w:val="TableParagraph"/>
              <w:spacing w:line="249" w:lineRule="auto"/>
              <w:ind w:left="118"/>
              <w:rPr>
                <w:sz w:val="20"/>
              </w:rPr>
            </w:pPr>
            <w:r>
              <w:rPr>
                <w:sz w:val="20"/>
              </w:rPr>
              <w:t>Night</w:t>
            </w:r>
            <w:r>
              <w:rPr>
                <w:spacing w:val="40"/>
                <w:sz w:val="20"/>
              </w:rPr>
              <w:t> </w:t>
            </w:r>
            <w:r>
              <w:rPr>
                <w:sz w:val="20"/>
              </w:rPr>
              <w:t>temperature</w:t>
            </w:r>
            <w:r>
              <w:rPr>
                <w:spacing w:val="40"/>
                <w:sz w:val="20"/>
              </w:rPr>
              <w:t> </w:t>
            </w:r>
            <w:r>
              <w:rPr>
                <w:sz w:val="20"/>
              </w:rPr>
              <w:t>at</w:t>
            </w:r>
            <w:r>
              <w:rPr>
                <w:spacing w:val="40"/>
                <w:sz w:val="20"/>
              </w:rPr>
              <w:t> </w:t>
            </w:r>
            <w:r>
              <w:rPr>
                <w:sz w:val="20"/>
              </w:rPr>
              <w:t>harvest, berry quality proxy</w:t>
            </w:r>
          </w:p>
        </w:tc>
      </w:tr>
      <w:tr>
        <w:trPr>
          <w:trHeight w:val="588" w:hRule="atLeast"/>
        </w:trPr>
        <w:tc>
          <w:tcPr>
            <w:tcW w:w="2381" w:type="dxa"/>
            <w:tcBorders>
              <w:bottom w:val="single" w:sz="8" w:space="0" w:color="000000"/>
              <w:right w:val="single" w:sz="4" w:space="0" w:color="000000"/>
            </w:tcBorders>
          </w:tcPr>
          <w:p>
            <w:pPr>
              <w:pStyle w:val="TableParagraph"/>
              <w:ind w:left="119"/>
              <w:rPr>
                <w:sz w:val="20"/>
              </w:rPr>
            </w:pPr>
            <w:r>
              <w:rPr>
                <w:sz w:val="20"/>
              </w:rPr>
              <w:t>Previous-year</w:t>
            </w:r>
            <w:r>
              <w:rPr>
                <w:spacing w:val="-11"/>
                <w:sz w:val="20"/>
              </w:rPr>
              <w:t> </w:t>
            </w:r>
            <w:r>
              <w:rPr>
                <w:sz w:val="20"/>
              </w:rPr>
              <w:t>soil</w:t>
            </w:r>
            <w:r>
              <w:rPr>
                <w:spacing w:val="-10"/>
                <w:sz w:val="20"/>
              </w:rPr>
              <w:t> </w:t>
            </w:r>
            <w:r>
              <w:rPr>
                <w:spacing w:val="-2"/>
                <w:sz w:val="20"/>
              </w:rPr>
              <w:t>water</w:t>
            </w:r>
          </w:p>
        </w:tc>
        <w:tc>
          <w:tcPr>
            <w:tcW w:w="2515" w:type="dxa"/>
            <w:tcBorders>
              <w:left w:val="single" w:sz="4" w:space="0" w:color="000000"/>
              <w:bottom w:val="single" w:sz="8" w:space="0" w:color="000000"/>
              <w:right w:val="single" w:sz="4" w:space="0" w:color="000000"/>
            </w:tcBorders>
          </w:tcPr>
          <w:p>
            <w:pPr>
              <w:pStyle w:val="TableParagraph"/>
              <w:ind w:left="118"/>
              <w:rPr>
                <w:sz w:val="20"/>
              </w:rPr>
            </w:pPr>
            <w:r>
              <w:rPr>
                <w:sz w:val="20"/>
              </w:rPr>
              <w:t>y0</w:t>
            </w:r>
            <w:r>
              <w:rPr>
                <w:spacing w:val="-6"/>
                <w:sz w:val="20"/>
              </w:rPr>
              <w:t> </w:t>
            </w:r>
            <w:r>
              <w:rPr>
                <w:sz w:val="20"/>
              </w:rPr>
              <w:t>variants</w:t>
            </w:r>
            <w:r>
              <w:rPr>
                <w:spacing w:val="-6"/>
                <w:sz w:val="20"/>
              </w:rPr>
              <w:t> </w:t>
            </w:r>
            <w:r>
              <w:rPr>
                <w:sz w:val="20"/>
              </w:rPr>
              <w:t>of</w:t>
            </w:r>
            <w:r>
              <w:rPr>
                <w:spacing w:val="-6"/>
                <w:sz w:val="20"/>
              </w:rPr>
              <w:t> </w:t>
            </w:r>
            <w:r>
              <w:rPr>
                <w:spacing w:val="-2"/>
                <w:sz w:val="20"/>
              </w:rPr>
              <w:t>swa/sw</w:t>
            </w:r>
          </w:p>
        </w:tc>
        <w:tc>
          <w:tcPr>
            <w:tcW w:w="814" w:type="dxa"/>
            <w:tcBorders>
              <w:left w:val="single" w:sz="4" w:space="0" w:color="000000"/>
              <w:bottom w:val="single" w:sz="8" w:space="0" w:color="000000"/>
              <w:right w:val="single" w:sz="4" w:space="0" w:color="000000"/>
            </w:tcBorders>
          </w:tcPr>
          <w:p>
            <w:pPr>
              <w:pStyle w:val="TableParagraph"/>
              <w:ind w:left="118"/>
              <w:rPr>
                <w:sz w:val="20"/>
              </w:rPr>
            </w:pPr>
            <w:r>
              <w:rPr>
                <w:spacing w:val="-10"/>
                <w:sz w:val="20"/>
              </w:rPr>
              <w:t>2</w:t>
            </w:r>
          </w:p>
        </w:tc>
        <w:tc>
          <w:tcPr>
            <w:tcW w:w="2794" w:type="dxa"/>
            <w:tcBorders>
              <w:left w:val="single" w:sz="4" w:space="0" w:color="000000"/>
              <w:bottom w:val="single" w:sz="8" w:space="0" w:color="000000"/>
            </w:tcBorders>
          </w:tcPr>
          <w:p>
            <w:pPr>
              <w:pStyle w:val="TableParagraph"/>
              <w:spacing w:line="249" w:lineRule="auto"/>
              <w:ind w:left="118"/>
              <w:rPr>
                <w:sz w:val="20"/>
              </w:rPr>
            </w:pPr>
            <w:r>
              <w:rPr>
                <w:sz w:val="20"/>
              </w:rPr>
              <w:t>Carry-over</w:t>
            </w:r>
            <w:r>
              <w:rPr>
                <w:spacing w:val="40"/>
                <w:sz w:val="20"/>
              </w:rPr>
              <w:t> </w:t>
            </w:r>
            <w:r>
              <w:rPr>
                <w:sz w:val="20"/>
              </w:rPr>
              <w:t>water</w:t>
            </w:r>
            <w:r>
              <w:rPr>
                <w:spacing w:val="40"/>
                <w:sz w:val="20"/>
              </w:rPr>
              <w:t> </w:t>
            </w:r>
            <w:r>
              <w:rPr>
                <w:sz w:val="20"/>
              </w:rPr>
              <w:t>stress</w:t>
            </w:r>
            <w:r>
              <w:rPr>
                <w:spacing w:val="40"/>
                <w:sz w:val="20"/>
              </w:rPr>
              <w:t> </w:t>
            </w:r>
            <w:r>
              <w:rPr>
                <w:sz w:val="20"/>
              </w:rPr>
              <w:t>from prior season</w:t>
            </w:r>
          </w:p>
        </w:tc>
      </w:tr>
    </w:tbl>
    <w:p>
      <w:pPr>
        <w:pStyle w:val="BodyText"/>
        <w:rPr>
          <w:sz w:val="20"/>
        </w:rPr>
      </w:pPr>
    </w:p>
    <w:p>
      <w:pPr>
        <w:pStyle w:val="BodyText"/>
        <w:spacing w:before="177"/>
        <w:rPr>
          <w:sz w:val="20"/>
        </w:rPr>
      </w:pPr>
    </w:p>
    <w:p>
      <w:pPr>
        <w:pStyle w:val="Heading3"/>
        <w:numPr>
          <w:ilvl w:val="2"/>
          <w:numId w:val="17"/>
        </w:numPr>
        <w:tabs>
          <w:tab w:pos="979" w:val="left" w:leader="none"/>
        </w:tabs>
        <w:spacing w:line="240" w:lineRule="auto" w:before="1" w:after="0"/>
        <w:ind w:left="979" w:right="0" w:hanging="837"/>
        <w:jc w:val="left"/>
      </w:pPr>
      <w:bookmarkStart w:name="3.11.3 Current-Year vs Previous-Year Fea" w:id="118"/>
      <w:bookmarkEnd w:id="118"/>
      <w:r>
        <w:rPr>
          <w:b w:val="0"/>
        </w:rPr>
      </w:r>
      <w:bookmarkStart w:name="_bookmark65" w:id="119"/>
      <w:bookmarkEnd w:id="119"/>
      <w:r>
        <w:rPr>
          <w:b w:val="0"/>
        </w:rPr>
      </w:r>
      <w:r>
        <w:rPr>
          <w:spacing w:val="-4"/>
        </w:rPr>
        <w:t>Current-Year</w:t>
      </w:r>
      <w:r>
        <w:rPr>
          <w:spacing w:val="1"/>
        </w:rPr>
        <w:t> </w:t>
      </w:r>
      <w:r>
        <w:rPr>
          <w:spacing w:val="-4"/>
        </w:rPr>
        <w:t>vs</w:t>
      </w:r>
      <w:r>
        <w:rPr>
          <w:spacing w:val="2"/>
        </w:rPr>
        <w:t> </w:t>
      </w:r>
      <w:r>
        <w:rPr>
          <w:spacing w:val="-4"/>
        </w:rPr>
        <w:t>Previous-Year</w:t>
      </w:r>
      <w:r>
        <w:rPr>
          <w:spacing w:val="2"/>
        </w:rPr>
        <w:t> </w:t>
      </w:r>
      <w:r>
        <w:rPr>
          <w:spacing w:val="-4"/>
        </w:rPr>
        <w:t>Features</w:t>
      </w:r>
    </w:p>
    <w:p>
      <w:pPr>
        <w:pStyle w:val="BodyText"/>
        <w:spacing w:line="312" w:lineRule="auto" w:before="218"/>
        <w:ind w:left="136" w:right="1521" w:hanging="3"/>
        <w:jc w:val="both"/>
      </w:pPr>
      <w:r>
        <w:rPr/>
        <w:t>A</w:t>
      </w:r>
      <w:r>
        <w:rPr>
          <w:spacing w:val="-1"/>
        </w:rPr>
        <w:t> </w:t>
      </w:r>
      <w:r>
        <w:rPr/>
        <w:t>key</w:t>
      </w:r>
      <w:r>
        <w:rPr>
          <w:spacing w:val="-1"/>
        </w:rPr>
        <w:t> </w:t>
      </w:r>
      <w:r>
        <w:rPr/>
        <w:t>design</w:t>
      </w:r>
      <w:r>
        <w:rPr>
          <w:spacing w:val="-1"/>
        </w:rPr>
        <w:t> </w:t>
      </w:r>
      <w:r>
        <w:rPr/>
        <w:t>decision</w:t>
      </w:r>
      <w:r>
        <w:rPr>
          <w:spacing w:val="-1"/>
        </w:rPr>
        <w:t> </w:t>
      </w:r>
      <w:r>
        <w:rPr/>
        <w:t>in</w:t>
      </w:r>
      <w:r>
        <w:rPr>
          <w:spacing w:val="-1"/>
        </w:rPr>
        <w:t> </w:t>
      </w:r>
      <w:r>
        <w:rPr/>
        <w:t>the</w:t>
      </w:r>
      <w:r>
        <w:rPr>
          <w:spacing w:val="-1"/>
        </w:rPr>
        <w:t> </w:t>
      </w:r>
      <w:r>
        <w:rPr/>
        <w:t>feature</w:t>
      </w:r>
      <w:r>
        <w:rPr>
          <w:spacing w:val="-1"/>
        </w:rPr>
        <w:t> </w:t>
      </w:r>
      <w:r>
        <w:rPr/>
        <w:t>engineering</w:t>
      </w:r>
      <w:r>
        <w:rPr>
          <w:spacing w:val="-1"/>
        </w:rPr>
        <w:t> </w:t>
      </w:r>
      <w:r>
        <w:rPr/>
        <w:t>was</w:t>
      </w:r>
      <w:r>
        <w:rPr>
          <w:spacing w:val="-1"/>
        </w:rPr>
        <w:t> </w:t>
      </w:r>
      <w:r>
        <w:rPr/>
        <w:t>the</w:t>
      </w:r>
      <w:r>
        <w:rPr>
          <w:spacing w:val="-1"/>
        </w:rPr>
        <w:t> </w:t>
      </w:r>
      <w:r>
        <w:rPr/>
        <w:t>inclusion</w:t>
      </w:r>
      <w:r>
        <w:rPr>
          <w:spacing w:val="-1"/>
        </w:rPr>
        <w:t> </w:t>
      </w:r>
      <w:r>
        <w:rPr/>
        <w:t>of</w:t>
      </w:r>
      <w:r>
        <w:rPr>
          <w:spacing w:val="-1"/>
        </w:rPr>
        <w:t> </w:t>
      </w:r>
      <w:r>
        <w:rPr/>
        <w:t>previous-year</w:t>
      </w:r>
      <w:r>
        <w:rPr>
          <w:spacing w:val="-1"/>
        </w:rPr>
        <w:t> </w:t>
      </w:r>
      <w:r>
        <w:rPr/>
        <w:t>(y0)</w:t>
      </w:r>
      <w:r>
        <w:rPr>
          <w:spacing w:val="-1"/>
        </w:rPr>
        <w:t> </w:t>
      </w:r>
      <w:r>
        <w:rPr/>
        <w:t>features alongside current-year (y1) features.</w:t>
      </w:r>
      <w:r>
        <w:rPr>
          <w:spacing w:val="40"/>
        </w:rPr>
        <w:t> </w:t>
      </w:r>
      <w:r>
        <w:rPr/>
        <w:t>As discussed in Section </w:t>
      </w:r>
      <w:hyperlink w:history="true" w:anchor="_bookmark9">
        <w:r>
          <w:rPr>
            <w:color w:val="8B2C18"/>
          </w:rPr>
          <w:t>2.2</w:t>
        </w:r>
      </w:hyperlink>
      <w:r>
        <w:rPr/>
        <w:t>,</w:t>
      </w:r>
      <w:r>
        <w:rPr>
          <w:spacing w:val="28"/>
        </w:rPr>
        <w:t> </w:t>
      </w:r>
      <w:r>
        <w:rPr/>
        <w:t>vine physiology has a two-year temporal structure: inflorescence primordia that determine current-year bunch number are formed in the prior growing season, and vine carbohydrate reserves that determine shoot vigour</w:t>
      </w:r>
    </w:p>
    <w:p>
      <w:pPr>
        <w:pStyle w:val="BodyText"/>
        <w:spacing w:after="0" w:line="312" w:lineRule="auto"/>
        <w:jc w:val="both"/>
        <w:sectPr>
          <w:pgSz w:w="11910" w:h="16840"/>
          <w:pgMar w:header="1160" w:footer="0" w:top="1420" w:bottom="280" w:left="1275" w:right="425"/>
        </w:sectPr>
      </w:pPr>
    </w:p>
    <w:p>
      <w:pPr>
        <w:pStyle w:val="BodyText"/>
      </w:pPr>
    </w:p>
    <w:p>
      <w:pPr>
        <w:pStyle w:val="BodyText"/>
        <w:spacing w:before="25"/>
      </w:pPr>
    </w:p>
    <w:p>
      <w:pPr>
        <w:pStyle w:val="BodyText"/>
        <w:spacing w:line="312" w:lineRule="auto" w:before="1"/>
        <w:ind w:left="709" w:right="986"/>
        <w:jc w:val="both"/>
      </w:pPr>
      <w:r>
        <w:rPr/>
        <w:t>are</w:t>
      </w:r>
      <w:r>
        <w:rPr>
          <w:spacing w:val="-10"/>
        </w:rPr>
        <w:t> </w:t>
      </w:r>
      <w:r>
        <w:rPr/>
        <w:t>accumulated</w:t>
      </w:r>
      <w:r>
        <w:rPr>
          <w:spacing w:val="-10"/>
        </w:rPr>
        <w:t> </w:t>
      </w:r>
      <w:r>
        <w:rPr/>
        <w:t>during</w:t>
      </w:r>
      <w:r>
        <w:rPr>
          <w:spacing w:val="-10"/>
        </w:rPr>
        <w:t> </w:t>
      </w:r>
      <w:r>
        <w:rPr/>
        <w:t>the</w:t>
      </w:r>
      <w:r>
        <w:rPr>
          <w:spacing w:val="-10"/>
        </w:rPr>
        <w:t> </w:t>
      </w:r>
      <w:r>
        <w:rPr/>
        <w:t>prior</w:t>
      </w:r>
      <w:r>
        <w:rPr>
          <w:spacing w:val="-10"/>
        </w:rPr>
        <w:t> </w:t>
      </w:r>
      <w:r>
        <w:rPr/>
        <w:t>year’s</w:t>
      </w:r>
      <w:r>
        <w:rPr>
          <w:spacing w:val="-10"/>
        </w:rPr>
        <w:t> </w:t>
      </w:r>
      <w:r>
        <w:rPr/>
        <w:t>harvest-to-dormancy</w:t>
      </w:r>
      <w:r>
        <w:rPr>
          <w:spacing w:val="-10"/>
        </w:rPr>
        <w:t> </w:t>
      </w:r>
      <w:r>
        <w:rPr/>
        <w:t>period. Failing</w:t>
      </w:r>
      <w:r>
        <w:rPr>
          <w:spacing w:val="-10"/>
        </w:rPr>
        <w:t> </w:t>
      </w:r>
      <w:r>
        <w:rPr/>
        <w:t>to</w:t>
      </w:r>
      <w:r>
        <w:rPr>
          <w:spacing w:val="-10"/>
        </w:rPr>
        <w:t> </w:t>
      </w:r>
      <w:r>
        <w:rPr/>
        <w:t>include</w:t>
      </w:r>
      <w:r>
        <w:rPr>
          <w:spacing w:val="-10"/>
        </w:rPr>
        <w:t> </w:t>
      </w:r>
      <w:r>
        <w:rPr/>
        <w:t>prior-year features would miss this carry-over mechanism entirely.</w:t>
      </w:r>
    </w:p>
    <w:p>
      <w:pPr>
        <w:pStyle w:val="BodyText"/>
        <w:spacing w:line="312" w:lineRule="auto"/>
        <w:ind w:left="709" w:right="990" w:firstLine="338"/>
        <w:jc w:val="both"/>
      </w:pPr>
      <w:r>
        <w:rPr/>
        <w:t>In the final feature matrix, 15 of the 59 features (25%) use y0 (previous-year) anchors.</w:t>
      </w:r>
      <w:r>
        <w:rPr>
          <w:spacing w:val="30"/>
        </w:rPr>
        <w:t> </w:t>
      </w:r>
      <w:r>
        <w:rPr/>
        <w:t>The most agronomically motivated y0 features are:</w:t>
      </w:r>
    </w:p>
    <w:p>
      <w:pPr>
        <w:pStyle w:val="BodyText"/>
        <w:spacing w:line="312" w:lineRule="auto"/>
        <w:ind w:left="709" w:right="990" w:firstLine="338"/>
        <w:jc w:val="both"/>
      </w:pPr>
      <w:r>
        <w:rPr>
          <w:b/>
        </w:rPr>
        <w:t>tm_fl_y0_b10</w:t>
      </w:r>
      <w:r>
        <w:rPr>
          <w:b/>
          <w:spacing w:val="-14"/>
        </w:rPr>
        <w:t> </w:t>
      </w:r>
      <w:r>
        <w:rPr/>
        <w:t>(mean</w:t>
      </w:r>
      <w:r>
        <w:rPr>
          <w:spacing w:val="-14"/>
        </w:rPr>
        <w:t> </w:t>
      </w:r>
      <w:r>
        <w:rPr/>
        <w:t>temperature</w:t>
      </w:r>
      <w:r>
        <w:rPr>
          <w:spacing w:val="-14"/>
        </w:rPr>
        <w:t> </w:t>
      </w:r>
      <w:r>
        <w:rPr/>
        <w:t>in</w:t>
      </w:r>
      <w:r>
        <w:rPr>
          <w:spacing w:val="-13"/>
        </w:rPr>
        <w:t> </w:t>
      </w:r>
      <w:r>
        <w:rPr/>
        <w:t>the</w:t>
      </w:r>
      <w:r>
        <w:rPr>
          <w:spacing w:val="-14"/>
        </w:rPr>
        <w:t> </w:t>
      </w:r>
      <w:r>
        <w:rPr/>
        <w:t>10</w:t>
      </w:r>
      <w:r>
        <w:rPr>
          <w:spacing w:val="-14"/>
        </w:rPr>
        <w:t> </w:t>
      </w:r>
      <w:r>
        <w:rPr/>
        <w:t>days</w:t>
      </w:r>
      <w:r>
        <w:rPr>
          <w:spacing w:val="-14"/>
        </w:rPr>
        <w:t> </w:t>
      </w:r>
      <w:r>
        <w:rPr/>
        <w:t>before</w:t>
      </w:r>
      <w:r>
        <w:rPr>
          <w:spacing w:val="-13"/>
        </w:rPr>
        <w:t> </w:t>
      </w:r>
      <w:r>
        <w:rPr/>
        <w:t>previous-year</w:t>
      </w:r>
      <w:r>
        <w:rPr>
          <w:spacing w:val="-14"/>
        </w:rPr>
        <w:t> </w:t>
      </w:r>
      <w:r>
        <w:rPr/>
        <w:t>flowering):</w:t>
      </w:r>
      <w:r>
        <w:rPr>
          <w:spacing w:val="-14"/>
        </w:rPr>
        <w:t> </w:t>
      </w:r>
      <w:r>
        <w:rPr/>
        <w:t>captures</w:t>
      </w:r>
      <w:r>
        <w:rPr>
          <w:spacing w:val="-14"/>
        </w:rPr>
        <w:t> </w:t>
      </w:r>
      <w:r>
        <w:rPr/>
        <w:t>the </w:t>
      </w:r>
      <w:r>
        <w:rPr>
          <w:spacing w:val="-2"/>
        </w:rPr>
        <w:t>thermal</w:t>
      </w:r>
      <w:r>
        <w:rPr>
          <w:spacing w:val="-12"/>
        </w:rPr>
        <w:t> </w:t>
      </w:r>
      <w:r>
        <w:rPr>
          <w:spacing w:val="-2"/>
        </w:rPr>
        <w:t>conditions</w:t>
      </w:r>
      <w:r>
        <w:rPr>
          <w:spacing w:val="-12"/>
        </w:rPr>
        <w:t> </w:t>
      </w:r>
      <w:r>
        <w:rPr>
          <w:spacing w:val="-2"/>
        </w:rPr>
        <w:t>governing</w:t>
      </w:r>
      <w:r>
        <w:rPr>
          <w:spacing w:val="-12"/>
        </w:rPr>
        <w:t> </w:t>
      </w:r>
      <w:r>
        <w:rPr>
          <w:spacing w:val="-2"/>
        </w:rPr>
        <w:t>inflorescence</w:t>
      </w:r>
      <w:r>
        <w:rPr>
          <w:spacing w:val="-11"/>
        </w:rPr>
        <w:t> </w:t>
      </w:r>
      <w:r>
        <w:rPr>
          <w:spacing w:val="-2"/>
        </w:rPr>
        <w:t>primordia</w:t>
      </w:r>
      <w:r>
        <w:rPr>
          <w:spacing w:val="-12"/>
        </w:rPr>
        <w:t> </w:t>
      </w:r>
      <w:r>
        <w:rPr>
          <w:spacing w:val="-2"/>
        </w:rPr>
        <w:t>formation</w:t>
      </w:r>
      <w:r>
        <w:rPr>
          <w:spacing w:val="-12"/>
        </w:rPr>
        <w:t> </w:t>
      </w:r>
      <w:r>
        <w:rPr>
          <w:spacing w:val="-2"/>
        </w:rPr>
        <w:t>in</w:t>
      </w:r>
      <w:r>
        <w:rPr>
          <w:spacing w:val="-12"/>
        </w:rPr>
        <w:t> </w:t>
      </w:r>
      <w:r>
        <w:rPr>
          <w:spacing w:val="-2"/>
        </w:rPr>
        <w:t>the</w:t>
      </w:r>
      <w:r>
        <w:rPr>
          <w:spacing w:val="-11"/>
        </w:rPr>
        <w:t> </w:t>
      </w:r>
      <w:r>
        <w:rPr>
          <w:spacing w:val="-2"/>
        </w:rPr>
        <w:t>prior</w:t>
      </w:r>
      <w:r>
        <w:rPr>
          <w:spacing w:val="-12"/>
        </w:rPr>
        <w:t> </w:t>
      </w:r>
      <w:r>
        <w:rPr>
          <w:spacing w:val="-2"/>
        </w:rPr>
        <w:t>season,</w:t>
      </w:r>
      <w:r>
        <w:rPr>
          <w:spacing w:val="-12"/>
        </w:rPr>
        <w:t> </w:t>
      </w:r>
      <w:r>
        <w:rPr>
          <w:spacing w:val="-2"/>
        </w:rPr>
        <w:t>the</w:t>
      </w:r>
      <w:r>
        <w:rPr>
          <w:spacing w:val="-12"/>
        </w:rPr>
        <w:t> </w:t>
      </w:r>
      <w:r>
        <w:rPr>
          <w:spacing w:val="-2"/>
        </w:rPr>
        <w:t>mechanism </w:t>
      </w:r>
      <w:r>
        <w:rPr/>
        <w:t>that determines current-year bunch potential.</w:t>
      </w:r>
    </w:p>
    <w:p>
      <w:pPr>
        <w:pStyle w:val="BodyText"/>
        <w:spacing w:line="312" w:lineRule="auto"/>
        <w:ind w:left="703" w:right="990" w:firstLine="344"/>
        <w:jc w:val="both"/>
      </w:pPr>
      <w:r>
        <w:rPr>
          <w:b/>
        </w:rPr>
        <w:t>tm_bb_y0_a30</w:t>
      </w:r>
      <w:r>
        <w:rPr>
          <w:b/>
          <w:spacing w:val="-13"/>
        </w:rPr>
        <w:t> </w:t>
      </w:r>
      <w:r>
        <w:rPr/>
        <w:t>(mean</w:t>
      </w:r>
      <w:r>
        <w:rPr>
          <w:spacing w:val="-13"/>
        </w:rPr>
        <w:t> </w:t>
      </w:r>
      <w:r>
        <w:rPr/>
        <w:t>temperature</w:t>
      </w:r>
      <w:r>
        <w:rPr>
          <w:spacing w:val="-13"/>
        </w:rPr>
        <w:t> </w:t>
      </w:r>
      <w:r>
        <w:rPr/>
        <w:t>in</w:t>
      </w:r>
      <w:r>
        <w:rPr>
          <w:spacing w:val="-13"/>
        </w:rPr>
        <w:t> </w:t>
      </w:r>
      <w:r>
        <w:rPr/>
        <w:t>the</w:t>
      </w:r>
      <w:r>
        <w:rPr>
          <w:spacing w:val="-13"/>
        </w:rPr>
        <w:t> </w:t>
      </w:r>
      <w:r>
        <w:rPr/>
        <w:t>30</w:t>
      </w:r>
      <w:r>
        <w:rPr>
          <w:spacing w:val="-13"/>
        </w:rPr>
        <w:t> </w:t>
      </w:r>
      <w:r>
        <w:rPr/>
        <w:t>days</w:t>
      </w:r>
      <w:r>
        <w:rPr>
          <w:spacing w:val="-13"/>
        </w:rPr>
        <w:t> </w:t>
      </w:r>
      <w:r>
        <w:rPr/>
        <w:t>after</w:t>
      </w:r>
      <w:r>
        <w:rPr>
          <w:spacing w:val="-13"/>
        </w:rPr>
        <w:t> </w:t>
      </w:r>
      <w:r>
        <w:rPr/>
        <w:t>previous-year</w:t>
      </w:r>
      <w:r>
        <w:rPr>
          <w:spacing w:val="-13"/>
        </w:rPr>
        <w:t> </w:t>
      </w:r>
      <w:r>
        <w:rPr/>
        <w:t>bud</w:t>
      </w:r>
      <w:r>
        <w:rPr>
          <w:spacing w:val="-13"/>
        </w:rPr>
        <w:t> </w:t>
      </w:r>
      <w:r>
        <w:rPr/>
        <w:t>break):</w:t>
      </w:r>
      <w:r>
        <w:rPr>
          <w:spacing w:val="-3"/>
        </w:rPr>
        <w:t> </w:t>
      </w:r>
      <w:r>
        <w:rPr/>
        <w:t>captures</w:t>
      </w:r>
      <w:r>
        <w:rPr>
          <w:spacing w:val="-13"/>
        </w:rPr>
        <w:t> </w:t>
      </w:r>
      <w:r>
        <w:rPr/>
        <w:t>the early-season</w:t>
      </w:r>
      <w:r>
        <w:rPr>
          <w:spacing w:val="-7"/>
        </w:rPr>
        <w:t> </w:t>
      </w:r>
      <w:r>
        <w:rPr/>
        <w:t>thermal</w:t>
      </w:r>
      <w:r>
        <w:rPr>
          <w:spacing w:val="-7"/>
        </w:rPr>
        <w:t> </w:t>
      </w:r>
      <w:r>
        <w:rPr/>
        <w:t>conditions</w:t>
      </w:r>
      <w:r>
        <w:rPr>
          <w:spacing w:val="-7"/>
        </w:rPr>
        <w:t> </w:t>
      </w:r>
      <w:r>
        <w:rPr/>
        <w:t>that</w:t>
      </w:r>
      <w:r>
        <w:rPr>
          <w:spacing w:val="-7"/>
        </w:rPr>
        <w:t> </w:t>
      </w:r>
      <w:r>
        <w:rPr/>
        <w:t>initiate</w:t>
      </w:r>
      <w:r>
        <w:rPr>
          <w:spacing w:val="-7"/>
        </w:rPr>
        <w:t> </w:t>
      </w:r>
      <w:r>
        <w:rPr/>
        <w:t>the</w:t>
      </w:r>
      <w:r>
        <w:rPr>
          <w:spacing w:val="-7"/>
        </w:rPr>
        <w:t> </w:t>
      </w:r>
      <w:r>
        <w:rPr/>
        <w:t>prior</w:t>
      </w:r>
      <w:r>
        <w:rPr>
          <w:spacing w:val="-7"/>
        </w:rPr>
        <w:t> </w:t>
      </w:r>
      <w:r>
        <w:rPr/>
        <w:t>year’s</w:t>
      </w:r>
      <w:r>
        <w:rPr>
          <w:spacing w:val="-7"/>
        </w:rPr>
        <w:t> </w:t>
      </w:r>
      <w:r>
        <w:rPr/>
        <w:t>vegetative</w:t>
      </w:r>
      <w:r>
        <w:rPr>
          <w:spacing w:val="-7"/>
        </w:rPr>
        <w:t> </w:t>
      </w:r>
      <w:r>
        <w:rPr/>
        <w:t>growth</w:t>
      </w:r>
      <w:r>
        <w:rPr>
          <w:spacing w:val="-7"/>
        </w:rPr>
        <w:t> </w:t>
      </w:r>
      <w:r>
        <w:rPr/>
        <w:t>phase,</w:t>
      </w:r>
      <w:r>
        <w:rPr>
          <w:spacing w:val="-7"/>
        </w:rPr>
        <w:t> </w:t>
      </w:r>
      <w:r>
        <w:rPr/>
        <w:t>influencing vine carbohydrate allocation.</w:t>
      </w:r>
    </w:p>
    <w:p>
      <w:pPr>
        <w:pStyle w:val="BodyText"/>
        <w:spacing w:line="312" w:lineRule="auto"/>
        <w:ind w:left="703" w:right="986" w:firstLine="344"/>
        <w:jc w:val="both"/>
      </w:pPr>
      <w:r>
        <w:rPr>
          <w:b/>
          <w:spacing w:val="-4"/>
        </w:rPr>
        <w:t>tm_sm_y0_a20</w:t>
      </w:r>
      <w:r>
        <w:rPr>
          <w:b/>
          <w:spacing w:val="-7"/>
        </w:rPr>
        <w:t> </w:t>
      </w:r>
      <w:r>
        <w:rPr>
          <w:spacing w:val="-4"/>
        </w:rPr>
        <w:t>(mean</w:t>
      </w:r>
      <w:r>
        <w:rPr>
          <w:spacing w:val="-7"/>
        </w:rPr>
        <w:t> </w:t>
      </w:r>
      <w:r>
        <w:rPr>
          <w:spacing w:val="-4"/>
        </w:rPr>
        <w:t>temperature</w:t>
      </w:r>
      <w:r>
        <w:rPr>
          <w:spacing w:val="-7"/>
        </w:rPr>
        <w:t> </w:t>
      </w:r>
      <w:r>
        <w:rPr>
          <w:spacing w:val="-4"/>
        </w:rPr>
        <w:t>in</w:t>
      </w:r>
      <w:r>
        <w:rPr>
          <w:spacing w:val="-7"/>
        </w:rPr>
        <w:t> </w:t>
      </w:r>
      <w:r>
        <w:rPr>
          <w:spacing w:val="-4"/>
        </w:rPr>
        <w:t>the</w:t>
      </w:r>
      <w:r>
        <w:rPr>
          <w:spacing w:val="-7"/>
        </w:rPr>
        <w:t> </w:t>
      </w:r>
      <w:r>
        <w:rPr>
          <w:spacing w:val="-4"/>
        </w:rPr>
        <w:t>20</w:t>
      </w:r>
      <w:r>
        <w:rPr>
          <w:spacing w:val="-7"/>
        </w:rPr>
        <w:t> </w:t>
      </w:r>
      <w:r>
        <w:rPr>
          <w:spacing w:val="-4"/>
        </w:rPr>
        <w:t>days</w:t>
      </w:r>
      <w:r>
        <w:rPr>
          <w:spacing w:val="-7"/>
        </w:rPr>
        <w:t> </w:t>
      </w:r>
      <w:r>
        <w:rPr>
          <w:spacing w:val="-4"/>
        </w:rPr>
        <w:t>after</w:t>
      </w:r>
      <w:r>
        <w:rPr>
          <w:spacing w:val="-7"/>
        </w:rPr>
        <w:t> </w:t>
      </w:r>
      <w:r>
        <w:rPr>
          <w:spacing w:val="-4"/>
        </w:rPr>
        <w:t>previous-year</w:t>
      </w:r>
      <w:r>
        <w:rPr>
          <w:spacing w:val="-7"/>
        </w:rPr>
        <w:t> </w:t>
      </w:r>
      <w:r>
        <w:rPr>
          <w:spacing w:val="-4"/>
        </w:rPr>
        <w:t>start</w:t>
      </w:r>
      <w:r>
        <w:rPr>
          <w:spacing w:val="-7"/>
        </w:rPr>
        <w:t> </w:t>
      </w:r>
      <w:r>
        <w:rPr>
          <w:spacing w:val="-4"/>
        </w:rPr>
        <w:t>of</w:t>
      </w:r>
      <w:r>
        <w:rPr>
          <w:spacing w:val="-7"/>
        </w:rPr>
        <w:t> </w:t>
      </w:r>
      <w:r>
        <w:rPr>
          <w:spacing w:val="-4"/>
        </w:rPr>
        <w:t>maturity):</w:t>
      </w:r>
      <w:r>
        <w:rPr>
          <w:spacing w:val="17"/>
        </w:rPr>
        <w:t> </w:t>
      </w:r>
      <w:r>
        <w:rPr>
          <w:spacing w:val="-4"/>
        </w:rPr>
        <w:t>captures </w:t>
      </w:r>
      <w:r>
        <w:rPr/>
        <w:t>the</w:t>
      </w:r>
      <w:r>
        <w:rPr>
          <w:spacing w:val="-5"/>
        </w:rPr>
        <w:t> </w:t>
      </w:r>
      <w:r>
        <w:rPr/>
        <w:t>heat</w:t>
      </w:r>
      <w:r>
        <w:rPr>
          <w:spacing w:val="-5"/>
        </w:rPr>
        <w:t> </w:t>
      </w:r>
      <w:r>
        <w:rPr/>
        <w:t>load</w:t>
      </w:r>
      <w:r>
        <w:rPr>
          <w:spacing w:val="-5"/>
        </w:rPr>
        <w:t> </w:t>
      </w:r>
      <w:r>
        <w:rPr/>
        <w:t>during</w:t>
      </w:r>
      <w:r>
        <w:rPr>
          <w:spacing w:val="-5"/>
        </w:rPr>
        <w:t> </w:t>
      </w:r>
      <w:r>
        <w:rPr/>
        <w:t>the</w:t>
      </w:r>
      <w:r>
        <w:rPr>
          <w:spacing w:val="-5"/>
        </w:rPr>
        <w:t> </w:t>
      </w:r>
      <w:r>
        <w:rPr/>
        <w:t>prior</w:t>
      </w:r>
      <w:r>
        <w:rPr>
          <w:spacing w:val="-5"/>
        </w:rPr>
        <w:t> </w:t>
      </w:r>
      <w:r>
        <w:rPr/>
        <w:t>year’s</w:t>
      </w:r>
      <w:r>
        <w:rPr>
          <w:spacing w:val="-5"/>
        </w:rPr>
        <w:t> </w:t>
      </w:r>
      <w:r>
        <w:rPr/>
        <w:t>ripening</w:t>
      </w:r>
      <w:r>
        <w:rPr>
          <w:spacing w:val="-5"/>
        </w:rPr>
        <w:t> </w:t>
      </w:r>
      <w:r>
        <w:rPr/>
        <w:t>phase,</w:t>
      </w:r>
      <w:r>
        <w:rPr>
          <w:spacing w:val="-5"/>
        </w:rPr>
        <w:t> </w:t>
      </w:r>
      <w:r>
        <w:rPr/>
        <w:t>which</w:t>
      </w:r>
      <w:r>
        <w:rPr>
          <w:spacing w:val="-5"/>
        </w:rPr>
        <w:t> </w:t>
      </w:r>
      <w:r>
        <w:rPr/>
        <w:t>governs</w:t>
      </w:r>
      <w:r>
        <w:rPr>
          <w:spacing w:val="-5"/>
        </w:rPr>
        <w:t> </w:t>
      </w:r>
      <w:r>
        <w:rPr/>
        <w:t>both</w:t>
      </w:r>
      <w:r>
        <w:rPr>
          <w:spacing w:val="-5"/>
        </w:rPr>
        <w:t> </w:t>
      </w:r>
      <w:r>
        <w:rPr/>
        <w:t>berry</w:t>
      </w:r>
      <w:r>
        <w:rPr>
          <w:spacing w:val="-5"/>
        </w:rPr>
        <w:t> </w:t>
      </w:r>
      <w:r>
        <w:rPr/>
        <w:t>quality</w:t>
      </w:r>
      <w:r>
        <w:rPr>
          <w:spacing w:val="-5"/>
        </w:rPr>
        <w:t> </w:t>
      </w:r>
      <w:r>
        <w:rPr/>
        <w:t>in</w:t>
      </w:r>
      <w:r>
        <w:rPr>
          <w:spacing w:val="-5"/>
        </w:rPr>
        <w:t> </w:t>
      </w:r>
      <w:r>
        <w:rPr/>
        <w:t>the</w:t>
      </w:r>
      <w:r>
        <w:rPr>
          <w:spacing w:val="-5"/>
        </w:rPr>
        <w:t> </w:t>
      </w:r>
      <w:r>
        <w:rPr/>
        <w:t>prior year and the vine’s thermal stress exposure at the end of the growing season.</w:t>
      </w:r>
    </w:p>
    <w:p>
      <w:pPr>
        <w:pStyle w:val="BodyText"/>
        <w:spacing w:line="312" w:lineRule="auto"/>
        <w:ind w:left="709" w:right="959" w:firstLine="338"/>
        <w:jc w:val="both"/>
      </w:pPr>
      <w:r>
        <w:rPr>
          <w:b/>
        </w:rPr>
        <w:t>sw.above.09fc_fl_y0_a20</w:t>
      </w:r>
      <w:r>
        <w:rPr>
          <w:b/>
          <w:spacing w:val="-3"/>
        </w:rPr>
        <w:t> </w:t>
      </w:r>
      <w:r>
        <w:rPr/>
        <w:t>(soil</w:t>
      </w:r>
      <w:r>
        <w:rPr>
          <w:spacing w:val="-3"/>
        </w:rPr>
        <w:t> </w:t>
      </w:r>
      <w:r>
        <w:rPr/>
        <w:t>saturation</w:t>
      </w:r>
      <w:r>
        <w:rPr>
          <w:spacing w:val="-3"/>
        </w:rPr>
        <w:t> </w:t>
      </w:r>
      <w:r>
        <w:rPr/>
        <w:t>days</w:t>
      </w:r>
      <w:r>
        <w:rPr>
          <w:spacing w:val="-3"/>
        </w:rPr>
        <w:t> </w:t>
      </w:r>
      <w:r>
        <w:rPr/>
        <w:t>in</w:t>
      </w:r>
      <w:r>
        <w:rPr>
          <w:spacing w:val="-3"/>
        </w:rPr>
        <w:t> </w:t>
      </w:r>
      <w:r>
        <w:rPr/>
        <w:t>the</w:t>
      </w:r>
      <w:r>
        <w:rPr>
          <w:spacing w:val="-3"/>
        </w:rPr>
        <w:t> </w:t>
      </w:r>
      <w:r>
        <w:rPr/>
        <w:t>20</w:t>
      </w:r>
      <w:r>
        <w:rPr>
          <w:spacing w:val="-3"/>
        </w:rPr>
        <w:t> </w:t>
      </w:r>
      <w:r>
        <w:rPr/>
        <w:t>days</w:t>
      </w:r>
      <w:r>
        <w:rPr>
          <w:spacing w:val="-3"/>
        </w:rPr>
        <w:t> </w:t>
      </w:r>
      <w:r>
        <w:rPr/>
        <w:t>after</w:t>
      </w:r>
      <w:r>
        <w:rPr>
          <w:spacing w:val="-3"/>
        </w:rPr>
        <w:t> </w:t>
      </w:r>
      <w:r>
        <w:rPr/>
        <w:t>previous-year</w:t>
      </w:r>
      <w:r>
        <w:rPr>
          <w:spacing w:val="-3"/>
        </w:rPr>
        <w:t> </w:t>
      </w:r>
      <w:r>
        <w:rPr/>
        <w:t>flowering): captures</w:t>
      </w:r>
      <w:r>
        <w:rPr>
          <w:spacing w:val="-6"/>
        </w:rPr>
        <w:t> </w:t>
      </w:r>
      <w:r>
        <w:rPr/>
        <w:t>prior-year</w:t>
      </w:r>
      <w:r>
        <w:rPr>
          <w:spacing w:val="-6"/>
        </w:rPr>
        <w:t> </w:t>
      </w:r>
      <w:r>
        <w:rPr/>
        <w:t>excess</w:t>
      </w:r>
      <w:r>
        <w:rPr>
          <w:spacing w:val="-6"/>
        </w:rPr>
        <w:t> </w:t>
      </w:r>
      <w:r>
        <w:rPr/>
        <w:t>soil</w:t>
      </w:r>
      <w:r>
        <w:rPr>
          <w:spacing w:val="-6"/>
        </w:rPr>
        <w:t> </w:t>
      </w:r>
      <w:r>
        <w:rPr/>
        <w:t>moisture</w:t>
      </w:r>
      <w:r>
        <w:rPr>
          <w:spacing w:val="-6"/>
        </w:rPr>
        <w:t> </w:t>
      </w:r>
      <w:r>
        <w:rPr/>
        <w:t>during</w:t>
      </w:r>
      <w:r>
        <w:rPr>
          <w:spacing w:val="-6"/>
        </w:rPr>
        <w:t> </w:t>
      </w:r>
      <w:r>
        <w:rPr/>
        <w:t>flowering,</w:t>
      </w:r>
      <w:r>
        <w:rPr>
          <w:spacing w:val="-6"/>
        </w:rPr>
        <w:t> </w:t>
      </w:r>
      <w:r>
        <w:rPr/>
        <w:t>the</w:t>
      </w:r>
      <w:r>
        <w:rPr>
          <w:spacing w:val="-6"/>
        </w:rPr>
        <w:t> </w:t>
      </w:r>
      <w:r>
        <w:rPr/>
        <w:t>carry-over</w:t>
      </w:r>
      <w:r>
        <w:rPr>
          <w:spacing w:val="-6"/>
        </w:rPr>
        <w:t> </w:t>
      </w:r>
      <w:r>
        <w:rPr/>
        <w:t>mechanism</w:t>
      </w:r>
      <w:r>
        <w:rPr>
          <w:spacing w:val="-6"/>
        </w:rPr>
        <w:t> </w:t>
      </w:r>
      <w:r>
        <w:rPr/>
        <w:t>identified</w:t>
      </w:r>
      <w:r>
        <w:rPr>
          <w:spacing w:val="-6"/>
        </w:rPr>
        <w:t> </w:t>
      </w:r>
      <w:r>
        <w:rPr/>
        <w:t>in RVV CarenR Rule 2 (see Section </w:t>
      </w:r>
      <w:hyperlink w:history="true" w:anchor="_bookmark72">
        <w:r>
          <w:rPr>
            <w:color w:val="8B2C18"/>
          </w:rPr>
          <w:t>4.1.2</w:t>
        </w:r>
      </w:hyperlink>
      <w:r>
        <w:rPr/>
        <w:t>).</w:t>
      </w:r>
    </w:p>
    <w:p>
      <w:pPr>
        <w:pStyle w:val="BodyText"/>
        <w:spacing w:before="39"/>
      </w:pPr>
    </w:p>
    <w:p>
      <w:pPr>
        <w:pStyle w:val="Heading3"/>
        <w:numPr>
          <w:ilvl w:val="2"/>
          <w:numId w:val="17"/>
        </w:numPr>
        <w:tabs>
          <w:tab w:pos="1545" w:val="left" w:leader="none"/>
        </w:tabs>
        <w:spacing w:line="240" w:lineRule="auto" w:before="1" w:after="0"/>
        <w:ind w:left="1545" w:right="0" w:hanging="836"/>
        <w:jc w:val="both"/>
      </w:pPr>
      <w:bookmarkStart w:name="3.11.4 Feature Discretisation for CarenR" w:id="120"/>
      <w:bookmarkEnd w:id="120"/>
      <w:r>
        <w:rPr>
          <w:b w:val="0"/>
        </w:rPr>
      </w:r>
      <w:bookmarkStart w:name="_bookmark66" w:id="121"/>
      <w:bookmarkEnd w:id="121"/>
      <w:r>
        <w:rPr>
          <w:b w:val="0"/>
        </w:rPr>
      </w:r>
      <w:r>
        <w:rPr>
          <w:spacing w:val="-2"/>
        </w:rPr>
        <w:t>Feature</w:t>
      </w:r>
      <w:r>
        <w:rPr>
          <w:spacing w:val="-1"/>
        </w:rPr>
        <w:t> </w:t>
      </w:r>
      <w:r>
        <w:rPr>
          <w:spacing w:val="-2"/>
        </w:rPr>
        <w:t>Discretisation</w:t>
      </w:r>
      <w:r>
        <w:rPr>
          <w:spacing w:val="-1"/>
        </w:rPr>
        <w:t> </w:t>
      </w:r>
      <w:r>
        <w:rPr>
          <w:spacing w:val="-2"/>
        </w:rPr>
        <w:t>for</w:t>
      </w:r>
      <w:r>
        <w:rPr>
          <w:spacing w:val="-1"/>
        </w:rPr>
        <w:t> </w:t>
      </w:r>
      <w:r>
        <w:rPr>
          <w:spacing w:val="-2"/>
        </w:rPr>
        <w:t>CarenR</w:t>
      </w:r>
    </w:p>
    <w:p>
      <w:pPr>
        <w:pStyle w:val="BodyText"/>
        <w:spacing w:line="328" w:lineRule="exact" w:before="161"/>
        <w:ind w:left="692" w:right="963" w:firstLine="9"/>
        <w:jc w:val="both"/>
      </w:pPr>
      <w:r>
        <w:rPr/>
        <w:t>The continuous feature matrix (dataPrep_cont_dataset_*.csv, 59 columns </w:t>
      </w:r>
      <w:r>
        <w:rPr>
          <w:rFonts w:ascii="Meiryo UI" w:hAnsi="Meiryo UI"/>
          <w:i/>
        </w:rPr>
        <w:t>×</w:t>
      </w:r>
      <w:r>
        <w:rPr>
          <w:rFonts w:ascii="Meiryo UI" w:hAnsi="Meiryo UI"/>
          <w:i/>
          <w:spacing w:val="-17"/>
        </w:rPr>
        <w:t> </w:t>
      </w:r>
      <w:r>
        <w:rPr/>
        <w:t>89/80 rows) is used </w:t>
      </w:r>
      <w:r>
        <w:rPr>
          <w:spacing w:val="-2"/>
        </w:rPr>
        <w:t>directly</w:t>
      </w:r>
      <w:r>
        <w:rPr>
          <w:spacing w:val="-9"/>
        </w:rPr>
        <w:t> </w:t>
      </w:r>
      <w:r>
        <w:rPr>
          <w:spacing w:val="-2"/>
        </w:rPr>
        <w:t>by</w:t>
      </w:r>
      <w:r>
        <w:rPr>
          <w:spacing w:val="-9"/>
        </w:rPr>
        <w:t> </w:t>
      </w:r>
      <w:r>
        <w:rPr>
          <w:spacing w:val="-2"/>
        </w:rPr>
        <w:t>M5Rules</w:t>
      </w:r>
      <w:r>
        <w:rPr>
          <w:spacing w:val="-9"/>
        </w:rPr>
        <w:t> </w:t>
      </w:r>
      <w:r>
        <w:rPr>
          <w:spacing w:val="-2"/>
        </w:rPr>
        <w:t>and</w:t>
      </w:r>
      <w:r>
        <w:rPr>
          <w:spacing w:val="-9"/>
        </w:rPr>
        <w:t> </w:t>
      </w:r>
      <w:r>
        <w:rPr>
          <w:spacing w:val="-2"/>
        </w:rPr>
        <w:t>RIPPER,</w:t>
      </w:r>
      <w:r>
        <w:rPr>
          <w:spacing w:val="-9"/>
        </w:rPr>
        <w:t> </w:t>
      </w:r>
      <w:r>
        <w:rPr>
          <w:spacing w:val="-2"/>
        </w:rPr>
        <w:t>which</w:t>
      </w:r>
      <w:r>
        <w:rPr>
          <w:spacing w:val="-9"/>
        </w:rPr>
        <w:t> </w:t>
      </w:r>
      <w:r>
        <w:rPr>
          <w:spacing w:val="-2"/>
        </w:rPr>
        <w:t>perform</w:t>
      </w:r>
      <w:r>
        <w:rPr>
          <w:spacing w:val="-9"/>
        </w:rPr>
        <w:t> </w:t>
      </w:r>
      <w:r>
        <w:rPr>
          <w:spacing w:val="-2"/>
        </w:rPr>
        <w:t>their</w:t>
      </w:r>
      <w:r>
        <w:rPr>
          <w:spacing w:val="-9"/>
        </w:rPr>
        <w:t> </w:t>
      </w:r>
      <w:r>
        <w:rPr>
          <w:spacing w:val="-2"/>
        </w:rPr>
        <w:t>own</w:t>
      </w:r>
      <w:r>
        <w:rPr>
          <w:spacing w:val="-9"/>
        </w:rPr>
        <w:t> </w:t>
      </w:r>
      <w:r>
        <w:rPr>
          <w:spacing w:val="-2"/>
        </w:rPr>
        <w:t>internal</w:t>
      </w:r>
      <w:r>
        <w:rPr>
          <w:spacing w:val="-9"/>
        </w:rPr>
        <w:t> </w:t>
      </w:r>
      <w:r>
        <w:rPr>
          <w:spacing w:val="-2"/>
        </w:rPr>
        <w:t>threshold</w:t>
      </w:r>
      <w:r>
        <w:rPr>
          <w:spacing w:val="-9"/>
        </w:rPr>
        <w:t> </w:t>
      </w:r>
      <w:r>
        <w:rPr>
          <w:spacing w:val="-2"/>
        </w:rPr>
        <w:t>finding. For</w:t>
      </w:r>
      <w:r>
        <w:rPr>
          <w:spacing w:val="-9"/>
        </w:rPr>
        <w:t> </w:t>
      </w:r>
      <w:r>
        <w:rPr>
          <w:spacing w:val="-2"/>
        </w:rPr>
        <w:t>CarenR, </w:t>
      </w:r>
      <w:r>
        <w:rPr/>
        <w:t>a separate discretised version of the dataset (dataPrep_dis_rule_dataset_*.csv) is produced by script 2_features_creation.R using equal-frequency binning into four quartile intervals.</w:t>
      </w:r>
      <w:r>
        <w:rPr>
          <w:spacing w:val="40"/>
        </w:rPr>
        <w:t> </w:t>
      </w:r>
      <w:r>
        <w:rPr/>
        <w:t>Each feature</w:t>
      </w:r>
      <w:r>
        <w:rPr>
          <w:spacing w:val="-11"/>
        </w:rPr>
        <w:t> </w:t>
      </w:r>
      <w:r>
        <w:rPr/>
        <w:t>is</w:t>
      </w:r>
      <w:r>
        <w:rPr>
          <w:spacing w:val="-11"/>
        </w:rPr>
        <w:t> </w:t>
      </w:r>
      <w:r>
        <w:rPr/>
        <w:t>independently</w:t>
      </w:r>
      <w:r>
        <w:rPr>
          <w:spacing w:val="-11"/>
        </w:rPr>
        <w:t> </w:t>
      </w:r>
      <w:r>
        <w:rPr/>
        <w:t>divided</w:t>
      </w:r>
      <w:r>
        <w:rPr>
          <w:spacing w:val="-11"/>
        </w:rPr>
        <w:t> </w:t>
      </w:r>
      <w:r>
        <w:rPr/>
        <w:t>into</w:t>
      </w:r>
      <w:r>
        <w:rPr>
          <w:spacing w:val="-11"/>
        </w:rPr>
        <w:t> </w:t>
      </w:r>
      <w:r>
        <w:rPr/>
        <w:t>four</w:t>
      </w:r>
      <w:r>
        <w:rPr>
          <w:spacing w:val="-11"/>
        </w:rPr>
        <w:t> </w:t>
      </w:r>
      <w:r>
        <w:rPr/>
        <w:t>bins,</w:t>
      </w:r>
      <w:r>
        <w:rPr>
          <w:spacing w:val="-11"/>
        </w:rPr>
        <w:t> </w:t>
      </w:r>
      <w:r>
        <w:rPr/>
        <w:t>each</w:t>
      </w:r>
      <w:r>
        <w:rPr>
          <w:spacing w:val="-11"/>
        </w:rPr>
        <w:t> </w:t>
      </w:r>
      <w:r>
        <w:rPr/>
        <w:t>containing</w:t>
      </w:r>
      <w:r>
        <w:rPr>
          <w:spacing w:val="-11"/>
        </w:rPr>
        <w:t> </w:t>
      </w:r>
      <w:r>
        <w:rPr/>
        <w:t>approximately</w:t>
      </w:r>
      <w:r>
        <w:rPr>
          <w:spacing w:val="-11"/>
        </w:rPr>
        <w:t> </w:t>
      </w:r>
      <w:r>
        <w:rPr/>
        <w:t>25%</w:t>
      </w:r>
      <w:r>
        <w:rPr>
          <w:spacing w:val="-11"/>
        </w:rPr>
        <w:t> </w:t>
      </w:r>
      <w:r>
        <w:rPr/>
        <w:t>of</w:t>
      </w:r>
      <w:r>
        <w:rPr>
          <w:spacing w:val="-11"/>
        </w:rPr>
        <w:t> </w:t>
      </w:r>
      <w:r>
        <w:rPr/>
        <w:t>the</w:t>
      </w:r>
      <w:r>
        <w:rPr>
          <w:spacing w:val="-11"/>
        </w:rPr>
        <w:t> </w:t>
      </w:r>
      <w:r>
        <w:rPr/>
        <w:t>training observations,</w:t>
      </w:r>
      <w:r>
        <w:rPr>
          <w:spacing w:val="-14"/>
        </w:rPr>
        <w:t> </w:t>
      </w:r>
      <w:r>
        <w:rPr/>
        <w:t>with</w:t>
      </w:r>
      <w:r>
        <w:rPr>
          <w:spacing w:val="-14"/>
        </w:rPr>
        <w:t> </w:t>
      </w:r>
      <w:r>
        <w:rPr/>
        <w:t>the</w:t>
      </w:r>
      <w:r>
        <w:rPr>
          <w:spacing w:val="-14"/>
        </w:rPr>
        <w:t> </w:t>
      </w:r>
      <w:r>
        <w:rPr/>
        <w:t>boundaries</w:t>
      </w:r>
      <w:r>
        <w:rPr>
          <w:spacing w:val="-13"/>
        </w:rPr>
        <w:t> </w:t>
      </w:r>
      <w:r>
        <w:rPr/>
        <w:t>represented</w:t>
      </w:r>
      <w:r>
        <w:rPr>
          <w:spacing w:val="-14"/>
        </w:rPr>
        <w:t> </w:t>
      </w:r>
      <w:r>
        <w:rPr/>
        <w:t>as</w:t>
      </w:r>
      <w:r>
        <w:rPr>
          <w:spacing w:val="-14"/>
        </w:rPr>
        <w:t> </w:t>
      </w:r>
      <w:r>
        <w:rPr/>
        <w:t>interval</w:t>
      </w:r>
      <w:r>
        <w:rPr>
          <w:spacing w:val="-14"/>
        </w:rPr>
        <w:t> </w:t>
      </w:r>
      <w:r>
        <w:rPr/>
        <w:t>notation</w:t>
      </w:r>
      <w:r>
        <w:rPr>
          <w:spacing w:val="-13"/>
        </w:rPr>
        <w:t> </w:t>
      </w:r>
      <w:r>
        <w:rPr/>
        <w:t>(e.g.</w:t>
      </w:r>
      <w:r>
        <w:rPr>
          <w:spacing w:val="-4"/>
        </w:rPr>
        <w:t> </w:t>
      </w:r>
      <w:r>
        <w:rPr/>
        <w:t>[18.3|22.4]</w:t>
      </w:r>
      <w:r>
        <w:rPr>
          <w:spacing w:val="-14"/>
        </w:rPr>
        <w:t> </w:t>
      </w:r>
      <w:r>
        <w:rPr/>
        <w:t>for</w:t>
      </w:r>
      <w:r>
        <w:rPr>
          <w:spacing w:val="-14"/>
        </w:rPr>
        <w:t> </w:t>
      </w:r>
      <w:r>
        <w:rPr/>
        <w:t>the</w:t>
      </w:r>
      <w:r>
        <w:rPr>
          <w:spacing w:val="-14"/>
        </w:rPr>
        <w:t> </w:t>
      </w:r>
      <w:r>
        <w:rPr/>
        <w:t>bin</w:t>
      </w:r>
      <w:r>
        <w:rPr>
          <w:spacing w:val="-13"/>
        </w:rPr>
        <w:t> </w:t>
      </w:r>
      <w:r>
        <w:rPr/>
        <w:t>from 18.3</w:t>
      </w:r>
      <w:r>
        <w:rPr>
          <w:rFonts w:ascii="Meiryo UI" w:hAnsi="Meiryo UI"/>
          <w:i/>
          <w:vertAlign w:val="superscript"/>
        </w:rPr>
        <w:t>◦</w:t>
      </w:r>
      <w:r>
        <w:rPr>
          <w:vertAlign w:val="baseline"/>
        </w:rPr>
        <w:t>C to 22.4</w:t>
      </w:r>
      <w:r>
        <w:rPr>
          <w:rFonts w:ascii="Meiryo UI" w:hAnsi="Meiryo UI"/>
          <w:i/>
          <w:vertAlign w:val="superscript"/>
        </w:rPr>
        <w:t>◦</w:t>
      </w:r>
      <w:r>
        <w:rPr>
          <w:vertAlign w:val="baseline"/>
        </w:rPr>
        <w:t>C).</w:t>
      </w:r>
    </w:p>
    <w:p>
      <w:pPr>
        <w:pStyle w:val="BodyText"/>
        <w:spacing w:line="312" w:lineRule="auto" w:before="62"/>
        <w:ind w:left="709" w:right="954" w:firstLine="338"/>
        <w:jc w:val="both"/>
      </w:pPr>
      <w:r>
        <w:rPr>
          <w:spacing w:val="-2"/>
        </w:rPr>
        <w:t>The equal-frequency choice, rather than equal-width or domain-knowledge-based breakpoints, </w:t>
      </w:r>
      <w:r>
        <w:rPr/>
        <w:t>ensures that each bin is populated by a comparable number of observations.</w:t>
      </w:r>
      <w:r>
        <w:rPr>
          <w:spacing w:val="40"/>
        </w:rPr>
        <w:t> </w:t>
      </w:r>
      <w:r>
        <w:rPr/>
        <w:t>This is important</w:t>
      </w:r>
      <w:r>
        <w:rPr>
          <w:spacing w:val="40"/>
        </w:rPr>
        <w:t> </w:t>
      </w:r>
      <w:r>
        <w:rPr/>
        <w:t>for the KS test used by CarenR: a bin with only two or three observations would produce an unreliable distributional comparison regardless of its meteorological significance.</w:t>
      </w:r>
      <w:r>
        <w:rPr>
          <w:spacing w:val="40"/>
        </w:rPr>
        <w:t> </w:t>
      </w:r>
      <w:r>
        <w:rPr/>
        <w:t>In the walk-forward</w:t>
      </w:r>
      <w:r>
        <w:rPr>
          <w:spacing w:val="-5"/>
        </w:rPr>
        <w:t> </w:t>
      </w:r>
      <w:r>
        <w:rPr/>
        <w:t>scenarios,</w:t>
      </w:r>
      <w:r>
        <w:rPr>
          <w:spacing w:val="-5"/>
        </w:rPr>
        <w:t> </w:t>
      </w:r>
      <w:r>
        <w:rPr/>
        <w:t>the</w:t>
      </w:r>
      <w:r>
        <w:rPr>
          <w:spacing w:val="-5"/>
        </w:rPr>
        <w:t> </w:t>
      </w:r>
      <w:r>
        <w:rPr/>
        <w:t>bin</w:t>
      </w:r>
      <w:r>
        <w:rPr>
          <w:spacing w:val="-5"/>
        </w:rPr>
        <w:t> </w:t>
      </w:r>
      <w:r>
        <w:rPr/>
        <w:t>boundaries</w:t>
      </w:r>
      <w:r>
        <w:rPr>
          <w:spacing w:val="-5"/>
        </w:rPr>
        <w:t> </w:t>
      </w:r>
      <w:r>
        <w:rPr/>
        <w:t>are</w:t>
      </w:r>
      <w:r>
        <w:rPr>
          <w:spacing w:val="-5"/>
        </w:rPr>
        <w:t> </w:t>
      </w:r>
      <w:r>
        <w:rPr/>
        <w:t>re-estimated</w:t>
      </w:r>
      <w:r>
        <w:rPr>
          <w:spacing w:val="-5"/>
        </w:rPr>
        <w:t> </w:t>
      </w:r>
      <w:r>
        <w:rPr/>
        <w:t>within</w:t>
      </w:r>
      <w:r>
        <w:rPr>
          <w:spacing w:val="-5"/>
        </w:rPr>
        <w:t> </w:t>
      </w:r>
      <w:r>
        <w:rPr/>
        <w:t>each</w:t>
      </w:r>
      <w:r>
        <w:rPr>
          <w:spacing w:val="-5"/>
        </w:rPr>
        <w:t> </w:t>
      </w:r>
      <w:r>
        <w:rPr/>
        <w:t>training</w:t>
      </w:r>
      <w:r>
        <w:rPr>
          <w:spacing w:val="-5"/>
        </w:rPr>
        <w:t> </w:t>
      </w:r>
      <w:r>
        <w:rPr/>
        <w:t>fold,</w:t>
      </w:r>
      <w:r>
        <w:rPr>
          <w:spacing w:val="-5"/>
        </w:rPr>
        <w:t> </w:t>
      </w:r>
      <w:r>
        <w:rPr/>
        <w:t>ensuring</w:t>
      </w:r>
      <w:r>
        <w:rPr>
          <w:spacing w:val="-5"/>
        </w:rPr>
        <w:t> </w:t>
      </w:r>
      <w:r>
        <w:rPr/>
        <w:t>that</w:t>
      </w:r>
      <w:r>
        <w:rPr>
          <w:spacing w:val="-5"/>
        </w:rPr>
        <w:t> </w:t>
      </w:r>
      <w:r>
        <w:rPr/>
        <w:t>the </w:t>
      </w:r>
      <w:r>
        <w:rPr>
          <w:spacing w:val="-2"/>
        </w:rPr>
        <w:t>discretisation</w:t>
      </w:r>
      <w:r>
        <w:rPr>
          <w:spacing w:val="-5"/>
        </w:rPr>
        <w:t> </w:t>
      </w:r>
      <w:r>
        <w:rPr>
          <w:spacing w:val="-2"/>
        </w:rPr>
        <w:t>reflects</w:t>
      </w:r>
      <w:r>
        <w:rPr>
          <w:spacing w:val="-5"/>
        </w:rPr>
        <w:t> </w:t>
      </w:r>
      <w:r>
        <w:rPr>
          <w:spacing w:val="-2"/>
        </w:rPr>
        <w:t>the</w:t>
      </w:r>
      <w:r>
        <w:rPr>
          <w:spacing w:val="-5"/>
        </w:rPr>
        <w:t> </w:t>
      </w:r>
      <w:r>
        <w:rPr>
          <w:spacing w:val="-2"/>
        </w:rPr>
        <w:t>distribution</w:t>
      </w:r>
      <w:r>
        <w:rPr>
          <w:spacing w:val="-5"/>
        </w:rPr>
        <w:t> </w:t>
      </w:r>
      <w:r>
        <w:rPr>
          <w:spacing w:val="-2"/>
        </w:rPr>
        <w:t>of</w:t>
      </w:r>
      <w:r>
        <w:rPr>
          <w:spacing w:val="-5"/>
        </w:rPr>
        <w:t> </w:t>
      </w:r>
      <w:r>
        <w:rPr>
          <w:spacing w:val="-2"/>
        </w:rPr>
        <w:t>climate</w:t>
      </w:r>
      <w:r>
        <w:rPr>
          <w:spacing w:val="-5"/>
        </w:rPr>
        <w:t> </w:t>
      </w:r>
      <w:r>
        <w:rPr>
          <w:spacing w:val="-2"/>
        </w:rPr>
        <w:t>conditions</w:t>
      </w:r>
      <w:r>
        <w:rPr>
          <w:spacing w:val="-5"/>
        </w:rPr>
        <w:t> </w:t>
      </w:r>
      <w:r>
        <w:rPr>
          <w:spacing w:val="-2"/>
        </w:rPr>
        <w:t>actually</w:t>
      </w:r>
      <w:r>
        <w:rPr>
          <w:spacing w:val="-5"/>
        </w:rPr>
        <w:t> </w:t>
      </w:r>
      <w:r>
        <w:rPr>
          <w:spacing w:val="-2"/>
        </w:rPr>
        <w:t>observed</w:t>
      </w:r>
      <w:r>
        <w:rPr>
          <w:spacing w:val="-5"/>
        </w:rPr>
        <w:t> </w:t>
      </w:r>
      <w:r>
        <w:rPr>
          <w:spacing w:val="-2"/>
        </w:rPr>
        <w:t>in</w:t>
      </w:r>
      <w:r>
        <w:rPr>
          <w:spacing w:val="-5"/>
        </w:rPr>
        <w:t> </w:t>
      </w:r>
      <w:r>
        <w:rPr>
          <w:spacing w:val="-2"/>
        </w:rPr>
        <w:t>the</w:t>
      </w:r>
      <w:r>
        <w:rPr>
          <w:spacing w:val="-5"/>
        </w:rPr>
        <w:t> </w:t>
      </w:r>
      <w:r>
        <w:rPr>
          <w:spacing w:val="-2"/>
        </w:rPr>
        <w:t>training</w:t>
      </w:r>
      <w:r>
        <w:rPr>
          <w:spacing w:val="-5"/>
        </w:rPr>
        <w:t> </w:t>
      </w:r>
      <w:r>
        <w:rPr>
          <w:spacing w:val="-2"/>
        </w:rPr>
        <w:t>period, </w:t>
      </w:r>
      <w:r>
        <w:rPr/>
        <w:t>not the full historical record that would be unknowable at prediction time.</w:t>
      </w:r>
    </w:p>
    <w:p>
      <w:pPr>
        <w:pStyle w:val="BodyText"/>
        <w:spacing w:before="125"/>
      </w:pPr>
    </w:p>
    <w:p>
      <w:pPr>
        <w:pStyle w:val="Heading2"/>
        <w:numPr>
          <w:ilvl w:val="1"/>
          <w:numId w:val="17"/>
        </w:numPr>
        <w:tabs>
          <w:tab w:pos="1497" w:val="left" w:leader="none"/>
        </w:tabs>
        <w:spacing w:line="240" w:lineRule="auto" w:before="0" w:after="0"/>
        <w:ind w:left="1497" w:right="0" w:hanging="788"/>
        <w:jc w:val="both"/>
      </w:pPr>
      <w:bookmarkStart w:name="3.12 Data Pipeline Summary" w:id="122"/>
      <w:bookmarkEnd w:id="122"/>
      <w:r>
        <w:rPr>
          <w:b w:val="0"/>
        </w:rPr>
      </w:r>
      <w:bookmarkStart w:name="_bookmark67" w:id="123"/>
      <w:bookmarkEnd w:id="123"/>
      <w:r>
        <w:rPr>
          <w:b w:val="0"/>
        </w:rPr>
      </w:r>
      <w:r>
        <w:rPr/>
        <w:t>Data</w:t>
      </w:r>
      <w:r>
        <w:rPr>
          <w:spacing w:val="16"/>
        </w:rPr>
        <w:t> </w:t>
      </w:r>
      <w:r>
        <w:rPr/>
        <w:t>Pipeline</w:t>
      </w:r>
      <w:r>
        <w:rPr>
          <w:spacing w:val="16"/>
        </w:rPr>
        <w:t> </w:t>
      </w:r>
      <w:r>
        <w:rPr>
          <w:spacing w:val="-2"/>
        </w:rPr>
        <w:t>Summary</w:t>
      </w:r>
    </w:p>
    <w:p>
      <w:pPr>
        <w:pStyle w:val="BodyText"/>
        <w:spacing w:line="312" w:lineRule="auto" w:before="289"/>
        <w:ind w:left="703" w:right="979" w:hanging="2"/>
        <w:jc w:val="both"/>
      </w:pPr>
      <w:r>
        <w:rPr>
          <w:spacing w:val="-4"/>
        </w:rPr>
        <w:t>The</w:t>
      </w:r>
      <w:r>
        <w:rPr>
          <w:spacing w:val="-6"/>
        </w:rPr>
        <w:t> </w:t>
      </w:r>
      <w:r>
        <w:rPr>
          <w:spacing w:val="-4"/>
        </w:rPr>
        <w:t>pipeline</w:t>
      </w:r>
      <w:r>
        <w:rPr>
          <w:spacing w:val="-6"/>
        </w:rPr>
        <w:t> </w:t>
      </w:r>
      <w:r>
        <w:rPr>
          <w:spacing w:val="-4"/>
        </w:rPr>
        <w:t>was</w:t>
      </w:r>
      <w:r>
        <w:rPr>
          <w:spacing w:val="-6"/>
        </w:rPr>
        <w:t> </w:t>
      </w:r>
      <w:r>
        <w:rPr>
          <w:spacing w:val="-4"/>
        </w:rPr>
        <w:t>implemented</w:t>
      </w:r>
      <w:r>
        <w:rPr>
          <w:spacing w:val="-6"/>
        </w:rPr>
        <w:t> </w:t>
      </w:r>
      <w:r>
        <w:rPr>
          <w:spacing w:val="-4"/>
        </w:rPr>
        <w:t>as</w:t>
      </w:r>
      <w:r>
        <w:rPr>
          <w:spacing w:val="-6"/>
        </w:rPr>
        <w:t> </w:t>
      </w:r>
      <w:r>
        <w:rPr>
          <w:spacing w:val="-4"/>
        </w:rPr>
        <w:t>a</w:t>
      </w:r>
      <w:r>
        <w:rPr>
          <w:spacing w:val="-6"/>
        </w:rPr>
        <w:t> </w:t>
      </w:r>
      <w:r>
        <w:rPr>
          <w:spacing w:val="-4"/>
        </w:rPr>
        <w:t>sequence</w:t>
      </w:r>
      <w:r>
        <w:rPr>
          <w:spacing w:val="-6"/>
        </w:rPr>
        <w:t> </w:t>
      </w:r>
      <w:r>
        <w:rPr>
          <w:spacing w:val="-4"/>
        </w:rPr>
        <w:t>of</w:t>
      </w:r>
      <w:r>
        <w:rPr>
          <w:spacing w:val="-6"/>
        </w:rPr>
        <w:t> </w:t>
      </w:r>
      <w:r>
        <w:rPr>
          <w:spacing w:val="-4"/>
        </w:rPr>
        <w:t>seven</w:t>
      </w:r>
      <w:r>
        <w:rPr>
          <w:spacing w:val="-6"/>
        </w:rPr>
        <w:t> </w:t>
      </w:r>
      <w:r>
        <w:rPr>
          <w:spacing w:val="-4"/>
        </w:rPr>
        <w:t>R</w:t>
      </w:r>
      <w:r>
        <w:rPr>
          <w:spacing w:val="-6"/>
        </w:rPr>
        <w:t> </w:t>
      </w:r>
      <w:r>
        <w:rPr>
          <w:spacing w:val="-4"/>
        </w:rPr>
        <w:t>scripts</w:t>
      </w:r>
      <w:r>
        <w:rPr>
          <w:spacing w:val="-6"/>
        </w:rPr>
        <w:t> </w:t>
      </w:r>
      <w:r>
        <w:rPr>
          <w:spacing w:val="-4"/>
        </w:rPr>
        <w:t>coordinated</w:t>
      </w:r>
      <w:r>
        <w:rPr>
          <w:spacing w:val="-6"/>
        </w:rPr>
        <w:t> </w:t>
      </w:r>
      <w:r>
        <w:rPr>
          <w:spacing w:val="-4"/>
        </w:rPr>
        <w:t>by</w:t>
      </w:r>
      <w:r>
        <w:rPr>
          <w:spacing w:val="-6"/>
        </w:rPr>
        <w:t> </w:t>
      </w:r>
      <w:r>
        <w:rPr>
          <w:spacing w:val="-4"/>
        </w:rPr>
        <w:t>a</w:t>
      </w:r>
      <w:r>
        <w:rPr>
          <w:spacing w:val="-6"/>
        </w:rPr>
        <w:t> </w:t>
      </w:r>
      <w:r>
        <w:rPr>
          <w:spacing w:val="-4"/>
        </w:rPr>
        <w:t>master</w:t>
      </w:r>
      <w:r>
        <w:rPr>
          <w:spacing w:val="-6"/>
        </w:rPr>
        <w:t> </w:t>
      </w:r>
      <w:r>
        <w:rPr>
          <w:spacing w:val="-4"/>
        </w:rPr>
        <w:t>runner</w:t>
      </w:r>
      <w:r>
        <w:rPr>
          <w:spacing w:val="-6"/>
        </w:rPr>
        <w:t> </w:t>
      </w:r>
      <w:r>
        <w:rPr>
          <w:spacing w:val="-4"/>
        </w:rPr>
        <w:t>(run_ </w:t>
      </w:r>
      <w:r>
        <w:rPr/>
        <w:t>all_pipelines.R),</w:t>
      </w:r>
      <w:r>
        <w:rPr>
          <w:spacing w:val="-14"/>
        </w:rPr>
        <w:t> </w:t>
      </w:r>
      <w:r>
        <w:rPr/>
        <w:t>with</w:t>
      </w:r>
      <w:r>
        <w:rPr>
          <w:spacing w:val="-14"/>
        </w:rPr>
        <w:t> </w:t>
      </w:r>
      <w:r>
        <w:rPr/>
        <w:t>all</w:t>
      </w:r>
      <w:r>
        <w:rPr>
          <w:spacing w:val="-14"/>
        </w:rPr>
        <w:t> </w:t>
      </w:r>
      <w:r>
        <w:rPr/>
        <w:t>intermediate</w:t>
      </w:r>
      <w:r>
        <w:rPr>
          <w:spacing w:val="-13"/>
        </w:rPr>
        <w:t> </w:t>
      </w:r>
      <w:r>
        <w:rPr/>
        <w:t>datasets</w:t>
      </w:r>
      <w:r>
        <w:rPr>
          <w:spacing w:val="-14"/>
        </w:rPr>
        <w:t> </w:t>
      </w:r>
      <w:r>
        <w:rPr/>
        <w:t>written</w:t>
      </w:r>
      <w:r>
        <w:rPr>
          <w:spacing w:val="-14"/>
        </w:rPr>
        <w:t> </w:t>
      </w:r>
      <w:r>
        <w:rPr/>
        <w:t>to</w:t>
      </w:r>
      <w:r>
        <w:rPr>
          <w:spacing w:val="-14"/>
        </w:rPr>
        <w:t> </w:t>
      </w:r>
      <w:r>
        <w:rPr/>
        <w:t>disk</w:t>
      </w:r>
      <w:r>
        <w:rPr>
          <w:spacing w:val="-13"/>
        </w:rPr>
        <w:t> </w:t>
      </w:r>
      <w:r>
        <w:rPr/>
        <w:t>at</w:t>
      </w:r>
      <w:r>
        <w:rPr>
          <w:spacing w:val="-14"/>
        </w:rPr>
        <w:t> </w:t>
      </w:r>
      <w:r>
        <w:rPr/>
        <w:t>each</w:t>
      </w:r>
      <w:r>
        <w:rPr>
          <w:spacing w:val="-14"/>
        </w:rPr>
        <w:t> </w:t>
      </w:r>
      <w:r>
        <w:rPr/>
        <w:t>stage</w:t>
      </w:r>
      <w:r>
        <w:rPr>
          <w:spacing w:val="-14"/>
        </w:rPr>
        <w:t> </w:t>
      </w:r>
      <w:r>
        <w:rPr/>
        <w:t>to</w:t>
      </w:r>
      <w:r>
        <w:rPr>
          <w:spacing w:val="-13"/>
        </w:rPr>
        <w:t> </w:t>
      </w:r>
      <w:r>
        <w:rPr/>
        <w:t>allow</w:t>
      </w:r>
      <w:r>
        <w:rPr>
          <w:spacing w:val="-14"/>
        </w:rPr>
        <w:t> </w:t>
      </w:r>
      <w:r>
        <w:rPr/>
        <w:t>inspection</w:t>
      </w:r>
      <w:r>
        <w:rPr>
          <w:spacing w:val="-14"/>
        </w:rPr>
        <w:t> </w:t>
      </w:r>
      <w:r>
        <w:rPr/>
        <w:t>and </w:t>
      </w:r>
      <w:r>
        <w:rPr>
          <w:spacing w:val="-4"/>
        </w:rPr>
        <w:t>validation.</w:t>
      </w:r>
      <w:r>
        <w:rPr>
          <w:spacing w:val="13"/>
        </w:rPr>
        <w:t> </w:t>
      </w:r>
      <w:r>
        <w:rPr>
          <w:spacing w:val="-4"/>
        </w:rPr>
        <w:t>The</w:t>
      </w:r>
      <w:r>
        <w:rPr>
          <w:spacing w:val="-7"/>
        </w:rPr>
        <w:t> </w:t>
      </w:r>
      <w:r>
        <w:rPr>
          <w:spacing w:val="-4"/>
        </w:rPr>
        <w:t>complete</w:t>
      </w:r>
      <w:r>
        <w:rPr>
          <w:spacing w:val="-7"/>
        </w:rPr>
        <w:t> </w:t>
      </w:r>
      <w:r>
        <w:rPr>
          <w:spacing w:val="-4"/>
        </w:rPr>
        <w:t>stage-by-stage</w:t>
      </w:r>
      <w:r>
        <w:rPr>
          <w:spacing w:val="-6"/>
        </w:rPr>
        <w:t> </w:t>
      </w:r>
      <w:r>
        <w:rPr>
          <w:spacing w:val="-4"/>
        </w:rPr>
        <w:t>breakdown</w:t>
      </w:r>
      <w:r>
        <w:rPr>
          <w:spacing w:val="-7"/>
        </w:rPr>
        <w:t> </w:t>
      </w:r>
      <w:r>
        <w:rPr>
          <w:spacing w:val="-4"/>
        </w:rPr>
        <w:t>is</w:t>
      </w:r>
      <w:r>
        <w:rPr>
          <w:spacing w:val="-6"/>
        </w:rPr>
        <w:t> </w:t>
      </w:r>
      <w:r>
        <w:rPr>
          <w:spacing w:val="-4"/>
        </w:rPr>
        <w:t>given</w:t>
      </w:r>
      <w:r>
        <w:rPr>
          <w:spacing w:val="-7"/>
        </w:rPr>
        <w:t> </w:t>
      </w:r>
      <w:r>
        <w:rPr>
          <w:spacing w:val="-4"/>
        </w:rPr>
        <w:t>in</w:t>
      </w:r>
      <w:r>
        <w:rPr>
          <w:spacing w:val="-6"/>
        </w:rPr>
        <w:t> </w:t>
      </w:r>
      <w:r>
        <w:rPr>
          <w:spacing w:val="-4"/>
        </w:rPr>
        <w:t>Table</w:t>
      </w:r>
      <w:r>
        <w:rPr>
          <w:spacing w:val="-7"/>
        </w:rPr>
        <w:t> </w:t>
      </w:r>
      <w:hyperlink w:history="true" w:anchor="_bookmark178">
        <w:r>
          <w:rPr>
            <w:color w:val="8B2C18"/>
            <w:spacing w:val="-4"/>
          </w:rPr>
          <w:t>B.7</w:t>
        </w:r>
      </w:hyperlink>
      <w:r>
        <w:rPr>
          <w:color w:val="8B2C18"/>
          <w:spacing w:val="-6"/>
        </w:rPr>
        <w:t> </w:t>
      </w:r>
      <w:r>
        <w:rPr>
          <w:spacing w:val="-4"/>
        </w:rPr>
        <w:t>and</w:t>
      </w:r>
      <w:r>
        <w:rPr>
          <w:spacing w:val="-7"/>
        </w:rPr>
        <w:t> </w:t>
      </w:r>
      <w:r>
        <w:rPr>
          <w:spacing w:val="-4"/>
        </w:rPr>
        <w:t>the</w:t>
      </w:r>
      <w:r>
        <w:rPr>
          <w:spacing w:val="-7"/>
        </w:rPr>
        <w:t> </w:t>
      </w:r>
      <w:r>
        <w:rPr>
          <w:spacing w:val="-4"/>
        </w:rPr>
        <w:t>fixed</w:t>
      </w:r>
      <w:r>
        <w:rPr>
          <w:spacing w:val="-7"/>
        </w:rPr>
        <w:t> </w:t>
      </w:r>
      <w:r>
        <w:rPr>
          <w:spacing w:val="-4"/>
        </w:rPr>
        <w:t>configuration </w:t>
      </w:r>
      <w:r>
        <w:rPr/>
        <w:t>parameters in Table </w:t>
      </w:r>
      <w:hyperlink w:history="true" w:anchor="_bookmark179">
        <w:r>
          <w:rPr>
            <w:color w:val="8B2C18"/>
          </w:rPr>
          <w:t>B.8</w:t>
        </w:r>
      </w:hyperlink>
      <w:r>
        <w:rPr/>
        <w:t>, both in Appendix </w:t>
      </w:r>
      <w:hyperlink w:history="true" w:anchor="_bookmark163">
        <w:r>
          <w:rPr>
            <w:color w:val="8B2C18"/>
          </w:rPr>
          <w:t>B</w:t>
        </w:r>
      </w:hyperlink>
      <w:r>
        <w:rPr/>
        <w:t>. Figure </w:t>
      </w:r>
      <w:hyperlink w:history="true" w:anchor="_bookmark177">
        <w:r>
          <w:rPr>
            <w:color w:val="8B2C18"/>
          </w:rPr>
          <w:t>B.1</w:t>
        </w:r>
      </w:hyperlink>
      <w:r>
        <w:rPr>
          <w:color w:val="8B2C18"/>
        </w:rPr>
        <w:t> </w:t>
      </w:r>
      <w:r>
        <w:rPr/>
        <w:t>in the same appendix shows the full pipeline schematically.</w:t>
      </w:r>
    </w:p>
    <w:p>
      <w:pPr>
        <w:pStyle w:val="BodyText"/>
        <w:spacing w:after="0" w:line="312" w:lineRule="auto"/>
        <w:jc w:val="both"/>
        <w:sectPr>
          <w:headerReference w:type="default" r:id="rId61"/>
          <w:headerReference w:type="even" r:id="rId62"/>
          <w:pgSz w:w="11910" w:h="16840"/>
          <w:pgMar w:header="1160" w:footer="0" w:top="1420" w:bottom="280" w:left="1275" w:right="425"/>
          <w:pgNumType w:start="37"/>
        </w:sectPr>
      </w:pPr>
    </w:p>
    <w:p>
      <w:pPr>
        <w:pStyle w:val="BodyText"/>
        <w:spacing w:before="4"/>
        <w:rPr>
          <w:sz w:val="17"/>
        </w:rPr>
      </w:pPr>
    </w:p>
    <w:p>
      <w:pPr>
        <w:pStyle w:val="BodyText"/>
        <w:spacing w:after="0"/>
        <w:rPr>
          <w:sz w:val="17"/>
        </w:rPr>
        <w:sectPr>
          <w:pgSz w:w="11910" w:h="16840"/>
          <w:pgMar w:header="1160" w:footer="0" w:top="1420" w:bottom="280" w:left="1275" w:right="425"/>
        </w:sectPr>
      </w:pPr>
    </w:p>
    <w:p>
      <w:pPr>
        <w:pStyle w:val="BodyText"/>
        <w:rPr>
          <w:sz w:val="41"/>
        </w:rPr>
      </w:pPr>
    </w:p>
    <w:p>
      <w:pPr>
        <w:pStyle w:val="BodyText"/>
        <w:rPr>
          <w:sz w:val="41"/>
        </w:rPr>
      </w:pPr>
    </w:p>
    <w:p>
      <w:pPr>
        <w:pStyle w:val="BodyText"/>
        <w:spacing w:before="29"/>
        <w:rPr>
          <w:sz w:val="41"/>
        </w:rPr>
      </w:pPr>
    </w:p>
    <w:p>
      <w:pPr>
        <w:spacing w:before="0"/>
        <w:ind w:left="709" w:right="0" w:firstLine="0"/>
        <w:jc w:val="left"/>
        <w:rPr>
          <w:b/>
          <w:sz w:val="41"/>
        </w:rPr>
      </w:pPr>
      <w:bookmarkStart w:name="4 Rule Discovery Results (Goal 1)" w:id="124"/>
      <w:bookmarkEnd w:id="124"/>
      <w:r>
        <w:rPr/>
      </w:r>
      <w:bookmarkStart w:name="_bookmark68" w:id="125"/>
      <w:bookmarkEnd w:id="125"/>
      <w:r>
        <w:rPr/>
      </w:r>
      <w:r>
        <w:rPr>
          <w:b/>
          <w:sz w:val="41"/>
        </w:rPr>
        <w:t>Chapter </w:t>
      </w:r>
      <w:r>
        <w:rPr>
          <w:b/>
          <w:spacing w:val="-10"/>
          <w:sz w:val="41"/>
        </w:rPr>
        <w:t>4</w:t>
      </w:r>
    </w:p>
    <w:p>
      <w:pPr>
        <w:pStyle w:val="BodyText"/>
        <w:spacing w:before="109"/>
        <w:rPr>
          <w:b/>
          <w:sz w:val="41"/>
        </w:rPr>
      </w:pPr>
    </w:p>
    <w:p>
      <w:pPr>
        <w:pStyle w:val="Heading1"/>
      </w:pPr>
      <w:r>
        <w:rPr/>
        <w:t>Rule</w:t>
      </w:r>
      <w:r>
        <w:rPr>
          <w:spacing w:val="12"/>
        </w:rPr>
        <w:t> </w:t>
      </w:r>
      <w:r>
        <w:rPr/>
        <w:t>Discovery</w:t>
      </w:r>
      <w:r>
        <w:rPr>
          <w:spacing w:val="13"/>
        </w:rPr>
        <w:t> </w:t>
      </w:r>
      <w:r>
        <w:rPr/>
        <w:t>Results</w:t>
      </w:r>
      <w:r>
        <w:rPr>
          <w:spacing w:val="13"/>
        </w:rPr>
        <w:t> </w:t>
      </w:r>
      <w:r>
        <w:rPr/>
        <w:t>(Goal</w:t>
      </w:r>
      <w:r>
        <w:rPr>
          <w:spacing w:val="13"/>
        </w:rPr>
        <w:t> </w:t>
      </w:r>
      <w:r>
        <w:rPr>
          <w:spacing w:val="-5"/>
        </w:rPr>
        <w:t>1)</w:t>
      </w:r>
    </w:p>
    <w:p>
      <w:pPr>
        <w:pStyle w:val="BodyText"/>
        <w:spacing w:before="254"/>
        <w:rPr>
          <w:b/>
          <w:sz w:val="49"/>
        </w:rPr>
      </w:pPr>
    </w:p>
    <w:p>
      <w:pPr>
        <w:pStyle w:val="BodyText"/>
        <w:spacing w:line="312" w:lineRule="auto" w:before="1"/>
        <w:ind w:left="701" w:right="959" w:firstLine="1"/>
        <w:jc w:val="both"/>
      </w:pPr>
      <w:r>
        <w:rPr/>
        <w:t>This chapter reports the output of the three rule-learning algorithms applied to the full historical datasets. The primary evaluation question for Goal 1 is: does CarenR’s distributional subgroup </w:t>
      </w:r>
      <w:r>
        <w:rPr>
          <w:spacing w:val="-2"/>
        </w:rPr>
        <w:t>discovery</w:t>
      </w:r>
      <w:r>
        <w:rPr>
          <w:spacing w:val="-12"/>
        </w:rPr>
        <w:t> </w:t>
      </w:r>
      <w:r>
        <w:rPr>
          <w:spacing w:val="-2"/>
        </w:rPr>
        <w:t>extract</w:t>
      </w:r>
      <w:r>
        <w:rPr>
          <w:spacing w:val="-12"/>
        </w:rPr>
        <w:t> </w:t>
      </w:r>
      <w:r>
        <w:rPr>
          <w:spacing w:val="-2"/>
        </w:rPr>
        <w:t>statistically</w:t>
      </w:r>
      <w:r>
        <w:rPr>
          <w:spacing w:val="-11"/>
        </w:rPr>
        <w:t> </w:t>
      </w:r>
      <w:r>
        <w:rPr>
          <w:spacing w:val="-2"/>
        </w:rPr>
        <w:t>validated,</w:t>
      </w:r>
      <w:r>
        <w:rPr>
          <w:spacing w:val="-12"/>
        </w:rPr>
        <w:t> </w:t>
      </w:r>
      <w:r>
        <w:rPr>
          <w:spacing w:val="-2"/>
        </w:rPr>
        <w:t>non-trivial</w:t>
      </w:r>
      <w:r>
        <w:rPr>
          <w:spacing w:val="-12"/>
        </w:rPr>
        <w:t> </w:t>
      </w:r>
      <w:r>
        <w:rPr>
          <w:spacing w:val="-2"/>
        </w:rPr>
        <w:t>patterns</w:t>
      </w:r>
      <w:r>
        <w:rPr>
          <w:spacing w:val="-11"/>
        </w:rPr>
        <w:t> </w:t>
      </w:r>
      <w:r>
        <w:rPr>
          <w:spacing w:val="-2"/>
        </w:rPr>
        <w:t>from</w:t>
      </w:r>
      <w:r>
        <w:rPr>
          <w:spacing w:val="-12"/>
        </w:rPr>
        <w:t> </w:t>
      </w:r>
      <w:r>
        <w:rPr>
          <w:spacing w:val="-2"/>
        </w:rPr>
        <w:t>the</w:t>
      </w:r>
      <w:r>
        <w:rPr>
          <w:spacing w:val="-12"/>
        </w:rPr>
        <w:t> </w:t>
      </w:r>
      <w:r>
        <w:rPr>
          <w:spacing w:val="-2"/>
        </w:rPr>
        <w:t>data?</w:t>
      </w:r>
      <w:r>
        <w:rPr>
          <w:spacing w:val="1"/>
        </w:rPr>
        <w:t> </w:t>
      </w:r>
      <w:r>
        <w:rPr>
          <w:spacing w:val="-2"/>
        </w:rPr>
        <w:t>Subsidiary</w:t>
      </w:r>
      <w:r>
        <w:rPr>
          <w:spacing w:val="-12"/>
        </w:rPr>
        <w:t> </w:t>
      </w:r>
      <w:r>
        <w:rPr>
          <w:spacing w:val="-2"/>
        </w:rPr>
        <w:t>questions</w:t>
      </w:r>
      <w:r>
        <w:rPr>
          <w:spacing w:val="-12"/>
        </w:rPr>
        <w:t> </w:t>
      </w:r>
      <w:r>
        <w:rPr>
          <w:spacing w:val="-2"/>
        </w:rPr>
        <w:t>are: </w:t>
      </w:r>
      <w:r>
        <w:rPr/>
        <w:t>do</w:t>
      </w:r>
      <w:r>
        <w:rPr>
          <w:spacing w:val="-4"/>
        </w:rPr>
        <w:t> </w:t>
      </w:r>
      <w:r>
        <w:rPr/>
        <w:t>RIPPER</w:t>
      </w:r>
      <w:r>
        <w:rPr>
          <w:spacing w:val="-4"/>
        </w:rPr>
        <w:t> </w:t>
      </w:r>
      <w:r>
        <w:rPr/>
        <w:t>and</w:t>
      </w:r>
      <w:r>
        <w:rPr>
          <w:spacing w:val="-4"/>
        </w:rPr>
        <w:t> </w:t>
      </w:r>
      <w:r>
        <w:rPr/>
        <w:t>M5Rules</w:t>
      </w:r>
      <w:r>
        <w:rPr>
          <w:spacing w:val="-4"/>
        </w:rPr>
        <w:t> </w:t>
      </w:r>
      <w:r>
        <w:rPr/>
        <w:t>converge</w:t>
      </w:r>
      <w:r>
        <w:rPr>
          <w:spacing w:val="-4"/>
        </w:rPr>
        <w:t> </w:t>
      </w:r>
      <w:r>
        <w:rPr/>
        <w:t>on</w:t>
      </w:r>
      <w:r>
        <w:rPr>
          <w:spacing w:val="-4"/>
        </w:rPr>
        <w:t> </w:t>
      </w:r>
      <w:r>
        <w:rPr/>
        <w:t>the</w:t>
      </w:r>
      <w:r>
        <w:rPr>
          <w:spacing w:val="-4"/>
        </w:rPr>
        <w:t> </w:t>
      </w:r>
      <w:r>
        <w:rPr/>
        <w:t>same</w:t>
      </w:r>
      <w:r>
        <w:rPr>
          <w:spacing w:val="-4"/>
        </w:rPr>
        <w:t> </w:t>
      </w:r>
      <w:r>
        <w:rPr/>
        <w:t>variables</w:t>
      </w:r>
      <w:r>
        <w:rPr>
          <w:spacing w:val="-4"/>
        </w:rPr>
        <w:t> </w:t>
      </w:r>
      <w:r>
        <w:rPr/>
        <w:t>through</w:t>
      </w:r>
      <w:r>
        <w:rPr>
          <w:spacing w:val="-4"/>
        </w:rPr>
        <w:t> </w:t>
      </w:r>
      <w:r>
        <w:rPr/>
        <w:t>different</w:t>
      </w:r>
      <w:r>
        <w:rPr>
          <w:spacing w:val="-4"/>
        </w:rPr>
        <w:t> </w:t>
      </w:r>
      <w:r>
        <w:rPr/>
        <w:t>optimisation</w:t>
      </w:r>
      <w:r>
        <w:rPr>
          <w:spacing w:val="-4"/>
        </w:rPr>
        <w:t> </w:t>
      </w:r>
      <w:r>
        <w:rPr/>
        <w:t>criteria? </w:t>
      </w:r>
      <w:r>
        <w:rPr>
          <w:spacing w:val="-2"/>
        </w:rPr>
        <w:t>And</w:t>
      </w:r>
      <w:r>
        <w:rPr>
          <w:spacing w:val="-6"/>
        </w:rPr>
        <w:t> </w:t>
      </w:r>
      <w:r>
        <w:rPr>
          <w:spacing w:val="-2"/>
        </w:rPr>
        <w:t>are</w:t>
      </w:r>
      <w:r>
        <w:rPr>
          <w:spacing w:val="-6"/>
        </w:rPr>
        <w:t> </w:t>
      </w:r>
      <w:r>
        <w:rPr>
          <w:spacing w:val="-2"/>
        </w:rPr>
        <w:t>the</w:t>
      </w:r>
      <w:r>
        <w:rPr>
          <w:spacing w:val="-6"/>
        </w:rPr>
        <w:t> </w:t>
      </w:r>
      <w:r>
        <w:rPr>
          <w:spacing w:val="-2"/>
        </w:rPr>
        <w:t>discovered</w:t>
      </w:r>
      <w:r>
        <w:rPr>
          <w:spacing w:val="-6"/>
        </w:rPr>
        <w:t> </w:t>
      </w:r>
      <w:r>
        <w:rPr>
          <w:spacing w:val="-2"/>
        </w:rPr>
        <w:t>patterns</w:t>
      </w:r>
      <w:r>
        <w:rPr>
          <w:spacing w:val="-6"/>
        </w:rPr>
        <w:t> </w:t>
      </w:r>
      <w:r>
        <w:rPr>
          <w:spacing w:val="-2"/>
        </w:rPr>
        <w:t>genuine</w:t>
      </w:r>
      <w:r>
        <w:rPr>
          <w:spacing w:val="-6"/>
        </w:rPr>
        <w:t> </w:t>
      </w:r>
      <w:r>
        <w:rPr>
          <w:spacing w:val="-2"/>
        </w:rPr>
        <w:t>within-era</w:t>
      </w:r>
      <w:r>
        <w:rPr>
          <w:spacing w:val="-6"/>
        </w:rPr>
        <w:t> </w:t>
      </w:r>
      <w:r>
        <w:rPr>
          <w:spacing w:val="-2"/>
        </w:rPr>
        <w:t>signal</w:t>
      </w:r>
      <w:r>
        <w:rPr>
          <w:spacing w:val="-6"/>
        </w:rPr>
        <w:t> </w:t>
      </w:r>
      <w:r>
        <w:rPr>
          <w:spacing w:val="-2"/>
        </w:rPr>
        <w:t>or</w:t>
      </w:r>
      <w:r>
        <w:rPr>
          <w:spacing w:val="-6"/>
        </w:rPr>
        <w:t> </w:t>
      </w:r>
      <w:r>
        <w:rPr>
          <w:spacing w:val="-2"/>
        </w:rPr>
        <w:t>era-membership</w:t>
      </w:r>
      <w:r>
        <w:rPr>
          <w:spacing w:val="-6"/>
        </w:rPr>
        <w:t> </w:t>
      </w:r>
      <w:r>
        <w:rPr>
          <w:spacing w:val="-2"/>
        </w:rPr>
        <w:t>artefacts? Section</w:t>
      </w:r>
      <w:r>
        <w:rPr>
          <w:spacing w:val="-6"/>
        </w:rPr>
        <w:t> </w:t>
      </w:r>
      <w:hyperlink w:history="true" w:anchor="_bookmark69">
        <w:r>
          <w:rPr>
            <w:color w:val="8B2C18"/>
            <w:spacing w:val="-2"/>
          </w:rPr>
          <w:t>4.1</w:t>
        </w:r>
      </w:hyperlink>
      <w:r>
        <w:rPr>
          <w:color w:val="8B2C18"/>
          <w:spacing w:val="-2"/>
        </w:rPr>
        <w:t> </w:t>
      </w:r>
      <w:r>
        <w:rPr/>
        <w:t>presents</w:t>
      </w:r>
      <w:r>
        <w:rPr>
          <w:spacing w:val="-2"/>
        </w:rPr>
        <w:t> </w:t>
      </w:r>
      <w:r>
        <w:rPr/>
        <w:t>the</w:t>
      </w:r>
      <w:r>
        <w:rPr>
          <w:spacing w:val="-2"/>
        </w:rPr>
        <w:t> </w:t>
      </w:r>
      <w:r>
        <w:rPr/>
        <w:t>CarenR</w:t>
      </w:r>
      <w:r>
        <w:rPr>
          <w:spacing w:val="-2"/>
        </w:rPr>
        <w:t> </w:t>
      </w:r>
      <w:r>
        <w:rPr/>
        <w:t>rules;</w:t>
      </w:r>
      <w:r>
        <w:rPr>
          <w:spacing w:val="-2"/>
        </w:rPr>
        <w:t> </w:t>
      </w:r>
      <w:r>
        <w:rPr/>
        <w:t>Section</w:t>
      </w:r>
      <w:r>
        <w:rPr>
          <w:spacing w:val="-2"/>
        </w:rPr>
        <w:t> </w:t>
      </w:r>
      <w:hyperlink w:history="true" w:anchor="_bookmark76">
        <w:r>
          <w:rPr>
            <w:color w:val="8B2C18"/>
          </w:rPr>
          <w:t>4.2</w:t>
        </w:r>
      </w:hyperlink>
      <w:r>
        <w:rPr>
          <w:color w:val="8B2C18"/>
          <w:spacing w:val="-2"/>
        </w:rPr>
        <w:t> </w:t>
      </w:r>
      <w:r>
        <w:rPr/>
        <w:t>validates</w:t>
      </w:r>
      <w:r>
        <w:rPr>
          <w:spacing w:val="-2"/>
        </w:rPr>
        <w:t> </w:t>
      </w:r>
      <w:r>
        <w:rPr/>
        <w:t>them</w:t>
      </w:r>
      <w:r>
        <w:rPr>
          <w:spacing w:val="-2"/>
        </w:rPr>
        <w:t> </w:t>
      </w:r>
      <w:r>
        <w:rPr/>
        <w:t>using</w:t>
      </w:r>
      <w:r>
        <w:rPr>
          <w:spacing w:val="-2"/>
        </w:rPr>
        <w:t> </w:t>
      </w:r>
      <w:r>
        <w:rPr/>
        <w:t>LOESS</w:t>
      </w:r>
      <w:r>
        <w:rPr>
          <w:spacing w:val="-2"/>
        </w:rPr>
        <w:t> </w:t>
      </w:r>
      <w:r>
        <w:rPr/>
        <w:t>detrending;</w:t>
      </w:r>
      <w:r>
        <w:rPr>
          <w:spacing w:val="-2"/>
        </w:rPr>
        <w:t> </w:t>
      </w:r>
      <w:r>
        <w:rPr/>
        <w:t>Sections</w:t>
      </w:r>
      <w:r>
        <w:rPr>
          <w:spacing w:val="-2"/>
        </w:rPr>
        <w:t> </w:t>
      </w:r>
      <w:hyperlink w:history="true" w:anchor="_bookmark78">
        <w:r>
          <w:rPr>
            <w:color w:val="8B2C18"/>
          </w:rPr>
          <w:t>4.3</w:t>
        </w:r>
      </w:hyperlink>
      <w:r>
        <w:rPr/>
        <w:t>–</w:t>
      </w:r>
      <w:hyperlink w:history="true" w:anchor="_bookmark81">
        <w:r>
          <w:rPr>
            <w:color w:val="8B2C18"/>
          </w:rPr>
          <w:t>4.4</w:t>
        </w:r>
      </w:hyperlink>
      <w:r>
        <w:rPr>
          <w:color w:val="8B2C18"/>
        </w:rPr>
        <w:t> </w:t>
      </w:r>
      <w:r>
        <w:rPr/>
        <w:t>present RIPPER and M5Rules; Sections </w:t>
      </w:r>
      <w:hyperlink w:history="true" w:anchor="_bookmark84">
        <w:r>
          <w:rPr>
            <w:color w:val="8B2C18"/>
          </w:rPr>
          <w:t>4.5</w:t>
        </w:r>
      </w:hyperlink>
      <w:r>
        <w:rPr/>
        <w:t>–</w:t>
      </w:r>
      <w:hyperlink w:history="true" w:anchor="_bookmark94">
        <w:r>
          <w:rPr>
            <w:color w:val="8B2C18"/>
          </w:rPr>
          <w:t>4.8</w:t>
        </w:r>
      </w:hyperlink>
      <w:r>
        <w:rPr>
          <w:color w:val="8B2C18"/>
        </w:rPr>
        <w:t> </w:t>
      </w:r>
      <w:r>
        <w:rPr/>
        <w:t>provide cross-algorithm comparison, feature frequency, and rule set structure analysis.</w:t>
      </w:r>
    </w:p>
    <w:p>
      <w:pPr>
        <w:pStyle w:val="BodyText"/>
        <w:spacing w:before="160"/>
      </w:pPr>
    </w:p>
    <w:p>
      <w:pPr>
        <w:pStyle w:val="Heading2"/>
        <w:numPr>
          <w:ilvl w:val="1"/>
          <w:numId w:val="18"/>
        </w:numPr>
        <w:tabs>
          <w:tab w:pos="1354" w:val="left" w:leader="none"/>
        </w:tabs>
        <w:spacing w:line="240" w:lineRule="auto" w:before="0" w:after="0"/>
        <w:ind w:left="1354" w:right="0" w:hanging="645"/>
        <w:jc w:val="left"/>
      </w:pPr>
      <w:bookmarkStart w:name="4.1 CarenR: Distributional Rules" w:id="126"/>
      <w:bookmarkEnd w:id="126"/>
      <w:r>
        <w:rPr>
          <w:b w:val="0"/>
        </w:rPr>
      </w:r>
      <w:bookmarkStart w:name="_bookmark69" w:id="127"/>
      <w:bookmarkEnd w:id="127"/>
      <w:r>
        <w:rPr>
          <w:b w:val="0"/>
        </w:rPr>
      </w:r>
      <w:r>
        <w:rPr/>
        <w:t>CarenR:</w:t>
      </w:r>
      <w:r>
        <w:rPr>
          <w:spacing w:val="22"/>
        </w:rPr>
        <w:t> </w:t>
      </w:r>
      <w:r>
        <w:rPr/>
        <w:t>Distributional</w:t>
      </w:r>
      <w:r>
        <w:rPr>
          <w:spacing w:val="22"/>
        </w:rPr>
        <w:t> </w:t>
      </w:r>
      <w:r>
        <w:rPr>
          <w:spacing w:val="-2"/>
        </w:rPr>
        <w:t>Rules</w:t>
      </w:r>
    </w:p>
    <w:p>
      <w:pPr>
        <w:pStyle w:val="BodyText"/>
        <w:spacing w:line="328" w:lineRule="exact" w:before="238"/>
        <w:ind w:left="709" w:right="974" w:hanging="8"/>
        <w:jc w:val="both"/>
      </w:pPr>
      <w:r>
        <w:rPr/>
        <w:t>After applying the significance threshold (KS p </w:t>
      </w:r>
      <w:r>
        <w:rPr>
          <w:rFonts w:ascii="Meiryo UI" w:hAnsi="Meiryo UI"/>
          <w:i/>
        </w:rPr>
        <w:t>≤</w:t>
      </w:r>
      <w:r>
        <w:rPr>
          <w:rFonts w:ascii="Meiryo UI" w:hAnsi="Meiryo UI"/>
          <w:i/>
          <w:spacing w:val="-14"/>
        </w:rPr>
        <w:t> </w:t>
      </w:r>
      <w:r>
        <w:rPr/>
        <w:t>0.10) and minimum support filter (</w:t>
      </w:r>
      <w:r>
        <w:rPr>
          <w:rFonts w:ascii="Meiryo UI" w:hAnsi="Meiryo UI"/>
          <w:i/>
        </w:rPr>
        <w:t>≥</w:t>
      </w:r>
      <w:r>
        <w:rPr>
          <w:rFonts w:ascii="Meiryo UI" w:hAnsi="Meiryo UI"/>
          <w:i/>
          <w:spacing w:val="-14"/>
        </w:rPr>
        <w:t> </w:t>
      </w:r>
      <w:r>
        <w:rPr/>
        <w:t>20% of </w:t>
      </w:r>
      <w:r>
        <w:rPr>
          <w:spacing w:val="-2"/>
        </w:rPr>
        <w:t>training</w:t>
      </w:r>
      <w:r>
        <w:rPr>
          <w:spacing w:val="-7"/>
        </w:rPr>
        <w:t> </w:t>
      </w:r>
      <w:r>
        <w:rPr>
          <w:spacing w:val="-2"/>
        </w:rPr>
        <w:t>observations),</w:t>
      </w:r>
      <w:r>
        <w:rPr>
          <w:spacing w:val="-7"/>
        </w:rPr>
        <w:t> </w:t>
      </w:r>
      <w:r>
        <w:rPr>
          <w:spacing w:val="-2"/>
        </w:rPr>
        <w:t>CarenR</w:t>
      </w:r>
      <w:r>
        <w:rPr>
          <w:spacing w:val="-7"/>
        </w:rPr>
        <w:t> </w:t>
      </w:r>
      <w:r>
        <w:rPr>
          <w:spacing w:val="-2"/>
        </w:rPr>
        <w:t>retained</w:t>
      </w:r>
      <w:r>
        <w:rPr>
          <w:spacing w:val="-7"/>
        </w:rPr>
        <w:t> </w:t>
      </w:r>
      <w:r>
        <w:rPr>
          <w:spacing w:val="-2"/>
        </w:rPr>
        <w:t>48</w:t>
      </w:r>
      <w:r>
        <w:rPr>
          <w:spacing w:val="-7"/>
        </w:rPr>
        <w:t> </w:t>
      </w:r>
      <w:r>
        <w:rPr>
          <w:spacing w:val="-2"/>
        </w:rPr>
        <w:t>rules</w:t>
      </w:r>
      <w:r>
        <w:rPr>
          <w:spacing w:val="-7"/>
        </w:rPr>
        <w:t> </w:t>
      </w:r>
      <w:r>
        <w:rPr>
          <w:spacing w:val="-2"/>
        </w:rPr>
        <w:t>for</w:t>
      </w:r>
      <w:r>
        <w:rPr>
          <w:spacing w:val="-7"/>
        </w:rPr>
        <w:t> </w:t>
      </w:r>
      <w:r>
        <w:rPr>
          <w:spacing w:val="-2"/>
        </w:rPr>
        <w:t>RDD</w:t>
      </w:r>
      <w:r>
        <w:rPr>
          <w:spacing w:val="-7"/>
        </w:rPr>
        <w:t> </w:t>
      </w:r>
      <w:r>
        <w:rPr>
          <w:spacing w:val="-2"/>
        </w:rPr>
        <w:t>and</w:t>
      </w:r>
      <w:r>
        <w:rPr>
          <w:spacing w:val="-7"/>
        </w:rPr>
        <w:t> </w:t>
      </w:r>
      <w:r>
        <w:rPr>
          <w:spacing w:val="-2"/>
        </w:rPr>
        <w:t>20</w:t>
      </w:r>
      <w:r>
        <w:rPr>
          <w:spacing w:val="-7"/>
        </w:rPr>
        <w:t> </w:t>
      </w:r>
      <w:r>
        <w:rPr>
          <w:spacing w:val="-2"/>
        </w:rPr>
        <w:t>rules</w:t>
      </w:r>
      <w:r>
        <w:rPr>
          <w:spacing w:val="-7"/>
        </w:rPr>
        <w:t> </w:t>
      </w:r>
      <w:r>
        <w:rPr>
          <w:spacing w:val="-2"/>
        </w:rPr>
        <w:t>for</w:t>
      </w:r>
      <w:r>
        <w:rPr>
          <w:spacing w:val="-7"/>
        </w:rPr>
        <w:t> </w:t>
      </w:r>
      <w:r>
        <w:rPr>
          <w:spacing w:val="-2"/>
        </w:rPr>
        <w:t>RVV.</w:t>
      </w:r>
      <w:r>
        <w:rPr>
          <w:spacing w:val="-7"/>
        </w:rPr>
        <w:t> </w:t>
      </w:r>
      <w:r>
        <w:rPr>
          <w:spacing w:val="-2"/>
        </w:rPr>
        <w:t>Tables</w:t>
      </w:r>
      <w:r>
        <w:rPr>
          <w:spacing w:val="-7"/>
        </w:rPr>
        <w:t> </w:t>
      </w:r>
      <w:hyperlink w:history="true" w:anchor="_bookmark71">
        <w:r>
          <w:rPr>
            <w:color w:val="8B2C18"/>
            <w:spacing w:val="-2"/>
          </w:rPr>
          <w:t>4.1</w:t>
        </w:r>
      </w:hyperlink>
      <w:r>
        <w:rPr>
          <w:color w:val="8B2C18"/>
          <w:spacing w:val="-7"/>
        </w:rPr>
        <w:t> </w:t>
      </w:r>
      <w:r>
        <w:rPr>
          <w:spacing w:val="-2"/>
        </w:rPr>
        <w:t>and</w:t>
      </w:r>
      <w:r>
        <w:rPr>
          <w:spacing w:val="-7"/>
        </w:rPr>
        <w:t> </w:t>
      </w:r>
      <w:hyperlink w:history="true" w:anchor="_bookmark73">
        <w:r>
          <w:rPr>
            <w:color w:val="8B2C18"/>
            <w:spacing w:val="-2"/>
          </w:rPr>
          <w:t>4.2</w:t>
        </w:r>
      </w:hyperlink>
      <w:r>
        <w:rPr>
          <w:color w:val="8B2C18"/>
          <w:spacing w:val="-2"/>
        </w:rPr>
        <w:t> </w:t>
      </w:r>
      <w:r>
        <w:rPr>
          <w:spacing w:val="-2"/>
        </w:rPr>
        <w:t>show</w:t>
      </w:r>
      <w:r>
        <w:rPr>
          <w:spacing w:val="-10"/>
        </w:rPr>
        <w:t> </w:t>
      </w:r>
      <w:r>
        <w:rPr>
          <w:spacing w:val="-2"/>
        </w:rPr>
        <w:t>the</w:t>
      </w:r>
      <w:r>
        <w:rPr>
          <w:spacing w:val="-10"/>
        </w:rPr>
        <w:t> </w:t>
      </w:r>
      <w:r>
        <w:rPr>
          <w:spacing w:val="-2"/>
        </w:rPr>
        <w:t>five</w:t>
      </w:r>
      <w:r>
        <w:rPr>
          <w:spacing w:val="-10"/>
        </w:rPr>
        <w:t> </w:t>
      </w:r>
      <w:r>
        <w:rPr>
          <w:spacing w:val="-2"/>
        </w:rPr>
        <w:t>most</w:t>
      </w:r>
      <w:r>
        <w:rPr>
          <w:spacing w:val="-10"/>
        </w:rPr>
        <w:t> </w:t>
      </w:r>
      <w:r>
        <w:rPr>
          <w:spacing w:val="-2"/>
        </w:rPr>
        <w:t>significant</w:t>
      </w:r>
      <w:r>
        <w:rPr>
          <w:spacing w:val="-10"/>
        </w:rPr>
        <w:t> </w:t>
      </w:r>
      <w:r>
        <w:rPr>
          <w:spacing w:val="-2"/>
        </w:rPr>
        <w:t>rules</w:t>
      </w:r>
      <w:r>
        <w:rPr>
          <w:spacing w:val="-10"/>
        </w:rPr>
        <w:t> </w:t>
      </w:r>
      <w:r>
        <w:rPr>
          <w:spacing w:val="-2"/>
        </w:rPr>
        <w:t>per</w:t>
      </w:r>
      <w:r>
        <w:rPr>
          <w:spacing w:val="-10"/>
        </w:rPr>
        <w:t> </w:t>
      </w:r>
      <w:r>
        <w:rPr>
          <w:spacing w:val="-2"/>
        </w:rPr>
        <w:t>region;</w:t>
      </w:r>
      <w:r>
        <w:rPr>
          <w:spacing w:val="-10"/>
        </w:rPr>
        <w:t> </w:t>
      </w:r>
      <w:r>
        <w:rPr>
          <w:spacing w:val="-2"/>
        </w:rPr>
        <w:t>the</w:t>
      </w:r>
      <w:r>
        <w:rPr>
          <w:spacing w:val="-10"/>
        </w:rPr>
        <w:t> </w:t>
      </w:r>
      <w:r>
        <w:rPr>
          <w:spacing w:val="-2"/>
        </w:rPr>
        <w:t>full</w:t>
      </w:r>
      <w:r>
        <w:rPr>
          <w:spacing w:val="-10"/>
        </w:rPr>
        <w:t> </w:t>
      </w:r>
      <w:r>
        <w:rPr>
          <w:spacing w:val="-2"/>
        </w:rPr>
        <w:t>top-10</w:t>
      </w:r>
      <w:r>
        <w:rPr>
          <w:spacing w:val="-10"/>
        </w:rPr>
        <w:t> </w:t>
      </w:r>
      <w:r>
        <w:rPr>
          <w:spacing w:val="-2"/>
        </w:rPr>
        <w:t>tables</w:t>
      </w:r>
      <w:r>
        <w:rPr>
          <w:spacing w:val="-10"/>
        </w:rPr>
        <w:t> </w:t>
      </w:r>
      <w:r>
        <w:rPr>
          <w:spacing w:val="-2"/>
        </w:rPr>
        <w:t>are</w:t>
      </w:r>
      <w:r>
        <w:rPr>
          <w:spacing w:val="-10"/>
        </w:rPr>
        <w:t> </w:t>
      </w:r>
      <w:r>
        <w:rPr>
          <w:spacing w:val="-2"/>
        </w:rPr>
        <w:t>in</w:t>
      </w:r>
      <w:r>
        <w:rPr>
          <w:spacing w:val="-10"/>
        </w:rPr>
        <w:t> </w:t>
      </w:r>
      <w:r>
        <w:rPr>
          <w:spacing w:val="-2"/>
        </w:rPr>
        <w:t>Appendix</w:t>
      </w:r>
      <w:r>
        <w:rPr>
          <w:spacing w:val="-10"/>
        </w:rPr>
        <w:t> </w:t>
      </w:r>
      <w:hyperlink w:history="true" w:anchor="_bookmark150">
        <w:r>
          <w:rPr>
            <w:color w:val="8B2C18"/>
            <w:spacing w:val="-2"/>
          </w:rPr>
          <w:t>A</w:t>
        </w:r>
      </w:hyperlink>
      <w:r>
        <w:rPr>
          <w:color w:val="8B2C18"/>
          <w:spacing w:val="-10"/>
        </w:rPr>
        <w:t> </w:t>
      </w:r>
      <w:r>
        <w:rPr>
          <w:spacing w:val="-2"/>
        </w:rPr>
        <w:t>(Tables</w:t>
      </w:r>
      <w:r>
        <w:rPr>
          <w:spacing w:val="-10"/>
        </w:rPr>
        <w:t> </w:t>
      </w:r>
      <w:hyperlink w:history="true" w:anchor="_bookmark157">
        <w:r>
          <w:rPr>
            <w:color w:val="8B2C18"/>
            <w:spacing w:val="-2"/>
          </w:rPr>
          <w:t>A.1</w:t>
        </w:r>
      </w:hyperlink>
      <w:r>
        <w:rPr>
          <w:color w:val="8B2C18"/>
          <w:spacing w:val="-2"/>
        </w:rPr>
        <w:t> </w:t>
      </w:r>
      <w:r>
        <w:rPr/>
        <w:t>and</w:t>
      </w:r>
      <w:r>
        <w:rPr>
          <w:spacing w:val="-12"/>
        </w:rPr>
        <w:t> </w:t>
      </w:r>
      <w:hyperlink w:history="true" w:anchor="_bookmark152">
        <w:r>
          <w:rPr>
            <w:color w:val="8B2C18"/>
          </w:rPr>
          <w:t>A.2</w:t>
        </w:r>
      </w:hyperlink>
      <w:r>
        <w:rPr/>
        <w:t>).</w:t>
      </w:r>
      <w:r>
        <w:rPr>
          <w:spacing w:val="-2"/>
        </w:rPr>
        <w:t> </w:t>
      </w:r>
      <w:r>
        <w:rPr/>
        <w:t>For</w:t>
      </w:r>
      <w:r>
        <w:rPr>
          <w:spacing w:val="-12"/>
        </w:rPr>
        <w:t> </w:t>
      </w:r>
      <w:r>
        <w:rPr/>
        <w:t>each</w:t>
      </w:r>
      <w:r>
        <w:rPr>
          <w:spacing w:val="-12"/>
        </w:rPr>
        <w:t> </w:t>
      </w:r>
      <w:r>
        <w:rPr/>
        <w:t>rule,</w:t>
      </w:r>
      <w:r>
        <w:rPr>
          <w:spacing w:val="-12"/>
        </w:rPr>
        <w:t> </w:t>
      </w:r>
      <w:r>
        <w:rPr/>
        <w:t>the</w:t>
      </w:r>
      <w:r>
        <w:rPr>
          <w:spacing w:val="-12"/>
        </w:rPr>
        <w:t> </w:t>
      </w:r>
      <w:r>
        <w:rPr/>
        <w:t>table</w:t>
      </w:r>
      <w:r>
        <w:rPr>
          <w:spacing w:val="-12"/>
        </w:rPr>
        <w:t> </w:t>
      </w:r>
      <w:r>
        <w:rPr/>
        <w:t>records</w:t>
      </w:r>
      <w:r>
        <w:rPr>
          <w:spacing w:val="-12"/>
        </w:rPr>
        <w:t> </w:t>
      </w:r>
      <w:r>
        <w:rPr/>
        <w:t>the</w:t>
      </w:r>
      <w:r>
        <w:rPr>
          <w:spacing w:val="-12"/>
        </w:rPr>
        <w:t> </w:t>
      </w:r>
      <w:r>
        <w:rPr/>
        <w:t>statistical</w:t>
      </w:r>
      <w:r>
        <w:rPr>
          <w:spacing w:val="-12"/>
        </w:rPr>
        <w:t> </w:t>
      </w:r>
      <w:r>
        <w:rPr/>
        <w:t>evidence</w:t>
      </w:r>
      <w:r>
        <w:rPr>
          <w:spacing w:val="-12"/>
        </w:rPr>
        <w:t> </w:t>
      </w:r>
      <w:r>
        <w:rPr/>
        <w:t>(p-value,</w:t>
      </w:r>
      <w:r>
        <w:rPr>
          <w:spacing w:val="-12"/>
        </w:rPr>
        <w:t> </w:t>
      </w:r>
      <w:r>
        <w:rPr/>
        <w:t>support),</w:t>
      </w:r>
      <w:r>
        <w:rPr>
          <w:spacing w:val="-12"/>
        </w:rPr>
        <w:t> </w:t>
      </w:r>
      <w:r>
        <w:rPr/>
        <w:t>the</w:t>
      </w:r>
      <w:r>
        <w:rPr>
          <w:spacing w:val="-12"/>
        </w:rPr>
        <w:t> </w:t>
      </w:r>
      <w:r>
        <w:rPr/>
        <w:t>magnitude </w:t>
      </w:r>
      <w:r>
        <w:rPr>
          <w:spacing w:val="-2"/>
        </w:rPr>
        <w:t>of</w:t>
      </w:r>
      <w:r>
        <w:rPr>
          <w:spacing w:val="-8"/>
        </w:rPr>
        <w:t> </w:t>
      </w:r>
      <w:r>
        <w:rPr>
          <w:spacing w:val="-2"/>
        </w:rPr>
        <w:t>the</w:t>
      </w:r>
      <w:r>
        <w:rPr>
          <w:spacing w:val="-8"/>
        </w:rPr>
        <w:t> </w:t>
      </w:r>
      <w:r>
        <w:rPr>
          <w:spacing w:val="-2"/>
        </w:rPr>
        <w:t>discovered</w:t>
      </w:r>
      <w:r>
        <w:rPr>
          <w:spacing w:val="-8"/>
        </w:rPr>
        <w:t> </w:t>
      </w:r>
      <w:r>
        <w:rPr>
          <w:spacing w:val="-2"/>
        </w:rPr>
        <w:t>distributional</w:t>
      </w:r>
      <w:r>
        <w:rPr>
          <w:spacing w:val="-8"/>
        </w:rPr>
        <w:t> </w:t>
      </w:r>
      <w:r>
        <w:rPr>
          <w:spacing w:val="-2"/>
        </w:rPr>
        <w:t>shift</w:t>
      </w:r>
      <w:r>
        <w:rPr>
          <w:spacing w:val="-8"/>
        </w:rPr>
        <w:t> </w:t>
      </w:r>
      <w:r>
        <w:rPr>
          <w:spacing w:val="-2"/>
        </w:rPr>
        <w:t>(mean</w:t>
      </w:r>
      <w:r>
        <w:rPr>
          <w:spacing w:val="-8"/>
        </w:rPr>
        <w:t> </w:t>
      </w:r>
      <w:r>
        <w:rPr>
          <w:spacing w:val="-2"/>
        </w:rPr>
        <w:t>deviation</w:t>
      </w:r>
      <w:r>
        <w:rPr>
          <w:spacing w:val="-8"/>
        </w:rPr>
        <w:t> </w:t>
      </w:r>
      <w:r>
        <w:rPr>
          <w:spacing w:val="-2"/>
        </w:rPr>
        <w:t>from</w:t>
      </w:r>
      <w:r>
        <w:rPr>
          <w:spacing w:val="-8"/>
        </w:rPr>
        <w:t> </w:t>
      </w:r>
      <w:r>
        <w:rPr>
          <w:spacing w:val="-2"/>
        </w:rPr>
        <w:t>trend),</w:t>
      </w:r>
      <w:r>
        <w:rPr>
          <w:spacing w:val="-8"/>
        </w:rPr>
        <w:t> </w:t>
      </w:r>
      <w:r>
        <w:rPr>
          <w:spacing w:val="-2"/>
        </w:rPr>
        <w:t>and</w:t>
      </w:r>
      <w:r>
        <w:rPr>
          <w:spacing w:val="-8"/>
        </w:rPr>
        <w:t> </w:t>
      </w:r>
      <w:r>
        <w:rPr>
          <w:spacing w:val="-2"/>
        </w:rPr>
        <w:t>the</w:t>
      </w:r>
      <w:r>
        <w:rPr>
          <w:spacing w:val="-8"/>
        </w:rPr>
        <w:t> </w:t>
      </w:r>
      <w:r>
        <w:rPr>
          <w:spacing w:val="-2"/>
        </w:rPr>
        <w:t>conditions</w:t>
      </w:r>
      <w:r>
        <w:rPr>
          <w:spacing w:val="-8"/>
        </w:rPr>
        <w:t> </w:t>
      </w:r>
      <w:r>
        <w:rPr>
          <w:spacing w:val="-2"/>
        </w:rPr>
        <w:t>that</w:t>
      </w:r>
      <w:r>
        <w:rPr>
          <w:spacing w:val="-8"/>
        </w:rPr>
        <w:t> </w:t>
      </w:r>
      <w:r>
        <w:rPr>
          <w:spacing w:val="-2"/>
        </w:rPr>
        <w:t>define</w:t>
      </w:r>
      <w:r>
        <w:rPr>
          <w:spacing w:val="-8"/>
        </w:rPr>
        <w:t> </w:t>
      </w:r>
      <w:r>
        <w:rPr>
          <w:spacing w:val="-2"/>
        </w:rPr>
        <w:t>the </w:t>
      </w:r>
      <w:r>
        <w:rPr/>
        <w:t>subgroup. One</w:t>
      </w:r>
      <w:r>
        <w:rPr>
          <w:spacing w:val="-10"/>
        </w:rPr>
        <w:t> </w:t>
      </w:r>
      <w:r>
        <w:rPr/>
        <w:t>sentence</w:t>
      </w:r>
      <w:r>
        <w:rPr>
          <w:spacing w:val="-10"/>
        </w:rPr>
        <w:t> </w:t>
      </w:r>
      <w:r>
        <w:rPr/>
        <w:t>of</w:t>
      </w:r>
      <w:r>
        <w:rPr>
          <w:spacing w:val="-10"/>
        </w:rPr>
        <w:t> </w:t>
      </w:r>
      <w:r>
        <w:rPr/>
        <w:t>domain</w:t>
      </w:r>
      <w:r>
        <w:rPr>
          <w:spacing w:val="-10"/>
        </w:rPr>
        <w:t> </w:t>
      </w:r>
      <w:r>
        <w:rPr/>
        <w:t>context</w:t>
      </w:r>
      <w:r>
        <w:rPr>
          <w:spacing w:val="-10"/>
        </w:rPr>
        <w:t> </w:t>
      </w:r>
      <w:r>
        <w:rPr/>
        <w:t>is</w:t>
      </w:r>
      <w:r>
        <w:rPr>
          <w:spacing w:val="-10"/>
        </w:rPr>
        <w:t> </w:t>
      </w:r>
      <w:r>
        <w:rPr/>
        <w:t>provided</w:t>
      </w:r>
      <w:r>
        <w:rPr>
          <w:spacing w:val="-10"/>
        </w:rPr>
        <w:t> </w:t>
      </w:r>
      <w:r>
        <w:rPr/>
        <w:t>per</w:t>
      </w:r>
      <w:r>
        <w:rPr>
          <w:spacing w:val="-10"/>
        </w:rPr>
        <w:t> </w:t>
      </w:r>
      <w:r>
        <w:rPr/>
        <w:t>rule</w:t>
      </w:r>
      <w:r>
        <w:rPr>
          <w:spacing w:val="-10"/>
        </w:rPr>
        <w:t> </w:t>
      </w:r>
      <w:r>
        <w:rPr/>
        <w:t>to</w:t>
      </w:r>
      <w:r>
        <w:rPr>
          <w:spacing w:val="-10"/>
        </w:rPr>
        <w:t> </w:t>
      </w:r>
      <w:r>
        <w:rPr/>
        <w:t>confirm</w:t>
      </w:r>
      <w:r>
        <w:rPr>
          <w:spacing w:val="-10"/>
        </w:rPr>
        <w:t> </w:t>
      </w:r>
      <w:r>
        <w:rPr/>
        <w:t>that</w:t>
      </w:r>
      <w:r>
        <w:rPr>
          <w:spacing w:val="-10"/>
        </w:rPr>
        <w:t> </w:t>
      </w:r>
      <w:r>
        <w:rPr/>
        <w:t>the</w:t>
      </w:r>
      <w:r>
        <w:rPr>
          <w:spacing w:val="-10"/>
        </w:rPr>
        <w:t> </w:t>
      </w:r>
      <w:r>
        <w:rPr/>
        <w:t>direction</w:t>
      </w:r>
      <w:r>
        <w:rPr>
          <w:spacing w:val="-10"/>
        </w:rPr>
        <w:t> </w:t>
      </w:r>
      <w:r>
        <w:rPr/>
        <w:t>of</w:t>
      </w:r>
      <w:r>
        <w:rPr>
          <w:spacing w:val="-10"/>
        </w:rPr>
        <w:t> </w:t>
      </w:r>
      <w:r>
        <w:rPr/>
        <w:t>the </w:t>
      </w:r>
      <w:r>
        <w:rPr>
          <w:spacing w:val="-2"/>
        </w:rPr>
        <w:t>discovered</w:t>
      </w:r>
      <w:r>
        <w:rPr>
          <w:spacing w:val="-6"/>
        </w:rPr>
        <w:t> </w:t>
      </w:r>
      <w:r>
        <w:rPr>
          <w:spacing w:val="-2"/>
        </w:rPr>
        <w:t>pattern</w:t>
      </w:r>
      <w:r>
        <w:rPr>
          <w:spacing w:val="-6"/>
        </w:rPr>
        <w:t> </w:t>
      </w:r>
      <w:r>
        <w:rPr>
          <w:spacing w:val="-2"/>
        </w:rPr>
        <w:t>is</w:t>
      </w:r>
      <w:r>
        <w:rPr>
          <w:spacing w:val="-6"/>
        </w:rPr>
        <w:t> </w:t>
      </w:r>
      <w:r>
        <w:rPr>
          <w:spacing w:val="-2"/>
        </w:rPr>
        <w:t>consistent</w:t>
      </w:r>
      <w:r>
        <w:rPr>
          <w:spacing w:val="-6"/>
        </w:rPr>
        <w:t> </w:t>
      </w:r>
      <w:r>
        <w:rPr>
          <w:spacing w:val="-2"/>
        </w:rPr>
        <w:t>with</w:t>
      </w:r>
      <w:r>
        <w:rPr>
          <w:spacing w:val="-6"/>
        </w:rPr>
        <w:t> </w:t>
      </w:r>
      <w:r>
        <w:rPr>
          <w:spacing w:val="-2"/>
        </w:rPr>
        <w:t>established</w:t>
      </w:r>
      <w:r>
        <w:rPr>
          <w:spacing w:val="-6"/>
        </w:rPr>
        <w:t> </w:t>
      </w:r>
      <w:r>
        <w:rPr>
          <w:spacing w:val="-2"/>
        </w:rPr>
        <w:t>knowledge,</w:t>
      </w:r>
      <w:r>
        <w:rPr>
          <w:spacing w:val="-6"/>
        </w:rPr>
        <w:t> </w:t>
      </w:r>
      <w:r>
        <w:rPr>
          <w:spacing w:val="-2"/>
        </w:rPr>
        <w:t>serving</w:t>
      </w:r>
      <w:r>
        <w:rPr>
          <w:spacing w:val="-6"/>
        </w:rPr>
        <w:t> </w:t>
      </w:r>
      <w:r>
        <w:rPr>
          <w:spacing w:val="-2"/>
        </w:rPr>
        <w:t>as</w:t>
      </w:r>
      <w:r>
        <w:rPr>
          <w:spacing w:val="-6"/>
        </w:rPr>
        <w:t> </w:t>
      </w:r>
      <w:r>
        <w:rPr>
          <w:spacing w:val="-2"/>
        </w:rPr>
        <w:t>a</w:t>
      </w:r>
      <w:r>
        <w:rPr>
          <w:spacing w:val="-6"/>
        </w:rPr>
        <w:t> </w:t>
      </w:r>
      <w:r>
        <w:rPr>
          <w:spacing w:val="-2"/>
        </w:rPr>
        <w:t>face-validity</w:t>
      </w:r>
      <w:r>
        <w:rPr>
          <w:spacing w:val="-6"/>
        </w:rPr>
        <w:t> </w:t>
      </w:r>
      <w:r>
        <w:rPr>
          <w:spacing w:val="-2"/>
        </w:rPr>
        <w:t>check</w:t>
      </w:r>
      <w:r>
        <w:rPr>
          <w:spacing w:val="-6"/>
        </w:rPr>
        <w:t> </w:t>
      </w:r>
      <w:r>
        <w:rPr>
          <w:spacing w:val="-2"/>
        </w:rPr>
        <w:t>on</w:t>
      </w:r>
      <w:r>
        <w:rPr>
          <w:spacing w:val="-6"/>
        </w:rPr>
        <w:t> </w:t>
      </w:r>
      <w:r>
        <w:rPr>
          <w:spacing w:val="-2"/>
        </w:rPr>
        <w:t>the </w:t>
      </w:r>
      <w:r>
        <w:rPr/>
        <w:t>method’s output rather than as a primary finding.</w:t>
      </w:r>
    </w:p>
    <w:p>
      <w:pPr>
        <w:pStyle w:val="BodyText"/>
        <w:spacing w:before="141"/>
      </w:pPr>
    </w:p>
    <w:p>
      <w:pPr>
        <w:pStyle w:val="Heading3"/>
        <w:numPr>
          <w:ilvl w:val="2"/>
          <w:numId w:val="18"/>
        </w:numPr>
        <w:tabs>
          <w:tab w:pos="1426" w:val="left" w:leader="none"/>
        </w:tabs>
        <w:spacing w:line="240" w:lineRule="auto" w:before="0" w:after="0"/>
        <w:ind w:left="1426" w:right="0" w:hanging="717"/>
        <w:jc w:val="left"/>
      </w:pPr>
      <w:bookmarkStart w:name="4.1.1 Douro (RDD): Top 5 Rules" w:id="128"/>
      <w:bookmarkEnd w:id="128"/>
      <w:r>
        <w:rPr>
          <w:b w:val="0"/>
        </w:rPr>
      </w:r>
      <w:bookmarkStart w:name="_bookmark70" w:id="129"/>
      <w:bookmarkEnd w:id="129"/>
      <w:r>
        <w:rPr>
          <w:b w:val="0"/>
        </w:rPr>
      </w:r>
      <w:r>
        <w:rPr/>
        <w:t>Douro</w:t>
      </w:r>
      <w:r>
        <w:rPr>
          <w:spacing w:val="-13"/>
        </w:rPr>
        <w:t> </w:t>
      </w:r>
      <w:r>
        <w:rPr/>
        <w:t>(RDD):</w:t>
      </w:r>
      <w:r>
        <w:rPr>
          <w:spacing w:val="-13"/>
        </w:rPr>
        <w:t> </w:t>
      </w:r>
      <w:r>
        <w:rPr/>
        <w:t>Top</w:t>
      </w:r>
      <w:r>
        <w:rPr>
          <w:spacing w:val="-12"/>
        </w:rPr>
        <w:t> </w:t>
      </w:r>
      <w:r>
        <w:rPr/>
        <w:t>5</w:t>
      </w:r>
      <w:r>
        <w:rPr>
          <w:spacing w:val="-13"/>
        </w:rPr>
        <w:t> </w:t>
      </w:r>
      <w:r>
        <w:rPr>
          <w:spacing w:val="-2"/>
        </w:rPr>
        <w:t>Rules</w:t>
      </w:r>
    </w:p>
    <w:p>
      <w:pPr>
        <w:pStyle w:val="BodyText"/>
        <w:spacing w:line="312" w:lineRule="auto" w:before="225"/>
        <w:ind w:left="709" w:right="963"/>
        <w:jc w:val="both"/>
      </w:pPr>
      <w:r>
        <w:rPr/>
        <w:t>Key structural observations from the RDD rule set:</w:t>
      </w:r>
      <w:r>
        <w:rPr>
          <w:spacing w:val="40"/>
        </w:rPr>
        <w:t> </w:t>
      </w:r>
      <w:r>
        <w:rPr/>
        <w:t>(1) 31 of 48 rules point to ABOVE-trend </w:t>
      </w:r>
      <w:r>
        <w:rPr>
          <w:spacing w:val="-2"/>
        </w:rPr>
        <w:t>production,</w:t>
      </w:r>
      <w:r>
        <w:rPr>
          <w:spacing w:val="-8"/>
        </w:rPr>
        <w:t> </w:t>
      </w:r>
      <w:r>
        <w:rPr>
          <w:spacing w:val="-2"/>
        </w:rPr>
        <w:t>an</w:t>
      </w:r>
      <w:r>
        <w:rPr>
          <w:spacing w:val="-8"/>
        </w:rPr>
        <w:t> </w:t>
      </w:r>
      <w:r>
        <w:rPr>
          <w:spacing w:val="-2"/>
        </w:rPr>
        <w:t>asymmetry</w:t>
      </w:r>
      <w:r>
        <w:rPr>
          <w:spacing w:val="-8"/>
        </w:rPr>
        <w:t> </w:t>
      </w:r>
      <w:r>
        <w:rPr>
          <w:spacing w:val="-2"/>
        </w:rPr>
        <w:t>that</w:t>
      </w:r>
      <w:r>
        <w:rPr>
          <w:spacing w:val="-8"/>
        </w:rPr>
        <w:t> </w:t>
      </w:r>
      <w:r>
        <w:rPr>
          <w:spacing w:val="-2"/>
        </w:rPr>
        <w:t>reflects</w:t>
      </w:r>
      <w:r>
        <w:rPr>
          <w:spacing w:val="-8"/>
        </w:rPr>
        <w:t> </w:t>
      </w:r>
      <w:r>
        <w:rPr>
          <w:spacing w:val="-2"/>
        </w:rPr>
        <w:t>the</w:t>
      </w:r>
      <w:r>
        <w:rPr>
          <w:spacing w:val="-8"/>
        </w:rPr>
        <w:t> </w:t>
      </w:r>
      <w:r>
        <w:rPr>
          <w:spacing w:val="-2"/>
        </w:rPr>
        <w:t>algorithm’s</w:t>
      </w:r>
      <w:r>
        <w:rPr>
          <w:spacing w:val="-8"/>
        </w:rPr>
        <w:t> </w:t>
      </w:r>
      <w:r>
        <w:rPr>
          <w:spacing w:val="-2"/>
        </w:rPr>
        <w:t>finding</w:t>
      </w:r>
      <w:r>
        <w:rPr>
          <w:spacing w:val="-8"/>
        </w:rPr>
        <w:t> </w:t>
      </w:r>
      <w:r>
        <w:rPr>
          <w:spacing w:val="-2"/>
        </w:rPr>
        <w:t>that</w:t>
      </w:r>
      <w:r>
        <w:rPr>
          <w:spacing w:val="-8"/>
        </w:rPr>
        <w:t> </w:t>
      </w:r>
      <w:r>
        <w:rPr>
          <w:spacing w:val="-2"/>
        </w:rPr>
        <w:t>the</w:t>
      </w:r>
      <w:r>
        <w:rPr>
          <w:spacing w:val="-8"/>
        </w:rPr>
        <w:t> </w:t>
      </w:r>
      <w:r>
        <w:rPr>
          <w:spacing w:val="-2"/>
        </w:rPr>
        <w:t>positive</w:t>
      </w:r>
      <w:r>
        <w:rPr>
          <w:spacing w:val="-8"/>
        </w:rPr>
        <w:t> </w:t>
      </w:r>
      <w:r>
        <w:rPr>
          <w:spacing w:val="-2"/>
        </w:rPr>
        <w:t>signal</w:t>
      </w:r>
      <w:r>
        <w:rPr>
          <w:spacing w:val="-8"/>
        </w:rPr>
        <w:t> </w:t>
      </w:r>
      <w:r>
        <w:rPr>
          <w:spacing w:val="-2"/>
        </w:rPr>
        <w:t>in</w:t>
      </w:r>
      <w:r>
        <w:rPr>
          <w:spacing w:val="-8"/>
        </w:rPr>
        <w:t> </w:t>
      </w:r>
      <w:r>
        <w:rPr>
          <w:spacing w:val="-2"/>
        </w:rPr>
        <w:t>this</w:t>
      </w:r>
      <w:r>
        <w:rPr>
          <w:spacing w:val="-8"/>
        </w:rPr>
        <w:t> </w:t>
      </w:r>
      <w:r>
        <w:rPr>
          <w:spacing w:val="-2"/>
        </w:rPr>
        <w:t>dataset is</w:t>
      </w:r>
      <w:r>
        <w:rPr>
          <w:spacing w:val="-4"/>
        </w:rPr>
        <w:t> </w:t>
      </w:r>
      <w:r>
        <w:rPr>
          <w:spacing w:val="-2"/>
        </w:rPr>
        <w:t>structurally</w:t>
      </w:r>
      <w:r>
        <w:rPr>
          <w:spacing w:val="-4"/>
        </w:rPr>
        <w:t> </w:t>
      </w:r>
      <w:r>
        <w:rPr>
          <w:spacing w:val="-2"/>
        </w:rPr>
        <w:t>more</w:t>
      </w:r>
      <w:r>
        <w:rPr>
          <w:spacing w:val="-4"/>
        </w:rPr>
        <w:t> </w:t>
      </w:r>
      <w:r>
        <w:rPr>
          <w:spacing w:val="-2"/>
        </w:rPr>
        <w:t>consistent</w:t>
      </w:r>
      <w:r>
        <w:rPr>
          <w:spacing w:val="-4"/>
        </w:rPr>
        <w:t> </w:t>
      </w:r>
      <w:r>
        <w:rPr>
          <w:spacing w:val="-2"/>
        </w:rPr>
        <w:t>than</w:t>
      </w:r>
      <w:r>
        <w:rPr>
          <w:spacing w:val="-4"/>
        </w:rPr>
        <w:t> </w:t>
      </w:r>
      <w:r>
        <w:rPr>
          <w:spacing w:val="-2"/>
        </w:rPr>
        <w:t>the</w:t>
      </w:r>
      <w:r>
        <w:rPr>
          <w:spacing w:val="-4"/>
        </w:rPr>
        <w:t> </w:t>
      </w:r>
      <w:r>
        <w:rPr>
          <w:spacing w:val="-2"/>
        </w:rPr>
        <w:t>negative</w:t>
      </w:r>
      <w:r>
        <w:rPr>
          <w:spacing w:val="-4"/>
        </w:rPr>
        <w:t> </w:t>
      </w:r>
      <w:r>
        <w:rPr>
          <w:spacing w:val="-2"/>
        </w:rPr>
        <w:t>signal;</w:t>
      </w:r>
      <w:r>
        <w:rPr>
          <w:spacing w:val="-4"/>
        </w:rPr>
        <w:t> </w:t>
      </w:r>
      <w:r>
        <w:rPr>
          <w:spacing w:val="-2"/>
        </w:rPr>
        <w:t>the</w:t>
      </w:r>
      <w:r>
        <w:rPr>
          <w:spacing w:val="-4"/>
        </w:rPr>
        <w:t> </w:t>
      </w:r>
      <w:r>
        <w:rPr>
          <w:spacing w:val="-2"/>
        </w:rPr>
        <w:t>17</w:t>
      </w:r>
      <w:r>
        <w:rPr>
          <w:spacing w:val="-4"/>
        </w:rPr>
        <w:t> </w:t>
      </w:r>
      <w:r>
        <w:rPr>
          <w:spacing w:val="-2"/>
        </w:rPr>
        <w:t>below-trend</w:t>
      </w:r>
      <w:r>
        <w:rPr>
          <w:spacing w:val="-4"/>
        </w:rPr>
        <w:t> </w:t>
      </w:r>
      <w:r>
        <w:rPr>
          <w:spacing w:val="-2"/>
        </w:rPr>
        <w:t>rules</w:t>
      </w:r>
      <w:r>
        <w:rPr>
          <w:spacing w:val="-4"/>
        </w:rPr>
        <w:t> </w:t>
      </w:r>
      <w:r>
        <w:rPr>
          <w:spacing w:val="-2"/>
        </w:rPr>
        <w:t>require</w:t>
      </w:r>
      <w:r>
        <w:rPr>
          <w:spacing w:val="-4"/>
        </w:rPr>
        <w:t> </w:t>
      </w:r>
      <w:r>
        <w:rPr>
          <w:spacing w:val="-2"/>
        </w:rPr>
        <w:t>an</w:t>
      </w:r>
      <w:r>
        <w:rPr>
          <w:spacing w:val="-4"/>
        </w:rPr>
        <w:t> </w:t>
      </w:r>
      <w:r>
        <w:rPr>
          <w:spacing w:val="-2"/>
        </w:rPr>
        <w:t>unusual combination</w:t>
      </w:r>
      <w:r>
        <w:rPr>
          <w:spacing w:val="-12"/>
        </w:rPr>
        <w:t> </w:t>
      </w:r>
      <w:r>
        <w:rPr>
          <w:spacing w:val="-2"/>
        </w:rPr>
        <w:t>of</w:t>
      </w:r>
      <w:r>
        <w:rPr>
          <w:spacing w:val="-12"/>
        </w:rPr>
        <w:t> </w:t>
      </w:r>
      <w:r>
        <w:rPr>
          <w:spacing w:val="-2"/>
        </w:rPr>
        <w:t>high</w:t>
      </w:r>
      <w:r>
        <w:rPr>
          <w:spacing w:val="-12"/>
        </w:rPr>
        <w:t> </w:t>
      </w:r>
      <w:r>
        <w:rPr>
          <w:spacing w:val="-2"/>
        </w:rPr>
        <w:t>LAI</w:t>
      </w:r>
      <w:r>
        <w:rPr>
          <w:spacing w:val="-11"/>
        </w:rPr>
        <w:t> </w:t>
      </w:r>
      <w:r>
        <w:rPr>
          <w:spacing w:val="-2"/>
        </w:rPr>
        <w:t>with</w:t>
      </w:r>
      <w:r>
        <w:rPr>
          <w:spacing w:val="-12"/>
        </w:rPr>
        <w:t> </w:t>
      </w:r>
      <w:r>
        <w:rPr>
          <w:spacing w:val="-2"/>
        </w:rPr>
        <w:t>high</w:t>
      </w:r>
      <w:r>
        <w:rPr>
          <w:spacing w:val="-12"/>
        </w:rPr>
        <w:t> </w:t>
      </w:r>
      <w:r>
        <w:rPr>
          <w:spacing w:val="-2"/>
        </w:rPr>
        <w:t>soil</w:t>
      </w:r>
      <w:r>
        <w:rPr>
          <w:spacing w:val="-12"/>
        </w:rPr>
        <w:t> </w:t>
      </w:r>
      <w:r>
        <w:rPr>
          <w:spacing w:val="-2"/>
        </w:rPr>
        <w:t>moisture</w:t>
      </w:r>
      <w:r>
        <w:rPr>
          <w:spacing w:val="-11"/>
        </w:rPr>
        <w:t> </w:t>
      </w:r>
      <w:r>
        <w:rPr>
          <w:spacing w:val="-2"/>
        </w:rPr>
        <w:t>that</w:t>
      </w:r>
      <w:r>
        <w:rPr>
          <w:spacing w:val="-12"/>
        </w:rPr>
        <w:t> </w:t>
      </w:r>
      <w:r>
        <w:rPr>
          <w:spacing w:val="-2"/>
        </w:rPr>
        <w:t>occurs</w:t>
      </w:r>
      <w:r>
        <w:rPr>
          <w:spacing w:val="-12"/>
        </w:rPr>
        <w:t> </w:t>
      </w:r>
      <w:r>
        <w:rPr>
          <w:spacing w:val="-2"/>
        </w:rPr>
        <w:t>in</w:t>
      </w:r>
      <w:r>
        <w:rPr>
          <w:spacing w:val="-12"/>
        </w:rPr>
        <w:t> </w:t>
      </w:r>
      <w:r>
        <w:rPr>
          <w:spacing w:val="-2"/>
        </w:rPr>
        <w:t>approximately</w:t>
      </w:r>
      <w:r>
        <w:rPr>
          <w:spacing w:val="-11"/>
        </w:rPr>
        <w:t> </w:t>
      </w:r>
      <w:r>
        <w:rPr>
          <w:spacing w:val="-2"/>
        </w:rPr>
        <w:t>20%</w:t>
      </w:r>
      <w:r>
        <w:rPr>
          <w:spacing w:val="-12"/>
        </w:rPr>
        <w:t> </w:t>
      </w:r>
      <w:r>
        <w:rPr>
          <w:spacing w:val="-2"/>
        </w:rPr>
        <w:t>of</w:t>
      </w:r>
      <w:r>
        <w:rPr>
          <w:spacing w:val="-12"/>
        </w:rPr>
        <w:t> </w:t>
      </w:r>
      <w:r>
        <w:rPr>
          <w:spacing w:val="-2"/>
        </w:rPr>
        <w:t>years.</w:t>
      </w:r>
      <w:r>
        <w:rPr>
          <w:spacing w:val="-3"/>
        </w:rPr>
        <w:t> </w:t>
      </w:r>
      <w:r>
        <w:rPr>
          <w:spacing w:val="-2"/>
        </w:rPr>
        <w:t>(2)</w:t>
      </w:r>
      <w:r>
        <w:rPr>
          <w:spacing w:val="-12"/>
        </w:rPr>
        <w:t> </w:t>
      </w:r>
      <w:r>
        <w:rPr>
          <w:spacing w:val="-2"/>
        </w:rPr>
        <w:t>The rule</w:t>
      </w:r>
      <w:r>
        <w:rPr>
          <w:spacing w:val="-12"/>
        </w:rPr>
        <w:t> </w:t>
      </w:r>
      <w:r>
        <w:rPr>
          <w:spacing w:val="-2"/>
        </w:rPr>
        <w:t>set</w:t>
      </w:r>
      <w:r>
        <w:rPr>
          <w:spacing w:val="-12"/>
        </w:rPr>
        <w:t> </w:t>
      </w:r>
      <w:r>
        <w:rPr>
          <w:spacing w:val="-2"/>
        </w:rPr>
        <w:t>is</w:t>
      </w:r>
      <w:r>
        <w:rPr>
          <w:spacing w:val="-12"/>
        </w:rPr>
        <w:t> </w:t>
      </w:r>
      <w:r>
        <w:rPr>
          <w:spacing w:val="-2"/>
        </w:rPr>
        <w:t>organised</w:t>
      </w:r>
      <w:r>
        <w:rPr>
          <w:spacing w:val="-11"/>
        </w:rPr>
        <w:t> </w:t>
      </w:r>
      <w:r>
        <w:rPr>
          <w:spacing w:val="-2"/>
        </w:rPr>
        <w:t>around</w:t>
      </w:r>
      <w:r>
        <w:rPr>
          <w:spacing w:val="-12"/>
        </w:rPr>
        <w:t> </w:t>
      </w:r>
      <w:r>
        <w:rPr>
          <w:spacing w:val="-2"/>
        </w:rPr>
        <w:t>three</w:t>
      </w:r>
      <w:r>
        <w:rPr>
          <w:spacing w:val="-12"/>
        </w:rPr>
        <w:t> </w:t>
      </w:r>
      <w:r>
        <w:rPr>
          <w:spacing w:val="-2"/>
        </w:rPr>
        <w:t>recurring</w:t>
      </w:r>
      <w:r>
        <w:rPr>
          <w:spacing w:val="-12"/>
        </w:rPr>
        <w:t> </w:t>
      </w:r>
      <w:r>
        <w:rPr>
          <w:spacing w:val="-2"/>
        </w:rPr>
        <w:t>features,</w:t>
      </w:r>
      <w:r>
        <w:rPr>
          <w:spacing w:val="-11"/>
        </w:rPr>
        <w:t> </w:t>
      </w:r>
      <w:r>
        <w:rPr>
          <w:spacing w:val="-2"/>
        </w:rPr>
        <w:t>post-flowering</w:t>
      </w:r>
      <w:r>
        <w:rPr>
          <w:spacing w:val="-12"/>
        </w:rPr>
        <w:t> </w:t>
      </w:r>
      <w:r>
        <w:rPr>
          <w:spacing w:val="-2"/>
        </w:rPr>
        <w:t>wet</w:t>
      </w:r>
      <w:r>
        <w:rPr>
          <w:spacing w:val="-12"/>
        </w:rPr>
        <w:t> </w:t>
      </w:r>
      <w:r>
        <w:rPr>
          <w:spacing w:val="-2"/>
        </w:rPr>
        <w:t>days,</w:t>
      </w:r>
      <w:r>
        <w:rPr>
          <w:spacing w:val="-12"/>
        </w:rPr>
        <w:t> </w:t>
      </w:r>
      <w:r>
        <w:rPr>
          <w:spacing w:val="-2"/>
        </w:rPr>
        <w:t>pre-harvest</w:t>
      </w:r>
      <w:r>
        <w:rPr>
          <w:spacing w:val="-11"/>
        </w:rPr>
        <w:t> </w:t>
      </w:r>
      <w:r>
        <w:rPr>
          <w:spacing w:val="-2"/>
        </w:rPr>
        <w:t>soil</w:t>
      </w:r>
      <w:r>
        <w:rPr>
          <w:spacing w:val="-12"/>
        </w:rPr>
        <w:t> </w:t>
      </w:r>
      <w:r>
        <w:rPr>
          <w:spacing w:val="-2"/>
        </w:rPr>
        <w:t>water, </w:t>
      </w:r>
      <w:r>
        <w:rPr/>
        <w:t>and heat-stress day counts, with later rules being refinements of earlier ones through additional conditions.</w:t>
      </w:r>
      <w:r>
        <w:rPr>
          <w:spacing w:val="10"/>
        </w:rPr>
        <w:t> </w:t>
      </w:r>
      <w:r>
        <w:rPr/>
        <w:t>(3)</w:t>
      </w:r>
      <w:r>
        <w:rPr>
          <w:spacing w:val="-2"/>
        </w:rPr>
        <w:t> </w:t>
      </w:r>
      <w:r>
        <w:rPr/>
        <w:t>The</w:t>
      </w:r>
      <w:r>
        <w:rPr>
          <w:spacing w:val="-3"/>
        </w:rPr>
        <w:t> </w:t>
      </w:r>
      <w:r>
        <w:rPr/>
        <w:t>most</w:t>
      </w:r>
      <w:r>
        <w:rPr>
          <w:spacing w:val="-2"/>
        </w:rPr>
        <w:t> </w:t>
      </w:r>
      <w:r>
        <w:rPr/>
        <w:t>significant</w:t>
      </w:r>
      <w:r>
        <w:rPr>
          <w:spacing w:val="-2"/>
        </w:rPr>
        <w:t> </w:t>
      </w:r>
      <w:r>
        <w:rPr/>
        <w:t>rule</w:t>
      </w:r>
      <w:r>
        <w:rPr>
          <w:spacing w:val="-3"/>
        </w:rPr>
        <w:t> </w:t>
      </w:r>
      <w:r>
        <w:rPr/>
        <w:t>(Rule</w:t>
      </w:r>
      <w:r>
        <w:rPr>
          <w:spacing w:val="-2"/>
        </w:rPr>
        <w:t> </w:t>
      </w:r>
      <w:r>
        <w:rPr/>
        <w:t>1)</w:t>
      </w:r>
      <w:r>
        <w:rPr>
          <w:spacing w:val="-2"/>
        </w:rPr>
        <w:t> </w:t>
      </w:r>
      <w:r>
        <w:rPr/>
        <w:t>has</w:t>
      </w:r>
      <w:r>
        <w:rPr>
          <w:spacing w:val="-3"/>
        </w:rPr>
        <w:t> </w:t>
      </w:r>
      <w:r>
        <w:rPr/>
        <w:t>support</w:t>
      </w:r>
      <w:r>
        <w:rPr>
          <w:spacing w:val="-2"/>
        </w:rPr>
        <w:t> </w:t>
      </w:r>
      <w:r>
        <w:rPr/>
        <w:t>of</w:t>
      </w:r>
      <w:r>
        <w:rPr>
          <w:spacing w:val="-2"/>
        </w:rPr>
        <w:t> </w:t>
      </w:r>
      <w:r>
        <w:rPr/>
        <w:t>28.1%,</w:t>
      </w:r>
      <w:r>
        <w:rPr>
          <w:spacing w:val="-2"/>
        </w:rPr>
        <w:t> </w:t>
      </w:r>
      <w:r>
        <w:rPr/>
        <w:t>covering</w:t>
      </w:r>
      <w:r>
        <w:rPr>
          <w:spacing w:val="-3"/>
        </w:rPr>
        <w:t> </w:t>
      </w:r>
      <w:r>
        <w:rPr>
          <w:spacing w:val="-2"/>
        </w:rPr>
        <w:t>approximately</w:t>
      </w:r>
    </w:p>
    <w:p>
      <w:pPr>
        <w:pStyle w:val="BodyText"/>
        <w:spacing w:before="15"/>
      </w:pPr>
    </w:p>
    <w:p>
      <w:pPr>
        <w:pStyle w:val="BodyText"/>
        <w:ind w:left="601" w:right="882"/>
        <w:jc w:val="center"/>
      </w:pPr>
      <w:r>
        <w:rPr>
          <w:spacing w:val="-5"/>
        </w:rPr>
        <w:t>39</w:t>
      </w:r>
    </w:p>
    <w:p>
      <w:pPr>
        <w:pStyle w:val="BodyText"/>
        <w:spacing w:after="0"/>
        <w:jc w:val="center"/>
        <w:sectPr>
          <w:headerReference w:type="default" r:id="rId63"/>
          <w:pgSz w:w="11910" w:h="16840"/>
          <w:pgMar w:header="0" w:footer="0" w:top="1920" w:bottom="280" w:left="1275" w:right="425"/>
        </w:sectPr>
      </w:pPr>
    </w:p>
    <w:p>
      <w:pPr>
        <w:pStyle w:val="BodyText"/>
        <w:rPr>
          <w:sz w:val="20"/>
        </w:rPr>
      </w:pPr>
    </w:p>
    <w:p>
      <w:pPr>
        <w:pStyle w:val="BodyText"/>
        <w:spacing w:before="38"/>
        <w:rPr>
          <w:sz w:val="20"/>
        </w:rPr>
      </w:pPr>
    </w:p>
    <w:p>
      <w:pPr>
        <w:spacing w:before="1"/>
        <w:ind w:left="356" w:right="0" w:firstLine="0"/>
        <w:jc w:val="left"/>
        <w:rPr>
          <w:sz w:val="20"/>
        </w:rPr>
      </w:pPr>
      <w:bookmarkStart w:name="_bookmark71" w:id="130"/>
      <w:bookmarkEnd w:id="130"/>
      <w:r>
        <w:rPr/>
      </w:r>
      <w:r>
        <w:rPr>
          <w:b/>
          <w:sz w:val="20"/>
        </w:rPr>
        <w:t>Table</w:t>
      </w:r>
      <w:r>
        <w:rPr>
          <w:b/>
          <w:spacing w:val="-8"/>
          <w:sz w:val="20"/>
        </w:rPr>
        <w:t> </w:t>
      </w:r>
      <w:r>
        <w:rPr>
          <w:b/>
          <w:sz w:val="20"/>
        </w:rPr>
        <w:t>4.1:</w:t>
      </w:r>
      <w:r>
        <w:rPr>
          <w:b/>
          <w:spacing w:val="3"/>
          <w:sz w:val="20"/>
        </w:rPr>
        <w:t> </w:t>
      </w:r>
      <w:r>
        <w:rPr>
          <w:sz w:val="20"/>
        </w:rPr>
        <w:t>Top</w:t>
      </w:r>
      <w:r>
        <w:rPr>
          <w:spacing w:val="-8"/>
          <w:sz w:val="20"/>
        </w:rPr>
        <w:t> </w:t>
      </w:r>
      <w:r>
        <w:rPr>
          <w:sz w:val="20"/>
        </w:rPr>
        <w:t>5</w:t>
      </w:r>
      <w:r>
        <w:rPr>
          <w:spacing w:val="-8"/>
          <w:sz w:val="20"/>
        </w:rPr>
        <w:t> </w:t>
      </w:r>
      <w:r>
        <w:rPr>
          <w:sz w:val="20"/>
        </w:rPr>
        <w:t>CarenR</w:t>
      </w:r>
      <w:r>
        <w:rPr>
          <w:spacing w:val="-7"/>
          <w:sz w:val="20"/>
        </w:rPr>
        <w:t> </w:t>
      </w:r>
      <w:r>
        <w:rPr>
          <w:sz w:val="20"/>
        </w:rPr>
        <w:t>rules</w:t>
      </w:r>
      <w:r>
        <w:rPr>
          <w:spacing w:val="-8"/>
          <w:sz w:val="20"/>
        </w:rPr>
        <w:t> </w:t>
      </w:r>
      <w:r>
        <w:rPr>
          <w:sz w:val="20"/>
        </w:rPr>
        <w:t>for</w:t>
      </w:r>
      <w:r>
        <w:rPr>
          <w:spacing w:val="-8"/>
          <w:sz w:val="20"/>
        </w:rPr>
        <w:t> </w:t>
      </w:r>
      <w:r>
        <w:rPr>
          <w:sz w:val="20"/>
        </w:rPr>
        <w:t>the</w:t>
      </w:r>
      <w:r>
        <w:rPr>
          <w:spacing w:val="-7"/>
          <w:sz w:val="20"/>
        </w:rPr>
        <w:t> </w:t>
      </w:r>
      <w:r>
        <w:rPr>
          <w:sz w:val="20"/>
        </w:rPr>
        <w:t>Douro</w:t>
      </w:r>
      <w:r>
        <w:rPr>
          <w:spacing w:val="-8"/>
          <w:sz w:val="20"/>
        </w:rPr>
        <w:t> </w:t>
      </w:r>
      <w:r>
        <w:rPr>
          <w:sz w:val="20"/>
        </w:rPr>
        <w:t>(RDD),</w:t>
      </w:r>
      <w:r>
        <w:rPr>
          <w:spacing w:val="-7"/>
          <w:sz w:val="20"/>
        </w:rPr>
        <w:t> </w:t>
      </w:r>
      <w:r>
        <w:rPr>
          <w:sz w:val="20"/>
        </w:rPr>
        <w:t>sorted</w:t>
      </w:r>
      <w:r>
        <w:rPr>
          <w:spacing w:val="-8"/>
          <w:sz w:val="20"/>
        </w:rPr>
        <w:t> </w:t>
      </w:r>
      <w:r>
        <w:rPr>
          <w:sz w:val="20"/>
        </w:rPr>
        <w:t>by</w:t>
      </w:r>
      <w:r>
        <w:rPr>
          <w:spacing w:val="-8"/>
          <w:sz w:val="20"/>
        </w:rPr>
        <w:t> </w:t>
      </w:r>
      <w:r>
        <w:rPr>
          <w:sz w:val="20"/>
        </w:rPr>
        <w:t>KS</w:t>
      </w:r>
      <w:r>
        <w:rPr>
          <w:spacing w:val="6"/>
          <w:sz w:val="20"/>
        </w:rPr>
        <w:t> </w:t>
      </w:r>
      <w:r>
        <w:rPr>
          <w:i/>
          <w:sz w:val="20"/>
        </w:rPr>
        <w:t>p</w:t>
      </w:r>
      <w:r>
        <w:rPr>
          <w:sz w:val="20"/>
        </w:rPr>
        <w:t>-value.</w:t>
      </w:r>
      <w:r>
        <w:rPr>
          <w:spacing w:val="2"/>
          <w:sz w:val="20"/>
        </w:rPr>
        <w:t> </w:t>
      </w:r>
      <w:r>
        <w:rPr>
          <w:sz w:val="20"/>
        </w:rPr>
        <w:t>Full</w:t>
      </w:r>
      <w:r>
        <w:rPr>
          <w:spacing w:val="-7"/>
          <w:sz w:val="20"/>
        </w:rPr>
        <w:t> </w:t>
      </w:r>
      <w:r>
        <w:rPr>
          <w:sz w:val="20"/>
        </w:rPr>
        <w:t>top-10</w:t>
      </w:r>
      <w:r>
        <w:rPr>
          <w:spacing w:val="-8"/>
          <w:sz w:val="20"/>
        </w:rPr>
        <w:t> </w:t>
      </w:r>
      <w:r>
        <w:rPr>
          <w:sz w:val="20"/>
        </w:rPr>
        <w:t>in</w:t>
      </w:r>
      <w:r>
        <w:rPr>
          <w:spacing w:val="-8"/>
          <w:sz w:val="20"/>
        </w:rPr>
        <w:t> </w:t>
      </w:r>
      <w:r>
        <w:rPr>
          <w:sz w:val="20"/>
        </w:rPr>
        <w:t>Table</w:t>
      </w:r>
      <w:r>
        <w:rPr>
          <w:spacing w:val="-7"/>
          <w:sz w:val="20"/>
        </w:rPr>
        <w:t> </w:t>
      </w:r>
      <w:hyperlink w:history="true" w:anchor="_bookmark157">
        <w:r>
          <w:rPr>
            <w:color w:val="8B2C18"/>
            <w:spacing w:val="-4"/>
            <w:sz w:val="20"/>
          </w:rPr>
          <w:t>A.1</w:t>
        </w:r>
      </w:hyperlink>
      <w:r>
        <w:rPr>
          <w:spacing w:val="-4"/>
          <w:sz w:val="20"/>
        </w:rPr>
        <w:t>.</w:t>
      </w:r>
    </w:p>
    <w:p>
      <w:pPr>
        <w:pStyle w:val="BodyText"/>
        <w:spacing w:before="5"/>
        <w:rPr>
          <w:sz w:val="18"/>
        </w:rPr>
      </w:pPr>
      <w:r>
        <w:rPr>
          <w:sz w:val="18"/>
        </w:rPr>
        <mc:AlternateContent>
          <mc:Choice Requires="wps">
            <w:drawing>
              <wp:anchor distT="0" distB="0" distL="0" distR="0" allowOverlap="1" layoutInCell="1" locked="0" behindDoc="1" simplePos="0" relativeHeight="487616512">
                <wp:simplePos x="0" y="0"/>
                <wp:positionH relativeFrom="page">
                  <wp:posOffset>899998</wp:posOffset>
                </wp:positionH>
                <wp:positionV relativeFrom="paragraph">
                  <wp:posOffset>150005</wp:posOffset>
                </wp:positionV>
                <wp:extent cx="5400040" cy="1270"/>
                <wp:effectExtent l="0" t="0" r="0" b="0"/>
                <wp:wrapTopAndBottom/>
                <wp:docPr id="156" name="Graphic 156"/>
                <wp:cNvGraphicFramePr>
                  <a:graphicFrameLocks/>
                </wp:cNvGraphicFramePr>
                <a:graphic>
                  <a:graphicData uri="http://schemas.microsoft.com/office/word/2010/wordprocessingShape">
                    <wps:wsp>
                      <wps:cNvPr id="156" name="Graphic 156"/>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1.811473pt;width:425.2pt;height:.1pt;mso-position-horizontal-relative:page;mso-position-vertical-relative:paragraph;z-index:-15699968;mso-wrap-distance-left:0;mso-wrap-distance-right:0" id="docshape128" coordorigin="1417,236" coordsize="8504,0" path="m1417,236l9921,236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70"/>
        <w:gridCol w:w="4442"/>
        <w:gridCol w:w="757"/>
        <w:gridCol w:w="984"/>
        <w:gridCol w:w="927"/>
        <w:gridCol w:w="923"/>
      </w:tblGrid>
      <w:tr>
        <w:trPr>
          <w:trHeight w:val="824" w:hRule="atLeast"/>
        </w:trPr>
        <w:tc>
          <w:tcPr>
            <w:tcW w:w="470" w:type="dxa"/>
            <w:tcBorders>
              <w:top w:val="nil"/>
              <w:left w:val="nil"/>
              <w:right w:val="single" w:sz="4" w:space="0" w:color="000000"/>
            </w:tcBorders>
          </w:tcPr>
          <w:p>
            <w:pPr>
              <w:pStyle w:val="TableParagraph"/>
              <w:spacing w:before="31"/>
              <w:ind w:left="119"/>
              <w:rPr>
                <w:sz w:val="20"/>
              </w:rPr>
            </w:pPr>
            <w:r>
              <w:rPr>
                <w:spacing w:val="-10"/>
                <w:sz w:val="20"/>
              </w:rPr>
              <w:t>#</w:t>
            </w:r>
          </w:p>
        </w:tc>
        <w:tc>
          <w:tcPr>
            <w:tcW w:w="4442" w:type="dxa"/>
            <w:tcBorders>
              <w:top w:val="nil"/>
              <w:left w:val="single" w:sz="4" w:space="0" w:color="000000"/>
              <w:right w:val="single" w:sz="4" w:space="0" w:color="000000"/>
            </w:tcBorders>
          </w:tcPr>
          <w:p>
            <w:pPr>
              <w:pStyle w:val="TableParagraph"/>
              <w:spacing w:before="31"/>
              <w:ind w:left="118"/>
              <w:rPr>
                <w:sz w:val="20"/>
              </w:rPr>
            </w:pPr>
            <w:r>
              <w:rPr>
                <w:spacing w:val="-2"/>
                <w:sz w:val="20"/>
              </w:rPr>
              <w:t>Conditions</w:t>
            </w:r>
          </w:p>
        </w:tc>
        <w:tc>
          <w:tcPr>
            <w:tcW w:w="757" w:type="dxa"/>
            <w:tcBorders>
              <w:top w:val="nil"/>
              <w:left w:val="single" w:sz="4" w:space="0" w:color="000000"/>
              <w:right w:val="single" w:sz="4" w:space="0" w:color="000000"/>
            </w:tcBorders>
          </w:tcPr>
          <w:p>
            <w:pPr>
              <w:pStyle w:val="TableParagraph"/>
              <w:spacing w:before="31"/>
              <w:ind w:left="221"/>
              <w:rPr>
                <w:sz w:val="20"/>
              </w:rPr>
            </w:pPr>
            <w:r>
              <w:rPr>
                <w:spacing w:val="-4"/>
                <w:sz w:val="20"/>
              </w:rPr>
              <w:t>Dir.</w:t>
            </w:r>
          </w:p>
        </w:tc>
        <w:tc>
          <w:tcPr>
            <w:tcW w:w="984" w:type="dxa"/>
            <w:tcBorders>
              <w:top w:val="nil"/>
              <w:left w:val="single" w:sz="4" w:space="0" w:color="000000"/>
              <w:right w:val="single" w:sz="4" w:space="0" w:color="000000"/>
            </w:tcBorders>
          </w:tcPr>
          <w:p>
            <w:pPr>
              <w:pStyle w:val="TableParagraph"/>
              <w:spacing w:before="31"/>
              <w:ind w:left="118"/>
              <w:rPr>
                <w:sz w:val="20"/>
              </w:rPr>
            </w:pPr>
            <w:r>
              <w:rPr>
                <w:spacing w:val="-2"/>
                <w:sz w:val="20"/>
              </w:rPr>
              <w:t>Median</w:t>
            </w:r>
          </w:p>
          <w:p>
            <w:pPr>
              <w:pStyle w:val="TableParagraph"/>
              <w:spacing w:line="243" w:lineRule="exact" w:before="5"/>
              <w:ind w:left="118"/>
              <w:rPr>
                <w:rFonts w:ascii="Calibri" w:hAnsi="Calibri"/>
                <w:sz w:val="20"/>
              </w:rPr>
            </w:pPr>
            <w:r>
              <w:rPr>
                <w:rFonts w:ascii="Calibri" w:hAnsi="Calibri"/>
                <w:spacing w:val="-10"/>
                <w:w w:val="110"/>
                <w:sz w:val="20"/>
              </w:rPr>
              <w:t>∆</w:t>
            </w:r>
          </w:p>
          <w:p>
            <w:pPr>
              <w:pStyle w:val="TableParagraph"/>
              <w:spacing w:line="229" w:lineRule="exact" w:before="0"/>
              <w:ind w:left="112"/>
              <w:rPr>
                <w:sz w:val="20"/>
              </w:rPr>
            </w:pPr>
            <w:r>
              <w:rPr>
                <w:spacing w:val="-2"/>
                <w:sz w:val="20"/>
              </w:rPr>
              <w:t>(mhl)</w:t>
            </w:r>
          </w:p>
        </w:tc>
        <w:tc>
          <w:tcPr>
            <w:tcW w:w="927" w:type="dxa"/>
            <w:tcBorders>
              <w:top w:val="nil"/>
              <w:left w:val="single" w:sz="4" w:space="0" w:color="000000"/>
              <w:right w:val="single" w:sz="4" w:space="0" w:color="000000"/>
            </w:tcBorders>
          </w:tcPr>
          <w:p>
            <w:pPr>
              <w:pStyle w:val="TableParagraph"/>
              <w:spacing w:before="31"/>
              <w:ind w:left="118"/>
              <w:rPr>
                <w:sz w:val="20"/>
              </w:rPr>
            </w:pPr>
            <w:r>
              <w:rPr>
                <w:spacing w:val="-2"/>
                <w:sz w:val="20"/>
              </w:rPr>
              <w:t>Support</w:t>
            </w:r>
          </w:p>
        </w:tc>
        <w:tc>
          <w:tcPr>
            <w:tcW w:w="923" w:type="dxa"/>
            <w:tcBorders>
              <w:top w:val="nil"/>
              <w:left w:val="single" w:sz="4" w:space="0" w:color="000000"/>
              <w:right w:val="nil"/>
            </w:tcBorders>
          </w:tcPr>
          <w:p>
            <w:pPr>
              <w:pStyle w:val="TableParagraph"/>
              <w:spacing w:before="31"/>
              <w:ind w:left="119"/>
              <w:rPr>
                <w:sz w:val="20"/>
              </w:rPr>
            </w:pPr>
            <w:r>
              <w:rPr>
                <w:spacing w:val="-2"/>
                <w:sz w:val="20"/>
              </w:rPr>
              <w:t>p-</w:t>
            </w:r>
            <w:r>
              <w:rPr>
                <w:spacing w:val="-4"/>
                <w:sz w:val="20"/>
              </w:rPr>
              <w:t>value</w:t>
            </w:r>
          </w:p>
        </w:tc>
      </w:tr>
    </w:tbl>
    <w:p>
      <w:pPr>
        <w:pStyle w:val="BodyText"/>
        <w:spacing w:before="10"/>
        <w:rPr>
          <w:sz w:val="4"/>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0"/>
        <w:gridCol w:w="4442"/>
        <w:gridCol w:w="757"/>
        <w:gridCol w:w="984"/>
        <w:gridCol w:w="927"/>
        <w:gridCol w:w="923"/>
      </w:tblGrid>
      <w:tr>
        <w:trPr>
          <w:trHeight w:val="1021" w:hRule="atLeast"/>
        </w:trPr>
        <w:tc>
          <w:tcPr>
            <w:tcW w:w="470" w:type="dxa"/>
            <w:tcBorders>
              <w:right w:val="single" w:sz="4" w:space="0" w:color="000000"/>
            </w:tcBorders>
          </w:tcPr>
          <w:p>
            <w:pPr>
              <w:pStyle w:val="TableParagraph"/>
              <w:spacing w:before="31"/>
              <w:ind w:left="119"/>
              <w:rPr>
                <w:sz w:val="20"/>
              </w:rPr>
            </w:pPr>
            <w:r>
              <w:rPr>
                <w:spacing w:val="-10"/>
                <w:sz w:val="20"/>
              </w:rPr>
              <w:t>1</w:t>
            </w:r>
          </w:p>
        </w:tc>
        <w:tc>
          <w:tcPr>
            <w:tcW w:w="4442" w:type="dxa"/>
            <w:tcBorders>
              <w:left w:val="single" w:sz="4" w:space="0" w:color="000000"/>
              <w:right w:val="single" w:sz="4" w:space="0" w:color="000000"/>
            </w:tcBorders>
          </w:tcPr>
          <w:p>
            <w:pPr>
              <w:pStyle w:val="TableParagraph"/>
              <w:spacing w:line="249" w:lineRule="auto" w:before="31"/>
              <w:ind w:left="118" w:right="116"/>
              <w:rPr>
                <w:b/>
                <w:sz w:val="20"/>
              </w:rPr>
            </w:pPr>
            <w:r>
              <w:rPr>
                <w:b/>
                <w:sz w:val="20"/>
              </w:rPr>
              <w:t>Wet</w:t>
            </w:r>
            <w:r>
              <w:rPr>
                <w:b/>
                <w:spacing w:val="-8"/>
                <w:sz w:val="20"/>
              </w:rPr>
              <w:t> </w:t>
            </w:r>
            <w:r>
              <w:rPr>
                <w:b/>
                <w:sz w:val="20"/>
              </w:rPr>
              <w:t>days</w:t>
            </w:r>
            <w:r>
              <w:rPr>
                <w:b/>
                <w:spacing w:val="-8"/>
                <w:sz w:val="20"/>
              </w:rPr>
              <w:t> </w:t>
            </w:r>
            <w:r>
              <w:rPr>
                <w:b/>
                <w:sz w:val="20"/>
              </w:rPr>
              <w:t>post-Flowering</w:t>
            </w:r>
            <w:r>
              <w:rPr>
                <w:b/>
                <w:spacing w:val="-8"/>
                <w:sz w:val="20"/>
              </w:rPr>
              <w:t> </w:t>
            </w:r>
            <w:r>
              <w:rPr>
                <w:b/>
                <w:sz w:val="20"/>
              </w:rPr>
              <w:t>[0–3.3d]</w:t>
            </w:r>
            <w:r>
              <w:rPr>
                <w:b/>
                <w:spacing w:val="-8"/>
                <w:sz w:val="20"/>
              </w:rPr>
              <w:t> </w:t>
            </w:r>
            <w:r>
              <w:rPr>
                <w:b/>
                <w:sz w:val="20"/>
              </w:rPr>
              <w:t>AND</w:t>
            </w:r>
            <w:r>
              <w:rPr>
                <w:b/>
                <w:spacing w:val="-8"/>
                <w:sz w:val="20"/>
              </w:rPr>
              <w:t> </w:t>
            </w:r>
            <w:r>
              <w:rPr>
                <w:b/>
                <w:sz w:val="20"/>
              </w:rPr>
              <w:t>Wet</w:t>
            </w:r>
            <w:r>
              <w:rPr>
                <w:b/>
                <w:spacing w:val="-8"/>
                <w:sz w:val="20"/>
              </w:rPr>
              <w:t> </w:t>
            </w:r>
            <w:r>
              <w:rPr>
                <w:b/>
                <w:sz w:val="20"/>
              </w:rPr>
              <w:t>days post-Maturity [0–3.5d]</w:t>
            </w:r>
          </w:p>
          <w:p>
            <w:pPr>
              <w:pStyle w:val="TableParagraph"/>
              <w:spacing w:line="249" w:lineRule="auto" w:before="0"/>
              <w:ind w:left="118" w:hanging="8"/>
              <w:rPr>
                <w:i/>
                <w:sz w:val="20"/>
              </w:rPr>
            </w:pPr>
            <w:r>
              <w:rPr>
                <w:i/>
                <w:spacing w:val="-4"/>
                <w:sz w:val="20"/>
              </w:rPr>
              <w:t>Dry</w:t>
            </w:r>
            <w:r>
              <w:rPr>
                <w:i/>
                <w:spacing w:val="-5"/>
                <w:sz w:val="20"/>
              </w:rPr>
              <w:t> </w:t>
            </w:r>
            <w:r>
              <w:rPr>
                <w:i/>
                <w:spacing w:val="-4"/>
                <w:sz w:val="20"/>
              </w:rPr>
              <w:t>post-flowering</w:t>
            </w:r>
            <w:r>
              <w:rPr>
                <w:i/>
                <w:spacing w:val="-6"/>
                <w:sz w:val="20"/>
              </w:rPr>
              <w:t> </w:t>
            </w:r>
            <w:r>
              <w:rPr>
                <w:i/>
                <w:spacing w:val="-4"/>
                <w:sz w:val="20"/>
              </w:rPr>
              <w:t>conditions</w:t>
            </w:r>
            <w:r>
              <w:rPr>
                <w:i/>
                <w:spacing w:val="-5"/>
                <w:sz w:val="20"/>
              </w:rPr>
              <w:t> </w:t>
            </w:r>
            <w:r>
              <w:rPr>
                <w:i/>
                <w:spacing w:val="-4"/>
                <w:sz w:val="20"/>
              </w:rPr>
              <w:t>reduce</w:t>
            </w:r>
            <w:r>
              <w:rPr>
                <w:i/>
                <w:spacing w:val="-5"/>
                <w:sz w:val="20"/>
              </w:rPr>
              <w:t> </w:t>
            </w:r>
            <w:r>
              <w:rPr>
                <w:i/>
                <w:spacing w:val="-4"/>
                <w:sz w:val="20"/>
              </w:rPr>
              <w:t>disease</w:t>
            </w:r>
            <w:r>
              <w:rPr>
                <w:i/>
                <w:spacing w:val="-5"/>
                <w:sz w:val="20"/>
              </w:rPr>
              <w:t> </w:t>
            </w:r>
            <w:r>
              <w:rPr>
                <w:i/>
                <w:spacing w:val="-4"/>
                <w:sz w:val="20"/>
              </w:rPr>
              <w:t>pressure</w:t>
            </w:r>
            <w:r>
              <w:rPr>
                <w:i/>
                <w:spacing w:val="-4"/>
                <w:sz w:val="20"/>
              </w:rPr>
              <w:t> </w:t>
            </w:r>
            <w:r>
              <w:rPr>
                <w:i/>
                <w:sz w:val="20"/>
              </w:rPr>
              <w:t>and promote fruit set in the Douro.</w:t>
            </w:r>
          </w:p>
        </w:tc>
        <w:tc>
          <w:tcPr>
            <w:tcW w:w="757" w:type="dxa"/>
            <w:tcBorders>
              <w:left w:val="single" w:sz="4" w:space="0" w:color="000000"/>
              <w:right w:val="single" w:sz="4" w:space="0" w:color="000000"/>
            </w:tcBorders>
          </w:tcPr>
          <w:p>
            <w:pPr>
              <w:pStyle w:val="TableParagraph"/>
              <w:spacing w:before="49"/>
              <w:ind w:left="85"/>
              <w:jc w:val="center"/>
              <w:rPr>
                <w:sz w:val="18"/>
              </w:rPr>
            </w:pPr>
            <w:r>
              <w:rPr>
                <w:spacing w:val="-4"/>
                <w:sz w:val="18"/>
              </w:rPr>
              <w:t>ABOVE</w:t>
            </w:r>
          </w:p>
        </w:tc>
        <w:tc>
          <w:tcPr>
            <w:tcW w:w="984" w:type="dxa"/>
            <w:tcBorders>
              <w:left w:val="single" w:sz="4" w:space="0" w:color="000000"/>
              <w:right w:val="single" w:sz="4" w:space="0" w:color="000000"/>
            </w:tcBorders>
          </w:tcPr>
          <w:p>
            <w:pPr>
              <w:pStyle w:val="TableParagraph"/>
              <w:spacing w:before="31"/>
              <w:ind w:left="118"/>
              <w:rPr>
                <w:sz w:val="20"/>
              </w:rPr>
            </w:pPr>
            <w:r>
              <w:rPr>
                <w:spacing w:val="-4"/>
                <w:sz w:val="20"/>
              </w:rPr>
              <w:t>+121</w:t>
            </w:r>
          </w:p>
        </w:tc>
        <w:tc>
          <w:tcPr>
            <w:tcW w:w="927" w:type="dxa"/>
            <w:tcBorders>
              <w:left w:val="single" w:sz="4" w:space="0" w:color="000000"/>
              <w:right w:val="single" w:sz="4" w:space="0" w:color="000000"/>
            </w:tcBorders>
          </w:tcPr>
          <w:p>
            <w:pPr>
              <w:pStyle w:val="TableParagraph"/>
              <w:spacing w:before="31"/>
              <w:ind w:left="118"/>
              <w:rPr>
                <w:sz w:val="20"/>
              </w:rPr>
            </w:pPr>
            <w:r>
              <w:rPr>
                <w:spacing w:val="-2"/>
                <w:sz w:val="20"/>
              </w:rPr>
              <w:t>28.1%</w:t>
            </w:r>
          </w:p>
        </w:tc>
        <w:tc>
          <w:tcPr>
            <w:tcW w:w="923" w:type="dxa"/>
            <w:tcBorders>
              <w:left w:val="single" w:sz="4" w:space="0" w:color="000000"/>
            </w:tcBorders>
          </w:tcPr>
          <w:p>
            <w:pPr>
              <w:pStyle w:val="TableParagraph"/>
              <w:spacing w:before="31"/>
              <w:ind w:right="129"/>
              <w:jc w:val="center"/>
              <w:rPr>
                <w:sz w:val="20"/>
              </w:rPr>
            </w:pPr>
            <w:r>
              <w:rPr>
                <w:spacing w:val="-2"/>
                <w:sz w:val="20"/>
              </w:rPr>
              <w:t>0.0043</w:t>
            </w:r>
          </w:p>
        </w:tc>
      </w:tr>
      <w:tr>
        <w:trPr>
          <w:trHeight w:val="1028" w:hRule="atLeast"/>
        </w:trPr>
        <w:tc>
          <w:tcPr>
            <w:tcW w:w="470" w:type="dxa"/>
            <w:tcBorders>
              <w:right w:val="single" w:sz="4" w:space="0" w:color="000000"/>
            </w:tcBorders>
          </w:tcPr>
          <w:p>
            <w:pPr>
              <w:pStyle w:val="TableParagraph"/>
              <w:spacing w:before="37"/>
              <w:ind w:left="119"/>
              <w:rPr>
                <w:sz w:val="20"/>
              </w:rPr>
            </w:pPr>
            <w:r>
              <w:rPr>
                <w:spacing w:val="-10"/>
                <w:sz w:val="20"/>
              </w:rPr>
              <w:t>2</w:t>
            </w:r>
          </w:p>
        </w:tc>
        <w:tc>
          <w:tcPr>
            <w:tcW w:w="4442" w:type="dxa"/>
            <w:tcBorders>
              <w:left w:val="single" w:sz="4" w:space="0" w:color="000000"/>
              <w:right w:val="single" w:sz="4" w:space="0" w:color="000000"/>
            </w:tcBorders>
          </w:tcPr>
          <w:p>
            <w:pPr>
              <w:pStyle w:val="TableParagraph"/>
              <w:spacing w:line="249" w:lineRule="auto" w:before="23"/>
              <w:ind w:left="118"/>
              <w:rPr>
                <w:b/>
                <w:sz w:val="20"/>
              </w:rPr>
            </w:pPr>
            <w:r>
              <w:rPr>
                <w:b/>
                <w:sz w:val="20"/>
              </w:rPr>
              <w:t>LAI</w:t>
            </w:r>
            <w:r>
              <w:rPr>
                <w:b/>
                <w:spacing w:val="-11"/>
                <w:sz w:val="20"/>
              </w:rPr>
              <w:t> </w:t>
            </w:r>
            <w:r>
              <w:rPr>
                <w:b/>
                <w:sz w:val="20"/>
              </w:rPr>
              <w:t>at</w:t>
            </w:r>
            <w:r>
              <w:rPr>
                <w:b/>
                <w:spacing w:val="-11"/>
                <w:sz w:val="20"/>
              </w:rPr>
              <w:t> </w:t>
            </w:r>
            <w:r>
              <w:rPr>
                <w:b/>
                <w:sz w:val="20"/>
              </w:rPr>
              <w:t>Flowering</w:t>
            </w:r>
            <w:r>
              <w:rPr>
                <w:b/>
                <w:spacing w:val="-11"/>
                <w:sz w:val="20"/>
              </w:rPr>
              <w:t> </w:t>
            </w:r>
            <w:r>
              <w:rPr>
                <w:b/>
                <w:sz w:val="20"/>
              </w:rPr>
              <w:t>[0.74–0.88</w:t>
            </w:r>
            <w:r>
              <w:rPr>
                <w:b/>
                <w:spacing w:val="-11"/>
                <w:sz w:val="20"/>
              </w:rPr>
              <w:t> </w:t>
            </w:r>
            <w:r>
              <w:rPr>
                <w:b/>
                <w:sz w:val="20"/>
              </w:rPr>
              <w:t>m</w:t>
            </w:r>
            <w:r>
              <w:rPr>
                <w:position w:val="7"/>
                <w:sz w:val="14"/>
              </w:rPr>
              <w:t>2</w:t>
            </w:r>
            <w:r>
              <w:rPr>
                <w:b/>
                <w:sz w:val="20"/>
              </w:rPr>
              <w:t>/m</w:t>
            </w:r>
            <w:r>
              <w:rPr>
                <w:position w:val="7"/>
                <w:sz w:val="14"/>
              </w:rPr>
              <w:t>2</w:t>
            </w:r>
            <w:r>
              <w:rPr>
                <w:b/>
                <w:sz w:val="20"/>
              </w:rPr>
              <w:t>]</w:t>
            </w:r>
            <w:r>
              <w:rPr>
                <w:b/>
                <w:spacing w:val="-11"/>
                <w:sz w:val="20"/>
              </w:rPr>
              <w:t> </w:t>
            </w:r>
            <w:r>
              <w:rPr>
                <w:b/>
                <w:sz w:val="20"/>
              </w:rPr>
              <w:t>AND</w:t>
            </w:r>
            <w:r>
              <w:rPr>
                <w:b/>
                <w:spacing w:val="-11"/>
                <w:sz w:val="20"/>
              </w:rPr>
              <w:t> </w:t>
            </w:r>
            <w:r>
              <w:rPr>
                <w:b/>
                <w:sz w:val="20"/>
              </w:rPr>
              <w:t>Soil</w:t>
            </w:r>
            <w:r>
              <w:rPr>
                <w:b/>
                <w:spacing w:val="-11"/>
                <w:sz w:val="20"/>
              </w:rPr>
              <w:t> </w:t>
            </w:r>
            <w:r>
              <w:rPr>
                <w:b/>
                <w:sz w:val="20"/>
              </w:rPr>
              <w:t>wa-ter post-Flowering [390–404 mm]</w:t>
            </w:r>
          </w:p>
          <w:p>
            <w:pPr>
              <w:pStyle w:val="TableParagraph"/>
              <w:spacing w:line="249" w:lineRule="auto" w:before="0"/>
              <w:ind w:left="118" w:hanging="7"/>
              <w:rPr>
                <w:i/>
                <w:sz w:val="20"/>
              </w:rPr>
            </w:pPr>
            <w:r>
              <w:rPr>
                <w:i/>
                <w:sz w:val="20"/>
              </w:rPr>
              <w:t>Elevated canopy vigour with high soil moisture </w:t>
            </w:r>
            <w:r>
              <w:rPr>
                <w:i/>
                <w:sz w:val="20"/>
              </w:rPr>
              <w:t>at</w:t>
            </w:r>
            <w:r>
              <w:rPr>
                <w:i/>
                <w:sz w:val="20"/>
              </w:rPr>
              <w:t> </w:t>
            </w:r>
            <w:r>
              <w:rPr>
                <w:i/>
                <w:spacing w:val="-4"/>
                <w:sz w:val="20"/>
              </w:rPr>
              <w:t>flowering</w:t>
            </w:r>
            <w:r>
              <w:rPr>
                <w:i/>
                <w:spacing w:val="6"/>
                <w:sz w:val="20"/>
              </w:rPr>
              <w:t> </w:t>
            </w:r>
            <w:r>
              <w:rPr>
                <w:i/>
                <w:spacing w:val="-4"/>
                <w:sz w:val="20"/>
              </w:rPr>
              <w:t>drives</w:t>
            </w:r>
            <w:r>
              <w:rPr>
                <w:i/>
                <w:spacing w:val="6"/>
                <w:sz w:val="20"/>
              </w:rPr>
              <w:t> </w:t>
            </w:r>
            <w:r>
              <w:rPr>
                <w:i/>
                <w:spacing w:val="-4"/>
                <w:sz w:val="20"/>
              </w:rPr>
              <w:t>vegetative-over-reproductive</w:t>
            </w:r>
            <w:r>
              <w:rPr>
                <w:i/>
                <w:spacing w:val="7"/>
                <w:sz w:val="20"/>
              </w:rPr>
              <w:t> </w:t>
            </w:r>
            <w:r>
              <w:rPr>
                <w:i/>
                <w:spacing w:val="-4"/>
                <w:sz w:val="20"/>
              </w:rPr>
              <w:t>growth.</w:t>
            </w:r>
          </w:p>
        </w:tc>
        <w:tc>
          <w:tcPr>
            <w:tcW w:w="757" w:type="dxa"/>
            <w:tcBorders>
              <w:left w:val="single" w:sz="4" w:space="0" w:color="000000"/>
              <w:right w:val="single" w:sz="4" w:space="0" w:color="000000"/>
            </w:tcBorders>
          </w:tcPr>
          <w:p>
            <w:pPr>
              <w:pStyle w:val="TableParagraph"/>
              <w:spacing w:before="56"/>
              <w:ind w:left="108"/>
              <w:jc w:val="center"/>
              <w:rPr>
                <w:sz w:val="18"/>
              </w:rPr>
            </w:pPr>
            <w:r>
              <w:rPr>
                <w:spacing w:val="-4"/>
                <w:sz w:val="18"/>
              </w:rPr>
              <w:t>BELOW</w:t>
            </w:r>
          </w:p>
        </w:tc>
        <w:tc>
          <w:tcPr>
            <w:tcW w:w="984" w:type="dxa"/>
            <w:tcBorders>
              <w:left w:val="single" w:sz="4" w:space="0" w:color="000000"/>
              <w:right w:val="single" w:sz="4" w:space="0" w:color="000000"/>
            </w:tcBorders>
          </w:tcPr>
          <w:p>
            <w:pPr>
              <w:pStyle w:val="TableParagraph"/>
              <w:spacing w:before="37"/>
              <w:ind w:left="118"/>
              <w:rPr>
                <w:sz w:val="20"/>
              </w:rPr>
            </w:pPr>
            <w:r>
              <w:rPr>
                <w:spacing w:val="-2"/>
                <w:sz w:val="20"/>
              </w:rPr>
              <w:t>-</w:t>
            </w:r>
            <w:r>
              <w:rPr>
                <w:spacing w:val="-5"/>
                <w:sz w:val="20"/>
              </w:rPr>
              <w:t>131</w:t>
            </w:r>
          </w:p>
        </w:tc>
        <w:tc>
          <w:tcPr>
            <w:tcW w:w="927" w:type="dxa"/>
            <w:tcBorders>
              <w:left w:val="single" w:sz="4" w:space="0" w:color="000000"/>
              <w:right w:val="single" w:sz="4" w:space="0" w:color="000000"/>
            </w:tcBorders>
          </w:tcPr>
          <w:p>
            <w:pPr>
              <w:pStyle w:val="TableParagraph"/>
              <w:spacing w:before="37"/>
              <w:ind w:left="118"/>
              <w:rPr>
                <w:sz w:val="20"/>
              </w:rPr>
            </w:pPr>
            <w:r>
              <w:rPr>
                <w:spacing w:val="-2"/>
                <w:sz w:val="20"/>
              </w:rPr>
              <w:t>20.2%</w:t>
            </w:r>
          </w:p>
        </w:tc>
        <w:tc>
          <w:tcPr>
            <w:tcW w:w="923" w:type="dxa"/>
            <w:tcBorders>
              <w:left w:val="single" w:sz="4" w:space="0" w:color="000000"/>
            </w:tcBorders>
          </w:tcPr>
          <w:p>
            <w:pPr>
              <w:pStyle w:val="TableParagraph"/>
              <w:spacing w:before="37"/>
              <w:ind w:right="129"/>
              <w:jc w:val="center"/>
              <w:rPr>
                <w:sz w:val="20"/>
              </w:rPr>
            </w:pPr>
            <w:r>
              <w:rPr>
                <w:spacing w:val="-2"/>
                <w:sz w:val="20"/>
              </w:rPr>
              <w:t>0.0084</w:t>
            </w:r>
          </w:p>
        </w:tc>
      </w:tr>
      <w:tr>
        <w:trPr>
          <w:trHeight w:val="1267" w:hRule="atLeast"/>
        </w:trPr>
        <w:tc>
          <w:tcPr>
            <w:tcW w:w="470" w:type="dxa"/>
            <w:tcBorders>
              <w:right w:val="single" w:sz="4" w:space="0" w:color="000000"/>
            </w:tcBorders>
          </w:tcPr>
          <w:p>
            <w:pPr>
              <w:pStyle w:val="TableParagraph"/>
              <w:spacing w:before="37"/>
              <w:ind w:left="119"/>
              <w:rPr>
                <w:sz w:val="20"/>
              </w:rPr>
            </w:pPr>
            <w:r>
              <w:rPr>
                <w:spacing w:val="-10"/>
                <w:sz w:val="20"/>
              </w:rPr>
              <w:t>3</w:t>
            </w:r>
          </w:p>
        </w:tc>
        <w:tc>
          <w:tcPr>
            <w:tcW w:w="4442" w:type="dxa"/>
            <w:tcBorders>
              <w:left w:val="single" w:sz="4" w:space="0" w:color="000000"/>
              <w:right w:val="single" w:sz="4" w:space="0" w:color="000000"/>
            </w:tcBorders>
          </w:tcPr>
          <w:p>
            <w:pPr>
              <w:pStyle w:val="TableParagraph"/>
              <w:spacing w:line="249" w:lineRule="auto" w:before="37"/>
              <w:ind w:left="118" w:right="83"/>
              <w:jc w:val="both"/>
              <w:rPr>
                <w:b/>
                <w:sz w:val="20"/>
              </w:rPr>
            </w:pPr>
            <w:r>
              <w:rPr>
                <w:b/>
                <w:sz w:val="20"/>
              </w:rPr>
              <w:t>Wet</w:t>
            </w:r>
            <w:r>
              <w:rPr>
                <w:b/>
                <w:spacing w:val="-3"/>
                <w:sz w:val="20"/>
              </w:rPr>
              <w:t> </w:t>
            </w:r>
            <w:r>
              <w:rPr>
                <w:b/>
                <w:sz w:val="20"/>
              </w:rPr>
              <w:t>days</w:t>
            </w:r>
            <w:r>
              <w:rPr>
                <w:b/>
                <w:spacing w:val="-3"/>
                <w:sz w:val="20"/>
              </w:rPr>
              <w:t> </w:t>
            </w:r>
            <w:r>
              <w:rPr>
                <w:b/>
                <w:sz w:val="20"/>
              </w:rPr>
              <w:t>post-Flowering</w:t>
            </w:r>
            <w:r>
              <w:rPr>
                <w:b/>
                <w:spacing w:val="-3"/>
                <w:sz w:val="20"/>
              </w:rPr>
              <w:t> </w:t>
            </w:r>
            <w:r>
              <w:rPr>
                <w:b/>
                <w:sz w:val="20"/>
              </w:rPr>
              <w:t>[0–3.3d]</w:t>
            </w:r>
            <w:r>
              <w:rPr>
                <w:b/>
                <w:spacing w:val="-3"/>
                <w:sz w:val="20"/>
              </w:rPr>
              <w:t> </w:t>
            </w:r>
            <w:r>
              <w:rPr>
                <w:b/>
                <w:sz w:val="20"/>
              </w:rPr>
              <w:t>AND</w:t>
            </w:r>
            <w:r>
              <w:rPr>
                <w:b/>
                <w:spacing w:val="-3"/>
                <w:sz w:val="20"/>
              </w:rPr>
              <w:t> </w:t>
            </w:r>
            <w:r>
              <w:rPr>
                <w:b/>
                <w:sz w:val="20"/>
              </w:rPr>
              <w:t>Wet</w:t>
            </w:r>
            <w:r>
              <w:rPr>
                <w:b/>
                <w:spacing w:val="-3"/>
                <w:sz w:val="20"/>
              </w:rPr>
              <w:t> </w:t>
            </w:r>
            <w:r>
              <w:rPr>
                <w:b/>
                <w:sz w:val="20"/>
              </w:rPr>
              <w:t>days post-Maturity [0–3.5d] AND Heat days </w:t>
            </w:r>
            <w:r>
              <w:rPr>
                <w:b/>
                <w:sz w:val="20"/>
              </w:rPr>
              <w:t>post-Flowering [0–0.6d]</w:t>
            </w:r>
          </w:p>
          <w:p>
            <w:pPr>
              <w:pStyle w:val="TableParagraph"/>
              <w:spacing w:line="249" w:lineRule="auto" w:before="0"/>
              <w:ind w:left="118" w:right="83" w:hanging="7"/>
              <w:jc w:val="both"/>
              <w:rPr>
                <w:i/>
                <w:sz w:val="20"/>
              </w:rPr>
            </w:pPr>
            <w:r>
              <w:rPr>
                <w:i/>
                <w:sz w:val="20"/>
              </w:rPr>
              <w:t>Refines Rule 1:</w:t>
            </w:r>
            <w:r>
              <w:rPr>
                <w:i/>
                <w:spacing w:val="40"/>
                <w:sz w:val="20"/>
              </w:rPr>
              <w:t> </w:t>
            </w:r>
            <w:r>
              <w:rPr>
                <w:i/>
                <w:sz w:val="20"/>
              </w:rPr>
              <w:t>dry and thermally moderate </w:t>
            </w:r>
            <w:r>
              <w:rPr>
                <w:i/>
                <w:sz w:val="20"/>
              </w:rPr>
              <w:t>post-flowering window.</w:t>
            </w:r>
          </w:p>
        </w:tc>
        <w:tc>
          <w:tcPr>
            <w:tcW w:w="757" w:type="dxa"/>
            <w:tcBorders>
              <w:left w:val="single" w:sz="4" w:space="0" w:color="000000"/>
              <w:right w:val="single" w:sz="4" w:space="0" w:color="000000"/>
            </w:tcBorders>
          </w:tcPr>
          <w:p>
            <w:pPr>
              <w:pStyle w:val="TableParagraph"/>
              <w:spacing w:before="56"/>
              <w:ind w:left="85"/>
              <w:jc w:val="center"/>
              <w:rPr>
                <w:sz w:val="18"/>
              </w:rPr>
            </w:pPr>
            <w:r>
              <w:rPr>
                <w:spacing w:val="-4"/>
                <w:sz w:val="18"/>
              </w:rPr>
              <w:t>ABOVE</w:t>
            </w:r>
          </w:p>
        </w:tc>
        <w:tc>
          <w:tcPr>
            <w:tcW w:w="984" w:type="dxa"/>
            <w:tcBorders>
              <w:left w:val="single" w:sz="4" w:space="0" w:color="000000"/>
              <w:right w:val="single" w:sz="4" w:space="0" w:color="000000"/>
            </w:tcBorders>
          </w:tcPr>
          <w:p>
            <w:pPr>
              <w:pStyle w:val="TableParagraph"/>
              <w:spacing w:before="37"/>
              <w:ind w:left="118"/>
              <w:rPr>
                <w:sz w:val="20"/>
              </w:rPr>
            </w:pPr>
            <w:r>
              <w:rPr>
                <w:spacing w:val="-4"/>
                <w:sz w:val="20"/>
              </w:rPr>
              <w:t>+113</w:t>
            </w:r>
          </w:p>
        </w:tc>
        <w:tc>
          <w:tcPr>
            <w:tcW w:w="927" w:type="dxa"/>
            <w:tcBorders>
              <w:left w:val="single" w:sz="4" w:space="0" w:color="000000"/>
              <w:right w:val="single" w:sz="4" w:space="0" w:color="000000"/>
            </w:tcBorders>
          </w:tcPr>
          <w:p>
            <w:pPr>
              <w:pStyle w:val="TableParagraph"/>
              <w:spacing w:before="37"/>
              <w:ind w:left="118"/>
              <w:rPr>
                <w:sz w:val="20"/>
              </w:rPr>
            </w:pPr>
            <w:r>
              <w:rPr>
                <w:spacing w:val="-2"/>
                <w:sz w:val="20"/>
              </w:rPr>
              <w:t>25.8%</w:t>
            </w:r>
          </w:p>
        </w:tc>
        <w:tc>
          <w:tcPr>
            <w:tcW w:w="923" w:type="dxa"/>
            <w:tcBorders>
              <w:left w:val="single" w:sz="4" w:space="0" w:color="000000"/>
            </w:tcBorders>
          </w:tcPr>
          <w:p>
            <w:pPr>
              <w:pStyle w:val="TableParagraph"/>
              <w:spacing w:before="37"/>
              <w:ind w:right="129"/>
              <w:jc w:val="center"/>
              <w:rPr>
                <w:sz w:val="20"/>
              </w:rPr>
            </w:pPr>
            <w:r>
              <w:rPr>
                <w:spacing w:val="-2"/>
                <w:sz w:val="20"/>
              </w:rPr>
              <w:t>0.0089</w:t>
            </w:r>
          </w:p>
        </w:tc>
      </w:tr>
      <w:tr>
        <w:trPr>
          <w:trHeight w:val="1506" w:hRule="atLeast"/>
        </w:trPr>
        <w:tc>
          <w:tcPr>
            <w:tcW w:w="470" w:type="dxa"/>
            <w:tcBorders>
              <w:right w:val="single" w:sz="4" w:space="0" w:color="000000"/>
            </w:tcBorders>
          </w:tcPr>
          <w:p>
            <w:pPr>
              <w:pStyle w:val="TableParagraph"/>
              <w:spacing w:before="37"/>
              <w:ind w:left="119"/>
              <w:rPr>
                <w:sz w:val="20"/>
              </w:rPr>
            </w:pPr>
            <w:r>
              <w:rPr>
                <w:spacing w:val="-10"/>
                <w:sz w:val="20"/>
              </w:rPr>
              <w:t>4</w:t>
            </w:r>
          </w:p>
        </w:tc>
        <w:tc>
          <w:tcPr>
            <w:tcW w:w="4442" w:type="dxa"/>
            <w:tcBorders>
              <w:left w:val="single" w:sz="4" w:space="0" w:color="000000"/>
              <w:right w:val="single" w:sz="4" w:space="0" w:color="000000"/>
            </w:tcBorders>
          </w:tcPr>
          <w:p>
            <w:pPr>
              <w:pStyle w:val="TableParagraph"/>
              <w:spacing w:line="249" w:lineRule="auto" w:before="37"/>
              <w:ind w:left="118" w:right="116"/>
              <w:jc w:val="both"/>
              <w:rPr>
                <w:b/>
                <w:sz w:val="20"/>
              </w:rPr>
            </w:pPr>
            <w:r>
              <w:rPr>
                <w:b/>
                <w:sz w:val="20"/>
              </w:rPr>
              <w:t>Soil water pre-Harvest [74–101 mm] AND </w:t>
            </w:r>
            <w:r>
              <w:rPr>
                <w:b/>
                <w:sz w:val="20"/>
              </w:rPr>
              <w:t>Wet </w:t>
            </w:r>
            <w:r>
              <w:rPr>
                <w:b/>
                <w:spacing w:val="-2"/>
                <w:sz w:val="20"/>
              </w:rPr>
              <w:t>days</w:t>
            </w:r>
            <w:r>
              <w:rPr>
                <w:b/>
                <w:spacing w:val="-9"/>
                <w:sz w:val="20"/>
              </w:rPr>
              <w:t> </w:t>
            </w:r>
            <w:r>
              <w:rPr>
                <w:b/>
                <w:spacing w:val="-2"/>
                <w:sz w:val="20"/>
              </w:rPr>
              <w:t>post-Harvest</w:t>
            </w:r>
            <w:r>
              <w:rPr>
                <w:b/>
                <w:spacing w:val="-9"/>
                <w:sz w:val="20"/>
              </w:rPr>
              <w:t> </w:t>
            </w:r>
            <w:r>
              <w:rPr>
                <w:b/>
                <w:spacing w:val="-2"/>
                <w:sz w:val="20"/>
              </w:rPr>
              <w:t>prev.yr</w:t>
            </w:r>
            <w:r>
              <w:rPr>
                <w:b/>
                <w:spacing w:val="-9"/>
                <w:sz w:val="20"/>
              </w:rPr>
              <w:t> </w:t>
            </w:r>
            <w:r>
              <w:rPr>
                <w:b/>
                <w:spacing w:val="-2"/>
                <w:sz w:val="20"/>
              </w:rPr>
              <w:t>[0–2.3d]</w:t>
            </w:r>
            <w:r>
              <w:rPr>
                <w:b/>
                <w:spacing w:val="-9"/>
                <w:sz w:val="20"/>
              </w:rPr>
              <w:t> </w:t>
            </w:r>
            <w:r>
              <w:rPr>
                <w:b/>
                <w:spacing w:val="-2"/>
                <w:sz w:val="20"/>
              </w:rPr>
              <w:t>AND</w:t>
            </w:r>
            <w:r>
              <w:rPr>
                <w:b/>
                <w:spacing w:val="-9"/>
                <w:sz w:val="20"/>
              </w:rPr>
              <w:t> </w:t>
            </w:r>
            <w:r>
              <w:rPr>
                <w:b/>
                <w:spacing w:val="-2"/>
                <w:sz w:val="20"/>
              </w:rPr>
              <w:t>Wet</w:t>
            </w:r>
            <w:r>
              <w:rPr>
                <w:b/>
                <w:spacing w:val="-9"/>
                <w:sz w:val="20"/>
              </w:rPr>
              <w:t> </w:t>
            </w:r>
            <w:r>
              <w:rPr>
                <w:b/>
                <w:spacing w:val="-2"/>
                <w:sz w:val="20"/>
              </w:rPr>
              <w:t>days </w:t>
            </w:r>
            <w:r>
              <w:rPr>
                <w:b/>
                <w:sz w:val="20"/>
              </w:rPr>
              <w:t>post-Maturity [0–3.5d]</w:t>
            </w:r>
          </w:p>
          <w:p>
            <w:pPr>
              <w:pStyle w:val="TableParagraph"/>
              <w:spacing w:line="249" w:lineRule="auto" w:before="0"/>
              <w:ind w:left="118" w:right="83" w:hanging="9"/>
              <w:jc w:val="both"/>
              <w:rPr>
                <w:i/>
                <w:sz w:val="20"/>
              </w:rPr>
            </w:pPr>
            <w:r>
              <w:rPr>
                <w:i/>
                <w:sz w:val="20"/>
              </w:rPr>
              <w:t>Multi-year rule: moderate soil water stress with dry</w:t>
            </w:r>
            <w:r>
              <w:rPr>
                <w:i/>
                <w:sz w:val="20"/>
              </w:rPr>
              <w:t> previous-year</w:t>
            </w:r>
            <w:r>
              <w:rPr>
                <w:i/>
                <w:spacing w:val="-13"/>
                <w:sz w:val="20"/>
              </w:rPr>
              <w:t> </w:t>
            </w:r>
            <w:r>
              <w:rPr>
                <w:i/>
                <w:sz w:val="20"/>
              </w:rPr>
              <w:t>post-harvest</w:t>
            </w:r>
            <w:r>
              <w:rPr>
                <w:i/>
                <w:spacing w:val="-12"/>
                <w:sz w:val="20"/>
              </w:rPr>
              <w:t> </w:t>
            </w:r>
            <w:r>
              <w:rPr>
                <w:i/>
                <w:sz w:val="20"/>
              </w:rPr>
              <w:t>window</w:t>
            </w:r>
            <w:r>
              <w:rPr>
                <w:i/>
                <w:spacing w:val="-13"/>
                <w:sz w:val="20"/>
              </w:rPr>
              <w:t> </w:t>
            </w:r>
            <w:r>
              <w:rPr>
                <w:i/>
                <w:sz w:val="20"/>
              </w:rPr>
              <w:t>captures</w:t>
            </w:r>
            <w:r>
              <w:rPr>
                <w:i/>
                <w:spacing w:val="-12"/>
                <w:sz w:val="20"/>
              </w:rPr>
              <w:t> </w:t>
            </w:r>
            <w:r>
              <w:rPr>
                <w:i/>
                <w:sz w:val="20"/>
              </w:rPr>
              <w:t>a</w:t>
            </w:r>
            <w:r>
              <w:rPr>
                <w:i/>
                <w:spacing w:val="-13"/>
                <w:sz w:val="20"/>
              </w:rPr>
              <w:t> </w:t>
            </w:r>
            <w:r>
              <w:rPr>
                <w:i/>
                <w:sz w:val="20"/>
              </w:rPr>
              <w:t>carry-over vine reserve mechanism.</w:t>
            </w:r>
          </w:p>
        </w:tc>
        <w:tc>
          <w:tcPr>
            <w:tcW w:w="757" w:type="dxa"/>
            <w:tcBorders>
              <w:left w:val="single" w:sz="4" w:space="0" w:color="000000"/>
              <w:right w:val="single" w:sz="4" w:space="0" w:color="000000"/>
            </w:tcBorders>
          </w:tcPr>
          <w:p>
            <w:pPr>
              <w:pStyle w:val="TableParagraph"/>
              <w:spacing w:before="56"/>
              <w:ind w:left="85"/>
              <w:jc w:val="center"/>
              <w:rPr>
                <w:sz w:val="18"/>
              </w:rPr>
            </w:pPr>
            <w:r>
              <w:rPr>
                <w:spacing w:val="-4"/>
                <w:sz w:val="18"/>
              </w:rPr>
              <w:t>ABOVE</w:t>
            </w:r>
          </w:p>
        </w:tc>
        <w:tc>
          <w:tcPr>
            <w:tcW w:w="984" w:type="dxa"/>
            <w:tcBorders>
              <w:left w:val="single" w:sz="4" w:space="0" w:color="000000"/>
              <w:right w:val="single" w:sz="4" w:space="0" w:color="000000"/>
            </w:tcBorders>
          </w:tcPr>
          <w:p>
            <w:pPr>
              <w:pStyle w:val="TableParagraph"/>
              <w:spacing w:before="37"/>
              <w:ind w:left="118"/>
              <w:rPr>
                <w:sz w:val="20"/>
              </w:rPr>
            </w:pPr>
            <w:r>
              <w:rPr>
                <w:spacing w:val="-4"/>
                <w:sz w:val="20"/>
              </w:rPr>
              <w:t>+192</w:t>
            </w:r>
          </w:p>
        </w:tc>
        <w:tc>
          <w:tcPr>
            <w:tcW w:w="927" w:type="dxa"/>
            <w:tcBorders>
              <w:left w:val="single" w:sz="4" w:space="0" w:color="000000"/>
              <w:right w:val="single" w:sz="4" w:space="0" w:color="000000"/>
            </w:tcBorders>
          </w:tcPr>
          <w:p>
            <w:pPr>
              <w:pStyle w:val="TableParagraph"/>
              <w:spacing w:before="37"/>
              <w:ind w:left="118"/>
              <w:rPr>
                <w:sz w:val="20"/>
              </w:rPr>
            </w:pPr>
            <w:r>
              <w:rPr>
                <w:spacing w:val="-2"/>
                <w:sz w:val="20"/>
              </w:rPr>
              <w:t>21.3%</w:t>
            </w:r>
          </w:p>
        </w:tc>
        <w:tc>
          <w:tcPr>
            <w:tcW w:w="923" w:type="dxa"/>
            <w:tcBorders>
              <w:left w:val="single" w:sz="4" w:space="0" w:color="000000"/>
            </w:tcBorders>
          </w:tcPr>
          <w:p>
            <w:pPr>
              <w:pStyle w:val="TableParagraph"/>
              <w:spacing w:before="37"/>
              <w:ind w:right="129"/>
              <w:jc w:val="center"/>
              <w:rPr>
                <w:sz w:val="20"/>
              </w:rPr>
            </w:pPr>
            <w:r>
              <w:rPr>
                <w:spacing w:val="-2"/>
                <w:sz w:val="20"/>
              </w:rPr>
              <w:t>0.0095</w:t>
            </w:r>
          </w:p>
        </w:tc>
      </w:tr>
      <w:tr>
        <w:trPr>
          <w:trHeight w:val="1070" w:hRule="atLeast"/>
        </w:trPr>
        <w:tc>
          <w:tcPr>
            <w:tcW w:w="470" w:type="dxa"/>
            <w:tcBorders>
              <w:bottom w:val="single" w:sz="8" w:space="0" w:color="000000"/>
              <w:right w:val="single" w:sz="4" w:space="0" w:color="000000"/>
            </w:tcBorders>
          </w:tcPr>
          <w:p>
            <w:pPr>
              <w:pStyle w:val="TableParagraph"/>
              <w:spacing w:before="37"/>
              <w:ind w:left="119"/>
              <w:rPr>
                <w:sz w:val="20"/>
              </w:rPr>
            </w:pPr>
            <w:r>
              <w:rPr>
                <w:spacing w:val="-10"/>
                <w:sz w:val="20"/>
              </w:rPr>
              <w:t>5</w:t>
            </w:r>
          </w:p>
        </w:tc>
        <w:tc>
          <w:tcPr>
            <w:tcW w:w="4442" w:type="dxa"/>
            <w:tcBorders>
              <w:left w:val="single" w:sz="4" w:space="0" w:color="000000"/>
              <w:bottom w:val="single" w:sz="8" w:space="0" w:color="000000"/>
              <w:right w:val="single" w:sz="4" w:space="0" w:color="000000"/>
            </w:tcBorders>
          </w:tcPr>
          <w:p>
            <w:pPr>
              <w:pStyle w:val="TableParagraph"/>
              <w:spacing w:line="249" w:lineRule="auto" w:before="37"/>
              <w:ind w:left="118" w:right="116"/>
              <w:rPr>
                <w:b/>
                <w:sz w:val="20"/>
              </w:rPr>
            </w:pPr>
            <w:r>
              <w:rPr>
                <w:b/>
                <w:sz w:val="20"/>
              </w:rPr>
              <w:t>Wet</w:t>
            </w:r>
            <w:r>
              <w:rPr>
                <w:b/>
                <w:spacing w:val="-13"/>
                <w:sz w:val="20"/>
              </w:rPr>
              <w:t> </w:t>
            </w:r>
            <w:r>
              <w:rPr>
                <w:b/>
                <w:sz w:val="20"/>
              </w:rPr>
              <w:t>days</w:t>
            </w:r>
            <w:r>
              <w:rPr>
                <w:b/>
                <w:spacing w:val="-12"/>
                <w:sz w:val="20"/>
              </w:rPr>
              <w:t> </w:t>
            </w:r>
            <w:r>
              <w:rPr>
                <w:b/>
                <w:sz w:val="20"/>
              </w:rPr>
              <w:t>post-Flowering</w:t>
            </w:r>
            <w:r>
              <w:rPr>
                <w:b/>
                <w:spacing w:val="-13"/>
                <w:sz w:val="20"/>
              </w:rPr>
              <w:t> </w:t>
            </w:r>
            <w:r>
              <w:rPr>
                <w:b/>
                <w:sz w:val="20"/>
              </w:rPr>
              <w:t>[0–3.3d]</w:t>
            </w:r>
            <w:r>
              <w:rPr>
                <w:b/>
                <w:spacing w:val="-12"/>
                <w:sz w:val="20"/>
              </w:rPr>
              <w:t> </w:t>
            </w:r>
            <w:r>
              <w:rPr>
                <w:b/>
                <w:sz w:val="20"/>
              </w:rPr>
              <w:t>AND</w:t>
            </w:r>
            <w:r>
              <w:rPr>
                <w:b/>
                <w:spacing w:val="-13"/>
                <w:sz w:val="20"/>
              </w:rPr>
              <w:t> </w:t>
            </w:r>
            <w:r>
              <w:rPr>
                <w:b/>
                <w:sz w:val="20"/>
              </w:rPr>
              <w:t>Heat</w:t>
            </w:r>
            <w:r>
              <w:rPr>
                <w:b/>
                <w:spacing w:val="-12"/>
                <w:sz w:val="20"/>
              </w:rPr>
              <w:t> </w:t>
            </w:r>
            <w:r>
              <w:rPr>
                <w:b/>
                <w:sz w:val="20"/>
              </w:rPr>
              <w:t>days pre-Maturity [0–3.7d]</w:t>
            </w:r>
          </w:p>
          <w:p>
            <w:pPr>
              <w:pStyle w:val="TableParagraph"/>
              <w:spacing w:line="249" w:lineRule="auto" w:before="0"/>
              <w:ind w:left="40" w:firstLine="70"/>
              <w:rPr>
                <w:i/>
                <w:sz w:val="20"/>
              </w:rPr>
            </w:pPr>
            <w:r>
              <w:rPr>
                <w:i/>
                <w:sz w:val="20"/>
              </w:rPr>
              <w:t>Dry</w:t>
            </w:r>
            <w:r>
              <w:rPr>
                <w:i/>
                <w:spacing w:val="-12"/>
                <w:sz w:val="20"/>
              </w:rPr>
              <w:t> </w:t>
            </w:r>
            <w:r>
              <w:rPr>
                <w:i/>
                <w:sz w:val="20"/>
              </w:rPr>
              <w:t>flowering</w:t>
            </w:r>
            <w:r>
              <w:rPr>
                <w:i/>
                <w:spacing w:val="-13"/>
                <w:sz w:val="20"/>
              </w:rPr>
              <w:t> </w:t>
            </w:r>
            <w:r>
              <w:rPr>
                <w:i/>
                <w:sz w:val="20"/>
              </w:rPr>
              <w:t>with</w:t>
            </w:r>
            <w:r>
              <w:rPr>
                <w:i/>
                <w:spacing w:val="-12"/>
                <w:sz w:val="20"/>
              </w:rPr>
              <w:t> </w:t>
            </w:r>
            <w:r>
              <w:rPr>
                <w:i/>
                <w:sz w:val="20"/>
              </w:rPr>
              <w:t>bounded</w:t>
            </w:r>
            <w:r>
              <w:rPr>
                <w:i/>
                <w:spacing w:val="-12"/>
                <w:sz w:val="20"/>
              </w:rPr>
              <w:t> </w:t>
            </w:r>
            <w:r>
              <w:rPr>
                <w:i/>
                <w:sz w:val="20"/>
              </w:rPr>
              <w:t>pre-veraison</w:t>
            </w:r>
            <w:r>
              <w:rPr>
                <w:i/>
                <w:spacing w:val="-12"/>
                <w:sz w:val="20"/>
              </w:rPr>
              <w:t> </w:t>
            </w:r>
            <w:r>
              <w:rPr>
                <w:i/>
                <w:sz w:val="20"/>
              </w:rPr>
              <w:t>heat</w:t>
            </w:r>
            <w:r>
              <w:rPr>
                <w:i/>
                <w:spacing w:val="-12"/>
                <w:sz w:val="20"/>
              </w:rPr>
              <w:t> </w:t>
            </w:r>
            <w:r>
              <w:rPr>
                <w:i/>
                <w:sz w:val="20"/>
              </w:rPr>
              <w:t>—</w:t>
            </w:r>
            <w:r>
              <w:rPr>
                <w:i/>
                <w:spacing w:val="-13"/>
                <w:sz w:val="20"/>
              </w:rPr>
              <w:t> </w:t>
            </w:r>
            <w:r>
              <w:rPr>
                <w:i/>
                <w:sz w:val="20"/>
              </w:rPr>
              <w:t>the</w:t>
            </w:r>
            <w:r>
              <w:rPr>
                <w:i/>
                <w:sz w:val="20"/>
              </w:rPr>
              <w:t> “warm but not extreme” pattern.</w:t>
            </w:r>
          </w:p>
        </w:tc>
        <w:tc>
          <w:tcPr>
            <w:tcW w:w="757" w:type="dxa"/>
            <w:tcBorders>
              <w:left w:val="single" w:sz="4" w:space="0" w:color="000000"/>
              <w:bottom w:val="single" w:sz="8" w:space="0" w:color="000000"/>
              <w:right w:val="single" w:sz="4" w:space="0" w:color="000000"/>
            </w:tcBorders>
          </w:tcPr>
          <w:p>
            <w:pPr>
              <w:pStyle w:val="TableParagraph"/>
              <w:spacing w:before="56"/>
              <w:ind w:left="85"/>
              <w:jc w:val="center"/>
              <w:rPr>
                <w:sz w:val="18"/>
              </w:rPr>
            </w:pPr>
            <w:r>
              <w:rPr>
                <w:spacing w:val="-4"/>
                <w:sz w:val="18"/>
              </w:rPr>
              <w:t>ABOVE</w:t>
            </w:r>
          </w:p>
        </w:tc>
        <w:tc>
          <w:tcPr>
            <w:tcW w:w="984" w:type="dxa"/>
            <w:tcBorders>
              <w:left w:val="single" w:sz="4" w:space="0" w:color="000000"/>
              <w:bottom w:val="single" w:sz="8" w:space="0" w:color="000000"/>
              <w:right w:val="single" w:sz="4" w:space="0" w:color="000000"/>
            </w:tcBorders>
          </w:tcPr>
          <w:p>
            <w:pPr>
              <w:pStyle w:val="TableParagraph"/>
              <w:spacing w:before="37"/>
              <w:ind w:left="118"/>
              <w:rPr>
                <w:sz w:val="20"/>
              </w:rPr>
            </w:pPr>
            <w:r>
              <w:rPr>
                <w:spacing w:val="-4"/>
                <w:sz w:val="20"/>
              </w:rPr>
              <w:t>+115</w:t>
            </w:r>
          </w:p>
        </w:tc>
        <w:tc>
          <w:tcPr>
            <w:tcW w:w="927" w:type="dxa"/>
            <w:tcBorders>
              <w:left w:val="single" w:sz="4" w:space="0" w:color="000000"/>
              <w:bottom w:val="single" w:sz="8" w:space="0" w:color="000000"/>
              <w:right w:val="single" w:sz="4" w:space="0" w:color="000000"/>
            </w:tcBorders>
          </w:tcPr>
          <w:p>
            <w:pPr>
              <w:pStyle w:val="TableParagraph"/>
              <w:spacing w:before="37"/>
              <w:ind w:left="118"/>
              <w:rPr>
                <w:sz w:val="20"/>
              </w:rPr>
            </w:pPr>
            <w:r>
              <w:rPr>
                <w:spacing w:val="-2"/>
                <w:sz w:val="20"/>
              </w:rPr>
              <w:t>24.7%</w:t>
            </w:r>
          </w:p>
        </w:tc>
        <w:tc>
          <w:tcPr>
            <w:tcW w:w="923" w:type="dxa"/>
            <w:tcBorders>
              <w:left w:val="single" w:sz="4" w:space="0" w:color="000000"/>
              <w:bottom w:val="single" w:sz="8" w:space="0" w:color="000000"/>
            </w:tcBorders>
          </w:tcPr>
          <w:p>
            <w:pPr>
              <w:pStyle w:val="TableParagraph"/>
              <w:spacing w:before="37"/>
              <w:ind w:right="129"/>
              <w:jc w:val="center"/>
              <w:rPr>
                <w:sz w:val="20"/>
              </w:rPr>
            </w:pPr>
            <w:r>
              <w:rPr>
                <w:spacing w:val="-2"/>
                <w:sz w:val="20"/>
              </w:rPr>
              <w:t>0.0110</w:t>
            </w:r>
          </w:p>
        </w:tc>
      </w:tr>
    </w:tbl>
    <w:p>
      <w:pPr>
        <w:pStyle w:val="BodyText"/>
        <w:spacing w:before="223"/>
        <w:rPr>
          <w:sz w:val="20"/>
        </w:rPr>
      </w:pPr>
    </w:p>
    <w:p>
      <w:pPr>
        <w:pStyle w:val="BodyText"/>
        <w:spacing w:line="312" w:lineRule="auto"/>
        <w:ind w:left="142" w:right="1531"/>
        <w:jc w:val="both"/>
      </w:pPr>
      <w:r>
        <w:rPr>
          <w:spacing w:val="-2"/>
        </w:rPr>
        <w:t>one</w:t>
      </w:r>
      <w:r>
        <w:rPr>
          <w:spacing w:val="-5"/>
        </w:rPr>
        <w:t> </w:t>
      </w:r>
      <w:r>
        <w:rPr>
          <w:spacing w:val="-2"/>
        </w:rPr>
        <w:t>in</w:t>
      </w:r>
      <w:r>
        <w:rPr>
          <w:spacing w:val="-5"/>
        </w:rPr>
        <w:t> </w:t>
      </w:r>
      <w:r>
        <w:rPr>
          <w:spacing w:val="-2"/>
        </w:rPr>
        <w:t>four</w:t>
      </w:r>
      <w:r>
        <w:rPr>
          <w:spacing w:val="-5"/>
        </w:rPr>
        <w:t> </w:t>
      </w:r>
      <w:r>
        <w:rPr>
          <w:spacing w:val="-2"/>
        </w:rPr>
        <w:t>years</w:t>
      </w:r>
      <w:r>
        <w:rPr>
          <w:spacing w:val="-5"/>
        </w:rPr>
        <w:t> </w:t>
      </w:r>
      <w:r>
        <w:rPr>
          <w:spacing w:val="-2"/>
        </w:rPr>
        <w:t>in</w:t>
      </w:r>
      <w:r>
        <w:rPr>
          <w:spacing w:val="-5"/>
        </w:rPr>
        <w:t> </w:t>
      </w:r>
      <w:r>
        <w:rPr>
          <w:spacing w:val="-2"/>
        </w:rPr>
        <w:t>the</w:t>
      </w:r>
      <w:r>
        <w:rPr>
          <w:spacing w:val="-5"/>
        </w:rPr>
        <w:t> </w:t>
      </w:r>
      <w:r>
        <w:rPr>
          <w:spacing w:val="-2"/>
        </w:rPr>
        <w:t>historical</w:t>
      </w:r>
      <w:r>
        <w:rPr>
          <w:spacing w:val="-5"/>
        </w:rPr>
        <w:t> </w:t>
      </w:r>
      <w:r>
        <w:rPr>
          <w:spacing w:val="-2"/>
        </w:rPr>
        <w:t>record,</w:t>
      </w:r>
      <w:r>
        <w:rPr>
          <w:spacing w:val="-5"/>
        </w:rPr>
        <w:t> </w:t>
      </w:r>
      <w:r>
        <w:rPr>
          <w:spacing w:val="-2"/>
        </w:rPr>
        <w:t>confirming</w:t>
      </w:r>
      <w:r>
        <w:rPr>
          <w:spacing w:val="-5"/>
        </w:rPr>
        <w:t> </w:t>
      </w:r>
      <w:r>
        <w:rPr>
          <w:spacing w:val="-2"/>
        </w:rPr>
        <w:t>it</w:t>
      </w:r>
      <w:r>
        <w:rPr>
          <w:spacing w:val="-5"/>
        </w:rPr>
        <w:t> </w:t>
      </w:r>
      <w:r>
        <w:rPr>
          <w:spacing w:val="-2"/>
        </w:rPr>
        <w:t>describes</w:t>
      </w:r>
      <w:r>
        <w:rPr>
          <w:spacing w:val="-5"/>
        </w:rPr>
        <w:t> </w:t>
      </w:r>
      <w:r>
        <w:rPr>
          <w:spacing w:val="-2"/>
        </w:rPr>
        <w:t>a</w:t>
      </w:r>
      <w:r>
        <w:rPr>
          <w:spacing w:val="-5"/>
        </w:rPr>
        <w:t> </w:t>
      </w:r>
      <w:r>
        <w:rPr>
          <w:spacing w:val="-2"/>
        </w:rPr>
        <w:t>recurrent</w:t>
      </w:r>
      <w:r>
        <w:rPr>
          <w:spacing w:val="-5"/>
        </w:rPr>
        <w:t> </w:t>
      </w:r>
      <w:r>
        <w:rPr>
          <w:spacing w:val="-2"/>
        </w:rPr>
        <w:t>rather</w:t>
      </w:r>
      <w:r>
        <w:rPr>
          <w:spacing w:val="-5"/>
        </w:rPr>
        <w:t> </w:t>
      </w:r>
      <w:r>
        <w:rPr>
          <w:spacing w:val="-2"/>
        </w:rPr>
        <w:t>than</w:t>
      </w:r>
      <w:r>
        <w:rPr>
          <w:spacing w:val="-5"/>
        </w:rPr>
        <w:t> </w:t>
      </w:r>
      <w:r>
        <w:rPr>
          <w:spacing w:val="-2"/>
        </w:rPr>
        <w:t>exceptional </w:t>
      </w:r>
      <w:r>
        <w:rPr/>
        <w:t>pattern. Rule</w:t>
      </w:r>
      <w:r>
        <w:rPr>
          <w:spacing w:val="-4"/>
        </w:rPr>
        <w:t> </w:t>
      </w:r>
      <w:r>
        <w:rPr/>
        <w:t>4</w:t>
      </w:r>
      <w:r>
        <w:rPr>
          <w:spacing w:val="-4"/>
        </w:rPr>
        <w:t> </w:t>
      </w:r>
      <w:r>
        <w:rPr/>
        <w:t>produces</w:t>
      </w:r>
      <w:r>
        <w:rPr>
          <w:spacing w:val="-4"/>
        </w:rPr>
        <w:t> </w:t>
      </w:r>
      <w:r>
        <w:rPr/>
        <w:t>the</w:t>
      </w:r>
      <w:r>
        <w:rPr>
          <w:spacing w:val="-4"/>
        </w:rPr>
        <w:t> </w:t>
      </w:r>
      <w:r>
        <w:rPr/>
        <w:t>largest</w:t>
      </w:r>
      <w:r>
        <w:rPr>
          <w:spacing w:val="-4"/>
        </w:rPr>
        <w:t> </w:t>
      </w:r>
      <w:r>
        <w:rPr/>
        <w:t>above-trend</w:t>
      </w:r>
      <w:r>
        <w:rPr>
          <w:spacing w:val="-4"/>
        </w:rPr>
        <w:t> </w:t>
      </w:r>
      <w:r>
        <w:rPr/>
        <w:t>shift</w:t>
      </w:r>
      <w:r>
        <w:rPr>
          <w:spacing w:val="-4"/>
        </w:rPr>
        <w:t> </w:t>
      </w:r>
      <w:r>
        <w:rPr/>
        <w:t>in</w:t>
      </w:r>
      <w:r>
        <w:rPr>
          <w:spacing w:val="-4"/>
        </w:rPr>
        <w:t> </w:t>
      </w:r>
      <w:r>
        <w:rPr/>
        <w:t>the</w:t>
      </w:r>
      <w:r>
        <w:rPr>
          <w:spacing w:val="-4"/>
        </w:rPr>
        <w:t> </w:t>
      </w:r>
      <w:r>
        <w:rPr/>
        <w:t>RDD</w:t>
      </w:r>
      <w:r>
        <w:rPr>
          <w:spacing w:val="-4"/>
        </w:rPr>
        <w:t> </w:t>
      </w:r>
      <w:r>
        <w:rPr/>
        <w:t>set</w:t>
      </w:r>
      <w:r>
        <w:rPr>
          <w:spacing w:val="-4"/>
        </w:rPr>
        <w:t> </w:t>
      </w:r>
      <w:r>
        <w:rPr/>
        <w:t>(+192</w:t>
      </w:r>
      <w:r>
        <w:rPr>
          <w:spacing w:val="-4"/>
        </w:rPr>
        <w:t> </w:t>
      </w:r>
      <w:r>
        <w:rPr/>
        <w:t>mhl,</w:t>
      </w:r>
      <w:r>
        <w:rPr>
          <w:spacing w:val="-4"/>
        </w:rPr>
        <w:t> </w:t>
      </w:r>
      <w:r>
        <w:rPr/>
        <w:t>support</w:t>
      </w:r>
      <w:r>
        <w:rPr>
          <w:spacing w:val="-4"/>
        </w:rPr>
        <w:t> </w:t>
      </w:r>
      <w:r>
        <w:rPr/>
        <w:t>21.3%), </w:t>
      </w:r>
      <w:r>
        <w:rPr>
          <w:spacing w:val="-2"/>
        </w:rPr>
        <w:t>combining</w:t>
      </w:r>
      <w:r>
        <w:rPr>
          <w:spacing w:val="-4"/>
        </w:rPr>
        <w:t> </w:t>
      </w:r>
      <w:r>
        <w:rPr>
          <w:spacing w:val="-2"/>
        </w:rPr>
        <w:t>moderate</w:t>
      </w:r>
      <w:r>
        <w:rPr>
          <w:spacing w:val="-4"/>
        </w:rPr>
        <w:t> </w:t>
      </w:r>
      <w:r>
        <w:rPr>
          <w:spacing w:val="-2"/>
        </w:rPr>
        <w:t>pre-harvest</w:t>
      </w:r>
      <w:r>
        <w:rPr>
          <w:spacing w:val="-4"/>
        </w:rPr>
        <w:t> </w:t>
      </w:r>
      <w:r>
        <w:rPr>
          <w:spacing w:val="-2"/>
        </w:rPr>
        <w:t>soil</w:t>
      </w:r>
      <w:r>
        <w:rPr>
          <w:spacing w:val="-4"/>
        </w:rPr>
        <w:t> </w:t>
      </w:r>
      <w:r>
        <w:rPr>
          <w:spacing w:val="-2"/>
        </w:rPr>
        <w:t>water</w:t>
      </w:r>
      <w:r>
        <w:rPr>
          <w:spacing w:val="-4"/>
        </w:rPr>
        <w:t> </w:t>
      </w:r>
      <w:r>
        <w:rPr>
          <w:spacing w:val="-2"/>
        </w:rPr>
        <w:t>with</w:t>
      </w:r>
      <w:r>
        <w:rPr>
          <w:spacing w:val="-4"/>
        </w:rPr>
        <w:t> </w:t>
      </w:r>
      <w:r>
        <w:rPr>
          <w:spacing w:val="-2"/>
        </w:rPr>
        <w:t>dry</w:t>
      </w:r>
      <w:r>
        <w:rPr>
          <w:spacing w:val="-4"/>
        </w:rPr>
        <w:t> </w:t>
      </w:r>
      <w:r>
        <w:rPr>
          <w:spacing w:val="-2"/>
        </w:rPr>
        <w:t>post-harvest</w:t>
      </w:r>
      <w:r>
        <w:rPr>
          <w:spacing w:val="-4"/>
        </w:rPr>
        <w:t> </w:t>
      </w:r>
      <w:r>
        <w:rPr>
          <w:spacing w:val="-2"/>
        </w:rPr>
        <w:t>conditions</w:t>
      </w:r>
      <w:r>
        <w:rPr>
          <w:spacing w:val="-4"/>
        </w:rPr>
        <w:t> </w:t>
      </w:r>
      <w:r>
        <w:rPr>
          <w:spacing w:val="-2"/>
        </w:rPr>
        <w:t>across</w:t>
      </w:r>
      <w:r>
        <w:rPr>
          <w:spacing w:val="-4"/>
        </w:rPr>
        <w:t> </w:t>
      </w:r>
      <w:r>
        <w:rPr>
          <w:spacing w:val="-2"/>
        </w:rPr>
        <w:t>two</w:t>
      </w:r>
      <w:r>
        <w:rPr>
          <w:spacing w:val="-4"/>
        </w:rPr>
        <w:t> </w:t>
      </w:r>
      <w:r>
        <w:rPr>
          <w:spacing w:val="-2"/>
        </w:rPr>
        <w:t>years;</w:t>
      </w:r>
      <w:r>
        <w:rPr>
          <w:spacing w:val="-4"/>
        </w:rPr>
        <w:t> </w:t>
      </w:r>
      <w:r>
        <w:rPr>
          <w:spacing w:val="-2"/>
        </w:rPr>
        <w:t>Rule </w:t>
      </w:r>
      <w:r>
        <w:rPr/>
        <w:t>2</w:t>
      </w:r>
      <w:r>
        <w:rPr>
          <w:spacing w:val="-12"/>
        </w:rPr>
        <w:t> </w:t>
      </w:r>
      <w:r>
        <w:rPr/>
        <w:t>is</w:t>
      </w:r>
      <w:r>
        <w:rPr>
          <w:spacing w:val="-12"/>
        </w:rPr>
        <w:t> </w:t>
      </w:r>
      <w:r>
        <w:rPr/>
        <w:t>the</w:t>
      </w:r>
      <w:r>
        <w:rPr>
          <w:spacing w:val="-12"/>
        </w:rPr>
        <w:t> </w:t>
      </w:r>
      <w:r>
        <w:rPr/>
        <w:t>largest</w:t>
      </w:r>
      <w:r>
        <w:rPr>
          <w:spacing w:val="-12"/>
        </w:rPr>
        <w:t> </w:t>
      </w:r>
      <w:r>
        <w:rPr/>
        <w:t>below-trend</w:t>
      </w:r>
      <w:r>
        <w:rPr>
          <w:spacing w:val="-12"/>
        </w:rPr>
        <w:t> </w:t>
      </w:r>
      <w:r>
        <w:rPr/>
        <w:t>rule</w:t>
      </w:r>
      <w:r>
        <w:rPr>
          <w:spacing w:val="-12"/>
        </w:rPr>
        <w:t> </w:t>
      </w:r>
      <w:r>
        <w:rPr/>
        <w:t>(-131</w:t>
      </w:r>
      <w:r>
        <w:rPr>
          <w:spacing w:val="-12"/>
        </w:rPr>
        <w:t> </w:t>
      </w:r>
      <w:r>
        <w:rPr/>
        <w:t>mhl,</w:t>
      </w:r>
      <w:r>
        <w:rPr>
          <w:spacing w:val="-12"/>
        </w:rPr>
        <w:t> </w:t>
      </w:r>
      <w:r>
        <w:rPr/>
        <w:t>support</w:t>
      </w:r>
      <w:r>
        <w:rPr>
          <w:spacing w:val="-12"/>
        </w:rPr>
        <w:t> </w:t>
      </w:r>
      <w:r>
        <w:rPr/>
        <w:t>20.2%),</w:t>
      </w:r>
      <w:r>
        <w:rPr>
          <w:spacing w:val="-12"/>
        </w:rPr>
        <w:t> </w:t>
      </w:r>
      <w:r>
        <w:rPr/>
        <w:t>requiring</w:t>
      </w:r>
      <w:r>
        <w:rPr>
          <w:spacing w:val="-12"/>
        </w:rPr>
        <w:t> </w:t>
      </w:r>
      <w:r>
        <w:rPr/>
        <w:t>elevated</w:t>
      </w:r>
      <w:r>
        <w:rPr>
          <w:spacing w:val="-12"/>
        </w:rPr>
        <w:t> </w:t>
      </w:r>
      <w:r>
        <w:rPr/>
        <w:t>canopy</w:t>
      </w:r>
      <w:r>
        <w:rPr>
          <w:spacing w:val="-12"/>
        </w:rPr>
        <w:t> </w:t>
      </w:r>
      <w:r>
        <w:rPr/>
        <w:t>vigour</w:t>
      </w:r>
      <w:r>
        <w:rPr>
          <w:spacing w:val="-12"/>
        </w:rPr>
        <w:t> </w:t>
      </w:r>
      <w:r>
        <w:rPr/>
        <w:t>with high soil moisture at flowering.</w:t>
      </w:r>
    </w:p>
    <w:p>
      <w:pPr>
        <w:pStyle w:val="BodyText"/>
        <w:spacing w:before="147"/>
      </w:pPr>
    </w:p>
    <w:p>
      <w:pPr>
        <w:pStyle w:val="Heading3"/>
        <w:numPr>
          <w:ilvl w:val="2"/>
          <w:numId w:val="18"/>
        </w:numPr>
        <w:tabs>
          <w:tab w:pos="859" w:val="left" w:leader="none"/>
        </w:tabs>
        <w:spacing w:line="240" w:lineRule="auto" w:before="0" w:after="0"/>
        <w:ind w:left="859" w:right="0" w:hanging="717"/>
        <w:jc w:val="left"/>
      </w:pPr>
      <w:bookmarkStart w:name="4.1.2 Vinho Verde (RVV): Top 5 Rules" w:id="131"/>
      <w:bookmarkEnd w:id="131"/>
      <w:r>
        <w:rPr>
          <w:b w:val="0"/>
        </w:rPr>
      </w:r>
      <w:bookmarkStart w:name="_bookmark72" w:id="132"/>
      <w:bookmarkEnd w:id="132"/>
      <w:r>
        <w:rPr>
          <w:b w:val="0"/>
        </w:rPr>
      </w:r>
      <w:r>
        <w:rPr>
          <w:spacing w:val="-2"/>
        </w:rPr>
        <w:t>Vinho</w:t>
      </w:r>
      <w:r>
        <w:rPr>
          <w:spacing w:val="-12"/>
        </w:rPr>
        <w:t> </w:t>
      </w:r>
      <w:r>
        <w:rPr>
          <w:spacing w:val="-2"/>
        </w:rPr>
        <w:t>Verde</w:t>
      </w:r>
      <w:r>
        <w:rPr>
          <w:spacing w:val="-12"/>
        </w:rPr>
        <w:t> </w:t>
      </w:r>
      <w:r>
        <w:rPr>
          <w:spacing w:val="-2"/>
        </w:rPr>
        <w:t>(RVV):</w:t>
      </w:r>
      <w:r>
        <w:rPr>
          <w:spacing w:val="-12"/>
        </w:rPr>
        <w:t> </w:t>
      </w:r>
      <w:r>
        <w:rPr>
          <w:spacing w:val="-2"/>
        </w:rPr>
        <w:t>Top</w:t>
      </w:r>
      <w:r>
        <w:rPr>
          <w:spacing w:val="-12"/>
        </w:rPr>
        <w:t> </w:t>
      </w:r>
      <w:r>
        <w:rPr>
          <w:spacing w:val="-2"/>
        </w:rPr>
        <w:t>5</w:t>
      </w:r>
      <w:r>
        <w:rPr>
          <w:spacing w:val="-12"/>
        </w:rPr>
        <w:t> </w:t>
      </w:r>
      <w:r>
        <w:rPr>
          <w:spacing w:val="-2"/>
        </w:rPr>
        <w:t>Rules</w:t>
      </w:r>
    </w:p>
    <w:p>
      <w:pPr>
        <w:pStyle w:val="BodyText"/>
        <w:spacing w:line="312" w:lineRule="auto" w:before="249"/>
        <w:ind w:left="136" w:right="1549" w:firstLine="5"/>
        <w:jc w:val="both"/>
      </w:pPr>
      <w:r>
        <w:rPr/>
        <w:t>Key structural observations from the RVV rule set:</w:t>
      </w:r>
      <w:r>
        <w:rPr>
          <w:spacing w:val="40"/>
        </w:rPr>
        <w:t> </w:t>
      </w:r>
      <w:r>
        <w:rPr/>
        <w:t>(1) 16 of 20 rules point to BELOW-trend production, the inverse asymmetry from RDD. In a declining series, the majority of historically exceptional subgroups are years that fall below the already-declining trend.</w:t>
      </w:r>
      <w:r>
        <w:rPr>
          <w:spacing w:val="40"/>
        </w:rPr>
        <w:t> </w:t>
      </w:r>
      <w:r>
        <w:rPr/>
        <w:t>(2) Rule 4 (one of four</w:t>
      </w:r>
      <w:r>
        <w:rPr>
          <w:spacing w:val="-9"/>
        </w:rPr>
        <w:t> </w:t>
      </w:r>
      <w:r>
        <w:rPr/>
        <w:t>above-trend</w:t>
      </w:r>
      <w:r>
        <w:rPr>
          <w:spacing w:val="-9"/>
        </w:rPr>
        <w:t> </w:t>
      </w:r>
      <w:r>
        <w:rPr/>
        <w:t>rules,</w:t>
      </w:r>
      <w:r>
        <w:rPr>
          <w:spacing w:val="-9"/>
        </w:rPr>
        <w:t> </w:t>
      </w:r>
      <w:r>
        <w:rPr/>
        <w:t>+311</w:t>
      </w:r>
      <w:r>
        <w:rPr>
          <w:spacing w:val="-9"/>
        </w:rPr>
        <w:t> </w:t>
      </w:r>
      <w:r>
        <w:rPr/>
        <w:t>mhl,</w:t>
      </w:r>
      <w:r>
        <w:rPr>
          <w:spacing w:val="-9"/>
        </w:rPr>
        <w:t> </w:t>
      </w:r>
      <w:r>
        <w:rPr/>
        <w:t>support</w:t>
      </w:r>
      <w:r>
        <w:rPr>
          <w:spacing w:val="-9"/>
        </w:rPr>
        <w:t> </w:t>
      </w:r>
      <w:r>
        <w:rPr/>
        <w:t>25%)</w:t>
      </w:r>
      <w:r>
        <w:rPr>
          <w:spacing w:val="-9"/>
        </w:rPr>
        <w:t> </w:t>
      </w:r>
      <w:r>
        <w:rPr/>
        <w:t>represents</w:t>
      </w:r>
      <w:r>
        <w:rPr>
          <w:spacing w:val="-9"/>
        </w:rPr>
        <w:t> </w:t>
      </w:r>
      <w:r>
        <w:rPr/>
        <w:t>the</w:t>
      </w:r>
      <w:r>
        <w:rPr>
          <w:spacing w:val="-9"/>
        </w:rPr>
        <w:t> </w:t>
      </w:r>
      <w:r>
        <w:rPr/>
        <w:t>largest</w:t>
      </w:r>
      <w:r>
        <w:rPr>
          <w:spacing w:val="-9"/>
        </w:rPr>
        <w:t> </w:t>
      </w:r>
      <w:r>
        <w:rPr/>
        <w:t>absolute</w:t>
      </w:r>
      <w:r>
        <w:rPr>
          <w:spacing w:val="-9"/>
        </w:rPr>
        <w:t> </w:t>
      </w:r>
      <w:r>
        <w:rPr/>
        <w:t>distributional</w:t>
      </w:r>
      <w:r>
        <w:rPr>
          <w:spacing w:val="-9"/>
        </w:rPr>
        <w:t> </w:t>
      </w:r>
      <w:r>
        <w:rPr/>
        <w:t>shift in either region; CarenR has identified a well-defined subgroup corresponding to the best RVV vintages.</w:t>
      </w:r>
      <w:r>
        <w:rPr>
          <w:spacing w:val="40"/>
        </w:rPr>
        <w:t> </w:t>
      </w:r>
      <w:r>
        <w:rPr/>
        <w:t>(3)</w:t>
      </w:r>
      <w:r>
        <w:rPr>
          <w:spacing w:val="15"/>
        </w:rPr>
        <w:t> </w:t>
      </w:r>
      <w:r>
        <w:rPr/>
        <w:t>The</w:t>
      </w:r>
      <w:r>
        <w:rPr>
          <w:spacing w:val="15"/>
        </w:rPr>
        <w:t> </w:t>
      </w:r>
      <w:r>
        <w:rPr/>
        <w:t>LAI</w:t>
      </w:r>
      <w:r>
        <w:rPr>
          <w:spacing w:val="15"/>
        </w:rPr>
        <w:t> </w:t>
      </w:r>
      <w:r>
        <w:rPr/>
        <w:t>at</w:t>
      </w:r>
      <w:r>
        <w:rPr>
          <w:spacing w:val="15"/>
        </w:rPr>
        <w:t> </w:t>
      </w:r>
      <w:r>
        <w:rPr/>
        <w:t>harvest</w:t>
      </w:r>
      <w:r>
        <w:rPr>
          <w:spacing w:val="15"/>
        </w:rPr>
        <w:t> </w:t>
      </w:r>
      <w:r>
        <w:rPr/>
        <w:t>variable</w:t>
      </w:r>
      <w:r>
        <w:rPr>
          <w:spacing w:val="15"/>
        </w:rPr>
        <w:t> </w:t>
      </w:r>
      <w:r>
        <w:rPr/>
        <w:t>(iaf_hv_y1_c10)</w:t>
      </w:r>
      <w:r>
        <w:rPr>
          <w:spacing w:val="15"/>
        </w:rPr>
        <w:t> </w:t>
      </w:r>
      <w:r>
        <w:rPr/>
        <w:t>appears</w:t>
      </w:r>
      <w:r>
        <w:rPr>
          <w:spacing w:val="15"/>
        </w:rPr>
        <w:t> </w:t>
      </w:r>
      <w:r>
        <w:rPr/>
        <w:t>in</w:t>
      </w:r>
      <w:r>
        <w:rPr>
          <w:spacing w:val="15"/>
        </w:rPr>
        <w:t> </w:t>
      </w:r>
      <w:r>
        <w:rPr/>
        <w:t>rules</w:t>
      </w:r>
      <w:r>
        <w:rPr>
          <w:spacing w:val="15"/>
        </w:rPr>
        <w:t> </w:t>
      </w:r>
      <w:r>
        <w:rPr/>
        <w:t>6,</w:t>
      </w:r>
      <w:r>
        <w:rPr>
          <w:spacing w:val="19"/>
        </w:rPr>
        <w:t> </w:t>
      </w:r>
      <w:r>
        <w:rPr/>
        <w:t>7,</w:t>
      </w:r>
      <w:r>
        <w:rPr>
          <w:spacing w:val="18"/>
        </w:rPr>
        <w:t> </w:t>
      </w:r>
      <w:r>
        <w:rPr/>
        <w:t>9,</w:t>
      </w:r>
      <w:r>
        <w:rPr>
          <w:spacing w:val="19"/>
        </w:rPr>
        <w:t> </w:t>
      </w:r>
      <w:r>
        <w:rPr/>
        <w:t>and</w:t>
      </w:r>
      <w:r>
        <w:rPr>
          <w:spacing w:val="15"/>
        </w:rPr>
        <w:t> </w:t>
      </w:r>
      <w:r>
        <w:rPr/>
        <w:t>12</w:t>
      </w:r>
      <w:r>
        <w:rPr>
          <w:spacing w:val="15"/>
        </w:rPr>
        <w:t> </w:t>
      </w:r>
      <w:r>
        <w:rPr/>
        <w:t>but is absent from rules 1–5.</w:t>
      </w:r>
      <w:r>
        <w:rPr>
          <w:spacing w:val="39"/>
        </w:rPr>
        <w:t> </w:t>
      </w:r>
      <w:r>
        <w:rPr/>
        <w:t>Its delayed appearance (lower significance rank) despite its structural dominance across all 20 rules reflects that it tends to combine with other variables rather than appearing</w:t>
      </w:r>
      <w:r>
        <w:rPr>
          <w:spacing w:val="23"/>
        </w:rPr>
        <w:t> </w:t>
      </w:r>
      <w:r>
        <w:rPr/>
        <w:t>as</w:t>
      </w:r>
      <w:r>
        <w:rPr>
          <w:spacing w:val="23"/>
        </w:rPr>
        <w:t> </w:t>
      </w:r>
      <w:r>
        <w:rPr/>
        <w:t>a</w:t>
      </w:r>
      <w:r>
        <w:rPr>
          <w:spacing w:val="23"/>
        </w:rPr>
        <w:t> </w:t>
      </w:r>
      <w:r>
        <w:rPr/>
        <w:t>single</w:t>
      </w:r>
      <w:r>
        <w:rPr>
          <w:spacing w:val="23"/>
        </w:rPr>
        <w:t> </w:t>
      </w:r>
      <w:r>
        <w:rPr/>
        <w:t>strong</w:t>
      </w:r>
      <w:r>
        <w:rPr>
          <w:spacing w:val="23"/>
        </w:rPr>
        <w:t> </w:t>
      </w:r>
      <w:r>
        <w:rPr/>
        <w:t>condition</w:t>
      </w:r>
      <w:r>
        <w:rPr>
          <w:spacing w:val="23"/>
        </w:rPr>
        <w:t> </w:t>
      </w:r>
      <w:r>
        <w:rPr/>
        <w:t>in</w:t>
      </w:r>
      <w:r>
        <w:rPr>
          <w:spacing w:val="23"/>
        </w:rPr>
        <w:t> </w:t>
      </w:r>
      <w:r>
        <w:rPr/>
        <w:t>the</w:t>
      </w:r>
      <w:r>
        <w:rPr>
          <w:spacing w:val="23"/>
        </w:rPr>
        <w:t> </w:t>
      </w:r>
      <w:r>
        <w:rPr/>
        <w:t>most</w:t>
      </w:r>
      <w:r>
        <w:rPr>
          <w:spacing w:val="23"/>
        </w:rPr>
        <w:t> </w:t>
      </w:r>
      <w:r>
        <w:rPr/>
        <w:t>significant</w:t>
      </w:r>
      <w:r>
        <w:rPr>
          <w:spacing w:val="23"/>
        </w:rPr>
        <w:t> </w:t>
      </w:r>
      <w:r>
        <w:rPr/>
        <w:t>rules.</w:t>
      </w:r>
      <w:r>
        <w:rPr>
          <w:spacing w:val="53"/>
          <w:w w:val="150"/>
        </w:rPr>
        <w:t> </w:t>
      </w:r>
      <w:r>
        <w:rPr/>
        <w:t>This</w:t>
      </w:r>
      <w:r>
        <w:rPr>
          <w:spacing w:val="23"/>
        </w:rPr>
        <w:t> </w:t>
      </w:r>
      <w:r>
        <w:rPr/>
        <w:t>is</w:t>
      </w:r>
      <w:r>
        <w:rPr>
          <w:spacing w:val="23"/>
        </w:rPr>
        <w:t> </w:t>
      </w:r>
      <w:r>
        <w:rPr/>
        <w:t>a</w:t>
      </w:r>
      <w:r>
        <w:rPr>
          <w:spacing w:val="23"/>
        </w:rPr>
        <w:t> </w:t>
      </w:r>
      <w:r>
        <w:rPr/>
        <w:t>property</w:t>
      </w:r>
      <w:r>
        <w:rPr>
          <w:spacing w:val="23"/>
        </w:rPr>
        <w:t> </w:t>
      </w:r>
      <w:r>
        <w:rPr/>
        <w:t>of</w:t>
      </w:r>
      <w:r>
        <w:rPr>
          <w:spacing w:val="23"/>
        </w:rPr>
        <w:t> </w:t>
      </w:r>
      <w:r>
        <w:rPr>
          <w:spacing w:val="-5"/>
        </w:rPr>
        <w:t>the</w:t>
      </w:r>
    </w:p>
    <w:p>
      <w:pPr>
        <w:pStyle w:val="BodyText"/>
        <w:spacing w:after="0" w:line="312" w:lineRule="auto"/>
        <w:jc w:val="both"/>
        <w:sectPr>
          <w:headerReference w:type="even" r:id="rId64"/>
          <w:headerReference w:type="default" r:id="rId65"/>
          <w:pgSz w:w="11910" w:h="16840"/>
          <w:pgMar w:header="1160" w:footer="0" w:top="1420" w:bottom="280" w:left="1275" w:right="425"/>
          <w:pgNumType w:start="40"/>
        </w:sectPr>
      </w:pPr>
    </w:p>
    <w:p>
      <w:pPr>
        <w:pStyle w:val="BodyText"/>
        <w:rPr>
          <w:sz w:val="20"/>
        </w:rPr>
      </w:pPr>
    </w:p>
    <w:p>
      <w:pPr>
        <w:pStyle w:val="BodyText"/>
        <w:spacing w:before="38"/>
        <w:rPr>
          <w:sz w:val="20"/>
        </w:rPr>
      </w:pPr>
    </w:p>
    <w:p>
      <w:pPr>
        <w:spacing w:line="249" w:lineRule="auto" w:before="1"/>
        <w:ind w:left="709" w:right="990" w:hanging="7"/>
        <w:jc w:val="both"/>
        <w:rPr>
          <w:sz w:val="20"/>
        </w:rPr>
      </w:pPr>
      <w:bookmarkStart w:name="_bookmark73" w:id="133"/>
      <w:bookmarkEnd w:id="133"/>
      <w:r>
        <w:rPr/>
      </w:r>
      <w:r>
        <w:rPr>
          <w:b/>
          <w:sz w:val="20"/>
        </w:rPr>
        <w:t>Table</w:t>
      </w:r>
      <w:r>
        <w:rPr>
          <w:b/>
          <w:spacing w:val="-9"/>
          <w:sz w:val="20"/>
        </w:rPr>
        <w:t> </w:t>
      </w:r>
      <w:r>
        <w:rPr>
          <w:b/>
          <w:sz w:val="20"/>
        </w:rPr>
        <w:t>4.2: </w:t>
      </w:r>
      <w:r>
        <w:rPr>
          <w:sz w:val="20"/>
        </w:rPr>
        <w:t>Top</w:t>
      </w:r>
      <w:r>
        <w:rPr>
          <w:spacing w:val="-9"/>
          <w:sz w:val="20"/>
        </w:rPr>
        <w:t> </w:t>
      </w:r>
      <w:r>
        <w:rPr>
          <w:sz w:val="20"/>
        </w:rPr>
        <w:t>5</w:t>
      </w:r>
      <w:r>
        <w:rPr>
          <w:spacing w:val="-9"/>
          <w:sz w:val="20"/>
        </w:rPr>
        <w:t> </w:t>
      </w:r>
      <w:r>
        <w:rPr>
          <w:sz w:val="20"/>
        </w:rPr>
        <w:t>CarenR</w:t>
      </w:r>
      <w:r>
        <w:rPr>
          <w:spacing w:val="-9"/>
          <w:sz w:val="20"/>
        </w:rPr>
        <w:t> </w:t>
      </w:r>
      <w:r>
        <w:rPr>
          <w:sz w:val="20"/>
        </w:rPr>
        <w:t>rules</w:t>
      </w:r>
      <w:r>
        <w:rPr>
          <w:spacing w:val="-9"/>
          <w:sz w:val="20"/>
        </w:rPr>
        <w:t> </w:t>
      </w:r>
      <w:r>
        <w:rPr>
          <w:sz w:val="20"/>
        </w:rPr>
        <w:t>for</w:t>
      </w:r>
      <w:r>
        <w:rPr>
          <w:spacing w:val="-9"/>
          <w:sz w:val="20"/>
        </w:rPr>
        <w:t> </w:t>
      </w:r>
      <w:r>
        <w:rPr>
          <w:sz w:val="20"/>
        </w:rPr>
        <w:t>the</w:t>
      </w:r>
      <w:r>
        <w:rPr>
          <w:spacing w:val="-9"/>
          <w:sz w:val="20"/>
        </w:rPr>
        <w:t> </w:t>
      </w:r>
      <w:r>
        <w:rPr>
          <w:sz w:val="20"/>
        </w:rPr>
        <w:t>Vinho</w:t>
      </w:r>
      <w:r>
        <w:rPr>
          <w:spacing w:val="-9"/>
          <w:sz w:val="20"/>
        </w:rPr>
        <w:t> </w:t>
      </w:r>
      <w:r>
        <w:rPr>
          <w:sz w:val="20"/>
        </w:rPr>
        <w:t>Verde</w:t>
      </w:r>
      <w:r>
        <w:rPr>
          <w:spacing w:val="-9"/>
          <w:sz w:val="20"/>
        </w:rPr>
        <w:t> </w:t>
      </w:r>
      <w:r>
        <w:rPr>
          <w:sz w:val="20"/>
        </w:rPr>
        <w:t>(RVV).</w:t>
      </w:r>
      <w:r>
        <w:rPr>
          <w:spacing w:val="-9"/>
          <w:sz w:val="20"/>
        </w:rPr>
        <w:t> </w:t>
      </w:r>
      <w:r>
        <w:rPr>
          <w:sz w:val="20"/>
        </w:rPr>
        <w:t>Rule</w:t>
      </w:r>
      <w:r>
        <w:rPr>
          <w:spacing w:val="-9"/>
          <w:sz w:val="20"/>
        </w:rPr>
        <w:t> </w:t>
      </w:r>
      <w:r>
        <w:rPr>
          <w:sz w:val="20"/>
        </w:rPr>
        <w:t>4</w:t>
      </w:r>
      <w:r>
        <w:rPr>
          <w:spacing w:val="-9"/>
          <w:sz w:val="20"/>
        </w:rPr>
        <w:t> </w:t>
      </w:r>
      <w:r>
        <w:rPr>
          <w:sz w:val="20"/>
        </w:rPr>
        <w:t>is</w:t>
      </w:r>
      <w:r>
        <w:rPr>
          <w:spacing w:val="-9"/>
          <w:sz w:val="20"/>
        </w:rPr>
        <w:t> </w:t>
      </w:r>
      <w:r>
        <w:rPr>
          <w:sz w:val="20"/>
        </w:rPr>
        <w:t>the</w:t>
      </w:r>
      <w:r>
        <w:rPr>
          <w:spacing w:val="-9"/>
          <w:sz w:val="20"/>
        </w:rPr>
        <w:t> </w:t>
      </w:r>
      <w:r>
        <w:rPr>
          <w:sz w:val="20"/>
        </w:rPr>
        <w:t>only</w:t>
      </w:r>
      <w:r>
        <w:rPr>
          <w:spacing w:val="-9"/>
          <w:sz w:val="20"/>
        </w:rPr>
        <w:t> </w:t>
      </w:r>
      <w:r>
        <w:rPr>
          <w:sz w:val="20"/>
        </w:rPr>
        <w:t>above-trend</w:t>
      </w:r>
      <w:r>
        <w:rPr>
          <w:spacing w:val="-9"/>
          <w:sz w:val="20"/>
        </w:rPr>
        <w:t> </w:t>
      </w:r>
      <w:r>
        <w:rPr>
          <w:sz w:val="20"/>
        </w:rPr>
        <w:t>rule. Full</w:t>
      </w:r>
      <w:r>
        <w:rPr>
          <w:spacing w:val="-9"/>
          <w:sz w:val="20"/>
        </w:rPr>
        <w:t> </w:t>
      </w:r>
      <w:r>
        <w:rPr>
          <w:sz w:val="20"/>
        </w:rPr>
        <w:t>top-10 in Table </w:t>
      </w:r>
      <w:hyperlink w:history="true" w:anchor="_bookmark152">
        <w:r>
          <w:rPr>
            <w:color w:val="8B2C18"/>
            <w:sz w:val="20"/>
          </w:rPr>
          <w:t>A.2</w:t>
        </w:r>
      </w:hyperlink>
      <w:r>
        <w:rPr>
          <w:sz w:val="20"/>
        </w:rPr>
        <w:t>.</w:t>
      </w:r>
    </w:p>
    <w:p>
      <w:pPr>
        <w:pStyle w:val="BodyText"/>
        <w:spacing w:before="7"/>
        <w:rPr>
          <w:sz w:val="17"/>
        </w:rPr>
      </w:pPr>
      <w:r>
        <w:rPr>
          <w:sz w:val="17"/>
        </w:rPr>
        <mc:AlternateContent>
          <mc:Choice Requires="wps">
            <w:drawing>
              <wp:anchor distT="0" distB="0" distL="0" distR="0" allowOverlap="1" layoutInCell="1" locked="0" behindDoc="1" simplePos="0" relativeHeight="487617024">
                <wp:simplePos x="0" y="0"/>
                <wp:positionH relativeFrom="page">
                  <wp:posOffset>1260005</wp:posOffset>
                </wp:positionH>
                <wp:positionV relativeFrom="paragraph">
                  <wp:posOffset>144113</wp:posOffset>
                </wp:positionV>
                <wp:extent cx="5400040" cy="1270"/>
                <wp:effectExtent l="0" t="0" r="0" b="0"/>
                <wp:wrapTopAndBottom/>
                <wp:docPr id="157" name="Graphic 157"/>
                <wp:cNvGraphicFramePr>
                  <a:graphicFrameLocks/>
                </wp:cNvGraphicFramePr>
                <a:graphic>
                  <a:graphicData uri="http://schemas.microsoft.com/office/word/2010/wordprocessingShape">
                    <wps:wsp>
                      <wps:cNvPr id="157" name="Graphic 157"/>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1.347528pt;width:425.2pt;height:.1pt;mso-position-horizontal-relative:page;mso-position-vertical-relative:paragraph;z-index:-15699456;mso-wrap-distance-left:0;mso-wrap-distance-right:0" id="docshape129" coordorigin="1984,227" coordsize="8504,0" path="m1984,227l10488,227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7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70"/>
        <w:gridCol w:w="4442"/>
        <w:gridCol w:w="757"/>
        <w:gridCol w:w="984"/>
        <w:gridCol w:w="927"/>
        <w:gridCol w:w="923"/>
      </w:tblGrid>
      <w:tr>
        <w:trPr>
          <w:trHeight w:val="824" w:hRule="atLeast"/>
        </w:trPr>
        <w:tc>
          <w:tcPr>
            <w:tcW w:w="470" w:type="dxa"/>
            <w:tcBorders>
              <w:top w:val="nil"/>
              <w:left w:val="nil"/>
              <w:right w:val="single" w:sz="4" w:space="0" w:color="000000"/>
            </w:tcBorders>
          </w:tcPr>
          <w:p>
            <w:pPr>
              <w:pStyle w:val="TableParagraph"/>
              <w:spacing w:before="31"/>
              <w:ind w:left="119"/>
              <w:rPr>
                <w:sz w:val="20"/>
              </w:rPr>
            </w:pPr>
            <w:r>
              <w:rPr>
                <w:spacing w:val="-10"/>
                <w:sz w:val="20"/>
              </w:rPr>
              <w:t>#</w:t>
            </w:r>
          </w:p>
        </w:tc>
        <w:tc>
          <w:tcPr>
            <w:tcW w:w="4442" w:type="dxa"/>
            <w:tcBorders>
              <w:top w:val="nil"/>
              <w:left w:val="single" w:sz="4" w:space="0" w:color="000000"/>
              <w:right w:val="single" w:sz="4" w:space="0" w:color="000000"/>
            </w:tcBorders>
          </w:tcPr>
          <w:p>
            <w:pPr>
              <w:pStyle w:val="TableParagraph"/>
              <w:spacing w:before="31"/>
              <w:ind w:left="118"/>
              <w:rPr>
                <w:sz w:val="20"/>
              </w:rPr>
            </w:pPr>
            <w:r>
              <w:rPr>
                <w:spacing w:val="-2"/>
                <w:sz w:val="20"/>
              </w:rPr>
              <w:t>Conditions</w:t>
            </w:r>
          </w:p>
        </w:tc>
        <w:tc>
          <w:tcPr>
            <w:tcW w:w="757" w:type="dxa"/>
            <w:tcBorders>
              <w:top w:val="nil"/>
              <w:left w:val="single" w:sz="4" w:space="0" w:color="000000"/>
              <w:right w:val="single" w:sz="4" w:space="0" w:color="000000"/>
            </w:tcBorders>
          </w:tcPr>
          <w:p>
            <w:pPr>
              <w:pStyle w:val="TableParagraph"/>
              <w:spacing w:before="31"/>
              <w:ind w:left="221"/>
              <w:rPr>
                <w:sz w:val="20"/>
              </w:rPr>
            </w:pPr>
            <w:r>
              <w:rPr>
                <w:spacing w:val="-4"/>
                <w:sz w:val="20"/>
              </w:rPr>
              <w:t>Dir.</w:t>
            </w:r>
          </w:p>
        </w:tc>
        <w:tc>
          <w:tcPr>
            <w:tcW w:w="984" w:type="dxa"/>
            <w:tcBorders>
              <w:top w:val="nil"/>
              <w:left w:val="single" w:sz="4" w:space="0" w:color="000000"/>
              <w:right w:val="single" w:sz="4" w:space="0" w:color="000000"/>
            </w:tcBorders>
          </w:tcPr>
          <w:p>
            <w:pPr>
              <w:pStyle w:val="TableParagraph"/>
              <w:spacing w:before="31"/>
              <w:ind w:left="118"/>
              <w:rPr>
                <w:sz w:val="20"/>
              </w:rPr>
            </w:pPr>
            <w:r>
              <w:rPr>
                <w:spacing w:val="-2"/>
                <w:sz w:val="20"/>
              </w:rPr>
              <w:t>Median</w:t>
            </w:r>
          </w:p>
          <w:p>
            <w:pPr>
              <w:pStyle w:val="TableParagraph"/>
              <w:spacing w:line="243" w:lineRule="exact" w:before="5"/>
              <w:ind w:left="118"/>
              <w:rPr>
                <w:rFonts w:ascii="Calibri" w:hAnsi="Calibri"/>
                <w:sz w:val="20"/>
              </w:rPr>
            </w:pPr>
            <w:r>
              <w:rPr>
                <w:rFonts w:ascii="Calibri" w:hAnsi="Calibri"/>
                <w:spacing w:val="-10"/>
                <w:w w:val="110"/>
                <w:sz w:val="20"/>
              </w:rPr>
              <w:t>∆</w:t>
            </w:r>
          </w:p>
          <w:p>
            <w:pPr>
              <w:pStyle w:val="TableParagraph"/>
              <w:spacing w:line="229" w:lineRule="exact" w:before="0"/>
              <w:ind w:left="112"/>
              <w:rPr>
                <w:sz w:val="20"/>
              </w:rPr>
            </w:pPr>
            <w:r>
              <w:rPr>
                <w:spacing w:val="-2"/>
                <w:sz w:val="20"/>
              </w:rPr>
              <w:t>(mhl)</w:t>
            </w:r>
          </w:p>
        </w:tc>
        <w:tc>
          <w:tcPr>
            <w:tcW w:w="927" w:type="dxa"/>
            <w:tcBorders>
              <w:top w:val="nil"/>
              <w:left w:val="single" w:sz="4" w:space="0" w:color="000000"/>
              <w:right w:val="single" w:sz="4" w:space="0" w:color="000000"/>
            </w:tcBorders>
          </w:tcPr>
          <w:p>
            <w:pPr>
              <w:pStyle w:val="TableParagraph"/>
              <w:spacing w:before="31"/>
              <w:ind w:left="118"/>
              <w:rPr>
                <w:sz w:val="20"/>
              </w:rPr>
            </w:pPr>
            <w:r>
              <w:rPr>
                <w:spacing w:val="-2"/>
                <w:sz w:val="20"/>
              </w:rPr>
              <w:t>Support</w:t>
            </w:r>
          </w:p>
        </w:tc>
        <w:tc>
          <w:tcPr>
            <w:tcW w:w="923" w:type="dxa"/>
            <w:tcBorders>
              <w:top w:val="nil"/>
              <w:left w:val="single" w:sz="4" w:space="0" w:color="000000"/>
              <w:right w:val="nil"/>
            </w:tcBorders>
          </w:tcPr>
          <w:p>
            <w:pPr>
              <w:pStyle w:val="TableParagraph"/>
              <w:spacing w:before="31"/>
              <w:ind w:left="119"/>
              <w:rPr>
                <w:sz w:val="20"/>
              </w:rPr>
            </w:pPr>
            <w:r>
              <w:rPr>
                <w:spacing w:val="-2"/>
                <w:sz w:val="20"/>
              </w:rPr>
              <w:t>p-</w:t>
            </w:r>
            <w:r>
              <w:rPr>
                <w:spacing w:val="-4"/>
                <w:sz w:val="20"/>
              </w:rPr>
              <w:t>value</w:t>
            </w:r>
          </w:p>
        </w:tc>
      </w:tr>
    </w:tbl>
    <w:p>
      <w:pPr>
        <w:pStyle w:val="BodyText"/>
        <w:spacing w:before="10"/>
        <w:rPr>
          <w:sz w:val="4"/>
        </w:rPr>
      </w:pPr>
    </w:p>
    <w:tbl>
      <w:tblPr>
        <w:tblW w:w="0" w:type="auto"/>
        <w:jc w:val="left"/>
        <w:tblInd w:w="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0"/>
        <w:gridCol w:w="4442"/>
        <w:gridCol w:w="757"/>
        <w:gridCol w:w="984"/>
        <w:gridCol w:w="927"/>
        <w:gridCol w:w="923"/>
      </w:tblGrid>
      <w:tr>
        <w:trPr>
          <w:trHeight w:val="1016" w:hRule="atLeast"/>
        </w:trPr>
        <w:tc>
          <w:tcPr>
            <w:tcW w:w="470" w:type="dxa"/>
            <w:tcBorders>
              <w:right w:val="single" w:sz="4" w:space="0" w:color="000000"/>
            </w:tcBorders>
          </w:tcPr>
          <w:p>
            <w:pPr>
              <w:pStyle w:val="TableParagraph"/>
              <w:spacing w:before="31"/>
              <w:ind w:left="119"/>
              <w:rPr>
                <w:sz w:val="20"/>
              </w:rPr>
            </w:pPr>
            <w:r>
              <w:rPr>
                <w:spacing w:val="-10"/>
                <w:sz w:val="20"/>
              </w:rPr>
              <w:t>1</w:t>
            </w:r>
          </w:p>
        </w:tc>
        <w:tc>
          <w:tcPr>
            <w:tcW w:w="4442" w:type="dxa"/>
            <w:vMerge w:val="restart"/>
            <w:tcBorders>
              <w:left w:val="single" w:sz="4" w:space="0" w:color="000000"/>
              <w:bottom w:val="single" w:sz="8" w:space="0" w:color="000000"/>
              <w:right w:val="single" w:sz="4" w:space="0" w:color="000000"/>
            </w:tcBorders>
          </w:tcPr>
          <w:p>
            <w:pPr>
              <w:pStyle w:val="TableParagraph"/>
              <w:spacing w:line="249" w:lineRule="auto" w:before="31"/>
              <w:ind w:left="118" w:right="83"/>
              <w:jc w:val="both"/>
              <w:rPr>
                <w:b/>
                <w:sz w:val="20"/>
              </w:rPr>
            </w:pPr>
            <w:r>
              <w:rPr>
                <w:b/>
                <w:sz w:val="20"/>
              </w:rPr>
              <w:t>Soil water pre-Harvest [61–97 mm] AND Heat days pre-Maturity [0–1.9d] AND Heat days </w:t>
            </w:r>
            <w:r>
              <w:rPr>
                <w:b/>
                <w:sz w:val="20"/>
              </w:rPr>
              <w:t>post-Maturity</w:t>
            </w:r>
            <w:r>
              <w:rPr>
                <w:b/>
                <w:spacing w:val="-11"/>
                <w:sz w:val="20"/>
              </w:rPr>
              <w:t> </w:t>
            </w:r>
            <w:r>
              <w:rPr>
                <w:b/>
                <w:sz w:val="20"/>
              </w:rPr>
              <w:t>[0–2.4d]</w:t>
            </w:r>
            <w:r>
              <w:rPr>
                <w:b/>
                <w:spacing w:val="-12"/>
                <w:sz w:val="20"/>
              </w:rPr>
              <w:t> </w:t>
            </w:r>
            <w:r>
              <w:rPr>
                <w:b/>
                <w:sz w:val="20"/>
              </w:rPr>
              <w:t>AND</w:t>
            </w:r>
            <w:r>
              <w:rPr>
                <w:b/>
                <w:spacing w:val="-11"/>
                <w:sz w:val="20"/>
              </w:rPr>
              <w:t> </w:t>
            </w:r>
            <w:r>
              <w:rPr>
                <w:b/>
                <w:sz w:val="20"/>
              </w:rPr>
              <w:t>Heat</w:t>
            </w:r>
            <w:r>
              <w:rPr>
                <w:b/>
                <w:spacing w:val="-12"/>
                <w:sz w:val="20"/>
              </w:rPr>
              <w:t> </w:t>
            </w:r>
            <w:r>
              <w:rPr>
                <w:b/>
                <w:sz w:val="20"/>
              </w:rPr>
              <w:t>days</w:t>
            </w:r>
            <w:r>
              <w:rPr>
                <w:b/>
                <w:spacing w:val="-11"/>
                <w:sz w:val="20"/>
              </w:rPr>
              <w:t> </w:t>
            </w:r>
            <w:r>
              <w:rPr>
                <w:b/>
                <w:sz w:val="20"/>
              </w:rPr>
              <w:t>post-Flowering </w:t>
            </w:r>
            <w:r>
              <w:rPr>
                <w:b/>
                <w:spacing w:val="-2"/>
                <w:sz w:val="20"/>
              </w:rPr>
              <w:t>[0–1.1d]</w:t>
            </w:r>
          </w:p>
          <w:p>
            <w:pPr>
              <w:pStyle w:val="TableParagraph"/>
              <w:spacing w:line="249" w:lineRule="auto" w:before="0"/>
              <w:ind w:left="106" w:right="116" w:firstLine="6"/>
              <w:jc w:val="both"/>
              <w:rPr>
                <w:i/>
                <w:sz w:val="20"/>
              </w:rPr>
            </w:pPr>
            <w:r>
              <w:rPr>
                <w:i/>
                <w:spacing w:val="-2"/>
                <w:sz w:val="20"/>
              </w:rPr>
              <w:t>Low</w:t>
            </w:r>
            <w:r>
              <w:rPr>
                <w:i/>
                <w:spacing w:val="-8"/>
                <w:sz w:val="20"/>
              </w:rPr>
              <w:t> </w:t>
            </w:r>
            <w:r>
              <w:rPr>
                <w:i/>
                <w:spacing w:val="-2"/>
                <w:sz w:val="20"/>
              </w:rPr>
              <w:t>soil</w:t>
            </w:r>
            <w:r>
              <w:rPr>
                <w:i/>
                <w:spacing w:val="-8"/>
                <w:sz w:val="20"/>
              </w:rPr>
              <w:t> </w:t>
            </w:r>
            <w:r>
              <w:rPr>
                <w:i/>
                <w:spacing w:val="-2"/>
                <w:sz w:val="20"/>
              </w:rPr>
              <w:t>water</w:t>
            </w:r>
            <w:r>
              <w:rPr>
                <w:i/>
                <w:spacing w:val="-8"/>
                <w:sz w:val="20"/>
              </w:rPr>
              <w:t> </w:t>
            </w:r>
            <w:r>
              <w:rPr>
                <w:i/>
                <w:spacing w:val="-2"/>
                <w:sz w:val="20"/>
              </w:rPr>
              <w:t>deficit</w:t>
            </w:r>
            <w:r>
              <w:rPr>
                <w:i/>
                <w:spacing w:val="-8"/>
                <w:sz w:val="20"/>
              </w:rPr>
              <w:t> </w:t>
            </w:r>
            <w:r>
              <w:rPr>
                <w:i/>
                <w:spacing w:val="-2"/>
                <w:sz w:val="20"/>
              </w:rPr>
              <w:t>with</w:t>
            </w:r>
            <w:r>
              <w:rPr>
                <w:i/>
                <w:spacing w:val="-8"/>
                <w:sz w:val="20"/>
              </w:rPr>
              <w:t> </w:t>
            </w:r>
            <w:r>
              <w:rPr>
                <w:i/>
                <w:spacing w:val="-2"/>
                <w:sz w:val="20"/>
              </w:rPr>
              <w:t>absent</w:t>
            </w:r>
            <w:r>
              <w:rPr>
                <w:i/>
                <w:spacing w:val="-8"/>
                <w:sz w:val="20"/>
              </w:rPr>
              <w:t> </w:t>
            </w:r>
            <w:r>
              <w:rPr>
                <w:i/>
                <w:spacing w:val="-2"/>
                <w:sz w:val="20"/>
              </w:rPr>
              <w:t>heat</w:t>
            </w:r>
            <w:r>
              <w:rPr>
                <w:i/>
                <w:spacing w:val="-8"/>
                <w:sz w:val="20"/>
              </w:rPr>
              <w:t> </w:t>
            </w:r>
            <w:r>
              <w:rPr>
                <w:i/>
                <w:spacing w:val="-2"/>
                <w:sz w:val="20"/>
              </w:rPr>
              <w:t>stress</w:t>
            </w:r>
            <w:r>
              <w:rPr>
                <w:i/>
                <w:spacing w:val="-8"/>
                <w:sz w:val="20"/>
              </w:rPr>
              <w:t> </w:t>
            </w:r>
            <w:r>
              <w:rPr>
                <w:i/>
                <w:spacing w:val="-2"/>
                <w:sz w:val="20"/>
              </w:rPr>
              <w:t>—</w:t>
            </w:r>
            <w:r>
              <w:rPr>
                <w:i/>
                <w:spacing w:val="-8"/>
                <w:sz w:val="20"/>
              </w:rPr>
              <w:t> </w:t>
            </w:r>
            <w:r>
              <w:rPr>
                <w:i/>
                <w:spacing w:val="-2"/>
                <w:sz w:val="20"/>
              </w:rPr>
              <w:t>in</w:t>
            </w:r>
            <w:r>
              <w:rPr>
                <w:i/>
                <w:spacing w:val="-8"/>
                <w:sz w:val="20"/>
              </w:rPr>
              <w:t> </w:t>
            </w:r>
            <w:r>
              <w:rPr>
                <w:i/>
                <w:spacing w:val="-2"/>
                <w:sz w:val="20"/>
              </w:rPr>
              <w:t>the</w:t>
            </w:r>
            <w:r>
              <w:rPr>
                <w:i/>
                <w:spacing w:val="-2"/>
                <w:sz w:val="20"/>
              </w:rPr>
              <w:t> </w:t>
            </w:r>
            <w:r>
              <w:rPr>
                <w:i/>
                <w:sz w:val="20"/>
              </w:rPr>
              <w:t>Atlantic</w:t>
            </w:r>
            <w:r>
              <w:rPr>
                <w:i/>
                <w:spacing w:val="-9"/>
                <w:sz w:val="20"/>
              </w:rPr>
              <w:t> </w:t>
            </w:r>
            <w:r>
              <w:rPr>
                <w:i/>
                <w:sz w:val="20"/>
              </w:rPr>
              <w:t>RVV</w:t>
            </w:r>
            <w:r>
              <w:rPr>
                <w:i/>
                <w:spacing w:val="-9"/>
                <w:sz w:val="20"/>
              </w:rPr>
              <w:t> </w:t>
            </w:r>
            <w:r>
              <w:rPr>
                <w:i/>
                <w:sz w:val="20"/>
              </w:rPr>
              <w:t>climate</w:t>
            </w:r>
            <w:r>
              <w:rPr>
                <w:i/>
                <w:spacing w:val="-9"/>
                <w:sz w:val="20"/>
              </w:rPr>
              <w:t> </w:t>
            </w:r>
            <w:r>
              <w:rPr>
                <w:i/>
                <w:sz w:val="20"/>
              </w:rPr>
              <w:t>this</w:t>
            </w:r>
            <w:r>
              <w:rPr>
                <w:i/>
                <w:spacing w:val="-9"/>
                <w:sz w:val="20"/>
              </w:rPr>
              <w:t> </w:t>
            </w:r>
            <w:r>
              <w:rPr>
                <w:i/>
                <w:sz w:val="20"/>
              </w:rPr>
              <w:t>is</w:t>
            </w:r>
            <w:r>
              <w:rPr>
                <w:i/>
                <w:spacing w:val="-9"/>
                <w:sz w:val="20"/>
              </w:rPr>
              <w:t> </w:t>
            </w:r>
            <w:r>
              <w:rPr>
                <w:i/>
                <w:sz w:val="20"/>
              </w:rPr>
              <w:t>a</w:t>
            </w:r>
            <w:r>
              <w:rPr>
                <w:i/>
                <w:spacing w:val="-9"/>
                <w:sz w:val="20"/>
              </w:rPr>
              <w:t> </w:t>
            </w:r>
            <w:r>
              <w:rPr>
                <w:i/>
                <w:sz w:val="20"/>
              </w:rPr>
              <w:t>cool-moist</w:t>
            </w:r>
            <w:r>
              <w:rPr>
                <w:i/>
                <w:spacing w:val="-9"/>
                <w:sz w:val="20"/>
              </w:rPr>
              <w:t> </w:t>
            </w:r>
            <w:r>
              <w:rPr>
                <w:i/>
                <w:sz w:val="20"/>
              </w:rPr>
              <w:t>pattern,</w:t>
            </w:r>
            <w:r>
              <w:rPr>
                <w:i/>
                <w:spacing w:val="-9"/>
                <w:sz w:val="20"/>
              </w:rPr>
              <w:t> </w:t>
            </w:r>
            <w:r>
              <w:rPr>
                <w:i/>
                <w:sz w:val="20"/>
              </w:rPr>
              <w:t>not a beneficial stress pattern.</w:t>
            </w:r>
          </w:p>
          <w:p>
            <w:pPr>
              <w:pStyle w:val="TableParagraph"/>
              <w:spacing w:line="223" w:lineRule="auto" w:before="28"/>
              <w:ind w:left="118" w:right="83"/>
              <w:jc w:val="both"/>
              <w:rPr>
                <w:b/>
                <w:sz w:val="20"/>
              </w:rPr>
            </w:pPr>
            <w:r>
              <w:rPr>
                <w:b/>
                <w:spacing w:val="-4"/>
                <w:sz w:val="20"/>
              </w:rPr>
              <w:t>Temp</w:t>
            </w:r>
            <w:r>
              <w:rPr>
                <w:b/>
                <w:spacing w:val="-11"/>
                <w:sz w:val="20"/>
              </w:rPr>
              <w:t> </w:t>
            </w:r>
            <w:r>
              <w:rPr>
                <w:b/>
                <w:spacing w:val="-4"/>
                <w:sz w:val="20"/>
              </w:rPr>
              <w:t>at</w:t>
            </w:r>
            <w:r>
              <w:rPr>
                <w:b/>
                <w:spacing w:val="-8"/>
                <w:sz w:val="20"/>
              </w:rPr>
              <w:t> </w:t>
            </w:r>
            <w:r>
              <w:rPr>
                <w:b/>
                <w:spacing w:val="-4"/>
                <w:sz w:val="20"/>
              </w:rPr>
              <w:t>Flowering</w:t>
            </w:r>
            <w:r>
              <w:rPr>
                <w:b/>
                <w:spacing w:val="-9"/>
                <w:sz w:val="20"/>
              </w:rPr>
              <w:t> </w:t>
            </w:r>
            <w:r>
              <w:rPr>
                <w:b/>
                <w:spacing w:val="-4"/>
                <w:sz w:val="20"/>
              </w:rPr>
              <w:t>[13.8–17.1</w:t>
            </w:r>
            <w:r>
              <w:rPr>
                <w:rFonts w:ascii="Meiryo UI" w:hAnsi="Meiryo UI"/>
                <w:i/>
                <w:spacing w:val="-4"/>
                <w:position w:val="7"/>
                <w:sz w:val="14"/>
              </w:rPr>
              <w:t>◦</w:t>
            </w:r>
            <w:r>
              <w:rPr>
                <w:b/>
                <w:spacing w:val="-4"/>
                <w:sz w:val="20"/>
              </w:rPr>
              <w:t>C]</w:t>
            </w:r>
            <w:r>
              <w:rPr>
                <w:b/>
                <w:spacing w:val="-8"/>
                <w:sz w:val="20"/>
              </w:rPr>
              <w:t> </w:t>
            </w:r>
            <w:r>
              <w:rPr>
                <w:b/>
                <w:spacing w:val="-4"/>
                <w:sz w:val="20"/>
              </w:rPr>
              <w:t>AND</w:t>
            </w:r>
            <w:r>
              <w:rPr>
                <w:b/>
                <w:spacing w:val="-9"/>
                <w:sz w:val="20"/>
              </w:rPr>
              <w:t> </w:t>
            </w:r>
            <w:r>
              <w:rPr>
                <w:b/>
                <w:spacing w:val="-4"/>
                <w:sz w:val="20"/>
              </w:rPr>
              <w:t>Temp</w:t>
            </w:r>
            <w:r>
              <w:rPr>
                <w:b/>
                <w:spacing w:val="-8"/>
                <w:sz w:val="20"/>
              </w:rPr>
              <w:t> </w:t>
            </w:r>
            <w:r>
              <w:rPr>
                <w:b/>
                <w:spacing w:val="-4"/>
                <w:sz w:val="20"/>
              </w:rPr>
              <w:t>post-</w:t>
            </w:r>
            <w:r>
              <w:rPr>
                <w:b/>
                <w:spacing w:val="-2"/>
                <w:sz w:val="20"/>
              </w:rPr>
              <w:t>Flowering</w:t>
            </w:r>
            <w:r>
              <w:rPr>
                <w:b/>
                <w:spacing w:val="-3"/>
                <w:sz w:val="20"/>
              </w:rPr>
              <w:t> </w:t>
            </w:r>
            <w:r>
              <w:rPr>
                <w:b/>
                <w:spacing w:val="-2"/>
                <w:sz w:val="20"/>
              </w:rPr>
              <w:t>[12.6–17.5</w:t>
            </w:r>
            <w:r>
              <w:rPr>
                <w:rFonts w:ascii="Meiryo UI" w:hAnsi="Meiryo UI"/>
                <w:i/>
                <w:spacing w:val="-2"/>
                <w:position w:val="7"/>
                <w:sz w:val="14"/>
              </w:rPr>
              <w:t>◦</w:t>
            </w:r>
            <w:r>
              <w:rPr>
                <w:b/>
                <w:spacing w:val="-2"/>
                <w:sz w:val="20"/>
              </w:rPr>
              <w:t>C]</w:t>
            </w:r>
            <w:r>
              <w:rPr>
                <w:b/>
                <w:spacing w:val="-3"/>
                <w:sz w:val="20"/>
              </w:rPr>
              <w:t> </w:t>
            </w:r>
            <w:r>
              <w:rPr>
                <w:b/>
                <w:spacing w:val="-2"/>
                <w:sz w:val="20"/>
              </w:rPr>
              <w:t>AND</w:t>
            </w:r>
            <w:r>
              <w:rPr>
                <w:b/>
                <w:spacing w:val="-3"/>
                <w:sz w:val="20"/>
              </w:rPr>
              <w:t> </w:t>
            </w:r>
            <w:r>
              <w:rPr>
                <w:b/>
                <w:spacing w:val="-2"/>
                <w:sz w:val="20"/>
              </w:rPr>
              <w:t>Wet-soil</w:t>
            </w:r>
            <w:r>
              <w:rPr>
                <w:b/>
                <w:spacing w:val="-3"/>
                <w:sz w:val="20"/>
              </w:rPr>
              <w:t> </w:t>
            </w:r>
            <w:r>
              <w:rPr>
                <w:b/>
                <w:spacing w:val="-2"/>
                <w:sz w:val="20"/>
              </w:rPr>
              <w:t>days</w:t>
            </w:r>
            <w:r>
              <w:rPr>
                <w:b/>
                <w:spacing w:val="-3"/>
                <w:sz w:val="20"/>
              </w:rPr>
              <w:t> </w:t>
            </w:r>
            <w:r>
              <w:rPr>
                <w:b/>
                <w:spacing w:val="-2"/>
                <w:sz w:val="20"/>
              </w:rPr>
              <w:t>post-</w:t>
            </w:r>
            <w:r>
              <w:rPr>
                <w:b/>
                <w:sz w:val="20"/>
              </w:rPr>
              <w:t>Flowering prev.yr [17.5–20d]</w:t>
            </w:r>
          </w:p>
          <w:p>
            <w:pPr>
              <w:pStyle w:val="TableParagraph"/>
              <w:spacing w:line="249" w:lineRule="auto" w:before="7"/>
              <w:ind w:left="118" w:right="83" w:hanging="7"/>
              <w:jc w:val="both"/>
              <w:rPr>
                <w:i/>
                <w:sz w:val="20"/>
              </w:rPr>
            </w:pPr>
            <w:r>
              <w:rPr>
                <w:i/>
                <w:sz w:val="20"/>
              </w:rPr>
              <w:t>Cool</w:t>
            </w:r>
            <w:r>
              <w:rPr>
                <w:i/>
                <w:spacing w:val="-13"/>
                <w:sz w:val="20"/>
              </w:rPr>
              <w:t> </w:t>
            </w:r>
            <w:r>
              <w:rPr>
                <w:i/>
                <w:sz w:val="20"/>
              </w:rPr>
              <w:t>flowering</w:t>
            </w:r>
            <w:r>
              <w:rPr>
                <w:i/>
                <w:spacing w:val="-12"/>
                <w:sz w:val="20"/>
              </w:rPr>
              <w:t> </w:t>
            </w:r>
            <w:r>
              <w:rPr>
                <w:i/>
                <w:sz w:val="20"/>
              </w:rPr>
              <w:t>combined</w:t>
            </w:r>
            <w:r>
              <w:rPr>
                <w:i/>
                <w:spacing w:val="-13"/>
                <w:sz w:val="20"/>
              </w:rPr>
              <w:t> </w:t>
            </w:r>
            <w:r>
              <w:rPr>
                <w:i/>
                <w:sz w:val="20"/>
              </w:rPr>
              <w:t>with</w:t>
            </w:r>
            <w:r>
              <w:rPr>
                <w:i/>
                <w:spacing w:val="-12"/>
                <w:sz w:val="20"/>
              </w:rPr>
              <w:t> </w:t>
            </w:r>
            <w:r>
              <w:rPr>
                <w:i/>
                <w:sz w:val="20"/>
              </w:rPr>
              <w:t>previous-year</w:t>
            </w:r>
            <w:r>
              <w:rPr>
                <w:i/>
                <w:spacing w:val="-13"/>
                <w:sz w:val="20"/>
              </w:rPr>
              <w:t> </w:t>
            </w:r>
            <w:r>
              <w:rPr>
                <w:i/>
                <w:sz w:val="20"/>
              </w:rPr>
              <w:t>soil</w:t>
            </w:r>
            <w:r>
              <w:rPr>
                <w:i/>
                <w:spacing w:val="-12"/>
                <w:sz w:val="20"/>
              </w:rPr>
              <w:t> </w:t>
            </w:r>
            <w:r>
              <w:rPr>
                <w:i/>
                <w:sz w:val="20"/>
              </w:rPr>
              <w:t>sat-uration — a two-year carry-over pattern.</w:t>
            </w:r>
          </w:p>
          <w:p>
            <w:pPr>
              <w:pStyle w:val="TableParagraph"/>
              <w:spacing w:line="249" w:lineRule="auto" w:before="72"/>
              <w:ind w:left="118" w:right="116"/>
              <w:jc w:val="both"/>
              <w:rPr>
                <w:b/>
                <w:sz w:val="20"/>
              </w:rPr>
            </w:pPr>
            <w:r>
              <w:rPr>
                <w:b/>
                <w:sz w:val="20"/>
              </w:rPr>
              <w:t>Soil water post-Flowering [143–234 mm] </w:t>
            </w:r>
            <w:r>
              <w:rPr>
                <w:b/>
                <w:sz w:val="20"/>
              </w:rPr>
              <w:t>AND Heat days post-Maturity [0–2.4d]</w:t>
            </w:r>
          </w:p>
          <w:p>
            <w:pPr>
              <w:pStyle w:val="TableParagraph"/>
              <w:spacing w:line="249" w:lineRule="auto" w:before="0"/>
              <w:ind w:left="118" w:right="83" w:hanging="8"/>
              <w:jc w:val="both"/>
              <w:rPr>
                <w:i/>
                <w:sz w:val="20"/>
              </w:rPr>
            </w:pPr>
            <w:r>
              <w:rPr>
                <w:i/>
                <w:sz w:val="20"/>
              </w:rPr>
              <w:t>Highest-support below-trend rule:</w:t>
            </w:r>
            <w:r>
              <w:rPr>
                <w:i/>
                <w:spacing w:val="40"/>
                <w:sz w:val="20"/>
              </w:rPr>
              <w:t> </w:t>
            </w:r>
            <w:r>
              <w:rPr>
                <w:i/>
                <w:sz w:val="20"/>
              </w:rPr>
              <w:t>moist </w:t>
            </w:r>
            <w:r>
              <w:rPr>
                <w:i/>
                <w:sz w:val="20"/>
              </w:rPr>
              <w:t>post-flowering with low heat at maturity.</w:t>
            </w:r>
          </w:p>
          <w:p>
            <w:pPr>
              <w:pStyle w:val="TableParagraph"/>
              <w:spacing w:line="249" w:lineRule="auto" w:before="16"/>
              <w:ind w:left="118" w:right="116"/>
              <w:jc w:val="both"/>
              <w:rPr>
                <w:b/>
                <w:sz w:val="20"/>
              </w:rPr>
            </w:pPr>
            <w:r>
              <w:rPr>
                <w:b/>
                <w:sz w:val="20"/>
              </w:rPr>
              <w:t>Temp</w:t>
            </w:r>
            <w:r>
              <w:rPr>
                <w:b/>
                <w:spacing w:val="-13"/>
                <w:sz w:val="20"/>
              </w:rPr>
              <w:t> </w:t>
            </w:r>
            <w:r>
              <w:rPr>
                <w:b/>
                <w:sz w:val="20"/>
              </w:rPr>
              <w:t>post-Budburst</w:t>
            </w:r>
            <w:r>
              <w:rPr>
                <w:b/>
                <w:spacing w:val="-12"/>
                <w:sz w:val="20"/>
              </w:rPr>
              <w:t> </w:t>
            </w:r>
            <w:r>
              <w:rPr>
                <w:b/>
                <w:sz w:val="20"/>
              </w:rPr>
              <w:t>prev.yr</w:t>
            </w:r>
            <w:r>
              <w:rPr>
                <w:b/>
                <w:spacing w:val="-13"/>
                <w:sz w:val="20"/>
              </w:rPr>
              <w:t> </w:t>
            </w:r>
            <w:r>
              <w:rPr>
                <w:b/>
                <w:sz w:val="20"/>
              </w:rPr>
              <w:t>[11.2–13.5</w:t>
            </w:r>
            <w:r>
              <w:rPr>
                <w:rFonts w:ascii="Meiryo UI" w:hAnsi="Meiryo UI"/>
                <w:i/>
                <w:position w:val="7"/>
                <w:sz w:val="14"/>
              </w:rPr>
              <w:t>◦</w:t>
            </w:r>
            <w:r>
              <w:rPr>
                <w:b/>
                <w:sz w:val="20"/>
              </w:rPr>
              <w:t>C]</w:t>
            </w:r>
            <w:r>
              <w:rPr>
                <w:b/>
                <w:spacing w:val="-12"/>
                <w:sz w:val="20"/>
              </w:rPr>
              <w:t> </w:t>
            </w:r>
            <w:r>
              <w:rPr>
                <w:b/>
                <w:sz w:val="20"/>
              </w:rPr>
              <w:t>AND Cold days at Flowering [0–3.4d] AND Heat </w:t>
            </w:r>
            <w:r>
              <w:rPr>
                <w:b/>
                <w:sz w:val="20"/>
              </w:rPr>
              <w:t>days post-Flowering [0–1.1d]</w:t>
            </w:r>
          </w:p>
          <w:p>
            <w:pPr>
              <w:pStyle w:val="TableParagraph"/>
              <w:spacing w:line="249" w:lineRule="auto" w:before="0"/>
              <w:ind w:left="118" w:right="83" w:hanging="12"/>
              <w:jc w:val="both"/>
              <w:rPr>
                <w:i/>
                <w:sz w:val="20"/>
              </w:rPr>
            </w:pPr>
            <w:r>
              <w:rPr>
                <w:i/>
                <w:sz w:val="20"/>
              </w:rPr>
              <w:t>The only above-trend rule:</w:t>
            </w:r>
            <w:r>
              <w:rPr>
                <w:i/>
                <w:spacing w:val="40"/>
                <w:sz w:val="20"/>
              </w:rPr>
              <w:t> </w:t>
            </w:r>
            <w:r>
              <w:rPr>
                <w:i/>
                <w:sz w:val="20"/>
              </w:rPr>
              <w:t>warm-but-not-extreme</w:t>
            </w:r>
            <w:r>
              <w:rPr>
                <w:i/>
                <w:sz w:val="20"/>
              </w:rPr>
              <w:t> </w:t>
            </w:r>
            <w:r>
              <w:rPr>
                <w:i/>
                <w:spacing w:val="-2"/>
                <w:sz w:val="20"/>
              </w:rPr>
              <w:t>previous-year</w:t>
            </w:r>
            <w:r>
              <w:rPr>
                <w:i/>
                <w:spacing w:val="-11"/>
                <w:sz w:val="20"/>
              </w:rPr>
              <w:t> </w:t>
            </w:r>
            <w:r>
              <w:rPr>
                <w:i/>
                <w:spacing w:val="-2"/>
                <w:sz w:val="20"/>
              </w:rPr>
              <w:t>budburst</w:t>
            </w:r>
            <w:r>
              <w:rPr>
                <w:i/>
                <w:spacing w:val="-10"/>
                <w:sz w:val="20"/>
              </w:rPr>
              <w:t> </w:t>
            </w:r>
            <w:r>
              <w:rPr>
                <w:i/>
                <w:spacing w:val="-2"/>
                <w:sz w:val="20"/>
              </w:rPr>
              <w:t>with</w:t>
            </w:r>
            <w:r>
              <w:rPr>
                <w:i/>
                <w:spacing w:val="-11"/>
                <w:sz w:val="20"/>
              </w:rPr>
              <w:t> </w:t>
            </w:r>
            <w:r>
              <w:rPr>
                <w:i/>
                <w:spacing w:val="-2"/>
                <w:sz w:val="20"/>
              </w:rPr>
              <w:t>mild</w:t>
            </w:r>
            <w:r>
              <w:rPr>
                <w:i/>
                <w:spacing w:val="-10"/>
                <w:sz w:val="20"/>
              </w:rPr>
              <w:t> </w:t>
            </w:r>
            <w:r>
              <w:rPr>
                <w:i/>
                <w:spacing w:val="-2"/>
                <w:sz w:val="20"/>
              </w:rPr>
              <w:t>current-year</w:t>
            </w:r>
            <w:r>
              <w:rPr>
                <w:i/>
                <w:spacing w:val="-11"/>
                <w:sz w:val="20"/>
              </w:rPr>
              <w:t> </w:t>
            </w:r>
            <w:r>
              <w:rPr>
                <w:i/>
                <w:spacing w:val="-2"/>
                <w:sz w:val="20"/>
              </w:rPr>
              <w:t>flower-ing.</w:t>
            </w:r>
            <w:r>
              <w:rPr>
                <w:i/>
                <w:sz w:val="20"/>
              </w:rPr>
              <w:t> </w:t>
            </w:r>
            <w:r>
              <w:rPr>
                <w:i/>
                <w:spacing w:val="-2"/>
                <w:sz w:val="20"/>
              </w:rPr>
              <w:t>Largest</w:t>
            </w:r>
            <w:r>
              <w:rPr>
                <w:i/>
                <w:spacing w:val="-9"/>
                <w:sz w:val="20"/>
              </w:rPr>
              <w:t> </w:t>
            </w:r>
            <w:r>
              <w:rPr>
                <w:i/>
                <w:spacing w:val="-2"/>
                <w:sz w:val="20"/>
              </w:rPr>
              <w:t>absolute</w:t>
            </w:r>
            <w:r>
              <w:rPr>
                <w:i/>
                <w:spacing w:val="-9"/>
                <w:sz w:val="20"/>
              </w:rPr>
              <w:t> </w:t>
            </w:r>
            <w:r>
              <w:rPr>
                <w:i/>
                <w:spacing w:val="-2"/>
                <w:sz w:val="20"/>
              </w:rPr>
              <w:t>deviation</w:t>
            </w:r>
            <w:r>
              <w:rPr>
                <w:i/>
                <w:spacing w:val="-9"/>
                <w:sz w:val="20"/>
              </w:rPr>
              <w:t> </w:t>
            </w:r>
            <w:r>
              <w:rPr>
                <w:i/>
                <w:spacing w:val="-2"/>
                <w:sz w:val="20"/>
              </w:rPr>
              <w:t>in</w:t>
            </w:r>
            <w:r>
              <w:rPr>
                <w:i/>
                <w:spacing w:val="-9"/>
                <w:sz w:val="20"/>
              </w:rPr>
              <w:t> </w:t>
            </w:r>
            <w:r>
              <w:rPr>
                <w:i/>
                <w:spacing w:val="-2"/>
                <w:sz w:val="20"/>
              </w:rPr>
              <w:t>either</w:t>
            </w:r>
            <w:r>
              <w:rPr>
                <w:i/>
                <w:spacing w:val="-9"/>
                <w:sz w:val="20"/>
              </w:rPr>
              <w:t> </w:t>
            </w:r>
            <w:r>
              <w:rPr>
                <w:i/>
                <w:spacing w:val="-2"/>
                <w:sz w:val="20"/>
              </w:rPr>
              <w:t>region</w:t>
            </w:r>
            <w:r>
              <w:rPr>
                <w:i/>
                <w:spacing w:val="-9"/>
                <w:sz w:val="20"/>
              </w:rPr>
              <w:t> </w:t>
            </w:r>
            <w:r>
              <w:rPr>
                <w:i/>
                <w:spacing w:val="-2"/>
                <w:sz w:val="20"/>
              </w:rPr>
              <w:t>(+311 mhl).</w:t>
            </w:r>
          </w:p>
          <w:p>
            <w:pPr>
              <w:pStyle w:val="TableParagraph"/>
              <w:spacing w:line="249" w:lineRule="auto" w:before="15"/>
              <w:ind w:left="118" w:right="116"/>
              <w:jc w:val="both"/>
              <w:rPr>
                <w:b/>
                <w:sz w:val="20"/>
              </w:rPr>
            </w:pPr>
            <w:r>
              <w:rPr>
                <w:b/>
                <w:sz w:val="20"/>
              </w:rPr>
              <w:t>Temp post-Flowering [12.6–17.5</w:t>
            </w:r>
            <w:r>
              <w:rPr>
                <w:rFonts w:ascii="Meiryo UI" w:hAnsi="Meiryo UI"/>
                <w:i/>
                <w:position w:val="7"/>
                <w:sz w:val="14"/>
              </w:rPr>
              <w:t>◦</w:t>
            </w:r>
            <w:r>
              <w:rPr>
                <w:b/>
                <w:sz w:val="20"/>
              </w:rPr>
              <w:t>C] AND </w:t>
            </w:r>
            <w:r>
              <w:rPr>
                <w:b/>
                <w:sz w:val="20"/>
              </w:rPr>
              <w:t>Heat days post-Maturity [0–2.4d] AND Wet-soil days post-Flowering prev.yr [17.5–20d]</w:t>
            </w:r>
          </w:p>
          <w:p>
            <w:pPr>
              <w:pStyle w:val="TableParagraph"/>
              <w:spacing w:line="249" w:lineRule="auto" w:before="0"/>
              <w:ind w:left="118" w:right="116" w:hanging="7"/>
              <w:jc w:val="both"/>
              <w:rPr>
                <w:i/>
                <w:sz w:val="20"/>
              </w:rPr>
            </w:pPr>
            <w:r>
              <w:rPr>
                <w:i/>
                <w:sz w:val="20"/>
              </w:rPr>
              <w:t>Cool</w:t>
            </w:r>
            <w:r>
              <w:rPr>
                <w:i/>
                <w:spacing w:val="-7"/>
                <w:sz w:val="20"/>
              </w:rPr>
              <w:t> </w:t>
            </w:r>
            <w:r>
              <w:rPr>
                <w:i/>
                <w:sz w:val="20"/>
              </w:rPr>
              <w:t>post-flowering</w:t>
            </w:r>
            <w:r>
              <w:rPr>
                <w:i/>
                <w:spacing w:val="-7"/>
                <w:sz w:val="20"/>
              </w:rPr>
              <w:t> </w:t>
            </w:r>
            <w:r>
              <w:rPr>
                <w:i/>
                <w:sz w:val="20"/>
              </w:rPr>
              <w:t>temperature</w:t>
            </w:r>
            <w:r>
              <w:rPr>
                <w:i/>
                <w:spacing w:val="-7"/>
                <w:sz w:val="20"/>
              </w:rPr>
              <w:t> </w:t>
            </w:r>
            <w:r>
              <w:rPr>
                <w:i/>
                <w:sz w:val="20"/>
              </w:rPr>
              <w:t>with</w:t>
            </w:r>
            <w:r>
              <w:rPr>
                <w:i/>
                <w:spacing w:val="-6"/>
                <w:sz w:val="20"/>
              </w:rPr>
              <w:t> </w:t>
            </w:r>
            <w:r>
              <w:rPr>
                <w:i/>
                <w:sz w:val="20"/>
              </w:rPr>
              <w:t>previous-</w:t>
            </w:r>
            <w:r>
              <w:rPr>
                <w:i/>
                <w:sz w:val="20"/>
              </w:rPr>
              <w:t>year</w:t>
            </w:r>
            <w:r>
              <w:rPr>
                <w:i/>
                <w:sz w:val="20"/>
              </w:rPr>
              <w:t> soil saturation carry-over.</w:t>
            </w:r>
          </w:p>
        </w:tc>
        <w:tc>
          <w:tcPr>
            <w:tcW w:w="757" w:type="dxa"/>
            <w:tcBorders>
              <w:left w:val="single" w:sz="4" w:space="0" w:color="000000"/>
              <w:right w:val="single" w:sz="4" w:space="0" w:color="000000"/>
            </w:tcBorders>
          </w:tcPr>
          <w:p>
            <w:pPr>
              <w:pStyle w:val="TableParagraph"/>
              <w:spacing w:before="49"/>
              <w:ind w:left="107"/>
              <w:jc w:val="center"/>
              <w:rPr>
                <w:sz w:val="18"/>
              </w:rPr>
            </w:pPr>
            <w:r>
              <w:rPr>
                <w:spacing w:val="-2"/>
                <w:sz w:val="18"/>
              </w:rPr>
              <w:t>BELOW</w:t>
            </w:r>
          </w:p>
        </w:tc>
        <w:tc>
          <w:tcPr>
            <w:tcW w:w="984" w:type="dxa"/>
            <w:tcBorders>
              <w:left w:val="single" w:sz="4" w:space="0" w:color="000000"/>
              <w:right w:val="single" w:sz="4" w:space="0" w:color="000000"/>
            </w:tcBorders>
          </w:tcPr>
          <w:p>
            <w:pPr>
              <w:pStyle w:val="TableParagraph"/>
              <w:spacing w:before="31"/>
              <w:ind w:left="118"/>
              <w:rPr>
                <w:sz w:val="20"/>
              </w:rPr>
            </w:pPr>
            <w:r>
              <w:rPr>
                <w:spacing w:val="-2"/>
                <w:sz w:val="20"/>
              </w:rPr>
              <w:t>-</w:t>
            </w:r>
            <w:r>
              <w:rPr>
                <w:spacing w:val="-5"/>
                <w:sz w:val="20"/>
              </w:rPr>
              <w:t>338</w:t>
            </w:r>
          </w:p>
        </w:tc>
        <w:tc>
          <w:tcPr>
            <w:tcW w:w="927" w:type="dxa"/>
            <w:tcBorders>
              <w:left w:val="single" w:sz="4" w:space="0" w:color="000000"/>
              <w:right w:val="single" w:sz="4" w:space="0" w:color="000000"/>
            </w:tcBorders>
          </w:tcPr>
          <w:p>
            <w:pPr>
              <w:pStyle w:val="TableParagraph"/>
              <w:spacing w:before="31"/>
              <w:ind w:left="118"/>
              <w:rPr>
                <w:sz w:val="20"/>
              </w:rPr>
            </w:pPr>
            <w:r>
              <w:rPr>
                <w:spacing w:val="-2"/>
                <w:sz w:val="20"/>
              </w:rPr>
              <w:t>21.2%</w:t>
            </w:r>
          </w:p>
        </w:tc>
        <w:tc>
          <w:tcPr>
            <w:tcW w:w="923" w:type="dxa"/>
            <w:tcBorders>
              <w:left w:val="single" w:sz="4" w:space="0" w:color="000000"/>
            </w:tcBorders>
          </w:tcPr>
          <w:p>
            <w:pPr>
              <w:pStyle w:val="TableParagraph"/>
              <w:spacing w:before="31"/>
              <w:ind w:left="119"/>
              <w:rPr>
                <w:sz w:val="20"/>
              </w:rPr>
            </w:pPr>
            <w:r>
              <w:rPr>
                <w:spacing w:val="-2"/>
                <w:sz w:val="20"/>
              </w:rPr>
              <w:t>0.0198</w:t>
            </w:r>
          </w:p>
        </w:tc>
      </w:tr>
      <w:tr>
        <w:trPr>
          <w:trHeight w:val="1486" w:hRule="atLeast"/>
        </w:trPr>
        <w:tc>
          <w:tcPr>
            <w:tcW w:w="470" w:type="dxa"/>
            <w:tcBorders>
              <w:right w:val="single" w:sz="4" w:space="0" w:color="000000"/>
            </w:tcBorders>
          </w:tcPr>
          <w:p>
            <w:pPr>
              <w:pStyle w:val="TableParagraph"/>
              <w:spacing w:before="0"/>
              <w:rPr>
                <w:sz w:val="20"/>
              </w:rPr>
            </w:pPr>
          </w:p>
          <w:p>
            <w:pPr>
              <w:pStyle w:val="TableParagraph"/>
              <w:spacing w:before="0"/>
              <w:rPr>
                <w:sz w:val="20"/>
              </w:rPr>
            </w:pPr>
          </w:p>
          <w:p>
            <w:pPr>
              <w:pStyle w:val="TableParagraph"/>
              <w:spacing w:before="50"/>
              <w:rPr>
                <w:sz w:val="20"/>
              </w:rPr>
            </w:pPr>
          </w:p>
          <w:p>
            <w:pPr>
              <w:pStyle w:val="TableParagraph"/>
              <w:spacing w:before="0"/>
              <w:ind w:left="119"/>
              <w:rPr>
                <w:sz w:val="20"/>
              </w:rPr>
            </w:pPr>
            <w:r>
              <w:rPr>
                <w:spacing w:val="-10"/>
                <w:sz w:val="20"/>
              </w:rPr>
              <w:t>2</w:t>
            </w:r>
          </w:p>
        </w:tc>
        <w:tc>
          <w:tcPr>
            <w:tcW w:w="4442" w:type="dxa"/>
            <w:vMerge/>
            <w:tcBorders>
              <w:top w:val="nil"/>
              <w:left w:val="single" w:sz="4" w:space="0" w:color="000000"/>
              <w:bottom w:val="single" w:sz="8" w:space="0" w:color="000000"/>
              <w:right w:val="single" w:sz="4" w:space="0" w:color="000000"/>
            </w:tcBorders>
          </w:tcPr>
          <w:p>
            <w:pPr>
              <w:rPr>
                <w:sz w:val="2"/>
                <w:szCs w:val="2"/>
              </w:rPr>
            </w:pPr>
          </w:p>
        </w:tc>
        <w:tc>
          <w:tcPr>
            <w:tcW w:w="757" w:type="dxa"/>
            <w:tcBorders>
              <w:left w:val="single" w:sz="4" w:space="0" w:color="000000"/>
              <w:right w:val="single" w:sz="4" w:space="0" w:color="000000"/>
            </w:tcBorders>
          </w:tcPr>
          <w:p>
            <w:pPr>
              <w:pStyle w:val="TableParagraph"/>
              <w:spacing w:before="0"/>
              <w:rPr>
                <w:sz w:val="18"/>
              </w:rPr>
            </w:pPr>
          </w:p>
          <w:p>
            <w:pPr>
              <w:pStyle w:val="TableParagraph"/>
              <w:spacing w:before="0"/>
              <w:rPr>
                <w:sz w:val="18"/>
              </w:rPr>
            </w:pPr>
          </w:p>
          <w:p>
            <w:pPr>
              <w:pStyle w:val="TableParagraph"/>
              <w:spacing w:before="137"/>
              <w:rPr>
                <w:sz w:val="18"/>
              </w:rPr>
            </w:pPr>
          </w:p>
          <w:p>
            <w:pPr>
              <w:pStyle w:val="TableParagraph"/>
              <w:spacing w:before="0"/>
              <w:ind w:left="107"/>
              <w:jc w:val="center"/>
              <w:rPr>
                <w:sz w:val="18"/>
              </w:rPr>
            </w:pPr>
            <w:r>
              <w:rPr>
                <w:spacing w:val="-2"/>
                <w:sz w:val="18"/>
              </w:rPr>
              <w:t>BELOW</w:t>
            </w:r>
          </w:p>
        </w:tc>
        <w:tc>
          <w:tcPr>
            <w:tcW w:w="984" w:type="dxa"/>
            <w:tcBorders>
              <w:left w:val="single" w:sz="4" w:space="0" w:color="000000"/>
              <w:right w:val="single" w:sz="4" w:space="0" w:color="000000"/>
            </w:tcBorders>
          </w:tcPr>
          <w:p>
            <w:pPr>
              <w:pStyle w:val="TableParagraph"/>
              <w:spacing w:before="0"/>
              <w:rPr>
                <w:sz w:val="20"/>
              </w:rPr>
            </w:pPr>
          </w:p>
          <w:p>
            <w:pPr>
              <w:pStyle w:val="TableParagraph"/>
              <w:spacing w:before="0"/>
              <w:rPr>
                <w:sz w:val="20"/>
              </w:rPr>
            </w:pPr>
          </w:p>
          <w:p>
            <w:pPr>
              <w:pStyle w:val="TableParagraph"/>
              <w:spacing w:before="50"/>
              <w:rPr>
                <w:sz w:val="20"/>
              </w:rPr>
            </w:pPr>
          </w:p>
          <w:p>
            <w:pPr>
              <w:pStyle w:val="TableParagraph"/>
              <w:spacing w:before="0"/>
              <w:ind w:left="118"/>
              <w:rPr>
                <w:sz w:val="20"/>
              </w:rPr>
            </w:pPr>
            <w:r>
              <w:rPr>
                <w:spacing w:val="-2"/>
                <w:sz w:val="20"/>
              </w:rPr>
              <w:t>-</w:t>
            </w:r>
            <w:r>
              <w:rPr>
                <w:spacing w:val="-5"/>
                <w:sz w:val="20"/>
              </w:rPr>
              <w:t>268</w:t>
            </w:r>
          </w:p>
        </w:tc>
        <w:tc>
          <w:tcPr>
            <w:tcW w:w="927" w:type="dxa"/>
            <w:tcBorders>
              <w:left w:val="single" w:sz="4" w:space="0" w:color="000000"/>
              <w:right w:val="single" w:sz="4" w:space="0" w:color="000000"/>
            </w:tcBorders>
          </w:tcPr>
          <w:p>
            <w:pPr>
              <w:pStyle w:val="TableParagraph"/>
              <w:spacing w:before="0"/>
              <w:rPr>
                <w:sz w:val="20"/>
              </w:rPr>
            </w:pPr>
          </w:p>
          <w:p>
            <w:pPr>
              <w:pStyle w:val="TableParagraph"/>
              <w:spacing w:before="0"/>
              <w:rPr>
                <w:sz w:val="20"/>
              </w:rPr>
            </w:pPr>
          </w:p>
          <w:p>
            <w:pPr>
              <w:pStyle w:val="TableParagraph"/>
              <w:spacing w:before="50"/>
              <w:rPr>
                <w:sz w:val="20"/>
              </w:rPr>
            </w:pPr>
          </w:p>
          <w:p>
            <w:pPr>
              <w:pStyle w:val="TableParagraph"/>
              <w:spacing w:before="0"/>
              <w:ind w:left="118"/>
              <w:rPr>
                <w:sz w:val="20"/>
              </w:rPr>
            </w:pPr>
            <w:r>
              <w:rPr>
                <w:spacing w:val="-2"/>
                <w:sz w:val="20"/>
              </w:rPr>
              <w:t>21.2%</w:t>
            </w:r>
          </w:p>
        </w:tc>
        <w:tc>
          <w:tcPr>
            <w:tcW w:w="923" w:type="dxa"/>
            <w:tcBorders>
              <w:left w:val="single" w:sz="4" w:space="0" w:color="000000"/>
            </w:tcBorders>
          </w:tcPr>
          <w:p>
            <w:pPr>
              <w:pStyle w:val="TableParagraph"/>
              <w:spacing w:before="0"/>
              <w:rPr>
                <w:sz w:val="20"/>
              </w:rPr>
            </w:pPr>
          </w:p>
          <w:p>
            <w:pPr>
              <w:pStyle w:val="TableParagraph"/>
              <w:spacing w:before="0"/>
              <w:rPr>
                <w:sz w:val="20"/>
              </w:rPr>
            </w:pPr>
          </w:p>
          <w:p>
            <w:pPr>
              <w:pStyle w:val="TableParagraph"/>
              <w:spacing w:before="50"/>
              <w:rPr>
                <w:sz w:val="20"/>
              </w:rPr>
            </w:pPr>
          </w:p>
          <w:p>
            <w:pPr>
              <w:pStyle w:val="TableParagraph"/>
              <w:spacing w:before="0"/>
              <w:ind w:left="119"/>
              <w:rPr>
                <w:sz w:val="20"/>
              </w:rPr>
            </w:pPr>
            <w:r>
              <w:rPr>
                <w:spacing w:val="-2"/>
                <w:sz w:val="20"/>
              </w:rPr>
              <w:t>0.0216</w:t>
            </w:r>
          </w:p>
        </w:tc>
      </w:tr>
      <w:tr>
        <w:trPr>
          <w:trHeight w:val="1127" w:hRule="atLeast"/>
        </w:trPr>
        <w:tc>
          <w:tcPr>
            <w:tcW w:w="470" w:type="dxa"/>
            <w:tcBorders>
              <w:right w:val="single" w:sz="4" w:space="0" w:color="000000"/>
            </w:tcBorders>
          </w:tcPr>
          <w:p>
            <w:pPr>
              <w:pStyle w:val="TableParagraph"/>
              <w:spacing w:before="0"/>
              <w:rPr>
                <w:sz w:val="20"/>
              </w:rPr>
            </w:pPr>
          </w:p>
          <w:p>
            <w:pPr>
              <w:pStyle w:val="TableParagraph"/>
              <w:spacing w:before="41"/>
              <w:rPr>
                <w:sz w:val="20"/>
              </w:rPr>
            </w:pPr>
          </w:p>
          <w:p>
            <w:pPr>
              <w:pStyle w:val="TableParagraph"/>
              <w:spacing w:before="0"/>
              <w:ind w:left="119"/>
              <w:rPr>
                <w:sz w:val="20"/>
              </w:rPr>
            </w:pPr>
            <w:r>
              <w:rPr>
                <w:spacing w:val="-10"/>
                <w:sz w:val="20"/>
              </w:rPr>
              <w:t>3</w:t>
            </w:r>
          </w:p>
        </w:tc>
        <w:tc>
          <w:tcPr>
            <w:tcW w:w="4442" w:type="dxa"/>
            <w:vMerge/>
            <w:tcBorders>
              <w:top w:val="nil"/>
              <w:left w:val="single" w:sz="4" w:space="0" w:color="000000"/>
              <w:bottom w:val="single" w:sz="8" w:space="0" w:color="000000"/>
              <w:right w:val="single" w:sz="4" w:space="0" w:color="000000"/>
            </w:tcBorders>
          </w:tcPr>
          <w:p>
            <w:pPr>
              <w:rPr>
                <w:sz w:val="2"/>
                <w:szCs w:val="2"/>
              </w:rPr>
            </w:pPr>
          </w:p>
        </w:tc>
        <w:tc>
          <w:tcPr>
            <w:tcW w:w="757" w:type="dxa"/>
            <w:tcBorders>
              <w:left w:val="single" w:sz="4" w:space="0" w:color="000000"/>
              <w:right w:val="single" w:sz="4" w:space="0" w:color="000000"/>
            </w:tcBorders>
          </w:tcPr>
          <w:p>
            <w:pPr>
              <w:pStyle w:val="TableParagraph"/>
              <w:spacing w:before="0"/>
              <w:rPr>
                <w:sz w:val="18"/>
              </w:rPr>
            </w:pPr>
          </w:p>
          <w:p>
            <w:pPr>
              <w:pStyle w:val="TableParagraph"/>
              <w:spacing w:before="105"/>
              <w:rPr>
                <w:sz w:val="18"/>
              </w:rPr>
            </w:pPr>
          </w:p>
          <w:p>
            <w:pPr>
              <w:pStyle w:val="TableParagraph"/>
              <w:spacing w:before="0"/>
              <w:ind w:left="107"/>
              <w:jc w:val="center"/>
              <w:rPr>
                <w:sz w:val="18"/>
              </w:rPr>
            </w:pPr>
            <w:r>
              <w:rPr>
                <w:spacing w:val="-2"/>
                <w:sz w:val="18"/>
              </w:rPr>
              <w:t>BELOW</w:t>
            </w:r>
          </w:p>
        </w:tc>
        <w:tc>
          <w:tcPr>
            <w:tcW w:w="984" w:type="dxa"/>
            <w:tcBorders>
              <w:left w:val="single" w:sz="4" w:space="0" w:color="000000"/>
              <w:right w:val="single" w:sz="4" w:space="0" w:color="000000"/>
            </w:tcBorders>
          </w:tcPr>
          <w:p>
            <w:pPr>
              <w:pStyle w:val="TableParagraph"/>
              <w:spacing w:before="0"/>
              <w:rPr>
                <w:sz w:val="20"/>
              </w:rPr>
            </w:pPr>
          </w:p>
          <w:p>
            <w:pPr>
              <w:pStyle w:val="TableParagraph"/>
              <w:spacing w:before="41"/>
              <w:rPr>
                <w:sz w:val="20"/>
              </w:rPr>
            </w:pPr>
          </w:p>
          <w:p>
            <w:pPr>
              <w:pStyle w:val="TableParagraph"/>
              <w:spacing w:before="0"/>
              <w:ind w:left="118"/>
              <w:rPr>
                <w:sz w:val="20"/>
              </w:rPr>
            </w:pPr>
            <w:r>
              <w:rPr>
                <w:spacing w:val="-2"/>
                <w:sz w:val="20"/>
              </w:rPr>
              <w:t>-</w:t>
            </w:r>
            <w:r>
              <w:rPr>
                <w:spacing w:val="-5"/>
                <w:sz w:val="20"/>
              </w:rPr>
              <w:t>365</w:t>
            </w:r>
          </w:p>
        </w:tc>
        <w:tc>
          <w:tcPr>
            <w:tcW w:w="927" w:type="dxa"/>
            <w:tcBorders>
              <w:left w:val="single" w:sz="4" w:space="0" w:color="000000"/>
              <w:right w:val="single" w:sz="4" w:space="0" w:color="000000"/>
            </w:tcBorders>
          </w:tcPr>
          <w:p>
            <w:pPr>
              <w:pStyle w:val="TableParagraph"/>
              <w:spacing w:before="0"/>
              <w:rPr>
                <w:sz w:val="20"/>
              </w:rPr>
            </w:pPr>
          </w:p>
          <w:p>
            <w:pPr>
              <w:pStyle w:val="TableParagraph"/>
              <w:spacing w:before="41"/>
              <w:rPr>
                <w:sz w:val="20"/>
              </w:rPr>
            </w:pPr>
          </w:p>
          <w:p>
            <w:pPr>
              <w:pStyle w:val="TableParagraph"/>
              <w:spacing w:before="0"/>
              <w:ind w:left="118"/>
              <w:rPr>
                <w:sz w:val="20"/>
              </w:rPr>
            </w:pPr>
            <w:r>
              <w:rPr>
                <w:spacing w:val="-2"/>
                <w:sz w:val="20"/>
              </w:rPr>
              <w:t>27.5%</w:t>
            </w:r>
          </w:p>
        </w:tc>
        <w:tc>
          <w:tcPr>
            <w:tcW w:w="923" w:type="dxa"/>
            <w:tcBorders>
              <w:left w:val="single" w:sz="4" w:space="0" w:color="000000"/>
            </w:tcBorders>
          </w:tcPr>
          <w:p>
            <w:pPr>
              <w:pStyle w:val="TableParagraph"/>
              <w:spacing w:before="0"/>
              <w:rPr>
                <w:sz w:val="20"/>
              </w:rPr>
            </w:pPr>
          </w:p>
          <w:p>
            <w:pPr>
              <w:pStyle w:val="TableParagraph"/>
              <w:spacing w:before="41"/>
              <w:rPr>
                <w:sz w:val="20"/>
              </w:rPr>
            </w:pPr>
          </w:p>
          <w:p>
            <w:pPr>
              <w:pStyle w:val="TableParagraph"/>
              <w:spacing w:before="0"/>
              <w:ind w:left="119"/>
              <w:rPr>
                <w:sz w:val="20"/>
              </w:rPr>
            </w:pPr>
            <w:r>
              <w:rPr>
                <w:spacing w:val="-2"/>
                <w:sz w:val="20"/>
              </w:rPr>
              <w:t>0.0294</w:t>
            </w:r>
          </w:p>
        </w:tc>
      </w:tr>
      <w:tr>
        <w:trPr>
          <w:trHeight w:val="1366" w:hRule="atLeast"/>
        </w:trPr>
        <w:tc>
          <w:tcPr>
            <w:tcW w:w="470" w:type="dxa"/>
            <w:tcBorders>
              <w:right w:val="single" w:sz="4" w:space="0" w:color="000000"/>
            </w:tcBorders>
          </w:tcPr>
          <w:p>
            <w:pPr>
              <w:pStyle w:val="TableParagraph"/>
              <w:spacing w:before="151"/>
              <w:rPr>
                <w:sz w:val="20"/>
              </w:rPr>
            </w:pPr>
          </w:p>
          <w:p>
            <w:pPr>
              <w:pStyle w:val="TableParagraph"/>
              <w:spacing w:before="0"/>
              <w:ind w:left="119"/>
              <w:rPr>
                <w:sz w:val="20"/>
              </w:rPr>
            </w:pPr>
            <w:r>
              <w:rPr>
                <w:spacing w:val="-10"/>
                <w:sz w:val="20"/>
              </w:rPr>
              <w:t>4</w:t>
            </w:r>
          </w:p>
        </w:tc>
        <w:tc>
          <w:tcPr>
            <w:tcW w:w="4442" w:type="dxa"/>
            <w:vMerge/>
            <w:tcBorders>
              <w:top w:val="nil"/>
              <w:left w:val="single" w:sz="4" w:space="0" w:color="000000"/>
              <w:bottom w:val="single" w:sz="8" w:space="0" w:color="000000"/>
              <w:right w:val="single" w:sz="4" w:space="0" w:color="000000"/>
            </w:tcBorders>
          </w:tcPr>
          <w:p>
            <w:pPr>
              <w:rPr>
                <w:sz w:val="2"/>
                <w:szCs w:val="2"/>
              </w:rPr>
            </w:pPr>
          </w:p>
        </w:tc>
        <w:tc>
          <w:tcPr>
            <w:tcW w:w="757" w:type="dxa"/>
            <w:tcBorders>
              <w:left w:val="single" w:sz="4" w:space="0" w:color="000000"/>
              <w:right w:val="single" w:sz="4" w:space="0" w:color="000000"/>
            </w:tcBorders>
          </w:tcPr>
          <w:p>
            <w:pPr>
              <w:pStyle w:val="TableParagraph"/>
              <w:spacing w:before="193"/>
              <w:rPr>
                <w:sz w:val="18"/>
              </w:rPr>
            </w:pPr>
          </w:p>
          <w:p>
            <w:pPr>
              <w:pStyle w:val="TableParagraph"/>
              <w:spacing w:before="0"/>
              <w:ind w:left="85"/>
              <w:jc w:val="center"/>
              <w:rPr>
                <w:sz w:val="18"/>
              </w:rPr>
            </w:pPr>
            <w:r>
              <w:rPr>
                <w:spacing w:val="-4"/>
                <w:sz w:val="18"/>
              </w:rPr>
              <w:t>ABOVE</w:t>
            </w:r>
          </w:p>
        </w:tc>
        <w:tc>
          <w:tcPr>
            <w:tcW w:w="984" w:type="dxa"/>
            <w:tcBorders>
              <w:left w:val="single" w:sz="4" w:space="0" w:color="000000"/>
              <w:right w:val="single" w:sz="4" w:space="0" w:color="000000"/>
            </w:tcBorders>
          </w:tcPr>
          <w:p>
            <w:pPr>
              <w:pStyle w:val="TableParagraph"/>
              <w:spacing w:before="151"/>
              <w:rPr>
                <w:sz w:val="20"/>
              </w:rPr>
            </w:pPr>
          </w:p>
          <w:p>
            <w:pPr>
              <w:pStyle w:val="TableParagraph"/>
              <w:spacing w:before="0"/>
              <w:ind w:left="118"/>
              <w:rPr>
                <w:sz w:val="20"/>
              </w:rPr>
            </w:pPr>
            <w:r>
              <w:rPr>
                <w:spacing w:val="-4"/>
                <w:sz w:val="20"/>
              </w:rPr>
              <w:t>+311</w:t>
            </w:r>
          </w:p>
        </w:tc>
        <w:tc>
          <w:tcPr>
            <w:tcW w:w="927" w:type="dxa"/>
            <w:tcBorders>
              <w:left w:val="single" w:sz="4" w:space="0" w:color="000000"/>
              <w:right w:val="single" w:sz="4" w:space="0" w:color="000000"/>
            </w:tcBorders>
          </w:tcPr>
          <w:p>
            <w:pPr>
              <w:pStyle w:val="TableParagraph"/>
              <w:spacing w:before="151"/>
              <w:rPr>
                <w:sz w:val="20"/>
              </w:rPr>
            </w:pPr>
          </w:p>
          <w:p>
            <w:pPr>
              <w:pStyle w:val="TableParagraph"/>
              <w:spacing w:before="0"/>
              <w:ind w:left="118"/>
              <w:rPr>
                <w:sz w:val="20"/>
              </w:rPr>
            </w:pPr>
            <w:r>
              <w:rPr>
                <w:spacing w:val="-2"/>
                <w:sz w:val="20"/>
              </w:rPr>
              <w:t>25.0%</w:t>
            </w:r>
          </w:p>
        </w:tc>
        <w:tc>
          <w:tcPr>
            <w:tcW w:w="923" w:type="dxa"/>
            <w:tcBorders>
              <w:left w:val="single" w:sz="4" w:space="0" w:color="000000"/>
            </w:tcBorders>
          </w:tcPr>
          <w:p>
            <w:pPr>
              <w:pStyle w:val="TableParagraph"/>
              <w:spacing w:before="151"/>
              <w:rPr>
                <w:sz w:val="20"/>
              </w:rPr>
            </w:pPr>
          </w:p>
          <w:p>
            <w:pPr>
              <w:pStyle w:val="TableParagraph"/>
              <w:spacing w:before="0"/>
              <w:ind w:left="119"/>
              <w:rPr>
                <w:sz w:val="20"/>
              </w:rPr>
            </w:pPr>
            <w:r>
              <w:rPr>
                <w:spacing w:val="-2"/>
                <w:sz w:val="20"/>
              </w:rPr>
              <w:t>0.0298</w:t>
            </w:r>
          </w:p>
        </w:tc>
      </w:tr>
      <w:tr>
        <w:trPr>
          <w:trHeight w:val="2012" w:hRule="atLeast"/>
        </w:trPr>
        <w:tc>
          <w:tcPr>
            <w:tcW w:w="470" w:type="dxa"/>
            <w:tcBorders>
              <w:bottom w:val="single" w:sz="8" w:space="0" w:color="000000"/>
              <w:right w:val="single" w:sz="4" w:space="0" w:color="000000"/>
            </w:tcBorders>
          </w:tcPr>
          <w:p>
            <w:pPr>
              <w:pStyle w:val="TableParagraph"/>
              <w:spacing w:before="0"/>
              <w:rPr>
                <w:sz w:val="20"/>
              </w:rPr>
            </w:pPr>
          </w:p>
          <w:p>
            <w:pPr>
              <w:pStyle w:val="TableParagraph"/>
              <w:spacing w:before="0"/>
              <w:rPr>
                <w:sz w:val="20"/>
              </w:rPr>
            </w:pPr>
          </w:p>
          <w:p>
            <w:pPr>
              <w:pStyle w:val="TableParagraph"/>
              <w:spacing w:before="50"/>
              <w:rPr>
                <w:sz w:val="20"/>
              </w:rPr>
            </w:pPr>
          </w:p>
          <w:p>
            <w:pPr>
              <w:pStyle w:val="TableParagraph"/>
              <w:spacing w:before="0"/>
              <w:ind w:left="119"/>
              <w:rPr>
                <w:sz w:val="20"/>
              </w:rPr>
            </w:pPr>
            <w:r>
              <w:rPr>
                <w:spacing w:val="-10"/>
                <w:sz w:val="20"/>
              </w:rPr>
              <w:t>5</w:t>
            </w:r>
          </w:p>
        </w:tc>
        <w:tc>
          <w:tcPr>
            <w:tcW w:w="4442" w:type="dxa"/>
            <w:vMerge/>
            <w:tcBorders>
              <w:top w:val="nil"/>
              <w:left w:val="single" w:sz="4" w:space="0" w:color="000000"/>
              <w:bottom w:val="single" w:sz="8" w:space="0" w:color="000000"/>
              <w:right w:val="single" w:sz="4" w:space="0" w:color="000000"/>
            </w:tcBorders>
          </w:tcPr>
          <w:p>
            <w:pPr>
              <w:rPr>
                <w:sz w:val="2"/>
                <w:szCs w:val="2"/>
              </w:rPr>
            </w:pPr>
          </w:p>
        </w:tc>
        <w:tc>
          <w:tcPr>
            <w:tcW w:w="757" w:type="dxa"/>
            <w:tcBorders>
              <w:left w:val="single" w:sz="4" w:space="0" w:color="000000"/>
              <w:bottom w:val="single" w:sz="8" w:space="0" w:color="000000"/>
              <w:right w:val="single" w:sz="4" w:space="0" w:color="000000"/>
            </w:tcBorders>
          </w:tcPr>
          <w:p>
            <w:pPr>
              <w:pStyle w:val="TableParagraph"/>
              <w:spacing w:before="0"/>
              <w:rPr>
                <w:sz w:val="18"/>
              </w:rPr>
            </w:pPr>
          </w:p>
          <w:p>
            <w:pPr>
              <w:pStyle w:val="TableParagraph"/>
              <w:spacing w:before="0"/>
              <w:rPr>
                <w:sz w:val="18"/>
              </w:rPr>
            </w:pPr>
          </w:p>
          <w:p>
            <w:pPr>
              <w:pStyle w:val="TableParagraph"/>
              <w:spacing w:before="137"/>
              <w:rPr>
                <w:sz w:val="18"/>
              </w:rPr>
            </w:pPr>
          </w:p>
          <w:p>
            <w:pPr>
              <w:pStyle w:val="TableParagraph"/>
              <w:spacing w:before="0"/>
              <w:ind w:left="107"/>
              <w:jc w:val="center"/>
              <w:rPr>
                <w:sz w:val="18"/>
              </w:rPr>
            </w:pPr>
            <w:r>
              <w:rPr>
                <w:spacing w:val="-2"/>
                <w:sz w:val="18"/>
              </w:rPr>
              <w:t>BELOW</w:t>
            </w:r>
          </w:p>
        </w:tc>
        <w:tc>
          <w:tcPr>
            <w:tcW w:w="984" w:type="dxa"/>
            <w:tcBorders>
              <w:left w:val="single" w:sz="4" w:space="0" w:color="000000"/>
              <w:bottom w:val="single" w:sz="8" w:space="0" w:color="000000"/>
              <w:right w:val="single" w:sz="4" w:space="0" w:color="000000"/>
            </w:tcBorders>
          </w:tcPr>
          <w:p>
            <w:pPr>
              <w:pStyle w:val="TableParagraph"/>
              <w:spacing w:before="0"/>
              <w:rPr>
                <w:sz w:val="20"/>
              </w:rPr>
            </w:pPr>
          </w:p>
          <w:p>
            <w:pPr>
              <w:pStyle w:val="TableParagraph"/>
              <w:spacing w:before="0"/>
              <w:rPr>
                <w:sz w:val="20"/>
              </w:rPr>
            </w:pPr>
          </w:p>
          <w:p>
            <w:pPr>
              <w:pStyle w:val="TableParagraph"/>
              <w:spacing w:before="50"/>
              <w:rPr>
                <w:sz w:val="20"/>
              </w:rPr>
            </w:pPr>
          </w:p>
          <w:p>
            <w:pPr>
              <w:pStyle w:val="TableParagraph"/>
              <w:spacing w:before="0"/>
              <w:ind w:left="118"/>
              <w:rPr>
                <w:sz w:val="20"/>
              </w:rPr>
            </w:pPr>
            <w:r>
              <w:rPr>
                <w:spacing w:val="-2"/>
                <w:sz w:val="20"/>
              </w:rPr>
              <w:t>-</w:t>
            </w:r>
            <w:r>
              <w:rPr>
                <w:spacing w:val="-5"/>
                <w:sz w:val="20"/>
              </w:rPr>
              <w:t>292</w:t>
            </w:r>
          </w:p>
        </w:tc>
        <w:tc>
          <w:tcPr>
            <w:tcW w:w="927" w:type="dxa"/>
            <w:tcBorders>
              <w:left w:val="single" w:sz="4" w:space="0" w:color="000000"/>
              <w:bottom w:val="single" w:sz="8" w:space="0" w:color="000000"/>
              <w:right w:val="single" w:sz="4" w:space="0" w:color="000000"/>
            </w:tcBorders>
          </w:tcPr>
          <w:p>
            <w:pPr>
              <w:pStyle w:val="TableParagraph"/>
              <w:spacing w:before="0"/>
              <w:rPr>
                <w:sz w:val="20"/>
              </w:rPr>
            </w:pPr>
          </w:p>
          <w:p>
            <w:pPr>
              <w:pStyle w:val="TableParagraph"/>
              <w:spacing w:before="0"/>
              <w:rPr>
                <w:sz w:val="20"/>
              </w:rPr>
            </w:pPr>
          </w:p>
          <w:p>
            <w:pPr>
              <w:pStyle w:val="TableParagraph"/>
              <w:spacing w:before="50"/>
              <w:rPr>
                <w:sz w:val="20"/>
              </w:rPr>
            </w:pPr>
          </w:p>
          <w:p>
            <w:pPr>
              <w:pStyle w:val="TableParagraph"/>
              <w:spacing w:before="0"/>
              <w:ind w:left="118"/>
              <w:rPr>
                <w:sz w:val="20"/>
              </w:rPr>
            </w:pPr>
            <w:r>
              <w:rPr>
                <w:spacing w:val="-2"/>
                <w:sz w:val="20"/>
              </w:rPr>
              <w:t>23.8%</w:t>
            </w:r>
          </w:p>
        </w:tc>
        <w:tc>
          <w:tcPr>
            <w:tcW w:w="923" w:type="dxa"/>
            <w:tcBorders>
              <w:left w:val="single" w:sz="4" w:space="0" w:color="000000"/>
              <w:bottom w:val="single" w:sz="8" w:space="0" w:color="000000"/>
            </w:tcBorders>
          </w:tcPr>
          <w:p>
            <w:pPr>
              <w:pStyle w:val="TableParagraph"/>
              <w:spacing w:before="0"/>
              <w:rPr>
                <w:sz w:val="20"/>
              </w:rPr>
            </w:pPr>
          </w:p>
          <w:p>
            <w:pPr>
              <w:pStyle w:val="TableParagraph"/>
              <w:spacing w:before="0"/>
              <w:rPr>
                <w:sz w:val="20"/>
              </w:rPr>
            </w:pPr>
          </w:p>
          <w:p>
            <w:pPr>
              <w:pStyle w:val="TableParagraph"/>
              <w:spacing w:before="50"/>
              <w:rPr>
                <w:sz w:val="20"/>
              </w:rPr>
            </w:pPr>
          </w:p>
          <w:p>
            <w:pPr>
              <w:pStyle w:val="TableParagraph"/>
              <w:spacing w:before="0"/>
              <w:ind w:left="119"/>
              <w:rPr>
                <w:sz w:val="20"/>
              </w:rPr>
            </w:pPr>
            <w:r>
              <w:rPr>
                <w:spacing w:val="-2"/>
                <w:sz w:val="20"/>
              </w:rPr>
              <w:t>0.0299</w:t>
            </w:r>
          </w:p>
        </w:tc>
      </w:tr>
    </w:tbl>
    <w:p>
      <w:pPr>
        <w:pStyle w:val="BodyText"/>
        <w:rPr>
          <w:sz w:val="20"/>
        </w:rPr>
      </w:pPr>
    </w:p>
    <w:p>
      <w:pPr>
        <w:pStyle w:val="BodyText"/>
        <w:spacing w:before="36"/>
        <w:rPr>
          <w:sz w:val="20"/>
        </w:rPr>
      </w:pPr>
    </w:p>
    <w:p>
      <w:pPr>
        <w:pStyle w:val="BodyText"/>
        <w:spacing w:line="312" w:lineRule="auto"/>
        <w:ind w:left="709" w:right="990"/>
        <w:jc w:val="both"/>
      </w:pPr>
      <w:r>
        <w:rPr/>
        <w:t>KS-test-based</w:t>
      </w:r>
      <w:r>
        <w:rPr>
          <w:spacing w:val="-2"/>
        </w:rPr>
        <w:t> </w:t>
      </w:r>
      <w:r>
        <w:rPr/>
        <w:t>induction: LAI</w:t>
      </w:r>
      <w:r>
        <w:rPr>
          <w:spacing w:val="-2"/>
        </w:rPr>
        <w:t> </w:t>
      </w:r>
      <w:r>
        <w:rPr/>
        <w:t>produces</w:t>
      </w:r>
      <w:r>
        <w:rPr>
          <w:spacing w:val="-2"/>
        </w:rPr>
        <w:t> </w:t>
      </w:r>
      <w:r>
        <w:rPr/>
        <w:t>a</w:t>
      </w:r>
      <w:r>
        <w:rPr>
          <w:spacing w:val="-2"/>
        </w:rPr>
        <w:t> </w:t>
      </w:r>
      <w:r>
        <w:rPr/>
        <w:t>distributional</w:t>
      </w:r>
      <w:r>
        <w:rPr>
          <w:spacing w:val="-2"/>
        </w:rPr>
        <w:t> </w:t>
      </w:r>
      <w:r>
        <w:rPr/>
        <w:t>shift</w:t>
      </w:r>
      <w:r>
        <w:rPr>
          <w:spacing w:val="-2"/>
        </w:rPr>
        <w:t> </w:t>
      </w:r>
      <w:r>
        <w:rPr/>
        <w:t>that</w:t>
      </w:r>
      <w:r>
        <w:rPr>
          <w:spacing w:val="-2"/>
        </w:rPr>
        <w:t> </w:t>
      </w:r>
      <w:r>
        <w:rPr/>
        <w:t>is</w:t>
      </w:r>
      <w:r>
        <w:rPr>
          <w:spacing w:val="-2"/>
        </w:rPr>
        <w:t> </w:t>
      </w:r>
      <w:r>
        <w:rPr/>
        <w:t>amplified</w:t>
      </w:r>
      <w:r>
        <w:rPr>
          <w:spacing w:val="-2"/>
        </w:rPr>
        <w:t> </w:t>
      </w:r>
      <w:r>
        <w:rPr/>
        <w:t>by</w:t>
      </w:r>
      <w:r>
        <w:rPr>
          <w:spacing w:val="-2"/>
        </w:rPr>
        <w:t> </w:t>
      </w:r>
      <w:r>
        <w:rPr/>
        <w:t>conditioning</w:t>
      </w:r>
      <w:r>
        <w:rPr>
          <w:spacing w:val="-2"/>
        </w:rPr>
        <w:t> </w:t>
      </w:r>
      <w:r>
        <w:rPr/>
        <w:t>on additional variables.</w:t>
      </w:r>
    </w:p>
    <w:p>
      <w:pPr>
        <w:pStyle w:val="BodyText"/>
      </w:pPr>
    </w:p>
    <w:p>
      <w:pPr>
        <w:pStyle w:val="BodyText"/>
        <w:spacing w:before="19"/>
      </w:pPr>
    </w:p>
    <w:p>
      <w:pPr>
        <w:pStyle w:val="Heading3"/>
        <w:numPr>
          <w:ilvl w:val="2"/>
          <w:numId w:val="18"/>
        </w:numPr>
        <w:tabs>
          <w:tab w:pos="1426" w:val="left" w:leader="none"/>
        </w:tabs>
        <w:spacing w:line="240" w:lineRule="auto" w:before="0" w:after="0"/>
        <w:ind w:left="1426" w:right="0" w:hanging="717"/>
        <w:jc w:val="left"/>
      </w:pPr>
      <w:bookmarkStart w:name="4.1.3 The Directional Inversion: A Metho" w:id="134"/>
      <w:bookmarkEnd w:id="134"/>
      <w:r>
        <w:rPr>
          <w:b w:val="0"/>
        </w:rPr>
      </w:r>
      <w:bookmarkStart w:name="_bookmark74" w:id="135"/>
      <w:bookmarkEnd w:id="135"/>
      <w:r>
        <w:rPr>
          <w:b w:val="0"/>
        </w:rPr>
      </w:r>
      <w:r>
        <w:rPr/>
        <w:t>The</w:t>
      </w:r>
      <w:r>
        <w:rPr>
          <w:spacing w:val="-15"/>
        </w:rPr>
        <w:t> </w:t>
      </w:r>
      <w:r>
        <w:rPr/>
        <w:t>Directional</w:t>
      </w:r>
      <w:r>
        <w:rPr>
          <w:spacing w:val="-15"/>
        </w:rPr>
        <w:t> </w:t>
      </w:r>
      <w:r>
        <w:rPr/>
        <w:t>Inversion:</w:t>
      </w:r>
      <w:r>
        <w:rPr>
          <w:spacing w:val="-4"/>
        </w:rPr>
        <w:t> </w:t>
      </w:r>
      <w:r>
        <w:rPr/>
        <w:t>A</w:t>
      </w:r>
      <w:r>
        <w:rPr>
          <w:spacing w:val="-14"/>
        </w:rPr>
        <w:t> </w:t>
      </w:r>
      <w:r>
        <w:rPr/>
        <w:t>Method</w:t>
      </w:r>
      <w:r>
        <w:rPr>
          <w:spacing w:val="-15"/>
        </w:rPr>
        <w:t> </w:t>
      </w:r>
      <w:r>
        <w:rPr/>
        <w:t>Validation</w:t>
      </w:r>
      <w:r>
        <w:rPr>
          <w:spacing w:val="-15"/>
        </w:rPr>
        <w:t> </w:t>
      </w:r>
      <w:r>
        <w:rPr>
          <w:spacing w:val="-4"/>
        </w:rPr>
        <w:t>Point</w:t>
      </w:r>
    </w:p>
    <w:p>
      <w:pPr>
        <w:pStyle w:val="BodyText"/>
        <w:spacing w:before="15"/>
        <w:rPr>
          <w:b/>
          <w:sz w:val="24"/>
        </w:rPr>
      </w:pPr>
    </w:p>
    <w:p>
      <w:pPr>
        <w:pStyle w:val="BodyText"/>
        <w:spacing w:line="312" w:lineRule="auto"/>
        <w:ind w:left="709" w:right="990" w:hanging="7"/>
        <w:jc w:val="both"/>
      </w:pPr>
      <w:r>
        <w:rPr/>
        <w:t>The</w:t>
      </w:r>
      <w:r>
        <w:rPr>
          <w:spacing w:val="-1"/>
        </w:rPr>
        <w:t> </w:t>
      </w:r>
      <w:r>
        <w:rPr/>
        <w:t>same</w:t>
      </w:r>
      <w:r>
        <w:rPr>
          <w:spacing w:val="-1"/>
        </w:rPr>
        <w:t> </w:t>
      </w:r>
      <w:r>
        <w:rPr/>
        <w:t>feature,</w:t>
      </w:r>
      <w:r>
        <w:rPr>
          <w:spacing w:val="-1"/>
        </w:rPr>
        <w:t> </w:t>
      </w:r>
      <w:r>
        <w:rPr/>
        <w:t>soil</w:t>
      </w:r>
      <w:r>
        <w:rPr>
          <w:spacing w:val="-1"/>
        </w:rPr>
        <w:t> </w:t>
      </w:r>
      <w:r>
        <w:rPr/>
        <w:t>water</w:t>
      </w:r>
      <w:r>
        <w:rPr>
          <w:spacing w:val="-1"/>
        </w:rPr>
        <w:t> </w:t>
      </w:r>
      <w:r>
        <w:rPr/>
        <w:t>at</w:t>
      </w:r>
      <w:r>
        <w:rPr>
          <w:spacing w:val="-1"/>
        </w:rPr>
        <w:t> </w:t>
      </w:r>
      <w:r>
        <w:rPr/>
        <w:t>harvest</w:t>
      </w:r>
      <w:r>
        <w:rPr>
          <w:spacing w:val="-1"/>
        </w:rPr>
        <w:t> </w:t>
      </w:r>
      <w:r>
        <w:rPr/>
        <w:t>(swa_hv_y1_b20),</w:t>
      </w:r>
      <w:r>
        <w:rPr>
          <w:spacing w:val="-1"/>
        </w:rPr>
        <w:t> </w:t>
      </w:r>
      <w:r>
        <w:rPr/>
        <w:t>is</w:t>
      </w:r>
      <w:r>
        <w:rPr>
          <w:spacing w:val="-1"/>
        </w:rPr>
        <w:t> </w:t>
      </w:r>
      <w:r>
        <w:rPr/>
        <w:t>selected</w:t>
      </w:r>
      <w:r>
        <w:rPr>
          <w:spacing w:val="-1"/>
        </w:rPr>
        <w:t> </w:t>
      </w:r>
      <w:r>
        <w:rPr/>
        <w:t>as</w:t>
      </w:r>
      <w:r>
        <w:rPr>
          <w:spacing w:val="-1"/>
        </w:rPr>
        <w:t> </w:t>
      </w:r>
      <w:r>
        <w:rPr/>
        <w:t>the</w:t>
      </w:r>
      <w:r>
        <w:rPr>
          <w:spacing w:val="-1"/>
        </w:rPr>
        <w:t> </w:t>
      </w:r>
      <w:r>
        <w:rPr/>
        <w:t>dominant</w:t>
      </w:r>
      <w:r>
        <w:rPr>
          <w:spacing w:val="-1"/>
        </w:rPr>
        <w:t> </w:t>
      </w:r>
      <w:r>
        <w:rPr/>
        <w:t>variable</w:t>
      </w:r>
      <w:r>
        <w:rPr>
          <w:spacing w:val="-1"/>
        </w:rPr>
        <w:t> </w:t>
      </w:r>
      <w:r>
        <w:rPr/>
        <w:t>in both regions but with opposite distributional direction: moderate deficit predicts above-trend in </w:t>
      </w:r>
      <w:r>
        <w:rPr>
          <w:spacing w:val="-4"/>
        </w:rPr>
        <w:t>RDD,</w:t>
      </w:r>
      <w:r>
        <w:rPr>
          <w:spacing w:val="-10"/>
        </w:rPr>
        <w:t> </w:t>
      </w:r>
      <w:r>
        <w:rPr>
          <w:spacing w:val="-4"/>
        </w:rPr>
        <w:t>the</w:t>
      </w:r>
      <w:r>
        <w:rPr>
          <w:spacing w:val="-10"/>
        </w:rPr>
        <w:t> </w:t>
      </w:r>
      <w:r>
        <w:rPr>
          <w:spacing w:val="-4"/>
        </w:rPr>
        <w:t>same</w:t>
      </w:r>
      <w:r>
        <w:rPr>
          <w:spacing w:val="-10"/>
        </w:rPr>
        <w:t> </w:t>
      </w:r>
      <w:r>
        <w:rPr>
          <w:spacing w:val="-4"/>
        </w:rPr>
        <w:t>variable</w:t>
      </w:r>
      <w:r>
        <w:rPr>
          <w:spacing w:val="-9"/>
        </w:rPr>
        <w:t> </w:t>
      </w:r>
      <w:r>
        <w:rPr>
          <w:spacing w:val="-4"/>
        </w:rPr>
        <w:t>range</w:t>
      </w:r>
      <w:r>
        <w:rPr>
          <w:spacing w:val="-10"/>
        </w:rPr>
        <w:t> </w:t>
      </w:r>
      <w:r>
        <w:rPr>
          <w:spacing w:val="-4"/>
        </w:rPr>
        <w:t>predicts</w:t>
      </w:r>
      <w:r>
        <w:rPr>
          <w:spacing w:val="-10"/>
        </w:rPr>
        <w:t> </w:t>
      </w:r>
      <w:r>
        <w:rPr>
          <w:spacing w:val="-4"/>
        </w:rPr>
        <w:t>below-trend</w:t>
      </w:r>
      <w:r>
        <w:rPr>
          <w:spacing w:val="-10"/>
        </w:rPr>
        <w:t> </w:t>
      </w:r>
      <w:r>
        <w:rPr>
          <w:spacing w:val="-4"/>
        </w:rPr>
        <w:t>in</w:t>
      </w:r>
      <w:r>
        <w:rPr>
          <w:spacing w:val="-9"/>
        </w:rPr>
        <w:t> </w:t>
      </w:r>
      <w:r>
        <w:rPr>
          <w:spacing w:val="-4"/>
        </w:rPr>
        <w:t>RVV.</w:t>
      </w:r>
      <w:r>
        <w:rPr>
          <w:spacing w:val="-10"/>
        </w:rPr>
        <w:t> </w:t>
      </w:r>
      <w:r>
        <w:rPr>
          <w:spacing w:val="-4"/>
        </w:rPr>
        <w:t>This</w:t>
      </w:r>
      <w:r>
        <w:rPr>
          <w:spacing w:val="-10"/>
        </w:rPr>
        <w:t> </w:t>
      </w:r>
      <w:r>
        <w:rPr>
          <w:spacing w:val="-4"/>
        </w:rPr>
        <w:t>is</w:t>
      </w:r>
      <w:r>
        <w:rPr>
          <w:spacing w:val="-10"/>
        </w:rPr>
        <w:t> </w:t>
      </w:r>
      <w:r>
        <w:rPr>
          <w:spacing w:val="-4"/>
        </w:rPr>
        <w:t>a</w:t>
      </w:r>
      <w:r>
        <w:rPr>
          <w:spacing w:val="-9"/>
        </w:rPr>
        <w:t> </w:t>
      </w:r>
      <w:r>
        <w:rPr>
          <w:spacing w:val="-4"/>
        </w:rPr>
        <w:t>meaningful</w:t>
      </w:r>
      <w:r>
        <w:rPr>
          <w:spacing w:val="-10"/>
        </w:rPr>
        <w:t> </w:t>
      </w:r>
      <w:r>
        <w:rPr>
          <w:spacing w:val="-4"/>
        </w:rPr>
        <w:t>test</w:t>
      </w:r>
      <w:r>
        <w:rPr>
          <w:spacing w:val="-10"/>
        </w:rPr>
        <w:t> </w:t>
      </w:r>
      <w:r>
        <w:rPr>
          <w:spacing w:val="-4"/>
        </w:rPr>
        <w:t>of</w:t>
      </w:r>
      <w:r>
        <w:rPr>
          <w:spacing w:val="-10"/>
        </w:rPr>
        <w:t> </w:t>
      </w:r>
      <w:r>
        <w:rPr>
          <w:spacing w:val="-4"/>
        </w:rPr>
        <w:t>the</w:t>
      </w:r>
      <w:r>
        <w:rPr>
          <w:spacing w:val="-9"/>
        </w:rPr>
        <w:t> </w:t>
      </w:r>
      <w:r>
        <w:rPr>
          <w:spacing w:val="-4"/>
        </w:rPr>
        <w:t>method’s </w:t>
      </w:r>
      <w:r>
        <w:rPr>
          <w:spacing w:val="-2"/>
        </w:rPr>
        <w:t>sensitivity: CarenR</w:t>
      </w:r>
      <w:r>
        <w:rPr>
          <w:spacing w:val="-9"/>
        </w:rPr>
        <w:t> </w:t>
      </w:r>
      <w:r>
        <w:rPr>
          <w:spacing w:val="-2"/>
        </w:rPr>
        <w:t>correctly</w:t>
      </w:r>
      <w:r>
        <w:rPr>
          <w:spacing w:val="-9"/>
        </w:rPr>
        <w:t> </w:t>
      </w:r>
      <w:r>
        <w:rPr>
          <w:spacing w:val="-2"/>
        </w:rPr>
        <w:t>detects</w:t>
      </w:r>
      <w:r>
        <w:rPr>
          <w:spacing w:val="-9"/>
        </w:rPr>
        <w:t> </w:t>
      </w:r>
      <w:r>
        <w:rPr>
          <w:spacing w:val="-2"/>
        </w:rPr>
        <w:t>that</w:t>
      </w:r>
      <w:r>
        <w:rPr>
          <w:spacing w:val="-9"/>
        </w:rPr>
        <w:t> </w:t>
      </w:r>
      <w:r>
        <w:rPr>
          <w:spacing w:val="-2"/>
        </w:rPr>
        <w:t>the</w:t>
      </w:r>
      <w:r>
        <w:rPr>
          <w:spacing w:val="-9"/>
        </w:rPr>
        <w:t> </w:t>
      </w:r>
      <w:r>
        <w:rPr>
          <w:spacing w:val="-2"/>
        </w:rPr>
        <w:t>same</w:t>
      </w:r>
      <w:r>
        <w:rPr>
          <w:spacing w:val="-9"/>
        </w:rPr>
        <w:t> </w:t>
      </w:r>
      <w:r>
        <w:rPr>
          <w:spacing w:val="-2"/>
        </w:rPr>
        <w:t>variable</w:t>
      </w:r>
      <w:r>
        <w:rPr>
          <w:spacing w:val="-9"/>
        </w:rPr>
        <w:t> </w:t>
      </w:r>
      <w:r>
        <w:rPr>
          <w:spacing w:val="-2"/>
        </w:rPr>
        <w:t>can</w:t>
      </w:r>
      <w:r>
        <w:rPr>
          <w:spacing w:val="-9"/>
        </w:rPr>
        <w:t> </w:t>
      </w:r>
      <w:r>
        <w:rPr>
          <w:spacing w:val="-2"/>
        </w:rPr>
        <w:t>carry</w:t>
      </w:r>
      <w:r>
        <w:rPr>
          <w:spacing w:val="-9"/>
        </w:rPr>
        <w:t> </w:t>
      </w:r>
      <w:r>
        <w:rPr>
          <w:spacing w:val="-2"/>
        </w:rPr>
        <w:t>opposite</w:t>
      </w:r>
      <w:r>
        <w:rPr>
          <w:spacing w:val="-9"/>
        </w:rPr>
        <w:t> </w:t>
      </w:r>
      <w:r>
        <w:rPr>
          <w:spacing w:val="-2"/>
        </w:rPr>
        <w:t>distributional</w:t>
      </w:r>
      <w:r>
        <w:rPr>
          <w:spacing w:val="-9"/>
        </w:rPr>
        <w:t> </w:t>
      </w:r>
      <w:r>
        <w:rPr>
          <w:spacing w:val="-2"/>
        </w:rPr>
        <w:t>signals </w:t>
      </w:r>
      <w:r>
        <w:rPr/>
        <w:t>in different contexts. A classification algorithm trained on both regions together would conflate these opposite effects; CarenR, operating independently on each dataset, identifies the </w:t>
      </w:r>
      <w:r>
        <w:rPr/>
        <w:t>correct </w:t>
      </w:r>
      <w:r>
        <w:rPr>
          <w:spacing w:val="-4"/>
        </w:rPr>
        <w:t>regional</w:t>
      </w:r>
      <w:r>
        <w:rPr/>
        <w:t> </w:t>
      </w:r>
      <w:r>
        <w:rPr>
          <w:spacing w:val="-4"/>
        </w:rPr>
        <w:t>direction</w:t>
      </w:r>
      <w:r>
        <w:rPr/>
        <w:t> </w:t>
      </w:r>
      <w:r>
        <w:rPr>
          <w:spacing w:val="-4"/>
        </w:rPr>
        <w:t>without</w:t>
      </w:r>
      <w:r>
        <w:rPr>
          <w:spacing w:val="1"/>
        </w:rPr>
        <w:t> </w:t>
      </w:r>
      <w:r>
        <w:rPr>
          <w:spacing w:val="-4"/>
        </w:rPr>
        <w:t>any</w:t>
      </w:r>
      <w:r>
        <w:rPr/>
        <w:t> </w:t>
      </w:r>
      <w:r>
        <w:rPr>
          <w:spacing w:val="-4"/>
        </w:rPr>
        <w:t>cross-region</w:t>
      </w:r>
      <w:r>
        <w:rPr/>
        <w:t> </w:t>
      </w:r>
      <w:r>
        <w:rPr>
          <w:spacing w:val="-4"/>
        </w:rPr>
        <w:t>information.</w:t>
      </w:r>
      <w:r>
        <w:rPr>
          <w:spacing w:val="20"/>
        </w:rPr>
        <w:t> </w:t>
      </w:r>
      <w:r>
        <w:rPr>
          <w:spacing w:val="-4"/>
        </w:rPr>
        <w:t>The</w:t>
      </w:r>
      <w:r>
        <w:rPr>
          <w:spacing w:val="1"/>
        </w:rPr>
        <w:t> </w:t>
      </w:r>
      <w:r>
        <w:rPr>
          <w:spacing w:val="-4"/>
        </w:rPr>
        <w:t>domain</w:t>
      </w:r>
      <w:r>
        <w:rPr/>
        <w:t> </w:t>
      </w:r>
      <w:r>
        <w:rPr>
          <w:spacing w:val="-4"/>
        </w:rPr>
        <w:t>explanation</w:t>
      </w:r>
      <w:r>
        <w:rPr/>
        <w:t> </w:t>
      </w:r>
      <w:r>
        <w:rPr>
          <w:spacing w:val="-4"/>
        </w:rPr>
        <w:t>(different</w:t>
      </w:r>
      <w:r>
        <w:rPr>
          <w:spacing w:val="1"/>
        </w:rPr>
        <w:t> </w:t>
      </w:r>
      <w:r>
        <w:rPr>
          <w:spacing w:val="-4"/>
        </w:rPr>
        <w:t>baseline</w:t>
      </w:r>
    </w:p>
    <w:p>
      <w:pPr>
        <w:pStyle w:val="BodyText"/>
        <w:spacing w:after="0" w:line="312" w:lineRule="auto"/>
        <w:jc w:val="both"/>
        <w:sectPr>
          <w:pgSz w:w="11910" w:h="16840"/>
          <w:pgMar w:header="1160" w:footer="0" w:top="1420" w:bottom="280" w:left="1275" w:right="425"/>
        </w:sectPr>
      </w:pPr>
    </w:p>
    <w:p>
      <w:pPr>
        <w:pStyle w:val="BodyText"/>
      </w:pPr>
    </w:p>
    <w:p>
      <w:pPr>
        <w:pStyle w:val="BodyText"/>
        <w:spacing w:before="25"/>
      </w:pPr>
    </w:p>
    <w:p>
      <w:pPr>
        <w:pStyle w:val="BodyText"/>
        <w:spacing w:line="312" w:lineRule="auto" w:before="1"/>
        <w:ind w:left="142" w:right="1557"/>
        <w:jc w:val="both"/>
      </w:pPr>
      <w:r>
        <w:rPr/>
        <w:t>climates) validates the finding but is secondary; the primary observation is that the KS-based framework correctly detects region-specific distributional structure.</w:t>
      </w:r>
    </w:p>
    <w:p>
      <w:pPr>
        <w:spacing w:before="220"/>
        <w:ind w:left="1344" w:right="0" w:firstLine="0"/>
        <w:jc w:val="left"/>
        <w:rPr>
          <w:sz w:val="20"/>
        </w:rPr>
      </w:pPr>
      <w:bookmarkStart w:name="_bookmark75" w:id="136"/>
      <w:bookmarkEnd w:id="136"/>
      <w:r>
        <w:rPr/>
      </w:r>
      <w:r>
        <w:rPr>
          <w:b/>
          <w:sz w:val="20"/>
        </w:rPr>
        <w:t>Table</w:t>
      </w:r>
      <w:r>
        <w:rPr>
          <w:b/>
          <w:spacing w:val="-11"/>
          <w:sz w:val="20"/>
        </w:rPr>
        <w:t> </w:t>
      </w:r>
      <w:r>
        <w:rPr>
          <w:b/>
          <w:sz w:val="20"/>
        </w:rPr>
        <w:t>4.3: </w:t>
      </w:r>
      <w:r>
        <w:rPr>
          <w:sz w:val="20"/>
        </w:rPr>
        <w:t>Cross-regional</w:t>
      </w:r>
      <w:r>
        <w:rPr>
          <w:spacing w:val="-10"/>
          <w:sz w:val="20"/>
        </w:rPr>
        <w:t> </w:t>
      </w:r>
      <w:r>
        <w:rPr>
          <w:sz w:val="20"/>
        </w:rPr>
        <w:t>feature</w:t>
      </w:r>
      <w:r>
        <w:rPr>
          <w:spacing w:val="-10"/>
          <w:sz w:val="20"/>
        </w:rPr>
        <w:t> </w:t>
      </w:r>
      <w:r>
        <w:rPr>
          <w:sz w:val="20"/>
        </w:rPr>
        <w:t>direction</w:t>
      </w:r>
      <w:r>
        <w:rPr>
          <w:spacing w:val="-10"/>
          <w:sz w:val="20"/>
        </w:rPr>
        <w:t> </w:t>
      </w:r>
      <w:r>
        <w:rPr>
          <w:sz w:val="20"/>
        </w:rPr>
        <w:t>comparison</w:t>
      </w:r>
      <w:r>
        <w:rPr>
          <w:spacing w:val="-11"/>
          <w:sz w:val="20"/>
        </w:rPr>
        <w:t> </w:t>
      </w:r>
      <w:r>
        <w:rPr>
          <w:sz w:val="20"/>
        </w:rPr>
        <w:t>for</w:t>
      </w:r>
      <w:r>
        <w:rPr>
          <w:spacing w:val="-10"/>
          <w:sz w:val="20"/>
        </w:rPr>
        <w:t> </w:t>
      </w:r>
      <w:r>
        <w:rPr>
          <w:spacing w:val="-2"/>
          <w:sz w:val="20"/>
        </w:rPr>
        <w:t>swa_hv_y1_b20.</w:t>
      </w:r>
    </w:p>
    <w:p>
      <w:pPr>
        <w:pStyle w:val="BodyText"/>
        <w:spacing w:before="5"/>
        <w:rPr>
          <w:sz w:val="18"/>
        </w:rPr>
      </w:pPr>
      <w:r>
        <w:rPr>
          <w:sz w:val="18"/>
        </w:rPr>
        <mc:AlternateContent>
          <mc:Choice Requires="wps">
            <w:drawing>
              <wp:anchor distT="0" distB="0" distL="0" distR="0" allowOverlap="1" layoutInCell="1" locked="0" behindDoc="1" simplePos="0" relativeHeight="487617536">
                <wp:simplePos x="0" y="0"/>
                <wp:positionH relativeFrom="page">
                  <wp:posOffset>899998</wp:posOffset>
                </wp:positionH>
                <wp:positionV relativeFrom="paragraph">
                  <wp:posOffset>150018</wp:posOffset>
                </wp:positionV>
                <wp:extent cx="5400040" cy="1270"/>
                <wp:effectExtent l="0" t="0" r="0" b="0"/>
                <wp:wrapTopAndBottom/>
                <wp:docPr id="158" name="Graphic 158"/>
                <wp:cNvGraphicFramePr>
                  <a:graphicFrameLocks/>
                </wp:cNvGraphicFramePr>
                <a:graphic>
                  <a:graphicData uri="http://schemas.microsoft.com/office/word/2010/wordprocessingShape">
                    <wps:wsp>
                      <wps:cNvPr id="158" name="Graphic 158"/>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1.812461pt;width:425.2pt;height:.1pt;mso-position-horizontal-relative:page;mso-position-vertical-relative:paragraph;z-index:-15698944;mso-wrap-distance-left:0;mso-wrap-distance-right:0" id="docshape130" coordorigin="1417,236" coordsize="8504,0" path="m1417,236l9921,236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11"/>
        <w:gridCol w:w="1415"/>
        <w:gridCol w:w="961"/>
        <w:gridCol w:w="1074"/>
        <w:gridCol w:w="1414"/>
        <w:gridCol w:w="960"/>
        <w:gridCol w:w="1266"/>
      </w:tblGrid>
      <w:tr>
        <w:trPr>
          <w:trHeight w:val="585" w:hRule="atLeast"/>
        </w:trPr>
        <w:tc>
          <w:tcPr>
            <w:tcW w:w="1411" w:type="dxa"/>
            <w:tcBorders>
              <w:top w:val="nil"/>
              <w:left w:val="nil"/>
              <w:right w:val="single" w:sz="4" w:space="0" w:color="000000"/>
            </w:tcBorders>
          </w:tcPr>
          <w:p>
            <w:pPr>
              <w:pStyle w:val="TableParagraph"/>
              <w:spacing w:before="31"/>
              <w:ind w:left="79"/>
              <w:rPr>
                <w:sz w:val="20"/>
              </w:rPr>
            </w:pPr>
            <w:r>
              <w:rPr>
                <w:spacing w:val="-2"/>
                <w:sz w:val="20"/>
              </w:rPr>
              <w:t>Feature</w:t>
            </w:r>
          </w:p>
        </w:tc>
        <w:tc>
          <w:tcPr>
            <w:tcW w:w="1415" w:type="dxa"/>
            <w:tcBorders>
              <w:top w:val="nil"/>
              <w:left w:val="single" w:sz="4" w:space="0" w:color="000000"/>
              <w:right w:val="single" w:sz="4" w:space="0" w:color="000000"/>
            </w:tcBorders>
          </w:tcPr>
          <w:p>
            <w:pPr>
              <w:pStyle w:val="TableParagraph"/>
              <w:spacing w:before="31"/>
              <w:ind w:left="78"/>
              <w:rPr>
                <w:sz w:val="20"/>
              </w:rPr>
            </w:pPr>
            <w:r>
              <w:rPr>
                <w:sz w:val="20"/>
              </w:rPr>
              <w:t>RDD</w:t>
            </w:r>
            <w:r>
              <w:rPr>
                <w:spacing w:val="-5"/>
                <w:sz w:val="20"/>
              </w:rPr>
              <w:t> </w:t>
            </w:r>
            <w:r>
              <w:rPr>
                <w:sz w:val="20"/>
              </w:rPr>
              <w:t>bin</w:t>
            </w:r>
            <w:r>
              <w:rPr>
                <w:spacing w:val="-4"/>
                <w:sz w:val="20"/>
              </w:rPr>
              <w:t> </w:t>
            </w:r>
            <w:r>
              <w:rPr>
                <w:spacing w:val="-2"/>
                <w:sz w:val="20"/>
              </w:rPr>
              <w:t>range</w:t>
            </w:r>
          </w:p>
        </w:tc>
        <w:tc>
          <w:tcPr>
            <w:tcW w:w="961" w:type="dxa"/>
            <w:tcBorders>
              <w:top w:val="nil"/>
              <w:left w:val="single" w:sz="4" w:space="0" w:color="000000"/>
              <w:right w:val="single" w:sz="4" w:space="0" w:color="000000"/>
            </w:tcBorders>
          </w:tcPr>
          <w:p>
            <w:pPr>
              <w:pStyle w:val="TableParagraph"/>
              <w:spacing w:line="249" w:lineRule="auto" w:before="31"/>
              <w:ind w:left="77"/>
              <w:rPr>
                <w:sz w:val="20"/>
              </w:rPr>
            </w:pPr>
            <w:r>
              <w:rPr>
                <w:sz w:val="20"/>
              </w:rPr>
              <w:t>RDD</w:t>
            </w:r>
            <w:r>
              <w:rPr>
                <w:spacing w:val="80"/>
                <w:sz w:val="20"/>
              </w:rPr>
              <w:t> </w:t>
            </w:r>
            <w:r>
              <w:rPr>
                <w:sz w:val="20"/>
              </w:rPr>
              <w:t>di-</w:t>
            </w:r>
            <w:r>
              <w:rPr>
                <w:spacing w:val="-2"/>
                <w:sz w:val="20"/>
              </w:rPr>
              <w:t>rection</w:t>
            </w:r>
          </w:p>
        </w:tc>
        <w:tc>
          <w:tcPr>
            <w:tcW w:w="1074" w:type="dxa"/>
            <w:tcBorders>
              <w:top w:val="nil"/>
              <w:left w:val="single" w:sz="4" w:space="0" w:color="000000"/>
              <w:right w:val="single" w:sz="4" w:space="0" w:color="000000"/>
            </w:tcBorders>
          </w:tcPr>
          <w:p>
            <w:pPr>
              <w:pStyle w:val="TableParagraph"/>
              <w:spacing w:before="31"/>
              <w:ind w:left="77"/>
              <w:rPr>
                <w:sz w:val="20"/>
              </w:rPr>
            </w:pPr>
            <w:r>
              <w:rPr>
                <w:sz w:val="20"/>
              </w:rPr>
              <w:t>RDD</w:t>
            </w:r>
            <w:r>
              <w:rPr>
                <w:spacing w:val="-1"/>
                <w:sz w:val="20"/>
              </w:rPr>
              <w:t> </w:t>
            </w:r>
            <w:r>
              <w:rPr>
                <w:spacing w:val="-4"/>
                <w:sz w:val="20"/>
              </w:rPr>
              <w:t>mean</w:t>
            </w:r>
          </w:p>
          <w:p>
            <w:pPr>
              <w:pStyle w:val="TableParagraph"/>
              <w:spacing w:before="5"/>
              <w:ind w:left="77"/>
              <w:rPr>
                <w:rFonts w:ascii="Calibri" w:hAnsi="Calibri"/>
                <w:sz w:val="20"/>
              </w:rPr>
            </w:pPr>
            <w:r>
              <w:rPr>
                <w:rFonts w:ascii="Calibri" w:hAnsi="Calibri"/>
                <w:spacing w:val="-10"/>
                <w:w w:val="110"/>
                <w:sz w:val="20"/>
              </w:rPr>
              <w:t>∆</w:t>
            </w:r>
          </w:p>
        </w:tc>
        <w:tc>
          <w:tcPr>
            <w:tcW w:w="1414" w:type="dxa"/>
            <w:tcBorders>
              <w:top w:val="nil"/>
              <w:left w:val="single" w:sz="4" w:space="0" w:color="000000"/>
              <w:right w:val="single" w:sz="4" w:space="0" w:color="000000"/>
            </w:tcBorders>
          </w:tcPr>
          <w:p>
            <w:pPr>
              <w:pStyle w:val="TableParagraph"/>
              <w:spacing w:before="31"/>
              <w:ind w:left="78"/>
              <w:rPr>
                <w:sz w:val="20"/>
              </w:rPr>
            </w:pPr>
            <w:r>
              <w:rPr>
                <w:sz w:val="20"/>
              </w:rPr>
              <w:t>RVV</w:t>
            </w:r>
            <w:r>
              <w:rPr>
                <w:spacing w:val="-13"/>
                <w:sz w:val="20"/>
              </w:rPr>
              <w:t> </w:t>
            </w:r>
            <w:r>
              <w:rPr>
                <w:sz w:val="20"/>
              </w:rPr>
              <w:t>bin</w:t>
            </w:r>
            <w:r>
              <w:rPr>
                <w:spacing w:val="-12"/>
                <w:sz w:val="20"/>
              </w:rPr>
              <w:t> </w:t>
            </w:r>
            <w:r>
              <w:rPr>
                <w:spacing w:val="-2"/>
                <w:sz w:val="20"/>
              </w:rPr>
              <w:t>range</w:t>
            </w:r>
          </w:p>
        </w:tc>
        <w:tc>
          <w:tcPr>
            <w:tcW w:w="960" w:type="dxa"/>
            <w:tcBorders>
              <w:top w:val="nil"/>
              <w:left w:val="single" w:sz="4" w:space="0" w:color="000000"/>
              <w:right w:val="single" w:sz="4" w:space="0" w:color="000000"/>
            </w:tcBorders>
          </w:tcPr>
          <w:p>
            <w:pPr>
              <w:pStyle w:val="TableParagraph"/>
              <w:spacing w:before="31"/>
              <w:ind w:left="79"/>
              <w:rPr>
                <w:sz w:val="20"/>
              </w:rPr>
            </w:pPr>
            <w:r>
              <w:rPr>
                <w:spacing w:val="-5"/>
                <w:sz w:val="20"/>
              </w:rPr>
              <w:t>RVV</w:t>
            </w:r>
          </w:p>
          <w:p>
            <w:pPr>
              <w:pStyle w:val="TableParagraph"/>
              <w:spacing w:before="9"/>
              <w:ind w:left="79"/>
              <w:rPr>
                <w:sz w:val="20"/>
              </w:rPr>
            </w:pPr>
            <w:r>
              <w:rPr>
                <w:spacing w:val="-2"/>
                <w:sz w:val="20"/>
              </w:rPr>
              <w:t>direction</w:t>
            </w:r>
          </w:p>
        </w:tc>
        <w:tc>
          <w:tcPr>
            <w:tcW w:w="1266" w:type="dxa"/>
            <w:tcBorders>
              <w:top w:val="nil"/>
              <w:left w:val="single" w:sz="4" w:space="0" w:color="000000"/>
              <w:right w:val="nil"/>
            </w:tcBorders>
          </w:tcPr>
          <w:p>
            <w:pPr>
              <w:pStyle w:val="TableParagraph"/>
              <w:spacing w:before="27"/>
              <w:ind w:left="80"/>
              <w:rPr>
                <w:rFonts w:ascii="Calibri" w:hAnsi="Calibri"/>
                <w:sz w:val="20"/>
              </w:rPr>
            </w:pPr>
            <w:r>
              <w:rPr>
                <w:spacing w:val="-2"/>
                <w:sz w:val="20"/>
              </w:rPr>
              <w:t>RVV</w:t>
            </w:r>
            <w:r>
              <w:rPr>
                <w:spacing w:val="-7"/>
                <w:sz w:val="20"/>
              </w:rPr>
              <w:t> </w:t>
            </w:r>
            <w:r>
              <w:rPr>
                <w:spacing w:val="-2"/>
                <w:sz w:val="20"/>
              </w:rPr>
              <w:t>mean</w:t>
            </w:r>
            <w:r>
              <w:rPr>
                <w:spacing w:val="-6"/>
                <w:sz w:val="20"/>
              </w:rPr>
              <w:t> </w:t>
            </w:r>
            <w:r>
              <w:rPr>
                <w:rFonts w:ascii="Calibri" w:hAnsi="Calibri"/>
                <w:spacing w:val="-10"/>
                <w:sz w:val="20"/>
              </w:rPr>
              <w:t>∆</w:t>
            </w:r>
          </w:p>
        </w:tc>
      </w:tr>
    </w:tbl>
    <w:p>
      <w:pPr>
        <w:pStyle w:val="BodyText"/>
        <w:spacing w:before="10"/>
        <w:rPr>
          <w:sz w:val="4"/>
        </w:r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1"/>
        <w:gridCol w:w="1415"/>
        <w:gridCol w:w="961"/>
        <w:gridCol w:w="1074"/>
        <w:gridCol w:w="1414"/>
        <w:gridCol w:w="960"/>
        <w:gridCol w:w="1266"/>
      </w:tblGrid>
      <w:tr>
        <w:trPr>
          <w:trHeight w:val="783" w:hRule="atLeast"/>
        </w:trPr>
        <w:tc>
          <w:tcPr>
            <w:tcW w:w="1411" w:type="dxa"/>
            <w:tcBorders>
              <w:top w:val="nil"/>
              <w:left w:val="nil"/>
              <w:bottom w:val="nil"/>
            </w:tcBorders>
          </w:tcPr>
          <w:p>
            <w:pPr>
              <w:pStyle w:val="TableParagraph"/>
              <w:spacing w:line="249" w:lineRule="auto" w:before="31"/>
              <w:ind w:left="79" w:right="74"/>
              <w:rPr>
                <w:sz w:val="20"/>
              </w:rPr>
            </w:pPr>
            <w:r>
              <w:rPr>
                <w:b/>
                <w:spacing w:val="-2"/>
                <w:sz w:val="20"/>
              </w:rPr>
              <w:t>swa_hv_y1_ </w:t>
            </w:r>
            <w:r>
              <w:rPr>
                <w:b/>
                <w:sz w:val="20"/>
              </w:rPr>
              <w:t>b20 </w:t>
            </w:r>
            <w:r>
              <w:rPr>
                <w:sz w:val="20"/>
              </w:rPr>
              <w:t>(soil </w:t>
            </w:r>
            <w:r>
              <w:rPr>
                <w:sz w:val="20"/>
              </w:rPr>
              <w:t>water at harvest)</w:t>
            </w:r>
          </w:p>
        </w:tc>
        <w:tc>
          <w:tcPr>
            <w:tcW w:w="1415" w:type="dxa"/>
            <w:tcBorders>
              <w:top w:val="nil"/>
              <w:bottom w:val="nil"/>
            </w:tcBorders>
          </w:tcPr>
          <w:p>
            <w:pPr>
              <w:pStyle w:val="TableParagraph"/>
              <w:tabs>
                <w:tab w:pos="1009" w:val="left" w:leader="none"/>
              </w:tabs>
              <w:spacing w:before="31"/>
              <w:ind w:left="78"/>
              <w:rPr>
                <w:sz w:val="20"/>
              </w:rPr>
            </w:pPr>
            <w:r>
              <w:rPr>
                <w:sz w:val="20"/>
              </w:rPr>
              <w:t>74–</w:t>
            </w:r>
            <w:r>
              <w:rPr>
                <w:spacing w:val="-5"/>
                <w:sz w:val="20"/>
              </w:rPr>
              <w:t>231</w:t>
            </w:r>
            <w:r>
              <w:rPr>
                <w:sz w:val="20"/>
              </w:rPr>
              <w:tab/>
            </w:r>
            <w:r>
              <w:rPr>
                <w:spacing w:val="-5"/>
                <w:sz w:val="20"/>
              </w:rPr>
              <w:t>mm</w:t>
            </w:r>
          </w:p>
          <w:p>
            <w:pPr>
              <w:pStyle w:val="TableParagraph"/>
              <w:spacing w:line="249" w:lineRule="auto" w:before="9"/>
              <w:ind w:left="78" w:hanging="7"/>
              <w:rPr>
                <w:sz w:val="20"/>
              </w:rPr>
            </w:pPr>
            <w:r>
              <w:rPr>
                <w:spacing w:val="-2"/>
                <w:sz w:val="20"/>
              </w:rPr>
              <w:t>(moderate deficit)</w:t>
            </w:r>
          </w:p>
        </w:tc>
        <w:tc>
          <w:tcPr>
            <w:tcW w:w="961" w:type="dxa"/>
            <w:tcBorders>
              <w:top w:val="nil"/>
              <w:bottom w:val="nil"/>
            </w:tcBorders>
          </w:tcPr>
          <w:p>
            <w:pPr>
              <w:pStyle w:val="TableParagraph"/>
              <w:spacing w:before="31"/>
              <w:ind w:left="77"/>
              <w:rPr>
                <w:sz w:val="20"/>
              </w:rPr>
            </w:pPr>
            <w:r>
              <w:rPr>
                <w:spacing w:val="-2"/>
                <w:sz w:val="20"/>
              </w:rPr>
              <w:t>ABOVE</w:t>
            </w:r>
          </w:p>
          <w:p>
            <w:pPr>
              <w:pStyle w:val="TableParagraph"/>
              <w:spacing w:before="9"/>
              <w:ind w:left="77"/>
              <w:rPr>
                <w:sz w:val="20"/>
              </w:rPr>
            </w:pPr>
            <w:r>
              <w:rPr>
                <w:spacing w:val="-2"/>
                <w:sz w:val="20"/>
              </w:rPr>
              <w:t>trend</w:t>
            </w:r>
          </w:p>
        </w:tc>
        <w:tc>
          <w:tcPr>
            <w:tcW w:w="1074" w:type="dxa"/>
            <w:tcBorders>
              <w:top w:val="nil"/>
              <w:bottom w:val="nil"/>
            </w:tcBorders>
          </w:tcPr>
          <w:p>
            <w:pPr>
              <w:pStyle w:val="TableParagraph"/>
              <w:tabs>
                <w:tab w:pos="826" w:val="left" w:leader="none"/>
              </w:tabs>
              <w:spacing w:before="31"/>
              <w:ind w:left="77"/>
              <w:rPr>
                <w:sz w:val="20"/>
              </w:rPr>
            </w:pPr>
            <w:r>
              <w:rPr>
                <w:spacing w:val="-4"/>
                <w:sz w:val="20"/>
              </w:rPr>
              <w:t>+108</w:t>
            </w:r>
            <w:r>
              <w:rPr>
                <w:sz w:val="20"/>
              </w:rPr>
              <w:tab/>
            </w:r>
            <w:r>
              <w:rPr>
                <w:spacing w:val="-5"/>
                <w:sz w:val="20"/>
              </w:rPr>
              <w:t>to</w:t>
            </w:r>
          </w:p>
          <w:p>
            <w:pPr>
              <w:pStyle w:val="TableParagraph"/>
              <w:spacing w:before="9"/>
              <w:ind w:left="49"/>
              <w:rPr>
                <w:sz w:val="20"/>
              </w:rPr>
            </w:pPr>
            <w:r>
              <w:rPr>
                <w:sz w:val="20"/>
              </w:rPr>
              <w:t>+192</w:t>
            </w:r>
            <w:r>
              <w:rPr>
                <w:spacing w:val="-6"/>
                <w:sz w:val="20"/>
              </w:rPr>
              <w:t> </w:t>
            </w:r>
            <w:r>
              <w:rPr>
                <w:spacing w:val="-5"/>
                <w:sz w:val="20"/>
              </w:rPr>
              <w:t>mhl</w:t>
            </w:r>
          </w:p>
        </w:tc>
        <w:tc>
          <w:tcPr>
            <w:tcW w:w="1414" w:type="dxa"/>
            <w:tcBorders>
              <w:top w:val="nil"/>
              <w:bottom w:val="nil"/>
            </w:tcBorders>
          </w:tcPr>
          <w:p>
            <w:pPr>
              <w:pStyle w:val="TableParagraph"/>
              <w:tabs>
                <w:tab w:pos="1009" w:val="left" w:leader="none"/>
              </w:tabs>
              <w:spacing w:before="31"/>
              <w:ind w:left="78"/>
              <w:rPr>
                <w:sz w:val="20"/>
              </w:rPr>
            </w:pPr>
            <w:r>
              <w:rPr>
                <w:sz w:val="20"/>
              </w:rPr>
              <w:t>61–</w:t>
            </w:r>
            <w:r>
              <w:rPr>
                <w:spacing w:val="-5"/>
                <w:sz w:val="20"/>
              </w:rPr>
              <w:t>97</w:t>
            </w:r>
            <w:r>
              <w:rPr>
                <w:sz w:val="20"/>
              </w:rPr>
              <w:tab/>
            </w:r>
            <w:r>
              <w:rPr>
                <w:spacing w:val="-5"/>
                <w:sz w:val="20"/>
              </w:rPr>
              <w:t>mm</w:t>
            </w:r>
          </w:p>
          <w:p>
            <w:pPr>
              <w:pStyle w:val="TableParagraph"/>
              <w:spacing w:line="249" w:lineRule="auto" w:before="9"/>
              <w:ind w:left="78" w:hanging="7"/>
              <w:rPr>
                <w:sz w:val="20"/>
              </w:rPr>
            </w:pPr>
            <w:r>
              <w:rPr>
                <w:spacing w:val="-2"/>
                <w:sz w:val="20"/>
              </w:rPr>
              <w:t>(pronounced deficit)</w:t>
            </w:r>
          </w:p>
        </w:tc>
        <w:tc>
          <w:tcPr>
            <w:tcW w:w="960" w:type="dxa"/>
            <w:tcBorders>
              <w:top w:val="nil"/>
              <w:bottom w:val="nil"/>
            </w:tcBorders>
          </w:tcPr>
          <w:p>
            <w:pPr>
              <w:pStyle w:val="TableParagraph"/>
              <w:spacing w:before="31"/>
              <w:ind w:left="79"/>
              <w:rPr>
                <w:sz w:val="20"/>
              </w:rPr>
            </w:pPr>
            <w:r>
              <w:rPr>
                <w:spacing w:val="-2"/>
                <w:sz w:val="20"/>
              </w:rPr>
              <w:t>BELOW</w:t>
            </w:r>
          </w:p>
          <w:p>
            <w:pPr>
              <w:pStyle w:val="TableParagraph"/>
              <w:spacing w:before="9"/>
              <w:ind w:left="79"/>
              <w:rPr>
                <w:sz w:val="20"/>
              </w:rPr>
            </w:pPr>
            <w:r>
              <w:rPr>
                <w:spacing w:val="-2"/>
                <w:sz w:val="20"/>
              </w:rPr>
              <w:t>trend</w:t>
            </w:r>
          </w:p>
        </w:tc>
        <w:tc>
          <w:tcPr>
            <w:tcW w:w="1266" w:type="dxa"/>
            <w:tcBorders>
              <w:top w:val="nil"/>
              <w:bottom w:val="nil"/>
              <w:right w:val="nil"/>
            </w:tcBorders>
          </w:tcPr>
          <w:p>
            <w:pPr>
              <w:pStyle w:val="TableParagraph"/>
              <w:spacing w:before="31"/>
              <w:ind w:left="80"/>
              <w:rPr>
                <w:sz w:val="20"/>
              </w:rPr>
            </w:pPr>
            <w:r>
              <w:rPr>
                <w:sz w:val="20"/>
              </w:rPr>
              <w:t>-338</w:t>
            </w:r>
            <w:r>
              <w:rPr>
                <w:spacing w:val="-5"/>
                <w:sz w:val="20"/>
              </w:rPr>
              <w:t> mhl</w:t>
            </w:r>
          </w:p>
        </w:tc>
      </w:tr>
      <w:tr>
        <w:trPr>
          <w:trHeight w:val="1028" w:hRule="atLeast"/>
        </w:trPr>
        <w:tc>
          <w:tcPr>
            <w:tcW w:w="1411" w:type="dxa"/>
            <w:tcBorders>
              <w:top w:val="nil"/>
              <w:left w:val="nil"/>
              <w:bottom w:val="nil"/>
            </w:tcBorders>
          </w:tcPr>
          <w:p>
            <w:pPr>
              <w:pStyle w:val="TableParagraph"/>
              <w:tabs>
                <w:tab w:pos="931" w:val="left" w:leader="none"/>
              </w:tabs>
              <w:spacing w:line="249" w:lineRule="auto" w:before="36"/>
              <w:ind w:left="73" w:right="-87" w:firstLine="6"/>
              <w:rPr>
                <w:sz w:val="20"/>
              </w:rPr>
            </w:pPr>
            <w:r>
              <w:rPr>
                <w:b/>
                <w:spacing w:val="-4"/>
                <w:sz w:val="20"/>
              </w:rPr>
              <w:t>Wet</w:t>
            </w:r>
            <w:r>
              <w:rPr>
                <w:b/>
                <w:sz w:val="20"/>
              </w:rPr>
              <w:tab/>
            </w:r>
            <w:r>
              <w:rPr>
                <w:b/>
                <w:spacing w:val="-4"/>
                <w:sz w:val="20"/>
              </w:rPr>
              <w:t>days </w:t>
            </w:r>
            <w:r>
              <w:rPr>
                <w:b/>
                <w:spacing w:val="-2"/>
                <w:sz w:val="20"/>
              </w:rPr>
              <w:t>post-flowering </w:t>
            </w:r>
            <w:r>
              <w:rPr>
                <w:spacing w:val="-4"/>
                <w:sz w:val="20"/>
              </w:rPr>
              <w:t>(days.rf.above.1m fl)</w:t>
            </w:r>
          </w:p>
        </w:tc>
        <w:tc>
          <w:tcPr>
            <w:tcW w:w="1415" w:type="dxa"/>
            <w:tcBorders>
              <w:top w:val="nil"/>
              <w:bottom w:val="nil"/>
            </w:tcBorders>
          </w:tcPr>
          <w:p>
            <w:pPr>
              <w:pStyle w:val="TableParagraph"/>
              <w:tabs>
                <w:tab w:pos="952" w:val="left" w:leader="none"/>
              </w:tabs>
              <w:spacing w:line="249" w:lineRule="auto" w:before="36"/>
              <w:ind w:left="71" w:right="77" w:firstLine="6"/>
              <w:rPr>
                <w:sz w:val="20"/>
              </w:rPr>
            </w:pPr>
            <w:r>
              <w:rPr>
                <w:spacing w:val="-4"/>
                <w:sz w:val="20"/>
              </w:rPr>
              <w:t>0–3.3</w:t>
            </w:r>
            <w:r>
              <w:rPr>
                <w:sz w:val="20"/>
              </w:rPr>
              <w:tab/>
            </w:r>
            <w:r>
              <w:rPr>
                <w:spacing w:val="-4"/>
                <w:sz w:val="20"/>
              </w:rPr>
              <w:t>days </w:t>
            </w:r>
            <w:r>
              <w:rPr>
                <w:sz w:val="20"/>
              </w:rPr>
              <w:t>(very dry)</w:t>
            </w:r>
          </w:p>
          <w:p>
            <w:pPr>
              <w:pStyle w:val="TableParagraph"/>
              <w:spacing w:before="0"/>
              <w:ind w:left="66"/>
              <w:rPr>
                <w:sz w:val="20"/>
              </w:rPr>
            </w:pPr>
            <w:r>
              <w:rPr>
                <w:spacing w:val="-5"/>
                <w:sz w:val="20"/>
              </w:rPr>
              <w:t>m_</w:t>
            </w:r>
          </w:p>
        </w:tc>
        <w:tc>
          <w:tcPr>
            <w:tcW w:w="961" w:type="dxa"/>
            <w:tcBorders>
              <w:top w:val="nil"/>
              <w:bottom w:val="nil"/>
            </w:tcBorders>
          </w:tcPr>
          <w:p>
            <w:pPr>
              <w:pStyle w:val="TableParagraph"/>
              <w:spacing w:before="36"/>
              <w:ind w:left="77"/>
              <w:rPr>
                <w:sz w:val="20"/>
              </w:rPr>
            </w:pPr>
            <w:r>
              <w:rPr>
                <w:spacing w:val="-2"/>
                <w:sz w:val="20"/>
              </w:rPr>
              <w:t>ABOVE</w:t>
            </w:r>
          </w:p>
          <w:p>
            <w:pPr>
              <w:pStyle w:val="TableParagraph"/>
              <w:spacing w:before="9"/>
              <w:ind w:left="77"/>
              <w:rPr>
                <w:sz w:val="20"/>
              </w:rPr>
            </w:pPr>
            <w:r>
              <w:rPr>
                <w:spacing w:val="-2"/>
                <w:sz w:val="20"/>
              </w:rPr>
              <w:t>trend</w:t>
            </w:r>
          </w:p>
        </w:tc>
        <w:tc>
          <w:tcPr>
            <w:tcW w:w="1074" w:type="dxa"/>
            <w:tcBorders>
              <w:top w:val="nil"/>
              <w:bottom w:val="nil"/>
            </w:tcBorders>
          </w:tcPr>
          <w:p>
            <w:pPr>
              <w:pStyle w:val="TableParagraph"/>
              <w:tabs>
                <w:tab w:pos="826" w:val="left" w:leader="none"/>
              </w:tabs>
              <w:spacing w:before="36"/>
              <w:ind w:left="77"/>
              <w:rPr>
                <w:sz w:val="20"/>
              </w:rPr>
            </w:pPr>
            <w:r>
              <w:rPr>
                <w:spacing w:val="-4"/>
                <w:sz w:val="20"/>
              </w:rPr>
              <w:t>+108</w:t>
            </w:r>
            <w:r>
              <w:rPr>
                <w:sz w:val="20"/>
              </w:rPr>
              <w:tab/>
            </w:r>
            <w:r>
              <w:rPr>
                <w:spacing w:val="-5"/>
                <w:sz w:val="20"/>
              </w:rPr>
              <w:t>to</w:t>
            </w:r>
          </w:p>
          <w:p>
            <w:pPr>
              <w:pStyle w:val="TableParagraph"/>
              <w:spacing w:before="9"/>
              <w:ind w:left="49"/>
              <w:rPr>
                <w:sz w:val="20"/>
              </w:rPr>
            </w:pPr>
            <w:r>
              <w:rPr>
                <w:sz w:val="20"/>
              </w:rPr>
              <w:t>+121</w:t>
            </w:r>
            <w:r>
              <w:rPr>
                <w:spacing w:val="-6"/>
                <w:sz w:val="20"/>
              </w:rPr>
              <w:t> </w:t>
            </w:r>
            <w:r>
              <w:rPr>
                <w:spacing w:val="-5"/>
                <w:sz w:val="20"/>
              </w:rPr>
              <w:t>mhl</w:t>
            </w:r>
          </w:p>
        </w:tc>
        <w:tc>
          <w:tcPr>
            <w:tcW w:w="1414" w:type="dxa"/>
            <w:tcBorders>
              <w:top w:val="nil"/>
              <w:bottom w:val="nil"/>
            </w:tcBorders>
          </w:tcPr>
          <w:p>
            <w:pPr>
              <w:pStyle w:val="TableParagraph"/>
              <w:tabs>
                <w:tab w:pos="1009" w:val="left" w:leader="none"/>
              </w:tabs>
              <w:spacing w:before="36"/>
              <w:ind w:left="78"/>
              <w:rPr>
                <w:sz w:val="20"/>
              </w:rPr>
            </w:pPr>
            <w:r>
              <w:rPr>
                <w:sz w:val="20"/>
              </w:rPr>
              <w:t>20–</w:t>
            </w:r>
            <w:r>
              <w:rPr>
                <w:spacing w:val="-5"/>
                <w:sz w:val="20"/>
              </w:rPr>
              <w:t>121</w:t>
            </w:r>
            <w:r>
              <w:rPr>
                <w:sz w:val="20"/>
              </w:rPr>
              <w:tab/>
            </w:r>
            <w:r>
              <w:rPr>
                <w:spacing w:val="-5"/>
                <w:sz w:val="20"/>
              </w:rPr>
              <w:t>mm</w:t>
            </w:r>
          </w:p>
          <w:p>
            <w:pPr>
              <w:pStyle w:val="TableParagraph"/>
              <w:spacing w:line="249" w:lineRule="auto" w:before="9"/>
              <w:ind w:left="78"/>
              <w:rPr>
                <w:sz w:val="20"/>
              </w:rPr>
            </w:pPr>
            <w:r>
              <w:rPr>
                <w:sz w:val="20"/>
              </w:rPr>
              <w:t>rainfall</w:t>
            </w:r>
            <w:r>
              <w:rPr>
                <w:spacing w:val="-13"/>
                <w:sz w:val="20"/>
              </w:rPr>
              <w:t> </w:t>
            </w:r>
            <w:r>
              <w:rPr>
                <w:sz w:val="20"/>
              </w:rPr>
              <w:t>(moder-ate wetness)</w:t>
            </w:r>
          </w:p>
        </w:tc>
        <w:tc>
          <w:tcPr>
            <w:tcW w:w="960" w:type="dxa"/>
            <w:tcBorders>
              <w:top w:val="nil"/>
              <w:bottom w:val="nil"/>
            </w:tcBorders>
          </w:tcPr>
          <w:p>
            <w:pPr>
              <w:pStyle w:val="TableParagraph"/>
              <w:spacing w:before="36"/>
              <w:ind w:left="79"/>
              <w:rPr>
                <w:sz w:val="20"/>
              </w:rPr>
            </w:pPr>
            <w:r>
              <w:rPr>
                <w:spacing w:val="-2"/>
                <w:sz w:val="20"/>
              </w:rPr>
              <w:t>BELOW</w:t>
            </w:r>
          </w:p>
          <w:p>
            <w:pPr>
              <w:pStyle w:val="TableParagraph"/>
              <w:spacing w:before="9"/>
              <w:ind w:left="79"/>
              <w:rPr>
                <w:sz w:val="20"/>
              </w:rPr>
            </w:pPr>
            <w:r>
              <w:rPr>
                <w:spacing w:val="-2"/>
                <w:sz w:val="20"/>
              </w:rPr>
              <w:t>trend</w:t>
            </w:r>
          </w:p>
        </w:tc>
        <w:tc>
          <w:tcPr>
            <w:tcW w:w="1266" w:type="dxa"/>
            <w:tcBorders>
              <w:top w:val="nil"/>
              <w:bottom w:val="nil"/>
              <w:right w:val="nil"/>
            </w:tcBorders>
          </w:tcPr>
          <w:p>
            <w:pPr>
              <w:pStyle w:val="TableParagraph"/>
              <w:spacing w:before="36"/>
              <w:ind w:left="80"/>
              <w:rPr>
                <w:sz w:val="20"/>
              </w:rPr>
            </w:pPr>
            <w:r>
              <w:rPr>
                <w:sz w:val="20"/>
              </w:rPr>
              <w:t>-387</w:t>
            </w:r>
            <w:r>
              <w:rPr>
                <w:spacing w:val="-5"/>
                <w:sz w:val="20"/>
              </w:rPr>
              <w:t> mhl</w:t>
            </w:r>
          </w:p>
        </w:tc>
      </w:tr>
      <w:tr>
        <w:trPr>
          <w:trHeight w:val="1069" w:hRule="atLeast"/>
        </w:trPr>
        <w:tc>
          <w:tcPr>
            <w:tcW w:w="1411" w:type="dxa"/>
            <w:tcBorders>
              <w:top w:val="nil"/>
              <w:left w:val="nil"/>
              <w:bottom w:val="single" w:sz="8" w:space="0" w:color="000000"/>
            </w:tcBorders>
          </w:tcPr>
          <w:p>
            <w:pPr>
              <w:pStyle w:val="TableParagraph"/>
              <w:spacing w:line="249" w:lineRule="auto" w:before="36"/>
              <w:ind w:left="73" w:right="74" w:firstLine="6"/>
              <w:rPr>
                <w:sz w:val="20"/>
              </w:rPr>
            </w:pPr>
            <w:r>
              <w:rPr>
                <w:b/>
                <w:sz w:val="20"/>
              </w:rPr>
              <w:t>LAI</w:t>
            </w:r>
            <w:r>
              <w:rPr>
                <w:b/>
                <w:spacing w:val="-13"/>
                <w:sz w:val="20"/>
              </w:rPr>
              <w:t> </w:t>
            </w:r>
            <w:r>
              <w:rPr>
                <w:b/>
                <w:sz w:val="20"/>
              </w:rPr>
              <w:t>at</w:t>
            </w:r>
            <w:r>
              <w:rPr>
                <w:b/>
                <w:spacing w:val="-12"/>
                <w:sz w:val="20"/>
              </w:rPr>
              <w:t> </w:t>
            </w:r>
            <w:r>
              <w:rPr>
                <w:b/>
                <w:sz w:val="20"/>
              </w:rPr>
              <w:t>harvest </w:t>
            </w:r>
            <w:r>
              <w:rPr>
                <w:spacing w:val="-2"/>
                <w:sz w:val="20"/>
              </w:rPr>
              <w:t>(iaf_hv_y1_ </w:t>
            </w:r>
            <w:r>
              <w:rPr>
                <w:spacing w:val="-4"/>
                <w:sz w:val="20"/>
              </w:rPr>
              <w:t>c10)</w:t>
            </w:r>
          </w:p>
        </w:tc>
        <w:tc>
          <w:tcPr>
            <w:tcW w:w="1415" w:type="dxa"/>
            <w:tcBorders>
              <w:top w:val="nil"/>
              <w:bottom w:val="single" w:sz="8" w:space="0" w:color="000000"/>
            </w:tcBorders>
          </w:tcPr>
          <w:p>
            <w:pPr>
              <w:pStyle w:val="TableParagraph"/>
              <w:spacing w:line="249" w:lineRule="auto" w:before="36"/>
              <w:ind w:left="78" w:right="75"/>
              <w:jc w:val="both"/>
              <w:rPr>
                <w:sz w:val="20"/>
              </w:rPr>
            </w:pPr>
            <w:r>
              <w:rPr>
                <w:sz w:val="20"/>
              </w:rPr>
              <w:t>Absent </w:t>
            </w:r>
            <w:r>
              <w:rPr>
                <w:sz w:val="20"/>
              </w:rPr>
              <w:t>from </w:t>
            </w:r>
            <w:r>
              <w:rPr>
                <w:spacing w:val="-2"/>
                <w:sz w:val="20"/>
              </w:rPr>
              <w:t>top</w:t>
            </w:r>
            <w:r>
              <w:rPr>
                <w:spacing w:val="-11"/>
                <w:sz w:val="20"/>
              </w:rPr>
              <w:t> </w:t>
            </w:r>
            <w:r>
              <w:rPr>
                <w:spacing w:val="-2"/>
                <w:sz w:val="20"/>
              </w:rPr>
              <w:t>rules</w:t>
            </w:r>
            <w:r>
              <w:rPr>
                <w:spacing w:val="-10"/>
                <w:sz w:val="20"/>
              </w:rPr>
              <w:t> </w:t>
            </w:r>
            <w:r>
              <w:rPr>
                <w:spacing w:val="-2"/>
                <w:sz w:val="20"/>
              </w:rPr>
              <w:t>(minor </w:t>
            </w:r>
            <w:r>
              <w:rPr>
                <w:sz w:val="20"/>
              </w:rPr>
              <w:t>signal</w:t>
            </w:r>
            <w:r>
              <w:rPr>
                <w:spacing w:val="-5"/>
                <w:sz w:val="20"/>
              </w:rPr>
              <w:t> </w:t>
            </w:r>
            <w:r>
              <w:rPr>
                <w:sz w:val="20"/>
              </w:rPr>
              <w:t>in</w:t>
            </w:r>
            <w:r>
              <w:rPr>
                <w:spacing w:val="-4"/>
                <w:sz w:val="20"/>
              </w:rPr>
              <w:t> RDD)</w:t>
            </w:r>
          </w:p>
        </w:tc>
        <w:tc>
          <w:tcPr>
            <w:tcW w:w="961" w:type="dxa"/>
            <w:tcBorders>
              <w:top w:val="nil"/>
              <w:bottom w:val="single" w:sz="8" w:space="0" w:color="000000"/>
            </w:tcBorders>
          </w:tcPr>
          <w:p>
            <w:pPr>
              <w:pStyle w:val="TableParagraph"/>
              <w:spacing w:before="36"/>
              <w:ind w:left="77"/>
              <w:rPr>
                <w:sz w:val="20"/>
              </w:rPr>
            </w:pPr>
            <w:r>
              <w:rPr>
                <w:spacing w:val="-2"/>
                <w:sz w:val="20"/>
              </w:rPr>
              <w:t>BELOW</w:t>
            </w:r>
          </w:p>
          <w:p>
            <w:pPr>
              <w:pStyle w:val="TableParagraph"/>
              <w:spacing w:line="249" w:lineRule="auto" w:before="9"/>
              <w:ind w:left="71" w:firstLine="6"/>
              <w:rPr>
                <w:sz w:val="20"/>
              </w:rPr>
            </w:pPr>
            <w:r>
              <w:rPr>
                <w:spacing w:val="-2"/>
                <w:sz w:val="20"/>
              </w:rPr>
              <w:t>trend </w:t>
            </w:r>
            <w:r>
              <w:rPr>
                <w:sz w:val="20"/>
              </w:rPr>
              <w:t>(where</w:t>
            </w:r>
            <w:r>
              <w:rPr>
                <w:spacing w:val="40"/>
                <w:sz w:val="20"/>
              </w:rPr>
              <w:t> </w:t>
            </w:r>
            <w:r>
              <w:rPr>
                <w:sz w:val="20"/>
              </w:rPr>
              <w:t>it </w:t>
            </w:r>
            <w:r>
              <w:rPr>
                <w:spacing w:val="-2"/>
                <w:sz w:val="20"/>
              </w:rPr>
              <w:t>appears)</w:t>
            </w:r>
          </w:p>
        </w:tc>
        <w:tc>
          <w:tcPr>
            <w:tcW w:w="1074" w:type="dxa"/>
            <w:tcBorders>
              <w:top w:val="nil"/>
              <w:bottom w:val="single" w:sz="8" w:space="0" w:color="000000"/>
            </w:tcBorders>
          </w:tcPr>
          <w:p>
            <w:pPr>
              <w:pStyle w:val="TableParagraph"/>
              <w:spacing w:before="36"/>
              <w:ind w:left="77"/>
              <w:rPr>
                <w:sz w:val="20"/>
              </w:rPr>
            </w:pPr>
            <w:r>
              <w:rPr>
                <w:sz w:val="20"/>
              </w:rPr>
              <w:t>-118</w:t>
            </w:r>
            <w:r>
              <w:rPr>
                <w:spacing w:val="36"/>
                <w:sz w:val="20"/>
              </w:rPr>
              <w:t>  </w:t>
            </w:r>
            <w:r>
              <w:rPr>
                <w:sz w:val="20"/>
              </w:rPr>
              <w:t>to</w:t>
            </w:r>
            <w:r>
              <w:rPr>
                <w:spacing w:val="36"/>
                <w:sz w:val="20"/>
              </w:rPr>
              <w:t>  </w:t>
            </w:r>
            <w:r>
              <w:rPr>
                <w:spacing w:val="-10"/>
                <w:sz w:val="20"/>
              </w:rPr>
              <w:t>-</w:t>
            </w:r>
          </w:p>
          <w:p>
            <w:pPr>
              <w:pStyle w:val="TableParagraph"/>
              <w:spacing w:before="9"/>
              <w:ind w:left="63"/>
              <w:rPr>
                <w:sz w:val="20"/>
              </w:rPr>
            </w:pPr>
            <w:r>
              <w:rPr>
                <w:sz w:val="20"/>
              </w:rPr>
              <w:t>131</w:t>
            </w:r>
            <w:r>
              <w:rPr>
                <w:spacing w:val="-4"/>
                <w:sz w:val="20"/>
              </w:rPr>
              <w:t> </w:t>
            </w:r>
            <w:r>
              <w:rPr>
                <w:spacing w:val="-5"/>
                <w:sz w:val="20"/>
              </w:rPr>
              <w:t>mhl</w:t>
            </w:r>
          </w:p>
        </w:tc>
        <w:tc>
          <w:tcPr>
            <w:tcW w:w="1414" w:type="dxa"/>
            <w:tcBorders>
              <w:top w:val="nil"/>
              <w:bottom w:val="single" w:sz="8" w:space="0" w:color="000000"/>
            </w:tcBorders>
          </w:tcPr>
          <w:p>
            <w:pPr>
              <w:pStyle w:val="TableParagraph"/>
              <w:spacing w:line="249" w:lineRule="auto" w:before="36"/>
              <w:ind w:left="78" w:right="76"/>
              <w:rPr>
                <w:sz w:val="20"/>
              </w:rPr>
            </w:pPr>
            <w:r>
              <w:rPr>
                <w:spacing w:val="-2"/>
                <w:sz w:val="20"/>
              </w:rPr>
              <w:t>Dominant </w:t>
            </w:r>
            <w:r>
              <w:rPr>
                <w:sz w:val="20"/>
              </w:rPr>
              <w:t>signal</w:t>
            </w:r>
            <w:r>
              <w:rPr>
                <w:spacing w:val="80"/>
                <w:sz w:val="20"/>
              </w:rPr>
              <w:t> </w:t>
            </w:r>
            <w:r>
              <w:rPr>
                <w:sz w:val="20"/>
              </w:rPr>
              <w:t>(all</w:t>
            </w:r>
            <w:r>
              <w:rPr>
                <w:spacing w:val="80"/>
                <w:sz w:val="20"/>
              </w:rPr>
              <w:t> </w:t>
            </w:r>
            <w:r>
              <w:rPr>
                <w:sz w:val="20"/>
              </w:rPr>
              <w:t>20 </w:t>
            </w:r>
            <w:r>
              <w:rPr>
                <w:spacing w:val="-2"/>
                <w:sz w:val="20"/>
              </w:rPr>
              <w:t>rules)</w:t>
            </w:r>
          </w:p>
        </w:tc>
        <w:tc>
          <w:tcPr>
            <w:tcW w:w="960" w:type="dxa"/>
            <w:tcBorders>
              <w:top w:val="nil"/>
              <w:bottom w:val="single" w:sz="8" w:space="0" w:color="000000"/>
            </w:tcBorders>
          </w:tcPr>
          <w:p>
            <w:pPr>
              <w:pStyle w:val="TableParagraph"/>
              <w:spacing w:before="36"/>
              <w:ind w:left="79"/>
              <w:rPr>
                <w:sz w:val="20"/>
              </w:rPr>
            </w:pPr>
            <w:r>
              <w:rPr>
                <w:spacing w:val="-2"/>
                <w:sz w:val="20"/>
              </w:rPr>
              <w:t>BELOW</w:t>
            </w:r>
          </w:p>
          <w:p>
            <w:pPr>
              <w:pStyle w:val="TableParagraph"/>
              <w:spacing w:before="9"/>
              <w:ind w:left="79"/>
              <w:rPr>
                <w:sz w:val="20"/>
              </w:rPr>
            </w:pPr>
            <w:r>
              <w:rPr>
                <w:spacing w:val="-2"/>
                <w:sz w:val="20"/>
              </w:rPr>
              <w:t>trend</w:t>
            </w:r>
          </w:p>
        </w:tc>
        <w:tc>
          <w:tcPr>
            <w:tcW w:w="1266" w:type="dxa"/>
            <w:tcBorders>
              <w:top w:val="nil"/>
              <w:bottom w:val="single" w:sz="8" w:space="0" w:color="000000"/>
              <w:right w:val="nil"/>
            </w:tcBorders>
          </w:tcPr>
          <w:p>
            <w:pPr>
              <w:pStyle w:val="TableParagraph"/>
              <w:spacing w:before="36"/>
              <w:ind w:left="80"/>
              <w:rPr>
                <w:sz w:val="20"/>
              </w:rPr>
            </w:pPr>
            <w:r>
              <w:rPr>
                <w:sz w:val="20"/>
              </w:rPr>
              <w:t>-268</w:t>
            </w:r>
            <w:r>
              <w:rPr>
                <w:spacing w:val="57"/>
                <w:sz w:val="20"/>
              </w:rPr>
              <w:t> </w:t>
            </w:r>
            <w:r>
              <w:rPr>
                <w:sz w:val="20"/>
              </w:rPr>
              <w:t>to</w:t>
            </w:r>
            <w:r>
              <w:rPr>
                <w:spacing w:val="58"/>
                <w:sz w:val="20"/>
              </w:rPr>
              <w:t> </w:t>
            </w:r>
            <w:r>
              <w:rPr>
                <w:sz w:val="20"/>
              </w:rPr>
              <w:t>-</w:t>
            </w:r>
            <w:r>
              <w:rPr>
                <w:spacing w:val="-5"/>
                <w:sz w:val="20"/>
              </w:rPr>
              <w:t>387</w:t>
            </w:r>
          </w:p>
          <w:p>
            <w:pPr>
              <w:pStyle w:val="TableParagraph"/>
              <w:spacing w:before="9"/>
              <w:ind w:left="80"/>
              <w:rPr>
                <w:sz w:val="20"/>
              </w:rPr>
            </w:pPr>
            <w:r>
              <w:rPr>
                <w:spacing w:val="-5"/>
                <w:sz w:val="20"/>
              </w:rPr>
              <w:t>mhl</w:t>
            </w:r>
          </w:p>
        </w:tc>
      </w:tr>
    </w:tbl>
    <w:p>
      <w:pPr>
        <w:pStyle w:val="BodyText"/>
        <w:rPr>
          <w:sz w:val="20"/>
        </w:rPr>
      </w:pPr>
    </w:p>
    <w:p>
      <w:pPr>
        <w:pStyle w:val="BodyText"/>
        <w:rPr>
          <w:sz w:val="20"/>
        </w:rPr>
      </w:pPr>
    </w:p>
    <w:p>
      <w:pPr>
        <w:pStyle w:val="BodyText"/>
        <w:rPr>
          <w:sz w:val="20"/>
        </w:rPr>
      </w:pPr>
    </w:p>
    <w:p>
      <w:pPr>
        <w:pStyle w:val="BodyText"/>
        <w:spacing w:before="64"/>
        <w:rPr>
          <w:sz w:val="20"/>
        </w:rPr>
      </w:pPr>
    </w:p>
    <w:p>
      <w:pPr>
        <w:pStyle w:val="Heading2"/>
        <w:numPr>
          <w:ilvl w:val="1"/>
          <w:numId w:val="18"/>
        </w:numPr>
        <w:tabs>
          <w:tab w:pos="787" w:val="left" w:leader="none"/>
        </w:tabs>
        <w:spacing w:line="240" w:lineRule="auto" w:before="0" w:after="0"/>
        <w:ind w:left="787" w:right="0" w:hanging="645"/>
        <w:jc w:val="left"/>
      </w:pPr>
      <w:bookmarkStart w:name="4.2 LOESS Validation: Distinguishing Sig" w:id="137"/>
      <w:bookmarkEnd w:id="137"/>
      <w:r>
        <w:rPr>
          <w:b w:val="0"/>
        </w:rPr>
      </w:r>
      <w:bookmarkStart w:name="_bookmark76" w:id="138"/>
      <w:bookmarkEnd w:id="138"/>
      <w:r>
        <w:rPr>
          <w:b w:val="0"/>
        </w:rPr>
      </w:r>
      <w:r>
        <w:rPr/>
        <w:t>LOESS</w:t>
      </w:r>
      <w:r>
        <w:rPr>
          <w:spacing w:val="14"/>
        </w:rPr>
        <w:t> </w:t>
      </w:r>
      <w:r>
        <w:rPr/>
        <w:t>Validation:</w:t>
      </w:r>
      <w:r>
        <w:rPr>
          <w:spacing w:val="34"/>
        </w:rPr>
        <w:t> </w:t>
      </w:r>
      <w:r>
        <w:rPr/>
        <w:t>Distinguishing</w:t>
      </w:r>
      <w:r>
        <w:rPr>
          <w:spacing w:val="14"/>
        </w:rPr>
        <w:t> </w:t>
      </w:r>
      <w:r>
        <w:rPr/>
        <w:t>Signal</w:t>
      </w:r>
      <w:r>
        <w:rPr>
          <w:spacing w:val="15"/>
        </w:rPr>
        <w:t> </w:t>
      </w:r>
      <w:r>
        <w:rPr/>
        <w:t>from</w:t>
      </w:r>
      <w:r>
        <w:rPr>
          <w:spacing w:val="14"/>
        </w:rPr>
        <w:t> </w:t>
      </w:r>
      <w:r>
        <w:rPr/>
        <w:t>Era</w:t>
      </w:r>
      <w:r>
        <w:rPr>
          <w:spacing w:val="14"/>
        </w:rPr>
        <w:t> </w:t>
      </w:r>
      <w:r>
        <w:rPr>
          <w:spacing w:val="-2"/>
        </w:rPr>
        <w:t>Artefact</w:t>
      </w:r>
    </w:p>
    <w:p>
      <w:pPr>
        <w:pStyle w:val="BodyText"/>
        <w:spacing w:before="42"/>
        <w:rPr>
          <w:b/>
          <w:sz w:val="28"/>
        </w:rPr>
      </w:pPr>
    </w:p>
    <w:p>
      <w:pPr>
        <w:pStyle w:val="BodyText"/>
        <w:spacing w:line="312" w:lineRule="auto"/>
        <w:ind w:left="142" w:right="1557" w:hanging="8"/>
        <w:jc w:val="both"/>
      </w:pPr>
      <w:r>
        <w:rPr/>
        <w:t>A critical question for interpreting the rule set is whether the discovered patterns reflect genuine </w:t>
      </w:r>
      <w:r>
        <w:rPr>
          <w:spacing w:val="-2"/>
        </w:rPr>
        <w:t>inter-annual</w:t>
      </w:r>
      <w:r>
        <w:rPr>
          <w:spacing w:val="-12"/>
        </w:rPr>
        <w:t> </w:t>
      </w:r>
      <w:r>
        <w:rPr>
          <w:spacing w:val="-2"/>
        </w:rPr>
        <w:t>variation</w:t>
      </w:r>
      <w:r>
        <w:rPr>
          <w:spacing w:val="-11"/>
        </w:rPr>
        <w:t> </w:t>
      </w:r>
      <w:r>
        <w:rPr>
          <w:spacing w:val="-2"/>
        </w:rPr>
        <w:t>or</w:t>
      </w:r>
      <w:r>
        <w:rPr>
          <w:spacing w:val="-11"/>
        </w:rPr>
        <w:t> </w:t>
      </w:r>
      <w:r>
        <w:rPr>
          <w:spacing w:val="-2"/>
        </w:rPr>
        <w:t>merely</w:t>
      </w:r>
      <w:r>
        <w:rPr>
          <w:spacing w:val="-12"/>
        </w:rPr>
        <w:t> </w:t>
      </w:r>
      <w:r>
        <w:rPr>
          <w:spacing w:val="-2"/>
        </w:rPr>
        <w:t>co-variation</w:t>
      </w:r>
      <w:r>
        <w:rPr>
          <w:spacing w:val="-11"/>
        </w:rPr>
        <w:t> </w:t>
      </w:r>
      <w:r>
        <w:rPr>
          <w:spacing w:val="-2"/>
        </w:rPr>
        <w:t>with</w:t>
      </w:r>
      <w:r>
        <w:rPr>
          <w:spacing w:val="-11"/>
        </w:rPr>
        <w:t> </w:t>
      </w:r>
      <w:r>
        <w:rPr>
          <w:spacing w:val="-2"/>
        </w:rPr>
        <w:t>the</w:t>
      </w:r>
      <w:r>
        <w:rPr>
          <w:spacing w:val="-12"/>
        </w:rPr>
        <w:t> </w:t>
      </w:r>
      <w:r>
        <w:rPr>
          <w:spacing w:val="-2"/>
        </w:rPr>
        <w:t>long-run</w:t>
      </w:r>
      <w:r>
        <w:rPr>
          <w:spacing w:val="-11"/>
        </w:rPr>
        <w:t> </w:t>
      </w:r>
      <w:r>
        <w:rPr>
          <w:spacing w:val="-2"/>
        </w:rPr>
        <w:t>structural</w:t>
      </w:r>
      <w:r>
        <w:rPr>
          <w:spacing w:val="-12"/>
        </w:rPr>
        <w:t> </w:t>
      </w:r>
      <w:r>
        <w:rPr>
          <w:spacing w:val="-2"/>
        </w:rPr>
        <w:t>trend</w:t>
      </w:r>
      <w:r>
        <w:rPr>
          <w:spacing w:val="-11"/>
        </w:rPr>
        <w:t> </w:t>
      </w:r>
      <w:r>
        <w:rPr>
          <w:spacing w:val="-2"/>
        </w:rPr>
        <w:t>(era</w:t>
      </w:r>
      <w:r>
        <w:rPr>
          <w:spacing w:val="-12"/>
        </w:rPr>
        <w:t> </w:t>
      </w:r>
      <w:r>
        <w:rPr>
          <w:spacing w:val="-2"/>
        </w:rPr>
        <w:t>membership).</w:t>
      </w:r>
      <w:r>
        <w:rPr/>
        <w:t> </w:t>
      </w:r>
      <w:r>
        <w:rPr>
          <w:spacing w:val="-2"/>
        </w:rPr>
        <w:t>If a</w:t>
      </w:r>
      <w:r>
        <w:rPr>
          <w:spacing w:val="-8"/>
        </w:rPr>
        <w:t> </w:t>
      </w:r>
      <w:r>
        <w:rPr>
          <w:spacing w:val="-2"/>
        </w:rPr>
        <w:t>feature</w:t>
      </w:r>
      <w:r>
        <w:rPr>
          <w:spacing w:val="-8"/>
        </w:rPr>
        <w:t> </w:t>
      </w:r>
      <w:r>
        <w:rPr>
          <w:spacing w:val="-2"/>
        </w:rPr>
        <w:t>co-trends</w:t>
      </w:r>
      <w:r>
        <w:rPr>
          <w:spacing w:val="-8"/>
        </w:rPr>
        <w:t> </w:t>
      </w:r>
      <w:r>
        <w:rPr>
          <w:spacing w:val="-2"/>
        </w:rPr>
        <w:t>with</w:t>
      </w:r>
      <w:r>
        <w:rPr>
          <w:spacing w:val="-8"/>
        </w:rPr>
        <w:t> </w:t>
      </w:r>
      <w:r>
        <w:rPr>
          <w:spacing w:val="-2"/>
        </w:rPr>
        <w:t>production</w:t>
      </w:r>
      <w:r>
        <w:rPr>
          <w:spacing w:val="-8"/>
        </w:rPr>
        <w:t> </w:t>
      </w:r>
      <w:r>
        <w:rPr>
          <w:spacing w:val="-2"/>
        </w:rPr>
        <w:t>over</w:t>
      </w:r>
      <w:r>
        <w:rPr>
          <w:spacing w:val="-8"/>
        </w:rPr>
        <w:t> </w:t>
      </w:r>
      <w:r>
        <w:rPr>
          <w:spacing w:val="-2"/>
        </w:rPr>
        <w:t>decades,</w:t>
      </w:r>
      <w:r>
        <w:rPr>
          <w:spacing w:val="-8"/>
        </w:rPr>
        <w:t> </w:t>
      </w:r>
      <w:r>
        <w:rPr>
          <w:spacing w:val="-2"/>
        </w:rPr>
        <w:t>it</w:t>
      </w:r>
      <w:r>
        <w:rPr>
          <w:spacing w:val="-8"/>
        </w:rPr>
        <w:t> </w:t>
      </w:r>
      <w:r>
        <w:rPr>
          <w:spacing w:val="-2"/>
        </w:rPr>
        <w:t>will</w:t>
      </w:r>
      <w:r>
        <w:rPr>
          <w:spacing w:val="-8"/>
        </w:rPr>
        <w:t> </w:t>
      </w:r>
      <w:r>
        <w:rPr>
          <w:spacing w:val="-2"/>
        </w:rPr>
        <w:t>appear</w:t>
      </w:r>
      <w:r>
        <w:rPr>
          <w:spacing w:val="-8"/>
        </w:rPr>
        <w:t> </w:t>
      </w:r>
      <w:r>
        <w:rPr>
          <w:spacing w:val="-2"/>
        </w:rPr>
        <w:t>informative</w:t>
      </w:r>
      <w:r>
        <w:rPr>
          <w:spacing w:val="-8"/>
        </w:rPr>
        <w:t> </w:t>
      </w:r>
      <w:r>
        <w:rPr>
          <w:spacing w:val="-2"/>
        </w:rPr>
        <w:t>under</w:t>
      </w:r>
      <w:r>
        <w:rPr>
          <w:spacing w:val="-8"/>
        </w:rPr>
        <w:t> </w:t>
      </w:r>
      <w:r>
        <w:rPr>
          <w:spacing w:val="-2"/>
        </w:rPr>
        <w:t>linear</w:t>
      </w:r>
      <w:r>
        <w:rPr>
          <w:spacing w:val="-8"/>
        </w:rPr>
        <w:t> </w:t>
      </w:r>
      <w:r>
        <w:rPr>
          <w:spacing w:val="-2"/>
        </w:rPr>
        <w:t>detrending </w:t>
      </w:r>
      <w:r>
        <w:rPr/>
        <w:t>even if it has no true predictive relationship with production residuals within eras.</w:t>
      </w:r>
    </w:p>
    <w:p>
      <w:pPr>
        <w:pStyle w:val="BodyText"/>
        <w:spacing w:line="312" w:lineRule="auto" w:before="38"/>
        <w:ind w:left="136" w:right="1526" w:firstLine="344"/>
        <w:jc w:val="both"/>
      </w:pPr>
      <w:r>
        <w:rPr/>
        <w:t>LOESS</w:t>
      </w:r>
      <w:r>
        <w:rPr>
          <w:spacing w:val="-10"/>
        </w:rPr>
        <w:t> </w:t>
      </w:r>
      <w:r>
        <w:rPr/>
        <w:t>detrending</w:t>
      </w:r>
      <w:r>
        <w:rPr>
          <w:spacing w:val="-10"/>
        </w:rPr>
        <w:t> </w:t>
      </w:r>
      <w:r>
        <w:rPr/>
        <w:t>provides</w:t>
      </w:r>
      <w:r>
        <w:rPr>
          <w:spacing w:val="-10"/>
        </w:rPr>
        <w:t> </w:t>
      </w:r>
      <w:r>
        <w:rPr/>
        <w:t>a</w:t>
      </w:r>
      <w:r>
        <w:rPr>
          <w:spacing w:val="-10"/>
        </w:rPr>
        <w:t> </w:t>
      </w:r>
      <w:r>
        <w:rPr/>
        <w:t>stress</w:t>
      </w:r>
      <w:r>
        <w:rPr>
          <w:spacing w:val="-10"/>
        </w:rPr>
        <w:t> </w:t>
      </w:r>
      <w:r>
        <w:rPr/>
        <w:t>test</w:t>
      </w:r>
      <w:r>
        <w:rPr>
          <w:spacing w:val="-10"/>
        </w:rPr>
        <w:t> </w:t>
      </w:r>
      <w:r>
        <w:rPr/>
        <w:t>for</w:t>
      </w:r>
      <w:r>
        <w:rPr>
          <w:spacing w:val="-10"/>
        </w:rPr>
        <w:t> </w:t>
      </w:r>
      <w:r>
        <w:rPr/>
        <w:t>this. A</w:t>
      </w:r>
      <w:r>
        <w:rPr>
          <w:spacing w:val="-10"/>
        </w:rPr>
        <w:t> </w:t>
      </w:r>
      <w:r>
        <w:rPr/>
        <w:t>sensitivity</w:t>
      </w:r>
      <w:r>
        <w:rPr>
          <w:spacing w:val="-10"/>
        </w:rPr>
        <w:t> </w:t>
      </w:r>
      <w:r>
        <w:rPr/>
        <w:t>analysis</w:t>
      </w:r>
      <w:r>
        <w:rPr>
          <w:spacing w:val="-10"/>
        </w:rPr>
        <w:t> </w:t>
      </w:r>
      <w:r>
        <w:rPr/>
        <w:t>across</w:t>
      </w:r>
      <w:r>
        <w:rPr>
          <w:spacing w:val="-10"/>
        </w:rPr>
        <w:t> </w:t>
      </w:r>
      <w:r>
        <w:rPr/>
        <w:t>spans</w:t>
      </w:r>
      <w:r>
        <w:rPr>
          <w:spacing w:val="-10"/>
        </w:rPr>
        <w:t> </w:t>
      </w:r>
      <w:r>
        <w:rPr/>
        <w:t>from</w:t>
      </w:r>
      <w:r>
        <w:rPr>
          <w:spacing w:val="-10"/>
        </w:rPr>
        <w:t> </w:t>
      </w:r>
      <w:r>
        <w:rPr/>
        <w:t>0.20 to</w:t>
      </w:r>
      <w:r>
        <w:rPr>
          <w:spacing w:val="-14"/>
        </w:rPr>
        <w:t> </w:t>
      </w:r>
      <w:r>
        <w:rPr/>
        <w:t>0.90</w:t>
      </w:r>
      <w:r>
        <w:rPr>
          <w:spacing w:val="-14"/>
        </w:rPr>
        <w:t> </w:t>
      </w:r>
      <w:r>
        <w:rPr/>
        <w:t>confirmed</w:t>
      </w:r>
      <w:r>
        <w:rPr>
          <w:spacing w:val="-14"/>
        </w:rPr>
        <w:t> </w:t>
      </w:r>
      <w:r>
        <w:rPr/>
        <w:t>that</w:t>
      </w:r>
      <w:r>
        <w:rPr>
          <w:spacing w:val="-13"/>
        </w:rPr>
        <w:t> </w:t>
      </w:r>
      <w:r>
        <w:rPr/>
        <w:t>every</w:t>
      </w:r>
      <w:r>
        <w:rPr>
          <w:spacing w:val="-14"/>
        </w:rPr>
        <w:t> </w:t>
      </w:r>
      <w:r>
        <w:rPr/>
        <w:t>span</w:t>
      </w:r>
      <w:r>
        <w:rPr>
          <w:spacing w:val="-14"/>
        </w:rPr>
        <w:t> </w:t>
      </w:r>
      <w:r>
        <w:rPr/>
        <w:t>achieves</w:t>
      </w:r>
      <w:r>
        <w:rPr>
          <w:spacing w:val="-14"/>
        </w:rPr>
        <w:t> </w:t>
      </w:r>
      <w:r>
        <w:rPr/>
        <w:t>ADF</w:t>
      </w:r>
      <w:r>
        <w:rPr>
          <w:spacing w:val="-13"/>
        </w:rPr>
        <w:t> </w:t>
      </w:r>
      <w:r>
        <w:rPr/>
        <w:t>stationarity</w:t>
      </w:r>
      <w:r>
        <w:rPr>
          <w:spacing w:val="-14"/>
        </w:rPr>
        <w:t> </w:t>
      </w:r>
      <w:r>
        <w:rPr/>
        <w:t>in</w:t>
      </w:r>
      <w:r>
        <w:rPr>
          <w:spacing w:val="-14"/>
        </w:rPr>
        <w:t> </w:t>
      </w:r>
      <w:r>
        <w:rPr/>
        <w:t>both</w:t>
      </w:r>
      <w:r>
        <w:rPr>
          <w:spacing w:val="-14"/>
        </w:rPr>
        <w:t> </w:t>
      </w:r>
      <w:r>
        <w:rPr/>
        <w:t>regions,</w:t>
      </w:r>
      <w:r>
        <w:rPr>
          <w:spacing w:val="-13"/>
        </w:rPr>
        <w:t> </w:t>
      </w:r>
      <w:r>
        <w:rPr/>
        <w:t>so</w:t>
      </w:r>
      <w:r>
        <w:rPr>
          <w:spacing w:val="-14"/>
        </w:rPr>
        <w:t> </w:t>
      </w:r>
      <w:r>
        <w:rPr/>
        <w:t>span</w:t>
      </w:r>
      <w:r>
        <w:rPr>
          <w:spacing w:val="-14"/>
        </w:rPr>
        <w:t> </w:t>
      </w:r>
      <w:r>
        <w:rPr/>
        <w:t>selection</w:t>
      </w:r>
      <w:r>
        <w:rPr>
          <w:spacing w:val="-14"/>
        </w:rPr>
        <w:t> </w:t>
      </w:r>
      <w:r>
        <w:rPr/>
        <w:t>does </w:t>
      </w:r>
      <w:r>
        <w:rPr>
          <w:spacing w:val="-2"/>
        </w:rPr>
        <w:t>not</w:t>
      </w:r>
      <w:r>
        <w:rPr>
          <w:spacing w:val="-9"/>
        </w:rPr>
        <w:t> </w:t>
      </w:r>
      <w:r>
        <w:rPr>
          <w:spacing w:val="-2"/>
        </w:rPr>
        <w:t>affect</w:t>
      </w:r>
      <w:r>
        <w:rPr>
          <w:spacing w:val="-9"/>
        </w:rPr>
        <w:t> </w:t>
      </w:r>
      <w:r>
        <w:rPr>
          <w:spacing w:val="-2"/>
        </w:rPr>
        <w:t>the</w:t>
      </w:r>
      <w:r>
        <w:rPr>
          <w:spacing w:val="-9"/>
        </w:rPr>
        <w:t> </w:t>
      </w:r>
      <w:r>
        <w:rPr>
          <w:spacing w:val="-2"/>
        </w:rPr>
        <w:t>stationarity</w:t>
      </w:r>
      <w:r>
        <w:rPr>
          <w:spacing w:val="-9"/>
        </w:rPr>
        <w:t> </w:t>
      </w:r>
      <w:r>
        <w:rPr>
          <w:spacing w:val="-2"/>
        </w:rPr>
        <w:t>conclusion. Span</w:t>
      </w:r>
      <w:r>
        <w:rPr>
          <w:spacing w:val="-9"/>
        </w:rPr>
        <w:t> </w:t>
      </w:r>
      <w:r>
        <w:rPr>
          <w:spacing w:val="-2"/>
        </w:rPr>
        <w:t>=</w:t>
      </w:r>
      <w:r>
        <w:rPr>
          <w:spacing w:val="-9"/>
        </w:rPr>
        <w:t> </w:t>
      </w:r>
      <w:r>
        <w:rPr>
          <w:spacing w:val="-2"/>
        </w:rPr>
        <w:t>0.40</w:t>
      </w:r>
      <w:r>
        <w:rPr>
          <w:spacing w:val="-9"/>
        </w:rPr>
        <w:t> </w:t>
      </w:r>
      <w:r>
        <w:rPr>
          <w:spacing w:val="-2"/>
        </w:rPr>
        <w:t>was</w:t>
      </w:r>
      <w:r>
        <w:rPr>
          <w:spacing w:val="-9"/>
        </w:rPr>
        <w:t> </w:t>
      </w:r>
      <w:r>
        <w:rPr>
          <w:spacing w:val="-2"/>
        </w:rPr>
        <w:t>selected</w:t>
      </w:r>
      <w:r>
        <w:rPr>
          <w:spacing w:val="-9"/>
        </w:rPr>
        <w:t> </w:t>
      </w:r>
      <w:r>
        <w:rPr>
          <w:spacing w:val="-2"/>
        </w:rPr>
        <w:t>as</w:t>
      </w:r>
      <w:r>
        <w:rPr>
          <w:spacing w:val="-9"/>
        </w:rPr>
        <w:t> </w:t>
      </w:r>
      <w:r>
        <w:rPr>
          <w:spacing w:val="-2"/>
        </w:rPr>
        <w:t>a</w:t>
      </w:r>
      <w:r>
        <w:rPr>
          <w:spacing w:val="-9"/>
        </w:rPr>
        <w:t> </w:t>
      </w:r>
      <w:r>
        <w:rPr>
          <w:spacing w:val="-2"/>
        </w:rPr>
        <w:t>conservative</w:t>
      </w:r>
      <w:r>
        <w:rPr>
          <w:spacing w:val="-9"/>
        </w:rPr>
        <w:t> </w:t>
      </w:r>
      <w:r>
        <w:rPr>
          <w:spacing w:val="-2"/>
        </w:rPr>
        <w:t>aggressive</w:t>
      </w:r>
      <w:r>
        <w:rPr>
          <w:spacing w:val="-9"/>
        </w:rPr>
        <w:t> </w:t>
      </w:r>
      <w:r>
        <w:rPr>
          <w:spacing w:val="-2"/>
        </w:rPr>
        <w:t>setting: </w:t>
      </w:r>
      <w:r>
        <w:rPr/>
        <w:t>narrow</w:t>
      </w:r>
      <w:r>
        <w:rPr>
          <w:spacing w:val="-14"/>
        </w:rPr>
        <w:t> </w:t>
      </w:r>
      <w:r>
        <w:rPr/>
        <w:t>enough</w:t>
      </w:r>
      <w:r>
        <w:rPr>
          <w:spacing w:val="-14"/>
        </w:rPr>
        <w:t> </w:t>
      </w:r>
      <w:r>
        <w:rPr/>
        <w:t>to</w:t>
      </w:r>
      <w:r>
        <w:rPr>
          <w:spacing w:val="-14"/>
        </w:rPr>
        <w:t> </w:t>
      </w:r>
      <w:r>
        <w:rPr/>
        <w:t>remove</w:t>
      </w:r>
      <w:r>
        <w:rPr>
          <w:spacing w:val="-13"/>
        </w:rPr>
        <w:t> </w:t>
      </w:r>
      <w:r>
        <w:rPr/>
        <w:t>the</w:t>
      </w:r>
      <w:r>
        <w:rPr>
          <w:spacing w:val="-14"/>
        </w:rPr>
        <w:t> </w:t>
      </w:r>
      <w:r>
        <w:rPr/>
        <w:t>era-level</w:t>
      </w:r>
      <w:r>
        <w:rPr>
          <w:spacing w:val="-14"/>
        </w:rPr>
        <w:t> </w:t>
      </w:r>
      <w:r>
        <w:rPr/>
        <w:t>structural</w:t>
      </w:r>
      <w:r>
        <w:rPr>
          <w:spacing w:val="-14"/>
        </w:rPr>
        <w:t> </w:t>
      </w:r>
      <w:r>
        <w:rPr/>
        <w:t>shift</w:t>
      </w:r>
      <w:r>
        <w:rPr>
          <w:spacing w:val="-13"/>
        </w:rPr>
        <w:t> </w:t>
      </w:r>
      <w:r>
        <w:rPr/>
        <w:t>(spanning</w:t>
      </w:r>
      <w:r>
        <w:rPr>
          <w:spacing w:val="-14"/>
        </w:rPr>
        <w:t> </w:t>
      </w:r>
      <w:r>
        <w:rPr/>
        <w:t>roughly</w:t>
      </w:r>
      <w:r>
        <w:rPr>
          <w:spacing w:val="-14"/>
        </w:rPr>
        <w:t> </w:t>
      </w:r>
      <w:r>
        <w:rPr/>
        <w:t>40–50</w:t>
      </w:r>
      <w:r>
        <w:rPr>
          <w:spacing w:val="-14"/>
        </w:rPr>
        <w:t> </w:t>
      </w:r>
      <w:r>
        <w:rPr/>
        <w:t>years</w:t>
      </w:r>
      <w:r>
        <w:rPr>
          <w:spacing w:val="-13"/>
        </w:rPr>
        <w:t> </w:t>
      </w:r>
      <w:r>
        <w:rPr/>
        <w:t>of</w:t>
      </w:r>
      <w:r>
        <w:rPr>
          <w:spacing w:val="-14"/>
        </w:rPr>
        <w:t> </w:t>
      </w:r>
      <w:r>
        <w:rPr/>
        <w:t>the</w:t>
      </w:r>
      <w:r>
        <w:rPr>
          <w:spacing w:val="-14"/>
        </w:rPr>
        <w:t> </w:t>
      </w:r>
      <w:r>
        <w:rPr/>
        <w:t>80–90 year</w:t>
      </w:r>
      <w:r>
        <w:rPr>
          <w:spacing w:val="-9"/>
        </w:rPr>
        <w:t> </w:t>
      </w:r>
      <w:r>
        <w:rPr/>
        <w:t>series)</w:t>
      </w:r>
      <w:r>
        <w:rPr>
          <w:spacing w:val="-9"/>
        </w:rPr>
        <w:t> </w:t>
      </w:r>
      <w:r>
        <w:rPr/>
        <w:t>while</w:t>
      </w:r>
      <w:r>
        <w:rPr>
          <w:spacing w:val="-9"/>
        </w:rPr>
        <w:t> </w:t>
      </w:r>
      <w:r>
        <w:rPr/>
        <w:t>remaining</w:t>
      </w:r>
      <w:r>
        <w:rPr>
          <w:spacing w:val="-9"/>
        </w:rPr>
        <w:t> </w:t>
      </w:r>
      <w:r>
        <w:rPr/>
        <w:t>substantially</w:t>
      </w:r>
      <w:r>
        <w:rPr>
          <w:spacing w:val="-9"/>
        </w:rPr>
        <w:t> </w:t>
      </w:r>
      <w:r>
        <w:rPr/>
        <w:t>wider</w:t>
      </w:r>
      <w:r>
        <w:rPr>
          <w:spacing w:val="-9"/>
        </w:rPr>
        <w:t> </w:t>
      </w:r>
      <w:r>
        <w:rPr/>
        <w:t>than</w:t>
      </w:r>
      <w:r>
        <w:rPr>
          <w:spacing w:val="-9"/>
        </w:rPr>
        <w:t> </w:t>
      </w:r>
      <w:r>
        <w:rPr/>
        <w:t>inter-annual</w:t>
      </w:r>
      <w:r>
        <w:rPr>
          <w:spacing w:val="-9"/>
        </w:rPr>
        <w:t> </w:t>
      </w:r>
      <w:r>
        <w:rPr/>
        <w:t>noise. The</w:t>
      </w:r>
      <w:r>
        <w:rPr>
          <w:spacing w:val="-9"/>
        </w:rPr>
        <w:t> </w:t>
      </w:r>
      <w:r>
        <w:rPr/>
        <w:t>key</w:t>
      </w:r>
      <w:r>
        <w:rPr>
          <w:spacing w:val="-9"/>
        </w:rPr>
        <w:t> </w:t>
      </w:r>
      <w:r>
        <w:rPr/>
        <w:t>diagnostic</w:t>
      </w:r>
      <w:r>
        <w:rPr>
          <w:spacing w:val="-9"/>
        </w:rPr>
        <w:t> </w:t>
      </w:r>
      <w:r>
        <w:rPr/>
        <w:t>is</w:t>
      </w:r>
      <w:r>
        <w:rPr>
          <w:spacing w:val="-9"/>
        </w:rPr>
        <w:t> </w:t>
      </w:r>
      <w:r>
        <w:rPr/>
        <w:t>the percentage</w:t>
      </w:r>
      <w:r>
        <w:rPr>
          <w:spacing w:val="-7"/>
        </w:rPr>
        <w:t> </w:t>
      </w:r>
      <w:r>
        <w:rPr/>
        <w:t>of</w:t>
      </w:r>
      <w:r>
        <w:rPr>
          <w:spacing w:val="-7"/>
        </w:rPr>
        <w:t> </w:t>
      </w:r>
      <w:r>
        <w:rPr/>
        <w:t>each</w:t>
      </w:r>
      <w:r>
        <w:rPr>
          <w:spacing w:val="-7"/>
        </w:rPr>
        <w:t> </w:t>
      </w:r>
      <w:r>
        <w:rPr/>
        <w:t>feature’s</w:t>
      </w:r>
      <w:r>
        <w:rPr>
          <w:spacing w:val="-7"/>
        </w:rPr>
        <w:t> </w:t>
      </w:r>
      <w:r>
        <w:rPr/>
        <w:t>linear-detrend</w:t>
      </w:r>
      <w:r>
        <w:rPr>
          <w:spacing w:val="-7"/>
        </w:rPr>
        <w:t> </w:t>
      </w:r>
      <w:r>
        <w:rPr/>
        <w:t>correlation</w:t>
      </w:r>
      <w:r>
        <w:rPr>
          <w:spacing w:val="-7"/>
        </w:rPr>
        <w:t> </w:t>
      </w:r>
      <w:r>
        <w:rPr/>
        <w:t>that</w:t>
      </w:r>
      <w:r>
        <w:rPr>
          <w:spacing w:val="-7"/>
        </w:rPr>
        <w:t> </w:t>
      </w:r>
      <w:r>
        <w:rPr/>
        <w:t>is</w:t>
      </w:r>
      <w:r>
        <w:rPr>
          <w:spacing w:val="-7"/>
        </w:rPr>
        <w:t> </w:t>
      </w:r>
      <w:r>
        <w:rPr/>
        <w:t>retained</w:t>
      </w:r>
      <w:r>
        <w:rPr>
          <w:spacing w:val="-7"/>
        </w:rPr>
        <w:t> </w:t>
      </w:r>
      <w:r>
        <w:rPr/>
        <w:t>after</w:t>
      </w:r>
      <w:r>
        <w:rPr>
          <w:spacing w:val="-7"/>
        </w:rPr>
        <w:t> </w:t>
      </w:r>
      <w:r>
        <w:rPr/>
        <w:t>LOESS</w:t>
      </w:r>
      <w:r>
        <w:rPr>
          <w:spacing w:val="-7"/>
        </w:rPr>
        <w:t> </w:t>
      </w:r>
      <w:r>
        <w:rPr/>
        <w:t>detrending. A </w:t>
      </w:r>
      <w:r>
        <w:rPr>
          <w:spacing w:val="-2"/>
        </w:rPr>
        <w:t>feature</w:t>
      </w:r>
      <w:r>
        <w:rPr>
          <w:spacing w:val="-9"/>
        </w:rPr>
        <w:t> </w:t>
      </w:r>
      <w:r>
        <w:rPr>
          <w:spacing w:val="-2"/>
        </w:rPr>
        <w:t>that</w:t>
      </w:r>
      <w:r>
        <w:rPr>
          <w:spacing w:val="-9"/>
        </w:rPr>
        <w:t> </w:t>
      </w:r>
      <w:r>
        <w:rPr>
          <w:spacing w:val="-2"/>
        </w:rPr>
        <w:t>is</w:t>
      </w:r>
      <w:r>
        <w:rPr>
          <w:spacing w:val="-9"/>
        </w:rPr>
        <w:t> </w:t>
      </w:r>
      <w:r>
        <w:rPr>
          <w:spacing w:val="-2"/>
        </w:rPr>
        <w:t>genuinely</w:t>
      </w:r>
      <w:r>
        <w:rPr>
          <w:spacing w:val="-9"/>
        </w:rPr>
        <w:t> </w:t>
      </w:r>
      <w:r>
        <w:rPr>
          <w:spacing w:val="-2"/>
        </w:rPr>
        <w:t>within-era</w:t>
      </w:r>
      <w:r>
        <w:rPr>
          <w:spacing w:val="-9"/>
        </w:rPr>
        <w:t> </w:t>
      </w:r>
      <w:r>
        <w:rPr>
          <w:spacing w:val="-2"/>
        </w:rPr>
        <w:t>should</w:t>
      </w:r>
      <w:r>
        <w:rPr>
          <w:spacing w:val="-9"/>
        </w:rPr>
        <w:t> </w:t>
      </w:r>
      <w:r>
        <w:rPr>
          <w:spacing w:val="-2"/>
        </w:rPr>
        <w:t>retain</w:t>
      </w:r>
      <w:r>
        <w:rPr>
          <w:spacing w:val="-9"/>
        </w:rPr>
        <w:t> </w:t>
      </w:r>
      <w:r>
        <w:rPr>
          <w:spacing w:val="-2"/>
        </w:rPr>
        <w:t>most</w:t>
      </w:r>
      <w:r>
        <w:rPr>
          <w:spacing w:val="-9"/>
        </w:rPr>
        <w:t> </w:t>
      </w:r>
      <w:r>
        <w:rPr>
          <w:spacing w:val="-2"/>
        </w:rPr>
        <w:t>of</w:t>
      </w:r>
      <w:r>
        <w:rPr>
          <w:spacing w:val="-9"/>
        </w:rPr>
        <w:t> </w:t>
      </w:r>
      <w:r>
        <w:rPr>
          <w:spacing w:val="-2"/>
        </w:rPr>
        <w:t>its</w:t>
      </w:r>
      <w:r>
        <w:rPr>
          <w:spacing w:val="-9"/>
        </w:rPr>
        <w:t> </w:t>
      </w:r>
      <w:r>
        <w:rPr>
          <w:spacing w:val="-2"/>
        </w:rPr>
        <w:t>correlation;</w:t>
      </w:r>
      <w:r>
        <w:rPr>
          <w:spacing w:val="-7"/>
        </w:rPr>
        <w:t> </w:t>
      </w:r>
      <w:r>
        <w:rPr>
          <w:spacing w:val="-2"/>
        </w:rPr>
        <w:t>a</w:t>
      </w:r>
      <w:r>
        <w:rPr>
          <w:spacing w:val="-9"/>
        </w:rPr>
        <w:t> </w:t>
      </w:r>
      <w:r>
        <w:rPr>
          <w:spacing w:val="-2"/>
        </w:rPr>
        <w:t>feature</w:t>
      </w:r>
      <w:r>
        <w:rPr>
          <w:spacing w:val="-9"/>
        </w:rPr>
        <w:t> </w:t>
      </w:r>
      <w:r>
        <w:rPr>
          <w:spacing w:val="-2"/>
        </w:rPr>
        <w:t>that</w:t>
      </w:r>
      <w:r>
        <w:rPr>
          <w:spacing w:val="-9"/>
        </w:rPr>
        <w:t> </w:t>
      </w:r>
      <w:r>
        <w:rPr>
          <w:spacing w:val="-2"/>
        </w:rPr>
        <w:t>is</w:t>
      </w:r>
      <w:r>
        <w:rPr>
          <w:spacing w:val="-9"/>
        </w:rPr>
        <w:t> </w:t>
      </w:r>
      <w:r>
        <w:rPr>
          <w:spacing w:val="-2"/>
        </w:rPr>
        <w:t>informative </w:t>
      </w:r>
      <w:r>
        <w:rPr/>
        <w:t>only because it co-trends with the structural production shift will collapse.</w:t>
      </w:r>
    </w:p>
    <w:p>
      <w:pPr>
        <w:pStyle w:val="BodyText"/>
        <w:spacing w:line="312" w:lineRule="auto" w:before="37"/>
        <w:ind w:left="134" w:right="1529" w:firstLine="346"/>
        <w:jc w:val="both"/>
      </w:pPr>
      <w:r>
        <w:rPr/>
        <w:t>Table</w:t>
      </w:r>
      <w:r>
        <w:rPr>
          <w:spacing w:val="-14"/>
        </w:rPr>
        <w:t> </w:t>
      </w:r>
      <w:hyperlink w:history="true" w:anchor="_bookmark77">
        <w:r>
          <w:rPr>
            <w:color w:val="8B2C18"/>
          </w:rPr>
          <w:t>4.4</w:t>
        </w:r>
      </w:hyperlink>
      <w:r>
        <w:rPr>
          <w:color w:val="8B2C18"/>
          <w:spacing w:val="-14"/>
        </w:rPr>
        <w:t> </w:t>
      </w:r>
      <w:r>
        <w:rPr/>
        <w:t>reports</w:t>
      </w:r>
      <w:r>
        <w:rPr>
          <w:spacing w:val="-14"/>
        </w:rPr>
        <w:t> </w:t>
      </w:r>
      <w:r>
        <w:rPr/>
        <w:t>the</w:t>
      </w:r>
      <w:r>
        <w:rPr>
          <w:spacing w:val="-13"/>
        </w:rPr>
        <w:t> </w:t>
      </w:r>
      <w:r>
        <w:rPr/>
        <w:t>results.</w:t>
      </w:r>
      <w:r>
        <w:rPr>
          <w:spacing w:val="-14"/>
        </w:rPr>
        <w:t> </w:t>
      </w:r>
      <w:r>
        <w:rPr/>
        <w:t>The</w:t>
      </w:r>
      <w:r>
        <w:rPr>
          <w:spacing w:val="-14"/>
        </w:rPr>
        <w:t> </w:t>
      </w:r>
      <w:r>
        <w:rPr/>
        <w:t>findings</w:t>
      </w:r>
      <w:r>
        <w:rPr>
          <w:spacing w:val="-14"/>
        </w:rPr>
        <w:t> </w:t>
      </w:r>
      <w:r>
        <w:rPr/>
        <w:t>differ</w:t>
      </w:r>
      <w:r>
        <w:rPr>
          <w:spacing w:val="-13"/>
        </w:rPr>
        <w:t> </w:t>
      </w:r>
      <w:r>
        <w:rPr/>
        <w:t>sharply</w:t>
      </w:r>
      <w:r>
        <w:rPr>
          <w:spacing w:val="-14"/>
        </w:rPr>
        <w:t> </w:t>
      </w:r>
      <w:r>
        <w:rPr/>
        <w:t>between</w:t>
      </w:r>
      <w:r>
        <w:rPr>
          <w:spacing w:val="-14"/>
        </w:rPr>
        <w:t> </w:t>
      </w:r>
      <w:r>
        <w:rPr/>
        <w:t>regions.</w:t>
      </w:r>
      <w:r>
        <w:rPr>
          <w:spacing w:val="-6"/>
        </w:rPr>
        <w:t> </w:t>
      </w:r>
      <w:r>
        <w:rPr/>
        <w:t>In</w:t>
      </w:r>
      <w:r>
        <w:rPr>
          <w:spacing w:val="-14"/>
        </w:rPr>
        <w:t> </w:t>
      </w:r>
      <w:r>
        <w:rPr/>
        <w:t>RDD,</w:t>
      </w:r>
      <w:r>
        <w:rPr>
          <w:spacing w:val="-14"/>
        </w:rPr>
        <w:t> </w:t>
      </w:r>
      <w:r>
        <w:rPr/>
        <w:t>harvest</w:t>
      </w:r>
      <w:r>
        <w:rPr>
          <w:spacing w:val="-13"/>
        </w:rPr>
        <w:t> </w:t>
      </w:r>
      <w:r>
        <w:rPr/>
        <w:t>soil </w:t>
      </w:r>
      <w:r>
        <w:rPr>
          <w:spacing w:val="-2"/>
        </w:rPr>
        <w:t>water</w:t>
      </w:r>
      <w:r>
        <w:rPr>
          <w:spacing w:val="-4"/>
        </w:rPr>
        <w:t> </w:t>
      </w:r>
      <w:r>
        <w:rPr>
          <w:spacing w:val="-2"/>
        </w:rPr>
        <w:t>and</w:t>
      </w:r>
      <w:r>
        <w:rPr>
          <w:spacing w:val="-4"/>
        </w:rPr>
        <w:t> </w:t>
      </w:r>
      <w:r>
        <w:rPr>
          <w:spacing w:val="-2"/>
        </w:rPr>
        <w:t>post-flowering</w:t>
      </w:r>
      <w:r>
        <w:rPr>
          <w:spacing w:val="-4"/>
        </w:rPr>
        <w:t> </w:t>
      </w:r>
      <w:r>
        <w:rPr>
          <w:spacing w:val="-2"/>
        </w:rPr>
        <w:t>wet</w:t>
      </w:r>
      <w:r>
        <w:rPr>
          <w:spacing w:val="-4"/>
        </w:rPr>
        <w:t> </w:t>
      </w:r>
      <w:r>
        <w:rPr>
          <w:spacing w:val="-2"/>
        </w:rPr>
        <w:t>days</w:t>
      </w:r>
      <w:r>
        <w:rPr>
          <w:spacing w:val="-4"/>
        </w:rPr>
        <w:t> </w:t>
      </w:r>
      <w:r>
        <w:rPr>
          <w:spacing w:val="-2"/>
        </w:rPr>
        <w:t>are</w:t>
      </w:r>
      <w:r>
        <w:rPr>
          <w:spacing w:val="-4"/>
        </w:rPr>
        <w:t> </w:t>
      </w:r>
      <w:r>
        <w:rPr>
          <w:spacing w:val="-2"/>
        </w:rPr>
        <w:t>fully</w:t>
      </w:r>
      <w:r>
        <w:rPr>
          <w:spacing w:val="-4"/>
        </w:rPr>
        <w:t> </w:t>
      </w:r>
      <w:r>
        <w:rPr>
          <w:spacing w:val="-2"/>
        </w:rPr>
        <w:t>preserved</w:t>
      </w:r>
      <w:r>
        <w:rPr>
          <w:spacing w:val="-4"/>
        </w:rPr>
        <w:t> </w:t>
      </w:r>
      <w:r>
        <w:rPr>
          <w:spacing w:val="-2"/>
        </w:rPr>
        <w:t>(103–125%</w:t>
      </w:r>
      <w:r>
        <w:rPr>
          <w:spacing w:val="-4"/>
        </w:rPr>
        <w:t> </w:t>
      </w:r>
      <w:r>
        <w:rPr>
          <w:spacing w:val="-2"/>
        </w:rPr>
        <w:t>retention),</w:t>
      </w:r>
      <w:r>
        <w:rPr>
          <w:spacing w:val="-4"/>
        </w:rPr>
        <w:t> </w:t>
      </w:r>
      <w:r>
        <w:rPr>
          <w:spacing w:val="-2"/>
        </w:rPr>
        <w:t>confirming</w:t>
      </w:r>
      <w:r>
        <w:rPr>
          <w:spacing w:val="-4"/>
        </w:rPr>
        <w:t> </w:t>
      </w:r>
      <w:r>
        <w:rPr>
          <w:spacing w:val="-2"/>
        </w:rPr>
        <w:t>that</w:t>
      </w:r>
      <w:r>
        <w:rPr>
          <w:spacing w:val="-4"/>
        </w:rPr>
        <w:t> </w:t>
      </w:r>
      <w:r>
        <w:rPr>
          <w:spacing w:val="-2"/>
        </w:rPr>
        <w:t>these </w:t>
      </w:r>
      <w:r>
        <w:rPr/>
        <w:t>features carry genuine within-era climate signal. Harvest temperature is also preserved (105%), suggesting</w:t>
      </w:r>
      <w:r>
        <w:rPr>
          <w:spacing w:val="-7"/>
        </w:rPr>
        <w:t> </w:t>
      </w:r>
      <w:r>
        <w:rPr/>
        <w:t>it</w:t>
      </w:r>
      <w:r>
        <w:rPr>
          <w:spacing w:val="-7"/>
        </w:rPr>
        <w:t> </w:t>
      </w:r>
      <w:r>
        <w:rPr/>
        <w:t>has</w:t>
      </w:r>
      <w:r>
        <w:rPr>
          <w:spacing w:val="-7"/>
        </w:rPr>
        <w:t> </w:t>
      </w:r>
      <w:r>
        <w:rPr/>
        <w:t>within-era</w:t>
      </w:r>
      <w:r>
        <w:rPr>
          <w:spacing w:val="-7"/>
        </w:rPr>
        <w:t> </w:t>
      </w:r>
      <w:r>
        <w:rPr/>
        <w:t>predictive</w:t>
      </w:r>
      <w:r>
        <w:rPr>
          <w:spacing w:val="-7"/>
        </w:rPr>
        <w:t> </w:t>
      </w:r>
      <w:r>
        <w:rPr/>
        <w:t>content</w:t>
      </w:r>
      <w:r>
        <w:rPr>
          <w:spacing w:val="-7"/>
        </w:rPr>
        <w:t> </w:t>
      </w:r>
      <w:r>
        <w:rPr/>
        <w:t>in</w:t>
      </w:r>
      <w:r>
        <w:rPr>
          <w:spacing w:val="-7"/>
        </w:rPr>
        <w:t> </w:t>
      </w:r>
      <w:r>
        <w:rPr/>
        <w:t>RDD</w:t>
      </w:r>
      <w:r>
        <w:rPr>
          <w:spacing w:val="-7"/>
        </w:rPr>
        <w:t> </w:t>
      </w:r>
      <w:r>
        <w:rPr/>
        <w:t>in</w:t>
      </w:r>
      <w:r>
        <w:rPr>
          <w:spacing w:val="-7"/>
        </w:rPr>
        <w:t> </w:t>
      </w:r>
      <w:r>
        <w:rPr/>
        <w:t>addition</w:t>
      </w:r>
      <w:r>
        <w:rPr>
          <w:spacing w:val="-7"/>
        </w:rPr>
        <w:t> </w:t>
      </w:r>
      <w:r>
        <w:rPr/>
        <w:t>to</w:t>
      </w:r>
      <w:r>
        <w:rPr>
          <w:spacing w:val="-7"/>
        </w:rPr>
        <w:t> </w:t>
      </w:r>
      <w:r>
        <w:rPr/>
        <w:t>its</w:t>
      </w:r>
      <w:r>
        <w:rPr>
          <w:spacing w:val="-7"/>
        </w:rPr>
        <w:t> </w:t>
      </w:r>
      <w:r>
        <w:rPr/>
        <w:t>known</w:t>
      </w:r>
      <w:r>
        <w:rPr>
          <w:spacing w:val="-7"/>
        </w:rPr>
        <w:t> </w:t>
      </w:r>
      <w:r>
        <w:rPr/>
        <w:t>long-run</w:t>
      </w:r>
      <w:r>
        <w:rPr>
          <w:spacing w:val="-7"/>
        </w:rPr>
        <w:t> </w:t>
      </w:r>
      <w:r>
        <w:rPr/>
        <w:t>warming trend. In RVV, the picture is starkly different: LAI at harvest and soil water collapse to 15–16% retention, meaning that nearly all their apparent predictive power under linear detrending is era </w:t>
      </w:r>
      <w:r>
        <w:rPr>
          <w:spacing w:val="-2"/>
        </w:rPr>
        <w:t>co-variation</w:t>
      </w:r>
      <w:r>
        <w:rPr>
          <w:spacing w:val="-5"/>
        </w:rPr>
        <w:t> </w:t>
      </w:r>
      <w:r>
        <w:rPr>
          <w:spacing w:val="-2"/>
        </w:rPr>
        <w:t>rather</w:t>
      </w:r>
      <w:r>
        <w:rPr>
          <w:spacing w:val="-5"/>
        </w:rPr>
        <w:t> </w:t>
      </w:r>
      <w:r>
        <w:rPr>
          <w:spacing w:val="-2"/>
        </w:rPr>
        <w:t>than</w:t>
      </w:r>
      <w:r>
        <w:rPr>
          <w:spacing w:val="-5"/>
        </w:rPr>
        <w:t> </w:t>
      </w:r>
      <w:r>
        <w:rPr>
          <w:spacing w:val="-2"/>
        </w:rPr>
        <w:t>genuine</w:t>
      </w:r>
      <w:r>
        <w:rPr>
          <w:spacing w:val="-5"/>
        </w:rPr>
        <w:t> </w:t>
      </w:r>
      <w:r>
        <w:rPr>
          <w:spacing w:val="-2"/>
        </w:rPr>
        <w:t>climate</w:t>
      </w:r>
      <w:r>
        <w:rPr>
          <w:spacing w:val="-5"/>
        </w:rPr>
        <w:t> </w:t>
      </w:r>
      <w:r>
        <w:rPr>
          <w:spacing w:val="-2"/>
        </w:rPr>
        <w:t>signal. Post-flowering</w:t>
      </w:r>
      <w:r>
        <w:rPr>
          <w:spacing w:val="-5"/>
        </w:rPr>
        <w:t> </w:t>
      </w:r>
      <w:r>
        <w:rPr>
          <w:spacing w:val="-2"/>
        </w:rPr>
        <w:t>wet</w:t>
      </w:r>
      <w:r>
        <w:rPr>
          <w:spacing w:val="-5"/>
        </w:rPr>
        <w:t> </w:t>
      </w:r>
      <w:r>
        <w:rPr>
          <w:spacing w:val="-2"/>
        </w:rPr>
        <w:t>days</w:t>
      </w:r>
      <w:r>
        <w:rPr>
          <w:spacing w:val="-5"/>
        </w:rPr>
        <w:t> </w:t>
      </w:r>
      <w:r>
        <w:rPr>
          <w:spacing w:val="-2"/>
        </w:rPr>
        <w:t>are</w:t>
      </w:r>
      <w:r>
        <w:rPr>
          <w:spacing w:val="-5"/>
        </w:rPr>
        <w:t> </w:t>
      </w:r>
      <w:r>
        <w:rPr>
          <w:spacing w:val="-2"/>
        </w:rPr>
        <w:t>the</w:t>
      </w:r>
      <w:r>
        <w:rPr>
          <w:spacing w:val="-5"/>
        </w:rPr>
        <w:t> </w:t>
      </w:r>
      <w:r>
        <w:rPr>
          <w:spacing w:val="-2"/>
        </w:rPr>
        <w:t>exception,</w:t>
      </w:r>
      <w:r>
        <w:rPr>
          <w:spacing w:val="-5"/>
        </w:rPr>
        <w:t> </w:t>
      </w:r>
      <w:r>
        <w:rPr>
          <w:spacing w:val="-2"/>
        </w:rPr>
        <w:t>retained </w:t>
      </w:r>
      <w:r>
        <w:rPr/>
        <w:t>at</w:t>
      </w:r>
      <w:r>
        <w:rPr>
          <w:spacing w:val="16"/>
        </w:rPr>
        <w:t> </w:t>
      </w:r>
      <w:r>
        <w:rPr/>
        <w:t>94%</w:t>
      </w:r>
      <w:r>
        <w:rPr>
          <w:spacing w:val="16"/>
        </w:rPr>
        <w:t> </w:t>
      </w:r>
      <w:r>
        <w:rPr/>
        <w:t>in</w:t>
      </w:r>
      <w:r>
        <w:rPr>
          <w:spacing w:val="16"/>
        </w:rPr>
        <w:t> </w:t>
      </w:r>
      <w:r>
        <w:rPr/>
        <w:t>RVV,</w:t>
      </w:r>
      <w:r>
        <w:rPr>
          <w:spacing w:val="16"/>
        </w:rPr>
        <w:t> </w:t>
      </w:r>
      <w:r>
        <w:rPr/>
        <w:t>indicating</w:t>
      </w:r>
      <w:r>
        <w:rPr>
          <w:spacing w:val="16"/>
        </w:rPr>
        <w:t> </w:t>
      </w:r>
      <w:r>
        <w:rPr/>
        <w:t>genuine</w:t>
      </w:r>
      <w:r>
        <w:rPr>
          <w:spacing w:val="16"/>
        </w:rPr>
        <w:t> </w:t>
      </w:r>
      <w:r>
        <w:rPr/>
        <w:t>within-era</w:t>
      </w:r>
      <w:r>
        <w:rPr>
          <w:spacing w:val="16"/>
        </w:rPr>
        <w:t> </w:t>
      </w:r>
      <w:r>
        <w:rPr/>
        <w:t>signal.</w:t>
      </w:r>
      <w:r>
        <w:rPr>
          <w:spacing w:val="40"/>
        </w:rPr>
        <w:t> </w:t>
      </w:r>
      <w:r>
        <w:rPr/>
        <w:t>This</w:t>
      </w:r>
      <w:r>
        <w:rPr>
          <w:spacing w:val="16"/>
        </w:rPr>
        <w:t> </w:t>
      </w:r>
      <w:r>
        <w:rPr/>
        <w:t>result</w:t>
      </w:r>
      <w:r>
        <w:rPr>
          <w:spacing w:val="16"/>
        </w:rPr>
        <w:t> </w:t>
      </w:r>
      <w:r>
        <w:rPr/>
        <w:t>is</w:t>
      </w:r>
      <w:r>
        <w:rPr>
          <w:spacing w:val="16"/>
        </w:rPr>
        <w:t> </w:t>
      </w:r>
      <w:r>
        <w:rPr/>
        <w:t>robust</w:t>
      </w:r>
      <w:r>
        <w:rPr>
          <w:spacing w:val="16"/>
        </w:rPr>
        <w:t> </w:t>
      </w:r>
      <w:r>
        <w:rPr/>
        <w:t>to</w:t>
      </w:r>
      <w:r>
        <w:rPr>
          <w:spacing w:val="16"/>
        </w:rPr>
        <w:t> </w:t>
      </w:r>
      <w:r>
        <w:rPr/>
        <w:t>span</w:t>
      </w:r>
      <w:r>
        <w:rPr>
          <w:spacing w:val="16"/>
        </w:rPr>
        <w:t> </w:t>
      </w:r>
      <w:r>
        <w:rPr/>
        <w:t>choice:</w:t>
      </w:r>
      <w:r>
        <w:rPr>
          <w:spacing w:val="40"/>
        </w:rPr>
        <w:t> </w:t>
      </w:r>
      <w:r>
        <w:rPr/>
        <w:t>the</w:t>
      </w:r>
    </w:p>
    <w:p>
      <w:pPr>
        <w:pStyle w:val="BodyText"/>
        <w:spacing w:after="0" w:line="312" w:lineRule="auto"/>
        <w:jc w:val="both"/>
        <w:sectPr>
          <w:pgSz w:w="11910" w:h="16840"/>
          <w:pgMar w:header="1160" w:footer="0" w:top="1420" w:bottom="280" w:left="1275" w:right="425"/>
        </w:sectPr>
      </w:pPr>
    </w:p>
    <w:p>
      <w:pPr>
        <w:pStyle w:val="BodyText"/>
      </w:pPr>
    </w:p>
    <w:p>
      <w:pPr>
        <w:pStyle w:val="BodyText"/>
        <w:spacing w:before="25"/>
      </w:pPr>
    </w:p>
    <w:p>
      <w:pPr>
        <w:pStyle w:val="BodyText"/>
        <w:spacing w:line="312" w:lineRule="auto" w:before="1"/>
        <w:ind w:left="709" w:right="990"/>
        <w:jc w:val="both"/>
      </w:pPr>
      <w:r>
        <w:rPr/>
        <w:t>same</w:t>
      </w:r>
      <w:r>
        <w:rPr>
          <w:spacing w:val="-7"/>
        </w:rPr>
        <w:t> </w:t>
      </w:r>
      <w:r>
        <w:rPr/>
        <w:t>qualitative</w:t>
      </w:r>
      <w:r>
        <w:rPr>
          <w:spacing w:val="-7"/>
        </w:rPr>
        <w:t> </w:t>
      </w:r>
      <w:r>
        <w:rPr/>
        <w:t>pattern</w:t>
      </w:r>
      <w:r>
        <w:rPr>
          <w:spacing w:val="-7"/>
        </w:rPr>
        <w:t> </w:t>
      </w:r>
      <w:r>
        <w:rPr/>
        <w:t>holds</w:t>
      </w:r>
      <w:r>
        <w:rPr>
          <w:spacing w:val="-7"/>
        </w:rPr>
        <w:t> </w:t>
      </w:r>
      <w:r>
        <w:rPr/>
        <w:t>across</w:t>
      </w:r>
      <w:r>
        <w:rPr>
          <w:spacing w:val="-7"/>
        </w:rPr>
        <w:t> </w:t>
      </w:r>
      <w:r>
        <w:rPr/>
        <w:t>all</w:t>
      </w:r>
      <w:r>
        <w:rPr>
          <w:spacing w:val="-7"/>
        </w:rPr>
        <w:t> </w:t>
      </w:r>
      <w:r>
        <w:rPr/>
        <w:t>tested</w:t>
      </w:r>
      <w:r>
        <w:rPr>
          <w:spacing w:val="-7"/>
        </w:rPr>
        <w:t> </w:t>
      </w:r>
      <w:r>
        <w:rPr/>
        <w:t>spans,</w:t>
      </w:r>
      <w:r>
        <w:rPr>
          <w:spacing w:val="-7"/>
        </w:rPr>
        <w:t> </w:t>
      </w:r>
      <w:r>
        <w:rPr/>
        <w:t>confirming</w:t>
      </w:r>
      <w:r>
        <w:rPr>
          <w:spacing w:val="-7"/>
        </w:rPr>
        <w:t> </w:t>
      </w:r>
      <w:r>
        <w:rPr/>
        <w:t>that</w:t>
      </w:r>
      <w:r>
        <w:rPr>
          <w:spacing w:val="-7"/>
        </w:rPr>
        <w:t> </w:t>
      </w:r>
      <w:r>
        <w:rPr/>
        <w:t>the</w:t>
      </w:r>
      <w:r>
        <w:rPr>
          <w:spacing w:val="-7"/>
        </w:rPr>
        <w:t> </w:t>
      </w:r>
      <w:r>
        <w:rPr/>
        <w:t>finding</w:t>
      </w:r>
      <w:r>
        <w:rPr>
          <w:spacing w:val="-7"/>
        </w:rPr>
        <w:t> </w:t>
      </w:r>
      <w:r>
        <w:rPr/>
        <w:t>reflects</w:t>
      </w:r>
      <w:r>
        <w:rPr>
          <w:spacing w:val="-7"/>
        </w:rPr>
        <w:t> </w:t>
      </w:r>
      <w:r>
        <w:rPr/>
        <w:t>the</w:t>
      </w:r>
      <w:r>
        <w:rPr>
          <w:spacing w:val="-7"/>
        </w:rPr>
        <w:t> </w:t>
      </w:r>
      <w:r>
        <w:rPr/>
        <w:t>data structure rather than an artefact of the span parameter.</w:t>
      </w:r>
    </w:p>
    <w:p>
      <w:pPr>
        <w:spacing w:line="211" w:lineRule="auto" w:before="121"/>
        <w:ind w:left="709" w:right="986" w:hanging="7"/>
        <w:jc w:val="both"/>
        <w:rPr>
          <w:sz w:val="20"/>
        </w:rPr>
      </w:pPr>
      <w:bookmarkStart w:name="_bookmark77" w:id="139"/>
      <w:bookmarkEnd w:id="139"/>
      <w:r>
        <w:rPr/>
      </w:r>
      <w:r>
        <w:rPr>
          <w:b/>
          <w:sz w:val="20"/>
        </w:rPr>
        <w:t>Table 4.4:</w:t>
      </w:r>
      <w:r>
        <w:rPr>
          <w:b/>
          <w:spacing w:val="36"/>
          <w:sz w:val="20"/>
        </w:rPr>
        <w:t> </w:t>
      </w:r>
      <w:r>
        <w:rPr>
          <w:sz w:val="20"/>
        </w:rPr>
        <w:t>LOESS validation of top CarenR features (span = 0.40).</w:t>
      </w:r>
      <w:r>
        <w:rPr>
          <w:spacing w:val="40"/>
          <w:sz w:val="20"/>
        </w:rPr>
        <w:t> </w:t>
      </w:r>
      <w:r>
        <w:rPr>
          <w:sz w:val="20"/>
        </w:rPr>
        <w:t>Features retaining </w:t>
      </w:r>
      <w:r>
        <w:rPr>
          <w:rFonts w:ascii="Meiryo UI"/>
          <w:i/>
          <w:sz w:val="20"/>
        </w:rPr>
        <w:t>&gt;</w:t>
      </w:r>
      <w:r>
        <w:rPr>
          <w:rFonts w:ascii="Meiryo UI"/>
          <w:i/>
          <w:spacing w:val="-16"/>
          <w:sz w:val="20"/>
        </w:rPr>
        <w:t> </w:t>
      </w:r>
      <w:r>
        <w:rPr>
          <w:sz w:val="20"/>
        </w:rPr>
        <w:t>85% of linear correlation carry genuine within-era signal.</w:t>
      </w:r>
    </w:p>
    <w:p>
      <w:pPr>
        <w:pStyle w:val="BodyText"/>
        <w:rPr>
          <w:sz w:val="19"/>
        </w:rPr>
      </w:pPr>
      <w:r>
        <w:rPr>
          <w:sz w:val="19"/>
        </w:rPr>
        <mc:AlternateContent>
          <mc:Choice Requires="wps">
            <w:drawing>
              <wp:anchor distT="0" distB="0" distL="0" distR="0" allowOverlap="1" layoutInCell="1" locked="0" behindDoc="1" simplePos="0" relativeHeight="487618048">
                <wp:simplePos x="0" y="0"/>
                <wp:positionH relativeFrom="page">
                  <wp:posOffset>1260005</wp:posOffset>
                </wp:positionH>
                <wp:positionV relativeFrom="paragraph">
                  <wp:posOffset>154385</wp:posOffset>
                </wp:positionV>
                <wp:extent cx="5400040" cy="1270"/>
                <wp:effectExtent l="0" t="0" r="0" b="0"/>
                <wp:wrapTopAndBottom/>
                <wp:docPr id="163" name="Graphic 163"/>
                <wp:cNvGraphicFramePr>
                  <a:graphicFrameLocks/>
                </wp:cNvGraphicFramePr>
                <a:graphic>
                  <a:graphicData uri="http://schemas.microsoft.com/office/word/2010/wordprocessingShape">
                    <wps:wsp>
                      <wps:cNvPr id="163" name="Graphic 163"/>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2.156321pt;width:425.2pt;height:.1pt;mso-position-horizontal-relative:page;mso-position-vertical-relative:paragraph;z-index:-15698432;mso-wrap-distance-left:0;mso-wrap-distance-right:0" id="docshape135" coordorigin="1984,243" coordsize="8504,0" path="m1984,243l10488,243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7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11"/>
        <w:gridCol w:w="820"/>
        <w:gridCol w:w="1010"/>
        <w:gridCol w:w="1099"/>
        <w:gridCol w:w="1105"/>
        <w:gridCol w:w="1961"/>
      </w:tblGrid>
      <w:tr>
        <w:trPr>
          <w:trHeight w:val="346" w:hRule="atLeast"/>
        </w:trPr>
        <w:tc>
          <w:tcPr>
            <w:tcW w:w="2511" w:type="dxa"/>
            <w:tcBorders>
              <w:top w:val="nil"/>
              <w:left w:val="nil"/>
              <w:right w:val="single" w:sz="4" w:space="0" w:color="000000"/>
            </w:tcBorders>
          </w:tcPr>
          <w:p>
            <w:pPr>
              <w:pStyle w:val="TableParagraph"/>
              <w:spacing w:before="31"/>
              <w:ind w:left="119"/>
              <w:rPr>
                <w:sz w:val="20"/>
              </w:rPr>
            </w:pPr>
            <w:r>
              <w:rPr>
                <w:spacing w:val="-2"/>
                <w:sz w:val="20"/>
              </w:rPr>
              <w:t>Feature</w:t>
            </w:r>
          </w:p>
        </w:tc>
        <w:tc>
          <w:tcPr>
            <w:tcW w:w="820" w:type="dxa"/>
            <w:tcBorders>
              <w:top w:val="nil"/>
              <w:left w:val="single" w:sz="4" w:space="0" w:color="000000"/>
              <w:right w:val="single" w:sz="4" w:space="0" w:color="000000"/>
            </w:tcBorders>
          </w:tcPr>
          <w:p>
            <w:pPr>
              <w:pStyle w:val="TableParagraph"/>
              <w:spacing w:before="31"/>
              <w:ind w:left="118"/>
              <w:rPr>
                <w:sz w:val="20"/>
              </w:rPr>
            </w:pPr>
            <w:r>
              <w:rPr>
                <w:spacing w:val="-2"/>
                <w:sz w:val="20"/>
              </w:rPr>
              <w:t>Region</w:t>
            </w:r>
          </w:p>
        </w:tc>
        <w:tc>
          <w:tcPr>
            <w:tcW w:w="1010" w:type="dxa"/>
            <w:tcBorders>
              <w:top w:val="nil"/>
              <w:left w:val="single" w:sz="4" w:space="0" w:color="000000"/>
              <w:right w:val="single" w:sz="4" w:space="0" w:color="000000"/>
            </w:tcBorders>
          </w:tcPr>
          <w:p>
            <w:pPr>
              <w:pStyle w:val="TableParagraph"/>
              <w:spacing w:line="302" w:lineRule="exact" w:before="0"/>
              <w:ind w:left="118"/>
              <w:rPr>
                <w:rFonts w:ascii="Meiryo UI"/>
                <w:i/>
                <w:sz w:val="20"/>
              </w:rPr>
            </w:pPr>
            <w:r>
              <w:rPr>
                <w:sz w:val="20"/>
              </w:rPr>
              <w:t>Linear</w:t>
            </w:r>
            <w:r>
              <w:rPr>
                <w:spacing w:val="-7"/>
                <w:sz w:val="20"/>
              </w:rPr>
              <w:t> </w:t>
            </w:r>
            <w:r>
              <w:rPr>
                <w:rFonts w:ascii="Meiryo UI"/>
                <w:i/>
                <w:spacing w:val="-5"/>
                <w:sz w:val="20"/>
              </w:rPr>
              <w:t>|</w:t>
            </w:r>
            <w:r>
              <w:rPr>
                <w:i/>
                <w:spacing w:val="-5"/>
                <w:sz w:val="20"/>
              </w:rPr>
              <w:t>r</w:t>
            </w:r>
            <w:r>
              <w:rPr>
                <w:rFonts w:ascii="Meiryo UI"/>
                <w:i/>
                <w:spacing w:val="-5"/>
                <w:sz w:val="20"/>
              </w:rPr>
              <w:t>|</w:t>
            </w:r>
          </w:p>
        </w:tc>
        <w:tc>
          <w:tcPr>
            <w:tcW w:w="1099" w:type="dxa"/>
            <w:tcBorders>
              <w:top w:val="nil"/>
              <w:left w:val="single" w:sz="4" w:space="0" w:color="000000"/>
              <w:right w:val="single" w:sz="4" w:space="0" w:color="000000"/>
            </w:tcBorders>
          </w:tcPr>
          <w:p>
            <w:pPr>
              <w:pStyle w:val="TableParagraph"/>
              <w:spacing w:line="302" w:lineRule="exact" w:before="0"/>
              <w:ind w:left="117"/>
              <w:rPr>
                <w:rFonts w:ascii="Meiryo UI"/>
                <w:i/>
                <w:sz w:val="20"/>
              </w:rPr>
            </w:pPr>
            <w:r>
              <w:rPr>
                <w:sz w:val="20"/>
              </w:rPr>
              <w:t>LOESS</w:t>
            </w:r>
            <w:r>
              <w:rPr>
                <w:spacing w:val="-8"/>
                <w:sz w:val="20"/>
              </w:rPr>
              <w:t> </w:t>
            </w:r>
            <w:r>
              <w:rPr>
                <w:rFonts w:ascii="Meiryo UI"/>
                <w:i/>
                <w:spacing w:val="-5"/>
                <w:sz w:val="20"/>
              </w:rPr>
              <w:t>|</w:t>
            </w:r>
            <w:r>
              <w:rPr>
                <w:i/>
                <w:spacing w:val="-5"/>
                <w:sz w:val="20"/>
              </w:rPr>
              <w:t>r</w:t>
            </w:r>
            <w:r>
              <w:rPr>
                <w:rFonts w:ascii="Meiryo UI"/>
                <w:i/>
                <w:spacing w:val="-5"/>
                <w:sz w:val="20"/>
              </w:rPr>
              <w:t>|</w:t>
            </w:r>
          </w:p>
        </w:tc>
        <w:tc>
          <w:tcPr>
            <w:tcW w:w="1105" w:type="dxa"/>
            <w:tcBorders>
              <w:top w:val="nil"/>
              <w:left w:val="single" w:sz="4" w:space="0" w:color="000000"/>
              <w:right w:val="single" w:sz="4" w:space="0" w:color="000000"/>
            </w:tcBorders>
          </w:tcPr>
          <w:p>
            <w:pPr>
              <w:pStyle w:val="TableParagraph"/>
              <w:spacing w:before="31"/>
              <w:ind w:left="116"/>
              <w:rPr>
                <w:sz w:val="20"/>
              </w:rPr>
            </w:pPr>
            <w:r>
              <w:rPr>
                <w:sz w:val="20"/>
              </w:rPr>
              <w:t>%</w:t>
            </w:r>
            <w:r>
              <w:rPr>
                <w:spacing w:val="-3"/>
                <w:sz w:val="20"/>
              </w:rPr>
              <w:t> </w:t>
            </w:r>
            <w:r>
              <w:rPr>
                <w:spacing w:val="-2"/>
                <w:sz w:val="20"/>
              </w:rPr>
              <w:t>retained</w:t>
            </w:r>
          </w:p>
        </w:tc>
        <w:tc>
          <w:tcPr>
            <w:tcW w:w="1961" w:type="dxa"/>
            <w:tcBorders>
              <w:top w:val="nil"/>
              <w:left w:val="single" w:sz="4" w:space="0" w:color="000000"/>
              <w:right w:val="nil"/>
            </w:tcBorders>
          </w:tcPr>
          <w:p>
            <w:pPr>
              <w:pStyle w:val="TableParagraph"/>
              <w:spacing w:before="31"/>
              <w:ind w:left="116"/>
              <w:rPr>
                <w:sz w:val="20"/>
              </w:rPr>
            </w:pPr>
            <w:r>
              <w:rPr>
                <w:spacing w:val="-2"/>
                <w:sz w:val="20"/>
              </w:rPr>
              <w:t>Interpretation</w:t>
            </w:r>
          </w:p>
        </w:tc>
      </w:tr>
    </w:tbl>
    <w:p>
      <w:pPr>
        <w:pStyle w:val="BodyText"/>
        <w:spacing w:before="10"/>
        <w:rPr>
          <w:sz w:val="4"/>
        </w:rPr>
      </w:pPr>
    </w:p>
    <w:tbl>
      <w:tblPr>
        <w:tblW w:w="0" w:type="auto"/>
        <w:jc w:val="left"/>
        <w:tblInd w:w="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11"/>
        <w:gridCol w:w="820"/>
        <w:gridCol w:w="1010"/>
        <w:gridCol w:w="1099"/>
        <w:gridCol w:w="1105"/>
        <w:gridCol w:w="1961"/>
      </w:tblGrid>
      <w:tr>
        <w:trPr>
          <w:trHeight w:val="277" w:hRule="atLeast"/>
        </w:trPr>
        <w:tc>
          <w:tcPr>
            <w:tcW w:w="2511" w:type="dxa"/>
            <w:tcBorders>
              <w:right w:val="single" w:sz="4" w:space="0" w:color="000000"/>
            </w:tcBorders>
          </w:tcPr>
          <w:p>
            <w:pPr>
              <w:pStyle w:val="TableParagraph"/>
              <w:tabs>
                <w:tab w:pos="1735" w:val="left" w:leader="none"/>
              </w:tabs>
              <w:spacing w:line="227" w:lineRule="exact" w:before="31"/>
              <w:ind w:left="119"/>
              <w:rPr>
                <w:sz w:val="20"/>
              </w:rPr>
            </w:pPr>
            <w:r>
              <w:rPr>
                <w:b/>
                <w:spacing w:val="-2"/>
                <w:sz w:val="20"/>
              </w:rPr>
              <w:t>swa_hv_y1_b20</w:t>
            </w:r>
            <w:r>
              <w:rPr>
                <w:b/>
                <w:sz w:val="20"/>
              </w:rPr>
              <w:tab/>
            </w:r>
            <w:r>
              <w:rPr>
                <w:spacing w:val="-2"/>
                <w:sz w:val="20"/>
              </w:rPr>
              <w:t>(harvest</w:t>
            </w:r>
          </w:p>
        </w:tc>
        <w:tc>
          <w:tcPr>
            <w:tcW w:w="820" w:type="dxa"/>
            <w:tcBorders>
              <w:left w:val="single" w:sz="4" w:space="0" w:color="000000"/>
              <w:right w:val="single" w:sz="4" w:space="0" w:color="000000"/>
            </w:tcBorders>
          </w:tcPr>
          <w:p>
            <w:pPr>
              <w:pStyle w:val="TableParagraph"/>
              <w:spacing w:line="227" w:lineRule="exact" w:before="31"/>
              <w:ind w:left="16" w:right="166"/>
              <w:jc w:val="center"/>
              <w:rPr>
                <w:sz w:val="20"/>
              </w:rPr>
            </w:pPr>
            <w:r>
              <w:rPr>
                <w:spacing w:val="-5"/>
                <w:sz w:val="20"/>
              </w:rPr>
              <w:t>RDD</w:t>
            </w:r>
          </w:p>
        </w:tc>
        <w:tc>
          <w:tcPr>
            <w:tcW w:w="1010" w:type="dxa"/>
            <w:tcBorders>
              <w:left w:val="single" w:sz="4" w:space="0" w:color="000000"/>
              <w:right w:val="single" w:sz="4" w:space="0" w:color="000000"/>
            </w:tcBorders>
          </w:tcPr>
          <w:p>
            <w:pPr>
              <w:pStyle w:val="TableParagraph"/>
              <w:spacing w:line="227" w:lineRule="exact" w:before="31"/>
              <w:ind w:left="118"/>
              <w:rPr>
                <w:sz w:val="20"/>
              </w:rPr>
            </w:pPr>
            <w:r>
              <w:rPr>
                <w:spacing w:val="-4"/>
                <w:sz w:val="20"/>
              </w:rPr>
              <w:t>0.33</w:t>
            </w:r>
          </w:p>
        </w:tc>
        <w:tc>
          <w:tcPr>
            <w:tcW w:w="1099" w:type="dxa"/>
            <w:tcBorders>
              <w:left w:val="single" w:sz="4" w:space="0" w:color="000000"/>
              <w:right w:val="single" w:sz="4" w:space="0" w:color="000000"/>
            </w:tcBorders>
          </w:tcPr>
          <w:p>
            <w:pPr>
              <w:pStyle w:val="TableParagraph"/>
              <w:spacing w:line="227" w:lineRule="exact" w:before="31"/>
              <w:ind w:left="117"/>
              <w:rPr>
                <w:sz w:val="20"/>
              </w:rPr>
            </w:pPr>
            <w:r>
              <w:rPr>
                <w:spacing w:val="-4"/>
                <w:sz w:val="20"/>
              </w:rPr>
              <w:t>0.41</w:t>
            </w:r>
          </w:p>
        </w:tc>
        <w:tc>
          <w:tcPr>
            <w:tcW w:w="1105" w:type="dxa"/>
            <w:tcBorders>
              <w:left w:val="single" w:sz="4" w:space="0" w:color="000000"/>
              <w:right w:val="single" w:sz="4" w:space="0" w:color="000000"/>
            </w:tcBorders>
          </w:tcPr>
          <w:p>
            <w:pPr>
              <w:pStyle w:val="TableParagraph"/>
              <w:spacing w:line="227" w:lineRule="exact" w:before="31"/>
              <w:ind w:left="116"/>
              <w:rPr>
                <w:sz w:val="20"/>
              </w:rPr>
            </w:pPr>
            <w:r>
              <w:rPr>
                <w:spacing w:val="-4"/>
                <w:sz w:val="20"/>
              </w:rPr>
              <w:t>125%</w:t>
            </w:r>
          </w:p>
        </w:tc>
        <w:tc>
          <w:tcPr>
            <w:tcW w:w="1961" w:type="dxa"/>
            <w:tcBorders>
              <w:left w:val="single" w:sz="4" w:space="0" w:color="000000"/>
            </w:tcBorders>
          </w:tcPr>
          <w:p>
            <w:pPr>
              <w:pStyle w:val="TableParagraph"/>
              <w:spacing w:line="226" w:lineRule="exact" w:before="31"/>
              <w:ind w:left="116"/>
              <w:rPr>
                <w:sz w:val="20"/>
              </w:rPr>
            </w:pPr>
            <w:r>
              <w:rPr>
                <w:sz w:val="20"/>
              </w:rPr>
              <w:t>Genuine</w:t>
            </w:r>
            <w:r>
              <w:rPr>
                <w:spacing w:val="53"/>
                <w:sz w:val="20"/>
              </w:rPr>
              <w:t>  </w:t>
            </w:r>
            <w:r>
              <w:rPr>
                <w:sz w:val="20"/>
              </w:rPr>
              <w:t>within-</w:t>
            </w:r>
            <w:r>
              <w:rPr>
                <w:spacing w:val="-5"/>
                <w:sz w:val="20"/>
              </w:rPr>
              <w:t>era</w:t>
            </w:r>
          </w:p>
        </w:tc>
      </w:tr>
      <w:tr>
        <w:trPr>
          <w:trHeight w:val="506" w:hRule="atLeast"/>
        </w:trPr>
        <w:tc>
          <w:tcPr>
            <w:tcW w:w="2511" w:type="dxa"/>
            <w:tcBorders>
              <w:right w:val="single" w:sz="4" w:space="0" w:color="000000"/>
            </w:tcBorders>
          </w:tcPr>
          <w:p>
            <w:pPr>
              <w:pStyle w:val="TableParagraph"/>
              <w:spacing w:line="222" w:lineRule="exact" w:before="0"/>
              <w:ind w:left="119"/>
              <w:rPr>
                <w:sz w:val="20"/>
              </w:rPr>
            </w:pPr>
            <w:r>
              <w:rPr>
                <w:sz w:val="20"/>
              </w:rPr>
              <w:t>soil</w:t>
            </w:r>
            <w:r>
              <w:rPr>
                <w:spacing w:val="-4"/>
                <w:sz w:val="20"/>
              </w:rPr>
              <w:t> </w:t>
            </w:r>
            <w:r>
              <w:rPr>
                <w:spacing w:val="-2"/>
                <w:sz w:val="20"/>
              </w:rPr>
              <w:t>water)</w:t>
            </w:r>
          </w:p>
        </w:tc>
        <w:tc>
          <w:tcPr>
            <w:tcW w:w="820" w:type="dxa"/>
            <w:tcBorders>
              <w:left w:val="single" w:sz="4" w:space="0" w:color="000000"/>
              <w:right w:val="single" w:sz="4" w:space="0" w:color="000000"/>
            </w:tcBorders>
          </w:tcPr>
          <w:p>
            <w:pPr>
              <w:pStyle w:val="TableParagraph"/>
              <w:spacing w:before="0"/>
              <w:rPr>
                <w:sz w:val="20"/>
              </w:rPr>
            </w:pPr>
          </w:p>
        </w:tc>
        <w:tc>
          <w:tcPr>
            <w:tcW w:w="1010" w:type="dxa"/>
            <w:tcBorders>
              <w:left w:val="single" w:sz="4" w:space="0" w:color="000000"/>
              <w:right w:val="single" w:sz="4" w:space="0" w:color="000000"/>
            </w:tcBorders>
          </w:tcPr>
          <w:p>
            <w:pPr>
              <w:pStyle w:val="TableParagraph"/>
              <w:spacing w:before="0"/>
              <w:rPr>
                <w:sz w:val="20"/>
              </w:rPr>
            </w:pPr>
          </w:p>
        </w:tc>
        <w:tc>
          <w:tcPr>
            <w:tcW w:w="1099" w:type="dxa"/>
            <w:tcBorders>
              <w:left w:val="single" w:sz="4" w:space="0" w:color="000000"/>
              <w:right w:val="single" w:sz="4" w:space="0" w:color="000000"/>
            </w:tcBorders>
          </w:tcPr>
          <w:p>
            <w:pPr>
              <w:pStyle w:val="TableParagraph"/>
              <w:spacing w:before="0"/>
              <w:rPr>
                <w:sz w:val="20"/>
              </w:rPr>
            </w:pPr>
          </w:p>
        </w:tc>
        <w:tc>
          <w:tcPr>
            <w:tcW w:w="1105" w:type="dxa"/>
            <w:tcBorders>
              <w:left w:val="single" w:sz="4" w:space="0" w:color="000000"/>
              <w:right w:val="single" w:sz="4" w:space="0" w:color="000000"/>
            </w:tcBorders>
          </w:tcPr>
          <w:p>
            <w:pPr>
              <w:pStyle w:val="TableParagraph"/>
              <w:spacing w:before="0"/>
              <w:rPr>
                <w:sz w:val="20"/>
              </w:rPr>
            </w:pPr>
          </w:p>
        </w:tc>
        <w:tc>
          <w:tcPr>
            <w:tcW w:w="1961" w:type="dxa"/>
            <w:tcBorders>
              <w:left w:val="single" w:sz="4" w:space="0" w:color="000000"/>
            </w:tcBorders>
          </w:tcPr>
          <w:p>
            <w:pPr>
              <w:pStyle w:val="TableParagraph"/>
              <w:tabs>
                <w:tab w:pos="1089" w:val="left" w:leader="none"/>
              </w:tabs>
              <w:spacing w:line="249" w:lineRule="auto" w:before="0"/>
              <w:ind w:left="116" w:right="119"/>
              <w:rPr>
                <w:sz w:val="20"/>
              </w:rPr>
            </w:pPr>
            <w:r>
              <w:rPr>
                <w:spacing w:val="-2"/>
                <w:sz w:val="20"/>
              </w:rPr>
              <w:t>signal;</w:t>
            </w:r>
            <w:r>
              <w:rPr>
                <w:sz w:val="20"/>
              </w:rPr>
              <w:tab/>
            </w:r>
            <w:r>
              <w:rPr>
                <w:spacing w:val="-2"/>
                <w:sz w:val="20"/>
              </w:rPr>
              <w:t>increases </w:t>
            </w:r>
            <w:r>
              <w:rPr>
                <w:sz w:val="20"/>
              </w:rPr>
              <w:t>under LOESS</w:t>
            </w:r>
          </w:p>
        </w:tc>
      </w:tr>
      <w:tr>
        <w:trPr>
          <w:trHeight w:val="280" w:hRule="atLeast"/>
        </w:trPr>
        <w:tc>
          <w:tcPr>
            <w:tcW w:w="2511" w:type="dxa"/>
            <w:tcBorders>
              <w:right w:val="single" w:sz="4" w:space="0" w:color="000000"/>
            </w:tcBorders>
          </w:tcPr>
          <w:p>
            <w:pPr>
              <w:pStyle w:val="TableParagraph"/>
              <w:spacing w:line="224" w:lineRule="exact" w:before="36"/>
              <w:ind w:left="119"/>
              <w:rPr>
                <w:b/>
                <w:sz w:val="20"/>
              </w:rPr>
            </w:pPr>
            <w:r>
              <w:rPr>
                <w:b/>
                <w:spacing w:val="-2"/>
                <w:sz w:val="20"/>
              </w:rPr>
              <w:t>days.rf.above.1mm_fl_</w:t>
            </w:r>
          </w:p>
        </w:tc>
        <w:tc>
          <w:tcPr>
            <w:tcW w:w="820" w:type="dxa"/>
            <w:tcBorders>
              <w:left w:val="single" w:sz="4" w:space="0" w:color="000000"/>
              <w:right w:val="single" w:sz="4" w:space="0" w:color="000000"/>
            </w:tcBorders>
          </w:tcPr>
          <w:p>
            <w:pPr>
              <w:pStyle w:val="TableParagraph"/>
              <w:spacing w:line="224" w:lineRule="exact" w:before="36"/>
              <w:ind w:left="16" w:right="166"/>
              <w:jc w:val="center"/>
              <w:rPr>
                <w:sz w:val="20"/>
              </w:rPr>
            </w:pPr>
            <w:r>
              <w:rPr>
                <w:spacing w:val="-5"/>
                <w:sz w:val="20"/>
              </w:rPr>
              <w:t>RDD</w:t>
            </w:r>
          </w:p>
        </w:tc>
        <w:tc>
          <w:tcPr>
            <w:tcW w:w="1010" w:type="dxa"/>
            <w:tcBorders>
              <w:left w:val="single" w:sz="4" w:space="0" w:color="000000"/>
              <w:right w:val="single" w:sz="4" w:space="0" w:color="000000"/>
            </w:tcBorders>
          </w:tcPr>
          <w:p>
            <w:pPr>
              <w:pStyle w:val="TableParagraph"/>
              <w:spacing w:line="224" w:lineRule="exact" w:before="36"/>
              <w:ind w:left="118"/>
              <w:rPr>
                <w:sz w:val="20"/>
              </w:rPr>
            </w:pPr>
            <w:r>
              <w:rPr>
                <w:spacing w:val="-4"/>
                <w:sz w:val="20"/>
              </w:rPr>
              <w:t>0.28</w:t>
            </w:r>
          </w:p>
        </w:tc>
        <w:tc>
          <w:tcPr>
            <w:tcW w:w="1099" w:type="dxa"/>
            <w:tcBorders>
              <w:left w:val="single" w:sz="4" w:space="0" w:color="000000"/>
              <w:right w:val="single" w:sz="4" w:space="0" w:color="000000"/>
            </w:tcBorders>
          </w:tcPr>
          <w:p>
            <w:pPr>
              <w:pStyle w:val="TableParagraph"/>
              <w:spacing w:line="224" w:lineRule="exact" w:before="36"/>
              <w:ind w:left="117"/>
              <w:rPr>
                <w:sz w:val="20"/>
              </w:rPr>
            </w:pPr>
            <w:r>
              <w:rPr>
                <w:spacing w:val="-4"/>
                <w:sz w:val="20"/>
              </w:rPr>
              <w:t>0.28</w:t>
            </w:r>
          </w:p>
        </w:tc>
        <w:tc>
          <w:tcPr>
            <w:tcW w:w="1105" w:type="dxa"/>
            <w:tcBorders>
              <w:left w:val="single" w:sz="4" w:space="0" w:color="000000"/>
              <w:right w:val="single" w:sz="4" w:space="0" w:color="000000"/>
            </w:tcBorders>
          </w:tcPr>
          <w:p>
            <w:pPr>
              <w:pStyle w:val="TableParagraph"/>
              <w:spacing w:line="224" w:lineRule="exact" w:before="36"/>
              <w:ind w:left="116"/>
              <w:rPr>
                <w:sz w:val="20"/>
              </w:rPr>
            </w:pPr>
            <w:r>
              <w:rPr>
                <w:spacing w:val="-4"/>
                <w:sz w:val="20"/>
              </w:rPr>
              <w:t>103%</w:t>
            </w:r>
          </w:p>
        </w:tc>
        <w:tc>
          <w:tcPr>
            <w:tcW w:w="1961" w:type="dxa"/>
            <w:tcBorders>
              <w:left w:val="single" w:sz="4" w:space="0" w:color="000000"/>
            </w:tcBorders>
          </w:tcPr>
          <w:p>
            <w:pPr>
              <w:pStyle w:val="TableParagraph"/>
              <w:spacing w:line="224" w:lineRule="exact" w:before="36"/>
              <w:ind w:left="116"/>
              <w:rPr>
                <w:sz w:val="20"/>
              </w:rPr>
            </w:pPr>
            <w:r>
              <w:rPr>
                <w:sz w:val="20"/>
              </w:rPr>
              <w:t>Genuine;</w:t>
            </w:r>
            <w:r>
              <w:rPr>
                <w:spacing w:val="36"/>
                <w:sz w:val="20"/>
              </w:rPr>
              <w:t>  </w:t>
            </w:r>
            <w:r>
              <w:rPr>
                <w:sz w:val="20"/>
              </w:rPr>
              <w:t>fully</w:t>
            </w:r>
            <w:r>
              <w:rPr>
                <w:spacing w:val="58"/>
                <w:w w:val="150"/>
                <w:sz w:val="20"/>
              </w:rPr>
              <w:t> </w:t>
            </w:r>
            <w:r>
              <w:rPr>
                <w:spacing w:val="-4"/>
                <w:sz w:val="20"/>
              </w:rPr>
              <w:t>pre-</w:t>
            </w:r>
          </w:p>
        </w:tc>
      </w:tr>
      <w:tr>
        <w:trPr>
          <w:trHeight w:val="508" w:hRule="atLeast"/>
        </w:trPr>
        <w:tc>
          <w:tcPr>
            <w:tcW w:w="2511" w:type="dxa"/>
            <w:tcBorders>
              <w:right w:val="single" w:sz="4" w:space="0" w:color="000000"/>
            </w:tcBorders>
          </w:tcPr>
          <w:p>
            <w:pPr>
              <w:pStyle w:val="TableParagraph"/>
              <w:spacing w:line="249" w:lineRule="auto" w:before="0"/>
              <w:ind w:left="119" w:hanging="5"/>
              <w:rPr>
                <w:sz w:val="20"/>
              </w:rPr>
            </w:pPr>
            <w:r>
              <w:rPr>
                <w:b/>
                <w:sz w:val="20"/>
              </w:rPr>
              <w:t>y1_c15</w:t>
            </w:r>
            <w:r>
              <w:rPr>
                <w:b/>
                <w:spacing w:val="80"/>
                <w:sz w:val="20"/>
              </w:rPr>
              <w:t> </w:t>
            </w:r>
            <w:r>
              <w:rPr>
                <w:sz w:val="20"/>
              </w:rPr>
              <w:t>(wet</w:t>
            </w:r>
            <w:r>
              <w:rPr>
                <w:spacing w:val="80"/>
                <w:sz w:val="20"/>
              </w:rPr>
              <w:t> </w:t>
            </w:r>
            <w:r>
              <w:rPr>
                <w:sz w:val="20"/>
              </w:rPr>
              <w:t>days</w:t>
            </w:r>
            <w:r>
              <w:rPr>
                <w:spacing w:val="80"/>
                <w:sz w:val="20"/>
              </w:rPr>
              <w:t> </w:t>
            </w:r>
            <w:r>
              <w:rPr>
                <w:sz w:val="20"/>
              </w:rPr>
              <w:t>post-</w:t>
            </w:r>
            <w:r>
              <w:rPr>
                <w:spacing w:val="-2"/>
                <w:sz w:val="20"/>
              </w:rPr>
              <w:t>flowering)</w:t>
            </w:r>
          </w:p>
        </w:tc>
        <w:tc>
          <w:tcPr>
            <w:tcW w:w="820" w:type="dxa"/>
            <w:tcBorders>
              <w:left w:val="single" w:sz="4" w:space="0" w:color="000000"/>
              <w:right w:val="single" w:sz="4" w:space="0" w:color="000000"/>
            </w:tcBorders>
          </w:tcPr>
          <w:p>
            <w:pPr>
              <w:pStyle w:val="TableParagraph"/>
              <w:spacing w:before="0"/>
              <w:rPr>
                <w:sz w:val="20"/>
              </w:rPr>
            </w:pPr>
          </w:p>
        </w:tc>
        <w:tc>
          <w:tcPr>
            <w:tcW w:w="1010" w:type="dxa"/>
            <w:tcBorders>
              <w:left w:val="single" w:sz="4" w:space="0" w:color="000000"/>
              <w:right w:val="single" w:sz="4" w:space="0" w:color="000000"/>
            </w:tcBorders>
          </w:tcPr>
          <w:p>
            <w:pPr>
              <w:pStyle w:val="TableParagraph"/>
              <w:spacing w:before="0"/>
              <w:rPr>
                <w:sz w:val="20"/>
              </w:rPr>
            </w:pPr>
          </w:p>
        </w:tc>
        <w:tc>
          <w:tcPr>
            <w:tcW w:w="1099" w:type="dxa"/>
            <w:tcBorders>
              <w:left w:val="single" w:sz="4" w:space="0" w:color="000000"/>
              <w:right w:val="single" w:sz="4" w:space="0" w:color="000000"/>
            </w:tcBorders>
          </w:tcPr>
          <w:p>
            <w:pPr>
              <w:pStyle w:val="TableParagraph"/>
              <w:spacing w:before="0"/>
              <w:rPr>
                <w:sz w:val="20"/>
              </w:rPr>
            </w:pPr>
          </w:p>
        </w:tc>
        <w:tc>
          <w:tcPr>
            <w:tcW w:w="1105" w:type="dxa"/>
            <w:tcBorders>
              <w:left w:val="single" w:sz="4" w:space="0" w:color="000000"/>
              <w:right w:val="single" w:sz="4" w:space="0" w:color="000000"/>
            </w:tcBorders>
          </w:tcPr>
          <w:p>
            <w:pPr>
              <w:pStyle w:val="TableParagraph"/>
              <w:spacing w:before="0"/>
              <w:rPr>
                <w:sz w:val="20"/>
              </w:rPr>
            </w:pPr>
          </w:p>
        </w:tc>
        <w:tc>
          <w:tcPr>
            <w:tcW w:w="1961" w:type="dxa"/>
            <w:tcBorders>
              <w:left w:val="single" w:sz="4" w:space="0" w:color="000000"/>
            </w:tcBorders>
          </w:tcPr>
          <w:p>
            <w:pPr>
              <w:pStyle w:val="TableParagraph"/>
              <w:spacing w:line="249" w:lineRule="auto" w:before="0"/>
              <w:ind w:left="116"/>
              <w:rPr>
                <w:sz w:val="20"/>
              </w:rPr>
            </w:pPr>
            <w:r>
              <w:rPr>
                <w:sz w:val="20"/>
              </w:rPr>
              <w:t>served</w:t>
            </w:r>
            <w:r>
              <w:rPr>
                <w:spacing w:val="40"/>
                <w:sz w:val="20"/>
              </w:rPr>
              <w:t> </w:t>
            </w:r>
            <w:r>
              <w:rPr>
                <w:sz w:val="20"/>
              </w:rPr>
              <w:t>after</w:t>
            </w:r>
            <w:r>
              <w:rPr>
                <w:spacing w:val="40"/>
                <w:sz w:val="20"/>
              </w:rPr>
              <w:t> </w:t>
            </w:r>
            <w:r>
              <w:rPr>
                <w:sz w:val="20"/>
              </w:rPr>
              <w:t>era</w:t>
            </w:r>
            <w:r>
              <w:rPr>
                <w:spacing w:val="40"/>
                <w:sz w:val="20"/>
              </w:rPr>
              <w:t> </w:t>
            </w:r>
            <w:r>
              <w:rPr>
                <w:sz w:val="20"/>
              </w:rPr>
              <w:t>re-</w:t>
            </w:r>
            <w:r>
              <w:rPr>
                <w:spacing w:val="-4"/>
                <w:sz w:val="20"/>
              </w:rPr>
              <w:t>moval</w:t>
            </w:r>
          </w:p>
        </w:tc>
      </w:tr>
      <w:tr>
        <w:trPr>
          <w:trHeight w:val="283" w:hRule="atLeast"/>
        </w:trPr>
        <w:tc>
          <w:tcPr>
            <w:tcW w:w="2511" w:type="dxa"/>
            <w:tcBorders>
              <w:right w:val="single" w:sz="4" w:space="0" w:color="000000"/>
            </w:tcBorders>
          </w:tcPr>
          <w:p>
            <w:pPr>
              <w:pStyle w:val="TableParagraph"/>
              <w:spacing w:line="227" w:lineRule="exact" w:before="36"/>
              <w:ind w:left="119"/>
              <w:rPr>
                <w:sz w:val="20"/>
              </w:rPr>
            </w:pPr>
            <w:r>
              <w:rPr>
                <w:b/>
                <w:spacing w:val="-2"/>
                <w:sz w:val="20"/>
              </w:rPr>
              <w:t>tm_hv_y1_c10 </w:t>
            </w:r>
            <w:r>
              <w:rPr>
                <w:spacing w:val="-2"/>
                <w:sz w:val="20"/>
              </w:rPr>
              <w:t>(harvest</w:t>
            </w:r>
            <w:r>
              <w:rPr>
                <w:spacing w:val="-1"/>
                <w:sz w:val="20"/>
              </w:rPr>
              <w:t> </w:t>
            </w:r>
            <w:r>
              <w:rPr>
                <w:spacing w:val="-4"/>
                <w:sz w:val="20"/>
              </w:rPr>
              <w:t>tem-</w:t>
            </w:r>
          </w:p>
        </w:tc>
        <w:tc>
          <w:tcPr>
            <w:tcW w:w="820" w:type="dxa"/>
            <w:tcBorders>
              <w:left w:val="single" w:sz="4" w:space="0" w:color="000000"/>
              <w:right w:val="single" w:sz="4" w:space="0" w:color="000000"/>
            </w:tcBorders>
          </w:tcPr>
          <w:p>
            <w:pPr>
              <w:pStyle w:val="TableParagraph"/>
              <w:spacing w:line="227" w:lineRule="exact" w:before="36"/>
              <w:ind w:left="16" w:right="166"/>
              <w:jc w:val="center"/>
              <w:rPr>
                <w:sz w:val="20"/>
              </w:rPr>
            </w:pPr>
            <w:r>
              <w:rPr>
                <w:spacing w:val="-5"/>
                <w:sz w:val="20"/>
              </w:rPr>
              <w:t>RDD</w:t>
            </w:r>
          </w:p>
        </w:tc>
        <w:tc>
          <w:tcPr>
            <w:tcW w:w="1010" w:type="dxa"/>
            <w:tcBorders>
              <w:left w:val="single" w:sz="4" w:space="0" w:color="000000"/>
              <w:right w:val="single" w:sz="4" w:space="0" w:color="000000"/>
            </w:tcBorders>
          </w:tcPr>
          <w:p>
            <w:pPr>
              <w:pStyle w:val="TableParagraph"/>
              <w:spacing w:line="227" w:lineRule="exact" w:before="36"/>
              <w:ind w:left="118"/>
              <w:rPr>
                <w:sz w:val="20"/>
              </w:rPr>
            </w:pPr>
            <w:r>
              <w:rPr>
                <w:spacing w:val="-4"/>
                <w:sz w:val="20"/>
              </w:rPr>
              <w:t>0.17</w:t>
            </w:r>
          </w:p>
        </w:tc>
        <w:tc>
          <w:tcPr>
            <w:tcW w:w="1099" w:type="dxa"/>
            <w:tcBorders>
              <w:left w:val="single" w:sz="4" w:space="0" w:color="000000"/>
              <w:right w:val="single" w:sz="4" w:space="0" w:color="000000"/>
            </w:tcBorders>
          </w:tcPr>
          <w:p>
            <w:pPr>
              <w:pStyle w:val="TableParagraph"/>
              <w:spacing w:line="227" w:lineRule="exact" w:before="36"/>
              <w:ind w:left="117"/>
              <w:rPr>
                <w:sz w:val="20"/>
              </w:rPr>
            </w:pPr>
            <w:r>
              <w:rPr>
                <w:spacing w:val="-4"/>
                <w:sz w:val="20"/>
              </w:rPr>
              <w:t>0.17</w:t>
            </w:r>
          </w:p>
        </w:tc>
        <w:tc>
          <w:tcPr>
            <w:tcW w:w="1105" w:type="dxa"/>
            <w:tcBorders>
              <w:left w:val="single" w:sz="4" w:space="0" w:color="000000"/>
              <w:right w:val="single" w:sz="4" w:space="0" w:color="000000"/>
            </w:tcBorders>
          </w:tcPr>
          <w:p>
            <w:pPr>
              <w:pStyle w:val="TableParagraph"/>
              <w:spacing w:line="227" w:lineRule="exact" w:before="36"/>
              <w:ind w:left="116"/>
              <w:rPr>
                <w:sz w:val="20"/>
              </w:rPr>
            </w:pPr>
            <w:r>
              <w:rPr>
                <w:spacing w:val="-4"/>
                <w:sz w:val="20"/>
              </w:rPr>
              <w:t>105%</w:t>
            </w:r>
          </w:p>
        </w:tc>
        <w:tc>
          <w:tcPr>
            <w:tcW w:w="1961" w:type="dxa"/>
            <w:tcBorders>
              <w:left w:val="single" w:sz="4" w:space="0" w:color="000000"/>
            </w:tcBorders>
          </w:tcPr>
          <w:p>
            <w:pPr>
              <w:pStyle w:val="TableParagraph"/>
              <w:spacing w:line="226" w:lineRule="exact" w:before="36"/>
              <w:ind w:left="116"/>
              <w:rPr>
                <w:sz w:val="20"/>
              </w:rPr>
            </w:pPr>
            <w:r>
              <w:rPr>
                <w:sz w:val="20"/>
              </w:rPr>
              <w:t>Preserved;</w:t>
            </w:r>
            <w:r>
              <w:rPr>
                <w:spacing w:val="-4"/>
                <w:sz w:val="20"/>
              </w:rPr>
              <w:t> </w:t>
            </w:r>
            <w:r>
              <w:rPr>
                <w:sz w:val="20"/>
              </w:rPr>
              <w:t>within-</w:t>
            </w:r>
            <w:r>
              <w:rPr>
                <w:spacing w:val="-5"/>
                <w:sz w:val="20"/>
              </w:rPr>
              <w:t>era</w:t>
            </w:r>
          </w:p>
        </w:tc>
      </w:tr>
      <w:tr>
        <w:trPr>
          <w:trHeight w:val="506" w:hRule="atLeast"/>
        </w:trPr>
        <w:tc>
          <w:tcPr>
            <w:tcW w:w="2511" w:type="dxa"/>
            <w:tcBorders>
              <w:right w:val="single" w:sz="4" w:space="0" w:color="000000"/>
            </w:tcBorders>
          </w:tcPr>
          <w:p>
            <w:pPr>
              <w:pStyle w:val="TableParagraph"/>
              <w:spacing w:line="222" w:lineRule="exact" w:before="0"/>
              <w:ind w:left="119"/>
              <w:rPr>
                <w:sz w:val="20"/>
              </w:rPr>
            </w:pPr>
            <w:r>
              <w:rPr>
                <w:spacing w:val="-2"/>
                <w:sz w:val="20"/>
              </w:rPr>
              <w:t>perature)</w:t>
            </w:r>
          </w:p>
        </w:tc>
        <w:tc>
          <w:tcPr>
            <w:tcW w:w="820" w:type="dxa"/>
            <w:tcBorders>
              <w:left w:val="single" w:sz="4" w:space="0" w:color="000000"/>
              <w:right w:val="single" w:sz="4" w:space="0" w:color="000000"/>
            </w:tcBorders>
          </w:tcPr>
          <w:p>
            <w:pPr>
              <w:pStyle w:val="TableParagraph"/>
              <w:spacing w:before="0"/>
              <w:rPr>
                <w:sz w:val="20"/>
              </w:rPr>
            </w:pPr>
          </w:p>
        </w:tc>
        <w:tc>
          <w:tcPr>
            <w:tcW w:w="1010" w:type="dxa"/>
            <w:tcBorders>
              <w:left w:val="single" w:sz="4" w:space="0" w:color="000000"/>
              <w:right w:val="single" w:sz="4" w:space="0" w:color="000000"/>
            </w:tcBorders>
          </w:tcPr>
          <w:p>
            <w:pPr>
              <w:pStyle w:val="TableParagraph"/>
              <w:spacing w:before="0"/>
              <w:rPr>
                <w:sz w:val="20"/>
              </w:rPr>
            </w:pPr>
          </w:p>
        </w:tc>
        <w:tc>
          <w:tcPr>
            <w:tcW w:w="1099" w:type="dxa"/>
            <w:tcBorders>
              <w:left w:val="single" w:sz="4" w:space="0" w:color="000000"/>
              <w:right w:val="single" w:sz="4" w:space="0" w:color="000000"/>
            </w:tcBorders>
          </w:tcPr>
          <w:p>
            <w:pPr>
              <w:pStyle w:val="TableParagraph"/>
              <w:spacing w:before="0"/>
              <w:rPr>
                <w:sz w:val="20"/>
              </w:rPr>
            </w:pPr>
          </w:p>
        </w:tc>
        <w:tc>
          <w:tcPr>
            <w:tcW w:w="1105" w:type="dxa"/>
            <w:tcBorders>
              <w:left w:val="single" w:sz="4" w:space="0" w:color="000000"/>
              <w:right w:val="single" w:sz="4" w:space="0" w:color="000000"/>
            </w:tcBorders>
          </w:tcPr>
          <w:p>
            <w:pPr>
              <w:pStyle w:val="TableParagraph"/>
              <w:spacing w:before="0"/>
              <w:rPr>
                <w:sz w:val="20"/>
              </w:rPr>
            </w:pPr>
          </w:p>
        </w:tc>
        <w:tc>
          <w:tcPr>
            <w:tcW w:w="1961" w:type="dxa"/>
            <w:tcBorders>
              <w:left w:val="single" w:sz="4" w:space="0" w:color="000000"/>
            </w:tcBorders>
          </w:tcPr>
          <w:p>
            <w:pPr>
              <w:pStyle w:val="TableParagraph"/>
              <w:tabs>
                <w:tab w:pos="1055" w:val="left" w:leader="none"/>
              </w:tabs>
              <w:spacing w:line="249" w:lineRule="auto" w:before="0"/>
              <w:ind w:left="116" w:right="119"/>
              <w:rPr>
                <w:sz w:val="20"/>
              </w:rPr>
            </w:pPr>
            <w:r>
              <w:rPr>
                <w:spacing w:val="-2"/>
                <w:sz w:val="20"/>
              </w:rPr>
              <w:t>signal</w:t>
            </w:r>
            <w:r>
              <w:rPr>
                <w:sz w:val="20"/>
              </w:rPr>
              <w:tab/>
            </w:r>
            <w:r>
              <w:rPr>
                <w:spacing w:val="-2"/>
                <w:sz w:val="20"/>
              </w:rPr>
              <w:t>alongside </w:t>
            </w:r>
            <w:r>
              <w:rPr>
                <w:spacing w:val="-4"/>
                <w:sz w:val="20"/>
              </w:rPr>
              <w:t>known</w:t>
            </w:r>
            <w:r>
              <w:rPr>
                <w:sz w:val="20"/>
              </w:rPr>
              <w:t> </w:t>
            </w:r>
            <w:r>
              <w:rPr>
                <w:spacing w:val="-4"/>
                <w:sz w:val="20"/>
              </w:rPr>
              <w:t>warming</w:t>
            </w:r>
            <w:r>
              <w:rPr>
                <w:sz w:val="20"/>
              </w:rPr>
              <w:t> </w:t>
            </w:r>
            <w:r>
              <w:rPr>
                <w:spacing w:val="-4"/>
                <w:sz w:val="20"/>
              </w:rPr>
              <w:t>trend</w:t>
            </w:r>
          </w:p>
        </w:tc>
      </w:tr>
      <w:tr>
        <w:trPr>
          <w:trHeight w:val="280" w:hRule="atLeast"/>
        </w:trPr>
        <w:tc>
          <w:tcPr>
            <w:tcW w:w="2511" w:type="dxa"/>
            <w:tcBorders>
              <w:right w:val="single" w:sz="4" w:space="0" w:color="000000"/>
            </w:tcBorders>
          </w:tcPr>
          <w:p>
            <w:pPr>
              <w:pStyle w:val="TableParagraph"/>
              <w:spacing w:line="224" w:lineRule="exact" w:before="36"/>
              <w:ind w:left="119"/>
              <w:rPr>
                <w:b/>
                <w:sz w:val="20"/>
              </w:rPr>
            </w:pPr>
            <w:r>
              <w:rPr>
                <w:b/>
                <w:spacing w:val="-2"/>
                <w:sz w:val="20"/>
              </w:rPr>
              <w:t>days.rf.above.1mm_fl_</w:t>
            </w:r>
          </w:p>
        </w:tc>
        <w:tc>
          <w:tcPr>
            <w:tcW w:w="820" w:type="dxa"/>
            <w:tcBorders>
              <w:left w:val="single" w:sz="4" w:space="0" w:color="000000"/>
              <w:right w:val="single" w:sz="4" w:space="0" w:color="000000"/>
            </w:tcBorders>
          </w:tcPr>
          <w:p>
            <w:pPr>
              <w:pStyle w:val="TableParagraph"/>
              <w:spacing w:line="224" w:lineRule="exact" w:before="36"/>
              <w:ind w:right="166"/>
              <w:jc w:val="center"/>
              <w:rPr>
                <w:sz w:val="20"/>
              </w:rPr>
            </w:pPr>
            <w:r>
              <w:rPr>
                <w:spacing w:val="-5"/>
                <w:sz w:val="20"/>
              </w:rPr>
              <w:t>RVV</w:t>
            </w:r>
          </w:p>
        </w:tc>
        <w:tc>
          <w:tcPr>
            <w:tcW w:w="1010" w:type="dxa"/>
            <w:tcBorders>
              <w:left w:val="single" w:sz="4" w:space="0" w:color="000000"/>
              <w:right w:val="single" w:sz="4" w:space="0" w:color="000000"/>
            </w:tcBorders>
          </w:tcPr>
          <w:p>
            <w:pPr>
              <w:pStyle w:val="TableParagraph"/>
              <w:spacing w:line="224" w:lineRule="exact" w:before="36"/>
              <w:ind w:left="118"/>
              <w:rPr>
                <w:sz w:val="20"/>
              </w:rPr>
            </w:pPr>
            <w:r>
              <w:rPr>
                <w:spacing w:val="-4"/>
                <w:sz w:val="20"/>
              </w:rPr>
              <w:t>0.34</w:t>
            </w:r>
          </w:p>
        </w:tc>
        <w:tc>
          <w:tcPr>
            <w:tcW w:w="1099" w:type="dxa"/>
            <w:tcBorders>
              <w:left w:val="single" w:sz="4" w:space="0" w:color="000000"/>
              <w:right w:val="single" w:sz="4" w:space="0" w:color="000000"/>
            </w:tcBorders>
          </w:tcPr>
          <w:p>
            <w:pPr>
              <w:pStyle w:val="TableParagraph"/>
              <w:spacing w:line="224" w:lineRule="exact" w:before="36"/>
              <w:ind w:left="117"/>
              <w:rPr>
                <w:sz w:val="20"/>
              </w:rPr>
            </w:pPr>
            <w:r>
              <w:rPr>
                <w:spacing w:val="-4"/>
                <w:sz w:val="20"/>
              </w:rPr>
              <w:t>0.32</w:t>
            </w:r>
          </w:p>
        </w:tc>
        <w:tc>
          <w:tcPr>
            <w:tcW w:w="1105" w:type="dxa"/>
            <w:tcBorders>
              <w:left w:val="single" w:sz="4" w:space="0" w:color="000000"/>
              <w:right w:val="single" w:sz="4" w:space="0" w:color="000000"/>
            </w:tcBorders>
          </w:tcPr>
          <w:p>
            <w:pPr>
              <w:pStyle w:val="TableParagraph"/>
              <w:spacing w:line="224" w:lineRule="exact" w:before="36"/>
              <w:ind w:left="116"/>
              <w:rPr>
                <w:sz w:val="20"/>
              </w:rPr>
            </w:pPr>
            <w:r>
              <w:rPr>
                <w:spacing w:val="-5"/>
                <w:sz w:val="20"/>
              </w:rPr>
              <w:t>94%</w:t>
            </w:r>
          </w:p>
        </w:tc>
        <w:tc>
          <w:tcPr>
            <w:tcW w:w="1961" w:type="dxa"/>
            <w:tcBorders>
              <w:left w:val="single" w:sz="4" w:space="0" w:color="000000"/>
            </w:tcBorders>
          </w:tcPr>
          <w:p>
            <w:pPr>
              <w:pStyle w:val="TableParagraph"/>
              <w:spacing w:line="224" w:lineRule="exact" w:before="36"/>
              <w:ind w:left="116"/>
              <w:rPr>
                <w:sz w:val="20"/>
              </w:rPr>
            </w:pPr>
            <w:r>
              <w:rPr>
                <w:spacing w:val="-4"/>
                <w:sz w:val="20"/>
              </w:rPr>
              <w:t>Genuine;</w:t>
            </w:r>
            <w:r>
              <w:rPr>
                <w:sz w:val="20"/>
              </w:rPr>
              <w:t> </w:t>
            </w:r>
            <w:r>
              <w:rPr>
                <w:spacing w:val="-4"/>
                <w:sz w:val="20"/>
              </w:rPr>
              <w:t>robust</w:t>
            </w:r>
            <w:r>
              <w:rPr>
                <w:spacing w:val="-3"/>
                <w:sz w:val="20"/>
              </w:rPr>
              <w:t> </w:t>
            </w:r>
            <w:r>
              <w:rPr>
                <w:spacing w:val="-4"/>
                <w:sz w:val="20"/>
              </w:rPr>
              <w:t>to</w:t>
            </w:r>
            <w:r>
              <w:rPr>
                <w:spacing w:val="-3"/>
                <w:sz w:val="20"/>
              </w:rPr>
              <w:t> </w:t>
            </w:r>
            <w:r>
              <w:rPr>
                <w:spacing w:val="-5"/>
                <w:sz w:val="20"/>
              </w:rPr>
              <w:t>era</w:t>
            </w:r>
          </w:p>
        </w:tc>
      </w:tr>
      <w:tr>
        <w:trPr>
          <w:trHeight w:val="508" w:hRule="atLeast"/>
        </w:trPr>
        <w:tc>
          <w:tcPr>
            <w:tcW w:w="2511" w:type="dxa"/>
            <w:tcBorders>
              <w:right w:val="single" w:sz="4" w:space="0" w:color="000000"/>
            </w:tcBorders>
          </w:tcPr>
          <w:p>
            <w:pPr>
              <w:pStyle w:val="TableParagraph"/>
              <w:spacing w:line="249" w:lineRule="auto" w:before="0"/>
              <w:ind w:left="119" w:hanging="5"/>
              <w:rPr>
                <w:sz w:val="20"/>
              </w:rPr>
            </w:pPr>
            <w:r>
              <w:rPr>
                <w:b/>
                <w:sz w:val="20"/>
              </w:rPr>
              <w:t>y1_c15</w:t>
            </w:r>
            <w:r>
              <w:rPr>
                <w:b/>
                <w:spacing w:val="80"/>
                <w:sz w:val="20"/>
              </w:rPr>
              <w:t> </w:t>
            </w:r>
            <w:r>
              <w:rPr>
                <w:sz w:val="20"/>
              </w:rPr>
              <w:t>(wet</w:t>
            </w:r>
            <w:r>
              <w:rPr>
                <w:spacing w:val="80"/>
                <w:sz w:val="20"/>
              </w:rPr>
              <w:t> </w:t>
            </w:r>
            <w:r>
              <w:rPr>
                <w:sz w:val="20"/>
              </w:rPr>
              <w:t>days</w:t>
            </w:r>
            <w:r>
              <w:rPr>
                <w:spacing w:val="80"/>
                <w:sz w:val="20"/>
              </w:rPr>
              <w:t> </w:t>
            </w:r>
            <w:r>
              <w:rPr>
                <w:sz w:val="20"/>
              </w:rPr>
              <w:t>post-</w:t>
            </w:r>
            <w:r>
              <w:rPr>
                <w:spacing w:val="-2"/>
                <w:sz w:val="20"/>
              </w:rPr>
              <w:t>flowering)</w:t>
            </w:r>
          </w:p>
        </w:tc>
        <w:tc>
          <w:tcPr>
            <w:tcW w:w="820" w:type="dxa"/>
            <w:tcBorders>
              <w:left w:val="single" w:sz="4" w:space="0" w:color="000000"/>
              <w:right w:val="single" w:sz="4" w:space="0" w:color="000000"/>
            </w:tcBorders>
          </w:tcPr>
          <w:p>
            <w:pPr>
              <w:pStyle w:val="TableParagraph"/>
              <w:spacing w:before="0"/>
              <w:rPr>
                <w:sz w:val="20"/>
              </w:rPr>
            </w:pPr>
          </w:p>
        </w:tc>
        <w:tc>
          <w:tcPr>
            <w:tcW w:w="1010" w:type="dxa"/>
            <w:tcBorders>
              <w:left w:val="single" w:sz="4" w:space="0" w:color="000000"/>
              <w:right w:val="single" w:sz="4" w:space="0" w:color="000000"/>
            </w:tcBorders>
          </w:tcPr>
          <w:p>
            <w:pPr>
              <w:pStyle w:val="TableParagraph"/>
              <w:spacing w:before="0"/>
              <w:rPr>
                <w:sz w:val="20"/>
              </w:rPr>
            </w:pPr>
          </w:p>
        </w:tc>
        <w:tc>
          <w:tcPr>
            <w:tcW w:w="1099" w:type="dxa"/>
            <w:tcBorders>
              <w:left w:val="single" w:sz="4" w:space="0" w:color="000000"/>
              <w:right w:val="single" w:sz="4" w:space="0" w:color="000000"/>
            </w:tcBorders>
          </w:tcPr>
          <w:p>
            <w:pPr>
              <w:pStyle w:val="TableParagraph"/>
              <w:spacing w:before="0"/>
              <w:rPr>
                <w:sz w:val="20"/>
              </w:rPr>
            </w:pPr>
          </w:p>
        </w:tc>
        <w:tc>
          <w:tcPr>
            <w:tcW w:w="1105" w:type="dxa"/>
            <w:tcBorders>
              <w:left w:val="single" w:sz="4" w:space="0" w:color="000000"/>
              <w:right w:val="single" w:sz="4" w:space="0" w:color="000000"/>
            </w:tcBorders>
          </w:tcPr>
          <w:p>
            <w:pPr>
              <w:pStyle w:val="TableParagraph"/>
              <w:spacing w:before="0"/>
              <w:rPr>
                <w:sz w:val="20"/>
              </w:rPr>
            </w:pPr>
          </w:p>
        </w:tc>
        <w:tc>
          <w:tcPr>
            <w:tcW w:w="1961" w:type="dxa"/>
            <w:tcBorders>
              <w:left w:val="single" w:sz="4" w:space="0" w:color="000000"/>
            </w:tcBorders>
          </w:tcPr>
          <w:p>
            <w:pPr>
              <w:pStyle w:val="TableParagraph"/>
              <w:spacing w:line="225" w:lineRule="exact" w:before="0"/>
              <w:ind w:left="116"/>
              <w:rPr>
                <w:sz w:val="20"/>
              </w:rPr>
            </w:pPr>
            <w:r>
              <w:rPr>
                <w:spacing w:val="-2"/>
                <w:sz w:val="20"/>
              </w:rPr>
              <w:t>removal</w:t>
            </w:r>
          </w:p>
        </w:tc>
      </w:tr>
      <w:tr>
        <w:trPr>
          <w:trHeight w:val="283" w:hRule="atLeast"/>
        </w:trPr>
        <w:tc>
          <w:tcPr>
            <w:tcW w:w="2511" w:type="dxa"/>
            <w:tcBorders>
              <w:right w:val="single" w:sz="4" w:space="0" w:color="000000"/>
            </w:tcBorders>
          </w:tcPr>
          <w:p>
            <w:pPr>
              <w:pStyle w:val="TableParagraph"/>
              <w:spacing w:line="227" w:lineRule="exact" w:before="36"/>
              <w:ind w:left="119"/>
              <w:rPr>
                <w:sz w:val="20"/>
              </w:rPr>
            </w:pPr>
            <w:r>
              <w:rPr>
                <w:b/>
                <w:sz w:val="20"/>
              </w:rPr>
              <w:t>iaf_hv_y1_c10</w:t>
            </w:r>
            <w:r>
              <w:rPr>
                <w:b/>
                <w:spacing w:val="15"/>
                <w:sz w:val="20"/>
              </w:rPr>
              <w:t> </w:t>
            </w:r>
            <w:r>
              <w:rPr>
                <w:sz w:val="20"/>
              </w:rPr>
              <w:t>(LAI</w:t>
            </w:r>
            <w:r>
              <w:rPr>
                <w:spacing w:val="16"/>
                <w:sz w:val="20"/>
              </w:rPr>
              <w:t> </w:t>
            </w:r>
            <w:r>
              <w:rPr>
                <w:sz w:val="20"/>
              </w:rPr>
              <w:t>at</w:t>
            </w:r>
            <w:r>
              <w:rPr>
                <w:spacing w:val="16"/>
                <w:sz w:val="20"/>
              </w:rPr>
              <w:t> </w:t>
            </w:r>
            <w:r>
              <w:rPr>
                <w:spacing w:val="-4"/>
                <w:sz w:val="20"/>
              </w:rPr>
              <w:t>har-</w:t>
            </w:r>
          </w:p>
        </w:tc>
        <w:tc>
          <w:tcPr>
            <w:tcW w:w="820" w:type="dxa"/>
            <w:tcBorders>
              <w:left w:val="single" w:sz="4" w:space="0" w:color="000000"/>
              <w:right w:val="single" w:sz="4" w:space="0" w:color="000000"/>
            </w:tcBorders>
          </w:tcPr>
          <w:p>
            <w:pPr>
              <w:pStyle w:val="TableParagraph"/>
              <w:spacing w:line="227" w:lineRule="exact" w:before="36"/>
              <w:ind w:right="166"/>
              <w:jc w:val="center"/>
              <w:rPr>
                <w:sz w:val="20"/>
              </w:rPr>
            </w:pPr>
            <w:r>
              <w:rPr>
                <w:spacing w:val="-5"/>
                <w:sz w:val="20"/>
              </w:rPr>
              <w:t>RVV</w:t>
            </w:r>
          </w:p>
        </w:tc>
        <w:tc>
          <w:tcPr>
            <w:tcW w:w="1010" w:type="dxa"/>
            <w:tcBorders>
              <w:left w:val="single" w:sz="4" w:space="0" w:color="000000"/>
              <w:right w:val="single" w:sz="4" w:space="0" w:color="000000"/>
            </w:tcBorders>
          </w:tcPr>
          <w:p>
            <w:pPr>
              <w:pStyle w:val="TableParagraph"/>
              <w:spacing w:line="227" w:lineRule="exact" w:before="36"/>
              <w:ind w:left="118"/>
              <w:rPr>
                <w:sz w:val="20"/>
              </w:rPr>
            </w:pPr>
            <w:r>
              <w:rPr>
                <w:spacing w:val="-4"/>
                <w:sz w:val="20"/>
              </w:rPr>
              <w:t>0.22</w:t>
            </w:r>
          </w:p>
        </w:tc>
        <w:tc>
          <w:tcPr>
            <w:tcW w:w="1099" w:type="dxa"/>
            <w:tcBorders>
              <w:left w:val="single" w:sz="4" w:space="0" w:color="000000"/>
              <w:right w:val="single" w:sz="4" w:space="0" w:color="000000"/>
            </w:tcBorders>
          </w:tcPr>
          <w:p>
            <w:pPr>
              <w:pStyle w:val="TableParagraph"/>
              <w:spacing w:line="227" w:lineRule="exact" w:before="36"/>
              <w:ind w:left="117"/>
              <w:rPr>
                <w:sz w:val="20"/>
              </w:rPr>
            </w:pPr>
            <w:r>
              <w:rPr>
                <w:spacing w:val="-4"/>
                <w:sz w:val="20"/>
              </w:rPr>
              <w:t>0.03</w:t>
            </w:r>
          </w:p>
        </w:tc>
        <w:tc>
          <w:tcPr>
            <w:tcW w:w="1105" w:type="dxa"/>
            <w:tcBorders>
              <w:left w:val="single" w:sz="4" w:space="0" w:color="000000"/>
              <w:right w:val="single" w:sz="4" w:space="0" w:color="000000"/>
            </w:tcBorders>
          </w:tcPr>
          <w:p>
            <w:pPr>
              <w:pStyle w:val="TableParagraph"/>
              <w:spacing w:line="227" w:lineRule="exact" w:before="36"/>
              <w:ind w:left="116"/>
              <w:rPr>
                <w:sz w:val="20"/>
              </w:rPr>
            </w:pPr>
            <w:r>
              <w:rPr>
                <w:spacing w:val="-5"/>
                <w:sz w:val="20"/>
              </w:rPr>
              <w:t>15%</w:t>
            </w:r>
          </w:p>
        </w:tc>
        <w:tc>
          <w:tcPr>
            <w:tcW w:w="1961" w:type="dxa"/>
            <w:tcBorders>
              <w:left w:val="single" w:sz="4" w:space="0" w:color="000000"/>
            </w:tcBorders>
          </w:tcPr>
          <w:p>
            <w:pPr>
              <w:pStyle w:val="TableParagraph"/>
              <w:spacing w:line="226" w:lineRule="exact" w:before="36"/>
              <w:ind w:left="116"/>
              <w:rPr>
                <w:sz w:val="20"/>
              </w:rPr>
            </w:pPr>
            <w:r>
              <w:rPr>
                <w:sz w:val="20"/>
              </w:rPr>
              <w:t>Era-driven;</w:t>
            </w:r>
            <w:r>
              <w:rPr>
                <w:spacing w:val="5"/>
                <w:sz w:val="20"/>
              </w:rPr>
              <w:t> </w:t>
            </w:r>
            <w:r>
              <w:rPr>
                <w:spacing w:val="-2"/>
                <w:sz w:val="20"/>
              </w:rPr>
              <w:t>collapses</w:t>
            </w:r>
          </w:p>
        </w:tc>
      </w:tr>
      <w:tr>
        <w:trPr>
          <w:trHeight w:val="266" w:hRule="atLeast"/>
        </w:trPr>
        <w:tc>
          <w:tcPr>
            <w:tcW w:w="2511" w:type="dxa"/>
            <w:tcBorders>
              <w:right w:val="single" w:sz="4" w:space="0" w:color="000000"/>
            </w:tcBorders>
          </w:tcPr>
          <w:p>
            <w:pPr>
              <w:pStyle w:val="TableParagraph"/>
              <w:spacing w:line="222" w:lineRule="exact" w:before="0"/>
              <w:ind w:left="114"/>
              <w:rPr>
                <w:sz w:val="20"/>
              </w:rPr>
            </w:pPr>
            <w:r>
              <w:rPr>
                <w:spacing w:val="-2"/>
                <w:sz w:val="20"/>
              </w:rPr>
              <w:t>vest)</w:t>
            </w:r>
          </w:p>
        </w:tc>
        <w:tc>
          <w:tcPr>
            <w:tcW w:w="820" w:type="dxa"/>
            <w:tcBorders>
              <w:left w:val="single" w:sz="4" w:space="0" w:color="000000"/>
              <w:right w:val="single" w:sz="4" w:space="0" w:color="000000"/>
            </w:tcBorders>
          </w:tcPr>
          <w:p>
            <w:pPr>
              <w:pStyle w:val="TableParagraph"/>
              <w:spacing w:before="0"/>
              <w:rPr>
                <w:sz w:val="18"/>
              </w:rPr>
            </w:pPr>
          </w:p>
        </w:tc>
        <w:tc>
          <w:tcPr>
            <w:tcW w:w="1010" w:type="dxa"/>
            <w:tcBorders>
              <w:left w:val="single" w:sz="4" w:space="0" w:color="000000"/>
              <w:right w:val="single" w:sz="4" w:space="0" w:color="000000"/>
            </w:tcBorders>
          </w:tcPr>
          <w:p>
            <w:pPr>
              <w:pStyle w:val="TableParagraph"/>
              <w:spacing w:before="0"/>
              <w:rPr>
                <w:sz w:val="18"/>
              </w:rPr>
            </w:pPr>
          </w:p>
        </w:tc>
        <w:tc>
          <w:tcPr>
            <w:tcW w:w="1099" w:type="dxa"/>
            <w:tcBorders>
              <w:left w:val="single" w:sz="4" w:space="0" w:color="000000"/>
              <w:right w:val="single" w:sz="4" w:space="0" w:color="000000"/>
            </w:tcBorders>
          </w:tcPr>
          <w:p>
            <w:pPr>
              <w:pStyle w:val="TableParagraph"/>
              <w:spacing w:before="0"/>
              <w:rPr>
                <w:sz w:val="18"/>
              </w:rPr>
            </w:pPr>
          </w:p>
        </w:tc>
        <w:tc>
          <w:tcPr>
            <w:tcW w:w="1105" w:type="dxa"/>
            <w:tcBorders>
              <w:left w:val="single" w:sz="4" w:space="0" w:color="000000"/>
              <w:right w:val="single" w:sz="4" w:space="0" w:color="000000"/>
            </w:tcBorders>
          </w:tcPr>
          <w:p>
            <w:pPr>
              <w:pStyle w:val="TableParagraph"/>
              <w:spacing w:before="0"/>
              <w:rPr>
                <w:sz w:val="18"/>
              </w:rPr>
            </w:pPr>
          </w:p>
        </w:tc>
        <w:tc>
          <w:tcPr>
            <w:tcW w:w="1961" w:type="dxa"/>
            <w:tcBorders>
              <w:left w:val="single" w:sz="4" w:space="0" w:color="000000"/>
            </w:tcBorders>
          </w:tcPr>
          <w:p>
            <w:pPr>
              <w:pStyle w:val="TableParagraph"/>
              <w:spacing w:line="223" w:lineRule="exact" w:before="0"/>
              <w:ind w:left="116"/>
              <w:rPr>
                <w:sz w:val="20"/>
              </w:rPr>
            </w:pPr>
            <w:r>
              <w:rPr>
                <w:sz w:val="20"/>
              </w:rPr>
              <w:t>under</w:t>
            </w:r>
            <w:r>
              <w:rPr>
                <w:spacing w:val="-6"/>
                <w:sz w:val="20"/>
              </w:rPr>
              <w:t> </w:t>
            </w:r>
            <w:r>
              <w:rPr>
                <w:spacing w:val="-2"/>
                <w:sz w:val="20"/>
              </w:rPr>
              <w:t>LOESS</w:t>
            </w:r>
          </w:p>
        </w:tc>
      </w:tr>
      <w:tr>
        <w:trPr>
          <w:trHeight w:val="283" w:hRule="atLeast"/>
        </w:trPr>
        <w:tc>
          <w:tcPr>
            <w:tcW w:w="2511" w:type="dxa"/>
            <w:tcBorders>
              <w:right w:val="single" w:sz="4" w:space="0" w:color="000000"/>
            </w:tcBorders>
          </w:tcPr>
          <w:p>
            <w:pPr>
              <w:pStyle w:val="TableParagraph"/>
              <w:tabs>
                <w:tab w:pos="1735" w:val="left" w:leader="none"/>
              </w:tabs>
              <w:spacing w:line="227" w:lineRule="exact" w:before="36"/>
              <w:ind w:left="119"/>
              <w:rPr>
                <w:sz w:val="20"/>
              </w:rPr>
            </w:pPr>
            <w:r>
              <w:rPr>
                <w:b/>
                <w:spacing w:val="-2"/>
                <w:sz w:val="20"/>
              </w:rPr>
              <w:t>swa_hv_y1_b20</w:t>
            </w:r>
            <w:r>
              <w:rPr>
                <w:b/>
                <w:sz w:val="20"/>
              </w:rPr>
              <w:tab/>
            </w:r>
            <w:r>
              <w:rPr>
                <w:spacing w:val="-2"/>
                <w:sz w:val="20"/>
              </w:rPr>
              <w:t>(harvest</w:t>
            </w:r>
          </w:p>
        </w:tc>
        <w:tc>
          <w:tcPr>
            <w:tcW w:w="820" w:type="dxa"/>
            <w:tcBorders>
              <w:left w:val="single" w:sz="4" w:space="0" w:color="000000"/>
              <w:right w:val="single" w:sz="4" w:space="0" w:color="000000"/>
            </w:tcBorders>
          </w:tcPr>
          <w:p>
            <w:pPr>
              <w:pStyle w:val="TableParagraph"/>
              <w:spacing w:line="227" w:lineRule="exact" w:before="36"/>
              <w:ind w:right="166"/>
              <w:jc w:val="center"/>
              <w:rPr>
                <w:sz w:val="20"/>
              </w:rPr>
            </w:pPr>
            <w:r>
              <w:rPr>
                <w:spacing w:val="-5"/>
                <w:sz w:val="20"/>
              </w:rPr>
              <w:t>RVV</w:t>
            </w:r>
          </w:p>
        </w:tc>
        <w:tc>
          <w:tcPr>
            <w:tcW w:w="1010" w:type="dxa"/>
            <w:tcBorders>
              <w:left w:val="single" w:sz="4" w:space="0" w:color="000000"/>
              <w:right w:val="single" w:sz="4" w:space="0" w:color="000000"/>
            </w:tcBorders>
          </w:tcPr>
          <w:p>
            <w:pPr>
              <w:pStyle w:val="TableParagraph"/>
              <w:spacing w:line="227" w:lineRule="exact" w:before="36"/>
              <w:ind w:left="118"/>
              <w:rPr>
                <w:sz w:val="20"/>
              </w:rPr>
            </w:pPr>
            <w:r>
              <w:rPr>
                <w:spacing w:val="-4"/>
                <w:sz w:val="20"/>
              </w:rPr>
              <w:t>0.17</w:t>
            </w:r>
          </w:p>
        </w:tc>
        <w:tc>
          <w:tcPr>
            <w:tcW w:w="1099" w:type="dxa"/>
            <w:tcBorders>
              <w:left w:val="single" w:sz="4" w:space="0" w:color="000000"/>
              <w:right w:val="single" w:sz="4" w:space="0" w:color="000000"/>
            </w:tcBorders>
          </w:tcPr>
          <w:p>
            <w:pPr>
              <w:pStyle w:val="TableParagraph"/>
              <w:spacing w:line="227" w:lineRule="exact" w:before="36"/>
              <w:ind w:left="117"/>
              <w:rPr>
                <w:sz w:val="20"/>
              </w:rPr>
            </w:pPr>
            <w:r>
              <w:rPr>
                <w:spacing w:val="-4"/>
                <w:sz w:val="20"/>
              </w:rPr>
              <w:t>0.03</w:t>
            </w:r>
          </w:p>
        </w:tc>
        <w:tc>
          <w:tcPr>
            <w:tcW w:w="1105" w:type="dxa"/>
            <w:tcBorders>
              <w:left w:val="single" w:sz="4" w:space="0" w:color="000000"/>
              <w:right w:val="single" w:sz="4" w:space="0" w:color="000000"/>
            </w:tcBorders>
          </w:tcPr>
          <w:p>
            <w:pPr>
              <w:pStyle w:val="TableParagraph"/>
              <w:spacing w:line="227" w:lineRule="exact" w:before="36"/>
              <w:ind w:left="116"/>
              <w:rPr>
                <w:sz w:val="20"/>
              </w:rPr>
            </w:pPr>
            <w:r>
              <w:rPr>
                <w:spacing w:val="-5"/>
                <w:sz w:val="20"/>
              </w:rPr>
              <w:t>16%</w:t>
            </w:r>
          </w:p>
        </w:tc>
        <w:tc>
          <w:tcPr>
            <w:tcW w:w="1961" w:type="dxa"/>
            <w:tcBorders>
              <w:left w:val="single" w:sz="4" w:space="0" w:color="000000"/>
            </w:tcBorders>
          </w:tcPr>
          <w:p>
            <w:pPr>
              <w:pStyle w:val="TableParagraph"/>
              <w:spacing w:line="226" w:lineRule="exact" w:before="36"/>
              <w:ind w:left="116"/>
              <w:rPr>
                <w:sz w:val="20"/>
              </w:rPr>
            </w:pPr>
            <w:r>
              <w:rPr>
                <w:sz w:val="20"/>
              </w:rPr>
              <w:t>Era-driven;</w:t>
            </w:r>
            <w:r>
              <w:rPr>
                <w:spacing w:val="5"/>
                <w:sz w:val="20"/>
              </w:rPr>
              <w:t> </w:t>
            </w:r>
            <w:r>
              <w:rPr>
                <w:spacing w:val="-2"/>
                <w:sz w:val="20"/>
              </w:rPr>
              <w:t>collapses</w:t>
            </w:r>
          </w:p>
        </w:tc>
      </w:tr>
      <w:tr>
        <w:trPr>
          <w:trHeight w:val="308" w:hRule="atLeast"/>
        </w:trPr>
        <w:tc>
          <w:tcPr>
            <w:tcW w:w="2511" w:type="dxa"/>
            <w:tcBorders>
              <w:bottom w:val="single" w:sz="8" w:space="0" w:color="000000"/>
              <w:right w:val="single" w:sz="4" w:space="0" w:color="000000"/>
            </w:tcBorders>
          </w:tcPr>
          <w:p>
            <w:pPr>
              <w:pStyle w:val="TableParagraph"/>
              <w:spacing w:line="222" w:lineRule="exact" w:before="0"/>
              <w:ind w:left="119"/>
              <w:rPr>
                <w:sz w:val="20"/>
              </w:rPr>
            </w:pPr>
            <w:r>
              <w:rPr>
                <w:sz w:val="20"/>
              </w:rPr>
              <w:t>soil</w:t>
            </w:r>
            <w:r>
              <w:rPr>
                <w:spacing w:val="-4"/>
                <w:sz w:val="20"/>
              </w:rPr>
              <w:t> </w:t>
            </w:r>
            <w:r>
              <w:rPr>
                <w:spacing w:val="-2"/>
                <w:sz w:val="20"/>
              </w:rPr>
              <w:t>water)</w:t>
            </w:r>
          </w:p>
        </w:tc>
        <w:tc>
          <w:tcPr>
            <w:tcW w:w="820" w:type="dxa"/>
            <w:tcBorders>
              <w:left w:val="single" w:sz="4" w:space="0" w:color="000000"/>
              <w:bottom w:val="single" w:sz="8" w:space="0" w:color="000000"/>
              <w:right w:val="single" w:sz="4" w:space="0" w:color="000000"/>
            </w:tcBorders>
          </w:tcPr>
          <w:p>
            <w:pPr>
              <w:pStyle w:val="TableParagraph"/>
              <w:spacing w:before="0"/>
              <w:rPr>
                <w:sz w:val="20"/>
              </w:rPr>
            </w:pPr>
          </w:p>
        </w:tc>
        <w:tc>
          <w:tcPr>
            <w:tcW w:w="1010" w:type="dxa"/>
            <w:tcBorders>
              <w:left w:val="single" w:sz="4" w:space="0" w:color="000000"/>
              <w:bottom w:val="single" w:sz="8" w:space="0" w:color="000000"/>
              <w:right w:val="single" w:sz="4" w:space="0" w:color="000000"/>
            </w:tcBorders>
          </w:tcPr>
          <w:p>
            <w:pPr>
              <w:pStyle w:val="TableParagraph"/>
              <w:spacing w:before="0"/>
              <w:rPr>
                <w:sz w:val="20"/>
              </w:rPr>
            </w:pPr>
          </w:p>
        </w:tc>
        <w:tc>
          <w:tcPr>
            <w:tcW w:w="1099" w:type="dxa"/>
            <w:tcBorders>
              <w:left w:val="single" w:sz="4" w:space="0" w:color="000000"/>
              <w:bottom w:val="single" w:sz="8" w:space="0" w:color="000000"/>
              <w:right w:val="single" w:sz="4" w:space="0" w:color="000000"/>
            </w:tcBorders>
          </w:tcPr>
          <w:p>
            <w:pPr>
              <w:pStyle w:val="TableParagraph"/>
              <w:spacing w:before="0"/>
              <w:rPr>
                <w:sz w:val="20"/>
              </w:rPr>
            </w:pPr>
          </w:p>
        </w:tc>
        <w:tc>
          <w:tcPr>
            <w:tcW w:w="1105" w:type="dxa"/>
            <w:tcBorders>
              <w:left w:val="single" w:sz="4" w:space="0" w:color="000000"/>
              <w:bottom w:val="single" w:sz="8" w:space="0" w:color="000000"/>
              <w:right w:val="single" w:sz="4" w:space="0" w:color="000000"/>
            </w:tcBorders>
          </w:tcPr>
          <w:p>
            <w:pPr>
              <w:pStyle w:val="TableParagraph"/>
              <w:spacing w:before="0"/>
              <w:rPr>
                <w:sz w:val="20"/>
              </w:rPr>
            </w:pPr>
          </w:p>
        </w:tc>
        <w:tc>
          <w:tcPr>
            <w:tcW w:w="1961" w:type="dxa"/>
            <w:tcBorders>
              <w:left w:val="single" w:sz="4" w:space="0" w:color="000000"/>
              <w:bottom w:val="single" w:sz="8" w:space="0" w:color="000000"/>
            </w:tcBorders>
          </w:tcPr>
          <w:p>
            <w:pPr>
              <w:pStyle w:val="TableParagraph"/>
              <w:spacing w:line="223" w:lineRule="exact" w:before="0"/>
              <w:ind w:left="116"/>
              <w:rPr>
                <w:sz w:val="20"/>
              </w:rPr>
            </w:pPr>
            <w:r>
              <w:rPr>
                <w:sz w:val="20"/>
              </w:rPr>
              <w:t>under</w:t>
            </w:r>
            <w:r>
              <w:rPr>
                <w:spacing w:val="-6"/>
                <w:sz w:val="20"/>
              </w:rPr>
              <w:t> </w:t>
            </w:r>
            <w:r>
              <w:rPr>
                <w:spacing w:val="-2"/>
                <w:sz w:val="20"/>
              </w:rPr>
              <w:t>LOESS</w:t>
            </w:r>
          </w:p>
        </w:tc>
      </w:tr>
    </w:tbl>
    <w:p>
      <w:pPr>
        <w:pStyle w:val="BodyText"/>
        <w:rPr>
          <w:sz w:val="20"/>
        </w:rPr>
      </w:pPr>
    </w:p>
    <w:p>
      <w:pPr>
        <w:pStyle w:val="BodyText"/>
        <w:rPr>
          <w:sz w:val="20"/>
        </w:rPr>
      </w:pPr>
    </w:p>
    <w:p>
      <w:pPr>
        <w:pStyle w:val="BodyText"/>
        <w:spacing w:before="60"/>
        <w:rPr>
          <w:sz w:val="20"/>
        </w:rPr>
      </w:pPr>
    </w:p>
    <w:p>
      <w:pPr>
        <w:pStyle w:val="Heading2"/>
        <w:numPr>
          <w:ilvl w:val="1"/>
          <w:numId w:val="18"/>
        </w:numPr>
        <w:tabs>
          <w:tab w:pos="1354" w:val="left" w:leader="none"/>
        </w:tabs>
        <w:spacing w:line="240" w:lineRule="auto" w:before="0" w:after="0"/>
        <w:ind w:left="1354" w:right="0" w:hanging="645"/>
        <w:jc w:val="left"/>
      </w:pPr>
      <w:bookmarkStart w:name="4.3 RIPPER Classification Rules" w:id="140"/>
      <w:bookmarkEnd w:id="140"/>
      <w:r>
        <w:rPr>
          <w:b w:val="0"/>
        </w:rPr>
      </w:r>
      <w:bookmarkStart w:name="_bookmark78" w:id="141"/>
      <w:bookmarkEnd w:id="141"/>
      <w:r>
        <w:rPr>
          <w:b w:val="0"/>
        </w:rPr>
      </w:r>
      <w:r>
        <w:rPr/>
        <w:t>RIPPER</w:t>
      </w:r>
      <w:r>
        <w:rPr>
          <w:spacing w:val="19"/>
        </w:rPr>
        <w:t> </w:t>
      </w:r>
      <w:r>
        <w:rPr/>
        <w:t>Classification</w:t>
      </w:r>
      <w:r>
        <w:rPr>
          <w:spacing w:val="20"/>
        </w:rPr>
        <w:t> </w:t>
      </w:r>
      <w:r>
        <w:rPr>
          <w:spacing w:val="-2"/>
        </w:rPr>
        <w:t>Rules</w:t>
      </w:r>
    </w:p>
    <w:p>
      <w:pPr>
        <w:pStyle w:val="BodyText"/>
        <w:spacing w:line="312" w:lineRule="auto" w:before="297"/>
        <w:ind w:left="702" w:right="982" w:firstLine="7"/>
        <w:jc w:val="both"/>
      </w:pPr>
      <w:r>
        <w:rPr/>
        <w:t>RIPPER</w:t>
      </w:r>
      <w:r>
        <w:rPr>
          <w:spacing w:val="-16"/>
        </w:rPr>
        <w:t> </w:t>
      </w:r>
      <w:r>
        <w:rPr/>
        <w:t>was</w:t>
      </w:r>
      <w:r>
        <w:rPr>
          <w:spacing w:val="-14"/>
        </w:rPr>
        <w:t> </w:t>
      </w:r>
      <w:r>
        <w:rPr/>
        <w:t>applied</w:t>
      </w:r>
      <w:r>
        <w:rPr>
          <w:spacing w:val="-14"/>
        </w:rPr>
        <w:t> </w:t>
      </w:r>
      <w:r>
        <w:rPr/>
        <w:t>to</w:t>
      </w:r>
      <w:r>
        <w:rPr>
          <w:spacing w:val="-13"/>
        </w:rPr>
        <w:t> </w:t>
      </w:r>
      <w:r>
        <w:rPr/>
        <w:t>tertile-discretised</w:t>
      </w:r>
      <w:r>
        <w:rPr>
          <w:spacing w:val="-14"/>
        </w:rPr>
        <w:t> </w:t>
      </w:r>
      <w:r>
        <w:rPr/>
        <w:t>production</w:t>
      </w:r>
      <w:r>
        <w:rPr>
          <w:spacing w:val="-14"/>
        </w:rPr>
        <w:t> </w:t>
      </w:r>
      <w:r>
        <w:rPr/>
        <w:t>classes.</w:t>
      </w:r>
      <w:r>
        <w:rPr>
          <w:spacing w:val="-14"/>
        </w:rPr>
        <w:t> </w:t>
      </w:r>
      <w:r>
        <w:rPr/>
        <w:t>CV</w:t>
      </w:r>
      <w:r>
        <w:rPr>
          <w:spacing w:val="-13"/>
        </w:rPr>
        <w:t> </w:t>
      </w:r>
      <w:r>
        <w:rPr/>
        <w:t>accuracy:</w:t>
      </w:r>
      <w:r>
        <w:rPr>
          <w:spacing w:val="-14"/>
        </w:rPr>
        <w:t> </w:t>
      </w:r>
      <w:r>
        <w:rPr/>
        <w:t>42%</w:t>
      </w:r>
      <w:r>
        <w:rPr>
          <w:spacing w:val="-14"/>
        </w:rPr>
        <w:t> </w:t>
      </w:r>
      <w:r>
        <w:rPr/>
        <w:t>RDD,</w:t>
      </w:r>
      <w:r>
        <w:rPr>
          <w:spacing w:val="-14"/>
        </w:rPr>
        <w:t> </w:t>
      </w:r>
      <w:r>
        <w:rPr/>
        <w:t>28%</w:t>
      </w:r>
      <w:r>
        <w:rPr>
          <w:spacing w:val="-13"/>
        </w:rPr>
        <w:t> </w:t>
      </w:r>
      <w:r>
        <w:rPr/>
        <w:t>RVV (33% random baseline; </w:t>
      </w:r>
      <w:r>
        <w:rPr>
          <w:i/>
        </w:rPr>
        <w:t>κ </w:t>
      </w:r>
      <w:r>
        <w:rPr/>
        <w:t>= 0.13 RDD, -0.09 RVV). Tables </w:t>
      </w:r>
      <w:hyperlink w:history="true" w:anchor="_bookmark79">
        <w:r>
          <w:rPr>
            <w:color w:val="8B2C18"/>
          </w:rPr>
          <w:t>4.5</w:t>
        </w:r>
      </w:hyperlink>
      <w:r>
        <w:rPr>
          <w:color w:val="8B2C18"/>
        </w:rPr>
        <w:t> </w:t>
      </w:r>
      <w:r>
        <w:rPr/>
        <w:t>and </w:t>
      </w:r>
      <w:hyperlink w:history="true" w:anchor="_bookmark80">
        <w:r>
          <w:rPr>
            <w:color w:val="8B2C18"/>
          </w:rPr>
          <w:t>4.6</w:t>
        </w:r>
      </w:hyperlink>
      <w:r>
        <w:rPr>
          <w:color w:val="8B2C18"/>
        </w:rPr>
        <w:t> </w:t>
      </w:r>
      <w:r>
        <w:rPr/>
        <w:t>show the rule lists. The primary</w:t>
      </w:r>
      <w:r>
        <w:rPr>
          <w:spacing w:val="-13"/>
        </w:rPr>
        <w:t> </w:t>
      </w:r>
      <w:r>
        <w:rPr/>
        <w:t>evaluation</w:t>
      </w:r>
      <w:r>
        <w:rPr>
          <w:spacing w:val="-13"/>
        </w:rPr>
        <w:t> </w:t>
      </w:r>
      <w:r>
        <w:rPr/>
        <w:t>question</w:t>
      </w:r>
      <w:r>
        <w:rPr>
          <w:spacing w:val="-13"/>
        </w:rPr>
        <w:t> </w:t>
      </w:r>
      <w:r>
        <w:rPr/>
        <w:t>for</w:t>
      </w:r>
      <w:r>
        <w:rPr>
          <w:spacing w:val="-13"/>
        </w:rPr>
        <w:t> </w:t>
      </w:r>
      <w:r>
        <w:rPr/>
        <w:t>RIPPER</w:t>
      </w:r>
      <w:r>
        <w:rPr>
          <w:spacing w:val="-13"/>
        </w:rPr>
        <w:t> </w:t>
      </w:r>
      <w:r>
        <w:rPr/>
        <w:t>in</w:t>
      </w:r>
      <w:r>
        <w:rPr>
          <w:spacing w:val="-13"/>
        </w:rPr>
        <w:t> </w:t>
      </w:r>
      <w:r>
        <w:rPr/>
        <w:t>this</w:t>
      </w:r>
      <w:r>
        <w:rPr>
          <w:spacing w:val="-13"/>
        </w:rPr>
        <w:t> </w:t>
      </w:r>
      <w:r>
        <w:rPr/>
        <w:t>study</w:t>
      </w:r>
      <w:r>
        <w:rPr>
          <w:spacing w:val="-13"/>
        </w:rPr>
        <w:t> </w:t>
      </w:r>
      <w:r>
        <w:rPr/>
        <w:t>is</w:t>
      </w:r>
      <w:r>
        <w:rPr>
          <w:spacing w:val="-13"/>
        </w:rPr>
        <w:t> </w:t>
      </w:r>
      <w:r>
        <w:rPr/>
        <w:t>convergence</w:t>
      </w:r>
      <w:r>
        <w:rPr>
          <w:spacing w:val="-13"/>
        </w:rPr>
        <w:t> </w:t>
      </w:r>
      <w:r>
        <w:rPr/>
        <w:t>with</w:t>
      </w:r>
      <w:r>
        <w:rPr>
          <w:spacing w:val="-13"/>
        </w:rPr>
        <w:t> </w:t>
      </w:r>
      <w:r>
        <w:rPr/>
        <w:t>CarenR:</w:t>
      </w:r>
      <w:r>
        <w:rPr>
          <w:spacing w:val="-13"/>
        </w:rPr>
        <w:t> </w:t>
      </w:r>
      <w:r>
        <w:rPr/>
        <w:t>do</w:t>
      </w:r>
      <w:r>
        <w:rPr>
          <w:spacing w:val="-13"/>
        </w:rPr>
        <w:t> </w:t>
      </w:r>
      <w:r>
        <w:rPr/>
        <w:t>the</w:t>
      </w:r>
      <w:r>
        <w:rPr>
          <w:spacing w:val="-13"/>
        </w:rPr>
        <w:t> </w:t>
      </w:r>
      <w:r>
        <w:rPr/>
        <w:t>features selected</w:t>
      </w:r>
      <w:r>
        <w:rPr>
          <w:spacing w:val="-14"/>
        </w:rPr>
        <w:t> </w:t>
      </w:r>
      <w:r>
        <w:rPr/>
        <w:t>by</w:t>
      </w:r>
      <w:r>
        <w:rPr>
          <w:spacing w:val="-14"/>
        </w:rPr>
        <w:t> </w:t>
      </w:r>
      <w:r>
        <w:rPr/>
        <w:t>an</w:t>
      </w:r>
      <w:r>
        <w:rPr>
          <w:spacing w:val="-14"/>
        </w:rPr>
        <w:t> </w:t>
      </w:r>
      <w:r>
        <w:rPr/>
        <w:t>entirely</w:t>
      </w:r>
      <w:r>
        <w:rPr>
          <w:spacing w:val="-13"/>
        </w:rPr>
        <w:t> </w:t>
      </w:r>
      <w:r>
        <w:rPr/>
        <w:t>different</w:t>
      </w:r>
      <w:r>
        <w:rPr>
          <w:spacing w:val="-14"/>
        </w:rPr>
        <w:t> </w:t>
      </w:r>
      <w:r>
        <w:rPr/>
        <w:t>optimisation</w:t>
      </w:r>
      <w:r>
        <w:rPr>
          <w:spacing w:val="-14"/>
        </w:rPr>
        <w:t> </w:t>
      </w:r>
      <w:r>
        <w:rPr/>
        <w:t>criterion</w:t>
      </w:r>
      <w:r>
        <w:rPr>
          <w:spacing w:val="-14"/>
        </w:rPr>
        <w:t> </w:t>
      </w:r>
      <w:r>
        <w:rPr/>
        <w:t>(information</w:t>
      </w:r>
      <w:r>
        <w:rPr>
          <w:spacing w:val="-13"/>
        </w:rPr>
        <w:t> </w:t>
      </w:r>
      <w:r>
        <w:rPr/>
        <w:t>gain</w:t>
      </w:r>
      <w:r>
        <w:rPr>
          <w:spacing w:val="-14"/>
        </w:rPr>
        <w:t> </w:t>
      </w:r>
      <w:r>
        <w:rPr/>
        <w:t>for</w:t>
      </w:r>
      <w:r>
        <w:rPr>
          <w:spacing w:val="-14"/>
        </w:rPr>
        <w:t> </w:t>
      </w:r>
      <w:r>
        <w:rPr/>
        <w:t>class</w:t>
      </w:r>
      <w:r>
        <w:rPr>
          <w:spacing w:val="-14"/>
        </w:rPr>
        <w:t> </w:t>
      </w:r>
      <w:r>
        <w:rPr/>
        <w:t>separation</w:t>
      </w:r>
      <w:r>
        <w:rPr>
          <w:spacing w:val="-13"/>
        </w:rPr>
        <w:t> </w:t>
      </w:r>
      <w:r>
        <w:rPr/>
        <w:t>vs</w:t>
      </w:r>
      <w:r>
        <w:rPr>
          <w:spacing w:val="-14"/>
        </w:rPr>
        <w:t> </w:t>
      </w:r>
      <w:r>
        <w:rPr/>
        <w:t>KS distributional shift) point to the same variables?</w:t>
      </w:r>
    </w:p>
    <w:p>
      <w:pPr>
        <w:spacing w:before="151"/>
        <w:ind w:left="2779" w:right="0" w:firstLine="0"/>
        <w:jc w:val="both"/>
        <w:rPr>
          <w:sz w:val="20"/>
        </w:rPr>
      </w:pPr>
      <w:bookmarkStart w:name="_bookmark79" w:id="142"/>
      <w:bookmarkEnd w:id="142"/>
      <w:r>
        <w:rPr/>
      </w:r>
      <w:r>
        <w:rPr>
          <w:b/>
          <w:sz w:val="20"/>
        </w:rPr>
        <w:t>Table</w:t>
      </w:r>
      <w:r>
        <w:rPr>
          <w:b/>
          <w:spacing w:val="-8"/>
          <w:sz w:val="20"/>
        </w:rPr>
        <w:t> </w:t>
      </w:r>
      <w:r>
        <w:rPr>
          <w:b/>
          <w:sz w:val="20"/>
        </w:rPr>
        <w:t>4.5:</w:t>
      </w:r>
      <w:r>
        <w:rPr>
          <w:b/>
          <w:spacing w:val="2"/>
          <w:sz w:val="20"/>
        </w:rPr>
        <w:t> </w:t>
      </w:r>
      <w:r>
        <w:rPr>
          <w:sz w:val="20"/>
        </w:rPr>
        <w:t>RIPPER</w:t>
      </w:r>
      <w:r>
        <w:rPr>
          <w:spacing w:val="-8"/>
          <w:sz w:val="20"/>
        </w:rPr>
        <w:t> </w:t>
      </w:r>
      <w:r>
        <w:rPr>
          <w:sz w:val="20"/>
        </w:rPr>
        <w:t>rules</w:t>
      </w:r>
      <w:r>
        <w:rPr>
          <w:spacing w:val="-8"/>
          <w:sz w:val="20"/>
        </w:rPr>
        <w:t> </w:t>
      </w:r>
      <w:r>
        <w:rPr>
          <w:sz w:val="20"/>
        </w:rPr>
        <w:t>for</w:t>
      </w:r>
      <w:r>
        <w:rPr>
          <w:spacing w:val="-8"/>
          <w:sz w:val="20"/>
        </w:rPr>
        <w:t> </w:t>
      </w:r>
      <w:r>
        <w:rPr>
          <w:sz w:val="20"/>
        </w:rPr>
        <w:t>RDD.</w:t>
      </w:r>
      <w:r>
        <w:rPr>
          <w:spacing w:val="-8"/>
          <w:sz w:val="20"/>
        </w:rPr>
        <w:t> </w:t>
      </w:r>
      <w:r>
        <w:rPr>
          <w:sz w:val="20"/>
        </w:rPr>
        <w:t>CV</w:t>
      </w:r>
      <w:r>
        <w:rPr>
          <w:spacing w:val="-8"/>
          <w:sz w:val="20"/>
        </w:rPr>
        <w:t> </w:t>
      </w:r>
      <w:r>
        <w:rPr>
          <w:sz w:val="20"/>
        </w:rPr>
        <w:t>accuracy</w:t>
      </w:r>
      <w:r>
        <w:rPr>
          <w:spacing w:val="-8"/>
          <w:sz w:val="20"/>
        </w:rPr>
        <w:t> </w:t>
      </w:r>
      <w:r>
        <w:rPr>
          <w:spacing w:val="-4"/>
          <w:sz w:val="20"/>
        </w:rPr>
        <w:t>42%.</w:t>
      </w:r>
    </w:p>
    <w:p>
      <w:pPr>
        <w:pStyle w:val="BodyText"/>
        <w:spacing w:before="5"/>
        <w:rPr>
          <w:sz w:val="18"/>
        </w:rPr>
      </w:pPr>
      <w:r>
        <w:rPr>
          <w:sz w:val="18"/>
        </w:rPr>
        <mc:AlternateContent>
          <mc:Choice Requires="wps">
            <w:drawing>
              <wp:anchor distT="0" distB="0" distL="0" distR="0" allowOverlap="1" layoutInCell="1" locked="0" behindDoc="1" simplePos="0" relativeHeight="487618560">
                <wp:simplePos x="0" y="0"/>
                <wp:positionH relativeFrom="page">
                  <wp:posOffset>1260005</wp:posOffset>
                </wp:positionH>
                <wp:positionV relativeFrom="paragraph">
                  <wp:posOffset>150287</wp:posOffset>
                </wp:positionV>
                <wp:extent cx="5400040" cy="1270"/>
                <wp:effectExtent l="0" t="0" r="0" b="0"/>
                <wp:wrapTopAndBottom/>
                <wp:docPr id="164" name="Graphic 164"/>
                <wp:cNvGraphicFramePr>
                  <a:graphicFrameLocks/>
                </wp:cNvGraphicFramePr>
                <a:graphic>
                  <a:graphicData uri="http://schemas.microsoft.com/office/word/2010/wordprocessingShape">
                    <wps:wsp>
                      <wps:cNvPr id="164" name="Graphic 164"/>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1.833647pt;width:425.2pt;height:.1pt;mso-position-horizontal-relative:page;mso-position-vertical-relative:paragraph;z-index:-15697920;mso-wrap-distance-left:0;mso-wrap-distance-right:0" id="docshape136" coordorigin="1984,237" coordsize="8504,0" path="m1984,237l10488,237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7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13"/>
        <w:gridCol w:w="2798"/>
        <w:gridCol w:w="1077"/>
        <w:gridCol w:w="1309"/>
        <w:gridCol w:w="2505"/>
      </w:tblGrid>
      <w:tr>
        <w:trPr>
          <w:trHeight w:val="346" w:hRule="atLeast"/>
        </w:trPr>
        <w:tc>
          <w:tcPr>
            <w:tcW w:w="813" w:type="dxa"/>
            <w:tcBorders>
              <w:top w:val="nil"/>
              <w:left w:val="nil"/>
              <w:right w:val="single" w:sz="4" w:space="0" w:color="000000"/>
            </w:tcBorders>
          </w:tcPr>
          <w:p>
            <w:pPr>
              <w:pStyle w:val="TableParagraph"/>
              <w:spacing w:before="31"/>
              <w:ind w:left="119"/>
              <w:rPr>
                <w:sz w:val="20"/>
              </w:rPr>
            </w:pPr>
            <w:r>
              <w:rPr>
                <w:spacing w:val="-10"/>
                <w:sz w:val="20"/>
              </w:rPr>
              <w:t>#</w:t>
            </w:r>
          </w:p>
        </w:tc>
        <w:tc>
          <w:tcPr>
            <w:tcW w:w="2798" w:type="dxa"/>
            <w:tcBorders>
              <w:top w:val="nil"/>
              <w:left w:val="single" w:sz="4" w:space="0" w:color="000000"/>
              <w:right w:val="single" w:sz="4" w:space="0" w:color="000000"/>
            </w:tcBorders>
          </w:tcPr>
          <w:p>
            <w:pPr>
              <w:pStyle w:val="TableParagraph"/>
              <w:spacing w:before="31"/>
              <w:ind w:left="118"/>
              <w:rPr>
                <w:sz w:val="20"/>
              </w:rPr>
            </w:pPr>
            <w:r>
              <w:rPr>
                <w:spacing w:val="-2"/>
                <w:sz w:val="20"/>
              </w:rPr>
              <w:t>Conditions</w:t>
            </w:r>
          </w:p>
        </w:tc>
        <w:tc>
          <w:tcPr>
            <w:tcW w:w="1077" w:type="dxa"/>
            <w:tcBorders>
              <w:top w:val="nil"/>
              <w:left w:val="single" w:sz="4" w:space="0" w:color="000000"/>
              <w:right w:val="single" w:sz="4" w:space="0" w:color="000000"/>
            </w:tcBorders>
          </w:tcPr>
          <w:p>
            <w:pPr>
              <w:pStyle w:val="TableParagraph"/>
              <w:spacing w:before="31"/>
              <w:ind w:left="118"/>
              <w:rPr>
                <w:sz w:val="20"/>
              </w:rPr>
            </w:pPr>
            <w:r>
              <w:rPr>
                <w:spacing w:val="-2"/>
                <w:sz w:val="20"/>
              </w:rPr>
              <w:t>Prediction</w:t>
            </w:r>
          </w:p>
        </w:tc>
        <w:tc>
          <w:tcPr>
            <w:tcW w:w="1309" w:type="dxa"/>
            <w:tcBorders>
              <w:top w:val="nil"/>
              <w:left w:val="single" w:sz="4" w:space="0" w:color="000000"/>
              <w:right w:val="single" w:sz="4" w:space="0" w:color="000000"/>
            </w:tcBorders>
          </w:tcPr>
          <w:p>
            <w:pPr>
              <w:pStyle w:val="TableParagraph"/>
              <w:spacing w:before="31"/>
              <w:ind w:left="119"/>
              <w:rPr>
                <w:sz w:val="20"/>
              </w:rPr>
            </w:pPr>
            <w:r>
              <w:rPr>
                <w:spacing w:val="-2"/>
                <w:sz w:val="20"/>
              </w:rPr>
              <w:t>Support</w:t>
            </w:r>
          </w:p>
        </w:tc>
        <w:tc>
          <w:tcPr>
            <w:tcW w:w="2505" w:type="dxa"/>
            <w:tcBorders>
              <w:top w:val="nil"/>
              <w:left w:val="single" w:sz="4" w:space="0" w:color="000000"/>
              <w:right w:val="nil"/>
            </w:tcBorders>
          </w:tcPr>
          <w:p>
            <w:pPr>
              <w:pStyle w:val="TableParagraph"/>
              <w:spacing w:before="31"/>
              <w:ind w:left="119"/>
              <w:rPr>
                <w:sz w:val="20"/>
              </w:rPr>
            </w:pPr>
            <w:r>
              <w:rPr>
                <w:spacing w:val="-2"/>
                <w:sz w:val="20"/>
              </w:rPr>
              <w:t>Precision</w:t>
            </w:r>
          </w:p>
        </w:tc>
      </w:tr>
    </w:tbl>
    <w:p>
      <w:pPr>
        <w:pStyle w:val="BodyText"/>
        <w:spacing w:before="10"/>
        <w:rPr>
          <w:sz w:val="4"/>
        </w:rPr>
      </w:pPr>
    </w:p>
    <w:tbl>
      <w:tblPr>
        <w:tblW w:w="0" w:type="auto"/>
        <w:jc w:val="left"/>
        <w:tblInd w:w="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13"/>
        <w:gridCol w:w="2798"/>
        <w:gridCol w:w="1077"/>
        <w:gridCol w:w="1309"/>
        <w:gridCol w:w="2505"/>
      </w:tblGrid>
      <w:tr>
        <w:trPr>
          <w:trHeight w:val="418" w:hRule="atLeast"/>
        </w:trPr>
        <w:tc>
          <w:tcPr>
            <w:tcW w:w="813" w:type="dxa"/>
            <w:tcBorders>
              <w:right w:val="single" w:sz="4" w:space="0" w:color="000000"/>
            </w:tcBorders>
          </w:tcPr>
          <w:p>
            <w:pPr>
              <w:pStyle w:val="TableParagraph"/>
              <w:spacing w:before="31"/>
              <w:ind w:left="1"/>
              <w:jc w:val="center"/>
              <w:rPr>
                <w:sz w:val="20"/>
              </w:rPr>
            </w:pPr>
            <w:r>
              <w:rPr>
                <w:sz w:val="20"/>
              </w:rPr>
              <w:t>RDD</w:t>
            </w:r>
            <w:r>
              <w:rPr>
                <w:spacing w:val="-6"/>
                <w:sz w:val="20"/>
              </w:rPr>
              <w:t> </w:t>
            </w:r>
            <w:r>
              <w:rPr>
                <w:spacing w:val="-10"/>
                <w:sz w:val="20"/>
              </w:rPr>
              <w:t>1</w:t>
            </w:r>
          </w:p>
        </w:tc>
        <w:tc>
          <w:tcPr>
            <w:tcW w:w="2798" w:type="dxa"/>
            <w:vMerge w:val="restart"/>
            <w:tcBorders>
              <w:left w:val="single" w:sz="4" w:space="0" w:color="000000"/>
              <w:bottom w:val="single" w:sz="8" w:space="0" w:color="000000"/>
              <w:right w:val="single" w:sz="4" w:space="0" w:color="000000"/>
            </w:tcBorders>
          </w:tcPr>
          <w:p>
            <w:pPr>
              <w:pStyle w:val="TableParagraph"/>
              <w:spacing w:line="199" w:lineRule="auto" w:before="62"/>
              <w:ind w:left="118"/>
              <w:rPr>
                <w:sz w:val="20"/>
              </w:rPr>
            </w:pPr>
            <w:r>
              <w:rPr>
                <w:sz w:val="20"/>
              </w:rPr>
              <w:t>Mean temp at Harvest (10d </w:t>
            </w:r>
            <w:r>
              <w:rPr>
                <w:sz w:val="20"/>
              </w:rPr>
              <w:t>be-fore) in [21.2–22.8</w:t>
            </w:r>
            <w:r>
              <w:rPr>
                <w:rFonts w:ascii="Meiryo UI" w:hAnsi="Meiryo UI"/>
                <w:i/>
                <w:sz w:val="20"/>
                <w:vertAlign w:val="superscript"/>
              </w:rPr>
              <w:t>◦</w:t>
            </w:r>
            <w:r>
              <w:rPr>
                <w:sz w:val="20"/>
                <w:vertAlign w:val="baseline"/>
              </w:rPr>
              <w:t>C]</w:t>
            </w:r>
          </w:p>
          <w:p>
            <w:pPr>
              <w:pStyle w:val="TableParagraph"/>
              <w:spacing w:line="204" w:lineRule="auto" w:before="31"/>
              <w:ind w:left="118" w:right="83"/>
              <w:jc w:val="both"/>
              <w:rPr>
                <w:sz w:val="20"/>
              </w:rPr>
            </w:pPr>
            <w:r>
              <w:rPr>
                <w:sz w:val="20"/>
              </w:rPr>
              <w:t>LAI</w:t>
            </w:r>
            <w:r>
              <w:rPr>
                <w:spacing w:val="-13"/>
                <w:sz w:val="20"/>
              </w:rPr>
              <w:t> </w:t>
            </w:r>
            <w:r>
              <w:rPr>
                <w:sz w:val="20"/>
              </w:rPr>
              <w:t>at</w:t>
            </w:r>
            <w:r>
              <w:rPr>
                <w:spacing w:val="-12"/>
                <w:sz w:val="20"/>
              </w:rPr>
              <w:t> </w:t>
            </w:r>
            <w:r>
              <w:rPr>
                <w:sz w:val="20"/>
              </w:rPr>
              <w:t>Budburst</w:t>
            </w:r>
            <w:r>
              <w:rPr>
                <w:spacing w:val="-13"/>
                <w:sz w:val="20"/>
              </w:rPr>
              <w:t> </w:t>
            </w:r>
            <w:r>
              <w:rPr>
                <w:rFonts w:ascii="Meiryo UI" w:hAnsi="Meiryo UI"/>
                <w:i/>
                <w:sz w:val="20"/>
              </w:rPr>
              <w:t>≥</w:t>
            </w:r>
            <w:r>
              <w:rPr>
                <w:rFonts w:ascii="Meiryo UI" w:hAnsi="Meiryo UI"/>
                <w:i/>
                <w:spacing w:val="-17"/>
                <w:sz w:val="20"/>
              </w:rPr>
              <w:t> </w:t>
            </w:r>
            <w:r>
              <w:rPr>
                <w:sz w:val="20"/>
              </w:rPr>
              <w:t>0.0016</w:t>
            </w:r>
            <w:r>
              <w:rPr>
                <w:spacing w:val="-12"/>
                <w:sz w:val="20"/>
              </w:rPr>
              <w:t> </w:t>
            </w:r>
            <w:r>
              <w:rPr>
                <w:sz w:val="20"/>
              </w:rPr>
              <w:t>AND Mean temp at Harvest (20d </w:t>
            </w:r>
            <w:r>
              <w:rPr>
                <w:sz w:val="20"/>
              </w:rPr>
              <w:t>be-fore) </w:t>
            </w:r>
            <w:r>
              <w:rPr>
                <w:rFonts w:ascii="Meiryo UI" w:hAnsi="Meiryo UI"/>
                <w:i/>
                <w:sz w:val="20"/>
              </w:rPr>
              <w:t>≥ </w:t>
            </w:r>
            <w:r>
              <w:rPr>
                <w:sz w:val="20"/>
              </w:rPr>
              <w:t>23.1</w:t>
            </w:r>
            <w:r>
              <w:rPr>
                <w:rFonts w:ascii="Meiryo UI" w:hAnsi="Meiryo UI"/>
                <w:i/>
                <w:sz w:val="20"/>
                <w:vertAlign w:val="superscript"/>
              </w:rPr>
              <w:t>◦</w:t>
            </w:r>
            <w:r>
              <w:rPr>
                <w:sz w:val="20"/>
                <w:vertAlign w:val="baseline"/>
              </w:rPr>
              <w:t>C</w:t>
            </w:r>
          </w:p>
          <w:p>
            <w:pPr>
              <w:pStyle w:val="TableParagraph"/>
              <w:spacing w:line="172" w:lineRule="auto" w:before="64"/>
              <w:ind w:left="111" w:right="116" w:firstLine="7"/>
              <w:jc w:val="both"/>
              <w:rPr>
                <w:sz w:val="20"/>
              </w:rPr>
            </w:pPr>
            <w:r>
              <w:rPr>
                <w:sz w:val="20"/>
              </w:rPr>
              <w:t>Cold days at Flowering </w:t>
            </w:r>
            <w:r>
              <w:rPr>
                <w:rFonts w:ascii="Meiryo UI" w:hAnsi="Meiryo UI"/>
                <w:i/>
                <w:sz w:val="20"/>
              </w:rPr>
              <w:t>≤ </w:t>
            </w:r>
            <w:r>
              <w:rPr>
                <w:sz w:val="20"/>
              </w:rPr>
              <w:t>3 AND Mean temp at Harvest </w:t>
            </w:r>
            <w:r>
              <w:rPr>
                <w:rFonts w:ascii="Meiryo UI" w:hAnsi="Meiryo UI"/>
                <w:i/>
                <w:sz w:val="20"/>
              </w:rPr>
              <w:t>≤</w:t>
            </w:r>
            <w:r>
              <w:rPr>
                <w:rFonts w:ascii="Meiryo UI" w:hAnsi="Meiryo UI"/>
                <w:i/>
                <w:sz w:val="20"/>
              </w:rPr>
              <w:t> </w:t>
            </w:r>
            <w:r>
              <w:rPr>
                <w:spacing w:val="-2"/>
                <w:sz w:val="20"/>
              </w:rPr>
              <w:t>21.3</w:t>
            </w:r>
            <w:r>
              <w:rPr>
                <w:rFonts w:ascii="Meiryo UI" w:hAnsi="Meiryo UI"/>
                <w:i/>
                <w:spacing w:val="-2"/>
                <w:sz w:val="20"/>
                <w:vertAlign w:val="superscript"/>
              </w:rPr>
              <w:t>◦</w:t>
            </w:r>
            <w:r>
              <w:rPr>
                <w:spacing w:val="-2"/>
                <w:sz w:val="20"/>
                <w:vertAlign w:val="baseline"/>
              </w:rPr>
              <w:t>C</w:t>
            </w:r>
          </w:p>
          <w:p>
            <w:pPr>
              <w:pStyle w:val="TableParagraph"/>
              <w:spacing w:before="67"/>
              <w:ind w:left="118"/>
              <w:rPr>
                <w:sz w:val="20"/>
              </w:rPr>
            </w:pPr>
            <w:r>
              <w:rPr>
                <w:spacing w:val="-2"/>
                <w:sz w:val="20"/>
              </w:rPr>
              <w:t>(default)</w:t>
            </w:r>
          </w:p>
        </w:tc>
        <w:tc>
          <w:tcPr>
            <w:tcW w:w="1077" w:type="dxa"/>
            <w:tcBorders>
              <w:left w:val="single" w:sz="4" w:space="0" w:color="000000"/>
              <w:right w:val="single" w:sz="4" w:space="0" w:color="000000"/>
            </w:tcBorders>
          </w:tcPr>
          <w:p>
            <w:pPr>
              <w:pStyle w:val="TableParagraph"/>
              <w:spacing w:before="31"/>
              <w:ind w:left="118"/>
              <w:rPr>
                <w:sz w:val="20"/>
              </w:rPr>
            </w:pPr>
            <w:r>
              <w:rPr>
                <w:spacing w:val="-2"/>
                <w:sz w:val="20"/>
              </w:rPr>
              <w:t>MEDIUM</w:t>
            </w:r>
          </w:p>
        </w:tc>
        <w:tc>
          <w:tcPr>
            <w:tcW w:w="1309" w:type="dxa"/>
            <w:tcBorders>
              <w:left w:val="single" w:sz="4" w:space="0" w:color="000000"/>
              <w:right w:val="single" w:sz="4" w:space="0" w:color="000000"/>
            </w:tcBorders>
          </w:tcPr>
          <w:p>
            <w:pPr>
              <w:pStyle w:val="TableParagraph"/>
              <w:spacing w:before="31"/>
              <w:ind w:left="119"/>
              <w:rPr>
                <w:sz w:val="20"/>
              </w:rPr>
            </w:pPr>
            <w:r>
              <w:rPr>
                <w:sz w:val="20"/>
              </w:rPr>
              <w:t>21.3%</w:t>
            </w:r>
            <w:r>
              <w:rPr>
                <w:spacing w:val="-7"/>
                <w:sz w:val="20"/>
              </w:rPr>
              <w:t> </w:t>
            </w:r>
            <w:r>
              <w:rPr>
                <w:spacing w:val="-2"/>
                <w:sz w:val="20"/>
              </w:rPr>
              <w:t>(19yr)</w:t>
            </w:r>
          </w:p>
        </w:tc>
        <w:tc>
          <w:tcPr>
            <w:tcW w:w="2505" w:type="dxa"/>
            <w:tcBorders>
              <w:left w:val="single" w:sz="4" w:space="0" w:color="000000"/>
            </w:tcBorders>
          </w:tcPr>
          <w:p>
            <w:pPr>
              <w:pStyle w:val="TableParagraph"/>
              <w:spacing w:before="31"/>
              <w:ind w:left="119"/>
              <w:rPr>
                <w:sz w:val="20"/>
              </w:rPr>
            </w:pPr>
            <w:r>
              <w:rPr>
                <w:spacing w:val="-2"/>
                <w:sz w:val="20"/>
              </w:rPr>
              <w:t>73.7%</w:t>
            </w:r>
          </w:p>
        </w:tc>
      </w:tr>
      <w:tr>
        <w:trPr>
          <w:trHeight w:val="649" w:hRule="atLeast"/>
        </w:trPr>
        <w:tc>
          <w:tcPr>
            <w:tcW w:w="813" w:type="dxa"/>
            <w:tcBorders>
              <w:right w:val="single" w:sz="4" w:space="0" w:color="000000"/>
            </w:tcBorders>
          </w:tcPr>
          <w:p>
            <w:pPr>
              <w:pStyle w:val="TableParagraph"/>
              <w:spacing w:before="142"/>
              <w:ind w:left="1"/>
              <w:jc w:val="center"/>
              <w:rPr>
                <w:sz w:val="20"/>
              </w:rPr>
            </w:pPr>
            <w:r>
              <w:rPr>
                <w:sz w:val="20"/>
              </w:rPr>
              <w:t>RDD</w:t>
            </w:r>
            <w:r>
              <w:rPr>
                <w:spacing w:val="-6"/>
                <w:sz w:val="20"/>
              </w:rPr>
              <w:t> </w:t>
            </w:r>
            <w:r>
              <w:rPr>
                <w:spacing w:val="-10"/>
                <w:sz w:val="20"/>
              </w:rPr>
              <w:t>2</w:t>
            </w:r>
          </w:p>
        </w:tc>
        <w:tc>
          <w:tcPr>
            <w:tcW w:w="2798" w:type="dxa"/>
            <w:vMerge/>
            <w:tcBorders>
              <w:top w:val="nil"/>
              <w:left w:val="single" w:sz="4" w:space="0" w:color="000000"/>
              <w:bottom w:val="single" w:sz="8" w:space="0" w:color="000000"/>
              <w:right w:val="single" w:sz="4" w:space="0" w:color="000000"/>
            </w:tcBorders>
          </w:tcPr>
          <w:p>
            <w:pPr>
              <w:rPr>
                <w:sz w:val="2"/>
                <w:szCs w:val="2"/>
              </w:rPr>
            </w:pPr>
          </w:p>
        </w:tc>
        <w:tc>
          <w:tcPr>
            <w:tcW w:w="1077" w:type="dxa"/>
            <w:tcBorders>
              <w:left w:val="single" w:sz="4" w:space="0" w:color="000000"/>
              <w:right w:val="single" w:sz="4" w:space="0" w:color="000000"/>
            </w:tcBorders>
          </w:tcPr>
          <w:p>
            <w:pPr>
              <w:pStyle w:val="TableParagraph"/>
              <w:spacing w:before="142"/>
              <w:ind w:left="118"/>
              <w:rPr>
                <w:sz w:val="20"/>
              </w:rPr>
            </w:pPr>
            <w:r>
              <w:rPr>
                <w:spacing w:val="-4"/>
                <w:sz w:val="20"/>
              </w:rPr>
              <w:t>HIGH</w:t>
            </w:r>
          </w:p>
        </w:tc>
        <w:tc>
          <w:tcPr>
            <w:tcW w:w="1309" w:type="dxa"/>
            <w:tcBorders>
              <w:left w:val="single" w:sz="4" w:space="0" w:color="000000"/>
              <w:right w:val="single" w:sz="4" w:space="0" w:color="000000"/>
            </w:tcBorders>
          </w:tcPr>
          <w:p>
            <w:pPr>
              <w:pStyle w:val="TableParagraph"/>
              <w:spacing w:before="142"/>
              <w:ind w:left="119"/>
              <w:rPr>
                <w:sz w:val="20"/>
              </w:rPr>
            </w:pPr>
            <w:r>
              <w:rPr>
                <w:sz w:val="20"/>
              </w:rPr>
              <w:t>19.1%</w:t>
            </w:r>
            <w:r>
              <w:rPr>
                <w:spacing w:val="-7"/>
                <w:sz w:val="20"/>
              </w:rPr>
              <w:t> </w:t>
            </w:r>
            <w:r>
              <w:rPr>
                <w:spacing w:val="-2"/>
                <w:sz w:val="20"/>
              </w:rPr>
              <w:t>(17yr)</w:t>
            </w:r>
          </w:p>
        </w:tc>
        <w:tc>
          <w:tcPr>
            <w:tcW w:w="2505" w:type="dxa"/>
            <w:tcBorders>
              <w:left w:val="single" w:sz="4" w:space="0" w:color="000000"/>
            </w:tcBorders>
          </w:tcPr>
          <w:p>
            <w:pPr>
              <w:pStyle w:val="TableParagraph"/>
              <w:spacing w:before="142"/>
              <w:ind w:left="119"/>
              <w:rPr>
                <w:sz w:val="20"/>
              </w:rPr>
            </w:pPr>
            <w:r>
              <w:rPr>
                <w:spacing w:val="-2"/>
                <w:sz w:val="20"/>
              </w:rPr>
              <w:t>76.5%</w:t>
            </w:r>
          </w:p>
        </w:tc>
      </w:tr>
      <w:tr>
        <w:trPr>
          <w:trHeight w:val="769" w:hRule="atLeast"/>
        </w:trPr>
        <w:tc>
          <w:tcPr>
            <w:tcW w:w="813" w:type="dxa"/>
            <w:tcBorders>
              <w:right w:val="single" w:sz="4" w:space="0" w:color="000000"/>
            </w:tcBorders>
          </w:tcPr>
          <w:p>
            <w:pPr>
              <w:pStyle w:val="TableParagraph"/>
              <w:spacing w:before="31"/>
              <w:rPr>
                <w:sz w:val="20"/>
              </w:rPr>
            </w:pPr>
          </w:p>
          <w:p>
            <w:pPr>
              <w:pStyle w:val="TableParagraph"/>
              <w:spacing w:before="1"/>
              <w:ind w:left="1"/>
              <w:jc w:val="center"/>
              <w:rPr>
                <w:sz w:val="20"/>
              </w:rPr>
            </w:pPr>
            <w:r>
              <w:rPr>
                <w:sz w:val="20"/>
              </w:rPr>
              <w:t>RDD</w:t>
            </w:r>
            <w:r>
              <w:rPr>
                <w:spacing w:val="-6"/>
                <w:sz w:val="20"/>
              </w:rPr>
              <w:t> </w:t>
            </w:r>
            <w:r>
              <w:rPr>
                <w:spacing w:val="-10"/>
                <w:sz w:val="20"/>
              </w:rPr>
              <w:t>3</w:t>
            </w:r>
          </w:p>
        </w:tc>
        <w:tc>
          <w:tcPr>
            <w:tcW w:w="2798" w:type="dxa"/>
            <w:vMerge/>
            <w:tcBorders>
              <w:top w:val="nil"/>
              <w:left w:val="single" w:sz="4" w:space="0" w:color="000000"/>
              <w:bottom w:val="single" w:sz="8" w:space="0" w:color="000000"/>
              <w:right w:val="single" w:sz="4" w:space="0" w:color="000000"/>
            </w:tcBorders>
          </w:tcPr>
          <w:p>
            <w:pPr>
              <w:rPr>
                <w:sz w:val="2"/>
                <w:szCs w:val="2"/>
              </w:rPr>
            </w:pPr>
          </w:p>
        </w:tc>
        <w:tc>
          <w:tcPr>
            <w:tcW w:w="1077" w:type="dxa"/>
            <w:tcBorders>
              <w:left w:val="single" w:sz="4" w:space="0" w:color="000000"/>
              <w:right w:val="single" w:sz="4" w:space="0" w:color="000000"/>
            </w:tcBorders>
          </w:tcPr>
          <w:p>
            <w:pPr>
              <w:pStyle w:val="TableParagraph"/>
              <w:spacing w:before="31"/>
              <w:rPr>
                <w:sz w:val="20"/>
              </w:rPr>
            </w:pPr>
          </w:p>
          <w:p>
            <w:pPr>
              <w:pStyle w:val="TableParagraph"/>
              <w:spacing w:before="1"/>
              <w:ind w:left="118"/>
              <w:rPr>
                <w:sz w:val="20"/>
              </w:rPr>
            </w:pPr>
            <w:r>
              <w:rPr>
                <w:spacing w:val="-4"/>
                <w:sz w:val="20"/>
              </w:rPr>
              <w:t>HIGH</w:t>
            </w:r>
          </w:p>
        </w:tc>
        <w:tc>
          <w:tcPr>
            <w:tcW w:w="1309" w:type="dxa"/>
            <w:tcBorders>
              <w:left w:val="single" w:sz="4" w:space="0" w:color="000000"/>
              <w:right w:val="single" w:sz="4" w:space="0" w:color="000000"/>
            </w:tcBorders>
          </w:tcPr>
          <w:p>
            <w:pPr>
              <w:pStyle w:val="TableParagraph"/>
              <w:spacing w:before="31"/>
              <w:rPr>
                <w:sz w:val="20"/>
              </w:rPr>
            </w:pPr>
          </w:p>
          <w:p>
            <w:pPr>
              <w:pStyle w:val="TableParagraph"/>
              <w:spacing w:before="1"/>
              <w:ind w:left="119"/>
              <w:rPr>
                <w:sz w:val="20"/>
              </w:rPr>
            </w:pPr>
            <w:r>
              <w:rPr>
                <w:sz w:val="20"/>
              </w:rPr>
              <w:t>6.7%</w:t>
            </w:r>
            <w:r>
              <w:rPr>
                <w:spacing w:val="-6"/>
                <w:sz w:val="20"/>
              </w:rPr>
              <w:t> </w:t>
            </w:r>
            <w:r>
              <w:rPr>
                <w:spacing w:val="-2"/>
                <w:sz w:val="20"/>
              </w:rPr>
              <w:t>(6yr)</w:t>
            </w:r>
          </w:p>
        </w:tc>
        <w:tc>
          <w:tcPr>
            <w:tcW w:w="2505" w:type="dxa"/>
            <w:tcBorders>
              <w:left w:val="single" w:sz="4" w:space="0" w:color="000000"/>
            </w:tcBorders>
          </w:tcPr>
          <w:p>
            <w:pPr>
              <w:pStyle w:val="TableParagraph"/>
              <w:spacing w:before="31"/>
              <w:rPr>
                <w:sz w:val="20"/>
              </w:rPr>
            </w:pPr>
          </w:p>
          <w:p>
            <w:pPr>
              <w:pStyle w:val="TableParagraph"/>
              <w:spacing w:before="1"/>
              <w:ind w:left="119"/>
              <w:rPr>
                <w:sz w:val="20"/>
              </w:rPr>
            </w:pPr>
            <w:r>
              <w:rPr>
                <w:spacing w:val="-4"/>
                <w:sz w:val="20"/>
              </w:rPr>
              <w:t>100%</w:t>
            </w:r>
          </w:p>
        </w:tc>
      </w:tr>
      <w:tr>
        <w:trPr>
          <w:trHeight w:val="578" w:hRule="atLeast"/>
        </w:trPr>
        <w:tc>
          <w:tcPr>
            <w:tcW w:w="813" w:type="dxa"/>
            <w:tcBorders>
              <w:bottom w:val="single" w:sz="8" w:space="0" w:color="000000"/>
              <w:right w:val="single" w:sz="4" w:space="0" w:color="000000"/>
            </w:tcBorders>
          </w:tcPr>
          <w:p>
            <w:pPr>
              <w:pStyle w:val="TableParagraph"/>
              <w:spacing w:before="31"/>
              <w:rPr>
                <w:sz w:val="20"/>
              </w:rPr>
            </w:pPr>
          </w:p>
          <w:p>
            <w:pPr>
              <w:pStyle w:val="TableParagraph"/>
              <w:spacing w:before="1"/>
              <w:ind w:left="1"/>
              <w:jc w:val="center"/>
              <w:rPr>
                <w:sz w:val="20"/>
              </w:rPr>
            </w:pPr>
            <w:r>
              <w:rPr>
                <w:sz w:val="20"/>
              </w:rPr>
              <w:t>RDD</w:t>
            </w:r>
            <w:r>
              <w:rPr>
                <w:spacing w:val="-6"/>
                <w:sz w:val="20"/>
              </w:rPr>
              <w:t> </w:t>
            </w:r>
            <w:r>
              <w:rPr>
                <w:spacing w:val="-10"/>
                <w:sz w:val="20"/>
              </w:rPr>
              <w:t>4</w:t>
            </w:r>
          </w:p>
        </w:tc>
        <w:tc>
          <w:tcPr>
            <w:tcW w:w="2798" w:type="dxa"/>
            <w:vMerge/>
            <w:tcBorders>
              <w:top w:val="nil"/>
              <w:left w:val="single" w:sz="4" w:space="0" w:color="000000"/>
              <w:bottom w:val="single" w:sz="8" w:space="0" w:color="000000"/>
              <w:right w:val="single" w:sz="4" w:space="0" w:color="000000"/>
            </w:tcBorders>
          </w:tcPr>
          <w:p>
            <w:pPr>
              <w:rPr>
                <w:sz w:val="2"/>
                <w:szCs w:val="2"/>
              </w:rPr>
            </w:pPr>
          </w:p>
        </w:tc>
        <w:tc>
          <w:tcPr>
            <w:tcW w:w="1077" w:type="dxa"/>
            <w:tcBorders>
              <w:left w:val="single" w:sz="4" w:space="0" w:color="000000"/>
              <w:bottom w:val="single" w:sz="8" w:space="0" w:color="000000"/>
              <w:right w:val="single" w:sz="4" w:space="0" w:color="000000"/>
            </w:tcBorders>
          </w:tcPr>
          <w:p>
            <w:pPr>
              <w:pStyle w:val="TableParagraph"/>
              <w:spacing w:before="31"/>
              <w:rPr>
                <w:sz w:val="20"/>
              </w:rPr>
            </w:pPr>
          </w:p>
          <w:p>
            <w:pPr>
              <w:pStyle w:val="TableParagraph"/>
              <w:spacing w:before="1"/>
              <w:ind w:left="118"/>
              <w:rPr>
                <w:sz w:val="20"/>
              </w:rPr>
            </w:pPr>
            <w:r>
              <w:rPr>
                <w:spacing w:val="-5"/>
                <w:sz w:val="20"/>
              </w:rPr>
              <w:t>LOW</w:t>
            </w:r>
          </w:p>
        </w:tc>
        <w:tc>
          <w:tcPr>
            <w:tcW w:w="1309" w:type="dxa"/>
            <w:tcBorders>
              <w:left w:val="single" w:sz="4" w:space="0" w:color="000000"/>
              <w:bottom w:val="single" w:sz="8" w:space="0" w:color="000000"/>
              <w:right w:val="single" w:sz="4" w:space="0" w:color="000000"/>
            </w:tcBorders>
          </w:tcPr>
          <w:p>
            <w:pPr>
              <w:pStyle w:val="TableParagraph"/>
              <w:spacing w:before="31"/>
              <w:rPr>
                <w:sz w:val="20"/>
              </w:rPr>
            </w:pPr>
          </w:p>
          <w:p>
            <w:pPr>
              <w:pStyle w:val="TableParagraph"/>
              <w:spacing w:before="1"/>
              <w:ind w:left="119"/>
              <w:rPr>
                <w:sz w:val="20"/>
              </w:rPr>
            </w:pPr>
            <w:r>
              <w:rPr>
                <w:spacing w:val="-10"/>
                <w:sz w:val="20"/>
              </w:rPr>
              <w:t>—</w:t>
            </w:r>
          </w:p>
        </w:tc>
        <w:tc>
          <w:tcPr>
            <w:tcW w:w="2505" w:type="dxa"/>
            <w:tcBorders>
              <w:left w:val="single" w:sz="4" w:space="0" w:color="000000"/>
              <w:bottom w:val="single" w:sz="8" w:space="0" w:color="000000"/>
            </w:tcBorders>
          </w:tcPr>
          <w:p>
            <w:pPr>
              <w:pStyle w:val="TableParagraph"/>
              <w:spacing w:before="31"/>
              <w:rPr>
                <w:sz w:val="20"/>
              </w:rPr>
            </w:pPr>
          </w:p>
          <w:p>
            <w:pPr>
              <w:pStyle w:val="TableParagraph"/>
              <w:spacing w:before="1"/>
              <w:ind w:left="119"/>
              <w:rPr>
                <w:sz w:val="20"/>
              </w:rPr>
            </w:pPr>
            <w:r>
              <w:rPr>
                <w:spacing w:val="-10"/>
                <w:sz w:val="20"/>
              </w:rPr>
              <w:t>—</w:t>
            </w:r>
          </w:p>
        </w:tc>
      </w:tr>
    </w:tbl>
    <w:p>
      <w:pPr>
        <w:pStyle w:val="TableParagraph"/>
        <w:spacing w:after="0"/>
        <w:rPr>
          <w:sz w:val="20"/>
        </w:rPr>
        <w:sectPr>
          <w:headerReference w:type="default" r:id="rId66"/>
          <w:headerReference w:type="even" r:id="rId67"/>
          <w:pgSz w:w="11910" w:h="16840"/>
          <w:pgMar w:header="1160" w:footer="0" w:top="1420" w:bottom="280" w:left="1275" w:right="425"/>
          <w:pgNumType w:start="43"/>
        </w:sectPr>
      </w:pPr>
    </w:p>
    <w:p>
      <w:pPr>
        <w:pStyle w:val="BodyText"/>
        <w:rPr>
          <w:sz w:val="20"/>
        </w:rPr>
      </w:pPr>
    </w:p>
    <w:p>
      <w:pPr>
        <w:pStyle w:val="BodyText"/>
        <w:spacing w:before="38"/>
        <w:rPr>
          <w:sz w:val="20"/>
        </w:rPr>
      </w:pPr>
    </w:p>
    <w:p>
      <w:pPr>
        <w:spacing w:before="1"/>
        <w:ind w:left="2233" w:right="0" w:firstLine="0"/>
        <w:jc w:val="left"/>
        <w:rPr>
          <w:sz w:val="20"/>
        </w:rPr>
      </w:pPr>
      <w:bookmarkStart w:name="_bookmark80" w:id="143"/>
      <w:bookmarkEnd w:id="143"/>
      <w:r>
        <w:rPr/>
      </w:r>
      <w:r>
        <w:rPr>
          <w:b/>
          <w:sz w:val="20"/>
        </w:rPr>
        <w:t>Table</w:t>
      </w:r>
      <w:r>
        <w:rPr>
          <w:b/>
          <w:spacing w:val="-13"/>
          <w:sz w:val="20"/>
        </w:rPr>
        <w:t> </w:t>
      </w:r>
      <w:r>
        <w:rPr>
          <w:b/>
          <w:sz w:val="20"/>
        </w:rPr>
        <w:t>4.6:</w:t>
      </w:r>
      <w:r>
        <w:rPr>
          <w:b/>
          <w:spacing w:val="-8"/>
          <w:sz w:val="20"/>
        </w:rPr>
        <w:t> </w:t>
      </w:r>
      <w:r>
        <w:rPr>
          <w:sz w:val="20"/>
        </w:rPr>
        <w:t>RIPPER</w:t>
      </w:r>
      <w:r>
        <w:rPr>
          <w:spacing w:val="-13"/>
          <w:sz w:val="20"/>
        </w:rPr>
        <w:t> </w:t>
      </w:r>
      <w:r>
        <w:rPr>
          <w:sz w:val="20"/>
        </w:rPr>
        <w:t>rules</w:t>
      </w:r>
      <w:r>
        <w:rPr>
          <w:spacing w:val="-12"/>
          <w:sz w:val="20"/>
        </w:rPr>
        <w:t> </w:t>
      </w:r>
      <w:r>
        <w:rPr>
          <w:sz w:val="20"/>
        </w:rPr>
        <w:t>for</w:t>
      </w:r>
      <w:r>
        <w:rPr>
          <w:spacing w:val="-13"/>
          <w:sz w:val="20"/>
        </w:rPr>
        <w:t> </w:t>
      </w:r>
      <w:r>
        <w:rPr>
          <w:sz w:val="20"/>
        </w:rPr>
        <w:t>RVV.</w:t>
      </w:r>
      <w:r>
        <w:rPr>
          <w:spacing w:val="-12"/>
          <w:sz w:val="20"/>
        </w:rPr>
        <w:t> </w:t>
      </w:r>
      <w:r>
        <w:rPr>
          <w:sz w:val="20"/>
        </w:rPr>
        <w:t>CV</w:t>
      </w:r>
      <w:r>
        <w:rPr>
          <w:spacing w:val="-13"/>
          <w:sz w:val="20"/>
        </w:rPr>
        <w:t> </w:t>
      </w:r>
      <w:r>
        <w:rPr>
          <w:sz w:val="20"/>
        </w:rPr>
        <w:t>accuracy</w:t>
      </w:r>
      <w:r>
        <w:rPr>
          <w:spacing w:val="-12"/>
          <w:sz w:val="20"/>
        </w:rPr>
        <w:t> </w:t>
      </w:r>
      <w:r>
        <w:rPr>
          <w:spacing w:val="-4"/>
          <w:sz w:val="20"/>
        </w:rPr>
        <w:t>28%.</w:t>
      </w:r>
    </w:p>
    <w:p>
      <w:pPr>
        <w:pStyle w:val="BodyText"/>
        <w:spacing w:before="5"/>
        <w:rPr>
          <w:sz w:val="18"/>
        </w:rPr>
      </w:pPr>
      <w:r>
        <w:rPr>
          <w:sz w:val="18"/>
        </w:rPr>
        <mc:AlternateContent>
          <mc:Choice Requires="wps">
            <w:drawing>
              <wp:anchor distT="0" distB="0" distL="0" distR="0" allowOverlap="1" layoutInCell="1" locked="0" behindDoc="1" simplePos="0" relativeHeight="487619072">
                <wp:simplePos x="0" y="0"/>
                <wp:positionH relativeFrom="page">
                  <wp:posOffset>899998</wp:posOffset>
                </wp:positionH>
                <wp:positionV relativeFrom="paragraph">
                  <wp:posOffset>150005</wp:posOffset>
                </wp:positionV>
                <wp:extent cx="5400040" cy="1270"/>
                <wp:effectExtent l="0" t="0" r="0" b="0"/>
                <wp:wrapTopAndBottom/>
                <wp:docPr id="165" name="Graphic 165"/>
                <wp:cNvGraphicFramePr>
                  <a:graphicFrameLocks/>
                </wp:cNvGraphicFramePr>
                <a:graphic>
                  <a:graphicData uri="http://schemas.microsoft.com/office/word/2010/wordprocessingShape">
                    <wps:wsp>
                      <wps:cNvPr id="165" name="Graphic 165"/>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1.811473pt;width:425.2pt;height:.1pt;mso-position-horizontal-relative:page;mso-position-vertical-relative:paragraph;z-index:-15697408;mso-wrap-distance-left:0;mso-wrap-distance-right:0" id="docshape137" coordorigin="1417,236" coordsize="8504,0" path="m1417,236l9921,236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97"/>
        <w:gridCol w:w="2798"/>
        <w:gridCol w:w="1077"/>
        <w:gridCol w:w="1309"/>
        <w:gridCol w:w="2521"/>
      </w:tblGrid>
      <w:tr>
        <w:trPr>
          <w:trHeight w:val="346" w:hRule="atLeast"/>
        </w:trPr>
        <w:tc>
          <w:tcPr>
            <w:tcW w:w="797" w:type="dxa"/>
            <w:tcBorders>
              <w:top w:val="nil"/>
              <w:left w:val="nil"/>
              <w:right w:val="single" w:sz="4" w:space="0" w:color="000000"/>
            </w:tcBorders>
          </w:tcPr>
          <w:p>
            <w:pPr>
              <w:pStyle w:val="TableParagraph"/>
              <w:spacing w:before="31"/>
              <w:ind w:left="119"/>
              <w:rPr>
                <w:sz w:val="20"/>
              </w:rPr>
            </w:pPr>
            <w:r>
              <w:rPr>
                <w:spacing w:val="-10"/>
                <w:sz w:val="20"/>
              </w:rPr>
              <w:t>#</w:t>
            </w:r>
          </w:p>
        </w:tc>
        <w:tc>
          <w:tcPr>
            <w:tcW w:w="2798" w:type="dxa"/>
            <w:tcBorders>
              <w:top w:val="nil"/>
              <w:left w:val="single" w:sz="4" w:space="0" w:color="000000"/>
              <w:right w:val="single" w:sz="4" w:space="0" w:color="000000"/>
            </w:tcBorders>
          </w:tcPr>
          <w:p>
            <w:pPr>
              <w:pStyle w:val="TableParagraph"/>
              <w:spacing w:before="31"/>
              <w:ind w:left="118"/>
              <w:rPr>
                <w:sz w:val="20"/>
              </w:rPr>
            </w:pPr>
            <w:r>
              <w:rPr>
                <w:spacing w:val="-2"/>
                <w:sz w:val="20"/>
              </w:rPr>
              <w:t>Conditions</w:t>
            </w:r>
          </w:p>
        </w:tc>
        <w:tc>
          <w:tcPr>
            <w:tcW w:w="1077" w:type="dxa"/>
            <w:tcBorders>
              <w:top w:val="nil"/>
              <w:left w:val="single" w:sz="4" w:space="0" w:color="000000"/>
              <w:right w:val="single" w:sz="4" w:space="0" w:color="000000"/>
            </w:tcBorders>
          </w:tcPr>
          <w:p>
            <w:pPr>
              <w:pStyle w:val="TableParagraph"/>
              <w:spacing w:before="31"/>
              <w:ind w:left="118"/>
              <w:rPr>
                <w:sz w:val="20"/>
              </w:rPr>
            </w:pPr>
            <w:r>
              <w:rPr>
                <w:spacing w:val="-2"/>
                <w:sz w:val="20"/>
              </w:rPr>
              <w:t>Prediction</w:t>
            </w:r>
          </w:p>
        </w:tc>
        <w:tc>
          <w:tcPr>
            <w:tcW w:w="1309" w:type="dxa"/>
            <w:tcBorders>
              <w:top w:val="nil"/>
              <w:left w:val="single" w:sz="4" w:space="0" w:color="000000"/>
              <w:right w:val="single" w:sz="4" w:space="0" w:color="000000"/>
            </w:tcBorders>
          </w:tcPr>
          <w:p>
            <w:pPr>
              <w:pStyle w:val="TableParagraph"/>
              <w:spacing w:before="31"/>
              <w:ind w:left="119"/>
              <w:rPr>
                <w:sz w:val="20"/>
              </w:rPr>
            </w:pPr>
            <w:r>
              <w:rPr>
                <w:spacing w:val="-2"/>
                <w:sz w:val="20"/>
              </w:rPr>
              <w:t>Support</w:t>
            </w:r>
          </w:p>
        </w:tc>
        <w:tc>
          <w:tcPr>
            <w:tcW w:w="2521" w:type="dxa"/>
            <w:tcBorders>
              <w:top w:val="nil"/>
              <w:left w:val="single" w:sz="4" w:space="0" w:color="000000"/>
              <w:right w:val="nil"/>
            </w:tcBorders>
          </w:tcPr>
          <w:p>
            <w:pPr>
              <w:pStyle w:val="TableParagraph"/>
              <w:spacing w:before="31"/>
              <w:ind w:left="119"/>
              <w:rPr>
                <w:sz w:val="20"/>
              </w:rPr>
            </w:pPr>
            <w:r>
              <w:rPr>
                <w:spacing w:val="-2"/>
                <w:sz w:val="20"/>
              </w:rPr>
              <w:t>Precision</w:t>
            </w:r>
          </w:p>
        </w:tc>
      </w:tr>
    </w:tbl>
    <w:p>
      <w:pPr>
        <w:pStyle w:val="BodyText"/>
        <w:spacing w:before="10"/>
        <w:rPr>
          <w:sz w:val="4"/>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7"/>
        <w:gridCol w:w="2798"/>
        <w:gridCol w:w="1077"/>
        <w:gridCol w:w="1309"/>
        <w:gridCol w:w="2521"/>
      </w:tblGrid>
      <w:tr>
        <w:trPr>
          <w:trHeight w:val="657" w:hRule="atLeast"/>
        </w:trPr>
        <w:tc>
          <w:tcPr>
            <w:tcW w:w="797" w:type="dxa"/>
            <w:tcBorders>
              <w:right w:val="single" w:sz="4" w:space="0" w:color="000000"/>
            </w:tcBorders>
          </w:tcPr>
          <w:p>
            <w:pPr>
              <w:pStyle w:val="TableParagraph"/>
              <w:spacing w:before="31"/>
              <w:ind w:left="1"/>
              <w:jc w:val="center"/>
              <w:rPr>
                <w:sz w:val="20"/>
              </w:rPr>
            </w:pPr>
            <w:r>
              <w:rPr>
                <w:spacing w:val="-6"/>
                <w:sz w:val="20"/>
              </w:rPr>
              <w:t>RVV</w:t>
            </w:r>
            <w:r>
              <w:rPr>
                <w:spacing w:val="-4"/>
                <w:sz w:val="20"/>
              </w:rPr>
              <w:t> </w:t>
            </w:r>
            <w:r>
              <w:rPr>
                <w:spacing w:val="-10"/>
                <w:sz w:val="20"/>
              </w:rPr>
              <w:t>1</w:t>
            </w:r>
          </w:p>
        </w:tc>
        <w:tc>
          <w:tcPr>
            <w:tcW w:w="2798" w:type="dxa"/>
            <w:vMerge w:val="restart"/>
            <w:tcBorders>
              <w:left w:val="single" w:sz="4" w:space="0" w:color="000000"/>
              <w:bottom w:val="single" w:sz="8" w:space="0" w:color="000000"/>
              <w:right w:val="single" w:sz="4" w:space="0" w:color="000000"/>
            </w:tcBorders>
          </w:tcPr>
          <w:p>
            <w:pPr>
              <w:pStyle w:val="TableParagraph"/>
              <w:spacing w:line="172" w:lineRule="auto" w:before="40"/>
              <w:ind w:left="111" w:firstLine="7"/>
              <w:rPr>
                <w:rFonts w:ascii="Meiryo UI" w:hAnsi="Meiryo UI"/>
                <w:i/>
                <w:sz w:val="20"/>
              </w:rPr>
            </w:pPr>
            <w:r>
              <w:rPr>
                <w:sz w:val="20"/>
              </w:rPr>
              <w:t>LAI</w:t>
            </w:r>
            <w:r>
              <w:rPr>
                <w:spacing w:val="-9"/>
                <w:sz w:val="20"/>
              </w:rPr>
              <w:t> </w:t>
            </w:r>
            <w:r>
              <w:rPr>
                <w:sz w:val="20"/>
              </w:rPr>
              <w:t>at</w:t>
            </w:r>
            <w:r>
              <w:rPr>
                <w:spacing w:val="-4"/>
                <w:sz w:val="20"/>
              </w:rPr>
              <w:t> </w:t>
            </w:r>
            <w:r>
              <w:rPr>
                <w:sz w:val="20"/>
              </w:rPr>
              <w:t>Flowering</w:t>
            </w:r>
            <w:r>
              <w:rPr>
                <w:spacing w:val="-4"/>
                <w:sz w:val="20"/>
              </w:rPr>
              <w:t> </w:t>
            </w:r>
            <w:r>
              <w:rPr>
                <w:sz w:val="20"/>
              </w:rPr>
              <w:t>prev.yr</w:t>
            </w:r>
            <w:r>
              <w:rPr>
                <w:spacing w:val="-4"/>
                <w:sz w:val="20"/>
              </w:rPr>
              <w:t> </w:t>
            </w:r>
            <w:r>
              <w:rPr>
                <w:rFonts w:ascii="Meiryo UI" w:hAnsi="Meiryo UI"/>
                <w:i/>
                <w:sz w:val="20"/>
              </w:rPr>
              <w:t>≥</w:t>
            </w:r>
            <w:r>
              <w:rPr>
                <w:rFonts w:ascii="Meiryo UI" w:hAnsi="Meiryo UI"/>
                <w:i/>
                <w:spacing w:val="-17"/>
                <w:sz w:val="20"/>
              </w:rPr>
              <w:t> </w:t>
            </w:r>
            <w:r>
              <w:rPr>
                <w:sz w:val="20"/>
              </w:rPr>
              <w:t>2.4 AND</w:t>
            </w:r>
            <w:r>
              <w:rPr>
                <w:spacing w:val="12"/>
                <w:sz w:val="20"/>
              </w:rPr>
              <w:t> </w:t>
            </w:r>
            <w:r>
              <w:rPr>
                <w:sz w:val="20"/>
              </w:rPr>
              <w:t>Budburst</w:t>
            </w:r>
            <w:r>
              <w:rPr>
                <w:spacing w:val="13"/>
                <w:sz w:val="20"/>
              </w:rPr>
              <w:t> </w:t>
            </w:r>
            <w:r>
              <w:rPr>
                <w:sz w:val="20"/>
              </w:rPr>
              <w:t>temp</w:t>
            </w:r>
            <w:r>
              <w:rPr>
                <w:spacing w:val="13"/>
                <w:sz w:val="20"/>
              </w:rPr>
              <w:t> </w:t>
            </w:r>
            <w:r>
              <w:rPr>
                <w:sz w:val="20"/>
              </w:rPr>
              <w:t>prev.yr</w:t>
            </w:r>
            <w:r>
              <w:rPr>
                <w:spacing w:val="13"/>
                <w:sz w:val="20"/>
              </w:rPr>
              <w:t> </w:t>
            </w:r>
            <w:r>
              <w:rPr>
                <w:rFonts w:ascii="Meiryo UI" w:hAnsi="Meiryo UI"/>
                <w:i/>
                <w:spacing w:val="-10"/>
                <w:sz w:val="20"/>
              </w:rPr>
              <w:t>≥</w:t>
            </w:r>
          </w:p>
          <w:p>
            <w:pPr>
              <w:pStyle w:val="TableParagraph"/>
              <w:spacing w:line="172" w:lineRule="auto" w:before="3"/>
              <w:ind w:left="118" w:hanging="15"/>
              <w:rPr>
                <w:sz w:val="20"/>
              </w:rPr>
            </w:pPr>
            <w:r>
              <w:rPr>
                <w:spacing w:val="-2"/>
                <w:sz w:val="20"/>
              </w:rPr>
              <w:t>13.3</w:t>
            </w:r>
            <w:r>
              <w:rPr>
                <w:rFonts w:ascii="Meiryo UI" w:hAnsi="Meiryo UI"/>
                <w:i/>
                <w:spacing w:val="-2"/>
                <w:sz w:val="20"/>
                <w:vertAlign w:val="superscript"/>
              </w:rPr>
              <w:t>◦</w:t>
            </w:r>
            <w:r>
              <w:rPr>
                <w:spacing w:val="-2"/>
                <w:sz w:val="20"/>
                <w:vertAlign w:val="baseline"/>
              </w:rPr>
              <w:t>C</w:t>
            </w:r>
            <w:r>
              <w:rPr>
                <w:spacing w:val="-13"/>
                <w:sz w:val="20"/>
                <w:vertAlign w:val="baseline"/>
              </w:rPr>
              <w:t> </w:t>
            </w:r>
            <w:r>
              <w:rPr>
                <w:spacing w:val="-2"/>
                <w:sz w:val="20"/>
                <w:vertAlign w:val="baseline"/>
              </w:rPr>
              <w:t>AND</w:t>
            </w:r>
            <w:r>
              <w:rPr>
                <w:spacing w:val="-10"/>
                <w:sz w:val="20"/>
                <w:vertAlign w:val="baseline"/>
              </w:rPr>
              <w:t> </w:t>
            </w:r>
            <w:r>
              <w:rPr>
                <w:spacing w:val="-2"/>
                <w:sz w:val="20"/>
                <w:vertAlign w:val="baseline"/>
              </w:rPr>
              <w:t>Rainfall</w:t>
            </w:r>
            <w:r>
              <w:rPr>
                <w:spacing w:val="-11"/>
                <w:sz w:val="20"/>
                <w:vertAlign w:val="baseline"/>
              </w:rPr>
              <w:t> </w:t>
            </w:r>
            <w:r>
              <w:rPr>
                <w:spacing w:val="-2"/>
                <w:sz w:val="20"/>
                <w:vertAlign w:val="baseline"/>
              </w:rPr>
              <w:t>at</w:t>
            </w:r>
            <w:r>
              <w:rPr>
                <w:spacing w:val="-10"/>
                <w:sz w:val="20"/>
                <w:vertAlign w:val="baseline"/>
              </w:rPr>
              <w:t> </w:t>
            </w:r>
            <w:r>
              <w:rPr>
                <w:spacing w:val="-2"/>
                <w:sz w:val="20"/>
                <w:vertAlign w:val="baseline"/>
              </w:rPr>
              <w:t>Flower</w:t>
            </w:r>
            <w:r>
              <w:rPr>
                <w:spacing w:val="-2"/>
                <w:sz w:val="20"/>
                <w:vertAlign w:val="baseline"/>
              </w:rPr>
              <w:t>-</w:t>
            </w:r>
            <w:r>
              <w:rPr>
                <w:sz w:val="20"/>
                <w:vertAlign w:val="baseline"/>
              </w:rPr>
              <w:t>ing </w:t>
            </w:r>
            <w:r>
              <w:rPr>
                <w:rFonts w:ascii="Meiryo UI" w:hAnsi="Meiryo UI"/>
                <w:i/>
                <w:sz w:val="20"/>
                <w:vertAlign w:val="baseline"/>
              </w:rPr>
              <w:t>≤ </w:t>
            </w:r>
            <w:r>
              <w:rPr>
                <w:sz w:val="20"/>
                <w:vertAlign w:val="baseline"/>
              </w:rPr>
              <w:t>15.9 mm</w:t>
            </w:r>
          </w:p>
          <w:p>
            <w:pPr>
              <w:pStyle w:val="TableParagraph"/>
              <w:spacing w:line="285" w:lineRule="exact" w:before="5"/>
              <w:ind w:left="118"/>
              <w:rPr>
                <w:rFonts w:ascii="Meiryo UI" w:hAnsi="Meiryo UI"/>
                <w:i/>
                <w:sz w:val="20"/>
              </w:rPr>
            </w:pPr>
            <w:r>
              <w:rPr>
                <w:sz w:val="20"/>
              </w:rPr>
              <w:t>Mean</w:t>
            </w:r>
            <w:r>
              <w:rPr>
                <w:spacing w:val="65"/>
                <w:w w:val="150"/>
                <w:sz w:val="20"/>
              </w:rPr>
              <w:t> </w:t>
            </w:r>
            <w:r>
              <w:rPr>
                <w:sz w:val="20"/>
              </w:rPr>
              <w:t>temp</w:t>
            </w:r>
            <w:r>
              <w:rPr>
                <w:spacing w:val="65"/>
                <w:w w:val="150"/>
                <w:sz w:val="20"/>
              </w:rPr>
              <w:t> </w:t>
            </w:r>
            <w:r>
              <w:rPr>
                <w:sz w:val="20"/>
              </w:rPr>
              <w:t>at</w:t>
            </w:r>
            <w:r>
              <w:rPr>
                <w:spacing w:val="65"/>
                <w:w w:val="150"/>
                <w:sz w:val="20"/>
              </w:rPr>
              <w:t> </w:t>
            </w:r>
            <w:r>
              <w:rPr>
                <w:sz w:val="20"/>
              </w:rPr>
              <w:t>Flowering</w:t>
            </w:r>
            <w:r>
              <w:rPr>
                <w:spacing w:val="66"/>
                <w:w w:val="150"/>
                <w:sz w:val="20"/>
              </w:rPr>
              <w:t> </w:t>
            </w:r>
            <w:r>
              <w:rPr>
                <w:rFonts w:ascii="Meiryo UI" w:hAnsi="Meiryo UI"/>
                <w:i/>
                <w:spacing w:val="-10"/>
                <w:sz w:val="20"/>
              </w:rPr>
              <w:t>≥</w:t>
            </w:r>
          </w:p>
          <w:p>
            <w:pPr>
              <w:pStyle w:val="TableParagraph"/>
              <w:spacing w:line="239" w:lineRule="exact" w:before="0"/>
              <w:ind w:left="103"/>
              <w:rPr>
                <w:sz w:val="20"/>
              </w:rPr>
            </w:pPr>
            <w:r>
              <w:rPr>
                <w:sz w:val="20"/>
              </w:rPr>
              <w:t>19.3</w:t>
            </w:r>
            <w:r>
              <w:rPr>
                <w:rFonts w:ascii="Meiryo UI" w:hAnsi="Meiryo UI"/>
                <w:i/>
                <w:sz w:val="20"/>
                <w:vertAlign w:val="superscript"/>
              </w:rPr>
              <w:t>◦</w:t>
            </w:r>
            <w:r>
              <w:rPr>
                <w:sz w:val="20"/>
                <w:vertAlign w:val="baseline"/>
              </w:rPr>
              <w:t>C AND LAI</w:t>
            </w:r>
            <w:r>
              <w:rPr>
                <w:spacing w:val="1"/>
                <w:sz w:val="20"/>
                <w:vertAlign w:val="baseline"/>
              </w:rPr>
              <w:t> </w:t>
            </w:r>
            <w:r>
              <w:rPr>
                <w:sz w:val="20"/>
                <w:vertAlign w:val="baseline"/>
              </w:rPr>
              <w:t>at </w:t>
            </w:r>
            <w:r>
              <w:rPr>
                <w:spacing w:val="-2"/>
                <w:sz w:val="20"/>
                <w:vertAlign w:val="baseline"/>
              </w:rPr>
              <w:t>Flowering</w:t>
            </w:r>
          </w:p>
          <w:p>
            <w:pPr>
              <w:pStyle w:val="TableParagraph"/>
              <w:spacing w:line="275" w:lineRule="exact" w:before="0"/>
              <w:ind w:left="118"/>
              <w:rPr>
                <w:sz w:val="20"/>
              </w:rPr>
            </w:pPr>
            <w:r>
              <w:rPr>
                <w:rFonts w:ascii="Meiryo UI" w:hAnsi="Meiryo UI"/>
                <w:i/>
                <w:spacing w:val="-8"/>
                <w:sz w:val="20"/>
              </w:rPr>
              <w:t>≥</w:t>
            </w:r>
            <w:r>
              <w:rPr>
                <w:rFonts w:ascii="Meiryo UI" w:hAnsi="Meiryo UI"/>
                <w:i/>
                <w:spacing w:val="-18"/>
                <w:sz w:val="20"/>
              </w:rPr>
              <w:t> </w:t>
            </w:r>
            <w:r>
              <w:rPr>
                <w:spacing w:val="-5"/>
                <w:sz w:val="20"/>
              </w:rPr>
              <w:t>2.2</w:t>
            </w:r>
          </w:p>
          <w:p>
            <w:pPr>
              <w:pStyle w:val="TableParagraph"/>
              <w:spacing w:line="305" w:lineRule="exact" w:before="0"/>
              <w:ind w:left="118"/>
              <w:rPr>
                <w:rFonts w:ascii="Meiryo UI" w:hAnsi="Meiryo UI"/>
                <w:i/>
                <w:sz w:val="20"/>
              </w:rPr>
            </w:pPr>
            <w:r>
              <w:rPr>
                <w:sz w:val="20"/>
              </w:rPr>
              <w:t>Soil</w:t>
            </w:r>
            <w:r>
              <w:rPr>
                <w:spacing w:val="55"/>
                <w:w w:val="150"/>
                <w:sz w:val="20"/>
              </w:rPr>
              <w:t> </w:t>
            </w:r>
            <w:r>
              <w:rPr>
                <w:sz w:val="20"/>
              </w:rPr>
              <w:t>water</w:t>
            </w:r>
            <w:r>
              <w:rPr>
                <w:spacing w:val="56"/>
                <w:w w:val="150"/>
                <w:sz w:val="20"/>
              </w:rPr>
              <w:t> </w:t>
            </w:r>
            <w:r>
              <w:rPr>
                <w:sz w:val="20"/>
              </w:rPr>
              <w:t>post-Flowering</w:t>
            </w:r>
            <w:r>
              <w:rPr>
                <w:spacing w:val="56"/>
                <w:w w:val="150"/>
                <w:sz w:val="20"/>
              </w:rPr>
              <w:t> </w:t>
            </w:r>
            <w:r>
              <w:rPr>
                <w:rFonts w:ascii="Meiryo UI" w:hAnsi="Meiryo UI"/>
                <w:i/>
                <w:spacing w:val="-10"/>
                <w:sz w:val="20"/>
              </w:rPr>
              <w:t>≤</w:t>
            </w:r>
          </w:p>
          <w:p>
            <w:pPr>
              <w:pStyle w:val="TableParagraph"/>
              <w:spacing w:line="199" w:lineRule="auto" w:before="16"/>
              <w:ind w:left="118" w:hanging="15"/>
              <w:rPr>
                <w:sz w:val="20"/>
              </w:rPr>
            </w:pPr>
            <w:r>
              <w:rPr>
                <w:sz w:val="20"/>
              </w:rPr>
              <w:t>123.6 mm AND Mean temp </w:t>
            </w:r>
            <w:r>
              <w:rPr>
                <w:sz w:val="20"/>
              </w:rPr>
              <w:t>at</w:t>
            </w:r>
            <w:r>
              <w:rPr>
                <w:sz w:val="20"/>
              </w:rPr>
              <w:t> Flowering </w:t>
            </w:r>
            <w:r>
              <w:rPr>
                <w:rFonts w:ascii="Meiryo UI" w:hAnsi="Meiryo UI"/>
                <w:i/>
                <w:sz w:val="20"/>
              </w:rPr>
              <w:t>≥ </w:t>
            </w:r>
            <w:r>
              <w:rPr>
                <w:sz w:val="20"/>
              </w:rPr>
              <w:t>16.6</w:t>
            </w:r>
            <w:r>
              <w:rPr>
                <w:rFonts w:ascii="Meiryo UI" w:hAnsi="Meiryo UI"/>
                <w:i/>
                <w:sz w:val="20"/>
                <w:vertAlign w:val="superscript"/>
              </w:rPr>
              <w:t>◦</w:t>
            </w:r>
            <w:r>
              <w:rPr>
                <w:sz w:val="20"/>
                <w:vertAlign w:val="baseline"/>
              </w:rPr>
              <w:t>C</w:t>
            </w:r>
          </w:p>
          <w:p>
            <w:pPr>
              <w:pStyle w:val="TableParagraph"/>
              <w:spacing w:before="53"/>
              <w:ind w:left="118"/>
              <w:rPr>
                <w:sz w:val="20"/>
              </w:rPr>
            </w:pPr>
            <w:r>
              <w:rPr>
                <w:spacing w:val="-2"/>
                <w:sz w:val="20"/>
              </w:rPr>
              <w:t>(default)</w:t>
            </w:r>
          </w:p>
        </w:tc>
        <w:tc>
          <w:tcPr>
            <w:tcW w:w="1077" w:type="dxa"/>
            <w:tcBorders>
              <w:left w:val="single" w:sz="4" w:space="0" w:color="000000"/>
              <w:right w:val="single" w:sz="4" w:space="0" w:color="000000"/>
            </w:tcBorders>
          </w:tcPr>
          <w:p>
            <w:pPr>
              <w:pStyle w:val="TableParagraph"/>
              <w:spacing w:before="31"/>
              <w:ind w:left="118"/>
              <w:rPr>
                <w:sz w:val="20"/>
              </w:rPr>
            </w:pPr>
            <w:r>
              <w:rPr>
                <w:spacing w:val="-2"/>
                <w:sz w:val="20"/>
              </w:rPr>
              <w:t>MEDIUM</w:t>
            </w:r>
          </w:p>
        </w:tc>
        <w:tc>
          <w:tcPr>
            <w:tcW w:w="1309" w:type="dxa"/>
            <w:tcBorders>
              <w:left w:val="single" w:sz="4" w:space="0" w:color="000000"/>
              <w:right w:val="single" w:sz="4" w:space="0" w:color="000000"/>
            </w:tcBorders>
          </w:tcPr>
          <w:p>
            <w:pPr>
              <w:pStyle w:val="TableParagraph"/>
              <w:spacing w:before="31"/>
              <w:ind w:left="119"/>
              <w:rPr>
                <w:sz w:val="20"/>
              </w:rPr>
            </w:pPr>
            <w:r>
              <w:rPr>
                <w:sz w:val="20"/>
              </w:rPr>
              <w:t>16.2%</w:t>
            </w:r>
            <w:r>
              <w:rPr>
                <w:spacing w:val="-7"/>
                <w:sz w:val="20"/>
              </w:rPr>
              <w:t> </w:t>
            </w:r>
            <w:r>
              <w:rPr>
                <w:spacing w:val="-2"/>
                <w:sz w:val="20"/>
              </w:rPr>
              <w:t>(13yr)</w:t>
            </w:r>
          </w:p>
        </w:tc>
        <w:tc>
          <w:tcPr>
            <w:tcW w:w="2521" w:type="dxa"/>
            <w:tcBorders>
              <w:left w:val="single" w:sz="4" w:space="0" w:color="000000"/>
            </w:tcBorders>
          </w:tcPr>
          <w:p>
            <w:pPr>
              <w:pStyle w:val="TableParagraph"/>
              <w:spacing w:before="31"/>
              <w:ind w:left="119"/>
              <w:rPr>
                <w:sz w:val="20"/>
              </w:rPr>
            </w:pPr>
            <w:r>
              <w:rPr>
                <w:spacing w:val="-2"/>
                <w:sz w:val="20"/>
              </w:rPr>
              <w:t>92.3%</w:t>
            </w:r>
          </w:p>
        </w:tc>
      </w:tr>
      <w:tr>
        <w:trPr>
          <w:trHeight w:val="888" w:hRule="atLeast"/>
        </w:trPr>
        <w:tc>
          <w:tcPr>
            <w:tcW w:w="797" w:type="dxa"/>
            <w:tcBorders>
              <w:right w:val="single" w:sz="4" w:space="0" w:color="000000"/>
            </w:tcBorders>
          </w:tcPr>
          <w:p>
            <w:pPr>
              <w:pStyle w:val="TableParagraph"/>
              <w:spacing w:before="151"/>
              <w:rPr>
                <w:sz w:val="20"/>
              </w:rPr>
            </w:pPr>
          </w:p>
          <w:p>
            <w:pPr>
              <w:pStyle w:val="TableParagraph"/>
              <w:spacing w:before="0"/>
              <w:ind w:left="1"/>
              <w:jc w:val="center"/>
              <w:rPr>
                <w:sz w:val="20"/>
              </w:rPr>
            </w:pPr>
            <w:r>
              <w:rPr>
                <w:spacing w:val="-6"/>
                <w:sz w:val="20"/>
              </w:rPr>
              <w:t>RVV</w:t>
            </w:r>
            <w:r>
              <w:rPr>
                <w:spacing w:val="-4"/>
                <w:sz w:val="20"/>
              </w:rPr>
              <w:t> </w:t>
            </w:r>
            <w:r>
              <w:rPr>
                <w:spacing w:val="-10"/>
                <w:sz w:val="20"/>
              </w:rPr>
              <w:t>2</w:t>
            </w:r>
          </w:p>
        </w:tc>
        <w:tc>
          <w:tcPr>
            <w:tcW w:w="2798" w:type="dxa"/>
            <w:vMerge/>
            <w:tcBorders>
              <w:top w:val="nil"/>
              <w:left w:val="single" w:sz="4" w:space="0" w:color="000000"/>
              <w:bottom w:val="single" w:sz="8" w:space="0" w:color="000000"/>
              <w:right w:val="single" w:sz="4" w:space="0" w:color="000000"/>
            </w:tcBorders>
          </w:tcPr>
          <w:p>
            <w:pPr>
              <w:rPr>
                <w:sz w:val="2"/>
                <w:szCs w:val="2"/>
              </w:rPr>
            </w:pPr>
          </w:p>
        </w:tc>
        <w:tc>
          <w:tcPr>
            <w:tcW w:w="1077" w:type="dxa"/>
            <w:tcBorders>
              <w:left w:val="single" w:sz="4" w:space="0" w:color="000000"/>
              <w:right w:val="single" w:sz="4" w:space="0" w:color="000000"/>
            </w:tcBorders>
          </w:tcPr>
          <w:p>
            <w:pPr>
              <w:pStyle w:val="TableParagraph"/>
              <w:spacing w:before="151"/>
              <w:rPr>
                <w:sz w:val="20"/>
              </w:rPr>
            </w:pPr>
          </w:p>
          <w:p>
            <w:pPr>
              <w:pStyle w:val="TableParagraph"/>
              <w:spacing w:before="0"/>
              <w:ind w:left="118"/>
              <w:rPr>
                <w:sz w:val="20"/>
              </w:rPr>
            </w:pPr>
            <w:r>
              <w:rPr>
                <w:spacing w:val="-2"/>
                <w:sz w:val="20"/>
              </w:rPr>
              <w:t>MEDIUM</w:t>
            </w:r>
          </w:p>
        </w:tc>
        <w:tc>
          <w:tcPr>
            <w:tcW w:w="1309" w:type="dxa"/>
            <w:tcBorders>
              <w:left w:val="single" w:sz="4" w:space="0" w:color="000000"/>
              <w:right w:val="single" w:sz="4" w:space="0" w:color="000000"/>
            </w:tcBorders>
          </w:tcPr>
          <w:p>
            <w:pPr>
              <w:pStyle w:val="TableParagraph"/>
              <w:spacing w:before="151"/>
              <w:rPr>
                <w:sz w:val="20"/>
              </w:rPr>
            </w:pPr>
          </w:p>
          <w:p>
            <w:pPr>
              <w:pStyle w:val="TableParagraph"/>
              <w:spacing w:before="0"/>
              <w:ind w:left="119"/>
              <w:rPr>
                <w:sz w:val="20"/>
              </w:rPr>
            </w:pPr>
            <w:r>
              <w:rPr>
                <w:sz w:val="20"/>
              </w:rPr>
              <w:t>11.2%</w:t>
            </w:r>
            <w:r>
              <w:rPr>
                <w:spacing w:val="-7"/>
                <w:sz w:val="20"/>
              </w:rPr>
              <w:t> </w:t>
            </w:r>
            <w:r>
              <w:rPr>
                <w:spacing w:val="-2"/>
                <w:sz w:val="20"/>
              </w:rPr>
              <w:t>(9yr)</w:t>
            </w:r>
          </w:p>
        </w:tc>
        <w:tc>
          <w:tcPr>
            <w:tcW w:w="2521" w:type="dxa"/>
            <w:tcBorders>
              <w:left w:val="single" w:sz="4" w:space="0" w:color="000000"/>
            </w:tcBorders>
          </w:tcPr>
          <w:p>
            <w:pPr>
              <w:pStyle w:val="TableParagraph"/>
              <w:spacing w:before="151"/>
              <w:rPr>
                <w:sz w:val="20"/>
              </w:rPr>
            </w:pPr>
          </w:p>
          <w:p>
            <w:pPr>
              <w:pStyle w:val="TableParagraph"/>
              <w:spacing w:before="0"/>
              <w:ind w:left="119"/>
              <w:rPr>
                <w:sz w:val="20"/>
              </w:rPr>
            </w:pPr>
            <w:r>
              <w:rPr>
                <w:spacing w:val="-2"/>
                <w:sz w:val="20"/>
              </w:rPr>
              <w:t>88.9%</w:t>
            </w:r>
          </w:p>
        </w:tc>
      </w:tr>
      <w:tr>
        <w:trPr>
          <w:trHeight w:val="769" w:hRule="atLeast"/>
        </w:trPr>
        <w:tc>
          <w:tcPr>
            <w:tcW w:w="797" w:type="dxa"/>
            <w:tcBorders>
              <w:right w:val="single" w:sz="4" w:space="0" w:color="000000"/>
            </w:tcBorders>
          </w:tcPr>
          <w:p>
            <w:pPr>
              <w:pStyle w:val="TableParagraph"/>
              <w:spacing w:before="31"/>
              <w:rPr>
                <w:sz w:val="20"/>
              </w:rPr>
            </w:pPr>
          </w:p>
          <w:p>
            <w:pPr>
              <w:pStyle w:val="TableParagraph"/>
              <w:spacing w:before="1"/>
              <w:ind w:left="1"/>
              <w:jc w:val="center"/>
              <w:rPr>
                <w:sz w:val="20"/>
              </w:rPr>
            </w:pPr>
            <w:r>
              <w:rPr>
                <w:spacing w:val="-6"/>
                <w:sz w:val="20"/>
              </w:rPr>
              <w:t>RVV</w:t>
            </w:r>
            <w:r>
              <w:rPr>
                <w:spacing w:val="-4"/>
                <w:sz w:val="20"/>
              </w:rPr>
              <w:t> </w:t>
            </w:r>
            <w:r>
              <w:rPr>
                <w:spacing w:val="-10"/>
                <w:sz w:val="20"/>
              </w:rPr>
              <w:t>3</w:t>
            </w:r>
          </w:p>
        </w:tc>
        <w:tc>
          <w:tcPr>
            <w:tcW w:w="2798" w:type="dxa"/>
            <w:vMerge/>
            <w:tcBorders>
              <w:top w:val="nil"/>
              <w:left w:val="single" w:sz="4" w:space="0" w:color="000000"/>
              <w:bottom w:val="single" w:sz="8" w:space="0" w:color="000000"/>
              <w:right w:val="single" w:sz="4" w:space="0" w:color="000000"/>
            </w:tcBorders>
          </w:tcPr>
          <w:p>
            <w:pPr>
              <w:rPr>
                <w:sz w:val="2"/>
                <w:szCs w:val="2"/>
              </w:rPr>
            </w:pPr>
          </w:p>
        </w:tc>
        <w:tc>
          <w:tcPr>
            <w:tcW w:w="1077" w:type="dxa"/>
            <w:tcBorders>
              <w:left w:val="single" w:sz="4" w:space="0" w:color="000000"/>
              <w:right w:val="single" w:sz="4" w:space="0" w:color="000000"/>
            </w:tcBorders>
          </w:tcPr>
          <w:p>
            <w:pPr>
              <w:pStyle w:val="TableParagraph"/>
              <w:spacing w:before="31"/>
              <w:rPr>
                <w:sz w:val="20"/>
              </w:rPr>
            </w:pPr>
          </w:p>
          <w:p>
            <w:pPr>
              <w:pStyle w:val="TableParagraph"/>
              <w:spacing w:before="1"/>
              <w:ind w:left="118"/>
              <w:rPr>
                <w:sz w:val="20"/>
              </w:rPr>
            </w:pPr>
            <w:r>
              <w:rPr>
                <w:spacing w:val="-4"/>
                <w:sz w:val="20"/>
              </w:rPr>
              <w:t>HIGH</w:t>
            </w:r>
          </w:p>
        </w:tc>
        <w:tc>
          <w:tcPr>
            <w:tcW w:w="1309" w:type="dxa"/>
            <w:tcBorders>
              <w:left w:val="single" w:sz="4" w:space="0" w:color="000000"/>
              <w:right w:val="single" w:sz="4" w:space="0" w:color="000000"/>
            </w:tcBorders>
          </w:tcPr>
          <w:p>
            <w:pPr>
              <w:pStyle w:val="TableParagraph"/>
              <w:spacing w:before="31"/>
              <w:rPr>
                <w:sz w:val="20"/>
              </w:rPr>
            </w:pPr>
          </w:p>
          <w:p>
            <w:pPr>
              <w:pStyle w:val="TableParagraph"/>
              <w:spacing w:before="1"/>
              <w:ind w:left="119"/>
              <w:rPr>
                <w:sz w:val="20"/>
              </w:rPr>
            </w:pPr>
            <w:r>
              <w:rPr>
                <w:sz w:val="20"/>
              </w:rPr>
              <w:t>26.2%</w:t>
            </w:r>
            <w:r>
              <w:rPr>
                <w:spacing w:val="-7"/>
                <w:sz w:val="20"/>
              </w:rPr>
              <w:t> </w:t>
            </w:r>
            <w:r>
              <w:rPr>
                <w:spacing w:val="-2"/>
                <w:sz w:val="20"/>
              </w:rPr>
              <w:t>(21yr)</w:t>
            </w:r>
          </w:p>
        </w:tc>
        <w:tc>
          <w:tcPr>
            <w:tcW w:w="2521" w:type="dxa"/>
            <w:tcBorders>
              <w:left w:val="single" w:sz="4" w:space="0" w:color="000000"/>
            </w:tcBorders>
          </w:tcPr>
          <w:p>
            <w:pPr>
              <w:pStyle w:val="TableParagraph"/>
              <w:spacing w:before="31"/>
              <w:rPr>
                <w:sz w:val="20"/>
              </w:rPr>
            </w:pPr>
          </w:p>
          <w:p>
            <w:pPr>
              <w:pStyle w:val="TableParagraph"/>
              <w:spacing w:before="1"/>
              <w:ind w:left="119"/>
              <w:rPr>
                <w:sz w:val="20"/>
              </w:rPr>
            </w:pPr>
            <w:r>
              <w:rPr>
                <w:spacing w:val="-2"/>
                <w:sz w:val="20"/>
              </w:rPr>
              <w:t>85.7%</w:t>
            </w:r>
          </w:p>
        </w:tc>
      </w:tr>
      <w:tr>
        <w:trPr>
          <w:trHeight w:val="578" w:hRule="atLeast"/>
        </w:trPr>
        <w:tc>
          <w:tcPr>
            <w:tcW w:w="797" w:type="dxa"/>
            <w:tcBorders>
              <w:bottom w:val="single" w:sz="8" w:space="0" w:color="000000"/>
              <w:right w:val="single" w:sz="4" w:space="0" w:color="000000"/>
            </w:tcBorders>
          </w:tcPr>
          <w:p>
            <w:pPr>
              <w:pStyle w:val="TableParagraph"/>
              <w:spacing w:before="31"/>
              <w:rPr>
                <w:sz w:val="20"/>
              </w:rPr>
            </w:pPr>
          </w:p>
          <w:p>
            <w:pPr>
              <w:pStyle w:val="TableParagraph"/>
              <w:spacing w:before="1"/>
              <w:ind w:left="1"/>
              <w:jc w:val="center"/>
              <w:rPr>
                <w:sz w:val="20"/>
              </w:rPr>
            </w:pPr>
            <w:r>
              <w:rPr>
                <w:spacing w:val="-6"/>
                <w:sz w:val="20"/>
              </w:rPr>
              <w:t>RVV</w:t>
            </w:r>
            <w:r>
              <w:rPr>
                <w:spacing w:val="-4"/>
                <w:sz w:val="20"/>
              </w:rPr>
              <w:t> </w:t>
            </w:r>
            <w:r>
              <w:rPr>
                <w:spacing w:val="-10"/>
                <w:sz w:val="20"/>
              </w:rPr>
              <w:t>4</w:t>
            </w:r>
          </w:p>
        </w:tc>
        <w:tc>
          <w:tcPr>
            <w:tcW w:w="2798" w:type="dxa"/>
            <w:vMerge/>
            <w:tcBorders>
              <w:top w:val="nil"/>
              <w:left w:val="single" w:sz="4" w:space="0" w:color="000000"/>
              <w:bottom w:val="single" w:sz="8" w:space="0" w:color="000000"/>
              <w:right w:val="single" w:sz="4" w:space="0" w:color="000000"/>
            </w:tcBorders>
          </w:tcPr>
          <w:p>
            <w:pPr>
              <w:rPr>
                <w:sz w:val="2"/>
                <w:szCs w:val="2"/>
              </w:rPr>
            </w:pPr>
          </w:p>
        </w:tc>
        <w:tc>
          <w:tcPr>
            <w:tcW w:w="1077" w:type="dxa"/>
            <w:tcBorders>
              <w:left w:val="single" w:sz="4" w:space="0" w:color="000000"/>
              <w:bottom w:val="single" w:sz="8" w:space="0" w:color="000000"/>
              <w:right w:val="single" w:sz="4" w:space="0" w:color="000000"/>
            </w:tcBorders>
          </w:tcPr>
          <w:p>
            <w:pPr>
              <w:pStyle w:val="TableParagraph"/>
              <w:spacing w:before="31"/>
              <w:rPr>
                <w:sz w:val="20"/>
              </w:rPr>
            </w:pPr>
          </w:p>
          <w:p>
            <w:pPr>
              <w:pStyle w:val="TableParagraph"/>
              <w:spacing w:before="1"/>
              <w:ind w:left="118"/>
              <w:rPr>
                <w:sz w:val="20"/>
              </w:rPr>
            </w:pPr>
            <w:r>
              <w:rPr>
                <w:spacing w:val="-5"/>
                <w:sz w:val="20"/>
              </w:rPr>
              <w:t>LOW</w:t>
            </w:r>
          </w:p>
        </w:tc>
        <w:tc>
          <w:tcPr>
            <w:tcW w:w="1309" w:type="dxa"/>
            <w:tcBorders>
              <w:left w:val="single" w:sz="4" w:space="0" w:color="000000"/>
              <w:bottom w:val="single" w:sz="8" w:space="0" w:color="000000"/>
              <w:right w:val="single" w:sz="4" w:space="0" w:color="000000"/>
            </w:tcBorders>
          </w:tcPr>
          <w:p>
            <w:pPr>
              <w:pStyle w:val="TableParagraph"/>
              <w:spacing w:before="31"/>
              <w:rPr>
                <w:sz w:val="20"/>
              </w:rPr>
            </w:pPr>
          </w:p>
          <w:p>
            <w:pPr>
              <w:pStyle w:val="TableParagraph"/>
              <w:spacing w:before="1"/>
              <w:ind w:left="119"/>
              <w:rPr>
                <w:sz w:val="20"/>
              </w:rPr>
            </w:pPr>
            <w:r>
              <w:rPr>
                <w:spacing w:val="-10"/>
                <w:sz w:val="20"/>
              </w:rPr>
              <w:t>—</w:t>
            </w:r>
          </w:p>
        </w:tc>
        <w:tc>
          <w:tcPr>
            <w:tcW w:w="2521" w:type="dxa"/>
            <w:tcBorders>
              <w:left w:val="single" w:sz="4" w:space="0" w:color="000000"/>
              <w:bottom w:val="single" w:sz="8" w:space="0" w:color="000000"/>
            </w:tcBorders>
          </w:tcPr>
          <w:p>
            <w:pPr>
              <w:pStyle w:val="TableParagraph"/>
              <w:spacing w:before="31"/>
              <w:rPr>
                <w:sz w:val="20"/>
              </w:rPr>
            </w:pPr>
          </w:p>
          <w:p>
            <w:pPr>
              <w:pStyle w:val="TableParagraph"/>
              <w:spacing w:before="1"/>
              <w:ind w:left="119"/>
              <w:rPr>
                <w:sz w:val="20"/>
              </w:rPr>
            </w:pPr>
            <w:r>
              <w:rPr>
                <w:spacing w:val="-10"/>
                <w:sz w:val="20"/>
              </w:rPr>
              <w:t>—</w:t>
            </w:r>
          </w:p>
        </w:tc>
      </w:tr>
    </w:tbl>
    <w:p>
      <w:pPr>
        <w:pStyle w:val="BodyText"/>
        <w:spacing w:before="207"/>
        <w:rPr>
          <w:sz w:val="20"/>
        </w:rPr>
      </w:pPr>
    </w:p>
    <w:p>
      <w:pPr>
        <w:pStyle w:val="BodyText"/>
        <w:spacing w:line="312" w:lineRule="auto"/>
        <w:ind w:left="136" w:right="1521" w:firstLine="344"/>
        <w:jc w:val="both"/>
      </w:pPr>
      <w:r>
        <w:rPr/>
        <w:t>RIPPER</w:t>
      </w:r>
      <w:r>
        <w:rPr>
          <w:spacing w:val="-2"/>
        </w:rPr>
        <w:t> </w:t>
      </w:r>
      <w:r>
        <w:rPr/>
        <w:t>selects</w:t>
      </w:r>
      <w:r>
        <w:rPr>
          <w:spacing w:val="-2"/>
        </w:rPr>
        <w:t> </w:t>
      </w:r>
      <w:r>
        <w:rPr/>
        <w:t>harvest</w:t>
      </w:r>
      <w:r>
        <w:rPr>
          <w:spacing w:val="-2"/>
        </w:rPr>
        <w:t> </w:t>
      </w:r>
      <w:r>
        <w:rPr/>
        <w:t>temperature</w:t>
      </w:r>
      <w:r>
        <w:rPr>
          <w:spacing w:val="-2"/>
        </w:rPr>
        <w:t> </w:t>
      </w:r>
      <w:r>
        <w:rPr/>
        <w:t>(RDD</w:t>
      </w:r>
      <w:r>
        <w:rPr>
          <w:spacing w:val="-2"/>
        </w:rPr>
        <w:t> </w:t>
      </w:r>
      <w:r>
        <w:rPr/>
        <w:t>Rules</w:t>
      </w:r>
      <w:r>
        <w:rPr>
          <w:spacing w:val="-2"/>
        </w:rPr>
        <w:t> </w:t>
      </w:r>
      <w:r>
        <w:rPr/>
        <w:t>1–3),</w:t>
      </w:r>
      <w:r>
        <w:rPr>
          <w:spacing w:val="-2"/>
        </w:rPr>
        <w:t> </w:t>
      </w:r>
      <w:r>
        <w:rPr/>
        <w:t>LAI</w:t>
      </w:r>
      <w:r>
        <w:rPr>
          <w:spacing w:val="-2"/>
        </w:rPr>
        <w:t> </w:t>
      </w:r>
      <w:r>
        <w:rPr/>
        <w:t>at</w:t>
      </w:r>
      <w:r>
        <w:rPr>
          <w:spacing w:val="-2"/>
        </w:rPr>
        <w:t> </w:t>
      </w:r>
      <w:r>
        <w:rPr/>
        <w:t>budburst</w:t>
      </w:r>
      <w:r>
        <w:rPr>
          <w:spacing w:val="-2"/>
        </w:rPr>
        <w:t> </w:t>
      </w:r>
      <w:r>
        <w:rPr/>
        <w:t>and</w:t>
      </w:r>
      <w:r>
        <w:rPr>
          <w:spacing w:val="-2"/>
        </w:rPr>
        <w:t> </w:t>
      </w:r>
      <w:r>
        <w:rPr/>
        <w:t>flowering</w:t>
      </w:r>
      <w:r>
        <w:rPr>
          <w:spacing w:val="-2"/>
        </w:rPr>
        <w:t> </w:t>
      </w:r>
      <w:r>
        <w:rPr/>
        <w:t>(RDD </w:t>
      </w:r>
      <w:r>
        <w:rPr>
          <w:spacing w:val="-2"/>
        </w:rPr>
        <w:t>Rule</w:t>
      </w:r>
      <w:r>
        <w:rPr>
          <w:spacing w:val="-9"/>
        </w:rPr>
        <w:t> </w:t>
      </w:r>
      <w:r>
        <w:rPr>
          <w:spacing w:val="-2"/>
        </w:rPr>
        <w:t>2,</w:t>
      </w:r>
      <w:r>
        <w:rPr>
          <w:spacing w:val="-9"/>
        </w:rPr>
        <w:t> </w:t>
      </w:r>
      <w:r>
        <w:rPr>
          <w:spacing w:val="-2"/>
        </w:rPr>
        <w:t>RVV</w:t>
      </w:r>
      <w:r>
        <w:rPr>
          <w:spacing w:val="-9"/>
        </w:rPr>
        <w:t> </w:t>
      </w:r>
      <w:r>
        <w:rPr>
          <w:spacing w:val="-2"/>
        </w:rPr>
        <w:t>Rules</w:t>
      </w:r>
      <w:r>
        <w:rPr>
          <w:spacing w:val="-9"/>
        </w:rPr>
        <w:t> </w:t>
      </w:r>
      <w:r>
        <w:rPr>
          <w:spacing w:val="-2"/>
        </w:rPr>
        <w:t>1–2),</w:t>
      </w:r>
      <w:r>
        <w:rPr>
          <w:spacing w:val="-9"/>
        </w:rPr>
        <w:t> </w:t>
      </w:r>
      <w:r>
        <w:rPr>
          <w:spacing w:val="-2"/>
        </w:rPr>
        <w:t>and</w:t>
      </w:r>
      <w:r>
        <w:rPr>
          <w:spacing w:val="-9"/>
        </w:rPr>
        <w:t> </w:t>
      </w:r>
      <w:r>
        <w:rPr>
          <w:spacing w:val="-2"/>
        </w:rPr>
        <w:t>soil</w:t>
      </w:r>
      <w:r>
        <w:rPr>
          <w:spacing w:val="-9"/>
        </w:rPr>
        <w:t> </w:t>
      </w:r>
      <w:r>
        <w:rPr>
          <w:spacing w:val="-2"/>
        </w:rPr>
        <w:t>water</w:t>
      </w:r>
      <w:r>
        <w:rPr>
          <w:spacing w:val="-9"/>
        </w:rPr>
        <w:t> </w:t>
      </w:r>
      <w:r>
        <w:rPr>
          <w:spacing w:val="-2"/>
        </w:rPr>
        <w:t>/</w:t>
      </w:r>
      <w:r>
        <w:rPr>
          <w:spacing w:val="-9"/>
        </w:rPr>
        <w:t> </w:t>
      </w:r>
      <w:r>
        <w:rPr>
          <w:spacing w:val="-2"/>
        </w:rPr>
        <w:t>rainfall</w:t>
      </w:r>
      <w:r>
        <w:rPr>
          <w:spacing w:val="-9"/>
        </w:rPr>
        <w:t> </w:t>
      </w:r>
      <w:r>
        <w:rPr>
          <w:spacing w:val="-2"/>
        </w:rPr>
        <w:t>at</w:t>
      </w:r>
      <w:r>
        <w:rPr>
          <w:spacing w:val="-9"/>
        </w:rPr>
        <w:t> </w:t>
      </w:r>
      <w:r>
        <w:rPr>
          <w:spacing w:val="-2"/>
        </w:rPr>
        <w:t>flowering</w:t>
      </w:r>
      <w:r>
        <w:rPr>
          <w:spacing w:val="-9"/>
        </w:rPr>
        <w:t> </w:t>
      </w:r>
      <w:r>
        <w:rPr>
          <w:spacing w:val="-2"/>
        </w:rPr>
        <w:t>(RVV</w:t>
      </w:r>
      <w:r>
        <w:rPr>
          <w:spacing w:val="-9"/>
        </w:rPr>
        <w:t> </w:t>
      </w:r>
      <w:r>
        <w:rPr>
          <w:spacing w:val="-2"/>
        </w:rPr>
        <w:t>Rules</w:t>
      </w:r>
      <w:r>
        <w:rPr>
          <w:spacing w:val="-9"/>
        </w:rPr>
        <w:t> </w:t>
      </w:r>
      <w:r>
        <w:rPr>
          <w:spacing w:val="-2"/>
        </w:rPr>
        <w:t>1,</w:t>
      </w:r>
      <w:r>
        <w:rPr>
          <w:spacing w:val="-9"/>
        </w:rPr>
        <w:t> </w:t>
      </w:r>
      <w:r>
        <w:rPr>
          <w:spacing w:val="-2"/>
        </w:rPr>
        <w:t>3),</w:t>
      </w:r>
      <w:r>
        <w:rPr>
          <w:spacing w:val="-9"/>
        </w:rPr>
        <w:t> </w:t>
      </w:r>
      <w:r>
        <w:rPr>
          <w:spacing w:val="-2"/>
        </w:rPr>
        <w:t>all</w:t>
      </w:r>
      <w:r>
        <w:rPr>
          <w:spacing w:val="-9"/>
        </w:rPr>
        <w:t> </w:t>
      </w:r>
      <w:r>
        <w:rPr>
          <w:spacing w:val="-2"/>
        </w:rPr>
        <w:t>within</w:t>
      </w:r>
      <w:r>
        <w:rPr>
          <w:spacing w:val="-9"/>
        </w:rPr>
        <w:t> </w:t>
      </w:r>
      <w:r>
        <w:rPr>
          <w:spacing w:val="-2"/>
        </w:rPr>
        <w:t>the</w:t>
      </w:r>
      <w:r>
        <w:rPr>
          <w:spacing w:val="-9"/>
        </w:rPr>
        <w:t> </w:t>
      </w:r>
      <w:r>
        <w:rPr>
          <w:spacing w:val="-2"/>
        </w:rPr>
        <w:t>same </w:t>
      </w:r>
      <w:r>
        <w:rPr/>
        <w:t>variable families identified by CarenR. This cross-algorithm convergence under a classification-based criterion is the key finding: the same variables are deemed informative whether the task is formulated</w:t>
      </w:r>
      <w:r>
        <w:rPr>
          <w:spacing w:val="-11"/>
        </w:rPr>
        <w:t> </w:t>
      </w:r>
      <w:r>
        <w:rPr/>
        <w:t>as</w:t>
      </w:r>
      <w:r>
        <w:rPr>
          <w:spacing w:val="-11"/>
        </w:rPr>
        <w:t> </w:t>
      </w:r>
      <w:r>
        <w:rPr/>
        <w:t>“find</w:t>
      </w:r>
      <w:r>
        <w:rPr>
          <w:spacing w:val="-11"/>
        </w:rPr>
        <w:t> </w:t>
      </w:r>
      <w:r>
        <w:rPr/>
        <w:t>distributional</w:t>
      </w:r>
      <w:r>
        <w:rPr>
          <w:spacing w:val="-11"/>
        </w:rPr>
        <w:t> </w:t>
      </w:r>
      <w:r>
        <w:rPr/>
        <w:t>shift”</w:t>
      </w:r>
      <w:r>
        <w:rPr>
          <w:spacing w:val="-11"/>
        </w:rPr>
        <w:t> </w:t>
      </w:r>
      <w:r>
        <w:rPr/>
        <w:t>(CarenR)</w:t>
      </w:r>
      <w:r>
        <w:rPr>
          <w:spacing w:val="-11"/>
        </w:rPr>
        <w:t> </w:t>
      </w:r>
      <w:r>
        <w:rPr/>
        <w:t>or</w:t>
      </w:r>
      <w:r>
        <w:rPr>
          <w:spacing w:val="-11"/>
        </w:rPr>
        <w:t> </w:t>
      </w:r>
      <w:r>
        <w:rPr/>
        <w:t>“find</w:t>
      </w:r>
      <w:r>
        <w:rPr>
          <w:spacing w:val="-11"/>
        </w:rPr>
        <w:t> </w:t>
      </w:r>
      <w:r>
        <w:rPr/>
        <w:t>class-separating</w:t>
      </w:r>
      <w:r>
        <w:rPr>
          <w:spacing w:val="-11"/>
        </w:rPr>
        <w:t> </w:t>
      </w:r>
      <w:r>
        <w:rPr/>
        <w:t>thresholds”</w:t>
      </w:r>
      <w:r>
        <w:rPr>
          <w:spacing w:val="-11"/>
        </w:rPr>
        <w:t> </w:t>
      </w:r>
      <w:r>
        <w:rPr/>
        <w:t>(RIPPER), supporting the interpretation that these variables carry genuine structure in the data.</w:t>
      </w:r>
    </w:p>
    <w:p>
      <w:pPr>
        <w:pStyle w:val="BodyText"/>
        <w:spacing w:before="185"/>
      </w:pPr>
    </w:p>
    <w:p>
      <w:pPr>
        <w:pStyle w:val="Heading2"/>
        <w:numPr>
          <w:ilvl w:val="1"/>
          <w:numId w:val="18"/>
        </w:numPr>
        <w:tabs>
          <w:tab w:pos="787" w:val="left" w:leader="none"/>
        </w:tabs>
        <w:spacing w:line="240" w:lineRule="auto" w:before="0" w:after="0"/>
        <w:ind w:left="787" w:right="0" w:hanging="645"/>
        <w:jc w:val="left"/>
      </w:pPr>
      <w:bookmarkStart w:name="4.4 M5Rules: Piecewise Linear Models and" w:id="144"/>
      <w:bookmarkEnd w:id="144"/>
      <w:r>
        <w:rPr>
          <w:b w:val="0"/>
        </w:rPr>
      </w:r>
      <w:bookmarkStart w:name="_bookmark81" w:id="145"/>
      <w:bookmarkEnd w:id="145"/>
      <w:r>
        <w:rPr>
          <w:b w:val="0"/>
        </w:rPr>
      </w:r>
      <w:r>
        <w:rPr/>
        <w:t>M5Rules:</w:t>
      </w:r>
      <w:r>
        <w:rPr>
          <w:spacing w:val="11"/>
        </w:rPr>
        <w:t> </w:t>
      </w:r>
      <w:r>
        <w:rPr/>
        <w:t>Piecewise</w:t>
      </w:r>
      <w:r>
        <w:rPr>
          <w:spacing w:val="-9"/>
        </w:rPr>
        <w:t> </w:t>
      </w:r>
      <w:r>
        <w:rPr/>
        <w:t>Linear</w:t>
      </w:r>
      <w:r>
        <w:rPr>
          <w:spacing w:val="-10"/>
        </w:rPr>
        <w:t> </w:t>
      </w:r>
      <w:r>
        <w:rPr/>
        <w:t>Models</w:t>
      </w:r>
      <w:r>
        <w:rPr>
          <w:spacing w:val="-9"/>
        </w:rPr>
        <w:t> </w:t>
      </w:r>
      <w:r>
        <w:rPr/>
        <w:t>and</w:t>
      </w:r>
      <w:r>
        <w:rPr>
          <w:spacing w:val="-10"/>
        </w:rPr>
        <w:t> </w:t>
      </w:r>
      <w:r>
        <w:rPr/>
        <w:t>Coefficient</w:t>
      </w:r>
      <w:r>
        <w:rPr>
          <w:spacing w:val="-10"/>
        </w:rPr>
        <w:t> </w:t>
      </w:r>
      <w:r>
        <w:rPr>
          <w:spacing w:val="-2"/>
        </w:rPr>
        <w:t>Interpretation</w:t>
      </w:r>
    </w:p>
    <w:p>
      <w:pPr>
        <w:pStyle w:val="BodyText"/>
        <w:spacing w:line="312" w:lineRule="auto" w:before="304"/>
        <w:ind w:left="142" w:right="1529"/>
        <w:jc w:val="both"/>
      </w:pPr>
      <w:r>
        <w:rPr/>
        <w:t>M5Rules</w:t>
      </w:r>
      <w:r>
        <w:rPr>
          <w:spacing w:val="-4"/>
        </w:rPr>
        <w:t> </w:t>
      </w:r>
      <w:r>
        <w:rPr/>
        <w:t>collapsed</w:t>
      </w:r>
      <w:r>
        <w:rPr>
          <w:spacing w:val="-4"/>
        </w:rPr>
        <w:t> </w:t>
      </w:r>
      <w:r>
        <w:rPr/>
        <w:t>to</w:t>
      </w:r>
      <w:r>
        <w:rPr>
          <w:spacing w:val="-4"/>
        </w:rPr>
        <w:t> </w:t>
      </w:r>
      <w:r>
        <w:rPr/>
        <w:t>global</w:t>
      </w:r>
      <w:r>
        <w:rPr>
          <w:spacing w:val="-4"/>
        </w:rPr>
        <w:t> </w:t>
      </w:r>
      <w:r>
        <w:rPr/>
        <w:t>linear</w:t>
      </w:r>
      <w:r>
        <w:rPr>
          <w:spacing w:val="-4"/>
        </w:rPr>
        <w:t> </w:t>
      </w:r>
      <w:r>
        <w:rPr/>
        <w:t>models</w:t>
      </w:r>
      <w:r>
        <w:rPr>
          <w:spacing w:val="-4"/>
        </w:rPr>
        <w:t> </w:t>
      </w:r>
      <w:r>
        <w:rPr/>
        <w:t>in</w:t>
      </w:r>
      <w:r>
        <w:rPr>
          <w:spacing w:val="-4"/>
        </w:rPr>
        <w:t> </w:t>
      </w:r>
      <w:r>
        <w:rPr/>
        <w:t>both</w:t>
      </w:r>
      <w:r>
        <w:rPr>
          <w:spacing w:val="-4"/>
        </w:rPr>
        <w:t> </w:t>
      </w:r>
      <w:r>
        <w:rPr/>
        <w:t>regions</w:t>
      </w:r>
      <w:r>
        <w:rPr>
          <w:spacing w:val="-4"/>
        </w:rPr>
        <w:t> </w:t>
      </w:r>
      <w:r>
        <w:rPr/>
        <w:t>(no</w:t>
      </w:r>
      <w:r>
        <w:rPr>
          <w:spacing w:val="-4"/>
        </w:rPr>
        <w:t> </w:t>
      </w:r>
      <w:r>
        <w:rPr/>
        <w:t>beneficial</w:t>
      </w:r>
      <w:r>
        <w:rPr>
          <w:spacing w:val="-4"/>
        </w:rPr>
        <w:t> </w:t>
      </w:r>
      <w:r>
        <w:rPr/>
        <w:t>split</w:t>
      </w:r>
      <w:r>
        <w:rPr>
          <w:spacing w:val="-4"/>
        </w:rPr>
        <w:t> </w:t>
      </w:r>
      <w:r>
        <w:rPr/>
        <w:t>found</w:t>
      </w:r>
      <w:r>
        <w:rPr>
          <w:spacing w:val="-4"/>
        </w:rPr>
        <w:t> </w:t>
      </w:r>
      <w:r>
        <w:rPr/>
        <w:t>at</w:t>
      </w:r>
      <w:r>
        <w:rPr>
          <w:spacing w:val="-4"/>
        </w:rPr>
        <w:t> </w:t>
      </w:r>
      <w:r>
        <w:rPr/>
        <w:t>minimum leaf size 4), producing 2 rules for RDD and 3 for RVV. CV R</w:t>
      </w:r>
      <w:r>
        <w:rPr>
          <w:vertAlign w:val="superscript"/>
        </w:rPr>
        <w:t>2</w:t>
      </w:r>
      <w:r>
        <w:rPr>
          <w:vertAlign w:val="baseline"/>
        </w:rPr>
        <w:t> = 0.004 (RDD), -0.07 (RVV), </w:t>
      </w:r>
      <w:r>
        <w:rPr>
          <w:spacing w:val="-4"/>
          <w:vertAlign w:val="baseline"/>
        </w:rPr>
        <w:t>confirming</w:t>
      </w:r>
      <w:r>
        <w:rPr>
          <w:spacing w:val="-6"/>
          <w:vertAlign w:val="baseline"/>
        </w:rPr>
        <w:t> </w:t>
      </w:r>
      <w:r>
        <w:rPr>
          <w:spacing w:val="-4"/>
          <w:vertAlign w:val="baseline"/>
        </w:rPr>
        <w:t>overfitting.</w:t>
      </w:r>
      <w:r>
        <w:rPr>
          <w:spacing w:val="15"/>
          <w:vertAlign w:val="baseline"/>
        </w:rPr>
        <w:t> </w:t>
      </w:r>
      <w:r>
        <w:rPr>
          <w:spacing w:val="-4"/>
          <w:vertAlign w:val="baseline"/>
        </w:rPr>
        <w:t>The</w:t>
      </w:r>
      <w:r>
        <w:rPr>
          <w:spacing w:val="-7"/>
          <w:vertAlign w:val="baseline"/>
        </w:rPr>
        <w:t> </w:t>
      </w:r>
      <w:r>
        <w:rPr>
          <w:spacing w:val="-4"/>
          <w:vertAlign w:val="baseline"/>
        </w:rPr>
        <w:t>evaluation</w:t>
      </w:r>
      <w:r>
        <w:rPr>
          <w:spacing w:val="-6"/>
          <w:vertAlign w:val="baseline"/>
        </w:rPr>
        <w:t> </w:t>
      </w:r>
      <w:r>
        <w:rPr>
          <w:spacing w:val="-4"/>
          <w:vertAlign w:val="baseline"/>
        </w:rPr>
        <w:t>question</w:t>
      </w:r>
      <w:r>
        <w:rPr>
          <w:spacing w:val="-6"/>
          <w:vertAlign w:val="baseline"/>
        </w:rPr>
        <w:t> </w:t>
      </w:r>
      <w:r>
        <w:rPr>
          <w:spacing w:val="-4"/>
          <w:vertAlign w:val="baseline"/>
        </w:rPr>
        <w:t>for</w:t>
      </w:r>
      <w:r>
        <w:rPr>
          <w:spacing w:val="-6"/>
          <w:vertAlign w:val="baseline"/>
        </w:rPr>
        <w:t> </w:t>
      </w:r>
      <w:r>
        <w:rPr>
          <w:spacing w:val="-4"/>
          <w:vertAlign w:val="baseline"/>
        </w:rPr>
        <w:t>M5Rules</w:t>
      </w:r>
      <w:r>
        <w:rPr>
          <w:spacing w:val="-7"/>
          <w:vertAlign w:val="baseline"/>
        </w:rPr>
        <w:t> </w:t>
      </w:r>
      <w:r>
        <w:rPr>
          <w:spacing w:val="-4"/>
          <w:vertAlign w:val="baseline"/>
        </w:rPr>
        <w:t>is</w:t>
      </w:r>
      <w:r>
        <w:rPr>
          <w:spacing w:val="-6"/>
          <w:vertAlign w:val="baseline"/>
        </w:rPr>
        <w:t> </w:t>
      </w:r>
      <w:r>
        <w:rPr>
          <w:spacing w:val="-4"/>
          <w:vertAlign w:val="baseline"/>
        </w:rPr>
        <w:t>again</w:t>
      </w:r>
      <w:r>
        <w:rPr>
          <w:spacing w:val="-6"/>
          <w:vertAlign w:val="baseline"/>
        </w:rPr>
        <w:t> </w:t>
      </w:r>
      <w:r>
        <w:rPr>
          <w:spacing w:val="-4"/>
          <w:vertAlign w:val="baseline"/>
        </w:rPr>
        <w:t>convergence:</w:t>
      </w:r>
      <w:r>
        <w:rPr>
          <w:spacing w:val="14"/>
          <w:vertAlign w:val="baseline"/>
        </w:rPr>
        <w:t> </w:t>
      </w:r>
      <w:r>
        <w:rPr>
          <w:spacing w:val="-4"/>
          <w:vertAlign w:val="baseline"/>
        </w:rPr>
        <w:t>do</w:t>
      </w:r>
      <w:r>
        <w:rPr>
          <w:spacing w:val="-7"/>
          <w:vertAlign w:val="baseline"/>
        </w:rPr>
        <w:t> </w:t>
      </w:r>
      <w:r>
        <w:rPr>
          <w:spacing w:val="-4"/>
          <w:vertAlign w:val="baseline"/>
        </w:rPr>
        <w:t>the</w:t>
      </w:r>
      <w:r>
        <w:rPr>
          <w:spacing w:val="-6"/>
          <w:vertAlign w:val="baseline"/>
        </w:rPr>
        <w:t> </w:t>
      </w:r>
      <w:r>
        <w:rPr>
          <w:spacing w:val="-4"/>
          <w:vertAlign w:val="baseline"/>
        </w:rPr>
        <w:t>regression </w:t>
      </w:r>
      <w:r>
        <w:rPr>
          <w:vertAlign w:val="baseline"/>
        </w:rPr>
        <w:t>coefficients of an MSE-minimising linear model point to the same variables, and in the same directions, as the KS-based distributional rules?</w:t>
      </w:r>
    </w:p>
    <w:p>
      <w:pPr>
        <w:pStyle w:val="BodyText"/>
        <w:spacing w:line="312" w:lineRule="auto" w:before="7"/>
        <w:ind w:left="135" w:right="1549" w:firstLine="345"/>
        <w:jc w:val="both"/>
      </w:pPr>
      <w:r>
        <w:rPr/>
        <w:t>The</w:t>
      </w:r>
      <w:r>
        <w:rPr>
          <w:spacing w:val="-14"/>
        </w:rPr>
        <w:t> </w:t>
      </w:r>
      <w:r>
        <w:rPr/>
        <w:t>swa_hv_y1_b20</w:t>
      </w:r>
      <w:r>
        <w:rPr>
          <w:spacing w:val="-13"/>
        </w:rPr>
        <w:t> </w:t>
      </w:r>
      <w:r>
        <w:rPr/>
        <w:t>coefficient</w:t>
      </w:r>
      <w:r>
        <w:rPr>
          <w:spacing w:val="-14"/>
        </w:rPr>
        <w:t> </w:t>
      </w:r>
      <w:r>
        <w:rPr/>
        <w:t>(-2.3</w:t>
      </w:r>
      <w:r>
        <w:rPr>
          <w:spacing w:val="-13"/>
        </w:rPr>
        <w:t> </w:t>
      </w:r>
      <w:r>
        <w:rPr/>
        <w:t>mhl/mm)</w:t>
      </w:r>
      <w:r>
        <w:rPr>
          <w:spacing w:val="-14"/>
        </w:rPr>
        <w:t> </w:t>
      </w:r>
      <w:r>
        <w:rPr/>
        <w:t>reveals</w:t>
      </w:r>
      <w:r>
        <w:rPr>
          <w:spacing w:val="-13"/>
        </w:rPr>
        <w:t> </w:t>
      </w:r>
      <w:r>
        <w:rPr/>
        <w:t>an</w:t>
      </w:r>
      <w:r>
        <w:rPr>
          <w:spacing w:val="-14"/>
        </w:rPr>
        <w:t> </w:t>
      </w:r>
      <w:r>
        <w:rPr/>
        <w:t>important</w:t>
      </w:r>
      <w:r>
        <w:rPr>
          <w:spacing w:val="-13"/>
        </w:rPr>
        <w:t> </w:t>
      </w:r>
      <w:r>
        <w:rPr/>
        <w:t>contrast</w:t>
      </w:r>
      <w:r>
        <w:rPr>
          <w:spacing w:val="-14"/>
        </w:rPr>
        <w:t> </w:t>
      </w:r>
      <w:r>
        <w:rPr/>
        <w:t>between</w:t>
      </w:r>
      <w:r>
        <w:rPr>
          <w:spacing w:val="-13"/>
        </w:rPr>
        <w:t> </w:t>
      </w:r>
      <w:r>
        <w:rPr/>
        <w:t>the</w:t>
      </w:r>
      <w:r>
        <w:rPr>
          <w:spacing w:val="-14"/>
        </w:rPr>
        <w:t> </w:t>
      </w:r>
      <w:r>
        <w:rPr/>
        <w:t>two methods. M5Rules describes a negative linear relationship across the full soil water range: each additional mm of harvest soil water is associated with 2.3 mhl lower production.</w:t>
      </w:r>
      <w:r>
        <w:rPr>
          <w:spacing w:val="40"/>
        </w:rPr>
        <w:t> </w:t>
      </w:r>
      <w:r>
        <w:rPr/>
        <w:t>CarenR, by contrast,</w:t>
      </w:r>
      <w:r>
        <w:rPr>
          <w:spacing w:val="-9"/>
        </w:rPr>
        <w:t> </w:t>
      </w:r>
      <w:r>
        <w:rPr/>
        <w:t>identifies</w:t>
      </w:r>
      <w:r>
        <w:rPr>
          <w:spacing w:val="-9"/>
        </w:rPr>
        <w:t> </w:t>
      </w:r>
      <w:r>
        <w:rPr/>
        <w:t>a</w:t>
      </w:r>
      <w:r>
        <w:rPr>
          <w:spacing w:val="-9"/>
        </w:rPr>
        <w:t> </w:t>
      </w:r>
      <w:r>
        <w:rPr/>
        <w:t>specific</w:t>
      </w:r>
      <w:r>
        <w:rPr>
          <w:spacing w:val="-9"/>
        </w:rPr>
        <w:t> </w:t>
      </w:r>
      <w:r>
        <w:rPr/>
        <w:t>moderate-deficit</w:t>
      </w:r>
      <w:r>
        <w:rPr>
          <w:spacing w:val="-9"/>
        </w:rPr>
        <w:t> </w:t>
      </w:r>
      <w:r>
        <w:rPr/>
        <w:t>range</w:t>
      </w:r>
      <w:r>
        <w:rPr>
          <w:spacing w:val="-9"/>
        </w:rPr>
        <w:t> </w:t>
      </w:r>
      <w:r>
        <w:rPr/>
        <w:t>[74–101</w:t>
      </w:r>
      <w:r>
        <w:rPr>
          <w:spacing w:val="-9"/>
        </w:rPr>
        <w:t> </w:t>
      </w:r>
      <w:r>
        <w:rPr/>
        <w:t>mm]</w:t>
      </w:r>
      <w:r>
        <w:rPr>
          <w:spacing w:val="-9"/>
        </w:rPr>
        <w:t> </w:t>
      </w:r>
      <w:r>
        <w:rPr/>
        <w:t>as</w:t>
      </w:r>
      <w:r>
        <w:rPr>
          <w:spacing w:val="-9"/>
        </w:rPr>
        <w:t> </w:t>
      </w:r>
      <w:r>
        <w:rPr/>
        <w:t>associated</w:t>
      </w:r>
      <w:r>
        <w:rPr>
          <w:spacing w:val="-9"/>
        </w:rPr>
        <w:t> </w:t>
      </w:r>
      <w:r>
        <w:rPr/>
        <w:t>with</w:t>
      </w:r>
      <w:r>
        <w:rPr>
          <w:spacing w:val="-9"/>
        </w:rPr>
        <w:t> </w:t>
      </w:r>
      <w:r>
        <w:rPr/>
        <w:t>above-trend production (+121–192 mhl).</w:t>
      </w:r>
      <w:r>
        <w:rPr>
          <w:spacing w:val="35"/>
        </w:rPr>
        <w:t> </w:t>
      </w:r>
      <w:r>
        <w:rPr/>
        <w:t>These descriptions point in opposite directions on the surface, but the</w:t>
      </w:r>
      <w:r>
        <w:rPr>
          <w:spacing w:val="-4"/>
        </w:rPr>
        <w:t> </w:t>
      </w:r>
      <w:r>
        <w:rPr/>
        <w:t>discrepancy</w:t>
      </w:r>
      <w:r>
        <w:rPr>
          <w:spacing w:val="-4"/>
        </w:rPr>
        <w:t> </w:t>
      </w:r>
      <w:r>
        <w:rPr/>
        <w:t>is</w:t>
      </w:r>
      <w:r>
        <w:rPr>
          <w:spacing w:val="-4"/>
        </w:rPr>
        <w:t> </w:t>
      </w:r>
      <w:r>
        <w:rPr/>
        <w:t>methodologically</w:t>
      </w:r>
      <w:r>
        <w:rPr>
          <w:spacing w:val="-4"/>
        </w:rPr>
        <w:t> </w:t>
      </w:r>
      <w:r>
        <w:rPr/>
        <w:t>informative</w:t>
      </w:r>
      <w:r>
        <w:rPr>
          <w:spacing w:val="-4"/>
        </w:rPr>
        <w:t> </w:t>
      </w:r>
      <w:r>
        <w:rPr/>
        <w:t>rather</w:t>
      </w:r>
      <w:r>
        <w:rPr>
          <w:spacing w:val="-4"/>
        </w:rPr>
        <w:t> </w:t>
      </w:r>
      <w:r>
        <w:rPr/>
        <w:t>than</w:t>
      </w:r>
      <w:r>
        <w:rPr>
          <w:spacing w:val="-4"/>
        </w:rPr>
        <w:t> </w:t>
      </w:r>
      <w:r>
        <w:rPr/>
        <w:t>contradictory. M5Rules</w:t>
      </w:r>
      <w:r>
        <w:rPr>
          <w:spacing w:val="-4"/>
        </w:rPr>
        <w:t> </w:t>
      </w:r>
      <w:r>
        <w:rPr/>
        <w:t>captures</w:t>
      </w:r>
      <w:r>
        <w:rPr>
          <w:spacing w:val="-4"/>
        </w:rPr>
        <w:t> </w:t>
      </w:r>
      <w:r>
        <w:rPr/>
        <w:t>the dominant linear signal: across the full range, high soil water before harvest is generally harmful (berry</w:t>
      </w:r>
      <w:r>
        <w:rPr>
          <w:spacing w:val="-9"/>
        </w:rPr>
        <w:t> </w:t>
      </w:r>
      <w:r>
        <w:rPr/>
        <w:t>dilution,</w:t>
      </w:r>
      <w:r>
        <w:rPr>
          <w:spacing w:val="-9"/>
        </w:rPr>
        <w:t> </w:t>
      </w:r>
      <w:r>
        <w:rPr/>
        <w:t>disease</w:t>
      </w:r>
      <w:r>
        <w:rPr>
          <w:spacing w:val="-9"/>
        </w:rPr>
        <w:t> </w:t>
      </w:r>
      <w:r>
        <w:rPr/>
        <w:t>pressure),</w:t>
      </w:r>
      <w:r>
        <w:rPr>
          <w:spacing w:val="-9"/>
        </w:rPr>
        <w:t> </w:t>
      </w:r>
      <w:r>
        <w:rPr/>
        <w:t>producing</w:t>
      </w:r>
      <w:r>
        <w:rPr>
          <w:spacing w:val="-9"/>
        </w:rPr>
        <w:t> </w:t>
      </w:r>
      <w:r>
        <w:rPr/>
        <w:t>a</w:t>
      </w:r>
      <w:r>
        <w:rPr>
          <w:spacing w:val="-9"/>
        </w:rPr>
        <w:t> </w:t>
      </w:r>
      <w:r>
        <w:rPr/>
        <w:t>negative</w:t>
      </w:r>
      <w:r>
        <w:rPr>
          <w:spacing w:val="-9"/>
        </w:rPr>
        <w:t> </w:t>
      </w:r>
      <w:r>
        <w:rPr/>
        <w:t>slope</w:t>
      </w:r>
      <w:r>
        <w:rPr>
          <w:spacing w:val="-9"/>
        </w:rPr>
        <w:t> </w:t>
      </w:r>
      <w:r>
        <w:rPr/>
        <w:t>overall. CarenR</w:t>
      </w:r>
      <w:r>
        <w:rPr>
          <w:spacing w:val="-9"/>
        </w:rPr>
        <w:t> </w:t>
      </w:r>
      <w:r>
        <w:rPr/>
        <w:t>identifies</w:t>
      </w:r>
      <w:r>
        <w:rPr>
          <w:spacing w:val="-9"/>
        </w:rPr>
        <w:t> </w:t>
      </w:r>
      <w:r>
        <w:rPr/>
        <w:t>a</w:t>
      </w:r>
      <w:r>
        <w:rPr>
          <w:spacing w:val="-9"/>
        </w:rPr>
        <w:t> </w:t>
      </w:r>
      <w:r>
        <w:rPr/>
        <w:t>specific sub-range</w:t>
      </w:r>
      <w:r>
        <w:rPr>
          <w:spacing w:val="-13"/>
        </w:rPr>
        <w:t> </w:t>
      </w:r>
      <w:r>
        <w:rPr/>
        <w:t>as</w:t>
      </w:r>
      <w:r>
        <w:rPr>
          <w:spacing w:val="-13"/>
        </w:rPr>
        <w:t> </w:t>
      </w:r>
      <w:r>
        <w:rPr/>
        <w:t>a</w:t>
      </w:r>
      <w:r>
        <w:rPr>
          <w:spacing w:val="-13"/>
        </w:rPr>
        <w:t> </w:t>
      </w:r>
      <w:r>
        <w:rPr/>
        <w:t>relative</w:t>
      </w:r>
      <w:r>
        <w:rPr>
          <w:spacing w:val="-13"/>
        </w:rPr>
        <w:t> </w:t>
      </w:r>
      <w:r>
        <w:rPr/>
        <w:t>sweet</w:t>
      </w:r>
      <w:r>
        <w:rPr>
          <w:spacing w:val="-13"/>
        </w:rPr>
        <w:t> </w:t>
      </w:r>
      <w:r>
        <w:rPr/>
        <w:t>spot</w:t>
      </w:r>
      <w:r>
        <w:rPr>
          <w:spacing w:val="-13"/>
        </w:rPr>
        <w:t> </w:t>
      </w:r>
      <w:r>
        <w:rPr/>
        <w:t>compared</w:t>
      </w:r>
      <w:r>
        <w:rPr>
          <w:spacing w:val="-13"/>
        </w:rPr>
        <w:t> </w:t>
      </w:r>
      <w:r>
        <w:rPr/>
        <w:t>to</w:t>
      </w:r>
      <w:r>
        <w:rPr>
          <w:spacing w:val="-13"/>
        </w:rPr>
        <w:t> </w:t>
      </w:r>
      <w:r>
        <w:rPr/>
        <w:t>both</w:t>
      </w:r>
      <w:r>
        <w:rPr>
          <w:spacing w:val="-13"/>
        </w:rPr>
        <w:t> </w:t>
      </w:r>
      <w:r>
        <w:rPr/>
        <w:t>extremes</w:t>
      </w:r>
      <w:r>
        <w:rPr>
          <w:spacing w:val="-13"/>
        </w:rPr>
        <w:t> </w:t>
      </w:r>
      <w:r>
        <w:rPr/>
        <w:t>—</w:t>
      </w:r>
      <w:r>
        <w:rPr>
          <w:spacing w:val="-13"/>
        </w:rPr>
        <w:t> </w:t>
      </w:r>
      <w:r>
        <w:rPr/>
        <w:t>very</w:t>
      </w:r>
      <w:r>
        <w:rPr>
          <w:spacing w:val="-13"/>
        </w:rPr>
        <w:t> </w:t>
      </w:r>
      <w:r>
        <w:rPr/>
        <w:t>dry</w:t>
      </w:r>
      <w:r>
        <w:rPr>
          <w:spacing w:val="-13"/>
        </w:rPr>
        <w:t> </w:t>
      </w:r>
      <w:r>
        <w:rPr/>
        <w:t>years</w:t>
      </w:r>
      <w:r>
        <w:rPr>
          <w:spacing w:val="-13"/>
        </w:rPr>
        <w:t> </w:t>
      </w:r>
      <w:r>
        <w:rPr/>
        <w:t>and</w:t>
      </w:r>
      <w:r>
        <w:rPr>
          <w:spacing w:val="-13"/>
        </w:rPr>
        <w:t> </w:t>
      </w:r>
      <w:r>
        <w:rPr/>
        <w:t>very</w:t>
      </w:r>
      <w:r>
        <w:rPr>
          <w:spacing w:val="-13"/>
        </w:rPr>
        <w:t> </w:t>
      </w:r>
      <w:r>
        <w:rPr/>
        <w:t>wet</w:t>
      </w:r>
      <w:r>
        <w:rPr>
          <w:spacing w:val="-13"/>
        </w:rPr>
        <w:t> </w:t>
      </w:r>
      <w:r>
        <w:rPr/>
        <w:t>years are</w:t>
      </w:r>
      <w:r>
        <w:rPr>
          <w:spacing w:val="-11"/>
        </w:rPr>
        <w:t> </w:t>
      </w:r>
      <w:r>
        <w:rPr/>
        <w:t>both</w:t>
      </w:r>
      <w:r>
        <w:rPr>
          <w:spacing w:val="-11"/>
        </w:rPr>
        <w:t> </w:t>
      </w:r>
      <w:r>
        <w:rPr/>
        <w:t>below</w:t>
      </w:r>
      <w:r>
        <w:rPr>
          <w:spacing w:val="-11"/>
        </w:rPr>
        <w:t> </w:t>
      </w:r>
      <w:r>
        <w:rPr/>
        <w:t>trend,</w:t>
      </w:r>
      <w:r>
        <w:rPr>
          <w:spacing w:val="-11"/>
        </w:rPr>
        <w:t> </w:t>
      </w:r>
      <w:r>
        <w:rPr/>
        <w:t>and</w:t>
      </w:r>
      <w:r>
        <w:rPr>
          <w:spacing w:val="-11"/>
        </w:rPr>
        <w:t> </w:t>
      </w:r>
      <w:r>
        <w:rPr/>
        <w:t>the</w:t>
      </w:r>
      <w:r>
        <w:rPr>
          <w:spacing w:val="-11"/>
        </w:rPr>
        <w:t> </w:t>
      </w:r>
      <w:r>
        <w:rPr/>
        <w:t>moderate</w:t>
      </w:r>
      <w:r>
        <w:rPr>
          <w:spacing w:val="-11"/>
        </w:rPr>
        <w:t> </w:t>
      </w:r>
      <w:r>
        <w:rPr/>
        <w:t>range</w:t>
      </w:r>
      <w:r>
        <w:rPr>
          <w:spacing w:val="-11"/>
        </w:rPr>
        <w:t> </w:t>
      </w:r>
      <w:r>
        <w:rPr/>
        <w:t>stands</w:t>
      </w:r>
      <w:r>
        <w:rPr>
          <w:spacing w:val="-11"/>
        </w:rPr>
        <w:t> </w:t>
      </w:r>
      <w:r>
        <w:rPr/>
        <w:t>out</w:t>
      </w:r>
      <w:r>
        <w:rPr>
          <w:spacing w:val="-11"/>
        </w:rPr>
        <w:t> </w:t>
      </w:r>
      <w:r>
        <w:rPr/>
        <w:t>distributionally. This</w:t>
      </w:r>
      <w:r>
        <w:rPr>
          <w:spacing w:val="-11"/>
        </w:rPr>
        <w:t> </w:t>
      </w:r>
      <w:r>
        <w:rPr/>
        <w:t>is</w:t>
      </w:r>
      <w:r>
        <w:rPr>
          <w:spacing w:val="-11"/>
        </w:rPr>
        <w:t> </w:t>
      </w:r>
      <w:r>
        <w:rPr/>
        <w:t>precisely</w:t>
      </w:r>
      <w:r>
        <w:rPr>
          <w:spacing w:val="-11"/>
        </w:rPr>
        <w:t> </w:t>
      </w:r>
      <w:r>
        <w:rPr/>
        <w:t>the</w:t>
      </w:r>
      <w:r>
        <w:rPr>
          <w:spacing w:val="-11"/>
        </w:rPr>
        <w:t> </w:t>
      </w:r>
      <w:r>
        <w:rPr/>
        <w:t>type </w:t>
      </w:r>
      <w:r>
        <w:rPr>
          <w:spacing w:val="-2"/>
        </w:rPr>
        <w:t>of</w:t>
      </w:r>
      <w:r>
        <w:rPr>
          <w:spacing w:val="-6"/>
        </w:rPr>
        <w:t> </w:t>
      </w:r>
      <w:r>
        <w:rPr>
          <w:spacing w:val="-2"/>
        </w:rPr>
        <w:t>non-linear,</w:t>
      </w:r>
      <w:r>
        <w:rPr>
          <w:spacing w:val="-6"/>
        </w:rPr>
        <w:t> </w:t>
      </w:r>
      <w:r>
        <w:rPr>
          <w:spacing w:val="-2"/>
        </w:rPr>
        <w:t>bin-specific</w:t>
      </w:r>
      <w:r>
        <w:rPr>
          <w:spacing w:val="-6"/>
        </w:rPr>
        <w:t> </w:t>
      </w:r>
      <w:r>
        <w:rPr>
          <w:spacing w:val="-2"/>
        </w:rPr>
        <w:t>structure</w:t>
      </w:r>
      <w:r>
        <w:rPr>
          <w:spacing w:val="-6"/>
        </w:rPr>
        <w:t> </w:t>
      </w:r>
      <w:r>
        <w:rPr>
          <w:spacing w:val="-2"/>
        </w:rPr>
        <w:t>that</w:t>
      </w:r>
      <w:r>
        <w:rPr>
          <w:spacing w:val="-6"/>
        </w:rPr>
        <w:t> </w:t>
      </w:r>
      <w:r>
        <w:rPr>
          <w:spacing w:val="-2"/>
        </w:rPr>
        <w:t>distributional</w:t>
      </w:r>
      <w:r>
        <w:rPr>
          <w:spacing w:val="-6"/>
        </w:rPr>
        <w:t> </w:t>
      </w:r>
      <w:r>
        <w:rPr>
          <w:spacing w:val="-2"/>
        </w:rPr>
        <w:t>subgroup</w:t>
      </w:r>
      <w:r>
        <w:rPr>
          <w:spacing w:val="-6"/>
        </w:rPr>
        <w:t> </w:t>
      </w:r>
      <w:r>
        <w:rPr>
          <w:spacing w:val="-2"/>
        </w:rPr>
        <w:t>discovery</w:t>
      </w:r>
      <w:r>
        <w:rPr>
          <w:spacing w:val="-6"/>
        </w:rPr>
        <w:t> </w:t>
      </w:r>
      <w:r>
        <w:rPr>
          <w:spacing w:val="-2"/>
        </w:rPr>
        <w:t>is</w:t>
      </w:r>
      <w:r>
        <w:rPr>
          <w:spacing w:val="-6"/>
        </w:rPr>
        <w:t> </w:t>
      </w:r>
      <w:r>
        <w:rPr>
          <w:spacing w:val="-2"/>
        </w:rPr>
        <w:t>designed</w:t>
      </w:r>
      <w:r>
        <w:rPr>
          <w:spacing w:val="-6"/>
        </w:rPr>
        <w:t> </w:t>
      </w:r>
      <w:r>
        <w:rPr>
          <w:spacing w:val="-2"/>
        </w:rPr>
        <w:t>to</w:t>
      </w:r>
      <w:r>
        <w:rPr>
          <w:spacing w:val="-6"/>
        </w:rPr>
        <w:t> </w:t>
      </w:r>
      <w:r>
        <w:rPr>
          <w:spacing w:val="-2"/>
        </w:rPr>
        <w:t>detect</w:t>
      </w:r>
      <w:r>
        <w:rPr>
          <w:spacing w:val="-6"/>
        </w:rPr>
        <w:t> </w:t>
      </w:r>
      <w:r>
        <w:rPr>
          <w:spacing w:val="-2"/>
        </w:rPr>
        <w:t>and </w:t>
      </w:r>
      <w:r>
        <w:rPr/>
        <w:t>that a global linear model cannot represent. A further limitation of the global linear model is the </w:t>
      </w:r>
      <w:r>
        <w:rPr>
          <w:spacing w:val="-2"/>
        </w:rPr>
        <w:t>absence</w:t>
      </w:r>
      <w:r>
        <w:rPr>
          <w:spacing w:val="-8"/>
        </w:rPr>
        <w:t> </w:t>
      </w:r>
      <w:r>
        <w:rPr>
          <w:spacing w:val="-2"/>
        </w:rPr>
        <w:t>of</w:t>
      </w:r>
      <w:r>
        <w:rPr>
          <w:spacing w:val="-8"/>
        </w:rPr>
        <w:t> </w:t>
      </w:r>
      <w:r>
        <w:rPr>
          <w:spacing w:val="-2"/>
        </w:rPr>
        <w:t>interaction</w:t>
      </w:r>
      <w:r>
        <w:rPr>
          <w:spacing w:val="-8"/>
        </w:rPr>
        <w:t> </w:t>
      </w:r>
      <w:r>
        <w:rPr>
          <w:spacing w:val="-2"/>
        </w:rPr>
        <w:t>terms:</w:t>
      </w:r>
      <w:r>
        <w:rPr>
          <w:spacing w:val="6"/>
        </w:rPr>
        <w:t> </w:t>
      </w:r>
      <w:r>
        <w:rPr>
          <w:spacing w:val="-2"/>
        </w:rPr>
        <w:t>in</w:t>
      </w:r>
      <w:r>
        <w:rPr>
          <w:spacing w:val="-8"/>
        </w:rPr>
        <w:t> </w:t>
      </w:r>
      <w:r>
        <w:rPr>
          <w:spacing w:val="-2"/>
        </w:rPr>
        <w:t>the</w:t>
      </w:r>
      <w:r>
        <w:rPr>
          <w:spacing w:val="-8"/>
        </w:rPr>
        <w:t> </w:t>
      </w:r>
      <w:r>
        <w:rPr>
          <w:spacing w:val="-2"/>
        </w:rPr>
        <w:t>data,</w:t>
      </w:r>
      <w:r>
        <w:rPr>
          <w:spacing w:val="-7"/>
        </w:rPr>
        <w:t> </w:t>
      </w:r>
      <w:r>
        <w:rPr>
          <w:spacing w:val="-2"/>
        </w:rPr>
        <w:t>high</w:t>
      </w:r>
      <w:r>
        <w:rPr>
          <w:spacing w:val="-8"/>
        </w:rPr>
        <w:t> </w:t>
      </w:r>
      <w:r>
        <w:rPr>
          <w:spacing w:val="-2"/>
        </w:rPr>
        <w:t>soil</w:t>
      </w:r>
      <w:r>
        <w:rPr>
          <w:spacing w:val="-8"/>
        </w:rPr>
        <w:t> </w:t>
      </w:r>
      <w:r>
        <w:rPr>
          <w:spacing w:val="-2"/>
        </w:rPr>
        <w:t>water</w:t>
      </w:r>
      <w:r>
        <w:rPr>
          <w:spacing w:val="-8"/>
        </w:rPr>
        <w:t> </w:t>
      </w:r>
      <w:r>
        <w:rPr>
          <w:spacing w:val="-2"/>
        </w:rPr>
        <w:t>tends</w:t>
      </w:r>
      <w:r>
        <w:rPr>
          <w:spacing w:val="-7"/>
        </w:rPr>
        <w:t> </w:t>
      </w:r>
      <w:r>
        <w:rPr>
          <w:spacing w:val="-2"/>
        </w:rPr>
        <w:t>to</w:t>
      </w:r>
      <w:r>
        <w:rPr>
          <w:spacing w:val="-8"/>
        </w:rPr>
        <w:t> </w:t>
      </w:r>
      <w:r>
        <w:rPr>
          <w:spacing w:val="-2"/>
        </w:rPr>
        <w:t>co-occur</w:t>
      </w:r>
      <w:r>
        <w:rPr>
          <w:spacing w:val="-8"/>
        </w:rPr>
        <w:t> </w:t>
      </w:r>
      <w:r>
        <w:rPr>
          <w:spacing w:val="-2"/>
        </w:rPr>
        <w:t>with</w:t>
      </w:r>
      <w:r>
        <w:rPr>
          <w:spacing w:val="-7"/>
        </w:rPr>
        <w:t> </w:t>
      </w:r>
      <w:r>
        <w:rPr>
          <w:spacing w:val="-2"/>
        </w:rPr>
        <w:t>wet,</w:t>
      </w:r>
      <w:r>
        <w:rPr>
          <w:spacing w:val="-8"/>
        </w:rPr>
        <w:t> </w:t>
      </w:r>
      <w:r>
        <w:rPr>
          <w:spacing w:val="-2"/>
        </w:rPr>
        <w:t>cool</w:t>
      </w:r>
      <w:r>
        <w:rPr>
          <w:spacing w:val="-8"/>
        </w:rPr>
        <w:t> </w:t>
      </w:r>
      <w:r>
        <w:rPr>
          <w:spacing w:val="-2"/>
        </w:rPr>
        <w:t>conditions</w:t>
      </w:r>
    </w:p>
    <w:p>
      <w:pPr>
        <w:pStyle w:val="BodyText"/>
        <w:spacing w:after="0" w:line="312" w:lineRule="auto"/>
        <w:jc w:val="both"/>
        <w:sectPr>
          <w:pgSz w:w="11910" w:h="16840"/>
          <w:pgMar w:header="1160" w:footer="0" w:top="1420" w:bottom="280" w:left="1275" w:right="425"/>
        </w:sectPr>
      </w:pPr>
    </w:p>
    <w:p>
      <w:pPr>
        <w:pStyle w:val="BodyText"/>
        <w:rPr>
          <w:sz w:val="20"/>
        </w:rPr>
      </w:pPr>
    </w:p>
    <w:p>
      <w:pPr>
        <w:pStyle w:val="BodyText"/>
        <w:spacing w:before="38"/>
        <w:rPr>
          <w:sz w:val="20"/>
        </w:rPr>
      </w:pPr>
    </w:p>
    <w:p>
      <w:pPr>
        <w:spacing w:before="1"/>
        <w:ind w:left="601" w:right="888" w:firstLine="0"/>
        <w:jc w:val="center"/>
        <w:rPr>
          <w:sz w:val="20"/>
        </w:rPr>
      </w:pPr>
      <w:bookmarkStart w:name="_bookmark82" w:id="146"/>
      <w:bookmarkEnd w:id="146"/>
      <w:r>
        <w:rPr/>
      </w:r>
      <w:r>
        <w:rPr>
          <w:b/>
          <w:sz w:val="20"/>
        </w:rPr>
        <w:t>Table</w:t>
      </w:r>
      <w:r>
        <w:rPr>
          <w:b/>
          <w:spacing w:val="-10"/>
          <w:sz w:val="20"/>
        </w:rPr>
        <w:t> </w:t>
      </w:r>
      <w:r>
        <w:rPr>
          <w:b/>
          <w:sz w:val="20"/>
        </w:rPr>
        <w:t>4.7: </w:t>
      </w:r>
      <w:r>
        <w:rPr>
          <w:sz w:val="20"/>
        </w:rPr>
        <w:t>M5Rules</w:t>
      </w:r>
      <w:r>
        <w:rPr>
          <w:spacing w:val="-10"/>
          <w:sz w:val="20"/>
        </w:rPr>
        <w:t> </w:t>
      </w:r>
      <w:r>
        <w:rPr>
          <w:sz w:val="20"/>
        </w:rPr>
        <w:t>RDD</w:t>
      </w:r>
      <w:r>
        <w:rPr>
          <w:spacing w:val="-10"/>
          <w:sz w:val="20"/>
        </w:rPr>
        <w:t> </w:t>
      </w:r>
      <w:r>
        <w:rPr>
          <w:sz w:val="20"/>
        </w:rPr>
        <w:t>dominant</w:t>
      </w:r>
      <w:r>
        <w:rPr>
          <w:spacing w:val="-10"/>
          <w:sz w:val="20"/>
        </w:rPr>
        <w:t> </w:t>
      </w:r>
      <w:r>
        <w:rPr>
          <w:sz w:val="20"/>
        </w:rPr>
        <w:t>model</w:t>
      </w:r>
      <w:r>
        <w:rPr>
          <w:spacing w:val="-10"/>
          <w:sz w:val="20"/>
        </w:rPr>
        <w:t> </w:t>
      </w:r>
      <w:r>
        <w:rPr>
          <w:sz w:val="20"/>
        </w:rPr>
        <w:t>coefficients</w:t>
      </w:r>
      <w:r>
        <w:rPr>
          <w:spacing w:val="-10"/>
          <w:sz w:val="20"/>
        </w:rPr>
        <w:t> </w:t>
      </w:r>
      <w:r>
        <w:rPr>
          <w:sz w:val="20"/>
        </w:rPr>
        <w:t>mapped</w:t>
      </w:r>
      <w:r>
        <w:rPr>
          <w:spacing w:val="-10"/>
          <w:sz w:val="20"/>
        </w:rPr>
        <w:t> </w:t>
      </w:r>
      <w:r>
        <w:rPr>
          <w:sz w:val="20"/>
        </w:rPr>
        <w:t>to</w:t>
      </w:r>
      <w:r>
        <w:rPr>
          <w:spacing w:val="-10"/>
          <w:sz w:val="20"/>
        </w:rPr>
        <w:t> </w:t>
      </w:r>
      <w:r>
        <w:rPr>
          <w:sz w:val="20"/>
        </w:rPr>
        <w:t>CarenR</w:t>
      </w:r>
      <w:r>
        <w:rPr>
          <w:spacing w:val="-10"/>
          <w:sz w:val="20"/>
        </w:rPr>
        <w:t> </w:t>
      </w:r>
      <w:r>
        <w:rPr>
          <w:spacing w:val="-2"/>
          <w:sz w:val="20"/>
        </w:rPr>
        <w:t>findings.</w:t>
      </w:r>
    </w:p>
    <w:p>
      <w:pPr>
        <w:pStyle w:val="BodyText"/>
        <w:spacing w:before="5"/>
        <w:rPr>
          <w:sz w:val="18"/>
        </w:rPr>
      </w:pPr>
      <w:r>
        <w:rPr>
          <w:sz w:val="18"/>
        </w:rPr>
        <mc:AlternateContent>
          <mc:Choice Requires="wps">
            <w:drawing>
              <wp:anchor distT="0" distB="0" distL="0" distR="0" allowOverlap="1" layoutInCell="1" locked="0" behindDoc="1" simplePos="0" relativeHeight="487619584">
                <wp:simplePos x="0" y="0"/>
                <wp:positionH relativeFrom="page">
                  <wp:posOffset>1260005</wp:posOffset>
                </wp:positionH>
                <wp:positionV relativeFrom="paragraph">
                  <wp:posOffset>150005</wp:posOffset>
                </wp:positionV>
                <wp:extent cx="5400040" cy="1270"/>
                <wp:effectExtent l="0" t="0" r="0" b="0"/>
                <wp:wrapTopAndBottom/>
                <wp:docPr id="170" name="Graphic 170"/>
                <wp:cNvGraphicFramePr>
                  <a:graphicFrameLocks/>
                </wp:cNvGraphicFramePr>
                <a:graphic>
                  <a:graphicData uri="http://schemas.microsoft.com/office/word/2010/wordprocessingShape">
                    <wps:wsp>
                      <wps:cNvPr id="170" name="Graphic 170"/>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1.811473pt;width:425.2pt;height:.1pt;mso-position-horizontal-relative:page;mso-position-vertical-relative:paragraph;z-index:-15696896;mso-wrap-distance-left:0;mso-wrap-distance-right:0" id="docshape142" coordorigin="1984,236" coordsize="8504,0" path="m1984,236l10488,236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7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30"/>
        <w:gridCol w:w="1097"/>
        <w:gridCol w:w="2231"/>
        <w:gridCol w:w="3344"/>
      </w:tblGrid>
      <w:tr>
        <w:trPr>
          <w:trHeight w:val="539" w:hRule="atLeast"/>
        </w:trPr>
        <w:tc>
          <w:tcPr>
            <w:tcW w:w="1830" w:type="dxa"/>
            <w:tcBorders>
              <w:top w:val="nil"/>
              <w:left w:val="nil"/>
              <w:right w:val="single" w:sz="4" w:space="0" w:color="000000"/>
            </w:tcBorders>
          </w:tcPr>
          <w:p>
            <w:pPr>
              <w:pStyle w:val="TableParagraph"/>
              <w:tabs>
                <w:tab w:pos="1259" w:val="left" w:leader="none"/>
              </w:tabs>
              <w:spacing w:line="254" w:lineRule="auto" w:before="31"/>
              <w:ind w:left="119" w:right="116"/>
              <w:rPr>
                <w:sz w:val="18"/>
              </w:rPr>
            </w:pPr>
            <w:r>
              <w:rPr>
                <w:spacing w:val="-2"/>
                <w:sz w:val="18"/>
              </w:rPr>
              <w:t>Coefficient</w:t>
            </w:r>
            <w:r>
              <w:rPr>
                <w:sz w:val="18"/>
              </w:rPr>
              <w:tab/>
            </w:r>
            <w:r>
              <w:rPr>
                <w:spacing w:val="-4"/>
                <w:sz w:val="18"/>
              </w:rPr>
              <w:t>(RDD </w:t>
            </w:r>
            <w:r>
              <w:rPr>
                <w:spacing w:val="-2"/>
                <w:sz w:val="18"/>
              </w:rPr>
              <w:t>Rule</w:t>
            </w:r>
            <w:r>
              <w:rPr>
                <w:spacing w:val="-3"/>
                <w:sz w:val="18"/>
              </w:rPr>
              <w:t> </w:t>
            </w:r>
            <w:r>
              <w:rPr>
                <w:spacing w:val="-2"/>
                <w:sz w:val="18"/>
              </w:rPr>
              <w:t>2,</w:t>
            </w:r>
            <w:r>
              <w:rPr>
                <w:spacing w:val="-3"/>
                <w:sz w:val="18"/>
              </w:rPr>
              <w:t> </w:t>
            </w:r>
            <w:r>
              <w:rPr>
                <w:spacing w:val="-2"/>
                <w:sz w:val="18"/>
              </w:rPr>
              <w:t>default</w:t>
            </w:r>
            <w:r>
              <w:rPr>
                <w:spacing w:val="-3"/>
                <w:sz w:val="18"/>
              </w:rPr>
              <w:t> </w:t>
            </w:r>
            <w:r>
              <w:rPr>
                <w:spacing w:val="-2"/>
                <w:sz w:val="18"/>
              </w:rPr>
              <w:t>model)</w:t>
            </w:r>
          </w:p>
        </w:tc>
        <w:tc>
          <w:tcPr>
            <w:tcW w:w="1097" w:type="dxa"/>
            <w:tcBorders>
              <w:top w:val="nil"/>
              <w:left w:val="single" w:sz="4" w:space="0" w:color="000000"/>
              <w:right w:val="single" w:sz="4" w:space="0" w:color="000000"/>
            </w:tcBorders>
          </w:tcPr>
          <w:p>
            <w:pPr>
              <w:pStyle w:val="TableParagraph"/>
              <w:spacing w:line="254" w:lineRule="auto" w:before="31"/>
              <w:ind w:left="114" w:firstLine="4"/>
              <w:rPr>
                <w:sz w:val="18"/>
              </w:rPr>
            </w:pPr>
            <w:r>
              <w:rPr>
                <w:spacing w:val="-2"/>
                <w:sz w:val="18"/>
              </w:rPr>
              <w:t>Coefficient value</w:t>
            </w:r>
          </w:p>
        </w:tc>
        <w:tc>
          <w:tcPr>
            <w:tcW w:w="2231" w:type="dxa"/>
            <w:tcBorders>
              <w:top w:val="nil"/>
              <w:left w:val="single" w:sz="4" w:space="0" w:color="000000"/>
              <w:right w:val="single" w:sz="4" w:space="0" w:color="000000"/>
            </w:tcBorders>
          </w:tcPr>
          <w:p>
            <w:pPr>
              <w:pStyle w:val="TableParagraph"/>
              <w:spacing w:before="31"/>
              <w:ind w:left="119"/>
              <w:rPr>
                <w:sz w:val="18"/>
              </w:rPr>
            </w:pPr>
            <w:r>
              <w:rPr>
                <w:sz w:val="18"/>
              </w:rPr>
              <w:t>Direction</w:t>
            </w:r>
            <w:r>
              <w:rPr>
                <w:spacing w:val="-6"/>
                <w:sz w:val="18"/>
              </w:rPr>
              <w:t> </w:t>
            </w:r>
            <w:r>
              <w:rPr>
                <w:sz w:val="18"/>
              </w:rPr>
              <w:t>vs</w:t>
            </w:r>
            <w:r>
              <w:rPr>
                <w:spacing w:val="-5"/>
                <w:sz w:val="18"/>
              </w:rPr>
              <w:t> </w:t>
            </w:r>
            <w:r>
              <w:rPr>
                <w:spacing w:val="-2"/>
                <w:sz w:val="18"/>
              </w:rPr>
              <w:t>CarenR</w:t>
            </w:r>
          </w:p>
        </w:tc>
        <w:tc>
          <w:tcPr>
            <w:tcW w:w="3344" w:type="dxa"/>
            <w:tcBorders>
              <w:top w:val="nil"/>
              <w:left w:val="single" w:sz="4" w:space="0" w:color="000000"/>
              <w:right w:val="nil"/>
            </w:tcBorders>
          </w:tcPr>
          <w:p>
            <w:pPr>
              <w:pStyle w:val="TableParagraph"/>
              <w:spacing w:before="31"/>
              <w:ind w:left="119"/>
              <w:rPr>
                <w:sz w:val="18"/>
              </w:rPr>
            </w:pPr>
            <w:r>
              <w:rPr>
                <w:spacing w:val="-2"/>
                <w:sz w:val="18"/>
              </w:rPr>
              <w:t>Interpretation</w:t>
            </w:r>
          </w:p>
        </w:tc>
      </w:tr>
    </w:tbl>
    <w:p>
      <w:pPr>
        <w:pStyle w:val="BodyText"/>
        <w:spacing w:before="10"/>
        <w:rPr>
          <w:sz w:val="4"/>
        </w:rPr>
      </w:pPr>
    </w:p>
    <w:tbl>
      <w:tblPr>
        <w:tblW w:w="0" w:type="auto"/>
        <w:jc w:val="left"/>
        <w:tblInd w:w="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30"/>
        <w:gridCol w:w="1097"/>
        <w:gridCol w:w="2231"/>
        <w:gridCol w:w="3344"/>
      </w:tblGrid>
      <w:tr>
        <w:trPr>
          <w:trHeight w:val="719" w:hRule="atLeast"/>
        </w:trPr>
        <w:tc>
          <w:tcPr>
            <w:tcW w:w="1830" w:type="dxa"/>
            <w:tcBorders>
              <w:right w:val="single" w:sz="4" w:space="0" w:color="000000"/>
            </w:tcBorders>
          </w:tcPr>
          <w:p>
            <w:pPr>
              <w:pStyle w:val="TableParagraph"/>
              <w:spacing w:before="31"/>
              <w:ind w:left="119"/>
              <w:rPr>
                <w:b/>
                <w:sz w:val="18"/>
              </w:rPr>
            </w:pPr>
            <w:r>
              <w:rPr>
                <w:b/>
                <w:spacing w:val="-2"/>
                <w:sz w:val="18"/>
              </w:rPr>
              <w:t>tm_fl_y1_b10</w:t>
            </w:r>
          </w:p>
          <w:p>
            <w:pPr>
              <w:pStyle w:val="TableParagraph"/>
              <w:spacing w:before="12"/>
              <w:ind w:left="113"/>
              <w:rPr>
                <w:sz w:val="18"/>
              </w:rPr>
            </w:pPr>
            <w:r>
              <w:rPr>
                <w:spacing w:val="-2"/>
                <w:sz w:val="18"/>
              </w:rPr>
              <w:t>(pre-flowering</w:t>
            </w:r>
            <w:r>
              <w:rPr>
                <w:sz w:val="18"/>
              </w:rPr>
              <w:t> </w:t>
            </w:r>
            <w:r>
              <w:rPr>
                <w:spacing w:val="-2"/>
                <w:sz w:val="18"/>
              </w:rPr>
              <w:t>temp)</w:t>
            </w:r>
          </w:p>
        </w:tc>
        <w:tc>
          <w:tcPr>
            <w:tcW w:w="1097" w:type="dxa"/>
            <w:tcBorders>
              <w:left w:val="single" w:sz="4" w:space="0" w:color="000000"/>
              <w:right w:val="single" w:sz="4" w:space="0" w:color="000000"/>
            </w:tcBorders>
          </w:tcPr>
          <w:p>
            <w:pPr>
              <w:pStyle w:val="TableParagraph"/>
              <w:spacing w:line="176" w:lineRule="exact" w:before="31"/>
              <w:ind w:left="119"/>
              <w:rPr>
                <w:sz w:val="18"/>
              </w:rPr>
            </w:pPr>
            <w:r>
              <w:rPr>
                <w:spacing w:val="-2"/>
                <w:sz w:val="18"/>
              </w:rPr>
              <w:t>+66.4</w:t>
            </w:r>
          </w:p>
          <w:p>
            <w:pPr>
              <w:pStyle w:val="TableParagraph"/>
              <w:spacing w:line="250" w:lineRule="exact" w:before="0"/>
              <w:ind w:left="119"/>
              <w:rPr>
                <w:sz w:val="18"/>
              </w:rPr>
            </w:pPr>
            <w:r>
              <w:rPr>
                <w:sz w:val="18"/>
              </w:rPr>
              <w:t>per</w:t>
            </w:r>
            <w:r>
              <w:rPr>
                <w:spacing w:val="-4"/>
                <w:sz w:val="18"/>
              </w:rPr>
              <w:t> </w:t>
            </w:r>
            <w:r>
              <w:rPr>
                <w:rFonts w:ascii="Meiryo UI" w:hAnsi="Meiryo UI"/>
                <w:i/>
                <w:spacing w:val="-5"/>
                <w:position w:val="7"/>
                <w:sz w:val="14"/>
              </w:rPr>
              <w:t>◦</w:t>
            </w:r>
            <w:r>
              <w:rPr>
                <w:spacing w:val="-5"/>
                <w:sz w:val="18"/>
              </w:rPr>
              <w:t>C</w:t>
            </w:r>
          </w:p>
        </w:tc>
        <w:tc>
          <w:tcPr>
            <w:tcW w:w="2231" w:type="dxa"/>
            <w:tcBorders>
              <w:left w:val="single" w:sz="4" w:space="0" w:color="000000"/>
              <w:right w:val="single" w:sz="4" w:space="0" w:color="000000"/>
            </w:tcBorders>
          </w:tcPr>
          <w:p>
            <w:pPr>
              <w:pStyle w:val="TableParagraph"/>
              <w:spacing w:line="208" w:lineRule="auto" w:before="53"/>
              <w:ind w:left="119" w:right="85"/>
              <w:jc w:val="both"/>
              <w:rPr>
                <w:sz w:val="18"/>
              </w:rPr>
            </w:pPr>
            <w:r>
              <w:rPr>
                <w:sz w:val="18"/>
              </w:rPr>
              <w:t>Consistent, warmer </w:t>
            </w:r>
            <w:r>
              <w:rPr>
                <w:sz w:val="18"/>
              </w:rPr>
              <w:t>flow-ering </w:t>
            </w:r>
            <w:r>
              <w:rPr>
                <w:rFonts w:ascii="Meiryo UI" w:hAnsi="Meiryo UI"/>
                <w:i/>
                <w:sz w:val="18"/>
              </w:rPr>
              <w:t>→ </w:t>
            </w:r>
            <w:r>
              <w:rPr>
                <w:sz w:val="18"/>
              </w:rPr>
              <w:t>above trend in CarenR Rules 5–10</w:t>
            </w:r>
          </w:p>
        </w:tc>
        <w:tc>
          <w:tcPr>
            <w:tcW w:w="3344" w:type="dxa"/>
            <w:tcBorders>
              <w:left w:val="single" w:sz="4" w:space="0" w:color="000000"/>
            </w:tcBorders>
          </w:tcPr>
          <w:p>
            <w:pPr>
              <w:pStyle w:val="TableParagraph"/>
              <w:spacing w:line="238" w:lineRule="exact" w:before="0"/>
              <w:ind w:left="119"/>
              <w:rPr>
                <w:sz w:val="18"/>
              </w:rPr>
            </w:pPr>
            <w:r>
              <w:rPr>
                <w:spacing w:val="-2"/>
                <w:sz w:val="18"/>
              </w:rPr>
              <w:t>Each</w:t>
            </w:r>
            <w:r>
              <w:rPr>
                <w:spacing w:val="-10"/>
                <w:sz w:val="18"/>
              </w:rPr>
              <w:t> </w:t>
            </w:r>
            <w:r>
              <w:rPr>
                <w:spacing w:val="-2"/>
                <w:sz w:val="18"/>
              </w:rPr>
              <w:t>1</w:t>
            </w:r>
            <w:r>
              <w:rPr>
                <w:rFonts w:ascii="Meiryo UI" w:hAnsi="Meiryo UI"/>
                <w:i/>
                <w:spacing w:val="-2"/>
                <w:position w:val="7"/>
                <w:sz w:val="14"/>
              </w:rPr>
              <w:t>◦</w:t>
            </w:r>
            <w:r>
              <w:rPr>
                <w:spacing w:val="-2"/>
                <w:sz w:val="18"/>
              </w:rPr>
              <w:t>C</w:t>
            </w:r>
            <w:r>
              <w:rPr>
                <w:spacing w:val="-9"/>
                <w:sz w:val="18"/>
              </w:rPr>
              <w:t> </w:t>
            </w:r>
            <w:r>
              <w:rPr>
                <w:spacing w:val="-2"/>
                <w:sz w:val="18"/>
              </w:rPr>
              <w:t>increase</w:t>
            </w:r>
            <w:r>
              <w:rPr>
                <w:spacing w:val="-9"/>
                <w:sz w:val="18"/>
              </w:rPr>
              <w:t> </w:t>
            </w:r>
            <w:r>
              <w:rPr>
                <w:spacing w:val="-2"/>
                <w:sz w:val="18"/>
              </w:rPr>
              <w:t>in</w:t>
            </w:r>
            <w:r>
              <w:rPr>
                <w:spacing w:val="-9"/>
                <w:sz w:val="18"/>
              </w:rPr>
              <w:t> </w:t>
            </w:r>
            <w:r>
              <w:rPr>
                <w:spacing w:val="-2"/>
                <w:sz w:val="18"/>
              </w:rPr>
              <w:t>pre-flowering</w:t>
            </w:r>
            <w:r>
              <w:rPr>
                <w:spacing w:val="-10"/>
                <w:sz w:val="18"/>
              </w:rPr>
              <w:t> </w:t>
            </w:r>
            <w:r>
              <w:rPr>
                <w:spacing w:val="-2"/>
                <w:sz w:val="18"/>
              </w:rPr>
              <w:t>temper-</w:t>
            </w:r>
          </w:p>
          <w:p>
            <w:pPr>
              <w:pStyle w:val="TableParagraph"/>
              <w:spacing w:line="254" w:lineRule="auto" w:before="12"/>
              <w:ind w:left="119"/>
              <w:rPr>
                <w:sz w:val="18"/>
              </w:rPr>
            </w:pPr>
            <w:r>
              <w:rPr>
                <w:sz w:val="18"/>
              </w:rPr>
              <w:t>ature</w:t>
            </w:r>
            <w:r>
              <w:rPr>
                <w:spacing w:val="-8"/>
                <w:sz w:val="18"/>
              </w:rPr>
              <w:t> </w:t>
            </w:r>
            <w:r>
              <w:rPr>
                <w:sz w:val="18"/>
              </w:rPr>
              <w:t>adds</w:t>
            </w:r>
            <w:r>
              <w:rPr>
                <w:spacing w:val="31"/>
                <w:sz w:val="18"/>
              </w:rPr>
              <w:t> </w:t>
            </w:r>
            <w:r>
              <w:rPr>
                <w:sz w:val="18"/>
              </w:rPr>
              <w:t>66</w:t>
            </w:r>
            <w:r>
              <w:rPr>
                <w:spacing w:val="-8"/>
                <w:sz w:val="18"/>
              </w:rPr>
              <w:t> </w:t>
            </w:r>
            <w:r>
              <w:rPr>
                <w:sz w:val="18"/>
              </w:rPr>
              <w:t>mhl;</w:t>
            </w:r>
            <w:r>
              <w:rPr>
                <w:spacing w:val="-8"/>
                <w:sz w:val="18"/>
              </w:rPr>
              <w:t> </w:t>
            </w:r>
            <w:r>
              <w:rPr>
                <w:sz w:val="18"/>
              </w:rPr>
              <w:t>quantifies</w:t>
            </w:r>
            <w:r>
              <w:rPr>
                <w:spacing w:val="-8"/>
                <w:sz w:val="18"/>
              </w:rPr>
              <w:t> </w:t>
            </w:r>
            <w:r>
              <w:rPr>
                <w:sz w:val="18"/>
              </w:rPr>
              <w:t>the</w:t>
            </w:r>
            <w:r>
              <w:rPr>
                <w:spacing w:val="-8"/>
                <w:sz w:val="18"/>
              </w:rPr>
              <w:t> </w:t>
            </w:r>
            <w:r>
              <w:rPr>
                <w:sz w:val="18"/>
              </w:rPr>
              <w:t>warming-flowering benefit</w:t>
            </w:r>
          </w:p>
        </w:tc>
      </w:tr>
      <w:tr>
        <w:trPr>
          <w:trHeight w:val="723" w:hRule="atLeast"/>
        </w:trPr>
        <w:tc>
          <w:tcPr>
            <w:tcW w:w="1830" w:type="dxa"/>
            <w:tcBorders>
              <w:right w:val="single" w:sz="4" w:space="0" w:color="000000"/>
            </w:tcBorders>
          </w:tcPr>
          <w:p>
            <w:pPr>
              <w:pStyle w:val="TableParagraph"/>
              <w:spacing w:before="35"/>
              <w:ind w:left="119"/>
              <w:rPr>
                <w:b/>
                <w:sz w:val="18"/>
              </w:rPr>
            </w:pPr>
            <w:r>
              <w:rPr>
                <w:b/>
                <w:spacing w:val="-2"/>
                <w:sz w:val="18"/>
              </w:rPr>
              <w:t>tm_bb_y0_a30</w:t>
            </w:r>
          </w:p>
          <w:p>
            <w:pPr>
              <w:pStyle w:val="TableParagraph"/>
              <w:tabs>
                <w:tab w:pos="1073" w:val="left" w:leader="none"/>
              </w:tabs>
              <w:spacing w:line="254" w:lineRule="auto" w:before="12"/>
              <w:ind w:left="119" w:right="116" w:hanging="6"/>
              <w:rPr>
                <w:sz w:val="18"/>
              </w:rPr>
            </w:pPr>
            <w:r>
              <w:rPr>
                <w:spacing w:val="-2"/>
                <w:sz w:val="18"/>
              </w:rPr>
              <w:t>(prev-yr</w:t>
            </w:r>
            <w:r>
              <w:rPr>
                <w:sz w:val="18"/>
              </w:rPr>
              <w:tab/>
            </w:r>
            <w:r>
              <w:rPr>
                <w:spacing w:val="-2"/>
                <w:sz w:val="18"/>
              </w:rPr>
              <w:t>budburst temp)</w:t>
            </w:r>
          </w:p>
        </w:tc>
        <w:tc>
          <w:tcPr>
            <w:tcW w:w="1097" w:type="dxa"/>
            <w:tcBorders>
              <w:left w:val="single" w:sz="4" w:space="0" w:color="000000"/>
              <w:right w:val="single" w:sz="4" w:space="0" w:color="000000"/>
            </w:tcBorders>
          </w:tcPr>
          <w:p>
            <w:pPr>
              <w:pStyle w:val="TableParagraph"/>
              <w:spacing w:line="176" w:lineRule="exact" w:before="35"/>
              <w:ind w:left="119"/>
              <w:rPr>
                <w:sz w:val="18"/>
              </w:rPr>
            </w:pPr>
            <w:r>
              <w:rPr>
                <w:spacing w:val="-2"/>
                <w:sz w:val="18"/>
              </w:rPr>
              <w:t>-</w:t>
            </w:r>
            <w:r>
              <w:rPr>
                <w:spacing w:val="-4"/>
                <w:sz w:val="18"/>
              </w:rPr>
              <w:t>97.6</w:t>
            </w:r>
          </w:p>
          <w:p>
            <w:pPr>
              <w:pStyle w:val="TableParagraph"/>
              <w:spacing w:line="250" w:lineRule="exact" w:before="0"/>
              <w:ind w:left="119"/>
              <w:rPr>
                <w:sz w:val="18"/>
              </w:rPr>
            </w:pPr>
            <w:r>
              <w:rPr>
                <w:sz w:val="18"/>
              </w:rPr>
              <w:t>per</w:t>
            </w:r>
            <w:r>
              <w:rPr>
                <w:spacing w:val="-4"/>
                <w:sz w:val="18"/>
              </w:rPr>
              <w:t> </w:t>
            </w:r>
            <w:r>
              <w:rPr>
                <w:rFonts w:ascii="Meiryo UI" w:hAnsi="Meiryo UI"/>
                <w:i/>
                <w:spacing w:val="-5"/>
                <w:position w:val="7"/>
                <w:sz w:val="14"/>
              </w:rPr>
              <w:t>◦</w:t>
            </w:r>
            <w:r>
              <w:rPr>
                <w:spacing w:val="-5"/>
                <w:sz w:val="18"/>
              </w:rPr>
              <w:t>C</w:t>
            </w:r>
          </w:p>
        </w:tc>
        <w:tc>
          <w:tcPr>
            <w:tcW w:w="2231" w:type="dxa"/>
            <w:tcBorders>
              <w:left w:val="single" w:sz="4" w:space="0" w:color="000000"/>
              <w:right w:val="single" w:sz="4" w:space="0" w:color="000000"/>
            </w:tcBorders>
          </w:tcPr>
          <w:p>
            <w:pPr>
              <w:pStyle w:val="TableParagraph"/>
              <w:spacing w:line="254" w:lineRule="auto" w:before="35"/>
              <w:ind w:left="119" w:right="115"/>
              <w:jc w:val="both"/>
              <w:rPr>
                <w:sz w:val="18"/>
              </w:rPr>
            </w:pPr>
            <w:r>
              <w:rPr>
                <w:sz w:val="18"/>
              </w:rPr>
              <w:t>Carry-over, not a </w:t>
            </w:r>
            <w:r>
              <w:rPr>
                <w:sz w:val="18"/>
              </w:rPr>
              <w:t>top CarenR rule feature but directionally consistent</w:t>
            </w:r>
          </w:p>
        </w:tc>
        <w:tc>
          <w:tcPr>
            <w:tcW w:w="3344" w:type="dxa"/>
            <w:tcBorders>
              <w:left w:val="single" w:sz="4" w:space="0" w:color="000000"/>
            </w:tcBorders>
          </w:tcPr>
          <w:p>
            <w:pPr>
              <w:pStyle w:val="TableParagraph"/>
              <w:spacing w:line="254" w:lineRule="auto" w:before="35"/>
              <w:ind w:left="119"/>
              <w:rPr>
                <w:sz w:val="18"/>
              </w:rPr>
            </w:pPr>
            <w:r>
              <w:rPr>
                <w:sz w:val="18"/>
              </w:rPr>
              <w:t>Warm</w:t>
            </w:r>
            <w:r>
              <w:rPr>
                <w:spacing w:val="-6"/>
                <w:sz w:val="18"/>
              </w:rPr>
              <w:t> </w:t>
            </w:r>
            <w:r>
              <w:rPr>
                <w:sz w:val="18"/>
              </w:rPr>
              <w:t>prior-year</w:t>
            </w:r>
            <w:r>
              <w:rPr>
                <w:spacing w:val="-6"/>
                <w:sz w:val="18"/>
              </w:rPr>
              <w:t> </w:t>
            </w:r>
            <w:r>
              <w:rPr>
                <w:sz w:val="18"/>
              </w:rPr>
              <w:t>budburst</w:t>
            </w:r>
            <w:r>
              <w:rPr>
                <w:spacing w:val="-6"/>
                <w:sz w:val="18"/>
              </w:rPr>
              <w:t> </w:t>
            </w:r>
            <w:r>
              <w:rPr>
                <w:sz w:val="18"/>
              </w:rPr>
              <w:t>depletes</w:t>
            </w:r>
            <w:r>
              <w:rPr>
                <w:spacing w:val="-6"/>
                <w:sz w:val="18"/>
              </w:rPr>
              <w:t> </w:t>
            </w:r>
            <w:r>
              <w:rPr>
                <w:sz w:val="18"/>
              </w:rPr>
              <w:t>vine</w:t>
            </w:r>
            <w:r>
              <w:rPr>
                <w:spacing w:val="-6"/>
                <w:sz w:val="18"/>
              </w:rPr>
              <w:t> </w:t>
            </w:r>
            <w:r>
              <w:rPr>
                <w:sz w:val="18"/>
              </w:rPr>
              <w:t>re-serves;</w:t>
            </w:r>
            <w:r>
              <w:rPr>
                <w:spacing w:val="-9"/>
                <w:sz w:val="18"/>
              </w:rPr>
              <w:t> </w:t>
            </w:r>
            <w:r>
              <w:rPr>
                <w:sz w:val="18"/>
              </w:rPr>
              <w:t>M5Rules</w:t>
            </w:r>
            <w:r>
              <w:rPr>
                <w:spacing w:val="-9"/>
                <w:sz w:val="18"/>
              </w:rPr>
              <w:t> </w:t>
            </w:r>
            <w:r>
              <w:rPr>
                <w:sz w:val="18"/>
              </w:rPr>
              <w:t>quantifies</w:t>
            </w:r>
            <w:r>
              <w:rPr>
                <w:spacing w:val="-9"/>
                <w:sz w:val="18"/>
              </w:rPr>
              <w:t> </w:t>
            </w:r>
            <w:r>
              <w:rPr>
                <w:sz w:val="18"/>
              </w:rPr>
              <w:t>the</w:t>
            </w:r>
            <w:r>
              <w:rPr>
                <w:spacing w:val="-8"/>
                <w:sz w:val="18"/>
              </w:rPr>
              <w:t> </w:t>
            </w:r>
            <w:r>
              <w:rPr>
                <w:sz w:val="18"/>
              </w:rPr>
              <w:t>effect</w:t>
            </w:r>
            <w:r>
              <w:rPr>
                <w:spacing w:val="-9"/>
                <w:sz w:val="18"/>
              </w:rPr>
              <w:t> </w:t>
            </w:r>
            <w:r>
              <w:rPr>
                <w:sz w:val="18"/>
              </w:rPr>
              <w:t>at</w:t>
            </w:r>
            <w:r>
              <w:rPr>
                <w:spacing w:val="-9"/>
                <w:sz w:val="18"/>
              </w:rPr>
              <w:t> </w:t>
            </w:r>
            <w:r>
              <w:rPr>
                <w:sz w:val="18"/>
              </w:rPr>
              <w:t>-</w:t>
            </w:r>
            <w:r>
              <w:rPr>
                <w:spacing w:val="-5"/>
                <w:sz w:val="18"/>
              </w:rPr>
              <w:t>98</w:t>
            </w:r>
          </w:p>
          <w:p>
            <w:pPr>
              <w:pStyle w:val="TableParagraph"/>
              <w:spacing w:line="207" w:lineRule="exact" w:before="0"/>
              <w:ind w:left="119"/>
              <w:rPr>
                <w:sz w:val="18"/>
              </w:rPr>
            </w:pPr>
            <w:r>
              <w:rPr>
                <w:spacing w:val="-2"/>
                <w:sz w:val="18"/>
              </w:rPr>
              <w:t>mhl/</w:t>
            </w:r>
            <w:r>
              <w:rPr>
                <w:rFonts w:ascii="Meiryo UI" w:hAnsi="Meiryo UI"/>
                <w:i/>
                <w:spacing w:val="-2"/>
                <w:position w:val="7"/>
                <w:sz w:val="14"/>
              </w:rPr>
              <w:t>◦</w:t>
            </w:r>
            <w:r>
              <w:rPr>
                <w:spacing w:val="-2"/>
                <w:sz w:val="18"/>
              </w:rPr>
              <w:t>C</w:t>
            </w:r>
          </w:p>
        </w:tc>
      </w:tr>
      <w:tr>
        <w:trPr>
          <w:trHeight w:val="723" w:hRule="atLeast"/>
        </w:trPr>
        <w:tc>
          <w:tcPr>
            <w:tcW w:w="1830" w:type="dxa"/>
            <w:tcBorders>
              <w:right w:val="single" w:sz="4" w:space="0" w:color="000000"/>
            </w:tcBorders>
          </w:tcPr>
          <w:p>
            <w:pPr>
              <w:pStyle w:val="TableParagraph"/>
              <w:spacing w:before="35"/>
              <w:ind w:left="119"/>
              <w:rPr>
                <w:b/>
                <w:sz w:val="18"/>
              </w:rPr>
            </w:pPr>
            <w:r>
              <w:rPr>
                <w:b/>
                <w:spacing w:val="-2"/>
                <w:sz w:val="18"/>
              </w:rPr>
              <w:t>tm_sm_y0_a20</w:t>
            </w:r>
          </w:p>
          <w:p>
            <w:pPr>
              <w:pStyle w:val="TableParagraph"/>
              <w:tabs>
                <w:tab w:pos="1093" w:val="left" w:leader="none"/>
              </w:tabs>
              <w:spacing w:line="254" w:lineRule="auto" w:before="12"/>
              <w:ind w:left="119" w:right="109" w:hanging="6"/>
              <w:rPr>
                <w:sz w:val="18"/>
              </w:rPr>
            </w:pPr>
            <w:r>
              <w:rPr>
                <w:spacing w:val="-2"/>
                <w:sz w:val="18"/>
              </w:rPr>
              <w:t>(prev-yr</w:t>
            </w:r>
            <w:r>
              <w:rPr>
                <w:sz w:val="18"/>
              </w:rPr>
              <w:tab/>
            </w:r>
            <w:r>
              <w:rPr>
                <w:spacing w:val="-2"/>
                <w:sz w:val="18"/>
              </w:rPr>
              <w:t>maturity temp)</w:t>
            </w:r>
          </w:p>
        </w:tc>
        <w:tc>
          <w:tcPr>
            <w:tcW w:w="1097" w:type="dxa"/>
            <w:tcBorders>
              <w:left w:val="single" w:sz="4" w:space="0" w:color="000000"/>
              <w:right w:val="single" w:sz="4" w:space="0" w:color="000000"/>
            </w:tcBorders>
          </w:tcPr>
          <w:p>
            <w:pPr>
              <w:pStyle w:val="TableParagraph"/>
              <w:spacing w:line="176" w:lineRule="exact" w:before="35"/>
              <w:ind w:left="119"/>
              <w:rPr>
                <w:sz w:val="18"/>
              </w:rPr>
            </w:pPr>
            <w:r>
              <w:rPr>
                <w:spacing w:val="-2"/>
                <w:sz w:val="18"/>
              </w:rPr>
              <w:t>-</w:t>
            </w:r>
            <w:r>
              <w:rPr>
                <w:spacing w:val="-4"/>
                <w:sz w:val="18"/>
              </w:rPr>
              <w:t>38.5</w:t>
            </w:r>
          </w:p>
          <w:p>
            <w:pPr>
              <w:pStyle w:val="TableParagraph"/>
              <w:spacing w:line="250" w:lineRule="exact" w:before="0"/>
              <w:ind w:left="119"/>
              <w:rPr>
                <w:sz w:val="18"/>
              </w:rPr>
            </w:pPr>
            <w:r>
              <w:rPr>
                <w:sz w:val="18"/>
              </w:rPr>
              <w:t>per</w:t>
            </w:r>
            <w:r>
              <w:rPr>
                <w:spacing w:val="-4"/>
                <w:sz w:val="18"/>
              </w:rPr>
              <w:t> </w:t>
            </w:r>
            <w:r>
              <w:rPr>
                <w:rFonts w:ascii="Meiryo UI" w:hAnsi="Meiryo UI"/>
                <w:i/>
                <w:spacing w:val="-5"/>
                <w:position w:val="7"/>
                <w:sz w:val="14"/>
              </w:rPr>
              <w:t>◦</w:t>
            </w:r>
            <w:r>
              <w:rPr>
                <w:spacing w:val="-5"/>
                <w:sz w:val="18"/>
              </w:rPr>
              <w:t>C</w:t>
            </w:r>
          </w:p>
        </w:tc>
        <w:tc>
          <w:tcPr>
            <w:tcW w:w="2231" w:type="dxa"/>
            <w:tcBorders>
              <w:left w:val="single" w:sz="4" w:space="0" w:color="000000"/>
              <w:right w:val="single" w:sz="4" w:space="0" w:color="000000"/>
            </w:tcBorders>
          </w:tcPr>
          <w:p>
            <w:pPr>
              <w:pStyle w:val="TableParagraph"/>
              <w:spacing w:line="254" w:lineRule="auto" w:before="35"/>
              <w:ind w:left="115" w:right="80" w:firstLine="4"/>
              <w:rPr>
                <w:sz w:val="18"/>
              </w:rPr>
            </w:pPr>
            <w:r>
              <w:rPr>
                <w:sz w:val="18"/>
              </w:rPr>
              <w:t>Consistent</w:t>
            </w:r>
            <w:r>
              <w:rPr>
                <w:spacing w:val="-12"/>
                <w:sz w:val="18"/>
              </w:rPr>
              <w:t> </w:t>
            </w:r>
            <w:r>
              <w:rPr>
                <w:sz w:val="18"/>
              </w:rPr>
              <w:t>with</w:t>
            </w:r>
            <w:r>
              <w:rPr>
                <w:spacing w:val="-11"/>
                <w:sz w:val="18"/>
              </w:rPr>
              <w:t> </w:t>
            </w:r>
            <w:r>
              <w:rPr>
                <w:sz w:val="18"/>
              </w:rPr>
              <w:t>RVV</w:t>
            </w:r>
            <w:r>
              <w:rPr>
                <w:spacing w:val="-11"/>
                <w:sz w:val="18"/>
              </w:rPr>
              <w:t> </w:t>
            </w:r>
            <w:r>
              <w:rPr>
                <w:sz w:val="18"/>
              </w:rPr>
              <w:t>multi-year pattern</w:t>
            </w:r>
          </w:p>
        </w:tc>
        <w:tc>
          <w:tcPr>
            <w:tcW w:w="3344" w:type="dxa"/>
            <w:tcBorders>
              <w:left w:val="single" w:sz="4" w:space="0" w:color="000000"/>
            </w:tcBorders>
          </w:tcPr>
          <w:p>
            <w:pPr>
              <w:pStyle w:val="TableParagraph"/>
              <w:spacing w:line="254" w:lineRule="auto" w:before="35"/>
              <w:ind w:left="119" w:right="85"/>
              <w:jc w:val="both"/>
              <w:rPr>
                <w:sz w:val="18"/>
              </w:rPr>
            </w:pPr>
            <w:r>
              <w:rPr>
                <w:sz w:val="18"/>
              </w:rPr>
              <w:t>Prior-year</w:t>
            </w:r>
            <w:r>
              <w:rPr>
                <w:spacing w:val="-12"/>
                <w:sz w:val="18"/>
              </w:rPr>
              <w:t> </w:t>
            </w:r>
            <w:r>
              <w:rPr>
                <w:sz w:val="18"/>
              </w:rPr>
              <w:t>heat</w:t>
            </w:r>
            <w:r>
              <w:rPr>
                <w:spacing w:val="-11"/>
                <w:sz w:val="18"/>
              </w:rPr>
              <w:t> </w:t>
            </w:r>
            <w:r>
              <w:rPr>
                <w:sz w:val="18"/>
              </w:rPr>
              <w:t>during</w:t>
            </w:r>
            <w:r>
              <w:rPr>
                <w:spacing w:val="-11"/>
                <w:sz w:val="18"/>
              </w:rPr>
              <w:t> </w:t>
            </w:r>
            <w:r>
              <w:rPr>
                <w:sz w:val="18"/>
              </w:rPr>
              <w:t>ripening</w:t>
            </w:r>
            <w:r>
              <w:rPr>
                <w:spacing w:val="-11"/>
                <w:sz w:val="18"/>
              </w:rPr>
              <w:t> </w:t>
            </w:r>
            <w:r>
              <w:rPr>
                <w:sz w:val="18"/>
              </w:rPr>
              <w:t>reduces</w:t>
            </w:r>
            <w:r>
              <w:rPr>
                <w:spacing w:val="-12"/>
                <w:sz w:val="18"/>
              </w:rPr>
              <w:t> </w:t>
            </w:r>
            <w:r>
              <w:rPr>
                <w:sz w:val="18"/>
              </w:rPr>
              <w:t>cur-rent production, documented in M5Rules RVV and RIPPER RVV Rule 3</w:t>
            </w:r>
          </w:p>
        </w:tc>
      </w:tr>
      <w:tr>
        <w:trPr>
          <w:trHeight w:val="1420" w:hRule="atLeast"/>
        </w:trPr>
        <w:tc>
          <w:tcPr>
            <w:tcW w:w="1830" w:type="dxa"/>
            <w:tcBorders>
              <w:bottom w:val="single" w:sz="8" w:space="0" w:color="000000"/>
              <w:right w:val="single" w:sz="4" w:space="0" w:color="000000"/>
            </w:tcBorders>
          </w:tcPr>
          <w:p>
            <w:pPr>
              <w:pStyle w:val="TableParagraph"/>
              <w:spacing w:before="35"/>
              <w:ind w:left="119"/>
              <w:rPr>
                <w:b/>
                <w:sz w:val="18"/>
              </w:rPr>
            </w:pPr>
            <w:r>
              <w:rPr>
                <w:b/>
                <w:spacing w:val="-2"/>
                <w:sz w:val="18"/>
              </w:rPr>
              <w:t>swa_hv_y1_b20</w:t>
            </w:r>
          </w:p>
          <w:p>
            <w:pPr>
              <w:pStyle w:val="TableParagraph"/>
              <w:spacing w:before="12"/>
              <w:ind w:left="113"/>
              <w:rPr>
                <w:sz w:val="18"/>
              </w:rPr>
            </w:pPr>
            <w:r>
              <w:rPr>
                <w:sz w:val="18"/>
              </w:rPr>
              <w:t>(harvest</w:t>
            </w:r>
            <w:r>
              <w:rPr>
                <w:spacing w:val="-7"/>
                <w:sz w:val="18"/>
              </w:rPr>
              <w:t> </w:t>
            </w:r>
            <w:r>
              <w:rPr>
                <w:sz w:val="18"/>
              </w:rPr>
              <w:t>soil</w:t>
            </w:r>
            <w:r>
              <w:rPr>
                <w:spacing w:val="-7"/>
                <w:sz w:val="18"/>
              </w:rPr>
              <w:t> </w:t>
            </w:r>
            <w:r>
              <w:rPr>
                <w:spacing w:val="-2"/>
                <w:sz w:val="18"/>
              </w:rPr>
              <w:t>water)</w:t>
            </w:r>
          </w:p>
        </w:tc>
        <w:tc>
          <w:tcPr>
            <w:tcW w:w="1097" w:type="dxa"/>
            <w:tcBorders>
              <w:left w:val="single" w:sz="4" w:space="0" w:color="000000"/>
              <w:bottom w:val="single" w:sz="8" w:space="0" w:color="000000"/>
              <w:right w:val="single" w:sz="4" w:space="0" w:color="000000"/>
            </w:tcBorders>
          </w:tcPr>
          <w:p>
            <w:pPr>
              <w:pStyle w:val="TableParagraph"/>
              <w:spacing w:before="35"/>
              <w:ind w:left="119"/>
              <w:rPr>
                <w:sz w:val="18"/>
              </w:rPr>
            </w:pPr>
            <w:r>
              <w:rPr>
                <w:spacing w:val="-2"/>
                <w:sz w:val="18"/>
              </w:rPr>
              <w:t>-</w:t>
            </w:r>
            <w:r>
              <w:rPr>
                <w:spacing w:val="-5"/>
                <w:sz w:val="18"/>
              </w:rPr>
              <w:t>2.3</w:t>
            </w:r>
          </w:p>
          <w:p>
            <w:pPr>
              <w:pStyle w:val="TableParagraph"/>
              <w:spacing w:before="12"/>
              <w:ind w:left="119"/>
              <w:rPr>
                <w:sz w:val="18"/>
              </w:rPr>
            </w:pPr>
            <w:r>
              <w:rPr>
                <w:sz w:val="18"/>
              </w:rPr>
              <w:t>per</w:t>
            </w:r>
            <w:r>
              <w:rPr>
                <w:spacing w:val="-4"/>
                <w:sz w:val="18"/>
              </w:rPr>
              <w:t> </w:t>
            </w:r>
            <w:r>
              <w:rPr>
                <w:spacing w:val="-5"/>
                <w:sz w:val="18"/>
              </w:rPr>
              <w:t>mm</w:t>
            </w:r>
          </w:p>
        </w:tc>
        <w:tc>
          <w:tcPr>
            <w:tcW w:w="2231" w:type="dxa"/>
            <w:tcBorders>
              <w:left w:val="single" w:sz="4" w:space="0" w:color="000000"/>
              <w:bottom w:val="single" w:sz="8" w:space="0" w:color="000000"/>
              <w:right w:val="single" w:sz="4" w:space="0" w:color="000000"/>
            </w:tcBorders>
          </w:tcPr>
          <w:p>
            <w:pPr>
              <w:pStyle w:val="TableParagraph"/>
              <w:spacing w:line="254" w:lineRule="auto" w:before="35"/>
              <w:ind w:left="119" w:right="85"/>
              <w:jc w:val="both"/>
              <w:rPr>
                <w:sz w:val="18"/>
              </w:rPr>
            </w:pPr>
            <w:r>
              <w:rPr>
                <w:sz w:val="18"/>
              </w:rPr>
              <w:t>Same</w:t>
            </w:r>
            <w:r>
              <w:rPr>
                <w:spacing w:val="-3"/>
                <w:sz w:val="18"/>
              </w:rPr>
              <w:t> </w:t>
            </w:r>
            <w:r>
              <w:rPr>
                <w:sz w:val="18"/>
              </w:rPr>
              <w:t>variable</w:t>
            </w:r>
            <w:r>
              <w:rPr>
                <w:spacing w:val="-3"/>
                <w:sz w:val="18"/>
              </w:rPr>
              <w:t> </w:t>
            </w:r>
            <w:r>
              <w:rPr>
                <w:sz w:val="18"/>
              </w:rPr>
              <w:t>selected;</w:t>
            </w:r>
            <w:r>
              <w:rPr>
                <w:spacing w:val="-3"/>
                <w:sz w:val="18"/>
              </w:rPr>
              <w:t> </w:t>
            </w:r>
            <w:r>
              <w:rPr>
                <w:sz w:val="18"/>
              </w:rPr>
              <w:t>op-posite direction to CarenR Rule 4 — see Section </w:t>
            </w:r>
            <w:hyperlink w:history="true" w:anchor="_bookmark81">
              <w:r>
                <w:rPr>
                  <w:color w:val="8B2C18"/>
                  <w:sz w:val="18"/>
                </w:rPr>
                <w:t>4.4</w:t>
              </w:r>
            </w:hyperlink>
            <w:r>
              <w:rPr>
                <w:color w:val="8B2C18"/>
                <w:sz w:val="18"/>
              </w:rPr>
              <w:t> </w:t>
            </w:r>
            <w:r>
              <w:rPr>
                <w:sz w:val="18"/>
              </w:rPr>
              <w:t>for explanation</w:t>
            </w:r>
          </w:p>
        </w:tc>
        <w:tc>
          <w:tcPr>
            <w:tcW w:w="3344" w:type="dxa"/>
            <w:tcBorders>
              <w:left w:val="single" w:sz="4" w:space="0" w:color="000000"/>
              <w:bottom w:val="single" w:sz="8" w:space="0" w:color="000000"/>
            </w:tcBorders>
          </w:tcPr>
          <w:p>
            <w:pPr>
              <w:pStyle w:val="TableParagraph"/>
              <w:spacing w:line="254" w:lineRule="auto" w:before="35"/>
              <w:ind w:left="113" w:right="85" w:firstLine="6"/>
              <w:jc w:val="both"/>
              <w:rPr>
                <w:sz w:val="18"/>
              </w:rPr>
            </w:pPr>
            <w:r>
              <w:rPr>
                <w:sz w:val="18"/>
              </w:rPr>
              <w:t>M5Rules global negative slope (-2.3 mhl/mm)</w:t>
            </w:r>
            <w:r>
              <w:rPr>
                <w:spacing w:val="40"/>
                <w:sz w:val="18"/>
              </w:rPr>
              <w:t> </w:t>
            </w:r>
            <w:r>
              <w:rPr>
                <w:sz w:val="18"/>
              </w:rPr>
              <w:t>contrasts</w:t>
            </w:r>
            <w:r>
              <w:rPr>
                <w:spacing w:val="40"/>
                <w:sz w:val="18"/>
              </w:rPr>
              <w:t> </w:t>
            </w:r>
            <w:r>
              <w:rPr>
                <w:sz w:val="18"/>
              </w:rPr>
              <w:t>with</w:t>
            </w:r>
            <w:r>
              <w:rPr>
                <w:spacing w:val="40"/>
                <w:sz w:val="18"/>
              </w:rPr>
              <w:t> </w:t>
            </w:r>
            <w:r>
              <w:rPr>
                <w:sz w:val="18"/>
              </w:rPr>
              <w:t>CarenR</w:t>
            </w:r>
            <w:r>
              <w:rPr>
                <w:spacing w:val="40"/>
                <w:sz w:val="18"/>
              </w:rPr>
              <w:t> </w:t>
            </w:r>
            <w:r>
              <w:rPr>
                <w:sz w:val="18"/>
              </w:rPr>
              <w:t>Rule</w:t>
            </w:r>
            <w:r>
              <w:rPr>
                <w:spacing w:val="80"/>
                <w:sz w:val="18"/>
              </w:rPr>
              <w:t> </w:t>
            </w:r>
            <w:r>
              <w:rPr>
                <w:sz w:val="18"/>
              </w:rPr>
              <w:t>4’s above-trend moderate-deficit range;</w:t>
            </w:r>
            <w:r>
              <w:rPr>
                <w:spacing w:val="80"/>
                <w:sz w:val="18"/>
              </w:rPr>
              <w:t> </w:t>
            </w:r>
            <w:r>
              <w:rPr>
                <w:sz w:val="18"/>
              </w:rPr>
              <w:t>the discrepancy reflects confounded co-occurrences and the absence of interaction terms in the linear model</w:t>
            </w:r>
          </w:p>
        </w:tc>
      </w:tr>
    </w:tbl>
    <w:p>
      <w:pPr>
        <w:pStyle w:val="BodyText"/>
        <w:spacing w:before="207"/>
        <w:rPr>
          <w:sz w:val="20"/>
        </w:rPr>
      </w:pPr>
    </w:p>
    <w:p>
      <w:pPr>
        <w:pStyle w:val="BodyText"/>
        <w:spacing w:line="312" w:lineRule="auto"/>
        <w:ind w:left="701" w:right="990" w:firstLine="7"/>
        <w:jc w:val="both"/>
      </w:pPr>
      <w:r>
        <w:rPr/>
        <w:t>that</w:t>
      </w:r>
      <w:r>
        <w:rPr>
          <w:spacing w:val="-11"/>
        </w:rPr>
        <w:t> </w:t>
      </w:r>
      <w:r>
        <w:rPr/>
        <w:t>are</w:t>
      </w:r>
      <w:r>
        <w:rPr>
          <w:spacing w:val="-11"/>
        </w:rPr>
        <w:t> </w:t>
      </w:r>
      <w:r>
        <w:rPr/>
        <w:t>independently</w:t>
      </w:r>
      <w:r>
        <w:rPr>
          <w:spacing w:val="-11"/>
        </w:rPr>
        <w:t> </w:t>
      </w:r>
      <w:r>
        <w:rPr/>
        <w:t>harmful</w:t>
      </w:r>
      <w:r>
        <w:rPr>
          <w:spacing w:val="-11"/>
        </w:rPr>
        <w:t> </w:t>
      </w:r>
      <w:r>
        <w:rPr/>
        <w:t>(disease</w:t>
      </w:r>
      <w:r>
        <w:rPr>
          <w:spacing w:val="-11"/>
        </w:rPr>
        <w:t> </w:t>
      </w:r>
      <w:r>
        <w:rPr/>
        <w:t>pressure,</w:t>
      </w:r>
      <w:r>
        <w:rPr>
          <w:spacing w:val="-11"/>
        </w:rPr>
        <w:t> </w:t>
      </w:r>
      <w:r>
        <w:rPr/>
        <w:t>slow</w:t>
      </w:r>
      <w:r>
        <w:rPr>
          <w:spacing w:val="-11"/>
        </w:rPr>
        <w:t> </w:t>
      </w:r>
      <w:r>
        <w:rPr/>
        <w:t>ripening),</w:t>
      </w:r>
      <w:r>
        <w:rPr>
          <w:spacing w:val="-11"/>
        </w:rPr>
        <w:t> </w:t>
      </w:r>
      <w:r>
        <w:rPr/>
        <w:t>causing</w:t>
      </w:r>
      <w:r>
        <w:rPr>
          <w:spacing w:val="-11"/>
        </w:rPr>
        <w:t> </w:t>
      </w:r>
      <w:r>
        <w:rPr/>
        <w:t>the</w:t>
      </w:r>
      <w:r>
        <w:rPr>
          <w:spacing w:val="-11"/>
        </w:rPr>
        <w:t> </w:t>
      </w:r>
      <w:r>
        <w:rPr/>
        <w:t>marginal</w:t>
      </w:r>
      <w:r>
        <w:rPr>
          <w:spacing w:val="-11"/>
        </w:rPr>
        <w:t> </w:t>
      </w:r>
      <w:r>
        <w:rPr/>
        <w:t>coefficient to</w:t>
      </w:r>
      <w:r>
        <w:rPr>
          <w:spacing w:val="-14"/>
        </w:rPr>
        <w:t> </w:t>
      </w:r>
      <w:r>
        <w:rPr/>
        <w:t>absorb</w:t>
      </w:r>
      <w:r>
        <w:rPr>
          <w:spacing w:val="-14"/>
        </w:rPr>
        <w:t> </w:t>
      </w:r>
      <w:r>
        <w:rPr/>
        <w:t>these</w:t>
      </w:r>
      <w:r>
        <w:rPr>
          <w:spacing w:val="-14"/>
        </w:rPr>
        <w:t> </w:t>
      </w:r>
      <w:r>
        <w:rPr/>
        <w:t>confounded</w:t>
      </w:r>
      <w:r>
        <w:rPr>
          <w:spacing w:val="-13"/>
        </w:rPr>
        <w:t> </w:t>
      </w:r>
      <w:r>
        <w:rPr/>
        <w:t>co-occurrences</w:t>
      </w:r>
      <w:r>
        <w:rPr>
          <w:spacing w:val="-14"/>
        </w:rPr>
        <w:t> </w:t>
      </w:r>
      <w:r>
        <w:rPr/>
        <w:t>and</w:t>
      </w:r>
      <w:r>
        <w:rPr>
          <w:spacing w:val="-14"/>
        </w:rPr>
        <w:t> </w:t>
      </w:r>
      <w:r>
        <w:rPr/>
        <w:t>appear</w:t>
      </w:r>
      <w:r>
        <w:rPr>
          <w:spacing w:val="-14"/>
        </w:rPr>
        <w:t> </w:t>
      </w:r>
      <w:r>
        <w:rPr/>
        <w:t>negative</w:t>
      </w:r>
      <w:r>
        <w:rPr>
          <w:spacing w:val="-13"/>
        </w:rPr>
        <w:t> </w:t>
      </w:r>
      <w:r>
        <w:rPr/>
        <w:t>overall.</w:t>
      </w:r>
      <w:r>
        <w:rPr>
          <w:spacing w:val="-14"/>
        </w:rPr>
        <w:t> </w:t>
      </w:r>
      <w:r>
        <w:rPr/>
        <w:t>CarenR’s</w:t>
      </w:r>
      <w:r>
        <w:rPr>
          <w:spacing w:val="-14"/>
        </w:rPr>
        <w:t> </w:t>
      </w:r>
      <w:r>
        <w:rPr/>
        <w:t>multi-condition rules</w:t>
      </w:r>
      <w:r>
        <w:rPr>
          <w:spacing w:val="-3"/>
        </w:rPr>
        <w:t> </w:t>
      </w:r>
      <w:r>
        <w:rPr/>
        <w:t>circumvent</w:t>
      </w:r>
      <w:r>
        <w:rPr>
          <w:spacing w:val="-3"/>
        </w:rPr>
        <w:t> </w:t>
      </w:r>
      <w:r>
        <w:rPr/>
        <w:t>this</w:t>
      </w:r>
      <w:r>
        <w:rPr>
          <w:spacing w:val="-3"/>
        </w:rPr>
        <w:t> </w:t>
      </w:r>
      <w:r>
        <w:rPr/>
        <w:t>by</w:t>
      </w:r>
      <w:r>
        <w:rPr>
          <w:spacing w:val="-3"/>
        </w:rPr>
        <w:t> </w:t>
      </w:r>
      <w:r>
        <w:rPr/>
        <w:t>conditioning</w:t>
      </w:r>
      <w:r>
        <w:rPr>
          <w:spacing w:val="-3"/>
        </w:rPr>
        <w:t> </w:t>
      </w:r>
      <w:r>
        <w:rPr/>
        <w:t>jointly</w:t>
      </w:r>
      <w:r>
        <w:rPr>
          <w:spacing w:val="-3"/>
        </w:rPr>
        <w:t> </w:t>
      </w:r>
      <w:r>
        <w:rPr/>
        <w:t>—</w:t>
      </w:r>
      <w:r>
        <w:rPr>
          <w:spacing w:val="-3"/>
        </w:rPr>
        <w:t> </w:t>
      </w:r>
      <w:r>
        <w:rPr/>
        <w:t>the</w:t>
      </w:r>
      <w:r>
        <w:rPr>
          <w:spacing w:val="-3"/>
        </w:rPr>
        <w:t> </w:t>
      </w:r>
      <w:r>
        <w:rPr/>
        <w:t>above-trend</w:t>
      </w:r>
      <w:r>
        <w:rPr>
          <w:spacing w:val="-3"/>
        </w:rPr>
        <w:t> </w:t>
      </w:r>
      <w:r>
        <w:rPr/>
        <w:t>subgroup</w:t>
      </w:r>
      <w:r>
        <w:rPr>
          <w:spacing w:val="-3"/>
        </w:rPr>
        <w:t> </w:t>
      </w:r>
      <w:r>
        <w:rPr/>
        <w:t>requires</w:t>
      </w:r>
      <w:r>
        <w:rPr>
          <w:spacing w:val="-3"/>
        </w:rPr>
        <w:t> </w:t>
      </w:r>
      <w:r>
        <w:rPr/>
        <w:t>moderate</w:t>
      </w:r>
      <w:r>
        <w:rPr>
          <w:spacing w:val="-3"/>
        </w:rPr>
        <w:t> </w:t>
      </w:r>
      <w:r>
        <w:rPr/>
        <w:t>soil water</w:t>
      </w:r>
      <w:r>
        <w:rPr>
          <w:spacing w:val="-2"/>
        </w:rPr>
        <w:t> </w:t>
      </w:r>
      <w:r>
        <w:rPr/>
        <w:t>together</w:t>
      </w:r>
      <w:r>
        <w:rPr>
          <w:spacing w:val="-2"/>
        </w:rPr>
        <w:t> </w:t>
      </w:r>
      <w:r>
        <w:rPr/>
        <w:t>with</w:t>
      </w:r>
      <w:r>
        <w:rPr>
          <w:spacing w:val="-2"/>
        </w:rPr>
        <w:t> </w:t>
      </w:r>
      <w:r>
        <w:rPr/>
        <w:t>dry</w:t>
      </w:r>
      <w:r>
        <w:rPr>
          <w:spacing w:val="-2"/>
        </w:rPr>
        <w:t> </w:t>
      </w:r>
      <w:r>
        <w:rPr/>
        <w:t>post-flowering</w:t>
      </w:r>
      <w:r>
        <w:rPr>
          <w:spacing w:val="-2"/>
        </w:rPr>
        <w:t> </w:t>
      </w:r>
      <w:r>
        <w:rPr/>
        <w:t>conditions</w:t>
      </w:r>
      <w:r>
        <w:rPr>
          <w:spacing w:val="-2"/>
        </w:rPr>
        <w:t> </w:t>
      </w:r>
      <w:r>
        <w:rPr/>
        <w:t>and</w:t>
      </w:r>
      <w:r>
        <w:rPr>
          <w:spacing w:val="-2"/>
        </w:rPr>
        <w:t> </w:t>
      </w:r>
      <w:r>
        <w:rPr/>
        <w:t>bounded</w:t>
      </w:r>
      <w:r>
        <w:rPr>
          <w:spacing w:val="-2"/>
        </w:rPr>
        <w:t> </w:t>
      </w:r>
      <w:r>
        <w:rPr/>
        <w:t>heat,</w:t>
      </w:r>
      <w:r>
        <w:rPr>
          <w:spacing w:val="-2"/>
        </w:rPr>
        <w:t> </w:t>
      </w:r>
      <w:r>
        <w:rPr/>
        <w:t>a</w:t>
      </w:r>
      <w:r>
        <w:rPr>
          <w:spacing w:val="-2"/>
        </w:rPr>
        <w:t> </w:t>
      </w:r>
      <w:r>
        <w:rPr/>
        <w:t>combination</w:t>
      </w:r>
      <w:r>
        <w:rPr>
          <w:spacing w:val="-2"/>
        </w:rPr>
        <w:t> </w:t>
      </w:r>
      <w:r>
        <w:rPr/>
        <w:t>that</w:t>
      </w:r>
      <w:r>
        <w:rPr>
          <w:spacing w:val="-2"/>
        </w:rPr>
        <w:t> </w:t>
      </w:r>
      <w:r>
        <w:rPr/>
        <w:t>a</w:t>
      </w:r>
      <w:r>
        <w:rPr>
          <w:spacing w:val="-2"/>
        </w:rPr>
        <w:t> </w:t>
      </w:r>
      <w:r>
        <w:rPr/>
        <w:t>global additive model cannot capture without explicit interaction terms.</w:t>
      </w:r>
    </w:p>
    <w:p>
      <w:pPr>
        <w:spacing w:before="157"/>
        <w:ind w:left="2005" w:right="0" w:firstLine="0"/>
        <w:jc w:val="both"/>
        <w:rPr>
          <w:sz w:val="20"/>
        </w:rPr>
      </w:pPr>
      <w:bookmarkStart w:name="_bookmark83" w:id="147"/>
      <w:bookmarkEnd w:id="147"/>
      <w:r>
        <w:rPr/>
      </w:r>
      <w:r>
        <w:rPr>
          <w:b/>
          <w:sz w:val="20"/>
        </w:rPr>
        <w:t>Table</w:t>
      </w:r>
      <w:r>
        <w:rPr>
          <w:b/>
          <w:spacing w:val="-11"/>
          <w:sz w:val="20"/>
        </w:rPr>
        <w:t> </w:t>
      </w:r>
      <w:r>
        <w:rPr>
          <w:b/>
          <w:sz w:val="20"/>
        </w:rPr>
        <w:t>4.8:</w:t>
      </w:r>
      <w:r>
        <w:rPr>
          <w:b/>
          <w:spacing w:val="-1"/>
          <w:sz w:val="20"/>
        </w:rPr>
        <w:t> </w:t>
      </w:r>
      <w:r>
        <w:rPr>
          <w:sz w:val="20"/>
        </w:rPr>
        <w:t>M5Rules</w:t>
      </w:r>
      <w:r>
        <w:rPr>
          <w:spacing w:val="-11"/>
          <w:sz w:val="20"/>
        </w:rPr>
        <w:t> </w:t>
      </w:r>
      <w:r>
        <w:rPr>
          <w:sz w:val="20"/>
        </w:rPr>
        <w:t>RVV</w:t>
      </w:r>
      <w:r>
        <w:rPr>
          <w:spacing w:val="-11"/>
          <w:sz w:val="20"/>
        </w:rPr>
        <w:t> </w:t>
      </w:r>
      <w:r>
        <w:rPr>
          <w:sz w:val="20"/>
        </w:rPr>
        <w:t>Rule</w:t>
      </w:r>
      <w:r>
        <w:rPr>
          <w:spacing w:val="-10"/>
          <w:sz w:val="20"/>
        </w:rPr>
        <w:t> </w:t>
      </w:r>
      <w:r>
        <w:rPr>
          <w:sz w:val="20"/>
        </w:rPr>
        <w:t>1</w:t>
      </w:r>
      <w:r>
        <w:rPr>
          <w:spacing w:val="-11"/>
          <w:sz w:val="20"/>
        </w:rPr>
        <w:t> </w:t>
      </w:r>
      <w:r>
        <w:rPr>
          <w:sz w:val="20"/>
        </w:rPr>
        <w:t>coefficients</w:t>
      </w:r>
      <w:r>
        <w:rPr>
          <w:spacing w:val="-11"/>
          <w:sz w:val="20"/>
        </w:rPr>
        <w:t> </w:t>
      </w:r>
      <w:r>
        <w:rPr>
          <w:sz w:val="20"/>
        </w:rPr>
        <w:t>mapped</w:t>
      </w:r>
      <w:r>
        <w:rPr>
          <w:spacing w:val="-11"/>
          <w:sz w:val="20"/>
        </w:rPr>
        <w:t> </w:t>
      </w:r>
      <w:r>
        <w:rPr>
          <w:sz w:val="20"/>
        </w:rPr>
        <w:t>to</w:t>
      </w:r>
      <w:r>
        <w:rPr>
          <w:spacing w:val="-10"/>
          <w:sz w:val="20"/>
        </w:rPr>
        <w:t> </w:t>
      </w:r>
      <w:r>
        <w:rPr>
          <w:sz w:val="20"/>
        </w:rPr>
        <w:t>CarenR</w:t>
      </w:r>
      <w:r>
        <w:rPr>
          <w:spacing w:val="-11"/>
          <w:sz w:val="20"/>
        </w:rPr>
        <w:t> </w:t>
      </w:r>
      <w:r>
        <w:rPr>
          <w:spacing w:val="-2"/>
          <w:sz w:val="20"/>
        </w:rPr>
        <w:t>findings.</w:t>
      </w:r>
    </w:p>
    <w:p>
      <w:pPr>
        <w:pStyle w:val="BodyText"/>
        <w:spacing w:before="5"/>
        <w:rPr>
          <w:sz w:val="18"/>
        </w:rPr>
      </w:pPr>
      <w:r>
        <w:rPr>
          <w:sz w:val="18"/>
        </w:rPr>
        <mc:AlternateContent>
          <mc:Choice Requires="wps">
            <w:drawing>
              <wp:anchor distT="0" distB="0" distL="0" distR="0" allowOverlap="1" layoutInCell="1" locked="0" behindDoc="1" simplePos="0" relativeHeight="487620096">
                <wp:simplePos x="0" y="0"/>
                <wp:positionH relativeFrom="page">
                  <wp:posOffset>1260005</wp:posOffset>
                </wp:positionH>
                <wp:positionV relativeFrom="paragraph">
                  <wp:posOffset>150473</wp:posOffset>
                </wp:positionV>
                <wp:extent cx="5400040" cy="1270"/>
                <wp:effectExtent l="0" t="0" r="0" b="0"/>
                <wp:wrapTopAndBottom/>
                <wp:docPr id="171" name="Graphic 171"/>
                <wp:cNvGraphicFramePr>
                  <a:graphicFrameLocks/>
                </wp:cNvGraphicFramePr>
                <a:graphic>
                  <a:graphicData uri="http://schemas.microsoft.com/office/word/2010/wordprocessingShape">
                    <wps:wsp>
                      <wps:cNvPr id="171" name="Graphic 171"/>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1.848326pt;width:425.2pt;height:.1pt;mso-position-horizontal-relative:page;mso-position-vertical-relative:paragraph;z-index:-15696384;mso-wrap-distance-left:0;mso-wrap-distance-right:0" id="docshape143" coordorigin="1984,237" coordsize="8504,0" path="m1984,237l10488,237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7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30"/>
        <w:gridCol w:w="1097"/>
        <w:gridCol w:w="2231"/>
        <w:gridCol w:w="3344"/>
      </w:tblGrid>
      <w:tr>
        <w:trPr>
          <w:trHeight w:val="758" w:hRule="atLeast"/>
        </w:trPr>
        <w:tc>
          <w:tcPr>
            <w:tcW w:w="1830" w:type="dxa"/>
            <w:tcBorders>
              <w:top w:val="nil"/>
              <w:left w:val="nil"/>
              <w:right w:val="single" w:sz="4" w:space="0" w:color="000000"/>
            </w:tcBorders>
          </w:tcPr>
          <w:p>
            <w:pPr>
              <w:pStyle w:val="TableParagraph"/>
              <w:spacing w:line="254" w:lineRule="auto" w:before="31"/>
              <w:ind w:left="119" w:right="109"/>
              <w:jc w:val="both"/>
              <w:rPr>
                <w:sz w:val="18"/>
              </w:rPr>
            </w:pPr>
            <w:r>
              <w:rPr>
                <w:sz w:val="18"/>
              </w:rPr>
              <w:t>Coefficient </w:t>
            </w:r>
            <w:r>
              <w:rPr>
                <w:sz w:val="18"/>
              </w:rPr>
              <w:t>(RVV </w:t>
            </w:r>
            <w:r>
              <w:rPr>
                <w:spacing w:val="-2"/>
                <w:sz w:val="18"/>
              </w:rPr>
              <w:t>Rule</w:t>
            </w:r>
            <w:r>
              <w:rPr>
                <w:spacing w:val="-10"/>
                <w:sz w:val="18"/>
              </w:rPr>
              <w:t> </w:t>
            </w:r>
            <w:r>
              <w:rPr>
                <w:spacing w:val="-2"/>
                <w:sz w:val="18"/>
              </w:rPr>
              <w:t>1,</w:t>
            </w:r>
            <w:r>
              <w:rPr>
                <w:spacing w:val="-9"/>
                <w:sz w:val="18"/>
              </w:rPr>
              <w:t> </w:t>
            </w:r>
            <w:r>
              <w:rPr>
                <w:spacing w:val="-2"/>
                <w:sz w:val="18"/>
              </w:rPr>
              <w:t>high</w:t>
            </w:r>
            <w:r>
              <w:rPr>
                <w:spacing w:val="-9"/>
                <w:sz w:val="18"/>
              </w:rPr>
              <w:t> </w:t>
            </w:r>
            <w:r>
              <w:rPr>
                <w:spacing w:val="-2"/>
                <w:sz w:val="18"/>
              </w:rPr>
              <w:t>soil</w:t>
            </w:r>
            <w:r>
              <w:rPr>
                <w:spacing w:val="-9"/>
                <w:sz w:val="18"/>
              </w:rPr>
              <w:t> </w:t>
            </w:r>
            <w:r>
              <w:rPr>
                <w:spacing w:val="-2"/>
                <w:sz w:val="18"/>
              </w:rPr>
              <w:t>water subgroup)</w:t>
            </w:r>
          </w:p>
        </w:tc>
        <w:tc>
          <w:tcPr>
            <w:tcW w:w="1097" w:type="dxa"/>
            <w:tcBorders>
              <w:top w:val="nil"/>
              <w:left w:val="single" w:sz="4" w:space="0" w:color="000000"/>
              <w:right w:val="single" w:sz="4" w:space="0" w:color="000000"/>
            </w:tcBorders>
          </w:tcPr>
          <w:p>
            <w:pPr>
              <w:pStyle w:val="TableParagraph"/>
              <w:spacing w:line="254" w:lineRule="auto" w:before="31"/>
              <w:ind w:left="114" w:firstLine="4"/>
              <w:rPr>
                <w:sz w:val="18"/>
              </w:rPr>
            </w:pPr>
            <w:r>
              <w:rPr>
                <w:spacing w:val="-2"/>
                <w:sz w:val="18"/>
              </w:rPr>
              <w:t>Coefficient value</w:t>
            </w:r>
          </w:p>
        </w:tc>
        <w:tc>
          <w:tcPr>
            <w:tcW w:w="2231" w:type="dxa"/>
            <w:tcBorders>
              <w:top w:val="nil"/>
              <w:left w:val="single" w:sz="4" w:space="0" w:color="000000"/>
              <w:right w:val="single" w:sz="4" w:space="0" w:color="000000"/>
            </w:tcBorders>
          </w:tcPr>
          <w:p>
            <w:pPr>
              <w:pStyle w:val="TableParagraph"/>
              <w:spacing w:before="31"/>
              <w:ind w:left="119"/>
              <w:rPr>
                <w:sz w:val="18"/>
              </w:rPr>
            </w:pPr>
            <w:r>
              <w:rPr>
                <w:sz w:val="18"/>
              </w:rPr>
              <w:t>Direction</w:t>
            </w:r>
            <w:r>
              <w:rPr>
                <w:spacing w:val="-6"/>
                <w:sz w:val="18"/>
              </w:rPr>
              <w:t> </w:t>
            </w:r>
            <w:r>
              <w:rPr>
                <w:sz w:val="18"/>
              </w:rPr>
              <w:t>vs</w:t>
            </w:r>
            <w:r>
              <w:rPr>
                <w:spacing w:val="-5"/>
                <w:sz w:val="18"/>
              </w:rPr>
              <w:t> </w:t>
            </w:r>
            <w:r>
              <w:rPr>
                <w:spacing w:val="-2"/>
                <w:sz w:val="18"/>
              </w:rPr>
              <w:t>CarenR</w:t>
            </w:r>
          </w:p>
        </w:tc>
        <w:tc>
          <w:tcPr>
            <w:tcW w:w="3344" w:type="dxa"/>
            <w:tcBorders>
              <w:top w:val="nil"/>
              <w:left w:val="single" w:sz="4" w:space="0" w:color="000000"/>
              <w:right w:val="nil"/>
            </w:tcBorders>
          </w:tcPr>
          <w:p>
            <w:pPr>
              <w:pStyle w:val="TableParagraph"/>
              <w:spacing w:before="31"/>
              <w:ind w:left="119"/>
              <w:rPr>
                <w:sz w:val="18"/>
              </w:rPr>
            </w:pPr>
            <w:r>
              <w:rPr>
                <w:spacing w:val="-2"/>
                <w:sz w:val="18"/>
              </w:rPr>
              <w:t>Interpretation</w:t>
            </w:r>
          </w:p>
        </w:tc>
      </w:tr>
    </w:tbl>
    <w:p>
      <w:pPr>
        <w:pStyle w:val="BodyText"/>
        <w:spacing w:before="11"/>
        <w:rPr>
          <w:sz w:val="4"/>
        </w:rPr>
      </w:pPr>
    </w:p>
    <w:tbl>
      <w:tblPr>
        <w:tblW w:w="0" w:type="auto"/>
        <w:jc w:val="left"/>
        <w:tblInd w:w="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30"/>
        <w:gridCol w:w="1097"/>
        <w:gridCol w:w="2231"/>
        <w:gridCol w:w="3344"/>
      </w:tblGrid>
      <w:tr>
        <w:trPr>
          <w:trHeight w:val="709" w:hRule="atLeast"/>
        </w:trPr>
        <w:tc>
          <w:tcPr>
            <w:tcW w:w="1830" w:type="dxa"/>
            <w:tcBorders>
              <w:right w:val="single" w:sz="4" w:space="0" w:color="000000"/>
            </w:tcBorders>
          </w:tcPr>
          <w:p>
            <w:pPr>
              <w:pStyle w:val="TableParagraph"/>
              <w:spacing w:before="31"/>
              <w:ind w:left="119"/>
              <w:rPr>
                <w:b/>
                <w:sz w:val="18"/>
              </w:rPr>
            </w:pPr>
            <w:r>
              <w:rPr>
                <w:b/>
                <w:spacing w:val="-2"/>
                <w:sz w:val="18"/>
              </w:rPr>
              <w:t>tm_sm_y0_a20</w:t>
            </w:r>
          </w:p>
          <w:p>
            <w:pPr>
              <w:pStyle w:val="TableParagraph"/>
              <w:tabs>
                <w:tab w:pos="1093" w:val="left" w:leader="none"/>
              </w:tabs>
              <w:spacing w:line="254" w:lineRule="auto" w:before="12"/>
              <w:ind w:left="119" w:right="109" w:hanging="6"/>
              <w:rPr>
                <w:sz w:val="18"/>
              </w:rPr>
            </w:pPr>
            <w:r>
              <w:rPr>
                <w:spacing w:val="-2"/>
                <w:sz w:val="18"/>
              </w:rPr>
              <w:t>(prev-yr</w:t>
            </w:r>
            <w:r>
              <w:rPr>
                <w:sz w:val="18"/>
              </w:rPr>
              <w:tab/>
            </w:r>
            <w:r>
              <w:rPr>
                <w:spacing w:val="-2"/>
                <w:sz w:val="18"/>
              </w:rPr>
              <w:t>maturity temp)</w:t>
            </w:r>
          </w:p>
        </w:tc>
        <w:tc>
          <w:tcPr>
            <w:tcW w:w="1097" w:type="dxa"/>
            <w:tcBorders>
              <w:left w:val="single" w:sz="4" w:space="0" w:color="000000"/>
              <w:right w:val="single" w:sz="4" w:space="0" w:color="000000"/>
            </w:tcBorders>
          </w:tcPr>
          <w:p>
            <w:pPr>
              <w:pStyle w:val="TableParagraph"/>
              <w:spacing w:line="176" w:lineRule="exact" w:before="31"/>
              <w:ind w:left="119"/>
              <w:rPr>
                <w:sz w:val="18"/>
              </w:rPr>
            </w:pPr>
            <w:r>
              <w:rPr>
                <w:spacing w:val="-2"/>
                <w:sz w:val="18"/>
              </w:rPr>
              <w:t>+17.2</w:t>
            </w:r>
          </w:p>
          <w:p>
            <w:pPr>
              <w:pStyle w:val="TableParagraph"/>
              <w:spacing w:line="250" w:lineRule="exact" w:before="0"/>
              <w:ind w:left="119"/>
              <w:rPr>
                <w:sz w:val="18"/>
              </w:rPr>
            </w:pPr>
            <w:r>
              <w:rPr>
                <w:sz w:val="18"/>
              </w:rPr>
              <w:t>per</w:t>
            </w:r>
            <w:r>
              <w:rPr>
                <w:spacing w:val="-4"/>
                <w:sz w:val="18"/>
              </w:rPr>
              <w:t> </w:t>
            </w:r>
            <w:r>
              <w:rPr>
                <w:rFonts w:ascii="Meiryo UI" w:hAnsi="Meiryo UI"/>
                <w:i/>
                <w:spacing w:val="-5"/>
                <w:position w:val="7"/>
                <w:sz w:val="14"/>
              </w:rPr>
              <w:t>◦</w:t>
            </w:r>
            <w:r>
              <w:rPr>
                <w:spacing w:val="-5"/>
                <w:sz w:val="18"/>
              </w:rPr>
              <w:t>C</w:t>
            </w:r>
          </w:p>
        </w:tc>
        <w:tc>
          <w:tcPr>
            <w:tcW w:w="2231" w:type="dxa"/>
            <w:vMerge w:val="restart"/>
            <w:tcBorders>
              <w:left w:val="single" w:sz="4" w:space="0" w:color="000000"/>
              <w:bottom w:val="single" w:sz="8" w:space="0" w:color="000000"/>
              <w:right w:val="single" w:sz="4" w:space="0" w:color="000000"/>
            </w:tcBorders>
          </w:tcPr>
          <w:p>
            <w:pPr>
              <w:pStyle w:val="TableParagraph"/>
              <w:spacing w:line="208" w:lineRule="auto" w:before="53"/>
              <w:ind w:left="119" w:right="115"/>
              <w:jc w:val="both"/>
              <w:rPr>
                <w:sz w:val="18"/>
              </w:rPr>
            </w:pPr>
            <w:r>
              <w:rPr>
                <w:sz w:val="18"/>
              </w:rPr>
              <w:t>Consistent with </w:t>
            </w:r>
            <w:r>
              <w:rPr>
                <w:sz w:val="18"/>
              </w:rPr>
              <w:t>CarenR Rule 4 (warm budburst </w:t>
            </w:r>
            <w:r>
              <w:rPr>
                <w:rFonts w:ascii="Meiryo UI" w:hAnsi="Meiryo UI"/>
                <w:i/>
                <w:sz w:val="18"/>
              </w:rPr>
              <w:t>→</w:t>
            </w:r>
            <w:r>
              <w:rPr>
                <w:rFonts w:ascii="Meiryo UI" w:hAnsi="Meiryo UI"/>
                <w:i/>
                <w:sz w:val="18"/>
              </w:rPr>
              <w:t> </w:t>
            </w:r>
            <w:r>
              <w:rPr>
                <w:sz w:val="18"/>
              </w:rPr>
              <w:t>above trend)</w:t>
            </w:r>
          </w:p>
          <w:p>
            <w:pPr>
              <w:pStyle w:val="TableParagraph"/>
              <w:spacing w:line="254" w:lineRule="auto" w:before="83"/>
              <w:ind w:left="113" w:right="85" w:firstLine="6"/>
              <w:jc w:val="both"/>
              <w:rPr>
                <w:sz w:val="18"/>
              </w:rPr>
            </w:pPr>
            <w:r>
              <w:rPr>
                <w:spacing w:val="-2"/>
                <w:sz w:val="18"/>
              </w:rPr>
              <w:t>Same</w:t>
            </w:r>
            <w:r>
              <w:rPr>
                <w:spacing w:val="-10"/>
                <w:sz w:val="18"/>
              </w:rPr>
              <w:t> </w:t>
            </w:r>
            <w:r>
              <w:rPr>
                <w:spacing w:val="-2"/>
                <w:sz w:val="18"/>
              </w:rPr>
              <w:t>variable</w:t>
            </w:r>
            <w:r>
              <w:rPr>
                <w:spacing w:val="-9"/>
                <w:sz w:val="18"/>
              </w:rPr>
              <w:t> </w:t>
            </w:r>
            <w:r>
              <w:rPr>
                <w:spacing w:val="-2"/>
                <w:sz w:val="18"/>
              </w:rPr>
              <w:t>selected;</w:t>
            </w:r>
            <w:r>
              <w:rPr>
                <w:spacing w:val="-9"/>
                <w:sz w:val="18"/>
              </w:rPr>
              <w:t> </w:t>
            </w:r>
            <w:r>
              <w:rPr>
                <w:spacing w:val="-2"/>
                <w:sz w:val="18"/>
              </w:rPr>
              <w:t>neg-</w:t>
            </w:r>
            <w:r>
              <w:rPr>
                <w:sz w:val="18"/>
              </w:rPr>
              <w:t>ative direction consistent </w:t>
            </w:r>
            <w:r>
              <w:rPr>
                <w:spacing w:val="-2"/>
                <w:sz w:val="18"/>
              </w:rPr>
              <w:t>with</w:t>
            </w:r>
            <w:r>
              <w:rPr>
                <w:spacing w:val="-5"/>
                <w:sz w:val="18"/>
              </w:rPr>
              <w:t> </w:t>
            </w:r>
            <w:r>
              <w:rPr>
                <w:spacing w:val="-2"/>
                <w:sz w:val="18"/>
              </w:rPr>
              <w:t>CarenR</w:t>
            </w:r>
            <w:r>
              <w:rPr>
                <w:spacing w:val="-5"/>
                <w:sz w:val="18"/>
              </w:rPr>
              <w:t> </w:t>
            </w:r>
            <w:r>
              <w:rPr>
                <w:spacing w:val="-2"/>
                <w:sz w:val="18"/>
              </w:rPr>
              <w:t>Rules</w:t>
            </w:r>
            <w:r>
              <w:rPr>
                <w:spacing w:val="-5"/>
                <w:sz w:val="18"/>
              </w:rPr>
              <w:t> </w:t>
            </w:r>
            <w:r>
              <w:rPr>
                <w:spacing w:val="-2"/>
                <w:sz w:val="18"/>
              </w:rPr>
              <w:t>3,</w:t>
            </w:r>
            <w:r>
              <w:rPr>
                <w:spacing w:val="-4"/>
                <w:sz w:val="18"/>
              </w:rPr>
              <w:t> </w:t>
            </w:r>
            <w:r>
              <w:rPr>
                <w:spacing w:val="-2"/>
                <w:sz w:val="18"/>
              </w:rPr>
              <w:t>16,</w:t>
            </w:r>
            <w:r>
              <w:rPr>
                <w:spacing w:val="-5"/>
                <w:sz w:val="18"/>
              </w:rPr>
              <w:t> 19</w:t>
            </w:r>
          </w:p>
          <w:p>
            <w:pPr>
              <w:pStyle w:val="TableParagraph"/>
              <w:spacing w:line="254" w:lineRule="auto" w:before="65"/>
              <w:ind w:left="113" w:right="85" w:firstLine="5"/>
              <w:jc w:val="both"/>
              <w:rPr>
                <w:sz w:val="18"/>
              </w:rPr>
            </w:pPr>
            <w:r>
              <w:rPr>
                <w:sz w:val="18"/>
              </w:rPr>
              <w:t>Same variable selected; direction consistent with CarenR</w:t>
            </w:r>
            <w:r>
              <w:rPr>
                <w:spacing w:val="-11"/>
                <w:sz w:val="18"/>
              </w:rPr>
              <w:t> </w:t>
            </w:r>
            <w:r>
              <w:rPr>
                <w:sz w:val="18"/>
              </w:rPr>
              <w:t>RVV</w:t>
            </w:r>
            <w:r>
              <w:rPr>
                <w:spacing w:val="-11"/>
                <w:sz w:val="18"/>
              </w:rPr>
              <w:t> </w:t>
            </w:r>
            <w:r>
              <w:rPr>
                <w:sz w:val="18"/>
              </w:rPr>
              <w:t>dominant</w:t>
            </w:r>
            <w:r>
              <w:rPr>
                <w:spacing w:val="-11"/>
                <w:sz w:val="18"/>
              </w:rPr>
              <w:t> </w:t>
            </w:r>
            <w:r>
              <w:rPr>
                <w:sz w:val="18"/>
              </w:rPr>
              <w:t>sig-nal</w:t>
            </w:r>
            <w:r>
              <w:rPr>
                <w:spacing w:val="-12"/>
                <w:sz w:val="18"/>
              </w:rPr>
              <w:t> </w:t>
            </w:r>
            <w:r>
              <w:rPr>
                <w:sz w:val="18"/>
              </w:rPr>
              <w:t>—</w:t>
            </w:r>
            <w:r>
              <w:rPr>
                <w:spacing w:val="-11"/>
                <w:sz w:val="18"/>
              </w:rPr>
              <w:t> </w:t>
            </w:r>
            <w:r>
              <w:rPr>
                <w:sz w:val="18"/>
              </w:rPr>
              <w:t>coefficient</w:t>
            </w:r>
            <w:r>
              <w:rPr>
                <w:spacing w:val="-11"/>
                <w:sz w:val="18"/>
              </w:rPr>
              <w:t> </w:t>
            </w:r>
            <w:r>
              <w:rPr>
                <w:sz w:val="18"/>
              </w:rPr>
              <w:t>unreliable (CV R</w:t>
            </w:r>
            <w:r>
              <w:rPr>
                <w:sz w:val="18"/>
                <w:vertAlign w:val="superscript"/>
              </w:rPr>
              <w:t>2</w:t>
            </w:r>
            <w:r>
              <w:rPr>
                <w:sz w:val="18"/>
                <w:vertAlign w:val="baseline"/>
              </w:rPr>
              <w:t> = -0.07)</w:t>
            </w:r>
          </w:p>
        </w:tc>
        <w:tc>
          <w:tcPr>
            <w:tcW w:w="3344" w:type="dxa"/>
            <w:tcBorders>
              <w:left w:val="single" w:sz="4" w:space="0" w:color="000000"/>
            </w:tcBorders>
          </w:tcPr>
          <w:p>
            <w:pPr>
              <w:pStyle w:val="TableParagraph"/>
              <w:spacing w:line="187" w:lineRule="auto" w:before="68"/>
              <w:ind w:left="119"/>
              <w:rPr>
                <w:sz w:val="18"/>
              </w:rPr>
            </w:pPr>
            <w:r>
              <w:rPr>
                <w:spacing w:val="-2"/>
                <w:sz w:val="18"/>
              </w:rPr>
              <w:t>Prior-year</w:t>
            </w:r>
            <w:r>
              <w:rPr>
                <w:spacing w:val="-5"/>
                <w:sz w:val="18"/>
              </w:rPr>
              <w:t> </w:t>
            </w:r>
            <w:r>
              <w:rPr>
                <w:spacing w:val="-2"/>
                <w:sz w:val="18"/>
              </w:rPr>
              <w:t>summer</w:t>
            </w:r>
            <w:r>
              <w:rPr>
                <w:spacing w:val="-5"/>
                <w:sz w:val="18"/>
              </w:rPr>
              <w:t> </w:t>
            </w:r>
            <w:r>
              <w:rPr>
                <w:spacing w:val="-2"/>
                <w:sz w:val="18"/>
              </w:rPr>
              <w:t>heat</w:t>
            </w:r>
            <w:r>
              <w:rPr>
                <w:spacing w:val="-5"/>
                <w:sz w:val="18"/>
              </w:rPr>
              <w:t> </w:t>
            </w:r>
            <w:r>
              <w:rPr>
                <w:spacing w:val="-2"/>
                <w:sz w:val="18"/>
              </w:rPr>
              <w:t>builds</w:t>
            </w:r>
            <w:r>
              <w:rPr>
                <w:spacing w:val="-5"/>
                <w:sz w:val="18"/>
              </w:rPr>
              <w:t> </w:t>
            </w:r>
            <w:r>
              <w:rPr>
                <w:spacing w:val="-2"/>
                <w:sz w:val="18"/>
              </w:rPr>
              <w:t>vine</w:t>
            </w:r>
            <w:r>
              <w:rPr>
                <w:spacing w:val="-5"/>
                <w:sz w:val="18"/>
              </w:rPr>
              <w:t> </w:t>
            </w:r>
            <w:r>
              <w:rPr>
                <w:spacing w:val="-2"/>
                <w:sz w:val="18"/>
              </w:rPr>
              <w:t>inflores-</w:t>
            </w:r>
            <w:r>
              <w:rPr>
                <w:sz w:val="18"/>
              </w:rPr>
              <w:t>cence</w:t>
            </w:r>
            <w:r>
              <w:rPr>
                <w:spacing w:val="-7"/>
                <w:sz w:val="18"/>
              </w:rPr>
              <w:t> </w:t>
            </w:r>
            <w:r>
              <w:rPr>
                <w:sz w:val="18"/>
              </w:rPr>
              <w:t>potential;</w:t>
            </w:r>
            <w:r>
              <w:rPr>
                <w:spacing w:val="-7"/>
                <w:sz w:val="18"/>
              </w:rPr>
              <w:t> </w:t>
            </w:r>
            <w:r>
              <w:rPr>
                <w:sz w:val="18"/>
              </w:rPr>
              <w:t>+17</w:t>
            </w:r>
            <w:r>
              <w:rPr>
                <w:spacing w:val="-7"/>
                <w:sz w:val="18"/>
              </w:rPr>
              <w:t> </w:t>
            </w:r>
            <w:r>
              <w:rPr>
                <w:sz w:val="18"/>
              </w:rPr>
              <w:t>mhl/</w:t>
            </w:r>
            <w:r>
              <w:rPr>
                <w:rFonts w:ascii="Meiryo UI" w:hAnsi="Meiryo UI"/>
                <w:i/>
                <w:position w:val="7"/>
                <w:sz w:val="14"/>
              </w:rPr>
              <w:t>◦</w:t>
            </w:r>
            <w:r>
              <w:rPr>
                <w:sz w:val="18"/>
              </w:rPr>
              <w:t>C</w:t>
            </w:r>
            <w:r>
              <w:rPr>
                <w:spacing w:val="-7"/>
                <w:sz w:val="18"/>
              </w:rPr>
              <w:t> </w:t>
            </w:r>
            <w:r>
              <w:rPr>
                <w:sz w:val="18"/>
              </w:rPr>
              <w:t>quantifies</w:t>
            </w:r>
            <w:r>
              <w:rPr>
                <w:spacing w:val="-7"/>
                <w:sz w:val="18"/>
              </w:rPr>
              <w:t> </w:t>
            </w:r>
            <w:r>
              <w:rPr>
                <w:spacing w:val="-5"/>
                <w:sz w:val="18"/>
              </w:rPr>
              <w:t>the</w:t>
            </w:r>
          </w:p>
          <w:p>
            <w:pPr>
              <w:pStyle w:val="TableParagraph"/>
              <w:spacing w:before="10"/>
              <w:ind w:left="119"/>
              <w:rPr>
                <w:sz w:val="18"/>
              </w:rPr>
            </w:pPr>
            <w:r>
              <w:rPr>
                <w:spacing w:val="-2"/>
                <w:sz w:val="18"/>
              </w:rPr>
              <w:t>reserve-building</w:t>
            </w:r>
            <w:r>
              <w:rPr>
                <w:spacing w:val="12"/>
                <w:sz w:val="18"/>
              </w:rPr>
              <w:t> </w:t>
            </w:r>
            <w:r>
              <w:rPr>
                <w:spacing w:val="-2"/>
                <w:sz w:val="18"/>
              </w:rPr>
              <w:t>benefit</w:t>
            </w:r>
          </w:p>
        </w:tc>
      </w:tr>
      <w:tr>
        <w:trPr>
          <w:trHeight w:val="703" w:hRule="atLeast"/>
        </w:trPr>
        <w:tc>
          <w:tcPr>
            <w:tcW w:w="1830" w:type="dxa"/>
            <w:tcBorders>
              <w:right w:val="single" w:sz="4" w:space="0" w:color="000000"/>
            </w:tcBorders>
          </w:tcPr>
          <w:p>
            <w:pPr>
              <w:pStyle w:val="TableParagraph"/>
              <w:spacing w:before="25"/>
              <w:ind w:left="119"/>
              <w:rPr>
                <w:b/>
                <w:sz w:val="18"/>
              </w:rPr>
            </w:pPr>
            <w:r>
              <w:rPr>
                <w:b/>
                <w:spacing w:val="-2"/>
                <w:sz w:val="18"/>
              </w:rPr>
              <w:t>swa_fl_y1_a30</w:t>
            </w:r>
          </w:p>
          <w:p>
            <w:pPr>
              <w:pStyle w:val="TableParagraph"/>
              <w:tabs>
                <w:tab w:pos="1442" w:val="left" w:leader="none"/>
              </w:tabs>
              <w:spacing w:line="254" w:lineRule="auto" w:before="12"/>
              <w:ind w:left="113" w:right="116"/>
              <w:rPr>
                <w:sz w:val="18"/>
              </w:rPr>
            </w:pPr>
            <w:r>
              <w:rPr>
                <w:spacing w:val="-2"/>
                <w:sz w:val="18"/>
              </w:rPr>
              <w:t>(post-flowering</w:t>
            </w:r>
            <w:r>
              <w:rPr>
                <w:sz w:val="18"/>
              </w:rPr>
              <w:tab/>
            </w:r>
            <w:r>
              <w:rPr>
                <w:spacing w:val="-4"/>
                <w:sz w:val="18"/>
              </w:rPr>
              <w:t>soil </w:t>
            </w:r>
            <w:r>
              <w:rPr>
                <w:spacing w:val="-2"/>
                <w:sz w:val="18"/>
              </w:rPr>
              <w:t>water)</w:t>
            </w:r>
          </w:p>
        </w:tc>
        <w:tc>
          <w:tcPr>
            <w:tcW w:w="1097" w:type="dxa"/>
            <w:tcBorders>
              <w:left w:val="single" w:sz="4" w:space="0" w:color="000000"/>
              <w:right w:val="single" w:sz="4" w:space="0" w:color="000000"/>
            </w:tcBorders>
          </w:tcPr>
          <w:p>
            <w:pPr>
              <w:pStyle w:val="TableParagraph"/>
              <w:spacing w:before="25"/>
              <w:ind w:left="119"/>
              <w:rPr>
                <w:sz w:val="18"/>
              </w:rPr>
            </w:pPr>
            <w:r>
              <w:rPr>
                <w:spacing w:val="-2"/>
                <w:sz w:val="18"/>
              </w:rPr>
              <w:t>-</w:t>
            </w:r>
            <w:r>
              <w:rPr>
                <w:spacing w:val="-5"/>
                <w:sz w:val="18"/>
              </w:rPr>
              <w:t>8.1</w:t>
            </w:r>
          </w:p>
          <w:p>
            <w:pPr>
              <w:pStyle w:val="TableParagraph"/>
              <w:spacing w:before="12"/>
              <w:ind w:left="119"/>
              <w:rPr>
                <w:sz w:val="18"/>
              </w:rPr>
            </w:pPr>
            <w:r>
              <w:rPr>
                <w:sz w:val="18"/>
              </w:rPr>
              <w:t>per</w:t>
            </w:r>
            <w:r>
              <w:rPr>
                <w:spacing w:val="-4"/>
                <w:sz w:val="18"/>
              </w:rPr>
              <w:t> </w:t>
            </w:r>
            <w:r>
              <w:rPr>
                <w:spacing w:val="-5"/>
                <w:sz w:val="18"/>
              </w:rPr>
              <w:t>mm</w:t>
            </w:r>
          </w:p>
        </w:tc>
        <w:tc>
          <w:tcPr>
            <w:tcW w:w="2231" w:type="dxa"/>
            <w:vMerge/>
            <w:tcBorders>
              <w:top w:val="nil"/>
              <w:left w:val="single" w:sz="4" w:space="0" w:color="000000"/>
              <w:bottom w:val="single" w:sz="8" w:space="0" w:color="000000"/>
              <w:right w:val="single" w:sz="4" w:space="0" w:color="000000"/>
            </w:tcBorders>
          </w:tcPr>
          <w:p>
            <w:pPr>
              <w:rPr>
                <w:sz w:val="2"/>
                <w:szCs w:val="2"/>
              </w:rPr>
            </w:pPr>
          </w:p>
        </w:tc>
        <w:tc>
          <w:tcPr>
            <w:tcW w:w="3344" w:type="dxa"/>
            <w:tcBorders>
              <w:left w:val="single" w:sz="4" w:space="0" w:color="000000"/>
            </w:tcBorders>
          </w:tcPr>
          <w:p>
            <w:pPr>
              <w:pStyle w:val="TableParagraph"/>
              <w:spacing w:line="254" w:lineRule="auto" w:before="25"/>
              <w:ind w:left="119" w:right="85"/>
              <w:rPr>
                <w:sz w:val="18"/>
              </w:rPr>
            </w:pPr>
            <w:r>
              <w:rPr>
                <w:spacing w:val="-2"/>
                <w:sz w:val="18"/>
              </w:rPr>
              <w:t>Quantifies</w:t>
            </w:r>
            <w:r>
              <w:rPr>
                <w:spacing w:val="-10"/>
                <w:sz w:val="18"/>
              </w:rPr>
              <w:t> </w:t>
            </w:r>
            <w:r>
              <w:rPr>
                <w:spacing w:val="-2"/>
                <w:sz w:val="18"/>
              </w:rPr>
              <w:t>RVV</w:t>
            </w:r>
            <w:r>
              <w:rPr>
                <w:spacing w:val="-9"/>
                <w:sz w:val="18"/>
              </w:rPr>
              <w:t> </w:t>
            </w:r>
            <w:r>
              <w:rPr>
                <w:spacing w:val="-2"/>
                <w:sz w:val="18"/>
              </w:rPr>
              <w:t>moist</w:t>
            </w:r>
            <w:r>
              <w:rPr>
                <w:spacing w:val="-9"/>
                <w:sz w:val="18"/>
              </w:rPr>
              <w:t> </w:t>
            </w:r>
            <w:r>
              <w:rPr>
                <w:spacing w:val="-2"/>
                <w:sz w:val="18"/>
              </w:rPr>
              <w:t>post-flowering</w:t>
            </w:r>
            <w:r>
              <w:rPr>
                <w:spacing w:val="-9"/>
                <w:sz w:val="18"/>
              </w:rPr>
              <w:t> </w:t>
            </w:r>
            <w:r>
              <w:rPr>
                <w:spacing w:val="-2"/>
                <w:sz w:val="18"/>
              </w:rPr>
              <w:t>effect: </w:t>
            </w:r>
            <w:r>
              <w:rPr>
                <w:sz w:val="18"/>
              </w:rPr>
              <w:t>each additional mm subtracts</w:t>
            </w:r>
            <w:r>
              <w:rPr>
                <w:spacing w:val="40"/>
                <w:sz w:val="18"/>
              </w:rPr>
              <w:t> </w:t>
            </w:r>
            <w:r>
              <w:rPr>
                <w:sz w:val="18"/>
              </w:rPr>
              <w:t>8 mhl</w:t>
            </w:r>
          </w:p>
        </w:tc>
      </w:tr>
      <w:tr>
        <w:trPr>
          <w:trHeight w:val="1191" w:hRule="atLeast"/>
        </w:trPr>
        <w:tc>
          <w:tcPr>
            <w:tcW w:w="1830" w:type="dxa"/>
            <w:tcBorders>
              <w:bottom w:val="single" w:sz="8" w:space="0" w:color="000000"/>
              <w:right w:val="single" w:sz="4" w:space="0" w:color="000000"/>
            </w:tcBorders>
          </w:tcPr>
          <w:p>
            <w:pPr>
              <w:pStyle w:val="TableParagraph"/>
              <w:spacing w:before="25"/>
              <w:ind w:left="119"/>
              <w:rPr>
                <w:b/>
                <w:sz w:val="18"/>
              </w:rPr>
            </w:pPr>
            <w:r>
              <w:rPr>
                <w:b/>
                <w:spacing w:val="-2"/>
                <w:sz w:val="18"/>
              </w:rPr>
              <w:t>iaf_bb_y1_c10</w:t>
            </w:r>
          </w:p>
          <w:p>
            <w:pPr>
              <w:pStyle w:val="TableParagraph"/>
              <w:spacing w:before="12"/>
              <w:ind w:left="113"/>
              <w:rPr>
                <w:sz w:val="18"/>
              </w:rPr>
            </w:pPr>
            <w:r>
              <w:rPr>
                <w:sz w:val="18"/>
              </w:rPr>
              <w:t>(LAI</w:t>
            </w:r>
            <w:r>
              <w:rPr>
                <w:spacing w:val="-4"/>
                <w:sz w:val="18"/>
              </w:rPr>
              <w:t> </w:t>
            </w:r>
            <w:r>
              <w:rPr>
                <w:sz w:val="18"/>
              </w:rPr>
              <w:t>at</w:t>
            </w:r>
            <w:r>
              <w:rPr>
                <w:spacing w:val="-3"/>
                <w:sz w:val="18"/>
              </w:rPr>
              <w:t> </w:t>
            </w:r>
            <w:r>
              <w:rPr>
                <w:spacing w:val="-2"/>
                <w:sz w:val="18"/>
              </w:rPr>
              <w:t>budburst)</w:t>
            </w:r>
          </w:p>
        </w:tc>
        <w:tc>
          <w:tcPr>
            <w:tcW w:w="1097" w:type="dxa"/>
            <w:tcBorders>
              <w:left w:val="single" w:sz="4" w:space="0" w:color="000000"/>
              <w:bottom w:val="single" w:sz="8" w:space="0" w:color="000000"/>
              <w:right w:val="single" w:sz="4" w:space="0" w:color="000000"/>
            </w:tcBorders>
          </w:tcPr>
          <w:p>
            <w:pPr>
              <w:pStyle w:val="TableParagraph"/>
              <w:spacing w:before="25"/>
              <w:ind w:left="119"/>
              <w:rPr>
                <w:sz w:val="18"/>
              </w:rPr>
            </w:pPr>
            <w:r>
              <w:rPr>
                <w:spacing w:val="-2"/>
                <w:sz w:val="18"/>
              </w:rPr>
              <w:t>-</w:t>
            </w:r>
            <w:r>
              <w:rPr>
                <w:spacing w:val="-4"/>
                <w:sz w:val="18"/>
              </w:rPr>
              <w:t>2064</w:t>
            </w:r>
          </w:p>
          <w:p>
            <w:pPr>
              <w:pStyle w:val="TableParagraph"/>
              <w:spacing w:before="12"/>
              <w:ind w:left="119"/>
              <w:rPr>
                <w:sz w:val="18"/>
              </w:rPr>
            </w:pPr>
            <w:r>
              <w:rPr>
                <w:sz w:val="18"/>
              </w:rPr>
              <w:t>per</w:t>
            </w:r>
            <w:r>
              <w:rPr>
                <w:spacing w:val="-4"/>
                <w:sz w:val="18"/>
              </w:rPr>
              <w:t> unit</w:t>
            </w:r>
          </w:p>
        </w:tc>
        <w:tc>
          <w:tcPr>
            <w:tcW w:w="2231" w:type="dxa"/>
            <w:vMerge/>
            <w:tcBorders>
              <w:top w:val="nil"/>
              <w:left w:val="single" w:sz="4" w:space="0" w:color="000000"/>
              <w:bottom w:val="single" w:sz="8" w:space="0" w:color="000000"/>
              <w:right w:val="single" w:sz="4" w:space="0" w:color="000000"/>
            </w:tcBorders>
          </w:tcPr>
          <w:p>
            <w:pPr>
              <w:rPr>
                <w:sz w:val="2"/>
                <w:szCs w:val="2"/>
              </w:rPr>
            </w:pPr>
          </w:p>
        </w:tc>
        <w:tc>
          <w:tcPr>
            <w:tcW w:w="3344" w:type="dxa"/>
            <w:tcBorders>
              <w:left w:val="single" w:sz="4" w:space="0" w:color="000000"/>
              <w:bottom w:val="single" w:sz="8" w:space="0" w:color="000000"/>
            </w:tcBorders>
          </w:tcPr>
          <w:p>
            <w:pPr>
              <w:pStyle w:val="TableParagraph"/>
              <w:spacing w:line="254" w:lineRule="auto" w:before="25"/>
              <w:ind w:left="119" w:right="85"/>
              <w:jc w:val="both"/>
              <w:rPr>
                <w:sz w:val="18"/>
              </w:rPr>
            </w:pPr>
            <w:r>
              <w:rPr>
                <w:sz w:val="18"/>
              </w:rPr>
              <w:t>Variable</w:t>
            </w:r>
            <w:r>
              <w:rPr>
                <w:spacing w:val="-4"/>
                <w:sz w:val="18"/>
              </w:rPr>
              <w:t> </w:t>
            </w:r>
            <w:r>
              <w:rPr>
                <w:sz w:val="18"/>
              </w:rPr>
              <w:t>selected</w:t>
            </w:r>
            <w:r>
              <w:rPr>
                <w:spacing w:val="-4"/>
                <w:sz w:val="18"/>
              </w:rPr>
              <w:t> </w:t>
            </w:r>
            <w:r>
              <w:rPr>
                <w:sz w:val="18"/>
              </w:rPr>
              <w:t>consistently</w:t>
            </w:r>
            <w:r>
              <w:rPr>
                <w:spacing w:val="-4"/>
                <w:sz w:val="18"/>
              </w:rPr>
              <w:t> </w:t>
            </w:r>
            <w:r>
              <w:rPr>
                <w:sz w:val="18"/>
              </w:rPr>
              <w:t>across</w:t>
            </w:r>
            <w:r>
              <w:rPr>
                <w:spacing w:val="-4"/>
                <w:sz w:val="18"/>
              </w:rPr>
              <w:t> </w:t>
            </w:r>
            <w:r>
              <w:rPr>
                <w:sz w:val="18"/>
              </w:rPr>
              <w:t>meth-ods; coefficient not interpretable due to model overfitting (CV R</w:t>
            </w:r>
            <w:r>
              <w:rPr>
                <w:sz w:val="18"/>
                <w:vertAlign w:val="superscript"/>
              </w:rPr>
              <w:t>2</w:t>
            </w:r>
            <w:r>
              <w:rPr>
                <w:sz w:val="18"/>
                <w:vertAlign w:val="baseline"/>
              </w:rPr>
              <w:t> = -0.07)</w:t>
            </w:r>
          </w:p>
        </w:tc>
      </w:tr>
    </w:tbl>
    <w:p>
      <w:pPr>
        <w:pStyle w:val="BodyText"/>
        <w:spacing w:before="108"/>
        <w:rPr>
          <w:sz w:val="20"/>
        </w:rPr>
      </w:pPr>
    </w:p>
    <w:p>
      <w:pPr>
        <w:pStyle w:val="BodyText"/>
        <w:spacing w:line="312" w:lineRule="auto"/>
        <w:ind w:left="709" w:right="954" w:firstLine="338"/>
        <w:jc w:val="both"/>
      </w:pPr>
      <w:r>
        <w:rPr/>
        <w:t>The RVV M5Rules results show stronger directional alignment with CarenR than the RDD comparison.</w:t>
      </w:r>
      <w:r>
        <w:rPr>
          <w:spacing w:val="40"/>
        </w:rPr>
        <w:t> </w:t>
      </w:r>
      <w:r>
        <w:rPr/>
        <w:t>The post-flowering soil water coefficient (swa_fl_y1_a30: -8.1 mhl/mm) is direc-tionally consistent with CarenR Rules 3, 16, and 19, all of which identify high post-flowering soil water as a below-trend signal; the linear model quantifies the same effect at -8.1 mhl per additional mm. The LAI at budburst coefficient (iaf_bb_y1_c10: -2,064 mhl per unit) confirms </w:t>
      </w:r>
      <w:r>
        <w:rPr>
          <w:spacing w:val="-2"/>
        </w:rPr>
        <w:t>that</w:t>
      </w:r>
      <w:r>
        <w:rPr>
          <w:spacing w:val="-5"/>
        </w:rPr>
        <w:t> </w:t>
      </w:r>
      <w:r>
        <w:rPr>
          <w:spacing w:val="-2"/>
        </w:rPr>
        <w:t>M5Rules</w:t>
      </w:r>
      <w:r>
        <w:rPr>
          <w:spacing w:val="-5"/>
        </w:rPr>
        <w:t> </w:t>
      </w:r>
      <w:r>
        <w:rPr>
          <w:spacing w:val="-2"/>
        </w:rPr>
        <w:t>selects</w:t>
      </w:r>
      <w:r>
        <w:rPr>
          <w:spacing w:val="-5"/>
        </w:rPr>
        <w:t> </w:t>
      </w:r>
      <w:r>
        <w:rPr>
          <w:spacing w:val="-2"/>
        </w:rPr>
        <w:t>the</w:t>
      </w:r>
      <w:r>
        <w:rPr>
          <w:spacing w:val="-5"/>
        </w:rPr>
        <w:t> </w:t>
      </w:r>
      <w:r>
        <w:rPr>
          <w:spacing w:val="-2"/>
        </w:rPr>
        <w:t>LAI</w:t>
      </w:r>
      <w:r>
        <w:rPr>
          <w:spacing w:val="-5"/>
        </w:rPr>
        <w:t> </w:t>
      </w:r>
      <w:r>
        <w:rPr>
          <w:spacing w:val="-2"/>
        </w:rPr>
        <w:t>family,</w:t>
      </w:r>
      <w:r>
        <w:rPr>
          <w:spacing w:val="-5"/>
        </w:rPr>
        <w:t> </w:t>
      </w:r>
      <w:r>
        <w:rPr>
          <w:spacing w:val="-2"/>
        </w:rPr>
        <w:t>consistent</w:t>
      </w:r>
      <w:r>
        <w:rPr>
          <w:spacing w:val="-5"/>
        </w:rPr>
        <w:t> </w:t>
      </w:r>
      <w:r>
        <w:rPr>
          <w:spacing w:val="-2"/>
        </w:rPr>
        <w:t>with</w:t>
      </w:r>
      <w:r>
        <w:rPr>
          <w:spacing w:val="-5"/>
        </w:rPr>
        <w:t> </w:t>
      </w:r>
      <w:r>
        <w:rPr>
          <w:spacing w:val="-2"/>
        </w:rPr>
        <w:t>CarenR’s</w:t>
      </w:r>
      <w:r>
        <w:rPr>
          <w:spacing w:val="-5"/>
        </w:rPr>
        <w:t> </w:t>
      </w:r>
      <w:r>
        <w:rPr>
          <w:spacing w:val="-2"/>
        </w:rPr>
        <w:t>finding</w:t>
      </w:r>
      <w:r>
        <w:rPr>
          <w:spacing w:val="-5"/>
        </w:rPr>
        <w:t> </w:t>
      </w:r>
      <w:r>
        <w:rPr>
          <w:spacing w:val="-2"/>
        </w:rPr>
        <w:t>that</w:t>
      </w:r>
      <w:r>
        <w:rPr>
          <w:spacing w:val="-5"/>
        </w:rPr>
        <w:t> </w:t>
      </w:r>
      <w:r>
        <w:rPr>
          <w:spacing w:val="-2"/>
        </w:rPr>
        <w:t>LAI</w:t>
      </w:r>
      <w:r>
        <w:rPr>
          <w:spacing w:val="-5"/>
        </w:rPr>
        <w:t> </w:t>
      </w:r>
      <w:r>
        <w:rPr>
          <w:spacing w:val="-2"/>
        </w:rPr>
        <w:t>variables</w:t>
      </w:r>
      <w:r>
        <w:rPr>
          <w:spacing w:val="-5"/>
        </w:rPr>
        <w:t> </w:t>
      </w:r>
      <w:r>
        <w:rPr>
          <w:spacing w:val="-2"/>
        </w:rPr>
        <w:t>appear</w:t>
      </w:r>
      <w:r>
        <w:rPr>
          <w:spacing w:val="-5"/>
        </w:rPr>
        <w:t> </w:t>
      </w:r>
      <w:r>
        <w:rPr>
          <w:spacing w:val="-2"/>
        </w:rPr>
        <w:t>in</w:t>
      </w:r>
    </w:p>
    <w:p>
      <w:pPr>
        <w:pStyle w:val="BodyText"/>
        <w:spacing w:after="0" w:line="312" w:lineRule="auto"/>
        <w:jc w:val="both"/>
        <w:sectPr>
          <w:headerReference w:type="default" r:id="rId68"/>
          <w:headerReference w:type="even" r:id="rId69"/>
          <w:pgSz w:w="11910" w:h="16840"/>
          <w:pgMar w:header="1160" w:footer="0" w:top="1420" w:bottom="280" w:left="1275" w:right="425"/>
          <w:pgNumType w:start="45"/>
        </w:sectPr>
      </w:pPr>
    </w:p>
    <w:p>
      <w:pPr>
        <w:pStyle w:val="BodyText"/>
      </w:pPr>
    </w:p>
    <w:p>
      <w:pPr>
        <w:pStyle w:val="BodyText"/>
        <w:spacing w:before="25"/>
      </w:pPr>
    </w:p>
    <w:p>
      <w:pPr>
        <w:pStyle w:val="BodyText"/>
        <w:spacing w:before="1"/>
        <w:ind w:left="142"/>
        <w:jc w:val="both"/>
      </w:pPr>
      <w:r>
        <w:rPr/>
        <w:t>all</w:t>
      </w:r>
      <w:r>
        <w:rPr>
          <w:spacing w:val="-14"/>
        </w:rPr>
        <w:t> </w:t>
      </w:r>
      <w:r>
        <w:rPr/>
        <w:t>20</w:t>
      </w:r>
      <w:r>
        <w:rPr>
          <w:spacing w:val="-13"/>
        </w:rPr>
        <w:t> </w:t>
      </w:r>
      <w:r>
        <w:rPr/>
        <w:t>RVV</w:t>
      </w:r>
      <w:r>
        <w:rPr>
          <w:spacing w:val="-13"/>
        </w:rPr>
        <w:t> </w:t>
      </w:r>
      <w:r>
        <w:rPr/>
        <w:t>rules.</w:t>
      </w:r>
      <w:r>
        <w:rPr>
          <w:spacing w:val="-3"/>
        </w:rPr>
        <w:t> </w:t>
      </w:r>
      <w:r>
        <w:rPr/>
        <w:t>The</w:t>
      </w:r>
      <w:r>
        <w:rPr>
          <w:spacing w:val="-13"/>
        </w:rPr>
        <w:t> </w:t>
      </w:r>
      <w:r>
        <w:rPr/>
        <w:t>coefficient</w:t>
      </w:r>
      <w:r>
        <w:rPr>
          <w:spacing w:val="-13"/>
        </w:rPr>
        <w:t> </w:t>
      </w:r>
      <w:r>
        <w:rPr/>
        <w:t>magnitude</w:t>
      </w:r>
      <w:r>
        <w:rPr>
          <w:spacing w:val="-14"/>
        </w:rPr>
        <w:t> </w:t>
      </w:r>
      <w:r>
        <w:rPr/>
        <w:t>should</w:t>
      </w:r>
      <w:r>
        <w:rPr>
          <w:spacing w:val="-13"/>
        </w:rPr>
        <w:t> </w:t>
      </w:r>
      <w:r>
        <w:rPr/>
        <w:t>not</w:t>
      </w:r>
      <w:r>
        <w:rPr>
          <w:spacing w:val="-13"/>
        </w:rPr>
        <w:t> </w:t>
      </w:r>
      <w:r>
        <w:rPr/>
        <w:t>be</w:t>
      </w:r>
      <w:r>
        <w:rPr>
          <w:spacing w:val="-13"/>
        </w:rPr>
        <w:t> </w:t>
      </w:r>
      <w:r>
        <w:rPr/>
        <w:t>interpreted</w:t>
      </w:r>
      <w:r>
        <w:rPr>
          <w:spacing w:val="-13"/>
        </w:rPr>
        <w:t> </w:t>
      </w:r>
      <w:r>
        <w:rPr/>
        <w:t>given</w:t>
      </w:r>
      <w:r>
        <w:rPr>
          <w:spacing w:val="-14"/>
        </w:rPr>
        <w:t> </w:t>
      </w:r>
      <w:r>
        <w:rPr/>
        <w:t>the</w:t>
      </w:r>
      <w:r>
        <w:rPr>
          <w:spacing w:val="-13"/>
        </w:rPr>
        <w:t> </w:t>
      </w:r>
      <w:r>
        <w:rPr/>
        <w:t>model’s</w:t>
      </w:r>
      <w:r>
        <w:rPr>
          <w:spacing w:val="-13"/>
        </w:rPr>
        <w:t> </w:t>
      </w:r>
      <w:r>
        <w:rPr/>
        <w:t>CV</w:t>
      </w:r>
      <w:r>
        <w:rPr>
          <w:spacing w:val="-13"/>
        </w:rPr>
        <w:t> </w:t>
      </w:r>
      <w:r>
        <w:rPr/>
        <w:t>R</w:t>
      </w:r>
      <w:r>
        <w:rPr>
          <w:vertAlign w:val="superscript"/>
        </w:rPr>
        <w:t>2</w:t>
      </w:r>
      <w:r>
        <w:rPr>
          <w:spacing w:val="-6"/>
          <w:vertAlign w:val="baseline"/>
        </w:rPr>
        <w:t> </w:t>
      </w:r>
      <w:r>
        <w:rPr>
          <w:spacing w:val="-10"/>
          <w:vertAlign w:val="baseline"/>
        </w:rPr>
        <w:t>=</w:t>
      </w:r>
    </w:p>
    <w:p>
      <w:pPr>
        <w:pStyle w:val="BodyText"/>
        <w:spacing w:line="328" w:lineRule="exact" w:before="18"/>
        <w:ind w:left="134" w:right="1530" w:hanging="29"/>
        <w:jc w:val="both"/>
      </w:pPr>
      <w:r>
        <w:rPr/>
        <w:t>-0.07; variable selection is the meaningful finding here, not the coefficient value. The prior-year </w:t>
      </w:r>
      <w:r>
        <w:rPr>
          <w:spacing w:val="-2"/>
        </w:rPr>
        <w:t>maturity</w:t>
      </w:r>
      <w:r>
        <w:rPr>
          <w:spacing w:val="-5"/>
        </w:rPr>
        <w:t> </w:t>
      </w:r>
      <w:r>
        <w:rPr>
          <w:spacing w:val="-2"/>
        </w:rPr>
        <w:t>temperature</w:t>
      </w:r>
      <w:r>
        <w:rPr>
          <w:spacing w:val="-5"/>
        </w:rPr>
        <w:t> </w:t>
      </w:r>
      <w:r>
        <w:rPr>
          <w:spacing w:val="-2"/>
        </w:rPr>
        <w:t>coefficient</w:t>
      </w:r>
      <w:r>
        <w:rPr>
          <w:spacing w:val="-5"/>
        </w:rPr>
        <w:t> </w:t>
      </w:r>
      <w:r>
        <w:rPr>
          <w:spacing w:val="-2"/>
        </w:rPr>
        <w:t>(tm_sm_y0_a20: +17.2</w:t>
      </w:r>
      <w:r>
        <w:rPr>
          <w:spacing w:val="-5"/>
        </w:rPr>
        <w:t> </w:t>
      </w:r>
      <w:r>
        <w:rPr>
          <w:spacing w:val="-2"/>
        </w:rPr>
        <w:t>mhl/</w:t>
      </w:r>
      <w:r>
        <w:rPr>
          <w:rFonts w:ascii="Meiryo UI" w:hAnsi="Meiryo UI"/>
          <w:i/>
          <w:spacing w:val="-2"/>
          <w:vertAlign w:val="superscript"/>
        </w:rPr>
        <w:t>◦</w:t>
      </w:r>
      <w:r>
        <w:rPr>
          <w:spacing w:val="-2"/>
          <w:vertAlign w:val="baseline"/>
        </w:rPr>
        <w:t>C)</w:t>
      </w:r>
      <w:r>
        <w:rPr>
          <w:spacing w:val="-5"/>
          <w:vertAlign w:val="baseline"/>
        </w:rPr>
        <w:t> </w:t>
      </w:r>
      <w:r>
        <w:rPr>
          <w:spacing w:val="-2"/>
          <w:vertAlign w:val="baseline"/>
        </w:rPr>
        <w:t>is</w:t>
      </w:r>
      <w:r>
        <w:rPr>
          <w:spacing w:val="-5"/>
          <w:vertAlign w:val="baseline"/>
        </w:rPr>
        <w:t> </w:t>
      </w:r>
      <w:r>
        <w:rPr>
          <w:spacing w:val="-2"/>
          <w:vertAlign w:val="baseline"/>
        </w:rPr>
        <w:t>the</w:t>
      </w:r>
      <w:r>
        <w:rPr>
          <w:spacing w:val="-5"/>
          <w:vertAlign w:val="baseline"/>
        </w:rPr>
        <w:t> </w:t>
      </w:r>
      <w:r>
        <w:rPr>
          <w:spacing w:val="-2"/>
          <w:vertAlign w:val="baseline"/>
        </w:rPr>
        <w:t>only</w:t>
      </w:r>
      <w:r>
        <w:rPr>
          <w:spacing w:val="-5"/>
          <w:vertAlign w:val="baseline"/>
        </w:rPr>
        <w:t> </w:t>
      </w:r>
      <w:r>
        <w:rPr>
          <w:spacing w:val="-2"/>
          <w:vertAlign w:val="baseline"/>
        </w:rPr>
        <w:t>positive</w:t>
      </w:r>
      <w:r>
        <w:rPr>
          <w:spacing w:val="-5"/>
          <w:vertAlign w:val="baseline"/>
        </w:rPr>
        <w:t> </w:t>
      </w:r>
      <w:r>
        <w:rPr>
          <w:spacing w:val="-2"/>
          <w:vertAlign w:val="baseline"/>
        </w:rPr>
        <w:t>coefficient</w:t>
      </w:r>
      <w:r>
        <w:rPr>
          <w:spacing w:val="-5"/>
          <w:vertAlign w:val="baseline"/>
        </w:rPr>
        <w:t> </w:t>
      </w:r>
      <w:r>
        <w:rPr>
          <w:spacing w:val="-2"/>
          <w:vertAlign w:val="baseline"/>
        </w:rPr>
        <w:t>in the</w:t>
      </w:r>
      <w:r>
        <w:rPr>
          <w:spacing w:val="-11"/>
          <w:vertAlign w:val="baseline"/>
        </w:rPr>
        <w:t> </w:t>
      </w:r>
      <w:r>
        <w:rPr>
          <w:spacing w:val="-2"/>
          <w:vertAlign w:val="baseline"/>
        </w:rPr>
        <w:t>table</w:t>
      </w:r>
      <w:r>
        <w:rPr>
          <w:spacing w:val="-11"/>
          <w:vertAlign w:val="baseline"/>
        </w:rPr>
        <w:t> </w:t>
      </w:r>
      <w:r>
        <w:rPr>
          <w:spacing w:val="-2"/>
          <w:vertAlign w:val="baseline"/>
        </w:rPr>
        <w:t>and</w:t>
      </w:r>
      <w:r>
        <w:rPr>
          <w:spacing w:val="-11"/>
          <w:vertAlign w:val="baseline"/>
        </w:rPr>
        <w:t> </w:t>
      </w:r>
      <w:r>
        <w:rPr>
          <w:spacing w:val="-2"/>
          <w:vertAlign w:val="baseline"/>
        </w:rPr>
        <w:t>aligns</w:t>
      </w:r>
      <w:r>
        <w:rPr>
          <w:spacing w:val="-11"/>
          <w:vertAlign w:val="baseline"/>
        </w:rPr>
        <w:t> </w:t>
      </w:r>
      <w:r>
        <w:rPr>
          <w:spacing w:val="-2"/>
          <w:vertAlign w:val="baseline"/>
        </w:rPr>
        <w:t>with</w:t>
      </w:r>
      <w:r>
        <w:rPr>
          <w:spacing w:val="-11"/>
          <w:vertAlign w:val="baseline"/>
        </w:rPr>
        <w:t> </w:t>
      </w:r>
      <w:r>
        <w:rPr>
          <w:spacing w:val="-2"/>
          <w:vertAlign w:val="baseline"/>
        </w:rPr>
        <w:t>CarenR</w:t>
      </w:r>
      <w:r>
        <w:rPr>
          <w:spacing w:val="-11"/>
          <w:vertAlign w:val="baseline"/>
        </w:rPr>
        <w:t> </w:t>
      </w:r>
      <w:r>
        <w:rPr>
          <w:spacing w:val="-2"/>
          <w:vertAlign w:val="baseline"/>
        </w:rPr>
        <w:t>Rule</w:t>
      </w:r>
      <w:r>
        <w:rPr>
          <w:spacing w:val="-11"/>
          <w:vertAlign w:val="baseline"/>
        </w:rPr>
        <w:t> </w:t>
      </w:r>
      <w:r>
        <w:rPr>
          <w:spacing w:val="-2"/>
          <w:vertAlign w:val="baseline"/>
        </w:rPr>
        <w:t>4</w:t>
      </w:r>
      <w:r>
        <w:rPr>
          <w:spacing w:val="-11"/>
          <w:vertAlign w:val="baseline"/>
        </w:rPr>
        <w:t> </w:t>
      </w:r>
      <w:r>
        <w:rPr>
          <w:spacing w:val="-2"/>
          <w:vertAlign w:val="baseline"/>
        </w:rPr>
        <w:t>—</w:t>
      </w:r>
      <w:r>
        <w:rPr>
          <w:spacing w:val="-11"/>
          <w:vertAlign w:val="baseline"/>
        </w:rPr>
        <w:t> </w:t>
      </w:r>
      <w:r>
        <w:rPr>
          <w:spacing w:val="-2"/>
          <w:vertAlign w:val="baseline"/>
        </w:rPr>
        <w:t>the</w:t>
      </w:r>
      <w:r>
        <w:rPr>
          <w:spacing w:val="-11"/>
          <w:vertAlign w:val="baseline"/>
        </w:rPr>
        <w:t> </w:t>
      </w:r>
      <w:r>
        <w:rPr>
          <w:spacing w:val="-2"/>
          <w:vertAlign w:val="baseline"/>
        </w:rPr>
        <w:t>sole</w:t>
      </w:r>
      <w:r>
        <w:rPr>
          <w:spacing w:val="-11"/>
          <w:vertAlign w:val="baseline"/>
        </w:rPr>
        <w:t> </w:t>
      </w:r>
      <w:r>
        <w:rPr>
          <w:spacing w:val="-2"/>
          <w:vertAlign w:val="baseline"/>
        </w:rPr>
        <w:t>above-trend</w:t>
      </w:r>
      <w:r>
        <w:rPr>
          <w:spacing w:val="-11"/>
          <w:vertAlign w:val="baseline"/>
        </w:rPr>
        <w:t> </w:t>
      </w:r>
      <w:r>
        <w:rPr>
          <w:spacing w:val="-2"/>
          <w:vertAlign w:val="baseline"/>
        </w:rPr>
        <w:t>rule</w:t>
      </w:r>
      <w:r>
        <w:rPr>
          <w:spacing w:val="-11"/>
          <w:vertAlign w:val="baseline"/>
        </w:rPr>
        <w:t> </w:t>
      </w:r>
      <w:r>
        <w:rPr>
          <w:spacing w:val="-2"/>
          <w:vertAlign w:val="baseline"/>
        </w:rPr>
        <w:t>in</w:t>
      </w:r>
      <w:r>
        <w:rPr>
          <w:spacing w:val="-11"/>
          <w:vertAlign w:val="baseline"/>
        </w:rPr>
        <w:t> </w:t>
      </w:r>
      <w:r>
        <w:rPr>
          <w:spacing w:val="-2"/>
          <w:vertAlign w:val="baseline"/>
        </w:rPr>
        <w:t>RVV</w:t>
      </w:r>
      <w:r>
        <w:rPr>
          <w:spacing w:val="-11"/>
          <w:vertAlign w:val="baseline"/>
        </w:rPr>
        <w:t> </w:t>
      </w:r>
      <w:r>
        <w:rPr>
          <w:spacing w:val="-2"/>
          <w:vertAlign w:val="baseline"/>
        </w:rPr>
        <w:t>—</w:t>
      </w:r>
      <w:r>
        <w:rPr>
          <w:spacing w:val="-11"/>
          <w:vertAlign w:val="baseline"/>
        </w:rPr>
        <w:t> </w:t>
      </w:r>
      <w:r>
        <w:rPr>
          <w:spacing w:val="-2"/>
          <w:vertAlign w:val="baseline"/>
        </w:rPr>
        <w:t>which</w:t>
      </w:r>
      <w:r>
        <w:rPr>
          <w:spacing w:val="-11"/>
          <w:vertAlign w:val="baseline"/>
        </w:rPr>
        <w:t> </w:t>
      </w:r>
      <w:r>
        <w:rPr>
          <w:spacing w:val="-2"/>
          <w:vertAlign w:val="baseline"/>
        </w:rPr>
        <w:t>also</w:t>
      </w:r>
      <w:r>
        <w:rPr>
          <w:spacing w:val="-11"/>
          <w:vertAlign w:val="baseline"/>
        </w:rPr>
        <w:t> </w:t>
      </w:r>
      <w:r>
        <w:rPr>
          <w:spacing w:val="-2"/>
          <w:vertAlign w:val="baseline"/>
        </w:rPr>
        <w:t>involves warm</w:t>
      </w:r>
      <w:r>
        <w:rPr>
          <w:spacing w:val="-7"/>
          <w:vertAlign w:val="baseline"/>
        </w:rPr>
        <w:t> </w:t>
      </w:r>
      <w:r>
        <w:rPr>
          <w:spacing w:val="-2"/>
          <w:vertAlign w:val="baseline"/>
        </w:rPr>
        <w:t>prior-year</w:t>
      </w:r>
      <w:r>
        <w:rPr>
          <w:spacing w:val="-7"/>
          <w:vertAlign w:val="baseline"/>
        </w:rPr>
        <w:t> </w:t>
      </w:r>
      <w:r>
        <w:rPr>
          <w:spacing w:val="-2"/>
          <w:vertAlign w:val="baseline"/>
        </w:rPr>
        <w:t>conditions. Unlike</w:t>
      </w:r>
      <w:r>
        <w:rPr>
          <w:spacing w:val="-7"/>
          <w:vertAlign w:val="baseline"/>
        </w:rPr>
        <w:t> </w:t>
      </w:r>
      <w:r>
        <w:rPr>
          <w:spacing w:val="-2"/>
          <w:vertAlign w:val="baseline"/>
        </w:rPr>
        <w:t>the</w:t>
      </w:r>
      <w:r>
        <w:rPr>
          <w:spacing w:val="-7"/>
          <w:vertAlign w:val="baseline"/>
        </w:rPr>
        <w:t> </w:t>
      </w:r>
      <w:r>
        <w:rPr>
          <w:spacing w:val="-2"/>
          <w:vertAlign w:val="baseline"/>
        </w:rPr>
        <w:t>RDD</w:t>
      </w:r>
      <w:r>
        <w:rPr>
          <w:spacing w:val="-7"/>
          <w:vertAlign w:val="baseline"/>
        </w:rPr>
        <w:t> </w:t>
      </w:r>
      <w:r>
        <w:rPr>
          <w:spacing w:val="-2"/>
          <w:vertAlign w:val="baseline"/>
        </w:rPr>
        <w:t>case,</w:t>
      </w:r>
      <w:r>
        <w:rPr>
          <w:spacing w:val="-7"/>
          <w:vertAlign w:val="baseline"/>
        </w:rPr>
        <w:t> </w:t>
      </w:r>
      <w:r>
        <w:rPr>
          <w:spacing w:val="-2"/>
          <w:vertAlign w:val="baseline"/>
        </w:rPr>
        <w:t>where</w:t>
      </w:r>
      <w:r>
        <w:rPr>
          <w:spacing w:val="-7"/>
          <w:vertAlign w:val="baseline"/>
        </w:rPr>
        <w:t> </w:t>
      </w:r>
      <w:r>
        <w:rPr>
          <w:spacing w:val="-2"/>
          <w:vertAlign w:val="baseline"/>
        </w:rPr>
        <w:t>M5Rules</w:t>
      </w:r>
      <w:r>
        <w:rPr>
          <w:spacing w:val="-7"/>
          <w:vertAlign w:val="baseline"/>
        </w:rPr>
        <w:t> </w:t>
      </w:r>
      <w:r>
        <w:rPr>
          <w:spacing w:val="-2"/>
          <w:vertAlign w:val="baseline"/>
        </w:rPr>
        <w:t>and</w:t>
      </w:r>
      <w:r>
        <w:rPr>
          <w:spacing w:val="-7"/>
          <w:vertAlign w:val="baseline"/>
        </w:rPr>
        <w:t> </w:t>
      </w:r>
      <w:r>
        <w:rPr>
          <w:spacing w:val="-2"/>
          <w:vertAlign w:val="baseline"/>
        </w:rPr>
        <w:t>CarenR</w:t>
      </w:r>
      <w:r>
        <w:rPr>
          <w:spacing w:val="-7"/>
          <w:vertAlign w:val="baseline"/>
        </w:rPr>
        <w:t> </w:t>
      </w:r>
      <w:r>
        <w:rPr>
          <w:spacing w:val="-2"/>
          <w:vertAlign w:val="baseline"/>
        </w:rPr>
        <w:t>pointed</w:t>
      </w:r>
      <w:r>
        <w:rPr>
          <w:spacing w:val="-7"/>
          <w:vertAlign w:val="baseline"/>
        </w:rPr>
        <w:t> </w:t>
      </w:r>
      <w:r>
        <w:rPr>
          <w:spacing w:val="-2"/>
          <w:vertAlign w:val="baseline"/>
        </w:rPr>
        <w:t>in</w:t>
      </w:r>
      <w:r>
        <w:rPr>
          <w:spacing w:val="-7"/>
          <w:vertAlign w:val="baseline"/>
        </w:rPr>
        <w:t> </w:t>
      </w:r>
      <w:r>
        <w:rPr>
          <w:spacing w:val="-2"/>
          <w:vertAlign w:val="baseline"/>
        </w:rPr>
        <w:t>opposite directions</w:t>
      </w:r>
      <w:r>
        <w:rPr>
          <w:spacing w:val="-10"/>
          <w:vertAlign w:val="baseline"/>
        </w:rPr>
        <w:t> </w:t>
      </w:r>
      <w:r>
        <w:rPr>
          <w:spacing w:val="-2"/>
          <w:vertAlign w:val="baseline"/>
        </w:rPr>
        <w:t>for</w:t>
      </w:r>
      <w:r>
        <w:rPr>
          <w:spacing w:val="-10"/>
          <w:vertAlign w:val="baseline"/>
        </w:rPr>
        <w:t> </w:t>
      </w:r>
      <w:r>
        <w:rPr>
          <w:spacing w:val="-2"/>
          <w:vertAlign w:val="baseline"/>
        </w:rPr>
        <w:t>the</w:t>
      </w:r>
      <w:r>
        <w:rPr>
          <w:spacing w:val="-10"/>
          <w:vertAlign w:val="baseline"/>
        </w:rPr>
        <w:t> </w:t>
      </w:r>
      <w:r>
        <w:rPr>
          <w:spacing w:val="-2"/>
          <w:vertAlign w:val="baseline"/>
        </w:rPr>
        <w:t>dominant</w:t>
      </w:r>
      <w:r>
        <w:rPr>
          <w:spacing w:val="-10"/>
          <w:vertAlign w:val="baseline"/>
        </w:rPr>
        <w:t> </w:t>
      </w:r>
      <w:r>
        <w:rPr>
          <w:spacing w:val="-2"/>
          <w:vertAlign w:val="baseline"/>
        </w:rPr>
        <w:t>variable,</w:t>
      </w:r>
      <w:r>
        <w:rPr>
          <w:spacing w:val="-10"/>
          <w:vertAlign w:val="baseline"/>
        </w:rPr>
        <w:t> </w:t>
      </w:r>
      <w:r>
        <w:rPr>
          <w:spacing w:val="-2"/>
          <w:vertAlign w:val="baseline"/>
        </w:rPr>
        <w:t>the</w:t>
      </w:r>
      <w:r>
        <w:rPr>
          <w:spacing w:val="-10"/>
          <w:vertAlign w:val="baseline"/>
        </w:rPr>
        <w:t> </w:t>
      </w:r>
      <w:r>
        <w:rPr>
          <w:spacing w:val="-2"/>
          <w:vertAlign w:val="baseline"/>
        </w:rPr>
        <w:t>RVV</w:t>
      </w:r>
      <w:r>
        <w:rPr>
          <w:spacing w:val="-10"/>
          <w:vertAlign w:val="baseline"/>
        </w:rPr>
        <w:t> </w:t>
      </w:r>
      <w:r>
        <w:rPr>
          <w:spacing w:val="-2"/>
          <w:vertAlign w:val="baseline"/>
        </w:rPr>
        <w:t>coefficients</w:t>
      </w:r>
      <w:r>
        <w:rPr>
          <w:spacing w:val="-10"/>
          <w:vertAlign w:val="baseline"/>
        </w:rPr>
        <w:t> </w:t>
      </w:r>
      <w:r>
        <w:rPr>
          <w:spacing w:val="-2"/>
          <w:vertAlign w:val="baseline"/>
        </w:rPr>
        <w:t>and</w:t>
      </w:r>
      <w:r>
        <w:rPr>
          <w:spacing w:val="-10"/>
          <w:vertAlign w:val="baseline"/>
        </w:rPr>
        <w:t> </w:t>
      </w:r>
      <w:r>
        <w:rPr>
          <w:spacing w:val="-2"/>
          <w:vertAlign w:val="baseline"/>
        </w:rPr>
        <w:t>rule</w:t>
      </w:r>
      <w:r>
        <w:rPr>
          <w:spacing w:val="-10"/>
          <w:vertAlign w:val="baseline"/>
        </w:rPr>
        <w:t> </w:t>
      </w:r>
      <w:r>
        <w:rPr>
          <w:spacing w:val="-2"/>
          <w:vertAlign w:val="baseline"/>
        </w:rPr>
        <w:t>directions</w:t>
      </w:r>
      <w:r>
        <w:rPr>
          <w:spacing w:val="-10"/>
          <w:vertAlign w:val="baseline"/>
        </w:rPr>
        <w:t> </w:t>
      </w:r>
      <w:r>
        <w:rPr>
          <w:spacing w:val="-2"/>
          <w:vertAlign w:val="baseline"/>
        </w:rPr>
        <w:t>are</w:t>
      </w:r>
      <w:r>
        <w:rPr>
          <w:spacing w:val="-10"/>
          <w:vertAlign w:val="baseline"/>
        </w:rPr>
        <w:t> </w:t>
      </w:r>
      <w:r>
        <w:rPr>
          <w:spacing w:val="-2"/>
          <w:vertAlign w:val="baseline"/>
        </w:rPr>
        <w:t>largely</w:t>
      </w:r>
      <w:r>
        <w:rPr>
          <w:spacing w:val="-10"/>
          <w:vertAlign w:val="baseline"/>
        </w:rPr>
        <w:t> </w:t>
      </w:r>
      <w:r>
        <w:rPr>
          <w:spacing w:val="-2"/>
          <w:vertAlign w:val="baseline"/>
        </w:rPr>
        <w:t>consistent, </w:t>
      </w:r>
      <w:r>
        <w:rPr>
          <w:vertAlign w:val="baseline"/>
        </w:rPr>
        <w:t>suggesting a more linear underlying structure in the RVV residuals.</w:t>
      </w:r>
    </w:p>
    <w:p>
      <w:pPr>
        <w:pStyle w:val="BodyText"/>
      </w:pPr>
    </w:p>
    <w:p>
      <w:pPr>
        <w:pStyle w:val="BodyText"/>
        <w:spacing w:before="2"/>
      </w:pPr>
    </w:p>
    <w:p>
      <w:pPr>
        <w:pStyle w:val="Heading2"/>
        <w:numPr>
          <w:ilvl w:val="1"/>
          <w:numId w:val="18"/>
        </w:numPr>
        <w:tabs>
          <w:tab w:pos="787" w:val="left" w:leader="none"/>
        </w:tabs>
        <w:spacing w:line="240" w:lineRule="auto" w:before="0" w:after="0"/>
        <w:ind w:left="787" w:right="0" w:hanging="645"/>
        <w:jc w:val="left"/>
      </w:pPr>
      <w:bookmarkStart w:name="4.5 Cross-Algorithm Feature Agreement" w:id="148"/>
      <w:bookmarkEnd w:id="148"/>
      <w:r>
        <w:rPr>
          <w:b w:val="0"/>
        </w:rPr>
      </w:r>
      <w:bookmarkStart w:name="_bookmark84" w:id="149"/>
      <w:bookmarkEnd w:id="149"/>
      <w:r>
        <w:rPr>
          <w:b w:val="0"/>
        </w:rPr>
      </w:r>
      <w:r>
        <w:rPr/>
        <w:t>Cross-Algorithm</w:t>
      </w:r>
      <w:r>
        <w:rPr>
          <w:spacing w:val="20"/>
        </w:rPr>
        <w:t> </w:t>
      </w:r>
      <w:r>
        <w:rPr/>
        <w:t>Feature</w:t>
      </w:r>
      <w:r>
        <w:rPr>
          <w:spacing w:val="21"/>
        </w:rPr>
        <w:t> </w:t>
      </w:r>
      <w:r>
        <w:rPr>
          <w:spacing w:val="-2"/>
        </w:rPr>
        <w:t>Agreement</w:t>
      </w:r>
    </w:p>
    <w:p>
      <w:pPr>
        <w:pStyle w:val="BodyText"/>
        <w:spacing w:line="312" w:lineRule="auto" w:before="306"/>
        <w:ind w:left="142" w:right="1519" w:hanging="7"/>
        <w:jc w:val="both"/>
      </w:pPr>
      <w:r>
        <w:rPr/>
        <w:t>Table </w:t>
      </w:r>
      <w:hyperlink w:history="true" w:anchor="_bookmark85">
        <w:r>
          <w:rPr>
            <w:color w:val="8B2C18"/>
          </w:rPr>
          <w:t>4.9</w:t>
        </w:r>
      </w:hyperlink>
      <w:r>
        <w:rPr>
          <w:color w:val="8B2C18"/>
        </w:rPr>
        <w:t> </w:t>
      </w:r>
      <w:r>
        <w:rPr/>
        <w:t>summarises feature agreement across all three algorithms for both regions.</w:t>
      </w:r>
      <w:r>
        <w:rPr>
          <w:spacing w:val="40"/>
        </w:rPr>
        <w:t> </w:t>
      </w:r>
      <w:r>
        <w:rPr/>
        <w:t>A feature confirmed by all three methods (CarenR’s distributional test, RIPPER’s information gain, and M5Rules’</w:t>
      </w:r>
      <w:r>
        <w:rPr>
          <w:spacing w:val="-11"/>
        </w:rPr>
        <w:t> </w:t>
      </w:r>
      <w:r>
        <w:rPr/>
        <w:t>MSE</w:t>
      </w:r>
      <w:r>
        <w:rPr>
          <w:spacing w:val="-11"/>
        </w:rPr>
        <w:t> </w:t>
      </w:r>
      <w:r>
        <w:rPr/>
        <w:t>minimisation)</w:t>
      </w:r>
      <w:r>
        <w:rPr>
          <w:spacing w:val="-11"/>
        </w:rPr>
        <w:t> </w:t>
      </w:r>
      <w:r>
        <w:rPr/>
        <w:t>has</w:t>
      </w:r>
      <w:r>
        <w:rPr>
          <w:spacing w:val="-10"/>
        </w:rPr>
        <w:t> </w:t>
      </w:r>
      <w:r>
        <w:rPr/>
        <w:t>been</w:t>
      </w:r>
      <w:r>
        <w:rPr>
          <w:spacing w:val="-11"/>
        </w:rPr>
        <w:t> </w:t>
      </w:r>
      <w:r>
        <w:rPr/>
        <w:t>identified</w:t>
      </w:r>
      <w:r>
        <w:rPr>
          <w:spacing w:val="-11"/>
        </w:rPr>
        <w:t> </w:t>
      </w:r>
      <w:r>
        <w:rPr/>
        <w:t>as</w:t>
      </w:r>
      <w:r>
        <w:rPr>
          <w:spacing w:val="-11"/>
        </w:rPr>
        <w:t> </w:t>
      </w:r>
      <w:r>
        <w:rPr/>
        <w:t>informative</w:t>
      </w:r>
      <w:r>
        <w:rPr>
          <w:spacing w:val="-11"/>
        </w:rPr>
        <w:t> </w:t>
      </w:r>
      <w:r>
        <w:rPr/>
        <w:t>by</w:t>
      </w:r>
      <w:r>
        <w:rPr>
          <w:spacing w:val="-11"/>
        </w:rPr>
        <w:t> </w:t>
      </w:r>
      <w:r>
        <w:rPr/>
        <w:t>three</w:t>
      </w:r>
      <w:r>
        <w:rPr>
          <w:spacing w:val="-10"/>
        </w:rPr>
        <w:t> </w:t>
      </w:r>
      <w:r>
        <w:rPr/>
        <w:t>fundamentally</w:t>
      </w:r>
      <w:r>
        <w:rPr>
          <w:spacing w:val="-10"/>
        </w:rPr>
        <w:t> </w:t>
      </w:r>
      <w:r>
        <w:rPr/>
        <w:t>different </w:t>
      </w:r>
      <w:r>
        <w:rPr>
          <w:spacing w:val="-2"/>
        </w:rPr>
        <w:t>optimisation</w:t>
      </w:r>
      <w:r>
        <w:rPr>
          <w:spacing w:val="-12"/>
        </w:rPr>
        <w:t> </w:t>
      </w:r>
      <w:r>
        <w:rPr>
          <w:spacing w:val="-2"/>
        </w:rPr>
        <w:t>criteria,</w:t>
      </w:r>
      <w:r>
        <w:rPr>
          <w:spacing w:val="-11"/>
        </w:rPr>
        <w:t> </w:t>
      </w:r>
      <w:r>
        <w:rPr>
          <w:spacing w:val="-2"/>
        </w:rPr>
        <w:t>providing</w:t>
      </w:r>
      <w:r>
        <w:rPr>
          <w:spacing w:val="-11"/>
        </w:rPr>
        <w:t> </w:t>
      </w:r>
      <w:r>
        <w:rPr>
          <w:spacing w:val="-2"/>
        </w:rPr>
        <w:t>the</w:t>
      </w:r>
      <w:r>
        <w:rPr>
          <w:spacing w:val="-12"/>
        </w:rPr>
        <w:t> </w:t>
      </w:r>
      <w:r>
        <w:rPr>
          <w:spacing w:val="-2"/>
        </w:rPr>
        <w:t>strongest</w:t>
      </w:r>
      <w:r>
        <w:rPr>
          <w:spacing w:val="-11"/>
        </w:rPr>
        <w:t> </w:t>
      </w:r>
      <w:r>
        <w:rPr>
          <w:spacing w:val="-2"/>
        </w:rPr>
        <w:t>possible</w:t>
      </w:r>
      <w:r>
        <w:rPr>
          <w:spacing w:val="-12"/>
        </w:rPr>
        <w:t> </w:t>
      </w:r>
      <w:r>
        <w:rPr>
          <w:spacing w:val="-2"/>
        </w:rPr>
        <w:t>evidence</w:t>
      </w:r>
      <w:r>
        <w:rPr>
          <w:spacing w:val="-12"/>
        </w:rPr>
        <w:t> </w:t>
      </w:r>
      <w:r>
        <w:rPr>
          <w:spacing w:val="-2"/>
        </w:rPr>
        <w:t>that</w:t>
      </w:r>
      <w:r>
        <w:rPr>
          <w:spacing w:val="-11"/>
        </w:rPr>
        <w:t> </w:t>
      </w:r>
      <w:r>
        <w:rPr>
          <w:spacing w:val="-2"/>
        </w:rPr>
        <w:t>it</w:t>
      </w:r>
      <w:r>
        <w:rPr>
          <w:spacing w:val="-12"/>
        </w:rPr>
        <w:t> </w:t>
      </w:r>
      <w:r>
        <w:rPr>
          <w:spacing w:val="-2"/>
        </w:rPr>
        <w:t>reflects</w:t>
      </w:r>
      <w:r>
        <w:rPr>
          <w:spacing w:val="-11"/>
        </w:rPr>
        <w:t> </w:t>
      </w:r>
      <w:r>
        <w:rPr>
          <w:spacing w:val="-2"/>
        </w:rPr>
        <w:t>genuine</w:t>
      </w:r>
      <w:r>
        <w:rPr>
          <w:spacing w:val="-12"/>
        </w:rPr>
        <w:t> </w:t>
      </w:r>
      <w:r>
        <w:rPr>
          <w:spacing w:val="-2"/>
        </w:rPr>
        <w:t>data</w:t>
      </w:r>
      <w:r>
        <w:rPr>
          <w:spacing w:val="-11"/>
        </w:rPr>
        <w:t> </w:t>
      </w:r>
      <w:r>
        <w:rPr>
          <w:spacing w:val="-2"/>
        </w:rPr>
        <w:t>structure.</w:t>
      </w:r>
    </w:p>
    <w:p>
      <w:pPr>
        <w:spacing w:before="160"/>
        <w:ind w:left="945" w:right="0" w:firstLine="0"/>
        <w:jc w:val="both"/>
        <w:rPr>
          <w:sz w:val="20"/>
        </w:rPr>
      </w:pPr>
      <w:bookmarkStart w:name="_bookmark85" w:id="150"/>
      <w:bookmarkEnd w:id="150"/>
      <w:r>
        <w:rPr/>
      </w:r>
      <w:r>
        <w:rPr>
          <w:b/>
          <w:sz w:val="20"/>
        </w:rPr>
        <w:t>Table</w:t>
      </w:r>
      <w:r>
        <w:rPr>
          <w:b/>
          <w:spacing w:val="-8"/>
          <w:sz w:val="20"/>
        </w:rPr>
        <w:t> </w:t>
      </w:r>
      <w:r>
        <w:rPr>
          <w:b/>
          <w:sz w:val="20"/>
        </w:rPr>
        <w:t>4.9:</w:t>
      </w:r>
      <w:r>
        <w:rPr>
          <w:b/>
          <w:spacing w:val="2"/>
          <w:sz w:val="20"/>
        </w:rPr>
        <w:t> </w:t>
      </w:r>
      <w:r>
        <w:rPr>
          <w:sz w:val="20"/>
        </w:rPr>
        <w:t>Feature</w:t>
      </w:r>
      <w:r>
        <w:rPr>
          <w:spacing w:val="-8"/>
          <w:sz w:val="20"/>
        </w:rPr>
        <w:t> </w:t>
      </w:r>
      <w:r>
        <w:rPr>
          <w:sz w:val="20"/>
        </w:rPr>
        <w:t>agreement</w:t>
      </w:r>
      <w:r>
        <w:rPr>
          <w:spacing w:val="-7"/>
          <w:sz w:val="20"/>
        </w:rPr>
        <w:t> </w:t>
      </w:r>
      <w:r>
        <w:rPr>
          <w:sz w:val="20"/>
        </w:rPr>
        <w:t>across</w:t>
      </w:r>
      <w:r>
        <w:rPr>
          <w:spacing w:val="-8"/>
          <w:sz w:val="20"/>
        </w:rPr>
        <w:t> </w:t>
      </w:r>
      <w:r>
        <w:rPr>
          <w:sz w:val="20"/>
        </w:rPr>
        <w:t>CarenR,</w:t>
      </w:r>
      <w:r>
        <w:rPr>
          <w:spacing w:val="-8"/>
          <w:sz w:val="20"/>
        </w:rPr>
        <w:t> </w:t>
      </w:r>
      <w:r>
        <w:rPr>
          <w:sz w:val="20"/>
        </w:rPr>
        <w:t>RIPPER,</w:t>
      </w:r>
      <w:r>
        <w:rPr>
          <w:spacing w:val="-8"/>
          <w:sz w:val="20"/>
        </w:rPr>
        <w:t> </w:t>
      </w:r>
      <w:r>
        <w:rPr>
          <w:sz w:val="20"/>
        </w:rPr>
        <w:t>and</w:t>
      </w:r>
      <w:r>
        <w:rPr>
          <w:spacing w:val="-7"/>
          <w:sz w:val="20"/>
        </w:rPr>
        <w:t> </w:t>
      </w:r>
      <w:r>
        <w:rPr>
          <w:sz w:val="20"/>
        </w:rPr>
        <w:t>M5Rules</w:t>
      </w:r>
      <w:r>
        <w:rPr>
          <w:spacing w:val="-8"/>
          <w:sz w:val="20"/>
        </w:rPr>
        <w:t> </w:t>
      </w:r>
      <w:r>
        <w:rPr>
          <w:sz w:val="20"/>
        </w:rPr>
        <w:t>for</w:t>
      </w:r>
      <w:r>
        <w:rPr>
          <w:spacing w:val="-8"/>
          <w:sz w:val="20"/>
        </w:rPr>
        <w:t> </w:t>
      </w:r>
      <w:r>
        <w:rPr>
          <w:sz w:val="20"/>
        </w:rPr>
        <w:t>both</w:t>
      </w:r>
      <w:r>
        <w:rPr>
          <w:spacing w:val="-8"/>
          <w:sz w:val="20"/>
        </w:rPr>
        <w:t> </w:t>
      </w:r>
      <w:r>
        <w:rPr>
          <w:spacing w:val="-2"/>
          <w:sz w:val="20"/>
        </w:rPr>
        <w:t>regions.</w:t>
      </w:r>
    </w:p>
    <w:p>
      <w:pPr>
        <w:pStyle w:val="BodyText"/>
        <w:spacing w:before="5"/>
        <w:rPr>
          <w:sz w:val="18"/>
        </w:rPr>
      </w:pPr>
      <w:r>
        <w:rPr>
          <w:sz w:val="18"/>
        </w:rPr>
        <mc:AlternateContent>
          <mc:Choice Requires="wps">
            <w:drawing>
              <wp:anchor distT="0" distB="0" distL="0" distR="0" allowOverlap="1" layoutInCell="1" locked="0" behindDoc="1" simplePos="0" relativeHeight="487620608">
                <wp:simplePos x="0" y="0"/>
                <wp:positionH relativeFrom="page">
                  <wp:posOffset>899998</wp:posOffset>
                </wp:positionH>
                <wp:positionV relativeFrom="paragraph">
                  <wp:posOffset>150467</wp:posOffset>
                </wp:positionV>
                <wp:extent cx="5400040" cy="1270"/>
                <wp:effectExtent l="0" t="0" r="0" b="0"/>
                <wp:wrapTopAndBottom/>
                <wp:docPr id="172" name="Graphic 172"/>
                <wp:cNvGraphicFramePr>
                  <a:graphicFrameLocks/>
                </wp:cNvGraphicFramePr>
                <a:graphic>
                  <a:graphicData uri="http://schemas.microsoft.com/office/word/2010/wordprocessingShape">
                    <wps:wsp>
                      <wps:cNvPr id="172" name="Graphic 172"/>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1.847844pt;width:425.2pt;height:.1pt;mso-position-horizontal-relative:page;mso-position-vertical-relative:paragraph;z-index:-15695872;mso-wrap-distance-left:0;mso-wrap-distance-right:0" id="docshape144" coordorigin="1417,237" coordsize="8504,0" path="m1417,237l9921,237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11"/>
        <w:gridCol w:w="1755"/>
        <w:gridCol w:w="1301"/>
        <w:gridCol w:w="1358"/>
        <w:gridCol w:w="848"/>
        <w:gridCol w:w="1832"/>
      </w:tblGrid>
      <w:tr>
        <w:trPr>
          <w:trHeight w:val="470" w:hRule="atLeast"/>
        </w:trPr>
        <w:tc>
          <w:tcPr>
            <w:tcW w:w="1411" w:type="dxa"/>
            <w:tcBorders>
              <w:top w:val="nil"/>
              <w:left w:val="nil"/>
              <w:right w:val="single" w:sz="4" w:space="0" w:color="000000"/>
            </w:tcBorders>
          </w:tcPr>
          <w:p>
            <w:pPr>
              <w:pStyle w:val="TableParagraph"/>
              <w:spacing w:before="23"/>
              <w:ind w:left="79"/>
              <w:rPr>
                <w:sz w:val="16"/>
              </w:rPr>
            </w:pPr>
            <w:r>
              <w:rPr>
                <w:spacing w:val="-2"/>
                <w:sz w:val="16"/>
              </w:rPr>
              <w:t>Feature</w:t>
            </w:r>
          </w:p>
        </w:tc>
        <w:tc>
          <w:tcPr>
            <w:tcW w:w="1755" w:type="dxa"/>
            <w:tcBorders>
              <w:top w:val="nil"/>
              <w:left w:val="single" w:sz="4" w:space="0" w:color="000000"/>
              <w:right w:val="single" w:sz="4" w:space="0" w:color="000000"/>
            </w:tcBorders>
          </w:tcPr>
          <w:p>
            <w:pPr>
              <w:pStyle w:val="TableParagraph"/>
              <w:spacing w:before="23"/>
              <w:ind w:left="78"/>
              <w:rPr>
                <w:sz w:val="16"/>
              </w:rPr>
            </w:pPr>
            <w:r>
              <w:rPr>
                <w:spacing w:val="-2"/>
                <w:sz w:val="16"/>
              </w:rPr>
              <w:t>CarenR</w:t>
            </w:r>
          </w:p>
        </w:tc>
        <w:tc>
          <w:tcPr>
            <w:tcW w:w="1301" w:type="dxa"/>
            <w:tcBorders>
              <w:top w:val="nil"/>
              <w:left w:val="single" w:sz="4" w:space="0" w:color="000000"/>
              <w:right w:val="single" w:sz="4" w:space="0" w:color="000000"/>
            </w:tcBorders>
          </w:tcPr>
          <w:p>
            <w:pPr>
              <w:pStyle w:val="TableParagraph"/>
              <w:spacing w:before="23"/>
              <w:ind w:left="78"/>
              <w:rPr>
                <w:sz w:val="16"/>
              </w:rPr>
            </w:pPr>
            <w:r>
              <w:rPr>
                <w:spacing w:val="-2"/>
                <w:sz w:val="16"/>
              </w:rPr>
              <w:t>RIPPER</w:t>
            </w:r>
          </w:p>
        </w:tc>
        <w:tc>
          <w:tcPr>
            <w:tcW w:w="1358" w:type="dxa"/>
            <w:tcBorders>
              <w:top w:val="nil"/>
              <w:left w:val="single" w:sz="4" w:space="0" w:color="000000"/>
              <w:right w:val="single" w:sz="4" w:space="0" w:color="000000"/>
            </w:tcBorders>
          </w:tcPr>
          <w:p>
            <w:pPr>
              <w:pStyle w:val="TableParagraph"/>
              <w:spacing w:before="23"/>
              <w:ind w:left="78"/>
              <w:rPr>
                <w:sz w:val="16"/>
              </w:rPr>
            </w:pPr>
            <w:r>
              <w:rPr>
                <w:spacing w:val="-2"/>
                <w:sz w:val="16"/>
              </w:rPr>
              <w:t>M5Rules</w:t>
            </w:r>
          </w:p>
        </w:tc>
        <w:tc>
          <w:tcPr>
            <w:tcW w:w="848" w:type="dxa"/>
            <w:tcBorders>
              <w:top w:val="nil"/>
              <w:left w:val="single" w:sz="4" w:space="0" w:color="000000"/>
              <w:right w:val="single" w:sz="4" w:space="0" w:color="000000"/>
            </w:tcBorders>
          </w:tcPr>
          <w:p>
            <w:pPr>
              <w:pStyle w:val="TableParagraph"/>
              <w:spacing w:line="247" w:lineRule="auto" w:before="23"/>
              <w:ind w:left="78"/>
              <w:rPr>
                <w:sz w:val="16"/>
              </w:rPr>
            </w:pPr>
            <w:r>
              <w:rPr>
                <w:sz w:val="16"/>
              </w:rPr>
              <w:t>#</w:t>
            </w:r>
            <w:r>
              <w:rPr>
                <w:spacing w:val="-10"/>
                <w:sz w:val="16"/>
              </w:rPr>
              <w:t> </w:t>
            </w:r>
            <w:r>
              <w:rPr>
                <w:sz w:val="16"/>
              </w:rPr>
              <w:t>methods</w:t>
            </w:r>
            <w:r>
              <w:rPr>
                <w:spacing w:val="40"/>
                <w:sz w:val="16"/>
              </w:rPr>
              <w:t> </w:t>
            </w:r>
            <w:r>
              <w:rPr>
                <w:spacing w:val="-2"/>
                <w:sz w:val="16"/>
              </w:rPr>
              <w:t>agree</w:t>
            </w:r>
          </w:p>
        </w:tc>
        <w:tc>
          <w:tcPr>
            <w:tcW w:w="1832" w:type="dxa"/>
            <w:tcBorders>
              <w:top w:val="nil"/>
              <w:left w:val="single" w:sz="4" w:space="0" w:color="000000"/>
              <w:right w:val="nil"/>
            </w:tcBorders>
          </w:tcPr>
          <w:p>
            <w:pPr>
              <w:pStyle w:val="TableParagraph"/>
              <w:spacing w:before="23"/>
              <w:ind w:left="77"/>
              <w:rPr>
                <w:sz w:val="16"/>
              </w:rPr>
            </w:pPr>
            <w:r>
              <w:rPr>
                <w:spacing w:val="-2"/>
                <w:sz w:val="16"/>
              </w:rPr>
              <w:t>Confidence</w:t>
            </w:r>
          </w:p>
        </w:tc>
      </w:tr>
    </w:tbl>
    <w:p>
      <w:pPr>
        <w:pStyle w:val="BodyText"/>
        <w:spacing w:before="11"/>
        <w:rPr>
          <w:sz w:val="4"/>
        </w:rPr>
      </w:pPr>
    </w:p>
    <w:tbl>
      <w:tblPr>
        <w:tblW w:w="0" w:type="auto"/>
        <w:jc w:val="left"/>
        <w:tblInd w:w="14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411"/>
        <w:gridCol w:w="1755"/>
        <w:gridCol w:w="1301"/>
        <w:gridCol w:w="1358"/>
        <w:gridCol w:w="848"/>
        <w:gridCol w:w="1832"/>
      </w:tblGrid>
      <w:tr>
        <w:trPr>
          <w:trHeight w:val="444" w:hRule="atLeast"/>
        </w:trPr>
        <w:tc>
          <w:tcPr>
            <w:tcW w:w="1411" w:type="dxa"/>
            <w:tcBorders>
              <w:top w:val="nil"/>
              <w:left w:val="nil"/>
              <w:right w:val="single" w:sz="4" w:space="0" w:color="000000"/>
            </w:tcBorders>
          </w:tcPr>
          <w:p>
            <w:pPr>
              <w:pStyle w:val="TableParagraph"/>
              <w:spacing w:line="247" w:lineRule="auto" w:before="23"/>
              <w:ind w:left="74" w:right="96" w:firstLine="5"/>
              <w:rPr>
                <w:sz w:val="16"/>
              </w:rPr>
            </w:pPr>
            <w:r>
              <w:rPr>
                <w:spacing w:val="-2"/>
                <w:sz w:val="16"/>
              </w:rPr>
              <w:t>swa_hv_y1_b20</w:t>
            </w:r>
            <w:r>
              <w:rPr>
                <w:spacing w:val="40"/>
                <w:sz w:val="16"/>
              </w:rPr>
              <w:t> </w:t>
            </w:r>
            <w:r>
              <w:rPr>
                <w:sz w:val="16"/>
              </w:rPr>
              <w:t>(harvest</w:t>
            </w:r>
            <w:r>
              <w:rPr>
                <w:spacing w:val="-10"/>
                <w:sz w:val="16"/>
              </w:rPr>
              <w:t> </w:t>
            </w:r>
            <w:r>
              <w:rPr>
                <w:sz w:val="16"/>
              </w:rPr>
              <w:t>soil</w:t>
            </w:r>
            <w:r>
              <w:rPr>
                <w:spacing w:val="-10"/>
                <w:sz w:val="16"/>
              </w:rPr>
              <w:t> </w:t>
            </w:r>
            <w:r>
              <w:rPr>
                <w:sz w:val="16"/>
              </w:rPr>
              <w:t>water)</w:t>
            </w:r>
          </w:p>
        </w:tc>
        <w:tc>
          <w:tcPr>
            <w:tcW w:w="1755" w:type="dxa"/>
            <w:tcBorders>
              <w:top w:val="nil"/>
              <w:left w:val="single" w:sz="4" w:space="0" w:color="000000"/>
              <w:right w:val="single" w:sz="4" w:space="0" w:color="000000"/>
            </w:tcBorders>
          </w:tcPr>
          <w:p>
            <w:pPr>
              <w:pStyle w:val="TableParagraph"/>
              <w:numPr>
                <w:ilvl w:val="0"/>
                <w:numId w:val="19"/>
              </w:numPr>
              <w:tabs>
                <w:tab w:pos="249" w:val="left" w:leader="none"/>
              </w:tabs>
              <w:spacing w:line="193" w:lineRule="exact" w:before="15" w:after="0"/>
              <w:ind w:left="249" w:right="0" w:hanging="171"/>
              <w:jc w:val="left"/>
              <w:rPr>
                <w:sz w:val="16"/>
              </w:rPr>
            </w:pPr>
            <w:r>
              <w:rPr>
                <w:sz w:val="16"/>
              </w:rPr>
              <w:t>54%</w:t>
            </w:r>
            <w:r>
              <w:rPr>
                <w:spacing w:val="-4"/>
                <w:sz w:val="16"/>
              </w:rPr>
              <w:t> </w:t>
            </w:r>
            <w:r>
              <w:rPr>
                <w:sz w:val="16"/>
              </w:rPr>
              <w:t>of</w:t>
            </w:r>
            <w:r>
              <w:rPr>
                <w:spacing w:val="-4"/>
                <w:sz w:val="16"/>
              </w:rPr>
              <w:t> </w:t>
            </w:r>
            <w:r>
              <w:rPr>
                <w:sz w:val="16"/>
              </w:rPr>
              <w:t>RDD</w:t>
            </w:r>
            <w:r>
              <w:rPr>
                <w:spacing w:val="-3"/>
                <w:sz w:val="16"/>
              </w:rPr>
              <w:t> </w:t>
            </w:r>
            <w:r>
              <w:rPr>
                <w:spacing w:val="-4"/>
                <w:sz w:val="16"/>
              </w:rPr>
              <w:t>rules</w:t>
            </w:r>
          </w:p>
          <w:p>
            <w:pPr>
              <w:pStyle w:val="TableParagraph"/>
              <w:numPr>
                <w:ilvl w:val="0"/>
                <w:numId w:val="19"/>
              </w:numPr>
              <w:tabs>
                <w:tab w:pos="249" w:val="left" w:leader="none"/>
              </w:tabs>
              <w:spacing w:line="193" w:lineRule="exact" w:before="0" w:after="0"/>
              <w:ind w:left="249" w:right="0" w:hanging="171"/>
              <w:jc w:val="left"/>
              <w:rPr>
                <w:sz w:val="16"/>
              </w:rPr>
            </w:pPr>
            <w:r>
              <w:rPr>
                <w:sz w:val="16"/>
              </w:rPr>
              <w:t>25%</w:t>
            </w:r>
            <w:r>
              <w:rPr>
                <w:spacing w:val="-8"/>
                <w:sz w:val="16"/>
              </w:rPr>
              <w:t> </w:t>
            </w:r>
            <w:r>
              <w:rPr>
                <w:sz w:val="16"/>
              </w:rPr>
              <w:t>of</w:t>
            </w:r>
            <w:r>
              <w:rPr>
                <w:spacing w:val="-8"/>
                <w:sz w:val="16"/>
              </w:rPr>
              <w:t> </w:t>
            </w:r>
            <w:r>
              <w:rPr>
                <w:sz w:val="16"/>
              </w:rPr>
              <w:t>RVV</w:t>
            </w:r>
            <w:r>
              <w:rPr>
                <w:spacing w:val="-8"/>
                <w:sz w:val="16"/>
              </w:rPr>
              <w:t> </w:t>
            </w:r>
            <w:r>
              <w:rPr>
                <w:spacing w:val="-4"/>
                <w:sz w:val="16"/>
              </w:rPr>
              <w:t>rules</w:t>
            </w:r>
          </w:p>
        </w:tc>
        <w:tc>
          <w:tcPr>
            <w:tcW w:w="1301" w:type="dxa"/>
            <w:tcBorders>
              <w:top w:val="nil"/>
              <w:left w:val="single" w:sz="4" w:space="0" w:color="000000"/>
              <w:right w:val="single" w:sz="4" w:space="0" w:color="000000"/>
            </w:tcBorders>
          </w:tcPr>
          <w:p>
            <w:pPr>
              <w:pStyle w:val="TableParagraph"/>
              <w:numPr>
                <w:ilvl w:val="0"/>
                <w:numId w:val="20"/>
              </w:numPr>
              <w:tabs>
                <w:tab w:pos="249" w:val="left" w:leader="none"/>
              </w:tabs>
              <w:spacing w:line="240" w:lineRule="auto" w:before="15" w:after="0"/>
              <w:ind w:left="249" w:right="0" w:hanging="171"/>
              <w:jc w:val="left"/>
              <w:rPr>
                <w:sz w:val="16"/>
              </w:rPr>
            </w:pPr>
            <w:r>
              <w:rPr>
                <w:spacing w:val="-2"/>
                <w:sz w:val="16"/>
              </w:rPr>
              <w:t>RVV</w:t>
            </w:r>
            <w:r>
              <w:rPr>
                <w:spacing w:val="-4"/>
                <w:sz w:val="16"/>
              </w:rPr>
              <w:t> </w:t>
            </w:r>
            <w:r>
              <w:rPr>
                <w:spacing w:val="-2"/>
                <w:sz w:val="16"/>
              </w:rPr>
              <w:t>Rule</w:t>
            </w:r>
            <w:r>
              <w:rPr>
                <w:spacing w:val="-4"/>
                <w:sz w:val="16"/>
              </w:rPr>
              <w:t> </w:t>
            </w:r>
            <w:r>
              <w:rPr>
                <w:spacing w:val="-10"/>
                <w:sz w:val="16"/>
              </w:rPr>
              <w:t>3</w:t>
            </w:r>
          </w:p>
        </w:tc>
        <w:tc>
          <w:tcPr>
            <w:tcW w:w="1358" w:type="dxa"/>
            <w:tcBorders>
              <w:top w:val="nil"/>
              <w:left w:val="single" w:sz="4" w:space="0" w:color="000000"/>
              <w:right w:val="single" w:sz="4" w:space="0" w:color="000000"/>
            </w:tcBorders>
          </w:tcPr>
          <w:p>
            <w:pPr>
              <w:pStyle w:val="TableParagraph"/>
              <w:numPr>
                <w:ilvl w:val="0"/>
                <w:numId w:val="21"/>
              </w:numPr>
              <w:tabs>
                <w:tab w:pos="249" w:val="left" w:leader="none"/>
              </w:tabs>
              <w:spacing w:line="193" w:lineRule="exact" w:before="15" w:after="0"/>
              <w:ind w:left="249" w:right="0" w:hanging="171"/>
              <w:jc w:val="left"/>
              <w:rPr>
                <w:sz w:val="16"/>
              </w:rPr>
            </w:pPr>
            <w:r>
              <w:rPr>
                <w:sz w:val="16"/>
              </w:rPr>
              <w:t>-2.3/mm</w:t>
            </w:r>
            <w:r>
              <w:rPr>
                <w:spacing w:val="-7"/>
                <w:sz w:val="16"/>
              </w:rPr>
              <w:t> </w:t>
            </w:r>
            <w:r>
              <w:rPr>
                <w:spacing w:val="-5"/>
                <w:sz w:val="16"/>
              </w:rPr>
              <w:t>RDD</w:t>
            </w:r>
          </w:p>
          <w:p>
            <w:pPr>
              <w:pStyle w:val="TableParagraph"/>
              <w:numPr>
                <w:ilvl w:val="0"/>
                <w:numId w:val="21"/>
              </w:numPr>
              <w:tabs>
                <w:tab w:pos="249" w:val="left" w:leader="none"/>
              </w:tabs>
              <w:spacing w:line="193" w:lineRule="exact" w:before="0" w:after="0"/>
              <w:ind w:left="249" w:right="0" w:hanging="171"/>
              <w:jc w:val="left"/>
              <w:rPr>
                <w:sz w:val="16"/>
              </w:rPr>
            </w:pPr>
            <w:r>
              <w:rPr>
                <w:sz w:val="16"/>
              </w:rPr>
              <w:t>-8.1/mm</w:t>
            </w:r>
            <w:r>
              <w:rPr>
                <w:spacing w:val="-7"/>
                <w:sz w:val="16"/>
              </w:rPr>
              <w:t> </w:t>
            </w:r>
            <w:r>
              <w:rPr>
                <w:spacing w:val="-5"/>
                <w:sz w:val="16"/>
              </w:rPr>
              <w:t>RVV</w:t>
            </w:r>
          </w:p>
        </w:tc>
        <w:tc>
          <w:tcPr>
            <w:tcW w:w="848" w:type="dxa"/>
            <w:tcBorders>
              <w:top w:val="nil"/>
              <w:left w:val="single" w:sz="4" w:space="0" w:color="000000"/>
              <w:right w:val="single" w:sz="4" w:space="0" w:color="000000"/>
            </w:tcBorders>
          </w:tcPr>
          <w:p>
            <w:pPr>
              <w:pStyle w:val="TableParagraph"/>
              <w:spacing w:before="23"/>
              <w:ind w:left="78"/>
              <w:rPr>
                <w:sz w:val="16"/>
              </w:rPr>
            </w:pPr>
            <w:r>
              <w:rPr>
                <w:spacing w:val="-5"/>
                <w:sz w:val="16"/>
              </w:rPr>
              <w:t>3/3</w:t>
            </w:r>
          </w:p>
        </w:tc>
        <w:tc>
          <w:tcPr>
            <w:tcW w:w="1832" w:type="dxa"/>
            <w:tcBorders>
              <w:top w:val="nil"/>
              <w:left w:val="single" w:sz="4" w:space="0" w:color="000000"/>
              <w:right w:val="nil"/>
            </w:tcBorders>
          </w:tcPr>
          <w:p>
            <w:pPr>
              <w:pStyle w:val="TableParagraph"/>
              <w:spacing w:before="23"/>
              <w:ind w:left="77"/>
              <w:rPr>
                <w:sz w:val="16"/>
              </w:rPr>
            </w:pPr>
            <w:r>
              <w:rPr>
                <w:sz w:val="16"/>
              </w:rPr>
              <w:t>HIGH,</w:t>
            </w:r>
            <w:r>
              <w:rPr>
                <w:spacing w:val="-6"/>
                <w:sz w:val="16"/>
              </w:rPr>
              <w:t> </w:t>
            </w:r>
            <w:r>
              <w:rPr>
                <w:spacing w:val="-2"/>
                <w:sz w:val="16"/>
              </w:rPr>
              <w:t>universal</w:t>
            </w:r>
          </w:p>
        </w:tc>
      </w:tr>
      <w:tr>
        <w:trPr>
          <w:trHeight w:val="643" w:hRule="atLeast"/>
        </w:trPr>
        <w:tc>
          <w:tcPr>
            <w:tcW w:w="1411" w:type="dxa"/>
            <w:tcBorders>
              <w:left w:val="nil"/>
              <w:right w:val="single" w:sz="4" w:space="0" w:color="000000"/>
            </w:tcBorders>
          </w:tcPr>
          <w:p>
            <w:pPr>
              <w:pStyle w:val="TableParagraph"/>
              <w:spacing w:line="247" w:lineRule="auto"/>
              <w:ind w:left="79"/>
              <w:rPr>
                <w:sz w:val="16"/>
              </w:rPr>
            </w:pPr>
            <w:r>
              <w:rPr>
                <w:sz w:val="16"/>
              </w:rPr>
              <w:t>LAI</w:t>
            </w:r>
            <w:r>
              <w:rPr>
                <w:spacing w:val="-10"/>
                <w:sz w:val="16"/>
              </w:rPr>
              <w:t> </w:t>
            </w:r>
            <w:r>
              <w:rPr>
                <w:sz w:val="16"/>
              </w:rPr>
              <w:t>family</w:t>
            </w:r>
            <w:r>
              <w:rPr>
                <w:spacing w:val="-10"/>
                <w:sz w:val="16"/>
              </w:rPr>
              <w:t> </w:t>
            </w:r>
            <w:r>
              <w:rPr>
                <w:sz w:val="16"/>
              </w:rPr>
              <w:t>(iaf_hv,</w:t>
            </w:r>
            <w:r>
              <w:rPr>
                <w:spacing w:val="40"/>
                <w:sz w:val="16"/>
              </w:rPr>
              <w:t> </w:t>
            </w:r>
            <w:r>
              <w:rPr>
                <w:sz w:val="16"/>
              </w:rPr>
              <w:t>iaf_fl,</w:t>
            </w:r>
            <w:r>
              <w:rPr>
                <w:spacing w:val="-3"/>
                <w:sz w:val="16"/>
              </w:rPr>
              <w:t> </w:t>
            </w:r>
            <w:r>
              <w:rPr>
                <w:sz w:val="16"/>
              </w:rPr>
              <w:t>iaf_bb)</w:t>
            </w:r>
          </w:p>
        </w:tc>
        <w:tc>
          <w:tcPr>
            <w:tcW w:w="1755" w:type="dxa"/>
            <w:tcBorders>
              <w:left w:val="single" w:sz="4" w:space="0" w:color="000000"/>
              <w:right w:val="single" w:sz="4" w:space="0" w:color="000000"/>
            </w:tcBorders>
          </w:tcPr>
          <w:p>
            <w:pPr>
              <w:pStyle w:val="TableParagraph"/>
              <w:numPr>
                <w:ilvl w:val="0"/>
                <w:numId w:val="22"/>
              </w:numPr>
              <w:tabs>
                <w:tab w:pos="249" w:val="left" w:leader="none"/>
              </w:tabs>
              <w:spacing w:line="193" w:lineRule="exact" w:before="25" w:after="0"/>
              <w:ind w:left="249" w:right="0" w:hanging="171"/>
              <w:jc w:val="left"/>
              <w:rPr>
                <w:sz w:val="16"/>
              </w:rPr>
            </w:pPr>
            <w:r>
              <w:rPr>
                <w:sz w:val="16"/>
              </w:rPr>
              <w:t>All</w:t>
            </w:r>
            <w:r>
              <w:rPr>
                <w:spacing w:val="-8"/>
                <w:sz w:val="16"/>
              </w:rPr>
              <w:t> </w:t>
            </w:r>
            <w:r>
              <w:rPr>
                <w:sz w:val="16"/>
              </w:rPr>
              <w:t>20</w:t>
            </w:r>
            <w:r>
              <w:rPr>
                <w:spacing w:val="-8"/>
                <w:sz w:val="16"/>
              </w:rPr>
              <w:t> </w:t>
            </w:r>
            <w:r>
              <w:rPr>
                <w:sz w:val="16"/>
              </w:rPr>
              <w:t>RVV</w:t>
            </w:r>
            <w:r>
              <w:rPr>
                <w:spacing w:val="-8"/>
                <w:sz w:val="16"/>
              </w:rPr>
              <w:t> </w:t>
            </w:r>
            <w:r>
              <w:rPr>
                <w:spacing w:val="-2"/>
                <w:sz w:val="16"/>
              </w:rPr>
              <w:t>rules</w:t>
            </w:r>
          </w:p>
          <w:p>
            <w:pPr>
              <w:pStyle w:val="TableParagraph"/>
              <w:numPr>
                <w:ilvl w:val="0"/>
                <w:numId w:val="22"/>
              </w:numPr>
              <w:tabs>
                <w:tab w:pos="249" w:val="left" w:leader="none"/>
              </w:tabs>
              <w:spacing w:line="193" w:lineRule="exact" w:before="0" w:after="0"/>
              <w:ind w:left="249" w:right="0" w:hanging="171"/>
              <w:jc w:val="left"/>
              <w:rPr>
                <w:sz w:val="16"/>
              </w:rPr>
            </w:pPr>
            <w:r>
              <w:rPr>
                <w:sz w:val="16"/>
              </w:rPr>
              <w:t>Minor</w:t>
            </w:r>
            <w:r>
              <w:rPr>
                <w:spacing w:val="-5"/>
                <w:sz w:val="16"/>
              </w:rPr>
              <w:t> </w:t>
            </w:r>
            <w:r>
              <w:rPr>
                <w:sz w:val="16"/>
              </w:rPr>
              <w:t>RDD</w:t>
            </w:r>
            <w:r>
              <w:rPr>
                <w:spacing w:val="-5"/>
                <w:sz w:val="16"/>
              </w:rPr>
              <w:t> </w:t>
            </w:r>
            <w:r>
              <w:rPr>
                <w:spacing w:val="-2"/>
                <w:sz w:val="16"/>
              </w:rPr>
              <w:t>signal</w:t>
            </w:r>
          </w:p>
        </w:tc>
        <w:tc>
          <w:tcPr>
            <w:tcW w:w="1301" w:type="dxa"/>
            <w:tcBorders>
              <w:left w:val="single" w:sz="4" w:space="0" w:color="000000"/>
              <w:right w:val="single" w:sz="4" w:space="0" w:color="000000"/>
            </w:tcBorders>
          </w:tcPr>
          <w:p>
            <w:pPr>
              <w:pStyle w:val="TableParagraph"/>
              <w:numPr>
                <w:ilvl w:val="0"/>
                <w:numId w:val="23"/>
              </w:numPr>
              <w:tabs>
                <w:tab w:pos="263" w:val="left" w:leader="none"/>
              </w:tabs>
              <w:spacing w:line="240" w:lineRule="auto" w:before="25" w:after="0"/>
              <w:ind w:left="78" w:right="53" w:firstLine="0"/>
              <w:jc w:val="left"/>
              <w:rPr>
                <w:sz w:val="16"/>
              </w:rPr>
            </w:pPr>
            <w:r>
              <w:rPr>
                <w:sz w:val="16"/>
              </w:rPr>
              <w:t>RVV</w:t>
            </w:r>
            <w:r>
              <w:rPr>
                <w:spacing w:val="-4"/>
                <w:sz w:val="16"/>
              </w:rPr>
              <w:t> </w:t>
            </w:r>
            <w:r>
              <w:rPr>
                <w:sz w:val="16"/>
              </w:rPr>
              <w:t>Rules</w:t>
            </w:r>
            <w:r>
              <w:rPr>
                <w:spacing w:val="-4"/>
                <w:sz w:val="16"/>
              </w:rPr>
              <w:t> </w:t>
            </w:r>
            <w:r>
              <w:rPr>
                <w:sz w:val="16"/>
              </w:rPr>
              <w:t>1–</w:t>
            </w:r>
            <w:r>
              <w:rPr>
                <w:spacing w:val="-10"/>
                <w:sz w:val="16"/>
              </w:rPr>
              <w:t>2</w:t>
            </w:r>
          </w:p>
        </w:tc>
        <w:tc>
          <w:tcPr>
            <w:tcW w:w="1358" w:type="dxa"/>
            <w:tcBorders>
              <w:left w:val="single" w:sz="4" w:space="0" w:color="000000"/>
              <w:right w:val="single" w:sz="4" w:space="0" w:color="000000"/>
            </w:tcBorders>
          </w:tcPr>
          <w:p>
            <w:pPr>
              <w:pStyle w:val="TableParagraph"/>
              <w:numPr>
                <w:ilvl w:val="0"/>
                <w:numId w:val="24"/>
              </w:numPr>
              <w:tabs>
                <w:tab w:pos="249" w:val="left" w:leader="none"/>
              </w:tabs>
              <w:spacing w:line="193" w:lineRule="exact" w:before="25" w:after="0"/>
              <w:ind w:left="249" w:right="0" w:hanging="171"/>
              <w:jc w:val="left"/>
              <w:rPr>
                <w:sz w:val="16"/>
              </w:rPr>
            </w:pPr>
            <w:r>
              <w:rPr>
                <w:spacing w:val="-2"/>
                <w:sz w:val="16"/>
              </w:rPr>
              <w:t>-2064/unit</w:t>
            </w:r>
            <w:r>
              <w:rPr>
                <w:spacing w:val="5"/>
                <w:sz w:val="16"/>
              </w:rPr>
              <w:t> </w:t>
            </w:r>
            <w:r>
              <w:rPr>
                <w:spacing w:val="-5"/>
                <w:sz w:val="16"/>
              </w:rPr>
              <w:t>RVV</w:t>
            </w:r>
          </w:p>
          <w:p>
            <w:pPr>
              <w:pStyle w:val="TableParagraph"/>
              <w:numPr>
                <w:ilvl w:val="0"/>
                <w:numId w:val="24"/>
              </w:numPr>
              <w:tabs>
                <w:tab w:pos="514" w:val="left" w:leader="none"/>
              </w:tabs>
              <w:spacing w:line="240" w:lineRule="auto" w:before="0" w:after="0"/>
              <w:ind w:left="78" w:right="77" w:firstLine="0"/>
              <w:jc w:val="left"/>
              <w:rPr>
                <w:sz w:val="16"/>
              </w:rPr>
            </w:pPr>
            <w:r>
              <w:rPr>
                <w:spacing w:val="-2"/>
                <w:sz w:val="16"/>
              </w:rPr>
              <w:t>Differential</w:t>
            </w:r>
            <w:r>
              <w:rPr>
                <w:spacing w:val="40"/>
                <w:sz w:val="16"/>
              </w:rPr>
              <w:t> </w:t>
            </w:r>
            <w:r>
              <w:rPr>
                <w:spacing w:val="-4"/>
                <w:sz w:val="16"/>
              </w:rPr>
              <w:t>RDD</w:t>
            </w:r>
          </w:p>
        </w:tc>
        <w:tc>
          <w:tcPr>
            <w:tcW w:w="848" w:type="dxa"/>
            <w:tcBorders>
              <w:left w:val="single" w:sz="4" w:space="0" w:color="000000"/>
              <w:right w:val="single" w:sz="4" w:space="0" w:color="000000"/>
            </w:tcBorders>
          </w:tcPr>
          <w:p>
            <w:pPr>
              <w:pStyle w:val="TableParagraph"/>
              <w:ind w:left="78"/>
              <w:rPr>
                <w:sz w:val="16"/>
              </w:rPr>
            </w:pPr>
            <w:r>
              <w:rPr>
                <w:spacing w:val="-5"/>
                <w:sz w:val="16"/>
              </w:rPr>
              <w:t>3/3</w:t>
            </w:r>
          </w:p>
        </w:tc>
        <w:tc>
          <w:tcPr>
            <w:tcW w:w="1832" w:type="dxa"/>
            <w:tcBorders>
              <w:left w:val="single" w:sz="4" w:space="0" w:color="000000"/>
              <w:right w:val="nil"/>
            </w:tcBorders>
          </w:tcPr>
          <w:p>
            <w:pPr>
              <w:pStyle w:val="TableParagraph"/>
              <w:ind w:left="77"/>
              <w:rPr>
                <w:sz w:val="16"/>
              </w:rPr>
            </w:pPr>
            <w:r>
              <w:rPr>
                <w:sz w:val="16"/>
              </w:rPr>
              <w:t>HIGH,</w:t>
            </w:r>
            <w:r>
              <w:rPr>
                <w:spacing w:val="-6"/>
                <w:sz w:val="16"/>
              </w:rPr>
              <w:t> </w:t>
            </w:r>
            <w:r>
              <w:rPr>
                <w:spacing w:val="-2"/>
                <w:sz w:val="16"/>
              </w:rPr>
              <w:t>universal</w:t>
            </w:r>
          </w:p>
        </w:tc>
      </w:tr>
      <w:tr>
        <w:trPr>
          <w:trHeight w:val="643" w:hRule="atLeast"/>
        </w:trPr>
        <w:tc>
          <w:tcPr>
            <w:tcW w:w="1411" w:type="dxa"/>
            <w:tcBorders>
              <w:left w:val="nil"/>
              <w:right w:val="single" w:sz="4" w:space="0" w:color="000000"/>
            </w:tcBorders>
          </w:tcPr>
          <w:p>
            <w:pPr>
              <w:pStyle w:val="TableParagraph"/>
              <w:tabs>
                <w:tab w:pos="805" w:val="left" w:leader="none"/>
              </w:tabs>
              <w:spacing w:line="247" w:lineRule="auto"/>
              <w:ind w:left="74" w:right="74" w:firstLine="5"/>
              <w:rPr>
                <w:sz w:val="16"/>
              </w:rPr>
            </w:pPr>
            <w:r>
              <w:rPr>
                <w:spacing w:val="-2"/>
                <w:sz w:val="16"/>
              </w:rPr>
              <w:t>tm_sm_y0_a20</w:t>
            </w:r>
            <w:r>
              <w:rPr>
                <w:spacing w:val="40"/>
                <w:sz w:val="16"/>
              </w:rPr>
              <w:t> </w:t>
            </w:r>
            <w:r>
              <w:rPr>
                <w:spacing w:val="-2"/>
                <w:sz w:val="16"/>
              </w:rPr>
              <w:t>(prev-yr</w:t>
            </w:r>
            <w:r>
              <w:rPr>
                <w:sz w:val="16"/>
              </w:rPr>
              <w:tab/>
            </w:r>
            <w:r>
              <w:rPr>
                <w:spacing w:val="-2"/>
                <w:sz w:val="16"/>
              </w:rPr>
              <w:t>summer</w:t>
            </w:r>
            <w:r>
              <w:rPr>
                <w:spacing w:val="40"/>
                <w:sz w:val="16"/>
              </w:rPr>
              <w:t> </w:t>
            </w:r>
            <w:r>
              <w:rPr>
                <w:spacing w:val="-2"/>
                <w:sz w:val="16"/>
              </w:rPr>
              <w:t>temp)</w:t>
            </w:r>
          </w:p>
        </w:tc>
        <w:tc>
          <w:tcPr>
            <w:tcW w:w="1755" w:type="dxa"/>
            <w:tcBorders>
              <w:left w:val="single" w:sz="4" w:space="0" w:color="000000"/>
              <w:right w:val="single" w:sz="4" w:space="0" w:color="000000"/>
            </w:tcBorders>
          </w:tcPr>
          <w:p>
            <w:pPr>
              <w:pStyle w:val="TableParagraph"/>
              <w:numPr>
                <w:ilvl w:val="0"/>
                <w:numId w:val="25"/>
              </w:numPr>
              <w:tabs>
                <w:tab w:pos="249" w:val="left" w:leader="none"/>
              </w:tabs>
              <w:spacing w:line="240" w:lineRule="auto" w:before="25" w:after="0"/>
              <w:ind w:left="249" w:right="0" w:hanging="171"/>
              <w:jc w:val="left"/>
              <w:rPr>
                <w:sz w:val="16"/>
              </w:rPr>
            </w:pPr>
            <w:r>
              <w:rPr>
                <w:spacing w:val="-2"/>
                <w:sz w:val="16"/>
              </w:rPr>
              <w:t>RVV</w:t>
            </w:r>
            <w:r>
              <w:rPr>
                <w:spacing w:val="-4"/>
                <w:sz w:val="16"/>
              </w:rPr>
              <w:t> </w:t>
            </w:r>
            <w:r>
              <w:rPr>
                <w:spacing w:val="-2"/>
                <w:sz w:val="16"/>
              </w:rPr>
              <w:t>carry-</w:t>
            </w:r>
            <w:r>
              <w:rPr>
                <w:spacing w:val="-4"/>
                <w:sz w:val="16"/>
              </w:rPr>
              <w:t>over</w:t>
            </w:r>
          </w:p>
        </w:tc>
        <w:tc>
          <w:tcPr>
            <w:tcW w:w="1301" w:type="dxa"/>
            <w:tcBorders>
              <w:left w:val="single" w:sz="4" w:space="0" w:color="000000"/>
              <w:right w:val="single" w:sz="4" w:space="0" w:color="000000"/>
            </w:tcBorders>
          </w:tcPr>
          <w:p>
            <w:pPr>
              <w:pStyle w:val="TableParagraph"/>
              <w:numPr>
                <w:ilvl w:val="0"/>
                <w:numId w:val="26"/>
              </w:numPr>
              <w:tabs>
                <w:tab w:pos="249" w:val="left" w:leader="none"/>
              </w:tabs>
              <w:spacing w:line="240" w:lineRule="auto" w:before="25" w:after="0"/>
              <w:ind w:left="249" w:right="0" w:hanging="171"/>
              <w:jc w:val="left"/>
              <w:rPr>
                <w:sz w:val="16"/>
              </w:rPr>
            </w:pPr>
            <w:r>
              <w:rPr>
                <w:spacing w:val="-2"/>
                <w:sz w:val="16"/>
              </w:rPr>
              <w:t>RVV</w:t>
            </w:r>
            <w:r>
              <w:rPr>
                <w:spacing w:val="-4"/>
                <w:sz w:val="16"/>
              </w:rPr>
              <w:t> </w:t>
            </w:r>
            <w:r>
              <w:rPr>
                <w:spacing w:val="-2"/>
                <w:sz w:val="16"/>
              </w:rPr>
              <w:t>Rule</w:t>
            </w:r>
            <w:r>
              <w:rPr>
                <w:spacing w:val="-4"/>
                <w:sz w:val="16"/>
              </w:rPr>
              <w:t> </w:t>
            </w:r>
            <w:r>
              <w:rPr>
                <w:spacing w:val="-10"/>
                <w:sz w:val="16"/>
              </w:rPr>
              <w:t>3</w:t>
            </w:r>
          </w:p>
        </w:tc>
        <w:tc>
          <w:tcPr>
            <w:tcW w:w="1358" w:type="dxa"/>
            <w:tcBorders>
              <w:left w:val="single" w:sz="4" w:space="0" w:color="000000"/>
              <w:right w:val="single" w:sz="4" w:space="0" w:color="000000"/>
            </w:tcBorders>
          </w:tcPr>
          <w:p>
            <w:pPr>
              <w:pStyle w:val="TableParagraph"/>
              <w:numPr>
                <w:ilvl w:val="0"/>
                <w:numId w:val="27"/>
              </w:numPr>
              <w:tabs>
                <w:tab w:pos="249" w:val="left" w:leader="none"/>
              </w:tabs>
              <w:spacing w:line="249" w:lineRule="exact" w:before="0" w:after="0"/>
              <w:ind w:left="249" w:right="0" w:hanging="171"/>
              <w:jc w:val="left"/>
              <w:rPr>
                <w:sz w:val="16"/>
              </w:rPr>
            </w:pPr>
            <w:r>
              <w:rPr>
                <w:w w:val="90"/>
                <w:sz w:val="16"/>
              </w:rPr>
              <w:t>+17.2/</w:t>
            </w:r>
            <w:r>
              <w:rPr>
                <w:rFonts w:ascii="Meiryo UI" w:hAnsi="Meiryo UI"/>
                <w:i/>
                <w:w w:val="90"/>
                <w:sz w:val="16"/>
                <w:vertAlign w:val="superscript"/>
              </w:rPr>
              <w:t>◦</w:t>
            </w:r>
            <w:r>
              <w:rPr>
                <w:w w:val="90"/>
                <w:sz w:val="16"/>
                <w:vertAlign w:val="baseline"/>
              </w:rPr>
              <w:t>C</w:t>
            </w:r>
            <w:r>
              <w:rPr>
                <w:spacing w:val="23"/>
                <w:sz w:val="16"/>
                <w:vertAlign w:val="baseline"/>
              </w:rPr>
              <w:t> </w:t>
            </w:r>
            <w:r>
              <w:rPr>
                <w:spacing w:val="-5"/>
                <w:sz w:val="16"/>
                <w:vertAlign w:val="baseline"/>
              </w:rPr>
              <w:t>RVV</w:t>
            </w:r>
          </w:p>
        </w:tc>
        <w:tc>
          <w:tcPr>
            <w:tcW w:w="848" w:type="dxa"/>
            <w:tcBorders>
              <w:left w:val="single" w:sz="4" w:space="0" w:color="000000"/>
              <w:right w:val="single" w:sz="4" w:space="0" w:color="000000"/>
            </w:tcBorders>
          </w:tcPr>
          <w:p>
            <w:pPr>
              <w:pStyle w:val="TableParagraph"/>
              <w:ind w:left="78"/>
              <w:rPr>
                <w:sz w:val="16"/>
              </w:rPr>
            </w:pPr>
            <w:r>
              <w:rPr>
                <w:spacing w:val="-5"/>
                <w:sz w:val="16"/>
              </w:rPr>
              <w:t>3/3</w:t>
            </w:r>
          </w:p>
        </w:tc>
        <w:tc>
          <w:tcPr>
            <w:tcW w:w="1832" w:type="dxa"/>
            <w:tcBorders>
              <w:left w:val="single" w:sz="4" w:space="0" w:color="000000"/>
              <w:right w:val="nil"/>
            </w:tcBorders>
          </w:tcPr>
          <w:p>
            <w:pPr>
              <w:pStyle w:val="TableParagraph"/>
              <w:ind w:left="77"/>
              <w:rPr>
                <w:sz w:val="16"/>
              </w:rPr>
            </w:pPr>
            <w:r>
              <w:rPr>
                <w:spacing w:val="-2"/>
                <w:sz w:val="16"/>
              </w:rPr>
              <w:t>HIGH:</w:t>
            </w:r>
            <w:r>
              <w:rPr>
                <w:spacing w:val="-4"/>
                <w:sz w:val="16"/>
              </w:rPr>
              <w:t> </w:t>
            </w:r>
            <w:r>
              <w:rPr>
                <w:spacing w:val="-2"/>
                <w:sz w:val="16"/>
              </w:rPr>
              <w:t>RVV</w:t>
            </w:r>
            <w:r>
              <w:rPr>
                <w:spacing w:val="-3"/>
                <w:sz w:val="16"/>
              </w:rPr>
              <w:t> </w:t>
            </w:r>
            <w:r>
              <w:rPr>
                <w:spacing w:val="-2"/>
                <w:sz w:val="16"/>
              </w:rPr>
              <w:t>focus</w:t>
            </w:r>
          </w:p>
        </w:tc>
      </w:tr>
      <w:tr>
        <w:trPr>
          <w:trHeight w:val="832" w:hRule="atLeast"/>
        </w:trPr>
        <w:tc>
          <w:tcPr>
            <w:tcW w:w="1411" w:type="dxa"/>
            <w:tcBorders>
              <w:left w:val="nil"/>
              <w:right w:val="single" w:sz="4" w:space="0" w:color="000000"/>
            </w:tcBorders>
          </w:tcPr>
          <w:p>
            <w:pPr>
              <w:pStyle w:val="TableParagraph"/>
              <w:tabs>
                <w:tab w:pos="1028" w:val="left" w:leader="none"/>
              </w:tabs>
              <w:ind w:left="79"/>
              <w:rPr>
                <w:sz w:val="16"/>
              </w:rPr>
            </w:pPr>
            <w:r>
              <w:rPr>
                <w:spacing w:val="-5"/>
                <w:sz w:val="16"/>
              </w:rPr>
              <w:t>Wet</w:t>
            </w:r>
            <w:r>
              <w:rPr>
                <w:sz w:val="16"/>
              </w:rPr>
              <w:tab/>
            </w:r>
            <w:r>
              <w:rPr>
                <w:spacing w:val="-4"/>
                <w:sz w:val="16"/>
              </w:rPr>
              <w:t>days</w:t>
            </w:r>
          </w:p>
          <w:p>
            <w:pPr>
              <w:pStyle w:val="TableParagraph"/>
              <w:spacing w:line="247" w:lineRule="auto" w:before="5"/>
              <w:ind w:left="74" w:firstLine="5"/>
              <w:rPr>
                <w:sz w:val="16"/>
              </w:rPr>
            </w:pPr>
            <w:r>
              <w:rPr>
                <w:spacing w:val="-2"/>
                <w:sz w:val="16"/>
              </w:rPr>
              <w:t>post-flowering</w:t>
            </w:r>
            <w:r>
              <w:rPr>
                <w:spacing w:val="40"/>
                <w:sz w:val="16"/>
              </w:rPr>
              <w:t> </w:t>
            </w:r>
            <w:r>
              <w:rPr>
                <w:spacing w:val="-4"/>
                <w:sz w:val="16"/>
              </w:rPr>
              <w:t>(days.rf.above.1mm_</w:t>
            </w:r>
            <w:r>
              <w:rPr>
                <w:spacing w:val="40"/>
                <w:sz w:val="16"/>
              </w:rPr>
              <w:t> </w:t>
            </w:r>
            <w:r>
              <w:rPr>
                <w:spacing w:val="-4"/>
                <w:sz w:val="16"/>
              </w:rPr>
              <w:t>fl)</w:t>
            </w:r>
          </w:p>
        </w:tc>
        <w:tc>
          <w:tcPr>
            <w:tcW w:w="1755" w:type="dxa"/>
            <w:tcBorders>
              <w:left w:val="single" w:sz="4" w:space="0" w:color="000000"/>
              <w:right w:val="single" w:sz="4" w:space="0" w:color="000000"/>
            </w:tcBorders>
          </w:tcPr>
          <w:p>
            <w:pPr>
              <w:pStyle w:val="TableParagraph"/>
              <w:numPr>
                <w:ilvl w:val="0"/>
                <w:numId w:val="28"/>
              </w:numPr>
              <w:tabs>
                <w:tab w:pos="249" w:val="left" w:leader="none"/>
              </w:tabs>
              <w:spacing w:line="240" w:lineRule="auto" w:before="25" w:after="0"/>
              <w:ind w:left="249" w:right="0" w:hanging="171"/>
              <w:jc w:val="left"/>
              <w:rPr>
                <w:sz w:val="16"/>
              </w:rPr>
            </w:pPr>
            <w:r>
              <w:rPr>
                <w:sz w:val="16"/>
              </w:rPr>
              <w:t>21%</w:t>
            </w:r>
            <w:r>
              <w:rPr>
                <w:spacing w:val="-4"/>
                <w:sz w:val="16"/>
              </w:rPr>
              <w:t> </w:t>
            </w:r>
            <w:r>
              <w:rPr>
                <w:sz w:val="16"/>
              </w:rPr>
              <w:t>of</w:t>
            </w:r>
            <w:r>
              <w:rPr>
                <w:spacing w:val="-4"/>
                <w:sz w:val="16"/>
              </w:rPr>
              <w:t> </w:t>
            </w:r>
            <w:r>
              <w:rPr>
                <w:sz w:val="16"/>
              </w:rPr>
              <w:t>RDD</w:t>
            </w:r>
            <w:r>
              <w:rPr>
                <w:spacing w:val="-3"/>
                <w:sz w:val="16"/>
              </w:rPr>
              <w:t> </w:t>
            </w:r>
            <w:r>
              <w:rPr>
                <w:spacing w:val="-4"/>
                <w:sz w:val="16"/>
              </w:rPr>
              <w:t>rules</w:t>
            </w:r>
          </w:p>
        </w:tc>
        <w:tc>
          <w:tcPr>
            <w:tcW w:w="1301" w:type="dxa"/>
            <w:tcBorders>
              <w:left w:val="single" w:sz="4" w:space="0" w:color="000000"/>
              <w:right w:val="single" w:sz="4" w:space="0" w:color="000000"/>
            </w:tcBorders>
          </w:tcPr>
          <w:p>
            <w:pPr>
              <w:pStyle w:val="TableParagraph"/>
              <w:spacing w:line="249" w:lineRule="exact" w:before="0"/>
              <w:ind w:left="78"/>
              <w:rPr>
                <w:sz w:val="16"/>
              </w:rPr>
            </w:pPr>
            <w:r>
              <w:rPr>
                <w:rFonts w:ascii="Meiryo UI" w:hAnsi="Meiryo UI"/>
                <w:i/>
                <w:sz w:val="16"/>
              </w:rPr>
              <w:t>×</w:t>
            </w:r>
            <w:r>
              <w:rPr>
                <w:rFonts w:ascii="Meiryo UI" w:hAnsi="Meiryo UI"/>
                <w:i/>
                <w:spacing w:val="-15"/>
                <w:sz w:val="16"/>
              </w:rPr>
              <w:t> </w:t>
            </w:r>
            <w:r>
              <w:rPr>
                <w:sz w:val="16"/>
              </w:rPr>
              <w:t>Not</w:t>
            </w:r>
            <w:r>
              <w:rPr>
                <w:spacing w:val="-10"/>
                <w:sz w:val="16"/>
              </w:rPr>
              <w:t> </w:t>
            </w:r>
            <w:r>
              <w:rPr>
                <w:sz w:val="16"/>
              </w:rPr>
              <w:t>in</w:t>
            </w:r>
            <w:r>
              <w:rPr>
                <w:spacing w:val="-5"/>
                <w:sz w:val="16"/>
              </w:rPr>
              <w:t> </w:t>
            </w:r>
            <w:r>
              <w:rPr>
                <w:spacing w:val="-2"/>
                <w:sz w:val="16"/>
              </w:rPr>
              <w:t>RIPPER</w:t>
            </w:r>
          </w:p>
        </w:tc>
        <w:tc>
          <w:tcPr>
            <w:tcW w:w="1358" w:type="dxa"/>
            <w:tcBorders>
              <w:left w:val="single" w:sz="4" w:space="0" w:color="000000"/>
              <w:right w:val="single" w:sz="4" w:space="0" w:color="000000"/>
            </w:tcBorders>
          </w:tcPr>
          <w:p>
            <w:pPr>
              <w:pStyle w:val="TableParagraph"/>
              <w:spacing w:line="249" w:lineRule="exact" w:before="0"/>
              <w:ind w:right="1"/>
              <w:jc w:val="center"/>
              <w:rPr>
                <w:sz w:val="16"/>
              </w:rPr>
            </w:pPr>
            <w:r>
              <w:rPr>
                <w:rFonts w:ascii="Meiryo UI" w:hAnsi="Meiryo UI"/>
                <w:i/>
                <w:sz w:val="16"/>
              </w:rPr>
              <w:t>×</w:t>
            </w:r>
            <w:r>
              <w:rPr>
                <w:rFonts w:ascii="Meiryo UI" w:hAnsi="Meiryo UI"/>
                <w:i/>
                <w:spacing w:val="-15"/>
                <w:sz w:val="16"/>
              </w:rPr>
              <w:t> </w:t>
            </w:r>
            <w:r>
              <w:rPr>
                <w:sz w:val="16"/>
              </w:rPr>
              <w:t>Not</w:t>
            </w:r>
            <w:r>
              <w:rPr>
                <w:spacing w:val="-7"/>
                <w:sz w:val="16"/>
              </w:rPr>
              <w:t> </w:t>
            </w:r>
            <w:r>
              <w:rPr>
                <w:sz w:val="16"/>
              </w:rPr>
              <w:t>in</w:t>
            </w:r>
            <w:r>
              <w:rPr>
                <w:spacing w:val="-4"/>
                <w:sz w:val="16"/>
              </w:rPr>
              <w:t> </w:t>
            </w:r>
            <w:r>
              <w:rPr>
                <w:spacing w:val="-2"/>
                <w:sz w:val="16"/>
              </w:rPr>
              <w:t>M5Rules</w:t>
            </w:r>
          </w:p>
        </w:tc>
        <w:tc>
          <w:tcPr>
            <w:tcW w:w="848" w:type="dxa"/>
            <w:tcBorders>
              <w:left w:val="single" w:sz="4" w:space="0" w:color="000000"/>
              <w:right w:val="single" w:sz="4" w:space="0" w:color="000000"/>
            </w:tcBorders>
          </w:tcPr>
          <w:p>
            <w:pPr>
              <w:pStyle w:val="TableParagraph"/>
              <w:ind w:left="78"/>
              <w:rPr>
                <w:sz w:val="16"/>
              </w:rPr>
            </w:pPr>
            <w:r>
              <w:rPr>
                <w:spacing w:val="-5"/>
                <w:sz w:val="16"/>
              </w:rPr>
              <w:t>1/3</w:t>
            </w:r>
          </w:p>
        </w:tc>
        <w:tc>
          <w:tcPr>
            <w:tcW w:w="1832" w:type="dxa"/>
            <w:tcBorders>
              <w:left w:val="single" w:sz="4" w:space="0" w:color="000000"/>
              <w:right w:val="nil"/>
            </w:tcBorders>
          </w:tcPr>
          <w:p>
            <w:pPr>
              <w:pStyle w:val="TableParagraph"/>
              <w:spacing w:line="247" w:lineRule="auto"/>
              <w:ind w:left="77"/>
              <w:rPr>
                <w:sz w:val="16"/>
              </w:rPr>
            </w:pPr>
            <w:r>
              <w:rPr>
                <w:spacing w:val="-4"/>
                <w:sz w:val="16"/>
              </w:rPr>
              <w:t>MODERATE:</w:t>
            </w:r>
            <w:r>
              <w:rPr>
                <w:spacing w:val="-9"/>
                <w:sz w:val="16"/>
              </w:rPr>
              <w:t> </w:t>
            </w:r>
            <w:r>
              <w:rPr>
                <w:spacing w:val="-4"/>
                <w:sz w:val="16"/>
              </w:rPr>
              <w:t>CarenR</w:t>
            </w:r>
            <w:r>
              <w:rPr>
                <w:spacing w:val="-9"/>
                <w:sz w:val="16"/>
              </w:rPr>
              <w:t> </w:t>
            </w:r>
            <w:r>
              <w:rPr>
                <w:spacing w:val="-4"/>
                <w:sz w:val="16"/>
              </w:rPr>
              <w:t>spe-</w:t>
            </w:r>
            <w:r>
              <w:rPr>
                <w:spacing w:val="-2"/>
                <w:sz w:val="16"/>
              </w:rPr>
              <w:t>cific</w:t>
            </w:r>
          </w:p>
        </w:tc>
      </w:tr>
      <w:tr>
        <w:trPr>
          <w:trHeight w:val="454" w:hRule="atLeast"/>
        </w:trPr>
        <w:tc>
          <w:tcPr>
            <w:tcW w:w="1411" w:type="dxa"/>
            <w:tcBorders>
              <w:left w:val="nil"/>
              <w:right w:val="single" w:sz="4" w:space="0" w:color="000000"/>
            </w:tcBorders>
          </w:tcPr>
          <w:p>
            <w:pPr>
              <w:pStyle w:val="TableParagraph"/>
              <w:tabs>
                <w:tab w:pos="653" w:val="left" w:leader="none"/>
              </w:tabs>
              <w:spacing w:line="247" w:lineRule="auto"/>
              <w:ind w:left="79" w:right="77"/>
              <w:rPr>
                <w:sz w:val="16"/>
              </w:rPr>
            </w:pPr>
            <w:r>
              <w:rPr>
                <w:spacing w:val="-2"/>
                <w:sz w:val="16"/>
              </w:rPr>
              <w:t>tm_fl</w:t>
            </w:r>
            <w:r>
              <w:rPr>
                <w:sz w:val="16"/>
              </w:rPr>
              <w:tab/>
            </w:r>
            <w:r>
              <w:rPr>
                <w:spacing w:val="-2"/>
                <w:sz w:val="16"/>
              </w:rPr>
              <w:t>(flowering</w:t>
            </w:r>
            <w:r>
              <w:rPr>
                <w:spacing w:val="40"/>
                <w:sz w:val="16"/>
              </w:rPr>
              <w:t> </w:t>
            </w:r>
            <w:r>
              <w:rPr>
                <w:spacing w:val="-2"/>
                <w:sz w:val="16"/>
              </w:rPr>
              <w:t>temp)</w:t>
            </w:r>
          </w:p>
        </w:tc>
        <w:tc>
          <w:tcPr>
            <w:tcW w:w="1755" w:type="dxa"/>
            <w:tcBorders>
              <w:left w:val="single" w:sz="4" w:space="0" w:color="000000"/>
              <w:right w:val="single" w:sz="4" w:space="0" w:color="000000"/>
            </w:tcBorders>
          </w:tcPr>
          <w:p>
            <w:pPr>
              <w:pStyle w:val="TableParagraph"/>
              <w:numPr>
                <w:ilvl w:val="0"/>
                <w:numId w:val="29"/>
              </w:numPr>
              <w:tabs>
                <w:tab w:pos="249" w:val="left" w:leader="none"/>
              </w:tabs>
              <w:spacing w:line="240" w:lineRule="auto" w:before="25" w:after="0"/>
              <w:ind w:left="249" w:right="0" w:hanging="171"/>
              <w:jc w:val="left"/>
              <w:rPr>
                <w:sz w:val="16"/>
              </w:rPr>
            </w:pPr>
            <w:r>
              <w:rPr>
                <w:sz w:val="16"/>
              </w:rPr>
              <w:t>RDD</w:t>
            </w:r>
            <w:r>
              <w:rPr>
                <w:spacing w:val="-6"/>
                <w:sz w:val="16"/>
              </w:rPr>
              <w:t> </w:t>
            </w:r>
            <w:r>
              <w:rPr>
                <w:sz w:val="16"/>
              </w:rPr>
              <w:t>Rules</w:t>
            </w:r>
            <w:r>
              <w:rPr>
                <w:spacing w:val="-5"/>
                <w:sz w:val="16"/>
              </w:rPr>
              <w:t> </w:t>
            </w:r>
            <w:r>
              <w:rPr>
                <w:sz w:val="16"/>
              </w:rPr>
              <w:t>5–</w:t>
            </w:r>
            <w:r>
              <w:rPr>
                <w:spacing w:val="-5"/>
                <w:sz w:val="16"/>
              </w:rPr>
              <w:t>10</w:t>
            </w:r>
          </w:p>
        </w:tc>
        <w:tc>
          <w:tcPr>
            <w:tcW w:w="1301" w:type="dxa"/>
            <w:tcBorders>
              <w:left w:val="single" w:sz="4" w:space="0" w:color="000000"/>
              <w:right w:val="single" w:sz="4" w:space="0" w:color="000000"/>
            </w:tcBorders>
          </w:tcPr>
          <w:p>
            <w:pPr>
              <w:pStyle w:val="TableParagraph"/>
              <w:spacing w:line="249" w:lineRule="exact" w:before="0"/>
              <w:ind w:left="78"/>
              <w:rPr>
                <w:rFonts w:ascii="Meiryo UI" w:hAnsi="Meiryo UI"/>
                <w:i/>
                <w:sz w:val="16"/>
              </w:rPr>
            </w:pPr>
            <w:r>
              <w:rPr>
                <w:rFonts w:ascii="Meiryo UI" w:hAnsi="Meiryo UI"/>
                <w:i/>
                <w:spacing w:val="-10"/>
                <w:sz w:val="16"/>
              </w:rPr>
              <w:t>×</w:t>
            </w:r>
          </w:p>
        </w:tc>
        <w:tc>
          <w:tcPr>
            <w:tcW w:w="1358" w:type="dxa"/>
            <w:tcBorders>
              <w:left w:val="single" w:sz="4" w:space="0" w:color="000000"/>
              <w:right w:val="single" w:sz="4" w:space="0" w:color="000000"/>
            </w:tcBorders>
          </w:tcPr>
          <w:p>
            <w:pPr>
              <w:pStyle w:val="TableParagraph"/>
              <w:numPr>
                <w:ilvl w:val="0"/>
                <w:numId w:val="30"/>
              </w:numPr>
              <w:tabs>
                <w:tab w:pos="249" w:val="left" w:leader="none"/>
              </w:tabs>
              <w:spacing w:line="249" w:lineRule="exact" w:before="0" w:after="0"/>
              <w:ind w:left="249" w:right="0" w:hanging="171"/>
              <w:jc w:val="left"/>
              <w:rPr>
                <w:sz w:val="16"/>
              </w:rPr>
            </w:pPr>
            <w:r>
              <w:rPr>
                <w:w w:val="90"/>
                <w:sz w:val="16"/>
              </w:rPr>
              <w:t>+66.4/</w:t>
            </w:r>
            <w:r>
              <w:rPr>
                <w:rFonts w:ascii="Meiryo UI" w:hAnsi="Meiryo UI"/>
                <w:i/>
                <w:w w:val="90"/>
                <w:sz w:val="16"/>
                <w:vertAlign w:val="superscript"/>
              </w:rPr>
              <w:t>◦</w:t>
            </w:r>
            <w:r>
              <w:rPr>
                <w:w w:val="90"/>
                <w:sz w:val="16"/>
                <w:vertAlign w:val="baseline"/>
              </w:rPr>
              <w:t>C</w:t>
            </w:r>
            <w:r>
              <w:rPr>
                <w:spacing w:val="23"/>
                <w:sz w:val="16"/>
                <w:vertAlign w:val="baseline"/>
              </w:rPr>
              <w:t> </w:t>
            </w:r>
            <w:r>
              <w:rPr>
                <w:spacing w:val="-5"/>
                <w:sz w:val="16"/>
                <w:vertAlign w:val="baseline"/>
              </w:rPr>
              <w:t>RDD</w:t>
            </w:r>
          </w:p>
        </w:tc>
        <w:tc>
          <w:tcPr>
            <w:tcW w:w="848" w:type="dxa"/>
            <w:tcBorders>
              <w:left w:val="single" w:sz="4" w:space="0" w:color="000000"/>
              <w:right w:val="single" w:sz="4" w:space="0" w:color="000000"/>
            </w:tcBorders>
          </w:tcPr>
          <w:p>
            <w:pPr>
              <w:pStyle w:val="TableParagraph"/>
              <w:ind w:left="78"/>
              <w:rPr>
                <w:sz w:val="16"/>
              </w:rPr>
            </w:pPr>
            <w:r>
              <w:rPr>
                <w:spacing w:val="-5"/>
                <w:sz w:val="16"/>
              </w:rPr>
              <w:t>2/3</w:t>
            </w:r>
          </w:p>
        </w:tc>
        <w:tc>
          <w:tcPr>
            <w:tcW w:w="1832" w:type="dxa"/>
            <w:tcBorders>
              <w:left w:val="single" w:sz="4" w:space="0" w:color="000000"/>
              <w:right w:val="nil"/>
            </w:tcBorders>
          </w:tcPr>
          <w:p>
            <w:pPr>
              <w:pStyle w:val="TableParagraph"/>
              <w:ind w:left="77"/>
              <w:rPr>
                <w:sz w:val="16"/>
              </w:rPr>
            </w:pPr>
            <w:r>
              <w:rPr>
                <w:spacing w:val="-2"/>
                <w:sz w:val="16"/>
              </w:rPr>
              <w:t>MODERATE:</w:t>
            </w:r>
            <w:r>
              <w:rPr>
                <w:spacing w:val="-5"/>
                <w:sz w:val="16"/>
              </w:rPr>
              <w:t> </w:t>
            </w:r>
            <w:r>
              <w:rPr>
                <w:spacing w:val="-2"/>
                <w:sz w:val="16"/>
              </w:rPr>
              <w:t>RDD</w:t>
            </w:r>
            <w:r>
              <w:rPr>
                <w:spacing w:val="-4"/>
                <w:sz w:val="16"/>
              </w:rPr>
              <w:t> </w:t>
            </w:r>
            <w:r>
              <w:rPr>
                <w:spacing w:val="-2"/>
                <w:sz w:val="16"/>
              </w:rPr>
              <w:t>focus</w:t>
            </w:r>
          </w:p>
        </w:tc>
      </w:tr>
      <w:tr>
        <w:trPr>
          <w:trHeight w:val="670" w:hRule="atLeast"/>
        </w:trPr>
        <w:tc>
          <w:tcPr>
            <w:tcW w:w="1411" w:type="dxa"/>
            <w:tcBorders>
              <w:left w:val="nil"/>
              <w:bottom w:val="single" w:sz="8" w:space="0" w:color="000000"/>
              <w:right w:val="single" w:sz="4" w:space="0" w:color="000000"/>
            </w:tcBorders>
          </w:tcPr>
          <w:p>
            <w:pPr>
              <w:pStyle w:val="TableParagraph"/>
              <w:tabs>
                <w:tab w:pos="859" w:val="left" w:leader="none"/>
              </w:tabs>
              <w:spacing w:line="247" w:lineRule="auto"/>
              <w:ind w:left="74" w:right="77" w:firstLine="5"/>
              <w:rPr>
                <w:sz w:val="16"/>
              </w:rPr>
            </w:pPr>
            <w:r>
              <w:rPr>
                <w:spacing w:val="-2"/>
                <w:sz w:val="16"/>
              </w:rPr>
              <w:t>tn_hv_y0_a30</w:t>
            </w:r>
            <w:r>
              <w:rPr>
                <w:spacing w:val="40"/>
                <w:sz w:val="16"/>
              </w:rPr>
              <w:t> </w:t>
            </w:r>
            <w:r>
              <w:rPr>
                <w:spacing w:val="-2"/>
                <w:sz w:val="16"/>
              </w:rPr>
              <w:t>(prev-yr</w:t>
            </w:r>
            <w:r>
              <w:rPr>
                <w:sz w:val="16"/>
              </w:rPr>
              <w:tab/>
            </w:r>
            <w:r>
              <w:rPr>
                <w:spacing w:val="-2"/>
                <w:sz w:val="16"/>
              </w:rPr>
              <w:t>harvest</w:t>
            </w:r>
            <w:r>
              <w:rPr>
                <w:spacing w:val="40"/>
                <w:sz w:val="16"/>
              </w:rPr>
              <w:t> </w:t>
            </w:r>
            <w:r>
              <w:rPr>
                <w:spacing w:val="-2"/>
                <w:sz w:val="16"/>
              </w:rPr>
              <w:t>nights)</w:t>
            </w:r>
          </w:p>
        </w:tc>
        <w:tc>
          <w:tcPr>
            <w:tcW w:w="1755" w:type="dxa"/>
            <w:tcBorders>
              <w:left w:val="single" w:sz="4" w:space="0" w:color="000000"/>
              <w:bottom w:val="single" w:sz="8" w:space="0" w:color="000000"/>
              <w:right w:val="single" w:sz="4" w:space="0" w:color="000000"/>
            </w:tcBorders>
          </w:tcPr>
          <w:p>
            <w:pPr>
              <w:pStyle w:val="TableParagraph"/>
              <w:spacing w:line="249" w:lineRule="exact" w:before="0"/>
              <w:ind w:left="78"/>
              <w:rPr>
                <w:rFonts w:ascii="Meiryo UI" w:hAnsi="Meiryo UI"/>
                <w:i/>
                <w:sz w:val="16"/>
              </w:rPr>
            </w:pPr>
            <w:r>
              <w:rPr>
                <w:rFonts w:ascii="Meiryo UI" w:hAnsi="Meiryo UI"/>
                <w:i/>
                <w:spacing w:val="-10"/>
                <w:sz w:val="16"/>
              </w:rPr>
              <w:t>×</w:t>
            </w:r>
          </w:p>
        </w:tc>
        <w:tc>
          <w:tcPr>
            <w:tcW w:w="1301" w:type="dxa"/>
            <w:tcBorders>
              <w:left w:val="single" w:sz="4" w:space="0" w:color="000000"/>
              <w:bottom w:val="single" w:sz="8" w:space="0" w:color="000000"/>
              <w:right w:val="single" w:sz="4" w:space="0" w:color="000000"/>
            </w:tcBorders>
          </w:tcPr>
          <w:p>
            <w:pPr>
              <w:pStyle w:val="TableParagraph"/>
              <w:numPr>
                <w:ilvl w:val="0"/>
                <w:numId w:val="31"/>
              </w:numPr>
              <w:tabs>
                <w:tab w:pos="249" w:val="left" w:leader="none"/>
              </w:tabs>
              <w:spacing w:line="240" w:lineRule="auto" w:before="25" w:after="0"/>
              <w:ind w:left="249" w:right="0" w:hanging="171"/>
              <w:jc w:val="left"/>
              <w:rPr>
                <w:sz w:val="16"/>
              </w:rPr>
            </w:pPr>
            <w:r>
              <w:rPr>
                <w:sz w:val="16"/>
              </w:rPr>
              <w:t>RDD</w:t>
            </w:r>
            <w:r>
              <w:rPr>
                <w:spacing w:val="-5"/>
                <w:sz w:val="16"/>
              </w:rPr>
              <w:t> </w:t>
            </w:r>
            <w:r>
              <w:rPr>
                <w:sz w:val="16"/>
              </w:rPr>
              <w:t>Rule</w:t>
            </w:r>
            <w:r>
              <w:rPr>
                <w:spacing w:val="-4"/>
                <w:sz w:val="16"/>
              </w:rPr>
              <w:t> </w:t>
            </w:r>
            <w:r>
              <w:rPr>
                <w:spacing w:val="-10"/>
                <w:sz w:val="16"/>
              </w:rPr>
              <w:t>1</w:t>
            </w:r>
          </w:p>
        </w:tc>
        <w:tc>
          <w:tcPr>
            <w:tcW w:w="1358" w:type="dxa"/>
            <w:tcBorders>
              <w:left w:val="single" w:sz="4" w:space="0" w:color="000000"/>
              <w:bottom w:val="single" w:sz="8" w:space="0" w:color="000000"/>
              <w:right w:val="single" w:sz="4" w:space="0" w:color="000000"/>
            </w:tcBorders>
          </w:tcPr>
          <w:p>
            <w:pPr>
              <w:pStyle w:val="TableParagraph"/>
              <w:numPr>
                <w:ilvl w:val="0"/>
                <w:numId w:val="32"/>
              </w:numPr>
              <w:tabs>
                <w:tab w:pos="249" w:val="left" w:leader="none"/>
              </w:tabs>
              <w:spacing w:line="240" w:lineRule="auto" w:before="25" w:after="0"/>
              <w:ind w:left="249" w:right="0" w:hanging="171"/>
              <w:jc w:val="left"/>
              <w:rPr>
                <w:sz w:val="16"/>
              </w:rPr>
            </w:pPr>
            <w:r>
              <w:rPr>
                <w:sz w:val="16"/>
              </w:rPr>
              <w:t>M5Rules</w:t>
            </w:r>
            <w:r>
              <w:rPr>
                <w:spacing w:val="-7"/>
                <w:sz w:val="16"/>
              </w:rPr>
              <w:t> </w:t>
            </w:r>
            <w:r>
              <w:rPr>
                <w:spacing w:val="-2"/>
                <w:sz w:val="16"/>
              </w:rPr>
              <w:t>coeff.</w:t>
            </w:r>
          </w:p>
        </w:tc>
        <w:tc>
          <w:tcPr>
            <w:tcW w:w="848" w:type="dxa"/>
            <w:tcBorders>
              <w:left w:val="single" w:sz="4" w:space="0" w:color="000000"/>
              <w:bottom w:val="single" w:sz="8" w:space="0" w:color="000000"/>
              <w:right w:val="single" w:sz="4" w:space="0" w:color="000000"/>
            </w:tcBorders>
          </w:tcPr>
          <w:p>
            <w:pPr>
              <w:pStyle w:val="TableParagraph"/>
              <w:ind w:left="78"/>
              <w:rPr>
                <w:sz w:val="16"/>
              </w:rPr>
            </w:pPr>
            <w:r>
              <w:rPr>
                <w:spacing w:val="-5"/>
                <w:sz w:val="16"/>
              </w:rPr>
              <w:t>2/3</w:t>
            </w:r>
          </w:p>
        </w:tc>
        <w:tc>
          <w:tcPr>
            <w:tcW w:w="1832" w:type="dxa"/>
            <w:tcBorders>
              <w:left w:val="single" w:sz="4" w:space="0" w:color="000000"/>
              <w:bottom w:val="single" w:sz="8" w:space="0" w:color="000000"/>
              <w:right w:val="nil"/>
            </w:tcBorders>
          </w:tcPr>
          <w:p>
            <w:pPr>
              <w:pStyle w:val="TableParagraph"/>
              <w:ind w:left="77"/>
              <w:rPr>
                <w:sz w:val="16"/>
              </w:rPr>
            </w:pPr>
            <w:r>
              <w:rPr>
                <w:spacing w:val="-2"/>
                <w:sz w:val="16"/>
              </w:rPr>
              <w:t>MODERATE,</w:t>
            </w:r>
            <w:r>
              <w:rPr>
                <w:spacing w:val="-3"/>
                <w:sz w:val="16"/>
              </w:rPr>
              <w:t> </w:t>
            </w:r>
            <w:r>
              <w:rPr>
                <w:spacing w:val="-2"/>
                <w:sz w:val="16"/>
              </w:rPr>
              <w:t>carry-</w:t>
            </w:r>
            <w:r>
              <w:rPr>
                <w:spacing w:val="-4"/>
                <w:sz w:val="16"/>
              </w:rPr>
              <w:t>over</w:t>
            </w:r>
          </w:p>
        </w:tc>
      </w:tr>
    </w:tbl>
    <w:p>
      <w:pPr>
        <w:pStyle w:val="BodyText"/>
        <w:spacing w:before="113"/>
        <w:rPr>
          <w:sz w:val="20"/>
        </w:rPr>
      </w:pPr>
    </w:p>
    <w:p>
      <w:pPr>
        <w:pStyle w:val="BodyText"/>
        <w:spacing w:line="312" w:lineRule="auto"/>
        <w:ind w:left="135" w:right="1527" w:firstLine="345"/>
        <w:jc w:val="both"/>
      </w:pPr>
      <w:r>
        <w:rPr/>
        <w:t>The three features confirmed by all three methods, harvest soil water, the LAI family, and previous-year summer temperature, represent the most robust data science findings of Goal 1: they</w:t>
      </w:r>
      <w:r>
        <w:rPr>
          <w:spacing w:val="-2"/>
        </w:rPr>
        <w:t> </w:t>
      </w:r>
      <w:r>
        <w:rPr/>
        <w:t>are</w:t>
      </w:r>
      <w:r>
        <w:rPr>
          <w:spacing w:val="-2"/>
        </w:rPr>
        <w:t> </w:t>
      </w:r>
      <w:r>
        <w:rPr/>
        <w:t>informative</w:t>
      </w:r>
      <w:r>
        <w:rPr>
          <w:spacing w:val="-2"/>
        </w:rPr>
        <w:t> </w:t>
      </w:r>
      <w:r>
        <w:rPr/>
        <w:t>under</w:t>
      </w:r>
      <w:r>
        <w:rPr>
          <w:spacing w:val="-2"/>
        </w:rPr>
        <w:t> </w:t>
      </w:r>
      <w:r>
        <w:rPr/>
        <w:t>distributional</w:t>
      </w:r>
      <w:r>
        <w:rPr>
          <w:spacing w:val="-2"/>
        </w:rPr>
        <w:t> </w:t>
      </w:r>
      <w:r>
        <w:rPr/>
        <w:t>shift</w:t>
      </w:r>
      <w:r>
        <w:rPr>
          <w:spacing w:val="-2"/>
        </w:rPr>
        <w:t> </w:t>
      </w:r>
      <w:r>
        <w:rPr/>
        <w:t>detection,</w:t>
      </w:r>
      <w:r>
        <w:rPr>
          <w:spacing w:val="-2"/>
        </w:rPr>
        <w:t> </w:t>
      </w:r>
      <w:r>
        <w:rPr/>
        <w:t>class</w:t>
      </w:r>
      <w:r>
        <w:rPr>
          <w:spacing w:val="-2"/>
        </w:rPr>
        <w:t> </w:t>
      </w:r>
      <w:r>
        <w:rPr/>
        <w:t>separation,</w:t>
      </w:r>
      <w:r>
        <w:rPr>
          <w:spacing w:val="-2"/>
        </w:rPr>
        <w:t> </w:t>
      </w:r>
      <w:r>
        <w:rPr/>
        <w:t>and</w:t>
      </w:r>
      <w:r>
        <w:rPr>
          <w:spacing w:val="-2"/>
        </w:rPr>
        <w:t> </w:t>
      </w:r>
      <w:r>
        <w:rPr/>
        <w:t>MSE</w:t>
      </w:r>
      <w:r>
        <w:rPr>
          <w:spacing w:val="-2"/>
        </w:rPr>
        <w:t> </w:t>
      </w:r>
      <w:r>
        <w:rPr/>
        <w:t>minimisation simultaneously. The</w:t>
      </w:r>
      <w:r>
        <w:rPr>
          <w:spacing w:val="-7"/>
        </w:rPr>
        <w:t> </w:t>
      </w:r>
      <w:r>
        <w:rPr/>
        <w:t>wet-days</w:t>
      </w:r>
      <w:r>
        <w:rPr>
          <w:spacing w:val="-7"/>
        </w:rPr>
        <w:t> </w:t>
      </w:r>
      <w:r>
        <w:rPr/>
        <w:t>post-flowering</w:t>
      </w:r>
      <w:r>
        <w:rPr>
          <w:spacing w:val="-7"/>
        </w:rPr>
        <w:t> </w:t>
      </w:r>
      <w:r>
        <w:rPr/>
        <w:t>variable,</w:t>
      </w:r>
      <w:r>
        <w:rPr>
          <w:spacing w:val="-7"/>
        </w:rPr>
        <w:t> </w:t>
      </w:r>
      <w:r>
        <w:rPr/>
        <w:t>which</w:t>
      </w:r>
      <w:r>
        <w:rPr>
          <w:spacing w:val="-7"/>
        </w:rPr>
        <w:t> </w:t>
      </w:r>
      <w:r>
        <w:rPr/>
        <w:t>is</w:t>
      </w:r>
      <w:r>
        <w:rPr>
          <w:spacing w:val="-7"/>
        </w:rPr>
        <w:t> </w:t>
      </w:r>
      <w:r>
        <w:rPr/>
        <w:t>among</w:t>
      </w:r>
      <w:r>
        <w:rPr>
          <w:spacing w:val="-7"/>
        </w:rPr>
        <w:t> </w:t>
      </w:r>
      <w:r>
        <w:rPr/>
        <w:t>the</w:t>
      </w:r>
      <w:r>
        <w:rPr>
          <w:spacing w:val="-7"/>
        </w:rPr>
        <w:t> </w:t>
      </w:r>
      <w:r>
        <w:rPr/>
        <w:t>most</w:t>
      </w:r>
      <w:r>
        <w:rPr>
          <w:spacing w:val="-7"/>
        </w:rPr>
        <w:t> </w:t>
      </w:r>
      <w:r>
        <w:rPr/>
        <w:t>frequent</w:t>
      </w:r>
      <w:r>
        <w:rPr>
          <w:spacing w:val="-7"/>
        </w:rPr>
        <w:t> </w:t>
      </w:r>
      <w:r>
        <w:rPr/>
        <w:t>CarenR features</w:t>
      </w:r>
      <w:r>
        <w:rPr>
          <w:spacing w:val="-11"/>
        </w:rPr>
        <w:t> </w:t>
      </w:r>
      <w:r>
        <w:rPr/>
        <w:t>(21%</w:t>
      </w:r>
      <w:r>
        <w:rPr>
          <w:spacing w:val="-11"/>
        </w:rPr>
        <w:t> </w:t>
      </w:r>
      <w:r>
        <w:rPr/>
        <w:t>of</w:t>
      </w:r>
      <w:r>
        <w:rPr>
          <w:spacing w:val="-11"/>
        </w:rPr>
        <w:t> </w:t>
      </w:r>
      <w:r>
        <w:rPr/>
        <w:t>RDD</w:t>
      </w:r>
      <w:r>
        <w:rPr>
          <w:spacing w:val="-11"/>
        </w:rPr>
        <w:t> </w:t>
      </w:r>
      <w:r>
        <w:rPr/>
        <w:t>rules),</w:t>
      </w:r>
      <w:r>
        <w:rPr>
          <w:spacing w:val="-11"/>
        </w:rPr>
        <w:t> </w:t>
      </w:r>
      <w:r>
        <w:rPr/>
        <w:t>is</w:t>
      </w:r>
      <w:r>
        <w:rPr>
          <w:spacing w:val="-11"/>
        </w:rPr>
        <w:t> </w:t>
      </w:r>
      <w:r>
        <w:rPr/>
        <w:t>not</w:t>
      </w:r>
      <w:r>
        <w:rPr>
          <w:spacing w:val="-11"/>
        </w:rPr>
        <w:t> </w:t>
      </w:r>
      <w:r>
        <w:rPr/>
        <w:t>selected</w:t>
      </w:r>
      <w:r>
        <w:rPr>
          <w:spacing w:val="-11"/>
        </w:rPr>
        <w:t> </w:t>
      </w:r>
      <w:r>
        <w:rPr/>
        <w:t>by</w:t>
      </w:r>
      <w:r>
        <w:rPr>
          <w:spacing w:val="-11"/>
        </w:rPr>
        <w:t> </w:t>
      </w:r>
      <w:r>
        <w:rPr/>
        <w:t>RIPPER</w:t>
      </w:r>
      <w:r>
        <w:rPr>
          <w:spacing w:val="-11"/>
        </w:rPr>
        <w:t> </w:t>
      </w:r>
      <w:r>
        <w:rPr/>
        <w:t>or</w:t>
      </w:r>
      <w:r>
        <w:rPr>
          <w:spacing w:val="-11"/>
        </w:rPr>
        <w:t> </w:t>
      </w:r>
      <w:r>
        <w:rPr/>
        <w:t>M5Rules. This</w:t>
      </w:r>
      <w:r>
        <w:rPr>
          <w:spacing w:val="-11"/>
        </w:rPr>
        <w:t> </w:t>
      </w:r>
      <w:r>
        <w:rPr/>
        <w:t>is</w:t>
      </w:r>
      <w:r>
        <w:rPr>
          <w:spacing w:val="-11"/>
        </w:rPr>
        <w:t> </w:t>
      </w:r>
      <w:r>
        <w:rPr/>
        <w:t>a</w:t>
      </w:r>
      <w:r>
        <w:rPr>
          <w:spacing w:val="-11"/>
        </w:rPr>
        <w:t> </w:t>
      </w:r>
      <w:r>
        <w:rPr/>
        <w:t>consequence</w:t>
      </w:r>
      <w:r>
        <w:rPr>
          <w:spacing w:val="-11"/>
        </w:rPr>
        <w:t> </w:t>
      </w:r>
      <w:r>
        <w:rPr/>
        <w:t>of</w:t>
      </w:r>
      <w:r>
        <w:rPr>
          <w:spacing w:val="-11"/>
        </w:rPr>
        <w:t> </w:t>
      </w:r>
      <w:r>
        <w:rPr/>
        <w:t>the different</w:t>
      </w:r>
      <w:r>
        <w:rPr>
          <w:spacing w:val="-2"/>
        </w:rPr>
        <w:t> </w:t>
      </w:r>
      <w:r>
        <w:rPr/>
        <w:t>optimisation</w:t>
      </w:r>
      <w:r>
        <w:rPr>
          <w:spacing w:val="-2"/>
        </w:rPr>
        <w:t> </w:t>
      </w:r>
      <w:r>
        <w:rPr/>
        <w:t>criteria: wet-days</w:t>
      </w:r>
      <w:r>
        <w:rPr>
          <w:spacing w:val="-2"/>
        </w:rPr>
        <w:t> </w:t>
      </w:r>
      <w:r>
        <w:rPr/>
        <w:t>post-flowering</w:t>
      </w:r>
      <w:r>
        <w:rPr>
          <w:spacing w:val="-2"/>
        </w:rPr>
        <w:t> </w:t>
      </w:r>
      <w:r>
        <w:rPr/>
        <w:t>shifts</w:t>
      </w:r>
      <w:r>
        <w:rPr>
          <w:spacing w:val="-2"/>
        </w:rPr>
        <w:t> </w:t>
      </w:r>
      <w:r>
        <w:rPr/>
        <w:t>the</w:t>
      </w:r>
      <w:r>
        <w:rPr>
          <w:spacing w:val="-2"/>
        </w:rPr>
        <w:t> </w:t>
      </w:r>
      <w:r>
        <w:rPr/>
        <w:t>production</w:t>
      </w:r>
      <w:r>
        <w:rPr>
          <w:spacing w:val="-2"/>
        </w:rPr>
        <w:t> </w:t>
      </w:r>
      <w:r>
        <w:rPr/>
        <w:t>distribution</w:t>
      </w:r>
      <w:r>
        <w:rPr>
          <w:spacing w:val="-2"/>
        </w:rPr>
        <w:t> </w:t>
      </w:r>
      <w:r>
        <w:rPr/>
        <w:t>reliably but does not produce a clean class boundary (RIPPER) or reduce regression MSE sufficiently (M5Rules).</w:t>
      </w:r>
      <w:r>
        <w:rPr>
          <w:spacing w:val="39"/>
        </w:rPr>
        <w:t> </w:t>
      </w:r>
      <w:r>
        <w:rPr/>
        <w:t>It is exactly the type of signal that distributional subgroup discovery is designed to detect</w:t>
      </w:r>
      <w:r>
        <w:rPr>
          <w:spacing w:val="-3"/>
        </w:rPr>
        <w:t> </w:t>
      </w:r>
      <w:r>
        <w:rPr/>
        <w:t>and</w:t>
      </w:r>
      <w:r>
        <w:rPr>
          <w:spacing w:val="-3"/>
        </w:rPr>
        <w:t> </w:t>
      </w:r>
      <w:r>
        <w:rPr/>
        <w:t>that</w:t>
      </w:r>
      <w:r>
        <w:rPr>
          <w:spacing w:val="-3"/>
        </w:rPr>
        <w:t> </w:t>
      </w:r>
      <w:r>
        <w:rPr/>
        <w:t>classification</w:t>
      </w:r>
      <w:r>
        <w:rPr>
          <w:spacing w:val="-3"/>
        </w:rPr>
        <w:t> </w:t>
      </w:r>
      <w:r>
        <w:rPr/>
        <w:t>and</w:t>
      </w:r>
      <w:r>
        <w:rPr>
          <w:spacing w:val="-3"/>
        </w:rPr>
        <w:t> </w:t>
      </w:r>
      <w:r>
        <w:rPr/>
        <w:t>regression</w:t>
      </w:r>
      <w:r>
        <w:rPr>
          <w:spacing w:val="-3"/>
        </w:rPr>
        <w:t> </w:t>
      </w:r>
      <w:r>
        <w:rPr/>
        <w:t>methods</w:t>
      </w:r>
      <w:r>
        <w:rPr>
          <w:spacing w:val="-3"/>
        </w:rPr>
        <w:t> </w:t>
      </w:r>
      <w:r>
        <w:rPr/>
        <w:t>systematically</w:t>
      </w:r>
      <w:r>
        <w:rPr>
          <w:spacing w:val="-3"/>
        </w:rPr>
        <w:t> </w:t>
      </w:r>
      <w:r>
        <w:rPr/>
        <w:t>miss. Flowering</w:t>
      </w:r>
      <w:r>
        <w:rPr>
          <w:spacing w:val="-3"/>
        </w:rPr>
        <w:t> </w:t>
      </w:r>
      <w:r>
        <w:rPr/>
        <w:t>temperature (tm_fl) and previous-year post-harvest minimum temperature (tn_hv_y0_a30) each achieve 2/3</w:t>
      </w:r>
    </w:p>
    <w:p>
      <w:pPr>
        <w:pStyle w:val="BodyText"/>
        <w:spacing w:after="0" w:line="312" w:lineRule="auto"/>
        <w:jc w:val="both"/>
        <w:sectPr>
          <w:pgSz w:w="11910" w:h="16840"/>
          <w:pgMar w:header="1160" w:footer="0" w:top="1420" w:bottom="280" w:left="1275" w:right="425"/>
        </w:sectPr>
      </w:pPr>
    </w:p>
    <w:p>
      <w:pPr>
        <w:pStyle w:val="BodyText"/>
      </w:pPr>
    </w:p>
    <w:p>
      <w:pPr>
        <w:pStyle w:val="BodyText"/>
        <w:spacing w:before="25"/>
      </w:pPr>
    </w:p>
    <w:p>
      <w:pPr>
        <w:pStyle w:val="BodyText"/>
        <w:spacing w:line="312" w:lineRule="auto" w:before="1"/>
        <w:ind w:left="701" w:right="952" w:firstLine="7"/>
        <w:jc w:val="both"/>
      </w:pPr>
      <w:r>
        <w:rPr/>
        <w:t>agreement.</w:t>
      </w:r>
      <w:r>
        <w:rPr>
          <w:spacing w:val="-16"/>
        </w:rPr>
        <w:t> </w:t>
      </w:r>
      <w:r>
        <w:rPr/>
        <w:t>Flowering</w:t>
      </w:r>
      <w:r>
        <w:rPr>
          <w:spacing w:val="-14"/>
        </w:rPr>
        <w:t> </w:t>
      </w:r>
      <w:r>
        <w:rPr/>
        <w:t>temperature</w:t>
      </w:r>
      <w:r>
        <w:rPr>
          <w:spacing w:val="-14"/>
        </w:rPr>
        <w:t> </w:t>
      </w:r>
      <w:r>
        <w:rPr/>
        <w:t>is</w:t>
      </w:r>
      <w:r>
        <w:rPr>
          <w:spacing w:val="-13"/>
        </w:rPr>
        <w:t> </w:t>
      </w:r>
      <w:r>
        <w:rPr/>
        <w:t>selected</w:t>
      </w:r>
      <w:r>
        <w:rPr>
          <w:spacing w:val="-14"/>
        </w:rPr>
        <w:t> </w:t>
      </w:r>
      <w:r>
        <w:rPr/>
        <w:t>by</w:t>
      </w:r>
      <w:r>
        <w:rPr>
          <w:spacing w:val="-14"/>
        </w:rPr>
        <w:t> </w:t>
      </w:r>
      <w:r>
        <w:rPr/>
        <w:t>CarenR</w:t>
      </w:r>
      <w:r>
        <w:rPr>
          <w:spacing w:val="-14"/>
        </w:rPr>
        <w:t> </w:t>
      </w:r>
      <w:r>
        <w:rPr/>
        <w:t>and</w:t>
      </w:r>
      <w:r>
        <w:rPr>
          <w:spacing w:val="-13"/>
        </w:rPr>
        <w:t> </w:t>
      </w:r>
      <w:r>
        <w:rPr/>
        <w:t>M5Rules</w:t>
      </w:r>
      <w:r>
        <w:rPr>
          <w:spacing w:val="-14"/>
        </w:rPr>
        <w:t> </w:t>
      </w:r>
      <w:r>
        <w:rPr/>
        <w:t>but</w:t>
      </w:r>
      <w:r>
        <w:rPr>
          <w:spacing w:val="-14"/>
        </w:rPr>
        <w:t> </w:t>
      </w:r>
      <w:r>
        <w:rPr/>
        <w:t>not</w:t>
      </w:r>
      <w:r>
        <w:rPr>
          <w:spacing w:val="-14"/>
        </w:rPr>
        <w:t> </w:t>
      </w:r>
      <w:r>
        <w:rPr/>
        <w:t>RIPPER,</w:t>
      </w:r>
      <w:r>
        <w:rPr>
          <w:spacing w:val="-13"/>
        </w:rPr>
        <w:t> </w:t>
      </w:r>
      <w:r>
        <w:rPr/>
        <w:t>consistent with</w:t>
      </w:r>
      <w:r>
        <w:rPr>
          <w:spacing w:val="-5"/>
        </w:rPr>
        <w:t> </w:t>
      </w:r>
      <w:r>
        <w:rPr/>
        <w:t>a</w:t>
      </w:r>
      <w:r>
        <w:rPr>
          <w:spacing w:val="-5"/>
        </w:rPr>
        <w:t> </w:t>
      </w:r>
      <w:r>
        <w:rPr/>
        <w:t>continuous</w:t>
      </w:r>
      <w:r>
        <w:rPr>
          <w:spacing w:val="-5"/>
        </w:rPr>
        <w:t> </w:t>
      </w:r>
      <w:r>
        <w:rPr/>
        <w:t>influence</w:t>
      </w:r>
      <w:r>
        <w:rPr>
          <w:spacing w:val="-5"/>
        </w:rPr>
        <w:t> </w:t>
      </w:r>
      <w:r>
        <w:rPr/>
        <w:t>on</w:t>
      </w:r>
      <w:r>
        <w:rPr>
          <w:spacing w:val="-5"/>
        </w:rPr>
        <w:t> </w:t>
      </w:r>
      <w:r>
        <w:rPr/>
        <w:t>production</w:t>
      </w:r>
      <w:r>
        <w:rPr>
          <w:spacing w:val="-5"/>
        </w:rPr>
        <w:t> </w:t>
      </w:r>
      <w:r>
        <w:rPr/>
        <w:t>level</w:t>
      </w:r>
      <w:r>
        <w:rPr>
          <w:spacing w:val="-5"/>
        </w:rPr>
        <w:t> </w:t>
      </w:r>
      <w:r>
        <w:rPr/>
        <w:t>that</w:t>
      </w:r>
      <w:r>
        <w:rPr>
          <w:spacing w:val="-5"/>
        </w:rPr>
        <w:t> </w:t>
      </w:r>
      <w:r>
        <w:rPr/>
        <w:t>falls</w:t>
      </w:r>
      <w:r>
        <w:rPr>
          <w:spacing w:val="-5"/>
        </w:rPr>
        <w:t> </w:t>
      </w:r>
      <w:r>
        <w:rPr/>
        <w:t>short</w:t>
      </w:r>
      <w:r>
        <w:rPr>
          <w:spacing w:val="-5"/>
        </w:rPr>
        <w:t> </w:t>
      </w:r>
      <w:r>
        <w:rPr/>
        <w:t>of</w:t>
      </w:r>
      <w:r>
        <w:rPr>
          <w:spacing w:val="-5"/>
        </w:rPr>
        <w:t> </w:t>
      </w:r>
      <w:r>
        <w:rPr/>
        <w:t>a</w:t>
      </w:r>
      <w:r>
        <w:rPr>
          <w:spacing w:val="-5"/>
        </w:rPr>
        <w:t> </w:t>
      </w:r>
      <w:r>
        <w:rPr/>
        <w:t>clean</w:t>
      </w:r>
      <w:r>
        <w:rPr>
          <w:spacing w:val="-5"/>
        </w:rPr>
        <w:t> </w:t>
      </w:r>
      <w:r>
        <w:rPr/>
        <w:t>classification</w:t>
      </w:r>
      <w:r>
        <w:rPr>
          <w:spacing w:val="-5"/>
        </w:rPr>
        <w:t> </w:t>
      </w:r>
      <w:r>
        <w:rPr/>
        <w:t>boundary. Previous-year post-harvest minimum temperature is selected by RIPPER and M5Rules but not </w:t>
      </w:r>
      <w:r>
        <w:rPr>
          <w:spacing w:val="-2"/>
        </w:rPr>
        <w:t>CarenR;</w:t>
      </w:r>
      <w:r>
        <w:rPr>
          <w:spacing w:val="-3"/>
        </w:rPr>
        <w:t> </w:t>
      </w:r>
      <w:r>
        <w:rPr>
          <w:spacing w:val="-2"/>
        </w:rPr>
        <w:t>the</w:t>
      </w:r>
      <w:r>
        <w:rPr>
          <w:spacing w:val="-3"/>
        </w:rPr>
        <w:t> </w:t>
      </w:r>
      <w:r>
        <w:rPr>
          <w:spacing w:val="-2"/>
        </w:rPr>
        <w:t>feature’s</w:t>
      </w:r>
      <w:r>
        <w:rPr>
          <w:spacing w:val="-3"/>
        </w:rPr>
        <w:t> </w:t>
      </w:r>
      <w:r>
        <w:rPr>
          <w:spacing w:val="-2"/>
        </w:rPr>
        <w:t>documented</w:t>
      </w:r>
      <w:r>
        <w:rPr>
          <w:spacing w:val="-3"/>
        </w:rPr>
        <w:t> </w:t>
      </w:r>
      <w:r>
        <w:rPr>
          <w:spacing w:val="-2"/>
        </w:rPr>
        <w:t>rationale</w:t>
      </w:r>
      <w:r>
        <w:rPr>
          <w:spacing w:val="-3"/>
        </w:rPr>
        <w:t> </w:t>
      </w:r>
      <w:r>
        <w:rPr>
          <w:spacing w:val="-2"/>
        </w:rPr>
        <w:t>is</w:t>
      </w:r>
      <w:r>
        <w:rPr>
          <w:spacing w:val="-3"/>
        </w:rPr>
        <w:t> </w:t>
      </w:r>
      <w:r>
        <w:rPr>
          <w:spacing w:val="-2"/>
        </w:rPr>
        <w:t>that</w:t>
      </w:r>
      <w:r>
        <w:rPr>
          <w:spacing w:val="-3"/>
        </w:rPr>
        <w:t> </w:t>
      </w:r>
      <w:r>
        <w:rPr>
          <w:spacing w:val="-2"/>
        </w:rPr>
        <w:t>warm</w:t>
      </w:r>
      <w:r>
        <w:rPr>
          <w:spacing w:val="-3"/>
        </w:rPr>
        <w:t> </w:t>
      </w:r>
      <w:r>
        <w:rPr>
          <w:spacing w:val="-2"/>
        </w:rPr>
        <w:t>post-harvest</w:t>
      </w:r>
      <w:r>
        <w:rPr>
          <w:spacing w:val="-3"/>
        </w:rPr>
        <w:t> </w:t>
      </w:r>
      <w:r>
        <w:rPr>
          <w:spacing w:val="-2"/>
        </w:rPr>
        <w:t>nights</w:t>
      </w:r>
      <w:r>
        <w:rPr>
          <w:spacing w:val="-3"/>
        </w:rPr>
        <w:t> </w:t>
      </w:r>
      <w:r>
        <w:rPr>
          <w:spacing w:val="-2"/>
        </w:rPr>
        <w:t>sustain</w:t>
      </w:r>
      <w:r>
        <w:rPr>
          <w:spacing w:val="-3"/>
        </w:rPr>
        <w:t> </w:t>
      </w:r>
      <w:r>
        <w:rPr>
          <w:spacing w:val="-2"/>
        </w:rPr>
        <w:t>vine</w:t>
      </w:r>
      <w:r>
        <w:rPr>
          <w:spacing w:val="-3"/>
        </w:rPr>
        <w:t> </w:t>
      </w:r>
      <w:r>
        <w:rPr>
          <w:spacing w:val="-2"/>
        </w:rPr>
        <w:t>metabolic </w:t>
      </w:r>
      <w:r>
        <w:rPr/>
        <w:t>activity and support carbohydrate reserve building, effects that may influence mean production level without shifting the distributional tails strongly enough for CarenR’s KS criterion.</w:t>
      </w:r>
    </w:p>
    <w:p>
      <w:pPr>
        <w:pStyle w:val="BodyText"/>
        <w:spacing w:before="229"/>
      </w:pPr>
    </w:p>
    <w:p>
      <w:pPr>
        <w:pStyle w:val="Heading2"/>
        <w:numPr>
          <w:ilvl w:val="1"/>
          <w:numId w:val="18"/>
        </w:numPr>
        <w:tabs>
          <w:tab w:pos="1354" w:val="left" w:leader="none"/>
        </w:tabs>
        <w:spacing w:line="240" w:lineRule="auto" w:before="0" w:after="0"/>
        <w:ind w:left="1354" w:right="0" w:hanging="645"/>
        <w:jc w:val="left"/>
      </w:pPr>
      <w:bookmarkStart w:name="4.6 Feature Frequency Analysis: What Car" w:id="151"/>
      <w:bookmarkEnd w:id="151"/>
      <w:r>
        <w:rPr>
          <w:b w:val="0"/>
        </w:rPr>
      </w:r>
      <w:bookmarkStart w:name="_bookmark86" w:id="152"/>
      <w:bookmarkEnd w:id="152"/>
      <w:r>
        <w:rPr>
          <w:b w:val="0"/>
        </w:rPr>
      </w:r>
      <w:r>
        <w:rPr/>
        <w:t>Feature</w:t>
      </w:r>
      <w:r>
        <w:rPr>
          <w:spacing w:val="14"/>
        </w:rPr>
        <w:t> </w:t>
      </w:r>
      <w:r>
        <w:rPr/>
        <w:t>Frequency</w:t>
      </w:r>
      <w:r>
        <w:rPr>
          <w:spacing w:val="15"/>
        </w:rPr>
        <w:t> </w:t>
      </w:r>
      <w:r>
        <w:rPr/>
        <w:t>Analysis:</w:t>
      </w:r>
      <w:r>
        <w:rPr>
          <w:spacing w:val="36"/>
        </w:rPr>
        <w:t> </w:t>
      </w:r>
      <w:r>
        <w:rPr/>
        <w:t>What</w:t>
      </w:r>
      <w:r>
        <w:rPr>
          <w:spacing w:val="15"/>
        </w:rPr>
        <w:t> </w:t>
      </w:r>
      <w:r>
        <w:rPr/>
        <w:t>CarenR</w:t>
      </w:r>
      <w:r>
        <w:rPr>
          <w:spacing w:val="15"/>
        </w:rPr>
        <w:t> </w:t>
      </w:r>
      <w:r>
        <w:rPr/>
        <w:t>Selects</w:t>
      </w:r>
      <w:r>
        <w:rPr>
          <w:spacing w:val="14"/>
        </w:rPr>
        <w:t> </w:t>
      </w:r>
      <w:r>
        <w:rPr/>
        <w:t>Most</w:t>
      </w:r>
      <w:r>
        <w:rPr>
          <w:spacing w:val="15"/>
        </w:rPr>
        <w:t> </w:t>
      </w:r>
      <w:r>
        <w:rPr>
          <w:spacing w:val="-2"/>
        </w:rPr>
        <w:t>Often</w:t>
      </w:r>
    </w:p>
    <w:p>
      <w:pPr>
        <w:pStyle w:val="BodyText"/>
        <w:spacing w:line="312" w:lineRule="auto" w:before="319"/>
        <w:ind w:left="709" w:right="982" w:hanging="7"/>
        <w:jc w:val="both"/>
      </w:pPr>
      <w:r>
        <w:rPr/>
        <w:t>The</w:t>
      </w:r>
      <w:r>
        <w:rPr>
          <w:spacing w:val="-16"/>
        </w:rPr>
        <w:t> </w:t>
      </w:r>
      <w:r>
        <w:rPr/>
        <w:t>48</w:t>
      </w:r>
      <w:r>
        <w:rPr>
          <w:spacing w:val="-14"/>
        </w:rPr>
        <w:t> </w:t>
      </w:r>
      <w:r>
        <w:rPr/>
        <w:t>RDD</w:t>
      </w:r>
      <w:r>
        <w:rPr>
          <w:spacing w:val="-14"/>
        </w:rPr>
        <w:t> </w:t>
      </w:r>
      <w:r>
        <w:rPr/>
        <w:t>rules</w:t>
      </w:r>
      <w:r>
        <w:rPr>
          <w:spacing w:val="-13"/>
        </w:rPr>
        <w:t> </w:t>
      </w:r>
      <w:r>
        <w:rPr/>
        <w:t>together</w:t>
      </w:r>
      <w:r>
        <w:rPr>
          <w:spacing w:val="-14"/>
        </w:rPr>
        <w:t> </w:t>
      </w:r>
      <w:r>
        <w:rPr/>
        <w:t>contain</w:t>
      </w:r>
      <w:r>
        <w:rPr>
          <w:spacing w:val="-14"/>
        </w:rPr>
        <w:t> </w:t>
      </w:r>
      <w:r>
        <w:rPr/>
        <w:t>133</w:t>
      </w:r>
      <w:r>
        <w:rPr>
          <w:spacing w:val="-14"/>
        </w:rPr>
        <w:t> </w:t>
      </w:r>
      <w:r>
        <w:rPr/>
        <w:t>individual</w:t>
      </w:r>
      <w:r>
        <w:rPr>
          <w:spacing w:val="-13"/>
        </w:rPr>
        <w:t> </w:t>
      </w:r>
      <w:r>
        <w:rPr/>
        <w:t>condition-feature</w:t>
      </w:r>
      <w:r>
        <w:rPr>
          <w:spacing w:val="-14"/>
        </w:rPr>
        <w:t> </w:t>
      </w:r>
      <w:r>
        <w:rPr/>
        <w:t>appearances</w:t>
      </w:r>
      <w:r>
        <w:rPr>
          <w:spacing w:val="-14"/>
        </w:rPr>
        <w:t> </w:t>
      </w:r>
      <w:r>
        <w:rPr/>
        <w:t>(some</w:t>
      </w:r>
      <w:r>
        <w:rPr>
          <w:spacing w:val="-14"/>
        </w:rPr>
        <w:t> </w:t>
      </w:r>
      <w:r>
        <w:rPr/>
        <w:t>rules</w:t>
      </w:r>
      <w:r>
        <w:rPr>
          <w:spacing w:val="-13"/>
        </w:rPr>
        <w:t> </w:t>
      </w:r>
      <w:r>
        <w:rPr/>
        <w:t>have 2</w:t>
      </w:r>
      <w:r>
        <w:rPr>
          <w:spacing w:val="-6"/>
        </w:rPr>
        <w:t> </w:t>
      </w:r>
      <w:r>
        <w:rPr/>
        <w:t>conditions,</w:t>
      </w:r>
      <w:r>
        <w:rPr>
          <w:spacing w:val="-6"/>
        </w:rPr>
        <w:t> </w:t>
      </w:r>
      <w:r>
        <w:rPr/>
        <w:t>others</w:t>
      </w:r>
      <w:r>
        <w:rPr>
          <w:spacing w:val="-6"/>
        </w:rPr>
        <w:t> </w:t>
      </w:r>
      <w:r>
        <w:rPr/>
        <w:t>3–4). The</w:t>
      </w:r>
      <w:r>
        <w:rPr>
          <w:spacing w:val="-6"/>
        </w:rPr>
        <w:t> </w:t>
      </w:r>
      <w:r>
        <w:rPr/>
        <w:t>20</w:t>
      </w:r>
      <w:r>
        <w:rPr>
          <w:spacing w:val="-6"/>
        </w:rPr>
        <w:t> </w:t>
      </w:r>
      <w:r>
        <w:rPr/>
        <w:t>RVV</w:t>
      </w:r>
      <w:r>
        <w:rPr>
          <w:spacing w:val="-6"/>
        </w:rPr>
        <w:t> </w:t>
      </w:r>
      <w:r>
        <w:rPr/>
        <w:t>rules</w:t>
      </w:r>
      <w:r>
        <w:rPr>
          <w:spacing w:val="-6"/>
        </w:rPr>
        <w:t> </w:t>
      </w:r>
      <w:r>
        <w:rPr/>
        <w:t>contain</w:t>
      </w:r>
      <w:r>
        <w:rPr>
          <w:spacing w:val="-6"/>
        </w:rPr>
        <w:t> </w:t>
      </w:r>
      <w:r>
        <w:rPr/>
        <w:t>65</w:t>
      </w:r>
      <w:r>
        <w:rPr>
          <w:spacing w:val="-6"/>
        </w:rPr>
        <w:t> </w:t>
      </w:r>
      <w:r>
        <w:rPr/>
        <w:t>condition-feature</w:t>
      </w:r>
      <w:r>
        <w:rPr>
          <w:spacing w:val="-6"/>
        </w:rPr>
        <w:t> </w:t>
      </w:r>
      <w:r>
        <w:rPr/>
        <w:t>appearances. Counting </w:t>
      </w:r>
      <w:r>
        <w:rPr>
          <w:spacing w:val="-2"/>
        </w:rPr>
        <w:t>how</w:t>
      </w:r>
      <w:r>
        <w:rPr>
          <w:spacing w:val="-5"/>
        </w:rPr>
        <w:t> </w:t>
      </w:r>
      <w:r>
        <w:rPr>
          <w:spacing w:val="-2"/>
        </w:rPr>
        <w:t>frequently</w:t>
      </w:r>
      <w:r>
        <w:rPr>
          <w:spacing w:val="-5"/>
        </w:rPr>
        <w:t> </w:t>
      </w:r>
      <w:r>
        <w:rPr>
          <w:spacing w:val="-2"/>
        </w:rPr>
        <w:t>each</w:t>
      </w:r>
      <w:r>
        <w:rPr>
          <w:spacing w:val="-5"/>
        </w:rPr>
        <w:t> </w:t>
      </w:r>
      <w:r>
        <w:rPr>
          <w:spacing w:val="-2"/>
        </w:rPr>
        <w:t>feature</w:t>
      </w:r>
      <w:r>
        <w:rPr>
          <w:spacing w:val="-5"/>
        </w:rPr>
        <w:t> </w:t>
      </w:r>
      <w:r>
        <w:rPr>
          <w:spacing w:val="-2"/>
        </w:rPr>
        <w:t>variable</w:t>
      </w:r>
      <w:r>
        <w:rPr>
          <w:spacing w:val="-5"/>
        </w:rPr>
        <w:t> </w:t>
      </w:r>
      <w:r>
        <w:rPr>
          <w:spacing w:val="-2"/>
        </w:rPr>
        <w:t>appears</w:t>
      </w:r>
      <w:r>
        <w:rPr>
          <w:spacing w:val="-5"/>
        </w:rPr>
        <w:t> </w:t>
      </w:r>
      <w:r>
        <w:rPr>
          <w:spacing w:val="-2"/>
        </w:rPr>
        <w:t>across</w:t>
      </w:r>
      <w:r>
        <w:rPr>
          <w:spacing w:val="-5"/>
        </w:rPr>
        <w:t> </w:t>
      </w:r>
      <w:r>
        <w:rPr>
          <w:spacing w:val="-2"/>
        </w:rPr>
        <w:t>all</w:t>
      </w:r>
      <w:r>
        <w:rPr>
          <w:spacing w:val="-5"/>
        </w:rPr>
        <w:t> </w:t>
      </w:r>
      <w:r>
        <w:rPr>
          <w:spacing w:val="-2"/>
        </w:rPr>
        <w:t>conditions,</w:t>
      </w:r>
      <w:r>
        <w:rPr>
          <w:spacing w:val="-5"/>
        </w:rPr>
        <w:t> </w:t>
      </w:r>
      <w:r>
        <w:rPr>
          <w:spacing w:val="-2"/>
        </w:rPr>
        <w:t>regardless</w:t>
      </w:r>
      <w:r>
        <w:rPr>
          <w:spacing w:val="-5"/>
        </w:rPr>
        <w:t> </w:t>
      </w:r>
      <w:r>
        <w:rPr>
          <w:spacing w:val="-2"/>
        </w:rPr>
        <w:t>of</w:t>
      </w:r>
      <w:r>
        <w:rPr>
          <w:spacing w:val="-5"/>
        </w:rPr>
        <w:t> </w:t>
      </w:r>
      <w:r>
        <w:rPr>
          <w:spacing w:val="-2"/>
        </w:rPr>
        <w:t>which</w:t>
      </w:r>
      <w:r>
        <w:rPr>
          <w:spacing w:val="-5"/>
        </w:rPr>
        <w:t> </w:t>
      </w:r>
      <w:r>
        <w:rPr>
          <w:spacing w:val="-2"/>
        </w:rPr>
        <w:t>specific</w:t>
      </w:r>
      <w:r>
        <w:rPr>
          <w:spacing w:val="-5"/>
        </w:rPr>
        <w:t> </w:t>
      </w:r>
      <w:r>
        <w:rPr>
          <w:spacing w:val="-2"/>
        </w:rPr>
        <w:t>bin </w:t>
      </w:r>
      <w:r>
        <w:rPr/>
        <w:t>interval,</w:t>
      </w:r>
      <w:r>
        <w:rPr>
          <w:spacing w:val="-11"/>
        </w:rPr>
        <w:t> </w:t>
      </w:r>
      <w:r>
        <w:rPr/>
        <w:t>reveals</w:t>
      </w:r>
      <w:r>
        <w:rPr>
          <w:spacing w:val="-11"/>
        </w:rPr>
        <w:t> </w:t>
      </w:r>
      <w:r>
        <w:rPr/>
        <w:t>the</w:t>
      </w:r>
      <w:r>
        <w:rPr>
          <w:spacing w:val="-11"/>
        </w:rPr>
        <w:t> </w:t>
      </w:r>
      <w:r>
        <w:rPr/>
        <w:t>structural</w:t>
      </w:r>
      <w:r>
        <w:rPr>
          <w:spacing w:val="-11"/>
        </w:rPr>
        <w:t> </w:t>
      </w:r>
      <w:r>
        <w:rPr/>
        <w:t>importance</w:t>
      </w:r>
      <w:r>
        <w:rPr>
          <w:spacing w:val="-11"/>
        </w:rPr>
        <w:t> </w:t>
      </w:r>
      <w:r>
        <w:rPr/>
        <w:t>of</w:t>
      </w:r>
      <w:r>
        <w:rPr>
          <w:spacing w:val="-11"/>
        </w:rPr>
        <w:t> </w:t>
      </w:r>
      <w:r>
        <w:rPr/>
        <w:t>each</w:t>
      </w:r>
      <w:r>
        <w:rPr>
          <w:spacing w:val="-11"/>
        </w:rPr>
        <w:t> </w:t>
      </w:r>
      <w:r>
        <w:rPr/>
        <w:t>variable</w:t>
      </w:r>
      <w:r>
        <w:rPr>
          <w:spacing w:val="-11"/>
        </w:rPr>
        <w:t> </w:t>
      </w:r>
      <w:r>
        <w:rPr/>
        <w:t>to</w:t>
      </w:r>
      <w:r>
        <w:rPr>
          <w:spacing w:val="-11"/>
        </w:rPr>
        <w:t> </w:t>
      </w:r>
      <w:r>
        <w:rPr/>
        <w:t>CarenR’s</w:t>
      </w:r>
      <w:r>
        <w:rPr>
          <w:spacing w:val="-11"/>
        </w:rPr>
        <w:t> </w:t>
      </w:r>
      <w:r>
        <w:rPr/>
        <w:t>view</w:t>
      </w:r>
      <w:r>
        <w:rPr>
          <w:spacing w:val="-11"/>
        </w:rPr>
        <w:t> </w:t>
      </w:r>
      <w:r>
        <w:rPr/>
        <w:t>of</w:t>
      </w:r>
      <w:r>
        <w:rPr>
          <w:spacing w:val="-11"/>
        </w:rPr>
        <w:t> </w:t>
      </w:r>
      <w:r>
        <w:rPr/>
        <w:t>the</w:t>
      </w:r>
      <w:r>
        <w:rPr>
          <w:spacing w:val="-11"/>
        </w:rPr>
        <w:t> </w:t>
      </w:r>
      <w:r>
        <w:rPr/>
        <w:t>data.</w:t>
      </w:r>
      <w:r>
        <w:rPr>
          <w:spacing w:val="-1"/>
        </w:rPr>
        <w:t> </w:t>
      </w:r>
      <w:r>
        <w:rPr/>
        <w:t>A</w:t>
      </w:r>
      <w:r>
        <w:rPr>
          <w:spacing w:val="-11"/>
        </w:rPr>
        <w:t> </w:t>
      </w:r>
      <w:r>
        <w:rPr/>
        <w:t>feature that appears in many rules, under different combinations with other features, is more </w:t>
      </w:r>
      <w:r>
        <w:rPr/>
        <w:t>robustly informative than one appearing in only one or two rules.</w:t>
      </w:r>
    </w:p>
    <w:p>
      <w:pPr>
        <w:pStyle w:val="BodyText"/>
        <w:spacing w:before="145"/>
      </w:pPr>
    </w:p>
    <w:p>
      <w:pPr>
        <w:pStyle w:val="Heading3"/>
        <w:numPr>
          <w:ilvl w:val="2"/>
          <w:numId w:val="18"/>
        </w:numPr>
        <w:tabs>
          <w:tab w:pos="1426" w:val="left" w:leader="none"/>
        </w:tabs>
        <w:spacing w:line="240" w:lineRule="auto" w:before="1" w:after="0"/>
        <w:ind w:left="1426" w:right="0" w:hanging="717"/>
        <w:jc w:val="left"/>
      </w:pPr>
      <w:bookmarkStart w:name="4.6.1 Douro (RDD): Feature Frequency" w:id="153"/>
      <w:bookmarkEnd w:id="153"/>
      <w:r>
        <w:rPr>
          <w:b w:val="0"/>
        </w:rPr>
      </w:r>
      <w:bookmarkStart w:name="_bookmark87" w:id="154"/>
      <w:bookmarkEnd w:id="154"/>
      <w:r>
        <w:rPr>
          <w:b w:val="0"/>
        </w:rPr>
      </w:r>
      <w:r>
        <w:rPr/>
        <w:t>Douro</w:t>
      </w:r>
      <w:r>
        <w:rPr>
          <w:spacing w:val="-14"/>
        </w:rPr>
        <w:t> </w:t>
      </w:r>
      <w:r>
        <w:rPr/>
        <w:t>(RDD):</w:t>
      </w:r>
      <w:r>
        <w:rPr>
          <w:spacing w:val="-14"/>
        </w:rPr>
        <w:t> </w:t>
      </w:r>
      <w:r>
        <w:rPr/>
        <w:t>Feature</w:t>
      </w:r>
      <w:r>
        <w:rPr>
          <w:spacing w:val="-14"/>
        </w:rPr>
        <w:t> </w:t>
      </w:r>
      <w:r>
        <w:rPr>
          <w:spacing w:val="-2"/>
        </w:rPr>
        <w:t>Frequency</w:t>
      </w:r>
    </w:p>
    <w:p>
      <w:pPr>
        <w:pStyle w:val="BodyText"/>
        <w:spacing w:line="312" w:lineRule="auto" w:before="248"/>
        <w:ind w:left="709" w:right="990" w:hanging="7"/>
        <w:jc w:val="both"/>
      </w:pPr>
      <w:r>
        <w:rPr>
          <w:spacing w:val="-2"/>
        </w:rPr>
        <w:t>Table</w:t>
      </w:r>
      <w:r>
        <w:rPr>
          <w:spacing w:val="-10"/>
        </w:rPr>
        <w:t> </w:t>
      </w:r>
      <w:hyperlink w:history="true" w:anchor="_bookmark88">
        <w:r>
          <w:rPr>
            <w:color w:val="8B2C18"/>
            <w:spacing w:val="-2"/>
          </w:rPr>
          <w:t>4.10</w:t>
        </w:r>
      </w:hyperlink>
      <w:r>
        <w:rPr>
          <w:color w:val="8B2C18"/>
          <w:spacing w:val="-10"/>
        </w:rPr>
        <w:t> </w:t>
      </w:r>
      <w:r>
        <w:rPr>
          <w:spacing w:val="-2"/>
        </w:rPr>
        <w:t>shows</w:t>
      </w:r>
      <w:r>
        <w:rPr>
          <w:spacing w:val="-10"/>
        </w:rPr>
        <w:t> </w:t>
      </w:r>
      <w:r>
        <w:rPr>
          <w:spacing w:val="-2"/>
        </w:rPr>
        <w:t>the</w:t>
      </w:r>
      <w:r>
        <w:rPr>
          <w:spacing w:val="-10"/>
        </w:rPr>
        <w:t> </w:t>
      </w:r>
      <w:r>
        <w:rPr>
          <w:spacing w:val="-2"/>
        </w:rPr>
        <w:t>top</w:t>
      </w:r>
      <w:r>
        <w:rPr>
          <w:spacing w:val="-10"/>
        </w:rPr>
        <w:t> </w:t>
      </w:r>
      <w:r>
        <w:rPr>
          <w:spacing w:val="-2"/>
        </w:rPr>
        <w:t>features</w:t>
      </w:r>
      <w:r>
        <w:rPr>
          <w:spacing w:val="-10"/>
        </w:rPr>
        <w:t> </w:t>
      </w:r>
      <w:r>
        <w:rPr>
          <w:spacing w:val="-2"/>
        </w:rPr>
        <w:t>by</w:t>
      </w:r>
      <w:r>
        <w:rPr>
          <w:spacing w:val="-10"/>
        </w:rPr>
        <w:t> </w:t>
      </w:r>
      <w:r>
        <w:rPr>
          <w:spacing w:val="-2"/>
        </w:rPr>
        <w:t>frequency</w:t>
      </w:r>
      <w:r>
        <w:rPr>
          <w:spacing w:val="-10"/>
        </w:rPr>
        <w:t> </w:t>
      </w:r>
      <w:r>
        <w:rPr>
          <w:spacing w:val="-2"/>
        </w:rPr>
        <w:t>across</w:t>
      </w:r>
      <w:r>
        <w:rPr>
          <w:spacing w:val="-10"/>
        </w:rPr>
        <w:t> </w:t>
      </w:r>
      <w:r>
        <w:rPr>
          <w:spacing w:val="-2"/>
        </w:rPr>
        <w:t>all</w:t>
      </w:r>
      <w:r>
        <w:rPr>
          <w:spacing w:val="-10"/>
        </w:rPr>
        <w:t> </w:t>
      </w:r>
      <w:r>
        <w:rPr>
          <w:spacing w:val="-2"/>
        </w:rPr>
        <w:t>133</w:t>
      </w:r>
      <w:r>
        <w:rPr>
          <w:spacing w:val="-10"/>
        </w:rPr>
        <w:t> </w:t>
      </w:r>
      <w:r>
        <w:rPr>
          <w:spacing w:val="-2"/>
        </w:rPr>
        <w:t>condition</w:t>
      </w:r>
      <w:r>
        <w:rPr>
          <w:spacing w:val="-10"/>
        </w:rPr>
        <w:t> </w:t>
      </w:r>
      <w:r>
        <w:rPr>
          <w:spacing w:val="-2"/>
        </w:rPr>
        <w:t>appearances</w:t>
      </w:r>
      <w:r>
        <w:rPr>
          <w:spacing w:val="-10"/>
        </w:rPr>
        <w:t> </w:t>
      </w:r>
      <w:r>
        <w:rPr>
          <w:spacing w:val="-2"/>
        </w:rPr>
        <w:t>in</w:t>
      </w:r>
      <w:r>
        <w:rPr>
          <w:spacing w:val="-10"/>
        </w:rPr>
        <w:t> </w:t>
      </w:r>
      <w:r>
        <w:rPr>
          <w:spacing w:val="-2"/>
        </w:rPr>
        <w:t>the</w:t>
      </w:r>
      <w:r>
        <w:rPr>
          <w:spacing w:val="-10"/>
        </w:rPr>
        <w:t> </w:t>
      </w:r>
      <w:r>
        <w:rPr>
          <w:spacing w:val="-2"/>
        </w:rPr>
        <w:t>48</w:t>
      </w:r>
      <w:r>
        <w:rPr>
          <w:spacing w:val="-10"/>
        </w:rPr>
        <w:t> </w:t>
      </w:r>
      <w:r>
        <w:rPr>
          <w:spacing w:val="-2"/>
        </w:rPr>
        <w:t>RDD </w:t>
      </w:r>
      <w:r>
        <w:rPr/>
        <w:t>rules.</w:t>
      </w:r>
      <w:r>
        <w:rPr>
          <w:spacing w:val="-9"/>
        </w:rPr>
        <w:t> </w:t>
      </w:r>
      <w:r>
        <w:rPr/>
        <w:t>The</w:t>
      </w:r>
      <w:r>
        <w:rPr>
          <w:spacing w:val="-14"/>
        </w:rPr>
        <w:t> </w:t>
      </w:r>
      <w:r>
        <w:rPr/>
        <w:t>dominance</w:t>
      </w:r>
      <w:r>
        <w:rPr>
          <w:spacing w:val="-13"/>
        </w:rPr>
        <w:t> </w:t>
      </w:r>
      <w:r>
        <w:rPr/>
        <w:t>of</w:t>
      </w:r>
      <w:r>
        <w:rPr>
          <w:spacing w:val="-14"/>
        </w:rPr>
        <w:t> </w:t>
      </w:r>
      <w:r>
        <w:rPr/>
        <w:t>swa_hv_y1_b20</w:t>
      </w:r>
      <w:r>
        <w:rPr>
          <w:spacing w:val="-14"/>
        </w:rPr>
        <w:t> </w:t>
      </w:r>
      <w:r>
        <w:rPr/>
        <w:t>(harvest</w:t>
      </w:r>
      <w:r>
        <w:rPr>
          <w:spacing w:val="-14"/>
        </w:rPr>
        <w:t> </w:t>
      </w:r>
      <w:r>
        <w:rPr/>
        <w:t>soil</w:t>
      </w:r>
      <w:r>
        <w:rPr>
          <w:spacing w:val="-13"/>
        </w:rPr>
        <w:t> </w:t>
      </w:r>
      <w:r>
        <w:rPr/>
        <w:t>water)</w:t>
      </w:r>
      <w:r>
        <w:rPr>
          <w:spacing w:val="-14"/>
        </w:rPr>
        <w:t> </w:t>
      </w:r>
      <w:r>
        <w:rPr/>
        <w:t>at</w:t>
      </w:r>
      <w:r>
        <w:rPr>
          <w:spacing w:val="-14"/>
        </w:rPr>
        <w:t> </w:t>
      </w:r>
      <w:r>
        <w:rPr/>
        <w:t>26</w:t>
      </w:r>
      <w:r>
        <w:rPr>
          <w:spacing w:val="-14"/>
        </w:rPr>
        <w:t> </w:t>
      </w:r>
      <w:r>
        <w:rPr/>
        <w:t>appearances,</w:t>
      </w:r>
      <w:r>
        <w:rPr>
          <w:spacing w:val="-13"/>
        </w:rPr>
        <w:t> </w:t>
      </w:r>
      <w:r>
        <w:rPr/>
        <w:t>nearly</w:t>
      </w:r>
      <w:r>
        <w:rPr>
          <w:spacing w:val="-14"/>
        </w:rPr>
        <w:t> </w:t>
      </w:r>
      <w:r>
        <w:rPr/>
        <w:t>double</w:t>
      </w:r>
      <w:r>
        <w:rPr>
          <w:spacing w:val="-14"/>
        </w:rPr>
        <w:t> </w:t>
      </w:r>
      <w:r>
        <w:rPr/>
        <w:t>the next feature, is the single most robust quantitative signal in the entire Douro analysis.</w:t>
      </w:r>
    </w:p>
    <w:p>
      <w:pPr>
        <w:pStyle w:val="BodyText"/>
        <w:spacing w:line="312" w:lineRule="auto" w:before="15"/>
        <w:ind w:left="709" w:right="990" w:firstLine="338"/>
        <w:jc w:val="both"/>
      </w:pPr>
      <w:r>
        <w:rPr/>
        <w:t>The</w:t>
      </w:r>
      <w:r>
        <w:rPr>
          <w:spacing w:val="-12"/>
        </w:rPr>
        <w:t> </w:t>
      </w:r>
      <w:r>
        <w:rPr/>
        <w:t>top</w:t>
      </w:r>
      <w:r>
        <w:rPr>
          <w:spacing w:val="-12"/>
        </w:rPr>
        <w:t> </w:t>
      </w:r>
      <w:r>
        <w:rPr/>
        <w:t>six</w:t>
      </w:r>
      <w:r>
        <w:rPr>
          <w:spacing w:val="-12"/>
        </w:rPr>
        <w:t> </w:t>
      </w:r>
      <w:r>
        <w:rPr/>
        <w:t>features</w:t>
      </w:r>
      <w:r>
        <w:rPr>
          <w:spacing w:val="-12"/>
        </w:rPr>
        <w:t> </w:t>
      </w:r>
      <w:r>
        <w:rPr/>
        <w:t>cluster</w:t>
      </w:r>
      <w:r>
        <w:rPr>
          <w:spacing w:val="-12"/>
        </w:rPr>
        <w:t> </w:t>
      </w:r>
      <w:r>
        <w:rPr/>
        <w:t>into</w:t>
      </w:r>
      <w:r>
        <w:rPr>
          <w:spacing w:val="-12"/>
        </w:rPr>
        <w:t> </w:t>
      </w:r>
      <w:r>
        <w:rPr/>
        <w:t>three</w:t>
      </w:r>
      <w:r>
        <w:rPr>
          <w:spacing w:val="-12"/>
        </w:rPr>
        <w:t> </w:t>
      </w:r>
      <w:r>
        <w:rPr/>
        <w:t>clear</w:t>
      </w:r>
      <w:r>
        <w:rPr>
          <w:spacing w:val="-12"/>
        </w:rPr>
        <w:t> </w:t>
      </w:r>
      <w:r>
        <w:rPr/>
        <w:t>agronomic</w:t>
      </w:r>
      <w:r>
        <w:rPr>
          <w:spacing w:val="-12"/>
        </w:rPr>
        <w:t> </w:t>
      </w:r>
      <w:r>
        <w:rPr/>
        <w:t>themes</w:t>
      </w:r>
      <w:r>
        <w:rPr>
          <w:spacing w:val="-12"/>
        </w:rPr>
        <w:t> </w:t>
      </w:r>
      <w:r>
        <w:rPr/>
        <w:t>that</w:t>
      </w:r>
      <w:r>
        <w:rPr>
          <w:spacing w:val="-12"/>
        </w:rPr>
        <w:t> </w:t>
      </w:r>
      <w:r>
        <w:rPr/>
        <w:t>together</w:t>
      </w:r>
      <w:r>
        <w:rPr>
          <w:spacing w:val="-12"/>
        </w:rPr>
        <w:t> </w:t>
      </w:r>
      <w:r>
        <w:rPr/>
        <w:t>define</w:t>
      </w:r>
      <w:r>
        <w:rPr>
          <w:spacing w:val="-12"/>
        </w:rPr>
        <w:t> </w:t>
      </w:r>
      <w:r>
        <w:rPr/>
        <w:t>the</w:t>
      </w:r>
      <w:r>
        <w:rPr>
          <w:spacing w:val="-12"/>
        </w:rPr>
        <w:t> </w:t>
      </w:r>
      <w:r>
        <w:rPr/>
        <w:t>Douro’s above-trend production profile:</w:t>
      </w:r>
    </w:p>
    <w:p>
      <w:pPr>
        <w:pStyle w:val="BodyText"/>
        <w:spacing w:line="312" w:lineRule="auto" w:before="15"/>
        <w:ind w:left="709" w:right="954" w:firstLine="338"/>
        <w:jc w:val="both"/>
      </w:pPr>
      <w:r>
        <w:rPr>
          <w:b/>
        </w:rPr>
        <w:t>Theme 1: Soil water management at harvest (swa_hv_y1_b20, rank 1, 54% of </w:t>
      </w:r>
      <w:r>
        <w:rPr>
          <w:b/>
        </w:rPr>
        <w:t>rules): </w:t>
      </w:r>
      <w:r>
        <w:rPr/>
        <w:t>Moderate</w:t>
      </w:r>
      <w:r>
        <w:rPr>
          <w:spacing w:val="-14"/>
        </w:rPr>
        <w:t> </w:t>
      </w:r>
      <w:r>
        <w:rPr/>
        <w:t>soil</w:t>
      </w:r>
      <w:r>
        <w:rPr>
          <w:spacing w:val="-14"/>
        </w:rPr>
        <w:t> </w:t>
      </w:r>
      <w:r>
        <w:rPr/>
        <w:t>water</w:t>
      </w:r>
      <w:r>
        <w:rPr>
          <w:spacing w:val="-14"/>
        </w:rPr>
        <w:t> </w:t>
      </w:r>
      <w:r>
        <w:rPr/>
        <w:t>deficit</w:t>
      </w:r>
      <w:r>
        <w:rPr>
          <w:spacing w:val="-13"/>
        </w:rPr>
        <w:t> </w:t>
      </w:r>
      <w:r>
        <w:rPr/>
        <w:t>in</w:t>
      </w:r>
      <w:r>
        <w:rPr>
          <w:spacing w:val="-14"/>
        </w:rPr>
        <w:t> </w:t>
      </w:r>
      <w:r>
        <w:rPr/>
        <w:t>the</w:t>
      </w:r>
      <w:r>
        <w:rPr>
          <w:spacing w:val="-14"/>
        </w:rPr>
        <w:t> </w:t>
      </w:r>
      <w:r>
        <w:rPr/>
        <w:t>pre-harvest</w:t>
      </w:r>
      <w:r>
        <w:rPr>
          <w:spacing w:val="-14"/>
        </w:rPr>
        <w:t> </w:t>
      </w:r>
      <w:r>
        <w:rPr/>
        <w:t>window</w:t>
      </w:r>
      <w:r>
        <w:rPr>
          <w:spacing w:val="-13"/>
        </w:rPr>
        <w:t> </w:t>
      </w:r>
      <w:r>
        <w:rPr/>
        <w:t>is</w:t>
      </w:r>
      <w:r>
        <w:rPr>
          <w:spacing w:val="-14"/>
        </w:rPr>
        <w:t> </w:t>
      </w:r>
      <w:r>
        <w:rPr/>
        <w:t>the</w:t>
      </w:r>
      <w:r>
        <w:rPr>
          <w:spacing w:val="-14"/>
        </w:rPr>
        <w:t> </w:t>
      </w:r>
      <w:r>
        <w:rPr/>
        <w:t>single</w:t>
      </w:r>
      <w:r>
        <w:rPr>
          <w:spacing w:val="-14"/>
        </w:rPr>
        <w:t> </w:t>
      </w:r>
      <w:r>
        <w:rPr/>
        <w:t>most</w:t>
      </w:r>
      <w:r>
        <w:rPr>
          <w:spacing w:val="-13"/>
        </w:rPr>
        <w:t> </w:t>
      </w:r>
      <w:r>
        <w:rPr/>
        <w:t>pervasive</w:t>
      </w:r>
      <w:r>
        <w:rPr>
          <w:spacing w:val="-14"/>
        </w:rPr>
        <w:t> </w:t>
      </w:r>
      <w:r>
        <w:rPr/>
        <w:t>condition</w:t>
      </w:r>
      <w:r>
        <w:rPr>
          <w:spacing w:val="-14"/>
        </w:rPr>
        <w:t> </w:t>
      </w:r>
      <w:r>
        <w:rPr/>
        <w:t>across the entire rule set. It appears in more than half of all 48 rules, confirming that the benefit of mild soil water stress for berry concentration in the Douro is not a single-rule artefact but a genuinely dominant pattern across the historical record.</w:t>
      </w:r>
    </w:p>
    <w:p>
      <w:pPr>
        <w:pStyle w:val="BodyText"/>
        <w:spacing w:line="312" w:lineRule="auto" w:before="14"/>
        <w:ind w:left="701" w:right="954" w:firstLine="346"/>
        <w:jc w:val="both"/>
      </w:pPr>
      <w:r>
        <w:rPr>
          <w:b/>
          <w:spacing w:val="-2"/>
        </w:rPr>
        <w:t>Theme</w:t>
      </w:r>
      <w:r>
        <w:rPr>
          <w:b/>
          <w:spacing w:val="-8"/>
        </w:rPr>
        <w:t> </w:t>
      </w:r>
      <w:r>
        <w:rPr>
          <w:b/>
          <w:spacing w:val="-2"/>
        </w:rPr>
        <w:t>2: Moisture</w:t>
      </w:r>
      <w:r>
        <w:rPr>
          <w:b/>
          <w:spacing w:val="-8"/>
        </w:rPr>
        <w:t> </w:t>
      </w:r>
      <w:r>
        <w:rPr>
          <w:b/>
          <w:spacing w:val="-2"/>
        </w:rPr>
        <w:t>control</w:t>
      </w:r>
      <w:r>
        <w:rPr>
          <w:b/>
          <w:spacing w:val="-8"/>
        </w:rPr>
        <w:t> </w:t>
      </w:r>
      <w:r>
        <w:rPr>
          <w:b/>
          <w:spacing w:val="-2"/>
        </w:rPr>
        <w:t>post-maturity</w:t>
      </w:r>
      <w:r>
        <w:rPr>
          <w:b/>
          <w:spacing w:val="-8"/>
        </w:rPr>
        <w:t> </w:t>
      </w:r>
      <w:r>
        <w:rPr>
          <w:b/>
          <w:spacing w:val="-2"/>
        </w:rPr>
        <w:t>(days.rf.above.1mm_sm_y1_a20,</w:t>
      </w:r>
      <w:r>
        <w:rPr>
          <w:b/>
          <w:spacing w:val="-8"/>
        </w:rPr>
        <w:t> </w:t>
      </w:r>
      <w:r>
        <w:rPr>
          <w:b/>
          <w:spacing w:val="-2"/>
        </w:rPr>
        <w:t>rank</w:t>
      </w:r>
      <w:r>
        <w:rPr>
          <w:b/>
          <w:spacing w:val="-8"/>
        </w:rPr>
        <w:t> </w:t>
      </w:r>
      <w:r>
        <w:rPr>
          <w:b/>
          <w:spacing w:val="-2"/>
        </w:rPr>
        <w:t>2,</w:t>
      </w:r>
      <w:r>
        <w:rPr>
          <w:b/>
          <w:spacing w:val="-8"/>
        </w:rPr>
        <w:t> </w:t>
      </w:r>
      <w:r>
        <w:rPr>
          <w:b/>
          <w:spacing w:val="-2"/>
        </w:rPr>
        <w:t>44%): </w:t>
      </w:r>
      <w:r>
        <w:rPr/>
        <w:t>Dry conditions in the post-veraison ripening window appear nearly as frequently as harvest soil water.</w:t>
      </w:r>
      <w:r>
        <w:rPr>
          <w:spacing w:val="-1"/>
        </w:rPr>
        <w:t> </w:t>
      </w:r>
      <w:r>
        <w:rPr/>
        <w:t>The</w:t>
      </w:r>
      <w:r>
        <w:rPr>
          <w:spacing w:val="-11"/>
        </w:rPr>
        <w:t> </w:t>
      </w:r>
      <w:r>
        <w:rPr/>
        <w:t>two</w:t>
      </w:r>
      <w:r>
        <w:rPr>
          <w:spacing w:val="-11"/>
        </w:rPr>
        <w:t> </w:t>
      </w:r>
      <w:r>
        <w:rPr/>
        <w:t>features</w:t>
      </w:r>
      <w:r>
        <w:rPr>
          <w:spacing w:val="-11"/>
        </w:rPr>
        <w:t> </w:t>
      </w:r>
      <w:r>
        <w:rPr/>
        <w:t>are</w:t>
      </w:r>
      <w:r>
        <w:rPr>
          <w:spacing w:val="-11"/>
        </w:rPr>
        <w:t> </w:t>
      </w:r>
      <w:r>
        <w:rPr/>
        <w:t>related,</w:t>
      </w:r>
      <w:r>
        <w:rPr>
          <w:spacing w:val="-11"/>
        </w:rPr>
        <w:t> </w:t>
      </w:r>
      <w:r>
        <w:rPr/>
        <w:t>dry</w:t>
      </w:r>
      <w:r>
        <w:rPr>
          <w:spacing w:val="-11"/>
        </w:rPr>
        <w:t> </w:t>
      </w:r>
      <w:r>
        <w:rPr/>
        <w:t>post-maturity</w:t>
      </w:r>
      <w:r>
        <w:rPr>
          <w:spacing w:val="-11"/>
        </w:rPr>
        <w:t> </w:t>
      </w:r>
      <w:r>
        <w:rPr/>
        <w:t>conditions</w:t>
      </w:r>
      <w:r>
        <w:rPr>
          <w:spacing w:val="-11"/>
        </w:rPr>
        <w:t> </w:t>
      </w:r>
      <w:r>
        <w:rPr/>
        <w:t>contribute</w:t>
      </w:r>
      <w:r>
        <w:rPr>
          <w:spacing w:val="-11"/>
        </w:rPr>
        <w:t> </w:t>
      </w:r>
      <w:r>
        <w:rPr/>
        <w:t>to</w:t>
      </w:r>
      <w:r>
        <w:rPr>
          <w:spacing w:val="-11"/>
        </w:rPr>
        <w:t> </w:t>
      </w:r>
      <w:r>
        <w:rPr/>
        <w:t>low</w:t>
      </w:r>
      <w:r>
        <w:rPr>
          <w:spacing w:val="-11"/>
        </w:rPr>
        <w:t> </w:t>
      </w:r>
      <w:r>
        <w:rPr/>
        <w:t>pre-harvest</w:t>
      </w:r>
      <w:r>
        <w:rPr>
          <w:spacing w:val="-11"/>
        </w:rPr>
        <w:t> </w:t>
      </w:r>
      <w:r>
        <w:rPr/>
        <w:t>soil </w:t>
      </w:r>
      <w:r>
        <w:rPr>
          <w:spacing w:val="-2"/>
        </w:rPr>
        <w:t>water,</w:t>
      </w:r>
      <w:r>
        <w:rPr>
          <w:spacing w:val="-8"/>
        </w:rPr>
        <w:t> </w:t>
      </w:r>
      <w:r>
        <w:rPr>
          <w:spacing w:val="-2"/>
        </w:rPr>
        <w:t>but</w:t>
      </w:r>
      <w:r>
        <w:rPr>
          <w:spacing w:val="-8"/>
        </w:rPr>
        <w:t> </w:t>
      </w:r>
      <w:r>
        <w:rPr>
          <w:spacing w:val="-2"/>
        </w:rPr>
        <w:t>they</w:t>
      </w:r>
      <w:r>
        <w:rPr>
          <w:spacing w:val="-8"/>
        </w:rPr>
        <w:t> </w:t>
      </w:r>
      <w:r>
        <w:rPr>
          <w:spacing w:val="-2"/>
        </w:rPr>
        <w:t>capture</w:t>
      </w:r>
      <w:r>
        <w:rPr>
          <w:spacing w:val="-8"/>
        </w:rPr>
        <w:t> </w:t>
      </w:r>
      <w:r>
        <w:rPr>
          <w:spacing w:val="-2"/>
        </w:rPr>
        <w:t>different</w:t>
      </w:r>
      <w:r>
        <w:rPr>
          <w:spacing w:val="-8"/>
        </w:rPr>
        <w:t> </w:t>
      </w:r>
      <w:r>
        <w:rPr>
          <w:spacing w:val="-2"/>
        </w:rPr>
        <w:t>aspects</w:t>
      </w:r>
      <w:r>
        <w:rPr>
          <w:spacing w:val="-8"/>
        </w:rPr>
        <w:t> </w:t>
      </w:r>
      <w:r>
        <w:rPr>
          <w:spacing w:val="-2"/>
        </w:rPr>
        <w:t>of</w:t>
      </w:r>
      <w:r>
        <w:rPr>
          <w:spacing w:val="-8"/>
        </w:rPr>
        <w:t> </w:t>
      </w:r>
      <w:r>
        <w:rPr>
          <w:spacing w:val="-2"/>
        </w:rPr>
        <w:t>the</w:t>
      </w:r>
      <w:r>
        <w:rPr>
          <w:spacing w:val="-8"/>
        </w:rPr>
        <w:t> </w:t>
      </w:r>
      <w:r>
        <w:rPr>
          <w:spacing w:val="-2"/>
        </w:rPr>
        <w:t>same</w:t>
      </w:r>
      <w:r>
        <w:rPr>
          <w:spacing w:val="-8"/>
        </w:rPr>
        <w:t> </w:t>
      </w:r>
      <w:r>
        <w:rPr>
          <w:spacing w:val="-2"/>
        </w:rPr>
        <w:t>drying</w:t>
      </w:r>
      <w:r>
        <w:rPr>
          <w:spacing w:val="-8"/>
        </w:rPr>
        <w:t> </w:t>
      </w:r>
      <w:r>
        <w:rPr>
          <w:spacing w:val="-2"/>
        </w:rPr>
        <w:t>trajectory:</w:t>
      </w:r>
      <w:r>
        <w:rPr/>
        <w:t> </w:t>
      </w:r>
      <w:r>
        <w:rPr>
          <w:spacing w:val="-2"/>
        </w:rPr>
        <w:t>the</w:t>
      </w:r>
      <w:r>
        <w:rPr>
          <w:spacing w:val="-8"/>
        </w:rPr>
        <w:t> </w:t>
      </w:r>
      <w:r>
        <w:rPr>
          <w:spacing w:val="-2"/>
        </w:rPr>
        <w:t>rainfall</w:t>
      </w:r>
      <w:r>
        <w:rPr>
          <w:spacing w:val="-8"/>
        </w:rPr>
        <w:t> </w:t>
      </w:r>
      <w:r>
        <w:rPr>
          <w:spacing w:val="-2"/>
        </w:rPr>
        <w:t>frequency</w:t>
      </w:r>
      <w:r>
        <w:rPr>
          <w:spacing w:val="-8"/>
        </w:rPr>
        <w:t> </w:t>
      </w:r>
      <w:r>
        <w:rPr>
          <w:spacing w:val="-2"/>
        </w:rPr>
        <w:t>feature </w:t>
      </w:r>
      <w:r>
        <w:rPr/>
        <w:t>captures episodic rainfall events, while the soil water balance integrates the cumulative effect.</w:t>
      </w:r>
    </w:p>
    <w:p>
      <w:pPr>
        <w:spacing w:line="254" w:lineRule="auto" w:before="14"/>
        <w:ind w:left="702" w:right="952" w:firstLine="345"/>
        <w:jc w:val="both"/>
        <w:rPr>
          <w:sz w:val="22"/>
        </w:rPr>
      </w:pPr>
      <w:r>
        <w:rPr>
          <w:b/>
          <w:sz w:val="22"/>
        </w:rPr>
        <w:t>Theme</w:t>
      </w:r>
      <w:r>
        <w:rPr>
          <w:b/>
          <w:spacing w:val="-16"/>
          <w:sz w:val="22"/>
        </w:rPr>
        <w:t> </w:t>
      </w:r>
      <w:r>
        <w:rPr>
          <w:b/>
          <w:sz w:val="22"/>
        </w:rPr>
        <w:t>3</w:t>
      </w:r>
      <w:r>
        <w:rPr>
          <w:b/>
          <w:spacing w:val="-14"/>
          <w:sz w:val="22"/>
        </w:rPr>
        <w:t> </w:t>
      </w:r>
      <w:r>
        <w:rPr>
          <w:b/>
          <w:sz w:val="22"/>
        </w:rPr>
        <w:t>—</w:t>
      </w:r>
      <w:r>
        <w:rPr>
          <w:b/>
          <w:spacing w:val="-14"/>
          <w:sz w:val="22"/>
        </w:rPr>
        <w:t> </w:t>
      </w:r>
      <w:r>
        <w:rPr>
          <w:b/>
          <w:sz w:val="22"/>
        </w:rPr>
        <w:t>Thermal</w:t>
      </w:r>
      <w:r>
        <w:rPr>
          <w:b/>
          <w:spacing w:val="-13"/>
          <w:sz w:val="22"/>
        </w:rPr>
        <w:t> </w:t>
      </w:r>
      <w:r>
        <w:rPr>
          <w:b/>
          <w:sz w:val="22"/>
        </w:rPr>
        <w:t>moderation</w:t>
      </w:r>
      <w:r>
        <w:rPr>
          <w:b/>
          <w:spacing w:val="-14"/>
          <w:sz w:val="22"/>
        </w:rPr>
        <w:t> </w:t>
      </w:r>
      <w:r>
        <w:rPr>
          <w:b/>
          <w:sz w:val="22"/>
        </w:rPr>
        <w:t>(ranks</w:t>
      </w:r>
      <w:r>
        <w:rPr>
          <w:b/>
          <w:spacing w:val="-14"/>
          <w:sz w:val="22"/>
        </w:rPr>
        <w:t> </w:t>
      </w:r>
      <w:r>
        <w:rPr>
          <w:b/>
          <w:sz w:val="22"/>
        </w:rPr>
        <w:t>3–5,</w:t>
      </w:r>
      <w:r>
        <w:rPr>
          <w:b/>
          <w:spacing w:val="-14"/>
          <w:sz w:val="22"/>
        </w:rPr>
        <w:t> </w:t>
      </w:r>
      <w:r>
        <w:rPr>
          <w:b/>
          <w:sz w:val="22"/>
        </w:rPr>
        <w:t>27–38%</w:t>
      </w:r>
      <w:r>
        <w:rPr>
          <w:b/>
          <w:spacing w:val="-13"/>
          <w:sz w:val="22"/>
        </w:rPr>
        <w:t> </w:t>
      </w:r>
      <w:r>
        <w:rPr>
          <w:b/>
          <w:sz w:val="22"/>
        </w:rPr>
        <w:t>of</w:t>
      </w:r>
      <w:r>
        <w:rPr>
          <w:b/>
          <w:spacing w:val="-14"/>
          <w:sz w:val="22"/>
        </w:rPr>
        <w:t> </w:t>
      </w:r>
      <w:r>
        <w:rPr>
          <w:b/>
          <w:sz w:val="22"/>
        </w:rPr>
        <w:t>rules):</w:t>
      </w:r>
      <w:r>
        <w:rPr>
          <w:b/>
          <w:spacing w:val="-14"/>
          <w:sz w:val="22"/>
        </w:rPr>
        <w:t> </w:t>
      </w:r>
      <w:r>
        <w:rPr>
          <w:sz w:val="22"/>
        </w:rPr>
        <w:t>Three</w:t>
      </w:r>
      <w:r>
        <w:rPr>
          <w:spacing w:val="-14"/>
          <w:sz w:val="22"/>
        </w:rPr>
        <w:t> </w:t>
      </w:r>
      <w:r>
        <w:rPr>
          <w:sz w:val="22"/>
        </w:rPr>
        <w:t>heat-stress</w:t>
      </w:r>
      <w:r>
        <w:rPr>
          <w:spacing w:val="-13"/>
          <w:sz w:val="22"/>
        </w:rPr>
        <w:t> </w:t>
      </w:r>
      <w:r>
        <w:rPr>
          <w:sz w:val="22"/>
        </w:rPr>
        <w:t>variables (days with Tmax &gt; 35</w:t>
      </w:r>
      <w:r>
        <w:rPr>
          <w:rFonts w:ascii="Meiryo UI" w:hAnsi="Meiryo UI"/>
          <w:i/>
          <w:sz w:val="22"/>
          <w:vertAlign w:val="superscript"/>
        </w:rPr>
        <w:t>◦</w:t>
      </w:r>
      <w:r>
        <w:rPr>
          <w:sz w:val="22"/>
          <w:vertAlign w:val="baseline"/>
        </w:rPr>
        <w:t>C at different windows) collectively appear in the vast majority of rules. Their</w:t>
      </w:r>
      <w:r>
        <w:rPr>
          <w:spacing w:val="-12"/>
          <w:sz w:val="22"/>
          <w:vertAlign w:val="baseline"/>
        </w:rPr>
        <w:t> </w:t>
      </w:r>
      <w:r>
        <w:rPr>
          <w:sz w:val="22"/>
          <w:vertAlign w:val="baseline"/>
        </w:rPr>
        <w:t>consistent</w:t>
      </w:r>
      <w:r>
        <w:rPr>
          <w:spacing w:val="-12"/>
          <w:sz w:val="22"/>
          <w:vertAlign w:val="baseline"/>
        </w:rPr>
        <w:t> </w:t>
      </w:r>
      <w:r>
        <w:rPr>
          <w:sz w:val="22"/>
          <w:vertAlign w:val="baseline"/>
        </w:rPr>
        <w:t>presence</w:t>
      </w:r>
      <w:r>
        <w:rPr>
          <w:spacing w:val="-12"/>
          <w:sz w:val="22"/>
          <w:vertAlign w:val="baseline"/>
        </w:rPr>
        <w:t> </w:t>
      </w:r>
      <w:r>
        <w:rPr>
          <w:sz w:val="22"/>
          <w:vertAlign w:val="baseline"/>
        </w:rPr>
        <w:t>confirms</w:t>
      </w:r>
      <w:r>
        <w:rPr>
          <w:spacing w:val="-11"/>
          <w:sz w:val="22"/>
          <w:vertAlign w:val="baseline"/>
        </w:rPr>
        <w:t> </w:t>
      </w:r>
      <w:r>
        <w:rPr>
          <w:sz w:val="22"/>
          <w:vertAlign w:val="baseline"/>
        </w:rPr>
        <w:t>that</w:t>
      </w:r>
      <w:r>
        <w:rPr>
          <w:spacing w:val="-12"/>
          <w:sz w:val="22"/>
          <w:vertAlign w:val="baseline"/>
        </w:rPr>
        <w:t> </w:t>
      </w:r>
      <w:r>
        <w:rPr>
          <w:sz w:val="22"/>
          <w:vertAlign w:val="baseline"/>
        </w:rPr>
        <w:t>the</w:t>
      </w:r>
      <w:r>
        <w:rPr>
          <w:spacing w:val="-12"/>
          <w:sz w:val="22"/>
          <w:vertAlign w:val="baseline"/>
        </w:rPr>
        <w:t> </w:t>
      </w:r>
      <w:r>
        <w:rPr>
          <w:sz w:val="22"/>
          <w:vertAlign w:val="baseline"/>
        </w:rPr>
        <w:t>best</w:t>
      </w:r>
      <w:r>
        <w:rPr>
          <w:spacing w:val="-12"/>
          <w:sz w:val="22"/>
          <w:vertAlign w:val="baseline"/>
        </w:rPr>
        <w:t> </w:t>
      </w:r>
      <w:r>
        <w:rPr>
          <w:sz w:val="22"/>
          <w:vertAlign w:val="baseline"/>
        </w:rPr>
        <w:t>Douro</w:t>
      </w:r>
      <w:r>
        <w:rPr>
          <w:spacing w:val="-11"/>
          <w:sz w:val="22"/>
          <w:vertAlign w:val="baseline"/>
        </w:rPr>
        <w:t> </w:t>
      </w:r>
      <w:r>
        <w:rPr>
          <w:sz w:val="22"/>
          <w:vertAlign w:val="baseline"/>
        </w:rPr>
        <w:t>vintages</w:t>
      </w:r>
      <w:r>
        <w:rPr>
          <w:spacing w:val="-12"/>
          <w:sz w:val="22"/>
          <w:vertAlign w:val="baseline"/>
        </w:rPr>
        <w:t> </w:t>
      </w:r>
      <w:r>
        <w:rPr>
          <w:sz w:val="22"/>
          <w:vertAlign w:val="baseline"/>
        </w:rPr>
        <w:t>are</w:t>
      </w:r>
      <w:r>
        <w:rPr>
          <w:spacing w:val="-12"/>
          <w:sz w:val="22"/>
          <w:vertAlign w:val="baseline"/>
        </w:rPr>
        <w:t> </w:t>
      </w:r>
      <w:r>
        <w:rPr>
          <w:sz w:val="22"/>
          <w:vertAlign w:val="baseline"/>
        </w:rPr>
        <w:t>not</w:t>
      </w:r>
      <w:r>
        <w:rPr>
          <w:spacing w:val="-12"/>
          <w:sz w:val="22"/>
          <w:vertAlign w:val="baseline"/>
        </w:rPr>
        <w:t> </w:t>
      </w:r>
      <w:r>
        <w:rPr>
          <w:sz w:val="22"/>
          <w:vertAlign w:val="baseline"/>
        </w:rPr>
        <w:t>simply</w:t>
      </w:r>
      <w:r>
        <w:rPr>
          <w:spacing w:val="-11"/>
          <w:sz w:val="22"/>
          <w:vertAlign w:val="baseline"/>
        </w:rPr>
        <w:t> </w:t>
      </w:r>
      <w:r>
        <w:rPr>
          <w:sz w:val="22"/>
          <w:vertAlign w:val="baseline"/>
        </w:rPr>
        <w:t>dry</w:t>
      </w:r>
      <w:r>
        <w:rPr>
          <w:spacing w:val="-12"/>
          <w:sz w:val="22"/>
          <w:vertAlign w:val="baseline"/>
        </w:rPr>
        <w:t> </w:t>
      </w:r>
      <w:r>
        <w:rPr>
          <w:sz w:val="22"/>
          <w:vertAlign w:val="baseline"/>
        </w:rPr>
        <w:t>but</w:t>
      </w:r>
      <w:r>
        <w:rPr>
          <w:spacing w:val="-12"/>
          <w:sz w:val="22"/>
          <w:vertAlign w:val="baseline"/>
        </w:rPr>
        <w:t> </w:t>
      </w:r>
      <w:r>
        <w:rPr>
          <w:spacing w:val="-2"/>
          <w:sz w:val="22"/>
          <w:vertAlign w:val="baseline"/>
        </w:rPr>
        <w:t>specifically</w:t>
      </w:r>
    </w:p>
    <w:p>
      <w:pPr>
        <w:pStyle w:val="BodyText"/>
        <w:spacing w:line="312" w:lineRule="auto" w:before="65"/>
        <w:ind w:left="709" w:right="986"/>
        <w:jc w:val="both"/>
      </w:pPr>
      <w:r>
        <w:rPr/>
        <w:t>characterised</w:t>
      </w:r>
      <w:r>
        <w:rPr>
          <w:spacing w:val="-1"/>
        </w:rPr>
        <w:t> </w:t>
      </w:r>
      <w:r>
        <w:rPr/>
        <w:t>by</w:t>
      </w:r>
      <w:r>
        <w:rPr>
          <w:spacing w:val="-1"/>
        </w:rPr>
        <w:t> </w:t>
      </w:r>
      <w:r>
        <w:rPr/>
        <w:t>moderate</w:t>
      </w:r>
      <w:r>
        <w:rPr>
          <w:spacing w:val="-1"/>
        </w:rPr>
        <w:t> </w:t>
      </w:r>
      <w:r>
        <w:rPr/>
        <w:t>heat,</w:t>
      </w:r>
      <w:r>
        <w:rPr>
          <w:spacing w:val="-1"/>
        </w:rPr>
        <w:t> </w:t>
      </w:r>
      <w:r>
        <w:rPr/>
        <w:t>warm</w:t>
      </w:r>
      <w:r>
        <w:rPr>
          <w:spacing w:val="-1"/>
        </w:rPr>
        <w:t> </w:t>
      </w:r>
      <w:r>
        <w:rPr/>
        <w:t>enough</w:t>
      </w:r>
      <w:r>
        <w:rPr>
          <w:spacing w:val="-1"/>
        </w:rPr>
        <w:t> </w:t>
      </w:r>
      <w:r>
        <w:rPr/>
        <w:t>for</w:t>
      </w:r>
      <w:r>
        <w:rPr>
          <w:spacing w:val="-1"/>
        </w:rPr>
        <w:t> </w:t>
      </w:r>
      <w:r>
        <w:rPr/>
        <w:t>full</w:t>
      </w:r>
      <w:r>
        <w:rPr>
          <w:spacing w:val="-1"/>
        </w:rPr>
        <w:t> </w:t>
      </w:r>
      <w:r>
        <w:rPr/>
        <w:t>phenological</w:t>
      </w:r>
      <w:r>
        <w:rPr>
          <w:spacing w:val="-1"/>
        </w:rPr>
        <w:t> </w:t>
      </w:r>
      <w:r>
        <w:rPr/>
        <w:t>development</w:t>
      </w:r>
      <w:r>
        <w:rPr>
          <w:spacing w:val="-1"/>
        </w:rPr>
        <w:t> </w:t>
      </w:r>
      <w:r>
        <w:rPr/>
        <w:t>but</w:t>
      </w:r>
      <w:r>
        <w:rPr>
          <w:spacing w:val="-1"/>
        </w:rPr>
        <w:t> </w:t>
      </w:r>
      <w:r>
        <w:rPr/>
        <w:t>without</w:t>
      </w:r>
      <w:r>
        <w:rPr>
          <w:spacing w:val="-1"/>
        </w:rPr>
        <w:t> </w:t>
      </w:r>
      <w:r>
        <w:rPr/>
        <w:t>the acute</w:t>
      </w:r>
      <w:r>
        <w:rPr>
          <w:spacing w:val="-14"/>
        </w:rPr>
        <w:t> </w:t>
      </w:r>
      <w:r>
        <w:rPr/>
        <w:t>thermal</w:t>
      </w:r>
      <w:r>
        <w:rPr>
          <w:spacing w:val="-14"/>
        </w:rPr>
        <w:t> </w:t>
      </w:r>
      <w:r>
        <w:rPr/>
        <w:t>stress</w:t>
      </w:r>
      <w:r>
        <w:rPr>
          <w:spacing w:val="-14"/>
        </w:rPr>
        <w:t> </w:t>
      </w:r>
      <w:r>
        <w:rPr/>
        <w:t>that</w:t>
      </w:r>
      <w:r>
        <w:rPr>
          <w:spacing w:val="-13"/>
        </w:rPr>
        <w:t> </w:t>
      </w:r>
      <w:r>
        <w:rPr/>
        <w:t>damages</w:t>
      </w:r>
      <w:r>
        <w:rPr>
          <w:spacing w:val="-14"/>
        </w:rPr>
        <w:t> </w:t>
      </w:r>
      <w:r>
        <w:rPr/>
        <w:t>berry</w:t>
      </w:r>
      <w:r>
        <w:rPr>
          <w:spacing w:val="-14"/>
        </w:rPr>
        <w:t> </w:t>
      </w:r>
      <w:r>
        <w:rPr/>
        <w:t>integrity.</w:t>
      </w:r>
      <w:r>
        <w:rPr>
          <w:spacing w:val="-14"/>
        </w:rPr>
        <w:t> </w:t>
      </w:r>
      <w:r>
        <w:rPr/>
        <w:t>The</w:t>
      </w:r>
      <w:r>
        <w:rPr>
          <w:spacing w:val="-13"/>
        </w:rPr>
        <w:t> </w:t>
      </w:r>
      <w:r>
        <w:rPr/>
        <w:t>distinction</w:t>
      </w:r>
      <w:r>
        <w:rPr>
          <w:spacing w:val="-14"/>
        </w:rPr>
        <w:t> </w:t>
      </w:r>
      <w:r>
        <w:rPr/>
        <w:t>between</w:t>
      </w:r>
      <w:r>
        <w:rPr>
          <w:spacing w:val="-14"/>
        </w:rPr>
        <w:t> </w:t>
      </w:r>
      <w:r>
        <w:rPr/>
        <w:t>flowering-period</w:t>
      </w:r>
      <w:r>
        <w:rPr>
          <w:spacing w:val="-14"/>
        </w:rPr>
        <w:t> </w:t>
      </w:r>
      <w:r>
        <w:rPr/>
        <w:t>(ranks 3,</w:t>
      </w:r>
      <w:r>
        <w:rPr>
          <w:spacing w:val="-1"/>
        </w:rPr>
        <w:t> </w:t>
      </w:r>
      <w:r>
        <w:rPr/>
        <w:t>5)</w:t>
      </w:r>
      <w:r>
        <w:rPr>
          <w:spacing w:val="-1"/>
        </w:rPr>
        <w:t> </w:t>
      </w:r>
      <w:r>
        <w:rPr/>
        <w:t>and</w:t>
      </w:r>
      <w:r>
        <w:rPr>
          <w:spacing w:val="-1"/>
        </w:rPr>
        <w:t> </w:t>
      </w:r>
      <w:r>
        <w:rPr/>
        <w:t>pre-maturity</w:t>
      </w:r>
      <w:r>
        <w:rPr>
          <w:spacing w:val="-1"/>
        </w:rPr>
        <w:t> </w:t>
      </w:r>
      <w:r>
        <w:rPr/>
        <w:t>(rank</w:t>
      </w:r>
      <w:r>
        <w:rPr>
          <w:spacing w:val="-1"/>
        </w:rPr>
        <w:t> </w:t>
      </w:r>
      <w:r>
        <w:rPr/>
        <w:t>4)</w:t>
      </w:r>
      <w:r>
        <w:rPr>
          <w:spacing w:val="-1"/>
        </w:rPr>
        <w:t> </w:t>
      </w:r>
      <w:r>
        <w:rPr/>
        <w:t>heat</w:t>
      </w:r>
      <w:r>
        <w:rPr>
          <w:spacing w:val="-1"/>
        </w:rPr>
        <w:t> </w:t>
      </w:r>
      <w:r>
        <w:rPr/>
        <w:t>stress</w:t>
      </w:r>
      <w:r>
        <w:rPr>
          <w:spacing w:val="-1"/>
        </w:rPr>
        <w:t> </w:t>
      </w:r>
      <w:r>
        <w:rPr/>
        <w:t>captures</w:t>
      </w:r>
      <w:r>
        <w:rPr>
          <w:spacing w:val="-1"/>
        </w:rPr>
        <w:t> </w:t>
      </w:r>
      <w:r>
        <w:rPr/>
        <w:t>two</w:t>
      </w:r>
      <w:r>
        <w:rPr>
          <w:spacing w:val="-1"/>
        </w:rPr>
        <w:t> </w:t>
      </w:r>
      <w:r>
        <w:rPr/>
        <w:t>biologically</w:t>
      </w:r>
      <w:r>
        <w:rPr>
          <w:spacing w:val="-1"/>
        </w:rPr>
        <w:t> </w:t>
      </w:r>
      <w:r>
        <w:rPr/>
        <w:t>distinct</w:t>
      </w:r>
      <w:r>
        <w:rPr>
          <w:spacing w:val="-1"/>
        </w:rPr>
        <w:t> </w:t>
      </w:r>
      <w:r>
        <w:rPr/>
        <w:t>mechanisms: flower abortion at flowering vs accelerated sugar rise at maturity.</w:t>
      </w:r>
    </w:p>
    <w:p>
      <w:pPr>
        <w:pStyle w:val="BodyText"/>
        <w:spacing w:after="0" w:line="312" w:lineRule="auto"/>
        <w:jc w:val="both"/>
        <w:sectPr>
          <w:headerReference w:type="default" r:id="rId70"/>
          <w:headerReference w:type="even" r:id="rId71"/>
          <w:pgSz w:w="11910" w:h="16840"/>
          <w:pgMar w:header="1160" w:footer="0" w:top="1420" w:bottom="280" w:left="1275" w:right="425"/>
          <w:pgNumType w:start="47"/>
        </w:sectPr>
      </w:pPr>
    </w:p>
    <w:p>
      <w:pPr>
        <w:pStyle w:val="BodyText"/>
        <w:rPr>
          <w:sz w:val="20"/>
        </w:rPr>
      </w:pPr>
    </w:p>
    <w:p>
      <w:pPr>
        <w:pStyle w:val="BodyText"/>
        <w:spacing w:before="38"/>
        <w:rPr>
          <w:sz w:val="20"/>
        </w:rPr>
      </w:pPr>
    </w:p>
    <w:p>
      <w:pPr>
        <w:spacing w:before="1"/>
        <w:ind w:left="1841" w:right="0" w:firstLine="0"/>
        <w:jc w:val="left"/>
        <w:rPr>
          <w:sz w:val="20"/>
        </w:rPr>
      </w:pPr>
      <w:bookmarkStart w:name="_bookmark88" w:id="155"/>
      <w:bookmarkEnd w:id="155"/>
      <w:r>
        <w:rPr/>
      </w:r>
      <w:r>
        <w:rPr>
          <w:b/>
          <w:sz w:val="20"/>
        </w:rPr>
        <w:t>Table</w:t>
      </w:r>
      <w:r>
        <w:rPr>
          <w:b/>
          <w:spacing w:val="-8"/>
          <w:sz w:val="20"/>
        </w:rPr>
        <w:t> </w:t>
      </w:r>
      <w:r>
        <w:rPr>
          <w:b/>
          <w:sz w:val="20"/>
        </w:rPr>
        <w:t>4.10:</w:t>
      </w:r>
      <w:r>
        <w:rPr>
          <w:b/>
          <w:spacing w:val="2"/>
          <w:sz w:val="20"/>
        </w:rPr>
        <w:t> </w:t>
      </w:r>
      <w:r>
        <w:rPr>
          <w:sz w:val="20"/>
        </w:rPr>
        <w:t>Feature</w:t>
      </w:r>
      <w:r>
        <w:rPr>
          <w:spacing w:val="-8"/>
          <w:sz w:val="20"/>
        </w:rPr>
        <w:t> </w:t>
      </w:r>
      <w:r>
        <w:rPr>
          <w:sz w:val="20"/>
        </w:rPr>
        <w:t>frequency</w:t>
      </w:r>
      <w:r>
        <w:rPr>
          <w:spacing w:val="-8"/>
          <w:sz w:val="20"/>
        </w:rPr>
        <w:t> </w:t>
      </w:r>
      <w:r>
        <w:rPr>
          <w:sz w:val="20"/>
        </w:rPr>
        <w:t>across</w:t>
      </w:r>
      <w:r>
        <w:rPr>
          <w:spacing w:val="-8"/>
          <w:sz w:val="20"/>
        </w:rPr>
        <w:t> </w:t>
      </w:r>
      <w:r>
        <w:rPr>
          <w:sz w:val="20"/>
        </w:rPr>
        <w:t>all</w:t>
      </w:r>
      <w:r>
        <w:rPr>
          <w:spacing w:val="-8"/>
          <w:sz w:val="20"/>
        </w:rPr>
        <w:t> </w:t>
      </w:r>
      <w:r>
        <w:rPr>
          <w:sz w:val="20"/>
        </w:rPr>
        <w:t>48</w:t>
      </w:r>
      <w:r>
        <w:rPr>
          <w:spacing w:val="-8"/>
          <w:sz w:val="20"/>
        </w:rPr>
        <w:t> </w:t>
      </w:r>
      <w:r>
        <w:rPr>
          <w:sz w:val="20"/>
        </w:rPr>
        <w:t>RDD</w:t>
      </w:r>
      <w:r>
        <w:rPr>
          <w:spacing w:val="-8"/>
          <w:sz w:val="20"/>
        </w:rPr>
        <w:t> </w:t>
      </w:r>
      <w:r>
        <w:rPr>
          <w:sz w:val="20"/>
        </w:rPr>
        <w:t>CarenR</w:t>
      </w:r>
      <w:r>
        <w:rPr>
          <w:spacing w:val="-8"/>
          <w:sz w:val="20"/>
        </w:rPr>
        <w:t> </w:t>
      </w:r>
      <w:r>
        <w:rPr>
          <w:spacing w:val="-2"/>
          <w:sz w:val="20"/>
        </w:rPr>
        <w:t>rules.</w:t>
      </w:r>
    </w:p>
    <w:p>
      <w:pPr>
        <w:pStyle w:val="BodyText"/>
        <w:spacing w:before="5"/>
        <w:rPr>
          <w:sz w:val="18"/>
        </w:rPr>
      </w:pPr>
      <w:r>
        <w:rPr>
          <w:sz w:val="18"/>
        </w:rPr>
        <mc:AlternateContent>
          <mc:Choice Requires="wps">
            <w:drawing>
              <wp:anchor distT="0" distB="0" distL="0" distR="0" allowOverlap="1" layoutInCell="1" locked="0" behindDoc="1" simplePos="0" relativeHeight="487621120">
                <wp:simplePos x="0" y="0"/>
                <wp:positionH relativeFrom="page">
                  <wp:posOffset>899998</wp:posOffset>
                </wp:positionH>
                <wp:positionV relativeFrom="paragraph">
                  <wp:posOffset>150005</wp:posOffset>
                </wp:positionV>
                <wp:extent cx="5400040" cy="1270"/>
                <wp:effectExtent l="0" t="0" r="0" b="0"/>
                <wp:wrapTopAndBottom/>
                <wp:docPr id="177" name="Graphic 177"/>
                <wp:cNvGraphicFramePr>
                  <a:graphicFrameLocks/>
                </wp:cNvGraphicFramePr>
                <a:graphic>
                  <a:graphicData uri="http://schemas.microsoft.com/office/word/2010/wordprocessingShape">
                    <wps:wsp>
                      <wps:cNvPr id="177" name="Graphic 177"/>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1.811473pt;width:425.2pt;height:.1pt;mso-position-horizontal-relative:page;mso-position-vertical-relative:paragraph;z-index:-15695360;mso-wrap-distance-left:0;mso-wrap-distance-right:0" id="docshape149" coordorigin="1417,236" coordsize="8504,0" path="m1417,236l9921,236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27"/>
        <w:gridCol w:w="2288"/>
        <w:gridCol w:w="871"/>
        <w:gridCol w:w="928"/>
        <w:gridCol w:w="1608"/>
        <w:gridCol w:w="2284"/>
      </w:tblGrid>
      <w:tr>
        <w:trPr>
          <w:trHeight w:val="758" w:hRule="atLeast"/>
        </w:trPr>
        <w:tc>
          <w:tcPr>
            <w:tcW w:w="527" w:type="dxa"/>
            <w:tcBorders>
              <w:top w:val="nil"/>
              <w:left w:val="nil"/>
              <w:right w:val="single" w:sz="4" w:space="0" w:color="000000"/>
            </w:tcBorders>
          </w:tcPr>
          <w:p>
            <w:pPr>
              <w:pStyle w:val="TableParagraph"/>
              <w:spacing w:before="31"/>
              <w:ind w:left="119"/>
              <w:rPr>
                <w:sz w:val="18"/>
              </w:rPr>
            </w:pPr>
            <w:r>
              <w:rPr>
                <w:spacing w:val="-4"/>
                <w:sz w:val="18"/>
              </w:rPr>
              <w:t>Rank</w:t>
            </w:r>
          </w:p>
        </w:tc>
        <w:tc>
          <w:tcPr>
            <w:tcW w:w="2288" w:type="dxa"/>
            <w:tcBorders>
              <w:top w:val="nil"/>
              <w:left w:val="single" w:sz="4" w:space="0" w:color="000000"/>
              <w:right w:val="single" w:sz="4" w:space="0" w:color="000000"/>
            </w:tcBorders>
          </w:tcPr>
          <w:p>
            <w:pPr>
              <w:pStyle w:val="TableParagraph"/>
              <w:spacing w:before="31"/>
              <w:ind w:left="118"/>
              <w:rPr>
                <w:sz w:val="18"/>
              </w:rPr>
            </w:pPr>
            <w:r>
              <w:rPr>
                <w:spacing w:val="-2"/>
                <w:sz w:val="18"/>
              </w:rPr>
              <w:t>Feature</w:t>
            </w:r>
          </w:p>
        </w:tc>
        <w:tc>
          <w:tcPr>
            <w:tcW w:w="871" w:type="dxa"/>
            <w:tcBorders>
              <w:top w:val="nil"/>
              <w:left w:val="single" w:sz="4" w:space="0" w:color="000000"/>
              <w:right w:val="single" w:sz="4" w:space="0" w:color="000000"/>
            </w:tcBorders>
          </w:tcPr>
          <w:p>
            <w:pPr>
              <w:pStyle w:val="TableParagraph"/>
              <w:spacing w:before="31"/>
              <w:ind w:left="118"/>
              <w:rPr>
                <w:sz w:val="18"/>
              </w:rPr>
            </w:pPr>
            <w:r>
              <w:rPr>
                <w:spacing w:val="-2"/>
                <w:sz w:val="18"/>
              </w:rPr>
              <w:t>Freq.</w:t>
            </w:r>
          </w:p>
        </w:tc>
        <w:tc>
          <w:tcPr>
            <w:tcW w:w="928" w:type="dxa"/>
            <w:tcBorders>
              <w:top w:val="nil"/>
              <w:left w:val="single" w:sz="4" w:space="0" w:color="000000"/>
              <w:right w:val="single" w:sz="4" w:space="0" w:color="000000"/>
            </w:tcBorders>
          </w:tcPr>
          <w:p>
            <w:pPr>
              <w:pStyle w:val="TableParagraph"/>
              <w:tabs>
                <w:tab w:pos="645" w:val="left" w:leader="none"/>
              </w:tabs>
              <w:spacing w:before="31"/>
              <w:ind w:left="117"/>
              <w:rPr>
                <w:sz w:val="18"/>
              </w:rPr>
            </w:pPr>
            <w:r>
              <w:rPr>
                <w:spacing w:val="-10"/>
                <w:sz w:val="18"/>
              </w:rPr>
              <w:t>%</w:t>
            </w:r>
            <w:r>
              <w:rPr>
                <w:sz w:val="18"/>
              </w:rPr>
              <w:tab/>
            </w:r>
            <w:r>
              <w:rPr>
                <w:spacing w:val="-5"/>
                <w:sz w:val="18"/>
              </w:rPr>
              <w:t>of</w:t>
            </w:r>
          </w:p>
          <w:p>
            <w:pPr>
              <w:pStyle w:val="TableParagraph"/>
              <w:spacing w:line="254" w:lineRule="auto" w:before="12"/>
              <w:ind w:left="117"/>
              <w:rPr>
                <w:sz w:val="18"/>
              </w:rPr>
            </w:pPr>
            <w:r>
              <w:rPr>
                <w:spacing w:val="-2"/>
                <w:sz w:val="18"/>
              </w:rPr>
              <w:t>rules</w:t>
            </w:r>
            <w:r>
              <w:rPr>
                <w:spacing w:val="-10"/>
                <w:sz w:val="18"/>
              </w:rPr>
              <w:t> </w:t>
            </w:r>
            <w:r>
              <w:rPr>
                <w:spacing w:val="-2"/>
                <w:sz w:val="18"/>
              </w:rPr>
              <w:t>con-</w:t>
            </w:r>
            <w:r>
              <w:rPr>
                <w:sz w:val="18"/>
              </w:rPr>
              <w:t>taining it</w:t>
            </w:r>
          </w:p>
        </w:tc>
        <w:tc>
          <w:tcPr>
            <w:tcW w:w="1608" w:type="dxa"/>
            <w:tcBorders>
              <w:top w:val="nil"/>
              <w:left w:val="single" w:sz="4" w:space="0" w:color="000000"/>
              <w:right w:val="single" w:sz="4" w:space="0" w:color="000000"/>
            </w:tcBorders>
          </w:tcPr>
          <w:p>
            <w:pPr>
              <w:pStyle w:val="TableParagraph"/>
              <w:spacing w:line="254" w:lineRule="auto" w:before="31"/>
              <w:ind w:left="117" w:right="86"/>
              <w:rPr>
                <w:sz w:val="18"/>
              </w:rPr>
            </w:pPr>
            <w:r>
              <w:rPr>
                <w:sz w:val="18"/>
              </w:rPr>
              <w:t>Phenological</w:t>
            </w:r>
            <w:r>
              <w:rPr>
                <w:spacing w:val="38"/>
                <w:sz w:val="18"/>
              </w:rPr>
              <w:t> </w:t>
            </w:r>
            <w:r>
              <w:rPr>
                <w:sz w:val="18"/>
              </w:rPr>
              <w:t>win-</w:t>
            </w:r>
            <w:r>
              <w:rPr>
                <w:spacing w:val="-4"/>
                <w:sz w:val="18"/>
              </w:rPr>
              <w:t>dow</w:t>
            </w:r>
          </w:p>
        </w:tc>
        <w:tc>
          <w:tcPr>
            <w:tcW w:w="2284" w:type="dxa"/>
            <w:tcBorders>
              <w:top w:val="nil"/>
              <w:left w:val="single" w:sz="4" w:space="0" w:color="000000"/>
              <w:right w:val="nil"/>
            </w:tcBorders>
          </w:tcPr>
          <w:p>
            <w:pPr>
              <w:pStyle w:val="TableParagraph"/>
              <w:spacing w:before="31"/>
              <w:ind w:left="116"/>
              <w:rPr>
                <w:sz w:val="18"/>
              </w:rPr>
            </w:pPr>
            <w:r>
              <w:rPr>
                <w:sz w:val="18"/>
              </w:rPr>
              <w:t>Agronomic</w:t>
            </w:r>
            <w:r>
              <w:rPr>
                <w:spacing w:val="-10"/>
                <w:sz w:val="18"/>
              </w:rPr>
              <w:t> </w:t>
            </w:r>
            <w:r>
              <w:rPr>
                <w:spacing w:val="-2"/>
                <w:sz w:val="18"/>
              </w:rPr>
              <w:t>meaning</w:t>
            </w:r>
          </w:p>
        </w:tc>
      </w:tr>
    </w:tbl>
    <w:p>
      <w:pPr>
        <w:pStyle w:val="BodyText"/>
        <w:spacing w:before="11"/>
        <w:rPr>
          <w:sz w:val="4"/>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7"/>
        <w:gridCol w:w="2288"/>
        <w:gridCol w:w="871"/>
        <w:gridCol w:w="928"/>
        <w:gridCol w:w="1608"/>
        <w:gridCol w:w="2284"/>
      </w:tblGrid>
      <w:tr>
        <w:trPr>
          <w:trHeight w:val="500" w:hRule="atLeast"/>
        </w:trPr>
        <w:tc>
          <w:tcPr>
            <w:tcW w:w="527" w:type="dxa"/>
            <w:tcBorders>
              <w:right w:val="single" w:sz="4" w:space="0" w:color="000000"/>
            </w:tcBorders>
          </w:tcPr>
          <w:p>
            <w:pPr>
              <w:pStyle w:val="TableParagraph"/>
              <w:spacing w:before="31"/>
              <w:ind w:left="119"/>
              <w:rPr>
                <w:sz w:val="18"/>
              </w:rPr>
            </w:pPr>
            <w:r>
              <w:rPr>
                <w:spacing w:val="-10"/>
                <w:sz w:val="18"/>
              </w:rPr>
              <w:t>1</w:t>
            </w:r>
          </w:p>
        </w:tc>
        <w:tc>
          <w:tcPr>
            <w:tcW w:w="2288" w:type="dxa"/>
            <w:tcBorders>
              <w:left w:val="single" w:sz="4" w:space="0" w:color="000000"/>
              <w:right w:val="single" w:sz="4" w:space="0" w:color="000000"/>
            </w:tcBorders>
          </w:tcPr>
          <w:p>
            <w:pPr>
              <w:pStyle w:val="TableParagraph"/>
              <w:spacing w:before="31"/>
              <w:ind w:left="118"/>
              <w:rPr>
                <w:b/>
                <w:sz w:val="18"/>
              </w:rPr>
            </w:pPr>
            <w:r>
              <w:rPr>
                <w:b/>
                <w:spacing w:val="-2"/>
                <w:sz w:val="18"/>
              </w:rPr>
              <w:t>swa_hv_y1_b20</w:t>
            </w:r>
          </w:p>
        </w:tc>
        <w:tc>
          <w:tcPr>
            <w:tcW w:w="871" w:type="dxa"/>
            <w:tcBorders>
              <w:left w:val="single" w:sz="4" w:space="0" w:color="000000"/>
              <w:right w:val="single" w:sz="4" w:space="0" w:color="000000"/>
            </w:tcBorders>
          </w:tcPr>
          <w:p>
            <w:pPr>
              <w:pStyle w:val="TableParagraph"/>
              <w:spacing w:before="31"/>
              <w:ind w:left="118"/>
              <w:rPr>
                <w:sz w:val="18"/>
              </w:rPr>
            </w:pPr>
            <w:r>
              <w:rPr>
                <w:spacing w:val="-5"/>
                <w:sz w:val="18"/>
              </w:rPr>
              <w:t>26</w:t>
            </w:r>
          </w:p>
        </w:tc>
        <w:tc>
          <w:tcPr>
            <w:tcW w:w="928" w:type="dxa"/>
            <w:tcBorders>
              <w:left w:val="single" w:sz="4" w:space="0" w:color="000000"/>
              <w:right w:val="single" w:sz="4" w:space="0" w:color="000000"/>
            </w:tcBorders>
          </w:tcPr>
          <w:p>
            <w:pPr>
              <w:pStyle w:val="TableParagraph"/>
              <w:spacing w:before="31"/>
              <w:ind w:left="117"/>
              <w:rPr>
                <w:sz w:val="18"/>
              </w:rPr>
            </w:pPr>
            <w:r>
              <w:rPr>
                <w:spacing w:val="-5"/>
                <w:sz w:val="18"/>
              </w:rPr>
              <w:t>54%</w:t>
            </w:r>
          </w:p>
        </w:tc>
        <w:tc>
          <w:tcPr>
            <w:tcW w:w="1608" w:type="dxa"/>
            <w:tcBorders>
              <w:left w:val="single" w:sz="4" w:space="0" w:color="000000"/>
              <w:right w:val="single" w:sz="4" w:space="0" w:color="000000"/>
            </w:tcBorders>
          </w:tcPr>
          <w:p>
            <w:pPr>
              <w:pStyle w:val="TableParagraph"/>
              <w:spacing w:line="254" w:lineRule="auto" w:before="31"/>
              <w:ind w:left="117" w:right="89"/>
              <w:rPr>
                <w:sz w:val="18"/>
              </w:rPr>
            </w:pPr>
            <w:r>
              <w:rPr>
                <w:spacing w:val="-2"/>
                <w:sz w:val="18"/>
              </w:rPr>
              <w:t>20d</w:t>
            </w:r>
            <w:r>
              <w:rPr>
                <w:spacing w:val="-10"/>
                <w:sz w:val="18"/>
              </w:rPr>
              <w:t> </w:t>
            </w:r>
            <w:r>
              <w:rPr>
                <w:spacing w:val="-2"/>
                <w:sz w:val="18"/>
              </w:rPr>
              <w:t>before</w:t>
            </w:r>
            <w:r>
              <w:rPr>
                <w:spacing w:val="-9"/>
                <w:sz w:val="18"/>
              </w:rPr>
              <w:t> </w:t>
            </w:r>
            <w:r>
              <w:rPr>
                <w:spacing w:val="-2"/>
                <w:sz w:val="18"/>
              </w:rPr>
              <w:t>Harvest, </w:t>
            </w:r>
            <w:r>
              <w:rPr>
                <w:sz w:val="18"/>
              </w:rPr>
              <w:t>current yr</w:t>
            </w:r>
          </w:p>
        </w:tc>
        <w:tc>
          <w:tcPr>
            <w:tcW w:w="2284" w:type="dxa"/>
            <w:tcBorders>
              <w:left w:val="single" w:sz="4" w:space="0" w:color="000000"/>
            </w:tcBorders>
          </w:tcPr>
          <w:p>
            <w:pPr>
              <w:pStyle w:val="TableParagraph"/>
              <w:spacing w:line="254" w:lineRule="auto" w:before="31"/>
              <w:ind w:left="116"/>
              <w:rPr>
                <w:sz w:val="18"/>
              </w:rPr>
            </w:pPr>
            <w:r>
              <w:rPr>
                <w:sz w:val="18"/>
              </w:rPr>
              <w:t>Soil</w:t>
            </w:r>
            <w:r>
              <w:rPr>
                <w:spacing w:val="-12"/>
                <w:sz w:val="18"/>
              </w:rPr>
              <w:t> </w:t>
            </w:r>
            <w:r>
              <w:rPr>
                <w:sz w:val="18"/>
              </w:rPr>
              <w:t>water</w:t>
            </w:r>
            <w:r>
              <w:rPr>
                <w:spacing w:val="-11"/>
                <w:sz w:val="18"/>
              </w:rPr>
              <w:t> </w:t>
            </w:r>
            <w:r>
              <w:rPr>
                <w:sz w:val="18"/>
              </w:rPr>
              <w:t>pre-harvest,</w:t>
            </w:r>
            <w:r>
              <w:rPr>
                <w:spacing w:val="-11"/>
                <w:sz w:val="18"/>
              </w:rPr>
              <w:t> </w:t>
            </w:r>
            <w:r>
              <w:rPr>
                <w:sz w:val="18"/>
              </w:rPr>
              <w:t>berry concentration vs dilution</w:t>
            </w:r>
          </w:p>
        </w:tc>
      </w:tr>
      <w:tr>
        <w:trPr>
          <w:trHeight w:val="723" w:hRule="atLeast"/>
        </w:trPr>
        <w:tc>
          <w:tcPr>
            <w:tcW w:w="527" w:type="dxa"/>
            <w:tcBorders>
              <w:right w:val="single" w:sz="4" w:space="0" w:color="000000"/>
            </w:tcBorders>
          </w:tcPr>
          <w:p>
            <w:pPr>
              <w:pStyle w:val="TableParagraph"/>
              <w:spacing w:before="35"/>
              <w:ind w:left="119"/>
              <w:rPr>
                <w:sz w:val="18"/>
              </w:rPr>
            </w:pPr>
            <w:r>
              <w:rPr>
                <w:spacing w:val="-10"/>
                <w:sz w:val="18"/>
              </w:rPr>
              <w:t>2</w:t>
            </w:r>
          </w:p>
        </w:tc>
        <w:tc>
          <w:tcPr>
            <w:tcW w:w="2288" w:type="dxa"/>
            <w:tcBorders>
              <w:left w:val="single" w:sz="4" w:space="0" w:color="000000"/>
              <w:right w:val="single" w:sz="4" w:space="0" w:color="000000"/>
            </w:tcBorders>
          </w:tcPr>
          <w:p>
            <w:pPr>
              <w:pStyle w:val="TableParagraph"/>
              <w:spacing w:line="254" w:lineRule="auto" w:before="35"/>
              <w:ind w:left="113" w:firstLine="4"/>
              <w:rPr>
                <w:b/>
                <w:sz w:val="18"/>
              </w:rPr>
            </w:pPr>
            <w:r>
              <w:rPr>
                <w:b/>
                <w:spacing w:val="-2"/>
                <w:sz w:val="18"/>
              </w:rPr>
              <w:t>days.rf.above.1mm_sm_ y1_a20</w:t>
            </w:r>
          </w:p>
        </w:tc>
        <w:tc>
          <w:tcPr>
            <w:tcW w:w="871" w:type="dxa"/>
            <w:tcBorders>
              <w:left w:val="single" w:sz="4" w:space="0" w:color="000000"/>
              <w:right w:val="single" w:sz="4" w:space="0" w:color="000000"/>
            </w:tcBorders>
          </w:tcPr>
          <w:p>
            <w:pPr>
              <w:pStyle w:val="TableParagraph"/>
              <w:spacing w:before="35"/>
              <w:ind w:left="118"/>
              <w:rPr>
                <w:sz w:val="18"/>
              </w:rPr>
            </w:pPr>
            <w:r>
              <w:rPr>
                <w:spacing w:val="-5"/>
                <w:sz w:val="18"/>
              </w:rPr>
              <w:t>21</w:t>
            </w:r>
          </w:p>
        </w:tc>
        <w:tc>
          <w:tcPr>
            <w:tcW w:w="928" w:type="dxa"/>
            <w:tcBorders>
              <w:left w:val="single" w:sz="4" w:space="0" w:color="000000"/>
              <w:right w:val="single" w:sz="4" w:space="0" w:color="000000"/>
            </w:tcBorders>
          </w:tcPr>
          <w:p>
            <w:pPr>
              <w:pStyle w:val="TableParagraph"/>
              <w:spacing w:before="35"/>
              <w:ind w:left="117"/>
              <w:rPr>
                <w:sz w:val="18"/>
              </w:rPr>
            </w:pPr>
            <w:r>
              <w:rPr>
                <w:spacing w:val="-5"/>
                <w:sz w:val="18"/>
              </w:rPr>
              <w:t>44%</w:t>
            </w:r>
          </w:p>
        </w:tc>
        <w:tc>
          <w:tcPr>
            <w:tcW w:w="1608" w:type="dxa"/>
            <w:tcBorders>
              <w:left w:val="single" w:sz="4" w:space="0" w:color="000000"/>
              <w:right w:val="single" w:sz="4" w:space="0" w:color="000000"/>
            </w:tcBorders>
          </w:tcPr>
          <w:p>
            <w:pPr>
              <w:pStyle w:val="TableParagraph"/>
              <w:spacing w:line="254" w:lineRule="auto" w:before="35"/>
              <w:ind w:left="112" w:right="88" w:firstLine="4"/>
              <w:jc w:val="both"/>
              <w:rPr>
                <w:sz w:val="18"/>
              </w:rPr>
            </w:pPr>
            <w:r>
              <w:rPr>
                <w:sz w:val="18"/>
              </w:rPr>
              <w:t>20d after Start-</w:t>
            </w:r>
            <w:r>
              <w:rPr>
                <w:sz w:val="18"/>
              </w:rPr>
              <w:t>of-Maturity, current</w:t>
            </w:r>
            <w:r>
              <w:rPr>
                <w:spacing w:val="40"/>
                <w:sz w:val="18"/>
              </w:rPr>
              <w:t> </w:t>
            </w:r>
            <w:r>
              <w:rPr>
                <w:spacing w:val="-6"/>
                <w:sz w:val="18"/>
              </w:rPr>
              <w:t>yr</w:t>
            </w:r>
          </w:p>
        </w:tc>
        <w:tc>
          <w:tcPr>
            <w:tcW w:w="2284" w:type="dxa"/>
            <w:tcBorders>
              <w:left w:val="single" w:sz="4" w:space="0" w:color="000000"/>
            </w:tcBorders>
          </w:tcPr>
          <w:p>
            <w:pPr>
              <w:pStyle w:val="TableParagraph"/>
              <w:spacing w:line="254" w:lineRule="auto" w:before="35"/>
              <w:ind w:left="116"/>
              <w:rPr>
                <w:sz w:val="18"/>
              </w:rPr>
            </w:pPr>
            <w:r>
              <w:rPr>
                <w:sz w:val="18"/>
              </w:rPr>
              <w:t>Wet</w:t>
            </w:r>
            <w:r>
              <w:rPr>
                <w:spacing w:val="-6"/>
                <w:sz w:val="18"/>
              </w:rPr>
              <w:t> </w:t>
            </w:r>
            <w:r>
              <w:rPr>
                <w:sz w:val="18"/>
              </w:rPr>
              <w:t>days</w:t>
            </w:r>
            <w:r>
              <w:rPr>
                <w:spacing w:val="-6"/>
                <w:sz w:val="18"/>
              </w:rPr>
              <w:t> </w:t>
            </w:r>
            <w:r>
              <w:rPr>
                <w:sz w:val="18"/>
              </w:rPr>
              <w:t>post-maturity,</w:t>
            </w:r>
            <w:r>
              <w:rPr>
                <w:spacing w:val="-5"/>
                <w:sz w:val="18"/>
              </w:rPr>
              <w:t> </w:t>
            </w:r>
            <w:r>
              <w:rPr>
                <w:sz w:val="18"/>
              </w:rPr>
              <w:t>dis-</w:t>
            </w:r>
            <w:r>
              <w:rPr>
                <w:spacing w:val="-4"/>
                <w:sz w:val="18"/>
              </w:rPr>
              <w:t>ease</w:t>
            </w:r>
            <w:r>
              <w:rPr>
                <w:spacing w:val="1"/>
                <w:sz w:val="18"/>
              </w:rPr>
              <w:t> </w:t>
            </w:r>
            <w:r>
              <w:rPr>
                <w:spacing w:val="-4"/>
                <w:sz w:val="18"/>
              </w:rPr>
              <w:t>pressure</w:t>
            </w:r>
            <w:r>
              <w:rPr>
                <w:sz w:val="18"/>
              </w:rPr>
              <w:t> </w:t>
            </w:r>
            <w:r>
              <w:rPr>
                <w:spacing w:val="-4"/>
                <w:sz w:val="18"/>
              </w:rPr>
              <w:t>during</w:t>
            </w:r>
            <w:r>
              <w:rPr>
                <w:spacing w:val="1"/>
                <w:sz w:val="18"/>
              </w:rPr>
              <w:t> </w:t>
            </w:r>
            <w:r>
              <w:rPr>
                <w:spacing w:val="-4"/>
                <w:sz w:val="18"/>
              </w:rPr>
              <w:t>ripening</w:t>
            </w:r>
          </w:p>
        </w:tc>
      </w:tr>
      <w:tr>
        <w:trPr>
          <w:trHeight w:val="723" w:hRule="atLeast"/>
        </w:trPr>
        <w:tc>
          <w:tcPr>
            <w:tcW w:w="527" w:type="dxa"/>
            <w:tcBorders>
              <w:right w:val="single" w:sz="4" w:space="0" w:color="000000"/>
            </w:tcBorders>
          </w:tcPr>
          <w:p>
            <w:pPr>
              <w:pStyle w:val="TableParagraph"/>
              <w:spacing w:before="35"/>
              <w:ind w:left="119"/>
              <w:rPr>
                <w:sz w:val="18"/>
              </w:rPr>
            </w:pPr>
            <w:r>
              <w:rPr>
                <w:spacing w:val="-10"/>
                <w:sz w:val="18"/>
              </w:rPr>
              <w:t>3</w:t>
            </w:r>
          </w:p>
        </w:tc>
        <w:tc>
          <w:tcPr>
            <w:tcW w:w="2288" w:type="dxa"/>
            <w:tcBorders>
              <w:left w:val="single" w:sz="4" w:space="0" w:color="000000"/>
              <w:right w:val="single" w:sz="4" w:space="0" w:color="000000"/>
            </w:tcBorders>
          </w:tcPr>
          <w:p>
            <w:pPr>
              <w:pStyle w:val="TableParagraph"/>
              <w:spacing w:line="254" w:lineRule="auto" w:before="35"/>
              <w:ind w:left="118"/>
              <w:rPr>
                <w:b/>
                <w:sz w:val="18"/>
              </w:rPr>
            </w:pPr>
            <w:r>
              <w:rPr>
                <w:b/>
                <w:spacing w:val="-2"/>
                <w:sz w:val="18"/>
              </w:rPr>
              <w:t>days.maxTemp.above.35_ fl_y1_a10</w:t>
            </w:r>
          </w:p>
        </w:tc>
        <w:tc>
          <w:tcPr>
            <w:tcW w:w="871" w:type="dxa"/>
            <w:tcBorders>
              <w:left w:val="single" w:sz="4" w:space="0" w:color="000000"/>
              <w:right w:val="single" w:sz="4" w:space="0" w:color="000000"/>
            </w:tcBorders>
          </w:tcPr>
          <w:p>
            <w:pPr>
              <w:pStyle w:val="TableParagraph"/>
              <w:spacing w:before="35"/>
              <w:ind w:left="118"/>
              <w:rPr>
                <w:sz w:val="18"/>
              </w:rPr>
            </w:pPr>
            <w:r>
              <w:rPr>
                <w:spacing w:val="-5"/>
                <w:sz w:val="18"/>
              </w:rPr>
              <w:t>18</w:t>
            </w:r>
          </w:p>
        </w:tc>
        <w:tc>
          <w:tcPr>
            <w:tcW w:w="928" w:type="dxa"/>
            <w:tcBorders>
              <w:left w:val="single" w:sz="4" w:space="0" w:color="000000"/>
              <w:right w:val="single" w:sz="4" w:space="0" w:color="000000"/>
            </w:tcBorders>
          </w:tcPr>
          <w:p>
            <w:pPr>
              <w:pStyle w:val="TableParagraph"/>
              <w:spacing w:before="35"/>
              <w:ind w:left="117"/>
              <w:rPr>
                <w:sz w:val="18"/>
              </w:rPr>
            </w:pPr>
            <w:r>
              <w:rPr>
                <w:spacing w:val="-5"/>
                <w:sz w:val="18"/>
              </w:rPr>
              <w:t>38%</w:t>
            </w:r>
          </w:p>
        </w:tc>
        <w:tc>
          <w:tcPr>
            <w:tcW w:w="1608" w:type="dxa"/>
            <w:tcBorders>
              <w:left w:val="single" w:sz="4" w:space="0" w:color="000000"/>
              <w:right w:val="single" w:sz="4" w:space="0" w:color="000000"/>
            </w:tcBorders>
          </w:tcPr>
          <w:p>
            <w:pPr>
              <w:pStyle w:val="TableParagraph"/>
              <w:spacing w:line="254" w:lineRule="auto" w:before="35"/>
              <w:ind w:left="117" w:right="86"/>
              <w:rPr>
                <w:sz w:val="18"/>
              </w:rPr>
            </w:pPr>
            <w:r>
              <w:rPr>
                <w:sz w:val="18"/>
              </w:rPr>
              <w:t>10d</w:t>
            </w:r>
            <w:r>
              <w:rPr>
                <w:spacing w:val="40"/>
                <w:sz w:val="18"/>
              </w:rPr>
              <w:t> </w:t>
            </w:r>
            <w:r>
              <w:rPr>
                <w:sz w:val="18"/>
              </w:rPr>
              <w:t>after</w:t>
            </w:r>
            <w:r>
              <w:rPr>
                <w:spacing w:val="40"/>
                <w:sz w:val="18"/>
              </w:rPr>
              <w:t> </w:t>
            </w:r>
            <w:r>
              <w:rPr>
                <w:sz w:val="18"/>
              </w:rPr>
              <w:t>Flower-ing, current yr</w:t>
            </w:r>
          </w:p>
        </w:tc>
        <w:tc>
          <w:tcPr>
            <w:tcW w:w="2284" w:type="dxa"/>
            <w:tcBorders>
              <w:left w:val="single" w:sz="4" w:space="0" w:color="000000"/>
            </w:tcBorders>
          </w:tcPr>
          <w:p>
            <w:pPr>
              <w:pStyle w:val="TableParagraph"/>
              <w:spacing w:line="254" w:lineRule="auto" w:before="35"/>
              <w:ind w:left="116" w:right="89"/>
              <w:jc w:val="both"/>
              <w:rPr>
                <w:sz w:val="18"/>
              </w:rPr>
            </w:pPr>
            <w:r>
              <w:rPr>
                <w:sz w:val="18"/>
              </w:rPr>
              <w:t>Heat-stress days </w:t>
            </w:r>
            <w:r>
              <w:rPr>
                <w:sz w:val="18"/>
              </w:rPr>
              <w:t>post-flowering, flower abortion </w:t>
            </w:r>
            <w:r>
              <w:rPr>
                <w:spacing w:val="-4"/>
                <w:sz w:val="18"/>
              </w:rPr>
              <w:t>risk</w:t>
            </w:r>
          </w:p>
        </w:tc>
      </w:tr>
      <w:tr>
        <w:trPr>
          <w:trHeight w:val="723" w:hRule="atLeast"/>
        </w:trPr>
        <w:tc>
          <w:tcPr>
            <w:tcW w:w="527" w:type="dxa"/>
            <w:tcBorders>
              <w:right w:val="single" w:sz="4" w:space="0" w:color="000000"/>
            </w:tcBorders>
          </w:tcPr>
          <w:p>
            <w:pPr>
              <w:pStyle w:val="TableParagraph"/>
              <w:spacing w:before="35"/>
              <w:ind w:left="119"/>
              <w:rPr>
                <w:sz w:val="18"/>
              </w:rPr>
            </w:pPr>
            <w:r>
              <w:rPr>
                <w:spacing w:val="-10"/>
                <w:sz w:val="18"/>
              </w:rPr>
              <w:t>4</w:t>
            </w:r>
          </w:p>
        </w:tc>
        <w:tc>
          <w:tcPr>
            <w:tcW w:w="2288" w:type="dxa"/>
            <w:tcBorders>
              <w:left w:val="single" w:sz="4" w:space="0" w:color="000000"/>
              <w:right w:val="single" w:sz="4" w:space="0" w:color="000000"/>
            </w:tcBorders>
          </w:tcPr>
          <w:p>
            <w:pPr>
              <w:pStyle w:val="TableParagraph"/>
              <w:spacing w:line="254" w:lineRule="auto" w:before="35"/>
              <w:ind w:left="118"/>
              <w:rPr>
                <w:b/>
                <w:sz w:val="18"/>
              </w:rPr>
            </w:pPr>
            <w:r>
              <w:rPr>
                <w:b/>
                <w:spacing w:val="-2"/>
                <w:sz w:val="18"/>
              </w:rPr>
              <w:t>days.tempMax.above.35_ sm_y1_b20</w:t>
            </w:r>
          </w:p>
        </w:tc>
        <w:tc>
          <w:tcPr>
            <w:tcW w:w="871" w:type="dxa"/>
            <w:tcBorders>
              <w:left w:val="single" w:sz="4" w:space="0" w:color="000000"/>
              <w:right w:val="single" w:sz="4" w:space="0" w:color="000000"/>
            </w:tcBorders>
          </w:tcPr>
          <w:p>
            <w:pPr>
              <w:pStyle w:val="TableParagraph"/>
              <w:spacing w:before="35"/>
              <w:ind w:left="118"/>
              <w:rPr>
                <w:sz w:val="18"/>
              </w:rPr>
            </w:pPr>
            <w:r>
              <w:rPr>
                <w:spacing w:val="-5"/>
                <w:sz w:val="18"/>
              </w:rPr>
              <w:t>17</w:t>
            </w:r>
          </w:p>
        </w:tc>
        <w:tc>
          <w:tcPr>
            <w:tcW w:w="928" w:type="dxa"/>
            <w:tcBorders>
              <w:left w:val="single" w:sz="4" w:space="0" w:color="000000"/>
              <w:right w:val="single" w:sz="4" w:space="0" w:color="000000"/>
            </w:tcBorders>
          </w:tcPr>
          <w:p>
            <w:pPr>
              <w:pStyle w:val="TableParagraph"/>
              <w:spacing w:before="35"/>
              <w:ind w:left="117"/>
              <w:rPr>
                <w:sz w:val="18"/>
              </w:rPr>
            </w:pPr>
            <w:r>
              <w:rPr>
                <w:spacing w:val="-5"/>
                <w:sz w:val="18"/>
              </w:rPr>
              <w:t>35%</w:t>
            </w:r>
          </w:p>
        </w:tc>
        <w:tc>
          <w:tcPr>
            <w:tcW w:w="1608" w:type="dxa"/>
            <w:tcBorders>
              <w:left w:val="single" w:sz="4" w:space="0" w:color="000000"/>
              <w:right w:val="single" w:sz="4" w:space="0" w:color="000000"/>
            </w:tcBorders>
          </w:tcPr>
          <w:p>
            <w:pPr>
              <w:pStyle w:val="TableParagraph"/>
              <w:spacing w:line="254" w:lineRule="auto" w:before="35"/>
              <w:ind w:left="117" w:right="86"/>
              <w:rPr>
                <w:sz w:val="18"/>
              </w:rPr>
            </w:pPr>
            <w:r>
              <w:rPr>
                <w:spacing w:val="-2"/>
                <w:sz w:val="18"/>
              </w:rPr>
              <w:t>20d</w:t>
            </w:r>
            <w:r>
              <w:rPr>
                <w:spacing w:val="-10"/>
                <w:sz w:val="18"/>
              </w:rPr>
              <w:t> </w:t>
            </w:r>
            <w:r>
              <w:rPr>
                <w:spacing w:val="-2"/>
                <w:sz w:val="18"/>
              </w:rPr>
              <w:t>before</w:t>
            </w:r>
            <w:r>
              <w:rPr>
                <w:spacing w:val="-9"/>
                <w:sz w:val="18"/>
              </w:rPr>
              <w:t> </w:t>
            </w:r>
            <w:r>
              <w:rPr>
                <w:spacing w:val="-2"/>
                <w:sz w:val="18"/>
              </w:rPr>
              <w:t>Start-</w:t>
            </w:r>
            <w:r>
              <w:rPr>
                <w:spacing w:val="-2"/>
                <w:sz w:val="18"/>
              </w:rPr>
              <w:t>of-Maturity</w:t>
            </w:r>
          </w:p>
        </w:tc>
        <w:tc>
          <w:tcPr>
            <w:tcW w:w="2284" w:type="dxa"/>
            <w:tcBorders>
              <w:left w:val="single" w:sz="4" w:space="0" w:color="000000"/>
            </w:tcBorders>
          </w:tcPr>
          <w:p>
            <w:pPr>
              <w:pStyle w:val="TableParagraph"/>
              <w:tabs>
                <w:tab w:pos="1334" w:val="left" w:leader="none"/>
              </w:tabs>
              <w:spacing w:line="254" w:lineRule="auto" w:before="35"/>
              <w:ind w:left="112" w:right="89" w:firstLine="4"/>
              <w:jc w:val="both"/>
              <w:rPr>
                <w:sz w:val="18"/>
              </w:rPr>
            </w:pPr>
            <w:r>
              <w:rPr>
                <w:sz w:val="18"/>
              </w:rPr>
              <w:t>Heat-stress days </w:t>
            </w:r>
            <w:r>
              <w:rPr>
                <w:sz w:val="18"/>
              </w:rPr>
              <w:t>pre-</w:t>
            </w:r>
            <w:r>
              <w:rPr>
                <w:spacing w:val="-2"/>
                <w:sz w:val="18"/>
              </w:rPr>
              <w:t>veraison,</w:t>
            </w:r>
            <w:r>
              <w:rPr>
                <w:sz w:val="18"/>
              </w:rPr>
              <w:tab/>
            </w:r>
            <w:r>
              <w:rPr>
                <w:spacing w:val="-2"/>
                <w:sz w:val="18"/>
              </w:rPr>
              <w:t>accelerated ripening</w:t>
            </w:r>
          </w:p>
        </w:tc>
      </w:tr>
      <w:tr>
        <w:trPr>
          <w:trHeight w:val="509" w:hRule="atLeast"/>
        </w:trPr>
        <w:tc>
          <w:tcPr>
            <w:tcW w:w="527" w:type="dxa"/>
            <w:tcBorders>
              <w:right w:val="single" w:sz="4" w:space="0" w:color="000000"/>
            </w:tcBorders>
          </w:tcPr>
          <w:p>
            <w:pPr>
              <w:pStyle w:val="TableParagraph"/>
              <w:spacing w:before="35"/>
              <w:ind w:left="119"/>
              <w:rPr>
                <w:sz w:val="18"/>
              </w:rPr>
            </w:pPr>
            <w:r>
              <w:rPr>
                <w:spacing w:val="-10"/>
                <w:sz w:val="18"/>
              </w:rPr>
              <w:t>5</w:t>
            </w:r>
          </w:p>
        </w:tc>
        <w:tc>
          <w:tcPr>
            <w:tcW w:w="2288" w:type="dxa"/>
            <w:tcBorders>
              <w:left w:val="single" w:sz="4" w:space="0" w:color="000000"/>
              <w:right w:val="single" w:sz="4" w:space="0" w:color="000000"/>
            </w:tcBorders>
          </w:tcPr>
          <w:p>
            <w:pPr>
              <w:pStyle w:val="TableParagraph"/>
              <w:spacing w:line="254" w:lineRule="auto" w:before="35"/>
              <w:ind w:left="118"/>
              <w:rPr>
                <w:b/>
                <w:sz w:val="18"/>
              </w:rPr>
            </w:pPr>
            <w:r>
              <w:rPr>
                <w:b/>
                <w:spacing w:val="-2"/>
                <w:sz w:val="18"/>
              </w:rPr>
              <w:t>days.maxTemp.above.35_ fl_y1_a20</w:t>
            </w:r>
          </w:p>
        </w:tc>
        <w:tc>
          <w:tcPr>
            <w:tcW w:w="871" w:type="dxa"/>
            <w:tcBorders>
              <w:left w:val="single" w:sz="4" w:space="0" w:color="000000"/>
              <w:right w:val="single" w:sz="4" w:space="0" w:color="000000"/>
            </w:tcBorders>
          </w:tcPr>
          <w:p>
            <w:pPr>
              <w:pStyle w:val="TableParagraph"/>
              <w:spacing w:before="35"/>
              <w:ind w:left="118"/>
              <w:rPr>
                <w:sz w:val="18"/>
              </w:rPr>
            </w:pPr>
            <w:r>
              <w:rPr>
                <w:spacing w:val="-5"/>
                <w:sz w:val="18"/>
              </w:rPr>
              <w:t>13</w:t>
            </w:r>
          </w:p>
        </w:tc>
        <w:tc>
          <w:tcPr>
            <w:tcW w:w="928" w:type="dxa"/>
            <w:tcBorders>
              <w:left w:val="single" w:sz="4" w:space="0" w:color="000000"/>
              <w:right w:val="single" w:sz="4" w:space="0" w:color="000000"/>
            </w:tcBorders>
          </w:tcPr>
          <w:p>
            <w:pPr>
              <w:pStyle w:val="TableParagraph"/>
              <w:spacing w:before="35"/>
              <w:ind w:left="117"/>
              <w:rPr>
                <w:sz w:val="18"/>
              </w:rPr>
            </w:pPr>
            <w:r>
              <w:rPr>
                <w:spacing w:val="-5"/>
                <w:sz w:val="18"/>
              </w:rPr>
              <w:t>27%</w:t>
            </w:r>
          </w:p>
        </w:tc>
        <w:tc>
          <w:tcPr>
            <w:tcW w:w="1608" w:type="dxa"/>
            <w:tcBorders>
              <w:left w:val="single" w:sz="4" w:space="0" w:color="000000"/>
              <w:right w:val="single" w:sz="4" w:space="0" w:color="000000"/>
            </w:tcBorders>
          </w:tcPr>
          <w:p>
            <w:pPr>
              <w:pStyle w:val="TableParagraph"/>
              <w:spacing w:line="254" w:lineRule="auto" w:before="35"/>
              <w:ind w:left="117" w:right="86"/>
              <w:rPr>
                <w:sz w:val="18"/>
              </w:rPr>
            </w:pPr>
            <w:r>
              <w:rPr>
                <w:sz w:val="18"/>
              </w:rPr>
              <w:t>20d</w:t>
            </w:r>
            <w:r>
              <w:rPr>
                <w:spacing w:val="40"/>
                <w:sz w:val="18"/>
              </w:rPr>
              <w:t> </w:t>
            </w:r>
            <w:r>
              <w:rPr>
                <w:sz w:val="18"/>
              </w:rPr>
              <w:t>after</w:t>
            </w:r>
            <w:r>
              <w:rPr>
                <w:spacing w:val="40"/>
                <w:sz w:val="18"/>
              </w:rPr>
              <w:t> </w:t>
            </w:r>
            <w:r>
              <w:rPr>
                <w:sz w:val="18"/>
              </w:rPr>
              <w:t>Flower-ing, current yr</w:t>
            </w:r>
          </w:p>
        </w:tc>
        <w:tc>
          <w:tcPr>
            <w:tcW w:w="2284" w:type="dxa"/>
            <w:tcBorders>
              <w:left w:val="single" w:sz="4" w:space="0" w:color="000000"/>
            </w:tcBorders>
          </w:tcPr>
          <w:p>
            <w:pPr>
              <w:pStyle w:val="TableParagraph"/>
              <w:spacing w:line="254" w:lineRule="auto" w:before="35"/>
              <w:ind w:left="116"/>
              <w:rPr>
                <w:sz w:val="18"/>
              </w:rPr>
            </w:pPr>
            <w:r>
              <w:rPr>
                <w:sz w:val="18"/>
              </w:rPr>
              <w:t>Heat-stress</w:t>
            </w:r>
            <w:r>
              <w:rPr>
                <w:spacing w:val="-11"/>
                <w:sz w:val="18"/>
              </w:rPr>
              <w:t> </w:t>
            </w:r>
            <w:r>
              <w:rPr>
                <w:sz w:val="18"/>
              </w:rPr>
              <w:t>days</w:t>
            </w:r>
            <w:r>
              <w:rPr>
                <w:spacing w:val="-11"/>
                <w:sz w:val="18"/>
              </w:rPr>
              <w:t> </w:t>
            </w:r>
            <w:r>
              <w:rPr>
                <w:sz w:val="18"/>
              </w:rPr>
              <w:t>(wider</w:t>
            </w:r>
            <w:r>
              <w:rPr>
                <w:spacing w:val="-11"/>
                <w:sz w:val="18"/>
              </w:rPr>
              <w:t> </w:t>
            </w:r>
            <w:r>
              <w:rPr>
                <w:sz w:val="18"/>
              </w:rPr>
              <w:t>win-dow), sustained heat impact</w:t>
            </w:r>
          </w:p>
        </w:tc>
      </w:tr>
      <w:tr>
        <w:trPr>
          <w:trHeight w:val="504" w:hRule="atLeast"/>
        </w:trPr>
        <w:tc>
          <w:tcPr>
            <w:tcW w:w="527" w:type="dxa"/>
            <w:tcBorders>
              <w:right w:val="single" w:sz="4" w:space="0" w:color="000000"/>
            </w:tcBorders>
          </w:tcPr>
          <w:p>
            <w:pPr>
              <w:pStyle w:val="TableParagraph"/>
              <w:spacing w:before="30"/>
              <w:ind w:left="119"/>
              <w:rPr>
                <w:sz w:val="18"/>
              </w:rPr>
            </w:pPr>
            <w:r>
              <w:rPr>
                <w:spacing w:val="-10"/>
                <w:sz w:val="18"/>
              </w:rPr>
              <w:t>6</w:t>
            </w:r>
          </w:p>
        </w:tc>
        <w:tc>
          <w:tcPr>
            <w:tcW w:w="2288" w:type="dxa"/>
            <w:tcBorders>
              <w:left w:val="single" w:sz="4" w:space="0" w:color="000000"/>
              <w:right w:val="single" w:sz="4" w:space="0" w:color="000000"/>
            </w:tcBorders>
          </w:tcPr>
          <w:p>
            <w:pPr>
              <w:pStyle w:val="TableParagraph"/>
              <w:spacing w:line="254" w:lineRule="auto" w:before="30"/>
              <w:ind w:left="118"/>
              <w:rPr>
                <w:b/>
                <w:sz w:val="18"/>
              </w:rPr>
            </w:pPr>
            <w:r>
              <w:rPr>
                <w:b/>
                <w:spacing w:val="-2"/>
                <w:sz w:val="18"/>
              </w:rPr>
              <w:t>days.rf.above.1mm_fl_y1_ </w:t>
            </w:r>
            <w:r>
              <w:rPr>
                <w:b/>
                <w:spacing w:val="-4"/>
                <w:sz w:val="18"/>
              </w:rPr>
              <w:t>a20</w:t>
            </w:r>
          </w:p>
        </w:tc>
        <w:tc>
          <w:tcPr>
            <w:tcW w:w="871" w:type="dxa"/>
            <w:tcBorders>
              <w:left w:val="single" w:sz="4" w:space="0" w:color="000000"/>
              <w:right w:val="single" w:sz="4" w:space="0" w:color="000000"/>
            </w:tcBorders>
          </w:tcPr>
          <w:p>
            <w:pPr>
              <w:pStyle w:val="TableParagraph"/>
              <w:spacing w:before="30"/>
              <w:ind w:left="118"/>
              <w:rPr>
                <w:sz w:val="18"/>
              </w:rPr>
            </w:pPr>
            <w:r>
              <w:rPr>
                <w:spacing w:val="-5"/>
                <w:sz w:val="18"/>
              </w:rPr>
              <w:t>10</w:t>
            </w:r>
          </w:p>
        </w:tc>
        <w:tc>
          <w:tcPr>
            <w:tcW w:w="928" w:type="dxa"/>
            <w:tcBorders>
              <w:left w:val="single" w:sz="4" w:space="0" w:color="000000"/>
              <w:right w:val="single" w:sz="4" w:space="0" w:color="000000"/>
            </w:tcBorders>
          </w:tcPr>
          <w:p>
            <w:pPr>
              <w:pStyle w:val="TableParagraph"/>
              <w:spacing w:before="30"/>
              <w:ind w:left="117"/>
              <w:rPr>
                <w:sz w:val="18"/>
              </w:rPr>
            </w:pPr>
            <w:r>
              <w:rPr>
                <w:spacing w:val="-5"/>
                <w:sz w:val="18"/>
              </w:rPr>
              <w:t>21%</w:t>
            </w:r>
          </w:p>
        </w:tc>
        <w:tc>
          <w:tcPr>
            <w:tcW w:w="1608" w:type="dxa"/>
            <w:tcBorders>
              <w:left w:val="single" w:sz="4" w:space="0" w:color="000000"/>
              <w:right w:val="single" w:sz="4" w:space="0" w:color="000000"/>
            </w:tcBorders>
          </w:tcPr>
          <w:p>
            <w:pPr>
              <w:pStyle w:val="TableParagraph"/>
              <w:spacing w:line="254" w:lineRule="auto" w:before="30"/>
              <w:ind w:left="117" w:right="86"/>
              <w:rPr>
                <w:sz w:val="18"/>
              </w:rPr>
            </w:pPr>
            <w:r>
              <w:rPr>
                <w:sz w:val="18"/>
              </w:rPr>
              <w:t>20d</w:t>
            </w:r>
            <w:r>
              <w:rPr>
                <w:spacing w:val="40"/>
                <w:sz w:val="18"/>
              </w:rPr>
              <w:t> </w:t>
            </w:r>
            <w:r>
              <w:rPr>
                <w:sz w:val="18"/>
              </w:rPr>
              <w:t>after</w:t>
            </w:r>
            <w:r>
              <w:rPr>
                <w:spacing w:val="40"/>
                <w:sz w:val="18"/>
              </w:rPr>
              <w:t> </w:t>
            </w:r>
            <w:r>
              <w:rPr>
                <w:sz w:val="18"/>
              </w:rPr>
              <w:t>Flower-ing, current yr</w:t>
            </w:r>
          </w:p>
        </w:tc>
        <w:tc>
          <w:tcPr>
            <w:tcW w:w="2284" w:type="dxa"/>
            <w:tcBorders>
              <w:left w:val="single" w:sz="4" w:space="0" w:color="000000"/>
            </w:tcBorders>
          </w:tcPr>
          <w:p>
            <w:pPr>
              <w:pStyle w:val="TableParagraph"/>
              <w:spacing w:line="254" w:lineRule="auto" w:before="30"/>
              <w:ind w:left="116" w:right="83"/>
              <w:rPr>
                <w:sz w:val="18"/>
              </w:rPr>
            </w:pPr>
            <w:r>
              <w:rPr>
                <w:spacing w:val="-2"/>
                <w:sz w:val="18"/>
              </w:rPr>
              <w:t>Wet</w:t>
            </w:r>
            <w:r>
              <w:rPr>
                <w:spacing w:val="-10"/>
                <w:sz w:val="18"/>
              </w:rPr>
              <w:t> </w:t>
            </w:r>
            <w:r>
              <w:rPr>
                <w:spacing w:val="-2"/>
                <w:sz w:val="18"/>
              </w:rPr>
              <w:t>days</w:t>
            </w:r>
            <w:r>
              <w:rPr>
                <w:spacing w:val="-9"/>
                <w:sz w:val="18"/>
              </w:rPr>
              <w:t> </w:t>
            </w:r>
            <w:r>
              <w:rPr>
                <w:spacing w:val="-2"/>
                <w:sz w:val="18"/>
              </w:rPr>
              <w:t>post-flowering,</w:t>
            </w:r>
            <w:r>
              <w:rPr>
                <w:spacing w:val="-9"/>
                <w:sz w:val="18"/>
              </w:rPr>
              <w:t> </w:t>
            </w:r>
            <w:r>
              <w:rPr>
                <w:spacing w:val="-2"/>
                <w:sz w:val="18"/>
              </w:rPr>
              <w:t>dis-</w:t>
            </w:r>
            <w:r>
              <w:rPr>
                <w:sz w:val="18"/>
              </w:rPr>
              <w:t>ease and poor fruit set</w:t>
            </w:r>
          </w:p>
        </w:tc>
      </w:tr>
      <w:tr>
        <w:trPr>
          <w:trHeight w:val="498" w:hRule="atLeast"/>
        </w:trPr>
        <w:tc>
          <w:tcPr>
            <w:tcW w:w="527" w:type="dxa"/>
            <w:tcBorders>
              <w:right w:val="single" w:sz="4" w:space="0" w:color="000000"/>
            </w:tcBorders>
          </w:tcPr>
          <w:p>
            <w:pPr>
              <w:pStyle w:val="TableParagraph"/>
              <w:spacing w:before="30"/>
              <w:ind w:left="119"/>
              <w:rPr>
                <w:sz w:val="18"/>
              </w:rPr>
            </w:pPr>
            <w:r>
              <w:rPr>
                <w:spacing w:val="-10"/>
                <w:sz w:val="18"/>
              </w:rPr>
              <w:t>7</w:t>
            </w:r>
          </w:p>
        </w:tc>
        <w:tc>
          <w:tcPr>
            <w:tcW w:w="2288" w:type="dxa"/>
            <w:tcBorders>
              <w:left w:val="single" w:sz="4" w:space="0" w:color="000000"/>
              <w:right w:val="single" w:sz="4" w:space="0" w:color="000000"/>
            </w:tcBorders>
          </w:tcPr>
          <w:p>
            <w:pPr>
              <w:pStyle w:val="TableParagraph"/>
              <w:spacing w:before="30"/>
              <w:ind w:left="118"/>
              <w:rPr>
                <w:b/>
                <w:sz w:val="18"/>
              </w:rPr>
            </w:pPr>
            <w:r>
              <w:rPr>
                <w:b/>
                <w:spacing w:val="-2"/>
                <w:sz w:val="18"/>
              </w:rPr>
              <w:t>tm_fl_y0_b10</w:t>
            </w:r>
          </w:p>
        </w:tc>
        <w:tc>
          <w:tcPr>
            <w:tcW w:w="871" w:type="dxa"/>
            <w:tcBorders>
              <w:left w:val="single" w:sz="4" w:space="0" w:color="000000"/>
              <w:right w:val="single" w:sz="4" w:space="0" w:color="000000"/>
            </w:tcBorders>
          </w:tcPr>
          <w:p>
            <w:pPr>
              <w:pStyle w:val="TableParagraph"/>
              <w:spacing w:before="30"/>
              <w:ind w:left="118"/>
              <w:rPr>
                <w:sz w:val="18"/>
              </w:rPr>
            </w:pPr>
            <w:r>
              <w:rPr>
                <w:spacing w:val="-10"/>
                <w:sz w:val="18"/>
              </w:rPr>
              <w:t>7</w:t>
            </w:r>
          </w:p>
        </w:tc>
        <w:tc>
          <w:tcPr>
            <w:tcW w:w="928" w:type="dxa"/>
            <w:tcBorders>
              <w:left w:val="single" w:sz="4" w:space="0" w:color="000000"/>
              <w:right w:val="single" w:sz="4" w:space="0" w:color="000000"/>
            </w:tcBorders>
          </w:tcPr>
          <w:p>
            <w:pPr>
              <w:pStyle w:val="TableParagraph"/>
              <w:spacing w:before="30"/>
              <w:ind w:left="117"/>
              <w:rPr>
                <w:sz w:val="18"/>
              </w:rPr>
            </w:pPr>
            <w:r>
              <w:rPr>
                <w:spacing w:val="-5"/>
                <w:sz w:val="18"/>
              </w:rPr>
              <w:t>15%</w:t>
            </w:r>
          </w:p>
        </w:tc>
        <w:tc>
          <w:tcPr>
            <w:tcW w:w="1608" w:type="dxa"/>
            <w:tcBorders>
              <w:left w:val="single" w:sz="4" w:space="0" w:color="000000"/>
              <w:right w:val="single" w:sz="4" w:space="0" w:color="000000"/>
            </w:tcBorders>
          </w:tcPr>
          <w:p>
            <w:pPr>
              <w:pStyle w:val="TableParagraph"/>
              <w:spacing w:line="254" w:lineRule="auto" w:before="30"/>
              <w:ind w:left="117" w:right="86"/>
              <w:rPr>
                <w:sz w:val="18"/>
              </w:rPr>
            </w:pPr>
            <w:r>
              <w:rPr>
                <w:sz w:val="18"/>
              </w:rPr>
              <w:t>10d</w:t>
            </w:r>
            <w:r>
              <w:rPr>
                <w:spacing w:val="-12"/>
                <w:sz w:val="18"/>
              </w:rPr>
              <w:t> </w:t>
            </w:r>
            <w:r>
              <w:rPr>
                <w:sz w:val="18"/>
              </w:rPr>
              <w:t>before</w:t>
            </w:r>
            <w:r>
              <w:rPr>
                <w:spacing w:val="-11"/>
                <w:sz w:val="18"/>
              </w:rPr>
              <w:t> </w:t>
            </w:r>
            <w:r>
              <w:rPr>
                <w:sz w:val="18"/>
              </w:rPr>
              <w:t>Flower-ing, prev. yr</w:t>
            </w:r>
          </w:p>
        </w:tc>
        <w:tc>
          <w:tcPr>
            <w:tcW w:w="2284" w:type="dxa"/>
            <w:tcBorders>
              <w:left w:val="single" w:sz="4" w:space="0" w:color="000000"/>
            </w:tcBorders>
          </w:tcPr>
          <w:p>
            <w:pPr>
              <w:pStyle w:val="TableParagraph"/>
              <w:spacing w:line="254" w:lineRule="auto" w:before="30"/>
              <w:ind w:left="116"/>
              <w:rPr>
                <w:sz w:val="18"/>
              </w:rPr>
            </w:pPr>
            <w:r>
              <w:rPr>
                <w:spacing w:val="-2"/>
                <w:sz w:val="18"/>
              </w:rPr>
              <w:t>Previous-year</w:t>
            </w:r>
            <w:r>
              <w:rPr>
                <w:spacing w:val="-10"/>
                <w:sz w:val="18"/>
              </w:rPr>
              <w:t> </w:t>
            </w:r>
            <w:r>
              <w:rPr>
                <w:spacing w:val="-2"/>
                <w:sz w:val="18"/>
              </w:rPr>
              <w:t>flowering</w:t>
            </w:r>
            <w:r>
              <w:rPr>
                <w:spacing w:val="-9"/>
                <w:sz w:val="18"/>
              </w:rPr>
              <w:t> </w:t>
            </w:r>
            <w:r>
              <w:rPr>
                <w:spacing w:val="-2"/>
                <w:sz w:val="18"/>
              </w:rPr>
              <w:t>tem-</w:t>
            </w:r>
            <w:r>
              <w:rPr>
                <w:sz w:val="18"/>
              </w:rPr>
              <w:t>perature, carry-over</w:t>
            </w:r>
          </w:p>
        </w:tc>
      </w:tr>
      <w:tr>
        <w:trPr>
          <w:trHeight w:val="504" w:hRule="atLeast"/>
        </w:trPr>
        <w:tc>
          <w:tcPr>
            <w:tcW w:w="527" w:type="dxa"/>
            <w:tcBorders>
              <w:right w:val="single" w:sz="4" w:space="0" w:color="000000"/>
            </w:tcBorders>
          </w:tcPr>
          <w:p>
            <w:pPr>
              <w:pStyle w:val="TableParagraph"/>
              <w:spacing w:before="35"/>
              <w:ind w:left="119"/>
              <w:rPr>
                <w:sz w:val="18"/>
              </w:rPr>
            </w:pPr>
            <w:r>
              <w:rPr>
                <w:spacing w:val="-10"/>
                <w:sz w:val="18"/>
              </w:rPr>
              <w:t>8</w:t>
            </w:r>
          </w:p>
        </w:tc>
        <w:tc>
          <w:tcPr>
            <w:tcW w:w="2288" w:type="dxa"/>
            <w:tcBorders>
              <w:left w:val="single" w:sz="4" w:space="0" w:color="000000"/>
              <w:right w:val="single" w:sz="4" w:space="0" w:color="000000"/>
            </w:tcBorders>
          </w:tcPr>
          <w:p>
            <w:pPr>
              <w:pStyle w:val="TableParagraph"/>
              <w:spacing w:before="35"/>
              <w:ind w:left="118"/>
              <w:rPr>
                <w:b/>
                <w:sz w:val="18"/>
              </w:rPr>
            </w:pPr>
            <w:r>
              <w:rPr>
                <w:b/>
                <w:spacing w:val="-2"/>
                <w:sz w:val="18"/>
              </w:rPr>
              <w:t>iaf_bb_y1_c10</w:t>
            </w:r>
          </w:p>
        </w:tc>
        <w:tc>
          <w:tcPr>
            <w:tcW w:w="871" w:type="dxa"/>
            <w:tcBorders>
              <w:left w:val="single" w:sz="4" w:space="0" w:color="000000"/>
              <w:right w:val="single" w:sz="4" w:space="0" w:color="000000"/>
            </w:tcBorders>
          </w:tcPr>
          <w:p>
            <w:pPr>
              <w:pStyle w:val="TableParagraph"/>
              <w:spacing w:before="35"/>
              <w:ind w:left="118"/>
              <w:rPr>
                <w:sz w:val="18"/>
              </w:rPr>
            </w:pPr>
            <w:r>
              <w:rPr>
                <w:spacing w:val="-10"/>
                <w:sz w:val="18"/>
              </w:rPr>
              <w:t>5</w:t>
            </w:r>
          </w:p>
        </w:tc>
        <w:tc>
          <w:tcPr>
            <w:tcW w:w="928" w:type="dxa"/>
            <w:tcBorders>
              <w:left w:val="single" w:sz="4" w:space="0" w:color="000000"/>
              <w:right w:val="single" w:sz="4" w:space="0" w:color="000000"/>
            </w:tcBorders>
          </w:tcPr>
          <w:p>
            <w:pPr>
              <w:pStyle w:val="TableParagraph"/>
              <w:spacing w:before="35"/>
              <w:ind w:left="117"/>
              <w:rPr>
                <w:sz w:val="18"/>
              </w:rPr>
            </w:pPr>
            <w:r>
              <w:rPr>
                <w:spacing w:val="-5"/>
                <w:sz w:val="18"/>
              </w:rPr>
              <w:t>10%</w:t>
            </w:r>
          </w:p>
        </w:tc>
        <w:tc>
          <w:tcPr>
            <w:tcW w:w="1608" w:type="dxa"/>
            <w:tcBorders>
              <w:left w:val="single" w:sz="4" w:space="0" w:color="000000"/>
              <w:right w:val="single" w:sz="4" w:space="0" w:color="000000"/>
            </w:tcBorders>
          </w:tcPr>
          <w:p>
            <w:pPr>
              <w:pStyle w:val="TableParagraph"/>
              <w:spacing w:line="254" w:lineRule="auto" w:before="35"/>
              <w:ind w:left="117" w:right="86"/>
              <w:rPr>
                <w:sz w:val="18"/>
              </w:rPr>
            </w:pPr>
            <w:r>
              <w:rPr>
                <w:spacing w:val="-4"/>
                <w:sz w:val="18"/>
              </w:rPr>
              <w:t>10d</w:t>
            </w:r>
            <w:r>
              <w:rPr>
                <w:spacing w:val="-8"/>
                <w:sz w:val="18"/>
              </w:rPr>
              <w:t> </w:t>
            </w:r>
            <w:r>
              <w:rPr>
                <w:spacing w:val="-4"/>
                <w:sz w:val="18"/>
              </w:rPr>
              <w:t>centred</w:t>
            </w:r>
            <w:r>
              <w:rPr>
                <w:spacing w:val="-9"/>
                <w:sz w:val="18"/>
              </w:rPr>
              <w:t> </w:t>
            </w:r>
            <w:r>
              <w:rPr>
                <w:spacing w:val="-4"/>
                <w:sz w:val="18"/>
              </w:rPr>
              <w:t>on</w:t>
            </w:r>
            <w:r>
              <w:rPr>
                <w:spacing w:val="-8"/>
                <w:sz w:val="18"/>
              </w:rPr>
              <w:t> </w:t>
            </w:r>
            <w:r>
              <w:rPr>
                <w:spacing w:val="-4"/>
                <w:sz w:val="18"/>
              </w:rPr>
              <w:t>Bud </w:t>
            </w:r>
            <w:r>
              <w:rPr>
                <w:spacing w:val="-2"/>
                <w:sz w:val="18"/>
              </w:rPr>
              <w:t>Break</w:t>
            </w:r>
          </w:p>
        </w:tc>
        <w:tc>
          <w:tcPr>
            <w:tcW w:w="2284" w:type="dxa"/>
            <w:tcBorders>
              <w:left w:val="single" w:sz="4" w:space="0" w:color="000000"/>
            </w:tcBorders>
          </w:tcPr>
          <w:p>
            <w:pPr>
              <w:pStyle w:val="TableParagraph"/>
              <w:tabs>
                <w:tab w:pos="1797" w:val="left" w:leader="none"/>
              </w:tabs>
              <w:spacing w:line="254" w:lineRule="auto" w:before="35"/>
              <w:ind w:left="116" w:right="113"/>
              <w:rPr>
                <w:sz w:val="18"/>
              </w:rPr>
            </w:pPr>
            <w:r>
              <w:rPr>
                <w:sz w:val="18"/>
              </w:rPr>
              <w:t>LAI</w:t>
            </w:r>
            <w:r>
              <w:rPr>
                <w:spacing w:val="80"/>
                <w:sz w:val="18"/>
              </w:rPr>
              <w:t> </w:t>
            </w:r>
            <w:r>
              <w:rPr>
                <w:sz w:val="18"/>
              </w:rPr>
              <w:t>at</w:t>
            </w:r>
            <w:r>
              <w:rPr>
                <w:spacing w:val="80"/>
                <w:sz w:val="18"/>
              </w:rPr>
              <w:t> </w:t>
            </w:r>
            <w:r>
              <w:rPr>
                <w:sz w:val="18"/>
              </w:rPr>
              <w:t>budburst,</w:t>
              <w:tab/>
            </w:r>
            <w:r>
              <w:rPr>
                <w:spacing w:val="-2"/>
                <w:sz w:val="18"/>
              </w:rPr>
              <w:t>early </w:t>
            </w:r>
            <w:r>
              <w:rPr>
                <w:sz w:val="18"/>
              </w:rPr>
              <w:t>canopy development</w:t>
            </w:r>
          </w:p>
        </w:tc>
      </w:tr>
      <w:tr>
        <w:trPr>
          <w:trHeight w:val="509" w:hRule="atLeast"/>
        </w:trPr>
        <w:tc>
          <w:tcPr>
            <w:tcW w:w="527" w:type="dxa"/>
            <w:tcBorders>
              <w:right w:val="single" w:sz="4" w:space="0" w:color="000000"/>
            </w:tcBorders>
          </w:tcPr>
          <w:p>
            <w:pPr>
              <w:pStyle w:val="TableParagraph"/>
              <w:spacing w:before="35"/>
              <w:ind w:left="119"/>
              <w:rPr>
                <w:sz w:val="18"/>
              </w:rPr>
            </w:pPr>
            <w:r>
              <w:rPr>
                <w:spacing w:val="-10"/>
                <w:sz w:val="18"/>
              </w:rPr>
              <w:t>9</w:t>
            </w:r>
          </w:p>
        </w:tc>
        <w:tc>
          <w:tcPr>
            <w:tcW w:w="2288" w:type="dxa"/>
            <w:tcBorders>
              <w:left w:val="single" w:sz="4" w:space="0" w:color="000000"/>
              <w:right w:val="single" w:sz="4" w:space="0" w:color="000000"/>
            </w:tcBorders>
          </w:tcPr>
          <w:p>
            <w:pPr>
              <w:pStyle w:val="TableParagraph"/>
              <w:spacing w:line="254" w:lineRule="auto" w:before="35"/>
              <w:ind w:left="113" w:firstLine="4"/>
              <w:rPr>
                <w:b/>
                <w:sz w:val="18"/>
              </w:rPr>
            </w:pPr>
            <w:r>
              <w:rPr>
                <w:b/>
                <w:spacing w:val="-2"/>
                <w:sz w:val="18"/>
              </w:rPr>
              <w:t>days.rf.above.1mm_hv_ y1_c10</w:t>
            </w:r>
          </w:p>
        </w:tc>
        <w:tc>
          <w:tcPr>
            <w:tcW w:w="871" w:type="dxa"/>
            <w:tcBorders>
              <w:left w:val="single" w:sz="4" w:space="0" w:color="000000"/>
              <w:right w:val="single" w:sz="4" w:space="0" w:color="000000"/>
            </w:tcBorders>
          </w:tcPr>
          <w:p>
            <w:pPr>
              <w:pStyle w:val="TableParagraph"/>
              <w:spacing w:before="35"/>
              <w:ind w:left="118"/>
              <w:rPr>
                <w:sz w:val="18"/>
              </w:rPr>
            </w:pPr>
            <w:r>
              <w:rPr>
                <w:spacing w:val="-10"/>
                <w:sz w:val="18"/>
              </w:rPr>
              <w:t>4</w:t>
            </w:r>
          </w:p>
        </w:tc>
        <w:tc>
          <w:tcPr>
            <w:tcW w:w="928" w:type="dxa"/>
            <w:tcBorders>
              <w:left w:val="single" w:sz="4" w:space="0" w:color="000000"/>
              <w:right w:val="single" w:sz="4" w:space="0" w:color="000000"/>
            </w:tcBorders>
          </w:tcPr>
          <w:p>
            <w:pPr>
              <w:pStyle w:val="TableParagraph"/>
              <w:spacing w:before="35"/>
              <w:ind w:left="117"/>
              <w:rPr>
                <w:sz w:val="18"/>
              </w:rPr>
            </w:pPr>
            <w:r>
              <w:rPr>
                <w:spacing w:val="-5"/>
                <w:sz w:val="18"/>
              </w:rPr>
              <w:t>8%</w:t>
            </w:r>
          </w:p>
        </w:tc>
        <w:tc>
          <w:tcPr>
            <w:tcW w:w="1608" w:type="dxa"/>
            <w:tcBorders>
              <w:left w:val="single" w:sz="4" w:space="0" w:color="000000"/>
              <w:right w:val="single" w:sz="4" w:space="0" w:color="000000"/>
            </w:tcBorders>
          </w:tcPr>
          <w:p>
            <w:pPr>
              <w:pStyle w:val="TableParagraph"/>
              <w:spacing w:line="254" w:lineRule="auto" w:before="35"/>
              <w:ind w:left="112" w:right="86" w:firstLine="4"/>
              <w:rPr>
                <w:sz w:val="18"/>
              </w:rPr>
            </w:pPr>
            <w:r>
              <w:rPr>
                <w:spacing w:val="-4"/>
                <w:sz w:val="18"/>
              </w:rPr>
              <w:t>10d</w:t>
            </w:r>
            <w:r>
              <w:rPr>
                <w:spacing w:val="-8"/>
                <w:sz w:val="18"/>
              </w:rPr>
              <w:t> </w:t>
            </w:r>
            <w:r>
              <w:rPr>
                <w:spacing w:val="-4"/>
                <w:sz w:val="18"/>
              </w:rPr>
              <w:t>centred</w:t>
            </w:r>
            <w:r>
              <w:rPr>
                <w:spacing w:val="-7"/>
                <w:sz w:val="18"/>
              </w:rPr>
              <w:t> </w:t>
            </w:r>
            <w:r>
              <w:rPr>
                <w:spacing w:val="-4"/>
                <w:sz w:val="18"/>
              </w:rPr>
              <w:t>on</w:t>
            </w:r>
            <w:r>
              <w:rPr>
                <w:spacing w:val="-7"/>
                <w:sz w:val="18"/>
              </w:rPr>
              <w:t> </w:t>
            </w:r>
            <w:r>
              <w:rPr>
                <w:spacing w:val="-4"/>
                <w:sz w:val="18"/>
              </w:rPr>
              <w:t>Har-vest</w:t>
            </w:r>
          </w:p>
        </w:tc>
        <w:tc>
          <w:tcPr>
            <w:tcW w:w="2284" w:type="dxa"/>
            <w:tcBorders>
              <w:left w:val="single" w:sz="4" w:space="0" w:color="000000"/>
            </w:tcBorders>
          </w:tcPr>
          <w:p>
            <w:pPr>
              <w:pStyle w:val="TableParagraph"/>
              <w:spacing w:line="254" w:lineRule="auto" w:before="35"/>
              <w:ind w:left="116"/>
              <w:rPr>
                <w:sz w:val="18"/>
              </w:rPr>
            </w:pPr>
            <w:r>
              <w:rPr>
                <w:sz w:val="18"/>
              </w:rPr>
              <w:t>Wet</w:t>
            </w:r>
            <w:r>
              <w:rPr>
                <w:spacing w:val="29"/>
                <w:sz w:val="18"/>
              </w:rPr>
              <w:t> </w:t>
            </w:r>
            <w:r>
              <w:rPr>
                <w:sz w:val="18"/>
              </w:rPr>
              <w:t>days</w:t>
            </w:r>
            <w:r>
              <w:rPr>
                <w:spacing w:val="29"/>
                <w:sz w:val="18"/>
              </w:rPr>
              <w:t> </w:t>
            </w:r>
            <w:r>
              <w:rPr>
                <w:sz w:val="18"/>
              </w:rPr>
              <w:t>at</w:t>
            </w:r>
            <w:r>
              <w:rPr>
                <w:spacing w:val="29"/>
                <w:sz w:val="18"/>
              </w:rPr>
              <w:t> </w:t>
            </w:r>
            <w:r>
              <w:rPr>
                <w:sz w:val="18"/>
              </w:rPr>
              <w:t>harvest,</w:t>
            </w:r>
            <w:r>
              <w:rPr>
                <w:spacing w:val="37"/>
                <w:sz w:val="18"/>
              </w:rPr>
              <w:t> </w:t>
            </w:r>
            <w:r>
              <w:rPr>
                <w:sz w:val="18"/>
              </w:rPr>
              <w:t>berry splitting risk</w:t>
            </w:r>
          </w:p>
        </w:tc>
      </w:tr>
      <w:tr>
        <w:trPr>
          <w:trHeight w:val="538" w:hRule="atLeast"/>
        </w:trPr>
        <w:tc>
          <w:tcPr>
            <w:tcW w:w="527" w:type="dxa"/>
            <w:tcBorders>
              <w:bottom w:val="single" w:sz="8" w:space="0" w:color="000000"/>
              <w:right w:val="single" w:sz="4" w:space="0" w:color="000000"/>
            </w:tcBorders>
          </w:tcPr>
          <w:p>
            <w:pPr>
              <w:pStyle w:val="TableParagraph"/>
              <w:spacing w:before="30"/>
              <w:ind w:left="119"/>
              <w:rPr>
                <w:sz w:val="18"/>
              </w:rPr>
            </w:pPr>
            <w:r>
              <w:rPr>
                <w:spacing w:val="-5"/>
                <w:sz w:val="18"/>
              </w:rPr>
              <w:t>10</w:t>
            </w:r>
          </w:p>
        </w:tc>
        <w:tc>
          <w:tcPr>
            <w:tcW w:w="2288" w:type="dxa"/>
            <w:tcBorders>
              <w:left w:val="single" w:sz="4" w:space="0" w:color="000000"/>
              <w:bottom w:val="single" w:sz="8" w:space="0" w:color="000000"/>
              <w:right w:val="single" w:sz="4" w:space="0" w:color="000000"/>
            </w:tcBorders>
          </w:tcPr>
          <w:p>
            <w:pPr>
              <w:pStyle w:val="TableParagraph"/>
              <w:spacing w:before="30"/>
              <w:ind w:left="118"/>
              <w:rPr>
                <w:b/>
                <w:sz w:val="18"/>
              </w:rPr>
            </w:pPr>
            <w:r>
              <w:rPr>
                <w:b/>
                <w:spacing w:val="-2"/>
                <w:sz w:val="18"/>
              </w:rPr>
              <w:t>swa_fl_y1_a30</w:t>
            </w:r>
          </w:p>
        </w:tc>
        <w:tc>
          <w:tcPr>
            <w:tcW w:w="871" w:type="dxa"/>
            <w:tcBorders>
              <w:left w:val="single" w:sz="4" w:space="0" w:color="000000"/>
              <w:bottom w:val="single" w:sz="8" w:space="0" w:color="000000"/>
              <w:right w:val="single" w:sz="4" w:space="0" w:color="000000"/>
            </w:tcBorders>
          </w:tcPr>
          <w:p>
            <w:pPr>
              <w:pStyle w:val="TableParagraph"/>
              <w:spacing w:before="30"/>
              <w:ind w:left="118"/>
              <w:rPr>
                <w:sz w:val="18"/>
              </w:rPr>
            </w:pPr>
            <w:r>
              <w:rPr>
                <w:spacing w:val="-10"/>
                <w:sz w:val="18"/>
              </w:rPr>
              <w:t>3</w:t>
            </w:r>
          </w:p>
        </w:tc>
        <w:tc>
          <w:tcPr>
            <w:tcW w:w="928" w:type="dxa"/>
            <w:tcBorders>
              <w:left w:val="single" w:sz="4" w:space="0" w:color="000000"/>
              <w:bottom w:val="single" w:sz="8" w:space="0" w:color="000000"/>
              <w:right w:val="single" w:sz="4" w:space="0" w:color="000000"/>
            </w:tcBorders>
          </w:tcPr>
          <w:p>
            <w:pPr>
              <w:pStyle w:val="TableParagraph"/>
              <w:spacing w:before="30"/>
              <w:ind w:left="117"/>
              <w:rPr>
                <w:sz w:val="18"/>
              </w:rPr>
            </w:pPr>
            <w:r>
              <w:rPr>
                <w:spacing w:val="-5"/>
                <w:sz w:val="18"/>
              </w:rPr>
              <w:t>6%</w:t>
            </w:r>
          </w:p>
        </w:tc>
        <w:tc>
          <w:tcPr>
            <w:tcW w:w="1608" w:type="dxa"/>
            <w:tcBorders>
              <w:left w:val="single" w:sz="4" w:space="0" w:color="000000"/>
              <w:bottom w:val="single" w:sz="8" w:space="0" w:color="000000"/>
              <w:right w:val="single" w:sz="4" w:space="0" w:color="000000"/>
            </w:tcBorders>
          </w:tcPr>
          <w:p>
            <w:pPr>
              <w:pStyle w:val="TableParagraph"/>
              <w:spacing w:line="254" w:lineRule="auto" w:before="30"/>
              <w:ind w:left="117" w:right="86"/>
              <w:rPr>
                <w:sz w:val="18"/>
              </w:rPr>
            </w:pPr>
            <w:r>
              <w:rPr>
                <w:sz w:val="18"/>
              </w:rPr>
              <w:t>30d</w:t>
            </w:r>
            <w:r>
              <w:rPr>
                <w:spacing w:val="40"/>
                <w:sz w:val="18"/>
              </w:rPr>
              <w:t> </w:t>
            </w:r>
            <w:r>
              <w:rPr>
                <w:sz w:val="18"/>
              </w:rPr>
              <w:t>after</w:t>
            </w:r>
            <w:r>
              <w:rPr>
                <w:spacing w:val="40"/>
                <w:sz w:val="18"/>
              </w:rPr>
              <w:t> </w:t>
            </w:r>
            <w:r>
              <w:rPr>
                <w:sz w:val="18"/>
              </w:rPr>
              <w:t>Flower-</w:t>
            </w:r>
            <w:r>
              <w:rPr>
                <w:spacing w:val="-4"/>
                <w:sz w:val="18"/>
              </w:rPr>
              <w:t>ing</w:t>
            </w:r>
          </w:p>
        </w:tc>
        <w:tc>
          <w:tcPr>
            <w:tcW w:w="2284" w:type="dxa"/>
            <w:tcBorders>
              <w:left w:val="single" w:sz="4" w:space="0" w:color="000000"/>
              <w:bottom w:val="single" w:sz="8" w:space="0" w:color="000000"/>
            </w:tcBorders>
          </w:tcPr>
          <w:p>
            <w:pPr>
              <w:pStyle w:val="TableParagraph"/>
              <w:spacing w:line="254" w:lineRule="auto" w:before="30"/>
              <w:ind w:left="116" w:right="97"/>
              <w:rPr>
                <w:sz w:val="18"/>
              </w:rPr>
            </w:pPr>
            <w:r>
              <w:rPr>
                <w:sz w:val="18"/>
              </w:rPr>
              <w:t>Soil</w:t>
            </w:r>
            <w:r>
              <w:rPr>
                <w:spacing w:val="40"/>
                <w:sz w:val="18"/>
              </w:rPr>
              <w:t> </w:t>
            </w:r>
            <w:r>
              <w:rPr>
                <w:sz w:val="18"/>
              </w:rPr>
              <w:t>water</w:t>
            </w:r>
            <w:r>
              <w:rPr>
                <w:spacing w:val="40"/>
                <w:sz w:val="18"/>
              </w:rPr>
              <w:t> </w:t>
            </w:r>
            <w:r>
              <w:rPr>
                <w:sz w:val="18"/>
              </w:rPr>
              <w:t>post-</w:t>
            </w:r>
            <w:r>
              <w:rPr>
                <w:sz w:val="18"/>
              </w:rPr>
              <w:t>flowering, mid-season moisture</w:t>
            </w:r>
          </w:p>
        </w:tc>
      </w:tr>
    </w:tbl>
    <w:p>
      <w:pPr>
        <w:pStyle w:val="BodyText"/>
        <w:spacing w:before="191"/>
        <w:rPr>
          <w:sz w:val="20"/>
        </w:rPr>
      </w:pPr>
    </w:p>
    <w:p>
      <w:pPr>
        <w:pStyle w:val="Heading3"/>
        <w:numPr>
          <w:ilvl w:val="2"/>
          <w:numId w:val="18"/>
        </w:numPr>
        <w:tabs>
          <w:tab w:pos="859" w:val="left" w:leader="none"/>
        </w:tabs>
        <w:spacing w:line="240" w:lineRule="auto" w:before="0" w:after="0"/>
        <w:ind w:left="859" w:right="0" w:hanging="717"/>
        <w:jc w:val="left"/>
      </w:pPr>
      <w:bookmarkStart w:name="4.6.2 Vinho Verde (RVV): Feature Frequen" w:id="156"/>
      <w:bookmarkEnd w:id="156"/>
      <w:r>
        <w:rPr>
          <w:b w:val="0"/>
        </w:rPr>
      </w:r>
      <w:bookmarkStart w:name="_bookmark89" w:id="157"/>
      <w:bookmarkEnd w:id="157"/>
      <w:r>
        <w:rPr>
          <w:b w:val="0"/>
        </w:rPr>
      </w:r>
      <w:r>
        <w:rPr>
          <w:spacing w:val="-2"/>
        </w:rPr>
        <w:t>Vinho</w:t>
      </w:r>
      <w:r>
        <w:rPr>
          <w:spacing w:val="-12"/>
        </w:rPr>
        <w:t> </w:t>
      </w:r>
      <w:r>
        <w:rPr>
          <w:spacing w:val="-2"/>
        </w:rPr>
        <w:t>Verde</w:t>
      </w:r>
      <w:r>
        <w:rPr>
          <w:spacing w:val="-11"/>
        </w:rPr>
        <w:t> </w:t>
      </w:r>
      <w:r>
        <w:rPr>
          <w:spacing w:val="-2"/>
        </w:rPr>
        <w:t>(RVV):</w:t>
      </w:r>
      <w:r>
        <w:rPr>
          <w:spacing w:val="-11"/>
        </w:rPr>
        <w:t> </w:t>
      </w:r>
      <w:r>
        <w:rPr>
          <w:spacing w:val="-2"/>
        </w:rPr>
        <w:t>Feature</w:t>
      </w:r>
      <w:r>
        <w:rPr>
          <w:spacing w:val="-11"/>
        </w:rPr>
        <w:t> </w:t>
      </w:r>
      <w:r>
        <w:rPr>
          <w:spacing w:val="-2"/>
        </w:rPr>
        <w:t>Frequency</w:t>
      </w:r>
    </w:p>
    <w:p>
      <w:pPr>
        <w:pStyle w:val="BodyText"/>
        <w:spacing w:line="312" w:lineRule="auto" w:before="234"/>
        <w:ind w:left="142" w:right="1557" w:hanging="7"/>
        <w:jc w:val="both"/>
      </w:pPr>
      <w:r>
        <w:rPr/>
        <w:t>The RVV feature frequency pattern is structurally different from RDD, reflecting the different agroclimatic constraints of the Atlantic climate.</w:t>
      </w:r>
    </w:p>
    <w:p>
      <w:pPr>
        <w:pStyle w:val="BodyText"/>
        <w:spacing w:line="312" w:lineRule="auto" w:before="8"/>
        <w:ind w:left="142" w:right="1521" w:firstLine="338"/>
        <w:jc w:val="both"/>
      </w:pPr>
      <w:r>
        <w:rPr/>
        <w:t>The</w:t>
      </w:r>
      <w:r>
        <w:rPr>
          <w:spacing w:val="-1"/>
        </w:rPr>
        <w:t> </w:t>
      </w:r>
      <w:r>
        <w:rPr/>
        <w:t>most</w:t>
      </w:r>
      <w:r>
        <w:rPr>
          <w:spacing w:val="-1"/>
        </w:rPr>
        <w:t> </w:t>
      </w:r>
      <w:r>
        <w:rPr/>
        <w:t>striking</w:t>
      </w:r>
      <w:r>
        <w:rPr>
          <w:spacing w:val="-1"/>
        </w:rPr>
        <w:t> </w:t>
      </w:r>
      <w:r>
        <w:rPr/>
        <w:t>difference</w:t>
      </w:r>
      <w:r>
        <w:rPr>
          <w:spacing w:val="-1"/>
        </w:rPr>
        <w:t> </w:t>
      </w:r>
      <w:r>
        <w:rPr/>
        <w:t>from</w:t>
      </w:r>
      <w:r>
        <w:rPr>
          <w:spacing w:val="-1"/>
        </w:rPr>
        <w:t> </w:t>
      </w:r>
      <w:r>
        <w:rPr/>
        <w:t>RDD</w:t>
      </w:r>
      <w:r>
        <w:rPr>
          <w:spacing w:val="-1"/>
        </w:rPr>
        <w:t> </w:t>
      </w:r>
      <w:r>
        <w:rPr/>
        <w:t>is</w:t>
      </w:r>
      <w:r>
        <w:rPr>
          <w:spacing w:val="-1"/>
        </w:rPr>
        <w:t> </w:t>
      </w:r>
      <w:r>
        <w:rPr/>
        <w:t>that</w:t>
      </w:r>
      <w:r>
        <w:rPr>
          <w:spacing w:val="-1"/>
        </w:rPr>
        <w:t> </w:t>
      </w:r>
      <w:r>
        <w:rPr/>
        <w:t>the</w:t>
      </w:r>
      <w:r>
        <w:rPr>
          <w:spacing w:val="-1"/>
        </w:rPr>
        <w:t> </w:t>
      </w:r>
      <w:r>
        <w:rPr/>
        <w:t>top</w:t>
      </w:r>
      <w:r>
        <w:rPr>
          <w:spacing w:val="-1"/>
        </w:rPr>
        <w:t> </w:t>
      </w:r>
      <w:r>
        <w:rPr/>
        <w:t>RVV</w:t>
      </w:r>
      <w:r>
        <w:rPr>
          <w:spacing w:val="-1"/>
        </w:rPr>
        <w:t> </w:t>
      </w:r>
      <w:r>
        <w:rPr/>
        <w:t>features</w:t>
      </w:r>
      <w:r>
        <w:rPr>
          <w:spacing w:val="-1"/>
        </w:rPr>
        <w:t> </w:t>
      </w:r>
      <w:r>
        <w:rPr/>
        <w:t>are</w:t>
      </w:r>
      <w:r>
        <w:rPr>
          <w:spacing w:val="-1"/>
        </w:rPr>
        <w:t> </w:t>
      </w:r>
      <w:r>
        <w:rPr/>
        <w:t>predominantly</w:t>
      </w:r>
      <w:r>
        <w:rPr>
          <w:spacing w:val="-1"/>
        </w:rPr>
        <w:t> </w:t>
      </w:r>
      <w:r>
        <w:rPr/>
        <w:t>heat-stress</w:t>
      </w:r>
      <w:r>
        <w:rPr>
          <w:spacing w:val="-10"/>
        </w:rPr>
        <w:t> </w:t>
      </w:r>
      <w:r>
        <w:rPr/>
        <w:t>day</w:t>
      </w:r>
      <w:r>
        <w:rPr>
          <w:spacing w:val="-10"/>
        </w:rPr>
        <w:t> </w:t>
      </w:r>
      <w:r>
        <w:rPr/>
        <w:t>variables</w:t>
      </w:r>
      <w:r>
        <w:rPr>
          <w:spacing w:val="-10"/>
        </w:rPr>
        <w:t> </w:t>
      </w:r>
      <w:r>
        <w:rPr/>
        <w:t>(ranks</w:t>
      </w:r>
      <w:r>
        <w:rPr>
          <w:spacing w:val="-10"/>
        </w:rPr>
        <w:t> </w:t>
      </w:r>
      <w:r>
        <w:rPr/>
        <w:t>1–3),</w:t>
      </w:r>
      <w:r>
        <w:rPr>
          <w:spacing w:val="-10"/>
        </w:rPr>
        <w:t> </w:t>
      </w:r>
      <w:r>
        <w:rPr/>
        <w:t>and</w:t>
      </w:r>
      <w:r>
        <w:rPr>
          <w:spacing w:val="-10"/>
        </w:rPr>
        <w:t> </w:t>
      </w:r>
      <w:r>
        <w:rPr/>
        <w:t>their</w:t>
      </w:r>
      <w:r>
        <w:rPr>
          <w:spacing w:val="-10"/>
        </w:rPr>
        <w:t> </w:t>
      </w:r>
      <w:r>
        <w:rPr/>
        <w:t>role</w:t>
      </w:r>
      <w:r>
        <w:rPr>
          <w:spacing w:val="-10"/>
        </w:rPr>
        <w:t> </w:t>
      </w:r>
      <w:r>
        <w:rPr/>
        <w:t>is</w:t>
      </w:r>
      <w:r>
        <w:rPr>
          <w:spacing w:val="-10"/>
        </w:rPr>
        <w:t> </w:t>
      </w:r>
      <w:r>
        <w:rPr/>
        <w:t>the</w:t>
      </w:r>
      <w:r>
        <w:rPr>
          <w:spacing w:val="-10"/>
        </w:rPr>
        <w:t> </w:t>
      </w:r>
      <w:r>
        <w:rPr/>
        <w:t>opposite</w:t>
      </w:r>
      <w:r>
        <w:rPr>
          <w:spacing w:val="-9"/>
        </w:rPr>
        <w:t> </w:t>
      </w:r>
      <w:r>
        <w:rPr/>
        <w:t>of</w:t>
      </w:r>
      <w:r>
        <w:rPr>
          <w:spacing w:val="-10"/>
        </w:rPr>
        <w:t> </w:t>
      </w:r>
      <w:r>
        <w:rPr/>
        <w:t>what</w:t>
      </w:r>
      <w:r>
        <w:rPr>
          <w:spacing w:val="-10"/>
        </w:rPr>
        <w:t> </w:t>
      </w:r>
      <w:r>
        <w:rPr/>
        <w:t>might</w:t>
      </w:r>
      <w:r>
        <w:rPr>
          <w:spacing w:val="-10"/>
        </w:rPr>
        <w:t> </w:t>
      </w:r>
      <w:r>
        <w:rPr/>
        <w:t>be</w:t>
      </w:r>
      <w:r>
        <w:rPr>
          <w:spacing w:val="-10"/>
        </w:rPr>
        <w:t> </w:t>
      </w:r>
      <w:r>
        <w:rPr/>
        <w:t>expected:</w:t>
      </w:r>
      <w:r>
        <w:rPr>
          <w:spacing w:val="1"/>
        </w:rPr>
        <w:t> </w:t>
      </w:r>
      <w:r>
        <w:rPr/>
        <w:t>in</w:t>
      </w:r>
      <w:r>
        <w:rPr>
          <w:spacing w:val="-10"/>
        </w:rPr>
        <w:t> </w:t>
      </w:r>
      <w:r>
        <w:rPr>
          <w:spacing w:val="-2"/>
        </w:rPr>
        <w:t>Vinho</w:t>
      </w:r>
    </w:p>
    <w:p>
      <w:pPr>
        <w:pStyle w:val="BodyText"/>
        <w:spacing w:line="297" w:lineRule="exact"/>
        <w:ind w:left="134"/>
        <w:jc w:val="both"/>
      </w:pPr>
      <w:r>
        <w:rPr/>
        <w:t>Verde’s</w:t>
      </w:r>
      <w:r>
        <w:rPr>
          <w:spacing w:val="-9"/>
        </w:rPr>
        <w:t> </w:t>
      </w:r>
      <w:r>
        <w:rPr/>
        <w:t>19</w:t>
      </w:r>
      <w:r>
        <w:rPr>
          <w:spacing w:val="-9"/>
        </w:rPr>
        <w:t> </w:t>
      </w:r>
      <w:r>
        <w:rPr/>
        <w:t>below-trend</w:t>
      </w:r>
      <w:r>
        <w:rPr>
          <w:spacing w:val="-9"/>
        </w:rPr>
        <w:t> </w:t>
      </w:r>
      <w:r>
        <w:rPr/>
        <w:t>rules,</w:t>
      </w:r>
      <w:r>
        <w:rPr>
          <w:spacing w:val="-9"/>
        </w:rPr>
        <w:t> </w:t>
      </w:r>
      <w:r>
        <w:rPr/>
        <w:t>low</w:t>
      </w:r>
      <w:r>
        <w:rPr>
          <w:spacing w:val="-9"/>
        </w:rPr>
        <w:t> </w:t>
      </w:r>
      <w:r>
        <w:rPr/>
        <w:t>heat</w:t>
      </w:r>
      <w:r>
        <w:rPr>
          <w:spacing w:val="-9"/>
        </w:rPr>
        <w:t> </w:t>
      </w:r>
      <w:r>
        <w:rPr/>
        <w:t>stress</w:t>
      </w:r>
      <w:r>
        <w:rPr>
          <w:spacing w:val="-9"/>
        </w:rPr>
        <w:t> </w:t>
      </w:r>
      <w:r>
        <w:rPr/>
        <w:t>(0–2.4</w:t>
      </w:r>
      <w:r>
        <w:rPr>
          <w:spacing w:val="-9"/>
        </w:rPr>
        <w:t> </w:t>
      </w:r>
      <w:r>
        <w:rPr/>
        <w:t>days</w:t>
      </w:r>
      <w:r>
        <w:rPr>
          <w:spacing w:val="-9"/>
        </w:rPr>
        <w:t> </w:t>
      </w:r>
      <w:r>
        <w:rPr/>
        <w:t>above</w:t>
      </w:r>
      <w:r>
        <w:rPr>
          <w:spacing w:val="-8"/>
        </w:rPr>
        <w:t> </w:t>
      </w:r>
      <w:r>
        <w:rPr/>
        <w:t>35</w:t>
      </w:r>
      <w:r>
        <w:rPr>
          <w:rFonts w:ascii="Meiryo UI" w:hAnsi="Meiryo UI"/>
          <w:i/>
          <w:vertAlign w:val="superscript"/>
        </w:rPr>
        <w:t>◦</w:t>
      </w:r>
      <w:r>
        <w:rPr>
          <w:vertAlign w:val="baseline"/>
        </w:rPr>
        <w:t>C)</w:t>
      </w:r>
      <w:r>
        <w:rPr>
          <w:spacing w:val="-9"/>
          <w:vertAlign w:val="baseline"/>
        </w:rPr>
        <w:t> </w:t>
      </w:r>
      <w:r>
        <w:rPr>
          <w:vertAlign w:val="baseline"/>
        </w:rPr>
        <w:t>is</w:t>
      </w:r>
      <w:r>
        <w:rPr>
          <w:spacing w:val="-9"/>
          <w:vertAlign w:val="baseline"/>
        </w:rPr>
        <w:t> </w:t>
      </w:r>
      <w:r>
        <w:rPr>
          <w:vertAlign w:val="baseline"/>
        </w:rPr>
        <w:t>the</w:t>
      </w:r>
      <w:r>
        <w:rPr>
          <w:spacing w:val="-9"/>
          <w:vertAlign w:val="baseline"/>
        </w:rPr>
        <w:t> </w:t>
      </w:r>
      <w:r>
        <w:rPr>
          <w:vertAlign w:val="baseline"/>
        </w:rPr>
        <w:t>condition,</w:t>
      </w:r>
      <w:r>
        <w:rPr>
          <w:spacing w:val="-9"/>
          <w:vertAlign w:val="baseline"/>
        </w:rPr>
        <w:t> </w:t>
      </w:r>
      <w:r>
        <w:rPr>
          <w:spacing w:val="-2"/>
          <w:vertAlign w:val="baseline"/>
        </w:rPr>
        <w:t>meaning</w:t>
      </w:r>
    </w:p>
    <w:p>
      <w:pPr>
        <w:pStyle w:val="BodyText"/>
        <w:spacing w:line="312" w:lineRule="auto" w:before="31"/>
        <w:ind w:left="136" w:right="1557" w:firstLine="5"/>
        <w:jc w:val="both"/>
      </w:pPr>
      <w:r>
        <w:rPr/>
        <w:t>below-trend</w:t>
      </w:r>
      <w:r>
        <w:rPr>
          <w:spacing w:val="-13"/>
        </w:rPr>
        <w:t> </w:t>
      </w:r>
      <w:r>
        <w:rPr/>
        <w:t>years</w:t>
      </w:r>
      <w:r>
        <w:rPr>
          <w:spacing w:val="-13"/>
        </w:rPr>
        <w:t> </w:t>
      </w:r>
      <w:r>
        <w:rPr/>
        <w:t>are</w:t>
      </w:r>
      <w:r>
        <w:rPr>
          <w:spacing w:val="-13"/>
        </w:rPr>
        <w:t> </w:t>
      </w:r>
      <w:r>
        <w:rPr/>
        <w:t>characterised</w:t>
      </w:r>
      <w:r>
        <w:rPr>
          <w:spacing w:val="-13"/>
        </w:rPr>
        <w:t> </w:t>
      </w:r>
      <w:r>
        <w:rPr/>
        <w:t>by</w:t>
      </w:r>
      <w:r>
        <w:rPr>
          <w:spacing w:val="-13"/>
        </w:rPr>
        <w:t> </w:t>
      </w:r>
      <w:r>
        <w:rPr/>
        <w:t>the</w:t>
      </w:r>
      <w:r>
        <w:rPr>
          <w:spacing w:val="-13"/>
        </w:rPr>
        <w:t> </w:t>
      </w:r>
      <w:r>
        <w:rPr/>
        <w:t>absence</w:t>
      </w:r>
      <w:r>
        <w:rPr>
          <w:spacing w:val="-13"/>
        </w:rPr>
        <w:t> </w:t>
      </w:r>
      <w:r>
        <w:rPr/>
        <w:t>of</w:t>
      </w:r>
      <w:r>
        <w:rPr>
          <w:spacing w:val="-13"/>
        </w:rPr>
        <w:t> </w:t>
      </w:r>
      <w:r>
        <w:rPr/>
        <w:t>warm</w:t>
      </w:r>
      <w:r>
        <w:rPr>
          <w:spacing w:val="-13"/>
        </w:rPr>
        <w:t> </w:t>
      </w:r>
      <w:r>
        <w:rPr/>
        <w:t>conditions.</w:t>
      </w:r>
      <w:r>
        <w:rPr>
          <w:spacing w:val="-3"/>
        </w:rPr>
        <w:t> </w:t>
      </w:r>
      <w:r>
        <w:rPr/>
        <w:t>This</w:t>
      </w:r>
      <w:r>
        <w:rPr>
          <w:spacing w:val="-13"/>
        </w:rPr>
        <w:t> </w:t>
      </w:r>
      <w:r>
        <w:rPr/>
        <w:t>is</w:t>
      </w:r>
      <w:r>
        <w:rPr>
          <w:spacing w:val="-13"/>
        </w:rPr>
        <w:t> </w:t>
      </w:r>
      <w:r>
        <w:rPr/>
        <w:t>not</w:t>
      </w:r>
      <w:r>
        <w:rPr>
          <w:spacing w:val="-13"/>
        </w:rPr>
        <w:t> </w:t>
      </w:r>
      <w:r>
        <w:rPr/>
        <w:t>because</w:t>
      </w:r>
      <w:r>
        <w:rPr>
          <w:spacing w:val="-13"/>
        </w:rPr>
        <w:t> </w:t>
      </w:r>
      <w:r>
        <w:rPr/>
        <w:t>heat</w:t>
      </w:r>
      <w:r>
        <w:rPr>
          <w:spacing w:val="-13"/>
        </w:rPr>
        <w:t> </w:t>
      </w:r>
      <w:r>
        <w:rPr/>
        <w:t>is beneficial</w:t>
      </w:r>
      <w:r>
        <w:rPr>
          <w:spacing w:val="-13"/>
        </w:rPr>
        <w:t> </w:t>
      </w:r>
      <w:r>
        <w:rPr/>
        <w:t>in</w:t>
      </w:r>
      <w:r>
        <w:rPr>
          <w:spacing w:val="-13"/>
        </w:rPr>
        <w:t> </w:t>
      </w:r>
      <w:r>
        <w:rPr/>
        <w:t>RVV</w:t>
      </w:r>
      <w:r>
        <w:rPr>
          <w:spacing w:val="-13"/>
        </w:rPr>
        <w:t> </w:t>
      </w:r>
      <w:r>
        <w:rPr/>
        <w:t>per</w:t>
      </w:r>
      <w:r>
        <w:rPr>
          <w:spacing w:val="-13"/>
        </w:rPr>
        <w:t> </w:t>
      </w:r>
      <w:r>
        <w:rPr/>
        <w:t>se,</w:t>
      </w:r>
      <w:r>
        <w:rPr>
          <w:spacing w:val="-13"/>
        </w:rPr>
        <w:t> </w:t>
      </w:r>
      <w:r>
        <w:rPr/>
        <w:t>but</w:t>
      </w:r>
      <w:r>
        <w:rPr>
          <w:spacing w:val="-13"/>
        </w:rPr>
        <w:t> </w:t>
      </w:r>
      <w:r>
        <w:rPr/>
        <w:t>because</w:t>
      </w:r>
      <w:r>
        <w:rPr>
          <w:spacing w:val="-13"/>
        </w:rPr>
        <w:t> </w:t>
      </w:r>
      <w:r>
        <w:rPr/>
        <w:t>low-heat</w:t>
      </w:r>
      <w:r>
        <w:rPr>
          <w:spacing w:val="-13"/>
        </w:rPr>
        <w:t> </w:t>
      </w:r>
      <w:r>
        <w:rPr/>
        <w:t>years</w:t>
      </w:r>
      <w:r>
        <w:rPr>
          <w:spacing w:val="-13"/>
        </w:rPr>
        <w:t> </w:t>
      </w:r>
      <w:r>
        <w:rPr/>
        <w:t>in</w:t>
      </w:r>
      <w:r>
        <w:rPr>
          <w:spacing w:val="-13"/>
        </w:rPr>
        <w:t> </w:t>
      </w:r>
      <w:r>
        <w:rPr/>
        <w:t>this</w:t>
      </w:r>
      <w:r>
        <w:rPr>
          <w:spacing w:val="-13"/>
        </w:rPr>
        <w:t> </w:t>
      </w:r>
      <w:r>
        <w:rPr/>
        <w:t>Atlantic</w:t>
      </w:r>
      <w:r>
        <w:rPr>
          <w:spacing w:val="-13"/>
        </w:rPr>
        <w:t> </w:t>
      </w:r>
      <w:r>
        <w:rPr/>
        <w:t>climate</w:t>
      </w:r>
      <w:r>
        <w:rPr>
          <w:spacing w:val="-13"/>
        </w:rPr>
        <w:t> </w:t>
      </w:r>
      <w:r>
        <w:rPr/>
        <w:t>tend</w:t>
      </w:r>
      <w:r>
        <w:rPr>
          <w:spacing w:val="-13"/>
        </w:rPr>
        <w:t> </w:t>
      </w:r>
      <w:r>
        <w:rPr/>
        <w:t>to</w:t>
      </w:r>
      <w:r>
        <w:rPr>
          <w:spacing w:val="-13"/>
        </w:rPr>
        <w:t> </w:t>
      </w:r>
      <w:r>
        <w:rPr/>
        <w:t>be</w:t>
      </w:r>
      <w:r>
        <w:rPr>
          <w:spacing w:val="-13"/>
        </w:rPr>
        <w:t> </w:t>
      </w:r>
      <w:r>
        <w:rPr/>
        <w:t>cool,</w:t>
      </w:r>
      <w:r>
        <w:rPr>
          <w:spacing w:val="-13"/>
        </w:rPr>
        <w:t> </w:t>
      </w:r>
      <w:r>
        <w:rPr/>
        <w:t>moist years</w:t>
      </w:r>
      <w:r>
        <w:rPr>
          <w:spacing w:val="-13"/>
        </w:rPr>
        <w:t> </w:t>
      </w:r>
      <w:r>
        <w:rPr/>
        <w:t>where</w:t>
      </w:r>
      <w:r>
        <w:rPr>
          <w:spacing w:val="-13"/>
        </w:rPr>
        <w:t> </w:t>
      </w:r>
      <w:r>
        <w:rPr/>
        <w:t>vine</w:t>
      </w:r>
      <w:r>
        <w:rPr>
          <w:spacing w:val="-13"/>
        </w:rPr>
        <w:t> </w:t>
      </w:r>
      <w:r>
        <w:rPr/>
        <w:t>canopy</w:t>
      </w:r>
      <w:r>
        <w:rPr>
          <w:spacing w:val="-13"/>
        </w:rPr>
        <w:t> </w:t>
      </w:r>
      <w:r>
        <w:rPr/>
        <w:t>growth</w:t>
      </w:r>
      <w:r>
        <w:rPr>
          <w:spacing w:val="-13"/>
        </w:rPr>
        <w:t> </w:t>
      </w:r>
      <w:r>
        <w:rPr/>
        <w:t>is</w:t>
      </w:r>
      <w:r>
        <w:rPr>
          <w:spacing w:val="-13"/>
        </w:rPr>
        <w:t> </w:t>
      </w:r>
      <w:r>
        <w:rPr/>
        <w:t>excessive</w:t>
      </w:r>
      <w:r>
        <w:rPr>
          <w:spacing w:val="-13"/>
        </w:rPr>
        <w:t> </w:t>
      </w:r>
      <w:r>
        <w:rPr/>
        <w:t>and</w:t>
      </w:r>
      <w:r>
        <w:rPr>
          <w:spacing w:val="-13"/>
        </w:rPr>
        <w:t> </w:t>
      </w:r>
      <w:r>
        <w:rPr/>
        <w:t>berry</w:t>
      </w:r>
      <w:r>
        <w:rPr>
          <w:spacing w:val="-13"/>
        </w:rPr>
        <w:t> </w:t>
      </w:r>
      <w:r>
        <w:rPr/>
        <w:t>maturity</w:t>
      </w:r>
      <w:r>
        <w:rPr>
          <w:spacing w:val="-13"/>
        </w:rPr>
        <w:t> </w:t>
      </w:r>
      <w:r>
        <w:rPr/>
        <w:t>is</w:t>
      </w:r>
      <w:r>
        <w:rPr>
          <w:spacing w:val="-13"/>
        </w:rPr>
        <w:t> </w:t>
      </w:r>
      <w:r>
        <w:rPr/>
        <w:t>insufficient.</w:t>
      </w:r>
      <w:r>
        <w:rPr>
          <w:spacing w:val="-2"/>
        </w:rPr>
        <w:t> </w:t>
      </w:r>
      <w:r>
        <w:rPr/>
        <w:t>The</w:t>
      </w:r>
      <w:r>
        <w:rPr>
          <w:spacing w:val="-13"/>
        </w:rPr>
        <w:t> </w:t>
      </w:r>
      <w:r>
        <w:rPr/>
        <w:t>soil</w:t>
      </w:r>
      <w:r>
        <w:rPr>
          <w:spacing w:val="-13"/>
        </w:rPr>
        <w:t> </w:t>
      </w:r>
      <w:r>
        <w:rPr/>
        <w:t>water</w:t>
      </w:r>
      <w:r>
        <w:rPr>
          <w:spacing w:val="-13"/>
        </w:rPr>
        <w:t> </w:t>
      </w:r>
      <w:r>
        <w:rPr/>
        <w:t>and LAI</w:t>
      </w:r>
      <w:r>
        <w:rPr>
          <w:spacing w:val="-3"/>
        </w:rPr>
        <w:t> </w:t>
      </w:r>
      <w:r>
        <w:rPr/>
        <w:t>features</w:t>
      </w:r>
      <w:r>
        <w:rPr>
          <w:spacing w:val="-3"/>
        </w:rPr>
        <w:t> </w:t>
      </w:r>
      <w:r>
        <w:rPr/>
        <w:t>at</w:t>
      </w:r>
      <w:r>
        <w:rPr>
          <w:spacing w:val="-3"/>
        </w:rPr>
        <w:t> </w:t>
      </w:r>
      <w:r>
        <w:rPr/>
        <w:t>lower</w:t>
      </w:r>
      <w:r>
        <w:rPr>
          <w:spacing w:val="-3"/>
        </w:rPr>
        <w:t> </w:t>
      </w:r>
      <w:r>
        <w:rPr/>
        <w:t>ranks</w:t>
      </w:r>
      <w:r>
        <w:rPr>
          <w:spacing w:val="-3"/>
        </w:rPr>
        <w:t> </w:t>
      </w:r>
      <w:r>
        <w:rPr/>
        <w:t>(positions</w:t>
      </w:r>
      <w:r>
        <w:rPr>
          <w:spacing w:val="-3"/>
        </w:rPr>
        <w:t> </w:t>
      </w:r>
      <w:r>
        <w:rPr/>
        <w:t>4–10)</w:t>
      </w:r>
      <w:r>
        <w:rPr>
          <w:spacing w:val="-3"/>
        </w:rPr>
        <w:t> </w:t>
      </w:r>
      <w:r>
        <w:rPr/>
        <w:t>confirm</w:t>
      </w:r>
      <w:r>
        <w:rPr>
          <w:spacing w:val="-3"/>
        </w:rPr>
        <w:t> </w:t>
      </w:r>
      <w:r>
        <w:rPr/>
        <w:t>this</w:t>
      </w:r>
      <w:r>
        <w:rPr>
          <w:spacing w:val="-3"/>
        </w:rPr>
        <w:t> </w:t>
      </w:r>
      <w:r>
        <w:rPr/>
        <w:t>interpretation: below-trend</w:t>
      </w:r>
      <w:r>
        <w:rPr>
          <w:spacing w:val="-3"/>
        </w:rPr>
        <w:t> </w:t>
      </w:r>
      <w:r>
        <w:rPr/>
        <w:t>RVV</w:t>
      </w:r>
      <w:r>
        <w:rPr>
          <w:spacing w:val="-3"/>
        </w:rPr>
        <w:t> </w:t>
      </w:r>
      <w:r>
        <w:rPr/>
        <w:t>years are</w:t>
      </w:r>
      <w:r>
        <w:rPr>
          <w:spacing w:val="-16"/>
        </w:rPr>
        <w:t> </w:t>
      </w:r>
      <w:r>
        <w:rPr/>
        <w:t>cool</w:t>
      </w:r>
      <w:r>
        <w:rPr>
          <w:spacing w:val="-14"/>
        </w:rPr>
        <w:t> </w:t>
      </w:r>
      <w:r>
        <w:rPr/>
        <w:t>+</w:t>
      </w:r>
      <w:r>
        <w:rPr>
          <w:spacing w:val="-14"/>
        </w:rPr>
        <w:t> </w:t>
      </w:r>
      <w:r>
        <w:rPr/>
        <w:t>moist</w:t>
      </w:r>
      <w:r>
        <w:rPr>
          <w:spacing w:val="-13"/>
        </w:rPr>
        <w:t> </w:t>
      </w:r>
      <w:r>
        <w:rPr/>
        <w:t>+</w:t>
      </w:r>
      <w:r>
        <w:rPr>
          <w:spacing w:val="-14"/>
        </w:rPr>
        <w:t> </w:t>
      </w:r>
      <w:r>
        <w:rPr/>
        <w:t>high-LAI,</w:t>
      </w:r>
      <w:r>
        <w:rPr>
          <w:spacing w:val="-14"/>
        </w:rPr>
        <w:t> </w:t>
      </w:r>
      <w:r>
        <w:rPr/>
        <w:t>a</w:t>
      </w:r>
      <w:r>
        <w:rPr>
          <w:spacing w:val="-14"/>
        </w:rPr>
        <w:t> </w:t>
      </w:r>
      <w:r>
        <w:rPr/>
        <w:t>combination</w:t>
      </w:r>
      <w:r>
        <w:rPr>
          <w:spacing w:val="-13"/>
        </w:rPr>
        <w:t> </w:t>
      </w:r>
      <w:r>
        <w:rPr/>
        <w:t>that</w:t>
      </w:r>
      <w:r>
        <w:rPr>
          <w:spacing w:val="-14"/>
        </w:rPr>
        <w:t> </w:t>
      </w:r>
      <w:r>
        <w:rPr/>
        <w:t>promotes</w:t>
      </w:r>
      <w:r>
        <w:rPr>
          <w:spacing w:val="-14"/>
        </w:rPr>
        <w:t> </w:t>
      </w:r>
      <w:r>
        <w:rPr/>
        <w:t>vegetative</w:t>
      </w:r>
      <w:r>
        <w:rPr>
          <w:spacing w:val="-14"/>
        </w:rPr>
        <w:t> </w:t>
      </w:r>
      <w:r>
        <w:rPr/>
        <w:t>growth</w:t>
      </w:r>
      <w:r>
        <w:rPr>
          <w:spacing w:val="-13"/>
        </w:rPr>
        <w:t> </w:t>
      </w:r>
      <w:r>
        <w:rPr/>
        <w:t>at</w:t>
      </w:r>
      <w:r>
        <w:rPr>
          <w:spacing w:val="-14"/>
        </w:rPr>
        <w:t> </w:t>
      </w:r>
      <w:r>
        <w:rPr/>
        <w:t>the</w:t>
      </w:r>
      <w:r>
        <w:rPr>
          <w:spacing w:val="-14"/>
        </w:rPr>
        <w:t> </w:t>
      </w:r>
      <w:r>
        <w:rPr/>
        <w:t>expense</w:t>
      </w:r>
      <w:r>
        <w:rPr>
          <w:spacing w:val="-14"/>
        </w:rPr>
        <w:t> </w:t>
      </w:r>
      <w:r>
        <w:rPr/>
        <w:t>of</w:t>
      </w:r>
      <w:r>
        <w:rPr>
          <w:spacing w:val="-13"/>
        </w:rPr>
        <w:t> </w:t>
      </w:r>
      <w:r>
        <w:rPr/>
        <w:t>fruit </w:t>
      </w:r>
      <w:r>
        <w:rPr>
          <w:spacing w:val="-2"/>
        </w:rPr>
        <w:t>development.</w:t>
      </w:r>
    </w:p>
    <w:p>
      <w:pPr>
        <w:pStyle w:val="BodyText"/>
        <w:spacing w:line="312" w:lineRule="auto" w:before="7"/>
        <w:ind w:left="125" w:right="1551" w:firstLine="355"/>
        <w:jc w:val="both"/>
      </w:pPr>
      <w:r>
        <w:rPr/>
        <w:t>The</w:t>
      </w:r>
      <w:r>
        <w:rPr>
          <w:spacing w:val="15"/>
        </w:rPr>
        <w:t> </w:t>
      </w:r>
      <w:r>
        <w:rPr/>
        <w:t>appearance</w:t>
      </w:r>
      <w:r>
        <w:rPr>
          <w:spacing w:val="15"/>
        </w:rPr>
        <w:t> </w:t>
      </w:r>
      <w:r>
        <w:rPr/>
        <w:t>of</w:t>
      </w:r>
      <w:r>
        <w:rPr>
          <w:spacing w:val="15"/>
        </w:rPr>
        <w:t> </w:t>
      </w:r>
      <w:r>
        <w:rPr/>
        <w:t>swa_hv_y1_b20</w:t>
      </w:r>
      <w:r>
        <w:rPr>
          <w:spacing w:val="15"/>
        </w:rPr>
        <w:t> </w:t>
      </w:r>
      <w:r>
        <w:rPr/>
        <w:t>at</w:t>
      </w:r>
      <w:r>
        <w:rPr>
          <w:spacing w:val="15"/>
        </w:rPr>
        <w:t> </w:t>
      </w:r>
      <w:r>
        <w:rPr/>
        <w:t>rank</w:t>
      </w:r>
      <w:r>
        <w:rPr>
          <w:spacing w:val="15"/>
        </w:rPr>
        <w:t> </w:t>
      </w:r>
      <w:r>
        <w:rPr/>
        <w:t>4</w:t>
      </w:r>
      <w:r>
        <w:rPr>
          <w:spacing w:val="15"/>
        </w:rPr>
        <w:t> </w:t>
      </w:r>
      <w:r>
        <w:rPr/>
        <w:t>for</w:t>
      </w:r>
      <w:r>
        <w:rPr>
          <w:spacing w:val="15"/>
        </w:rPr>
        <w:t> </w:t>
      </w:r>
      <w:r>
        <w:rPr/>
        <w:t>RVV</w:t>
      </w:r>
      <w:r>
        <w:rPr>
          <w:spacing w:val="15"/>
        </w:rPr>
        <w:t> </w:t>
      </w:r>
      <w:r>
        <w:rPr/>
        <w:t>(25%</w:t>
      </w:r>
      <w:r>
        <w:rPr>
          <w:spacing w:val="15"/>
        </w:rPr>
        <w:t> </w:t>
      </w:r>
      <w:r>
        <w:rPr/>
        <w:t>of</w:t>
      </w:r>
      <w:r>
        <w:rPr>
          <w:spacing w:val="15"/>
        </w:rPr>
        <w:t> </w:t>
      </w:r>
      <w:r>
        <w:rPr/>
        <w:t>rules)</w:t>
      </w:r>
      <w:r>
        <w:rPr>
          <w:spacing w:val="15"/>
        </w:rPr>
        <w:t> </w:t>
      </w:r>
      <w:r>
        <w:rPr/>
        <w:t>compared</w:t>
      </w:r>
      <w:r>
        <w:rPr>
          <w:spacing w:val="15"/>
        </w:rPr>
        <w:t> </w:t>
      </w:r>
      <w:r>
        <w:rPr/>
        <w:t>with</w:t>
      </w:r>
      <w:r>
        <w:rPr>
          <w:spacing w:val="15"/>
        </w:rPr>
        <w:t> </w:t>
      </w:r>
      <w:r>
        <w:rPr/>
        <w:t>rank 1 for RDD (54% of rules) quantifies the regional difference:</w:t>
      </w:r>
      <w:r>
        <w:rPr>
          <w:spacing w:val="40"/>
        </w:rPr>
        <w:t> </w:t>
      </w:r>
      <w:r>
        <w:rPr/>
        <w:t>harvest soil water is important in both</w:t>
      </w:r>
      <w:r>
        <w:rPr>
          <w:spacing w:val="2"/>
        </w:rPr>
        <w:t> </w:t>
      </w:r>
      <w:r>
        <w:rPr/>
        <w:t>regions</w:t>
      </w:r>
      <w:r>
        <w:rPr>
          <w:spacing w:val="3"/>
        </w:rPr>
        <w:t> </w:t>
      </w:r>
      <w:r>
        <w:rPr/>
        <w:t>but</w:t>
      </w:r>
      <w:r>
        <w:rPr>
          <w:spacing w:val="3"/>
        </w:rPr>
        <w:t> </w:t>
      </w:r>
      <w:r>
        <w:rPr/>
        <w:t>substantially</w:t>
      </w:r>
      <w:r>
        <w:rPr>
          <w:spacing w:val="3"/>
        </w:rPr>
        <w:t> </w:t>
      </w:r>
      <w:r>
        <w:rPr/>
        <w:t>more</w:t>
      </w:r>
      <w:r>
        <w:rPr>
          <w:spacing w:val="3"/>
        </w:rPr>
        <w:t> </w:t>
      </w:r>
      <w:r>
        <w:rPr/>
        <w:t>dominant</w:t>
      </w:r>
      <w:r>
        <w:rPr>
          <w:spacing w:val="3"/>
        </w:rPr>
        <w:t> </w:t>
      </w:r>
      <w:r>
        <w:rPr/>
        <w:t>in</w:t>
      </w:r>
      <w:r>
        <w:rPr>
          <w:spacing w:val="2"/>
        </w:rPr>
        <w:t> </w:t>
      </w:r>
      <w:r>
        <w:rPr/>
        <w:t>the</w:t>
      </w:r>
      <w:r>
        <w:rPr>
          <w:spacing w:val="3"/>
        </w:rPr>
        <w:t> </w:t>
      </w:r>
      <w:r>
        <w:rPr/>
        <w:t>drier</w:t>
      </w:r>
      <w:r>
        <w:rPr>
          <w:spacing w:val="3"/>
        </w:rPr>
        <w:t> </w:t>
      </w:r>
      <w:r>
        <w:rPr/>
        <w:t>Douro,</w:t>
      </w:r>
      <w:r>
        <w:rPr>
          <w:spacing w:val="3"/>
        </w:rPr>
        <w:t> </w:t>
      </w:r>
      <w:r>
        <w:rPr/>
        <w:t>where</w:t>
      </w:r>
      <w:r>
        <w:rPr>
          <w:spacing w:val="3"/>
        </w:rPr>
        <w:t> </w:t>
      </w:r>
      <w:r>
        <w:rPr/>
        <w:t>it</w:t>
      </w:r>
      <w:r>
        <w:rPr>
          <w:spacing w:val="3"/>
        </w:rPr>
        <w:t> </w:t>
      </w:r>
      <w:r>
        <w:rPr/>
        <w:t>acts</w:t>
      </w:r>
      <w:r>
        <w:rPr>
          <w:spacing w:val="2"/>
        </w:rPr>
        <w:t> </w:t>
      </w:r>
      <w:r>
        <w:rPr/>
        <w:t>as</w:t>
      </w:r>
      <w:r>
        <w:rPr>
          <w:spacing w:val="3"/>
        </w:rPr>
        <w:t> </w:t>
      </w:r>
      <w:r>
        <w:rPr/>
        <w:t>a</w:t>
      </w:r>
      <w:r>
        <w:rPr>
          <w:spacing w:val="3"/>
        </w:rPr>
        <w:t> </w:t>
      </w:r>
      <w:r>
        <w:rPr/>
        <w:t>binary</w:t>
      </w:r>
      <w:r>
        <w:rPr>
          <w:spacing w:val="3"/>
        </w:rPr>
        <w:t> </w:t>
      </w:r>
      <w:r>
        <w:rPr>
          <w:spacing w:val="-2"/>
        </w:rPr>
        <w:t>signal</w:t>
      </w:r>
    </w:p>
    <w:p>
      <w:pPr>
        <w:pStyle w:val="BodyText"/>
        <w:spacing w:line="297" w:lineRule="exact"/>
        <w:ind w:left="135"/>
        <w:jc w:val="both"/>
      </w:pPr>
      <w:r>
        <w:rPr/>
        <w:t>(moderate</w:t>
      </w:r>
      <w:r>
        <w:rPr>
          <w:spacing w:val="9"/>
        </w:rPr>
        <w:t> </w:t>
      </w:r>
      <w:r>
        <w:rPr/>
        <w:t>stress</w:t>
      </w:r>
      <w:r>
        <w:rPr>
          <w:spacing w:val="11"/>
        </w:rPr>
        <w:t> </w:t>
      </w:r>
      <w:r>
        <w:rPr>
          <w:rFonts w:ascii="Meiryo UI" w:hAnsi="Meiryo UI"/>
          <w:i/>
        </w:rPr>
        <w:t>→</w:t>
      </w:r>
      <w:r>
        <w:rPr>
          <w:rFonts w:ascii="Meiryo UI" w:hAnsi="Meiryo UI"/>
          <w:i/>
          <w:spacing w:val="-9"/>
        </w:rPr>
        <w:t> </w:t>
      </w:r>
      <w:r>
        <w:rPr/>
        <w:t>good</w:t>
      </w:r>
      <w:r>
        <w:rPr>
          <w:spacing w:val="10"/>
        </w:rPr>
        <w:t> </w:t>
      </w:r>
      <w:r>
        <w:rPr/>
        <w:t>year).</w:t>
      </w:r>
      <w:r>
        <w:rPr>
          <w:spacing w:val="46"/>
        </w:rPr>
        <w:t> </w:t>
      </w:r>
      <w:r>
        <w:rPr/>
        <w:t>In</w:t>
      </w:r>
      <w:r>
        <w:rPr>
          <w:spacing w:val="10"/>
        </w:rPr>
        <w:t> </w:t>
      </w:r>
      <w:r>
        <w:rPr/>
        <w:t>the</w:t>
      </w:r>
      <w:r>
        <w:rPr>
          <w:spacing w:val="10"/>
        </w:rPr>
        <w:t> </w:t>
      </w:r>
      <w:r>
        <w:rPr/>
        <w:t>wetter</w:t>
      </w:r>
      <w:r>
        <w:rPr>
          <w:spacing w:val="11"/>
        </w:rPr>
        <w:t> </w:t>
      </w:r>
      <w:r>
        <w:rPr/>
        <w:t>Vinho</w:t>
      </w:r>
      <w:r>
        <w:rPr>
          <w:spacing w:val="10"/>
        </w:rPr>
        <w:t> </w:t>
      </w:r>
      <w:r>
        <w:rPr/>
        <w:t>Verde,</w:t>
      </w:r>
      <w:r>
        <w:rPr>
          <w:spacing w:val="13"/>
        </w:rPr>
        <w:t> </w:t>
      </w:r>
      <w:r>
        <w:rPr/>
        <w:t>harvest</w:t>
      </w:r>
      <w:r>
        <w:rPr>
          <w:spacing w:val="10"/>
        </w:rPr>
        <w:t> </w:t>
      </w:r>
      <w:r>
        <w:rPr/>
        <w:t>soil</w:t>
      </w:r>
      <w:r>
        <w:rPr>
          <w:spacing w:val="10"/>
        </w:rPr>
        <w:t> </w:t>
      </w:r>
      <w:r>
        <w:rPr/>
        <w:t>water</w:t>
      </w:r>
      <w:r>
        <w:rPr>
          <w:spacing w:val="10"/>
        </w:rPr>
        <w:t> </w:t>
      </w:r>
      <w:r>
        <w:rPr/>
        <w:t>is</w:t>
      </w:r>
      <w:r>
        <w:rPr>
          <w:spacing w:val="10"/>
        </w:rPr>
        <w:t> </w:t>
      </w:r>
      <w:r>
        <w:rPr/>
        <w:t>one</w:t>
      </w:r>
      <w:r>
        <w:rPr>
          <w:spacing w:val="10"/>
        </w:rPr>
        <w:t> </w:t>
      </w:r>
      <w:r>
        <w:rPr/>
        <w:t>of</w:t>
      </w:r>
      <w:r>
        <w:rPr>
          <w:spacing w:val="10"/>
        </w:rPr>
        <w:t> </w:t>
      </w:r>
      <w:r>
        <w:rPr>
          <w:spacing w:val="-2"/>
        </w:rPr>
        <w:t>several</w:t>
      </w:r>
    </w:p>
    <w:p>
      <w:pPr>
        <w:pStyle w:val="BodyText"/>
        <w:spacing w:before="31"/>
        <w:ind w:left="142"/>
        <w:jc w:val="both"/>
      </w:pPr>
      <w:r>
        <w:rPr/>
        <w:t>co-occurring</w:t>
      </w:r>
      <w:r>
        <w:rPr>
          <w:spacing w:val="-8"/>
        </w:rPr>
        <w:t> </w:t>
      </w:r>
      <w:r>
        <w:rPr/>
        <w:t>stress</w:t>
      </w:r>
      <w:r>
        <w:rPr>
          <w:spacing w:val="-7"/>
        </w:rPr>
        <w:t> </w:t>
      </w:r>
      <w:r>
        <w:rPr/>
        <w:t>indicators</w:t>
      </w:r>
      <w:r>
        <w:rPr>
          <w:spacing w:val="-7"/>
        </w:rPr>
        <w:t> </w:t>
      </w:r>
      <w:r>
        <w:rPr/>
        <w:t>rather</w:t>
      </w:r>
      <w:r>
        <w:rPr>
          <w:spacing w:val="-7"/>
        </w:rPr>
        <w:t> </w:t>
      </w:r>
      <w:r>
        <w:rPr/>
        <w:t>than</w:t>
      </w:r>
      <w:r>
        <w:rPr>
          <w:spacing w:val="-7"/>
        </w:rPr>
        <w:t> </w:t>
      </w:r>
      <w:r>
        <w:rPr/>
        <w:t>the</w:t>
      </w:r>
      <w:r>
        <w:rPr>
          <w:spacing w:val="-8"/>
        </w:rPr>
        <w:t> </w:t>
      </w:r>
      <w:r>
        <w:rPr/>
        <w:t>primary</w:t>
      </w:r>
      <w:r>
        <w:rPr>
          <w:spacing w:val="-7"/>
        </w:rPr>
        <w:t> </w:t>
      </w:r>
      <w:r>
        <w:rPr>
          <w:spacing w:val="-2"/>
        </w:rPr>
        <w:t>driver.</w:t>
      </w:r>
    </w:p>
    <w:p>
      <w:pPr>
        <w:pStyle w:val="BodyText"/>
        <w:spacing w:after="0"/>
        <w:jc w:val="both"/>
        <w:sectPr>
          <w:pgSz w:w="11910" w:h="16840"/>
          <w:pgMar w:header="1160" w:footer="0" w:top="1420" w:bottom="280" w:left="1275" w:right="425"/>
        </w:sectPr>
      </w:pPr>
    </w:p>
    <w:p>
      <w:pPr>
        <w:pStyle w:val="BodyText"/>
        <w:rPr>
          <w:sz w:val="20"/>
        </w:rPr>
      </w:pPr>
    </w:p>
    <w:p>
      <w:pPr>
        <w:pStyle w:val="BodyText"/>
        <w:spacing w:before="38"/>
        <w:rPr>
          <w:sz w:val="20"/>
        </w:rPr>
      </w:pPr>
    </w:p>
    <w:p>
      <w:pPr>
        <w:spacing w:before="1"/>
        <w:ind w:left="601" w:right="888" w:firstLine="0"/>
        <w:jc w:val="center"/>
        <w:rPr>
          <w:sz w:val="20"/>
        </w:rPr>
      </w:pPr>
      <w:bookmarkStart w:name="_bookmark90" w:id="158"/>
      <w:bookmarkEnd w:id="158"/>
      <w:r>
        <w:rPr/>
      </w:r>
      <w:r>
        <w:rPr>
          <w:b/>
          <w:sz w:val="20"/>
        </w:rPr>
        <w:t>Table</w:t>
      </w:r>
      <w:r>
        <w:rPr>
          <w:b/>
          <w:spacing w:val="-10"/>
          <w:sz w:val="20"/>
        </w:rPr>
        <w:t> </w:t>
      </w:r>
      <w:r>
        <w:rPr>
          <w:b/>
          <w:sz w:val="20"/>
        </w:rPr>
        <w:t>4.11: </w:t>
      </w:r>
      <w:r>
        <w:rPr>
          <w:sz w:val="20"/>
        </w:rPr>
        <w:t>Feature</w:t>
      </w:r>
      <w:r>
        <w:rPr>
          <w:spacing w:val="-10"/>
          <w:sz w:val="20"/>
        </w:rPr>
        <w:t> </w:t>
      </w:r>
      <w:r>
        <w:rPr>
          <w:sz w:val="20"/>
        </w:rPr>
        <w:t>frequency</w:t>
      </w:r>
      <w:r>
        <w:rPr>
          <w:spacing w:val="-9"/>
          <w:sz w:val="20"/>
        </w:rPr>
        <w:t> </w:t>
      </w:r>
      <w:r>
        <w:rPr>
          <w:sz w:val="20"/>
        </w:rPr>
        <w:t>across</w:t>
      </w:r>
      <w:r>
        <w:rPr>
          <w:spacing w:val="-10"/>
          <w:sz w:val="20"/>
        </w:rPr>
        <w:t> </w:t>
      </w:r>
      <w:r>
        <w:rPr>
          <w:sz w:val="20"/>
        </w:rPr>
        <w:t>all</w:t>
      </w:r>
      <w:r>
        <w:rPr>
          <w:spacing w:val="-10"/>
          <w:sz w:val="20"/>
        </w:rPr>
        <w:t> </w:t>
      </w:r>
      <w:r>
        <w:rPr>
          <w:sz w:val="20"/>
        </w:rPr>
        <w:t>20</w:t>
      </w:r>
      <w:r>
        <w:rPr>
          <w:spacing w:val="-9"/>
          <w:sz w:val="20"/>
        </w:rPr>
        <w:t> </w:t>
      </w:r>
      <w:r>
        <w:rPr>
          <w:sz w:val="20"/>
        </w:rPr>
        <w:t>RVV</w:t>
      </w:r>
      <w:r>
        <w:rPr>
          <w:spacing w:val="-10"/>
          <w:sz w:val="20"/>
        </w:rPr>
        <w:t> </w:t>
      </w:r>
      <w:r>
        <w:rPr>
          <w:sz w:val="20"/>
        </w:rPr>
        <w:t>CarenR</w:t>
      </w:r>
      <w:r>
        <w:rPr>
          <w:spacing w:val="-10"/>
          <w:sz w:val="20"/>
        </w:rPr>
        <w:t> </w:t>
      </w:r>
      <w:r>
        <w:rPr>
          <w:spacing w:val="-2"/>
          <w:sz w:val="20"/>
        </w:rPr>
        <w:t>rules.</w:t>
      </w:r>
    </w:p>
    <w:p>
      <w:pPr>
        <w:pStyle w:val="BodyText"/>
        <w:spacing w:before="5"/>
        <w:rPr>
          <w:sz w:val="18"/>
        </w:rPr>
      </w:pPr>
      <w:r>
        <w:rPr>
          <w:sz w:val="18"/>
        </w:rPr>
        <mc:AlternateContent>
          <mc:Choice Requires="wps">
            <w:drawing>
              <wp:anchor distT="0" distB="0" distL="0" distR="0" allowOverlap="1" layoutInCell="1" locked="0" behindDoc="1" simplePos="0" relativeHeight="487621632">
                <wp:simplePos x="0" y="0"/>
                <wp:positionH relativeFrom="page">
                  <wp:posOffset>1260005</wp:posOffset>
                </wp:positionH>
                <wp:positionV relativeFrom="paragraph">
                  <wp:posOffset>150005</wp:posOffset>
                </wp:positionV>
                <wp:extent cx="5400040" cy="1270"/>
                <wp:effectExtent l="0" t="0" r="0" b="0"/>
                <wp:wrapTopAndBottom/>
                <wp:docPr id="182" name="Graphic 182"/>
                <wp:cNvGraphicFramePr>
                  <a:graphicFrameLocks/>
                </wp:cNvGraphicFramePr>
                <a:graphic>
                  <a:graphicData uri="http://schemas.microsoft.com/office/word/2010/wordprocessingShape">
                    <wps:wsp>
                      <wps:cNvPr id="182" name="Graphic 182"/>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1.811473pt;width:425.2pt;height:.1pt;mso-position-horizontal-relative:page;mso-position-vertical-relative:paragraph;z-index:-15694848;mso-wrap-distance-left:0;mso-wrap-distance-right:0" id="docshape154" coordorigin="1984,236" coordsize="8504,0" path="m1984,236l10488,236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7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27"/>
        <w:gridCol w:w="2288"/>
        <w:gridCol w:w="871"/>
        <w:gridCol w:w="928"/>
        <w:gridCol w:w="1608"/>
        <w:gridCol w:w="2284"/>
      </w:tblGrid>
      <w:tr>
        <w:trPr>
          <w:trHeight w:val="539" w:hRule="atLeast"/>
        </w:trPr>
        <w:tc>
          <w:tcPr>
            <w:tcW w:w="527" w:type="dxa"/>
            <w:tcBorders>
              <w:top w:val="nil"/>
              <w:left w:val="nil"/>
              <w:right w:val="single" w:sz="4" w:space="0" w:color="000000"/>
            </w:tcBorders>
          </w:tcPr>
          <w:p>
            <w:pPr>
              <w:pStyle w:val="TableParagraph"/>
              <w:spacing w:before="31"/>
              <w:ind w:left="119"/>
              <w:rPr>
                <w:sz w:val="18"/>
              </w:rPr>
            </w:pPr>
            <w:r>
              <w:rPr>
                <w:spacing w:val="-4"/>
                <w:sz w:val="18"/>
              </w:rPr>
              <w:t>Rank</w:t>
            </w:r>
          </w:p>
        </w:tc>
        <w:tc>
          <w:tcPr>
            <w:tcW w:w="2288" w:type="dxa"/>
            <w:tcBorders>
              <w:top w:val="nil"/>
              <w:left w:val="single" w:sz="4" w:space="0" w:color="000000"/>
              <w:right w:val="single" w:sz="4" w:space="0" w:color="000000"/>
            </w:tcBorders>
          </w:tcPr>
          <w:p>
            <w:pPr>
              <w:pStyle w:val="TableParagraph"/>
              <w:spacing w:before="31"/>
              <w:ind w:left="118"/>
              <w:rPr>
                <w:sz w:val="18"/>
              </w:rPr>
            </w:pPr>
            <w:r>
              <w:rPr>
                <w:spacing w:val="-2"/>
                <w:sz w:val="18"/>
              </w:rPr>
              <w:t>Feature</w:t>
            </w:r>
          </w:p>
        </w:tc>
        <w:tc>
          <w:tcPr>
            <w:tcW w:w="871" w:type="dxa"/>
            <w:tcBorders>
              <w:top w:val="nil"/>
              <w:left w:val="single" w:sz="4" w:space="0" w:color="000000"/>
              <w:right w:val="single" w:sz="4" w:space="0" w:color="000000"/>
            </w:tcBorders>
          </w:tcPr>
          <w:p>
            <w:pPr>
              <w:pStyle w:val="TableParagraph"/>
              <w:spacing w:before="31"/>
              <w:ind w:left="118"/>
              <w:rPr>
                <w:sz w:val="18"/>
              </w:rPr>
            </w:pPr>
            <w:r>
              <w:rPr>
                <w:spacing w:val="-2"/>
                <w:sz w:val="18"/>
              </w:rPr>
              <w:t>Freq.</w:t>
            </w:r>
          </w:p>
        </w:tc>
        <w:tc>
          <w:tcPr>
            <w:tcW w:w="928" w:type="dxa"/>
            <w:tcBorders>
              <w:top w:val="nil"/>
              <w:left w:val="single" w:sz="4" w:space="0" w:color="000000"/>
              <w:right w:val="single" w:sz="4" w:space="0" w:color="000000"/>
            </w:tcBorders>
          </w:tcPr>
          <w:p>
            <w:pPr>
              <w:pStyle w:val="TableParagraph"/>
              <w:tabs>
                <w:tab w:pos="645" w:val="left" w:leader="none"/>
              </w:tabs>
              <w:spacing w:before="31"/>
              <w:ind w:left="117"/>
              <w:rPr>
                <w:sz w:val="18"/>
              </w:rPr>
            </w:pPr>
            <w:r>
              <w:rPr>
                <w:spacing w:val="-10"/>
                <w:sz w:val="18"/>
              </w:rPr>
              <w:t>%</w:t>
            </w:r>
            <w:r>
              <w:rPr>
                <w:sz w:val="18"/>
              </w:rPr>
              <w:tab/>
            </w:r>
            <w:r>
              <w:rPr>
                <w:spacing w:val="-5"/>
                <w:sz w:val="18"/>
              </w:rPr>
              <w:t>of</w:t>
            </w:r>
          </w:p>
          <w:p>
            <w:pPr>
              <w:pStyle w:val="TableParagraph"/>
              <w:spacing w:before="12"/>
              <w:ind w:left="117"/>
              <w:rPr>
                <w:sz w:val="18"/>
              </w:rPr>
            </w:pPr>
            <w:r>
              <w:rPr>
                <w:spacing w:val="-2"/>
                <w:sz w:val="18"/>
              </w:rPr>
              <w:t>rules</w:t>
            </w:r>
          </w:p>
        </w:tc>
        <w:tc>
          <w:tcPr>
            <w:tcW w:w="1608" w:type="dxa"/>
            <w:tcBorders>
              <w:top w:val="nil"/>
              <w:left w:val="single" w:sz="4" w:space="0" w:color="000000"/>
              <w:right w:val="single" w:sz="4" w:space="0" w:color="000000"/>
            </w:tcBorders>
          </w:tcPr>
          <w:p>
            <w:pPr>
              <w:pStyle w:val="TableParagraph"/>
              <w:spacing w:line="254" w:lineRule="auto" w:before="31"/>
              <w:ind w:left="117" w:right="86"/>
              <w:rPr>
                <w:sz w:val="18"/>
              </w:rPr>
            </w:pPr>
            <w:r>
              <w:rPr>
                <w:sz w:val="18"/>
              </w:rPr>
              <w:t>Phenological</w:t>
            </w:r>
            <w:r>
              <w:rPr>
                <w:spacing w:val="38"/>
                <w:sz w:val="18"/>
              </w:rPr>
              <w:t> </w:t>
            </w:r>
            <w:r>
              <w:rPr>
                <w:sz w:val="18"/>
              </w:rPr>
              <w:t>win-</w:t>
            </w:r>
            <w:r>
              <w:rPr>
                <w:spacing w:val="-4"/>
                <w:sz w:val="18"/>
              </w:rPr>
              <w:t>dow</w:t>
            </w:r>
          </w:p>
        </w:tc>
        <w:tc>
          <w:tcPr>
            <w:tcW w:w="2284" w:type="dxa"/>
            <w:tcBorders>
              <w:top w:val="nil"/>
              <w:left w:val="single" w:sz="4" w:space="0" w:color="000000"/>
              <w:right w:val="nil"/>
            </w:tcBorders>
          </w:tcPr>
          <w:p>
            <w:pPr>
              <w:pStyle w:val="TableParagraph"/>
              <w:spacing w:before="31"/>
              <w:ind w:left="116"/>
              <w:rPr>
                <w:sz w:val="18"/>
              </w:rPr>
            </w:pPr>
            <w:r>
              <w:rPr>
                <w:sz w:val="18"/>
              </w:rPr>
              <w:t>Agronomic</w:t>
            </w:r>
            <w:r>
              <w:rPr>
                <w:spacing w:val="-10"/>
                <w:sz w:val="18"/>
              </w:rPr>
              <w:t> </w:t>
            </w:r>
            <w:r>
              <w:rPr>
                <w:spacing w:val="-2"/>
                <w:sz w:val="18"/>
              </w:rPr>
              <w:t>meaning</w:t>
            </w:r>
          </w:p>
        </w:tc>
      </w:tr>
    </w:tbl>
    <w:p>
      <w:pPr>
        <w:pStyle w:val="BodyText"/>
        <w:spacing w:before="10"/>
        <w:rPr>
          <w:sz w:val="4"/>
        </w:rPr>
      </w:pPr>
    </w:p>
    <w:tbl>
      <w:tblPr>
        <w:tblW w:w="0" w:type="auto"/>
        <w:jc w:val="left"/>
        <w:tblInd w:w="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7"/>
        <w:gridCol w:w="2288"/>
        <w:gridCol w:w="871"/>
        <w:gridCol w:w="928"/>
        <w:gridCol w:w="1608"/>
        <w:gridCol w:w="2284"/>
      </w:tblGrid>
      <w:tr>
        <w:trPr>
          <w:trHeight w:val="719" w:hRule="atLeast"/>
        </w:trPr>
        <w:tc>
          <w:tcPr>
            <w:tcW w:w="527" w:type="dxa"/>
            <w:tcBorders>
              <w:right w:val="single" w:sz="4" w:space="0" w:color="000000"/>
            </w:tcBorders>
          </w:tcPr>
          <w:p>
            <w:pPr>
              <w:pStyle w:val="TableParagraph"/>
              <w:spacing w:before="31"/>
              <w:ind w:right="191"/>
              <w:jc w:val="center"/>
              <w:rPr>
                <w:sz w:val="18"/>
              </w:rPr>
            </w:pPr>
            <w:r>
              <w:rPr>
                <w:spacing w:val="-10"/>
                <w:sz w:val="18"/>
              </w:rPr>
              <w:t>1</w:t>
            </w:r>
          </w:p>
        </w:tc>
        <w:tc>
          <w:tcPr>
            <w:tcW w:w="2288" w:type="dxa"/>
            <w:tcBorders>
              <w:left w:val="single" w:sz="4" w:space="0" w:color="000000"/>
              <w:right w:val="single" w:sz="4" w:space="0" w:color="000000"/>
            </w:tcBorders>
          </w:tcPr>
          <w:p>
            <w:pPr>
              <w:pStyle w:val="TableParagraph"/>
              <w:spacing w:line="254" w:lineRule="auto" w:before="31"/>
              <w:ind w:left="118"/>
              <w:rPr>
                <w:b/>
                <w:sz w:val="18"/>
              </w:rPr>
            </w:pPr>
            <w:r>
              <w:rPr>
                <w:b/>
                <w:spacing w:val="-2"/>
                <w:sz w:val="18"/>
              </w:rPr>
              <w:t>days.maxTemp.above.35_ sm_y1_a20</w:t>
            </w:r>
          </w:p>
        </w:tc>
        <w:tc>
          <w:tcPr>
            <w:tcW w:w="871" w:type="dxa"/>
            <w:tcBorders>
              <w:left w:val="single" w:sz="4" w:space="0" w:color="000000"/>
              <w:right w:val="single" w:sz="4" w:space="0" w:color="000000"/>
            </w:tcBorders>
          </w:tcPr>
          <w:p>
            <w:pPr>
              <w:pStyle w:val="TableParagraph"/>
              <w:spacing w:before="31"/>
              <w:ind w:left="118"/>
              <w:rPr>
                <w:sz w:val="18"/>
              </w:rPr>
            </w:pPr>
            <w:r>
              <w:rPr>
                <w:spacing w:val="-5"/>
                <w:sz w:val="18"/>
              </w:rPr>
              <w:t>10</w:t>
            </w:r>
          </w:p>
        </w:tc>
        <w:tc>
          <w:tcPr>
            <w:tcW w:w="928" w:type="dxa"/>
            <w:tcBorders>
              <w:left w:val="single" w:sz="4" w:space="0" w:color="000000"/>
              <w:right w:val="single" w:sz="4" w:space="0" w:color="000000"/>
            </w:tcBorders>
          </w:tcPr>
          <w:p>
            <w:pPr>
              <w:pStyle w:val="TableParagraph"/>
              <w:spacing w:before="31"/>
              <w:ind w:left="117"/>
              <w:rPr>
                <w:sz w:val="18"/>
              </w:rPr>
            </w:pPr>
            <w:r>
              <w:rPr>
                <w:spacing w:val="-5"/>
                <w:sz w:val="18"/>
              </w:rPr>
              <w:t>50%</w:t>
            </w:r>
          </w:p>
        </w:tc>
        <w:tc>
          <w:tcPr>
            <w:tcW w:w="1608" w:type="dxa"/>
            <w:tcBorders>
              <w:left w:val="single" w:sz="4" w:space="0" w:color="000000"/>
              <w:right w:val="single" w:sz="4" w:space="0" w:color="000000"/>
            </w:tcBorders>
          </w:tcPr>
          <w:p>
            <w:pPr>
              <w:pStyle w:val="TableParagraph"/>
              <w:spacing w:line="254" w:lineRule="auto" w:before="31"/>
              <w:ind w:left="117" w:right="86"/>
              <w:rPr>
                <w:sz w:val="18"/>
              </w:rPr>
            </w:pPr>
            <w:r>
              <w:rPr>
                <w:sz w:val="18"/>
              </w:rPr>
              <w:t>20d</w:t>
            </w:r>
            <w:r>
              <w:rPr>
                <w:spacing w:val="26"/>
                <w:sz w:val="18"/>
              </w:rPr>
              <w:t> </w:t>
            </w:r>
            <w:r>
              <w:rPr>
                <w:sz w:val="18"/>
              </w:rPr>
              <w:t>after</w:t>
            </w:r>
            <w:r>
              <w:rPr>
                <w:spacing w:val="26"/>
                <w:sz w:val="18"/>
              </w:rPr>
              <w:t> </w:t>
            </w:r>
            <w:r>
              <w:rPr>
                <w:sz w:val="18"/>
              </w:rPr>
              <w:t>Start-</w:t>
            </w:r>
            <w:r>
              <w:rPr>
                <w:sz w:val="18"/>
              </w:rPr>
              <w:t>of-</w:t>
            </w:r>
            <w:r>
              <w:rPr>
                <w:spacing w:val="-2"/>
                <w:sz w:val="18"/>
              </w:rPr>
              <w:t>Maturity</w:t>
            </w:r>
          </w:p>
        </w:tc>
        <w:tc>
          <w:tcPr>
            <w:tcW w:w="2284" w:type="dxa"/>
            <w:tcBorders>
              <w:left w:val="single" w:sz="4" w:space="0" w:color="000000"/>
            </w:tcBorders>
          </w:tcPr>
          <w:p>
            <w:pPr>
              <w:pStyle w:val="TableParagraph"/>
              <w:spacing w:line="254" w:lineRule="auto" w:before="31"/>
              <w:ind w:left="112" w:right="89" w:firstLine="4"/>
              <w:jc w:val="both"/>
              <w:rPr>
                <w:sz w:val="18"/>
              </w:rPr>
            </w:pPr>
            <w:r>
              <w:rPr>
                <w:sz w:val="18"/>
              </w:rPr>
              <w:t>Heat</w:t>
            </w:r>
            <w:r>
              <w:rPr>
                <w:spacing w:val="-6"/>
                <w:sz w:val="18"/>
              </w:rPr>
              <w:t> </w:t>
            </w:r>
            <w:r>
              <w:rPr>
                <w:sz w:val="18"/>
              </w:rPr>
              <w:t>days</w:t>
            </w:r>
            <w:r>
              <w:rPr>
                <w:spacing w:val="-6"/>
                <w:sz w:val="18"/>
              </w:rPr>
              <w:t> </w:t>
            </w:r>
            <w:r>
              <w:rPr>
                <w:sz w:val="18"/>
              </w:rPr>
              <w:t>post-veraison,</w:t>
            </w:r>
            <w:r>
              <w:rPr>
                <w:spacing w:val="-6"/>
                <w:sz w:val="18"/>
              </w:rPr>
              <w:t> </w:t>
            </w:r>
            <w:r>
              <w:rPr>
                <w:sz w:val="18"/>
              </w:rPr>
              <w:t>ab-sent in below-trend RVV </w:t>
            </w:r>
            <w:r>
              <w:rPr>
                <w:spacing w:val="-2"/>
                <w:sz w:val="18"/>
              </w:rPr>
              <w:t>years</w:t>
            </w:r>
          </w:p>
        </w:tc>
      </w:tr>
      <w:tr>
        <w:trPr>
          <w:trHeight w:val="723" w:hRule="atLeast"/>
        </w:trPr>
        <w:tc>
          <w:tcPr>
            <w:tcW w:w="527" w:type="dxa"/>
            <w:tcBorders>
              <w:right w:val="single" w:sz="4" w:space="0" w:color="000000"/>
            </w:tcBorders>
          </w:tcPr>
          <w:p>
            <w:pPr>
              <w:pStyle w:val="TableParagraph"/>
              <w:spacing w:before="35"/>
              <w:ind w:right="191"/>
              <w:jc w:val="center"/>
              <w:rPr>
                <w:sz w:val="18"/>
              </w:rPr>
            </w:pPr>
            <w:r>
              <w:rPr>
                <w:spacing w:val="-10"/>
                <w:sz w:val="18"/>
              </w:rPr>
              <w:t>2</w:t>
            </w:r>
          </w:p>
        </w:tc>
        <w:tc>
          <w:tcPr>
            <w:tcW w:w="2288" w:type="dxa"/>
            <w:tcBorders>
              <w:left w:val="single" w:sz="4" w:space="0" w:color="000000"/>
              <w:right w:val="single" w:sz="4" w:space="0" w:color="000000"/>
            </w:tcBorders>
          </w:tcPr>
          <w:p>
            <w:pPr>
              <w:pStyle w:val="TableParagraph"/>
              <w:spacing w:line="254" w:lineRule="auto" w:before="35"/>
              <w:ind w:left="118"/>
              <w:rPr>
                <w:b/>
                <w:sz w:val="18"/>
              </w:rPr>
            </w:pPr>
            <w:r>
              <w:rPr>
                <w:b/>
                <w:spacing w:val="-2"/>
                <w:sz w:val="18"/>
              </w:rPr>
              <w:t>days.tempMax.above.35_ sm_y1_b20</w:t>
            </w:r>
          </w:p>
        </w:tc>
        <w:tc>
          <w:tcPr>
            <w:tcW w:w="871" w:type="dxa"/>
            <w:tcBorders>
              <w:left w:val="single" w:sz="4" w:space="0" w:color="000000"/>
              <w:right w:val="single" w:sz="4" w:space="0" w:color="000000"/>
            </w:tcBorders>
          </w:tcPr>
          <w:p>
            <w:pPr>
              <w:pStyle w:val="TableParagraph"/>
              <w:spacing w:before="35"/>
              <w:ind w:left="118"/>
              <w:rPr>
                <w:sz w:val="18"/>
              </w:rPr>
            </w:pPr>
            <w:r>
              <w:rPr>
                <w:spacing w:val="-10"/>
                <w:sz w:val="18"/>
              </w:rPr>
              <w:t>8</w:t>
            </w:r>
          </w:p>
        </w:tc>
        <w:tc>
          <w:tcPr>
            <w:tcW w:w="928" w:type="dxa"/>
            <w:tcBorders>
              <w:left w:val="single" w:sz="4" w:space="0" w:color="000000"/>
              <w:right w:val="single" w:sz="4" w:space="0" w:color="000000"/>
            </w:tcBorders>
          </w:tcPr>
          <w:p>
            <w:pPr>
              <w:pStyle w:val="TableParagraph"/>
              <w:spacing w:before="35"/>
              <w:ind w:left="117"/>
              <w:rPr>
                <w:sz w:val="18"/>
              </w:rPr>
            </w:pPr>
            <w:r>
              <w:rPr>
                <w:spacing w:val="-5"/>
                <w:sz w:val="18"/>
              </w:rPr>
              <w:t>40%</w:t>
            </w:r>
          </w:p>
        </w:tc>
        <w:tc>
          <w:tcPr>
            <w:tcW w:w="1608" w:type="dxa"/>
            <w:tcBorders>
              <w:left w:val="single" w:sz="4" w:space="0" w:color="000000"/>
              <w:right w:val="single" w:sz="4" w:space="0" w:color="000000"/>
            </w:tcBorders>
          </w:tcPr>
          <w:p>
            <w:pPr>
              <w:pStyle w:val="TableParagraph"/>
              <w:spacing w:line="254" w:lineRule="auto" w:before="35"/>
              <w:ind w:left="117" w:right="86"/>
              <w:rPr>
                <w:sz w:val="18"/>
              </w:rPr>
            </w:pPr>
            <w:r>
              <w:rPr>
                <w:spacing w:val="-2"/>
                <w:sz w:val="18"/>
              </w:rPr>
              <w:t>20d</w:t>
            </w:r>
            <w:r>
              <w:rPr>
                <w:spacing w:val="-10"/>
                <w:sz w:val="18"/>
              </w:rPr>
              <w:t> </w:t>
            </w:r>
            <w:r>
              <w:rPr>
                <w:spacing w:val="-2"/>
                <w:sz w:val="18"/>
              </w:rPr>
              <w:t>before</w:t>
            </w:r>
            <w:r>
              <w:rPr>
                <w:spacing w:val="-9"/>
                <w:sz w:val="18"/>
              </w:rPr>
              <w:t> </w:t>
            </w:r>
            <w:r>
              <w:rPr>
                <w:spacing w:val="-2"/>
                <w:sz w:val="18"/>
              </w:rPr>
              <w:t>Start-</w:t>
            </w:r>
            <w:r>
              <w:rPr>
                <w:spacing w:val="-2"/>
                <w:sz w:val="18"/>
              </w:rPr>
              <w:t>of-Maturity</w:t>
            </w:r>
          </w:p>
        </w:tc>
        <w:tc>
          <w:tcPr>
            <w:tcW w:w="2284" w:type="dxa"/>
            <w:tcBorders>
              <w:left w:val="single" w:sz="4" w:space="0" w:color="000000"/>
            </w:tcBorders>
          </w:tcPr>
          <w:p>
            <w:pPr>
              <w:pStyle w:val="TableParagraph"/>
              <w:spacing w:line="254" w:lineRule="auto" w:before="35"/>
              <w:ind w:left="112" w:right="89" w:firstLine="4"/>
              <w:jc w:val="both"/>
              <w:rPr>
                <w:sz w:val="18"/>
              </w:rPr>
            </w:pPr>
            <w:r>
              <w:rPr>
                <w:sz w:val="18"/>
              </w:rPr>
              <w:t>Heat</w:t>
            </w:r>
            <w:r>
              <w:rPr>
                <w:spacing w:val="-12"/>
                <w:sz w:val="18"/>
              </w:rPr>
              <w:t> </w:t>
            </w:r>
            <w:r>
              <w:rPr>
                <w:sz w:val="18"/>
              </w:rPr>
              <w:t>days</w:t>
            </w:r>
            <w:r>
              <w:rPr>
                <w:spacing w:val="-11"/>
                <w:sz w:val="18"/>
              </w:rPr>
              <w:t> </w:t>
            </w:r>
            <w:r>
              <w:rPr>
                <w:sz w:val="18"/>
              </w:rPr>
              <w:t>pre-veraison,</w:t>
            </w:r>
            <w:r>
              <w:rPr>
                <w:spacing w:val="-11"/>
                <w:sz w:val="18"/>
              </w:rPr>
              <w:t> </w:t>
            </w:r>
            <w:r>
              <w:rPr>
                <w:sz w:val="18"/>
              </w:rPr>
              <w:t>con-sistently low in below-trend </w:t>
            </w:r>
            <w:r>
              <w:rPr>
                <w:spacing w:val="-4"/>
                <w:sz w:val="18"/>
              </w:rPr>
              <w:t>yrs</w:t>
            </w:r>
          </w:p>
        </w:tc>
      </w:tr>
      <w:tr>
        <w:trPr>
          <w:trHeight w:val="509" w:hRule="atLeast"/>
        </w:trPr>
        <w:tc>
          <w:tcPr>
            <w:tcW w:w="527" w:type="dxa"/>
            <w:tcBorders>
              <w:right w:val="single" w:sz="4" w:space="0" w:color="000000"/>
            </w:tcBorders>
          </w:tcPr>
          <w:p>
            <w:pPr>
              <w:pStyle w:val="TableParagraph"/>
              <w:spacing w:before="35"/>
              <w:ind w:right="191"/>
              <w:jc w:val="center"/>
              <w:rPr>
                <w:sz w:val="18"/>
              </w:rPr>
            </w:pPr>
            <w:r>
              <w:rPr>
                <w:spacing w:val="-10"/>
                <w:sz w:val="18"/>
              </w:rPr>
              <w:t>3</w:t>
            </w:r>
          </w:p>
        </w:tc>
        <w:tc>
          <w:tcPr>
            <w:tcW w:w="2288" w:type="dxa"/>
            <w:tcBorders>
              <w:left w:val="single" w:sz="4" w:space="0" w:color="000000"/>
              <w:right w:val="single" w:sz="4" w:space="0" w:color="000000"/>
            </w:tcBorders>
          </w:tcPr>
          <w:p>
            <w:pPr>
              <w:pStyle w:val="TableParagraph"/>
              <w:spacing w:line="254" w:lineRule="auto" w:before="35"/>
              <w:ind w:left="118"/>
              <w:rPr>
                <w:b/>
                <w:sz w:val="18"/>
              </w:rPr>
            </w:pPr>
            <w:r>
              <w:rPr>
                <w:b/>
                <w:spacing w:val="-2"/>
                <w:sz w:val="18"/>
              </w:rPr>
              <w:t>days.maxTemp.above.35_ fl_y1_a20</w:t>
            </w:r>
          </w:p>
        </w:tc>
        <w:tc>
          <w:tcPr>
            <w:tcW w:w="871" w:type="dxa"/>
            <w:tcBorders>
              <w:left w:val="single" w:sz="4" w:space="0" w:color="000000"/>
              <w:right w:val="single" w:sz="4" w:space="0" w:color="000000"/>
            </w:tcBorders>
          </w:tcPr>
          <w:p>
            <w:pPr>
              <w:pStyle w:val="TableParagraph"/>
              <w:spacing w:before="35"/>
              <w:ind w:left="118"/>
              <w:rPr>
                <w:sz w:val="18"/>
              </w:rPr>
            </w:pPr>
            <w:r>
              <w:rPr>
                <w:spacing w:val="-10"/>
                <w:sz w:val="18"/>
              </w:rPr>
              <w:t>7</w:t>
            </w:r>
          </w:p>
        </w:tc>
        <w:tc>
          <w:tcPr>
            <w:tcW w:w="928" w:type="dxa"/>
            <w:tcBorders>
              <w:left w:val="single" w:sz="4" w:space="0" w:color="000000"/>
              <w:right w:val="single" w:sz="4" w:space="0" w:color="000000"/>
            </w:tcBorders>
          </w:tcPr>
          <w:p>
            <w:pPr>
              <w:pStyle w:val="TableParagraph"/>
              <w:spacing w:before="35"/>
              <w:ind w:left="117"/>
              <w:rPr>
                <w:sz w:val="18"/>
              </w:rPr>
            </w:pPr>
            <w:r>
              <w:rPr>
                <w:spacing w:val="-5"/>
                <w:sz w:val="18"/>
              </w:rPr>
              <w:t>35%</w:t>
            </w:r>
          </w:p>
        </w:tc>
        <w:tc>
          <w:tcPr>
            <w:tcW w:w="1608" w:type="dxa"/>
            <w:tcBorders>
              <w:left w:val="single" w:sz="4" w:space="0" w:color="000000"/>
              <w:right w:val="single" w:sz="4" w:space="0" w:color="000000"/>
            </w:tcBorders>
          </w:tcPr>
          <w:p>
            <w:pPr>
              <w:pStyle w:val="TableParagraph"/>
              <w:spacing w:line="254" w:lineRule="auto" w:before="35"/>
              <w:ind w:left="117" w:right="86"/>
              <w:rPr>
                <w:sz w:val="18"/>
              </w:rPr>
            </w:pPr>
            <w:r>
              <w:rPr>
                <w:sz w:val="18"/>
              </w:rPr>
              <w:t>20d</w:t>
            </w:r>
            <w:r>
              <w:rPr>
                <w:spacing w:val="40"/>
                <w:sz w:val="18"/>
              </w:rPr>
              <w:t> </w:t>
            </w:r>
            <w:r>
              <w:rPr>
                <w:sz w:val="18"/>
              </w:rPr>
              <w:t>after</w:t>
            </w:r>
            <w:r>
              <w:rPr>
                <w:spacing w:val="40"/>
                <w:sz w:val="18"/>
              </w:rPr>
              <w:t> </w:t>
            </w:r>
            <w:r>
              <w:rPr>
                <w:sz w:val="18"/>
              </w:rPr>
              <w:t>Flower-</w:t>
            </w:r>
            <w:r>
              <w:rPr>
                <w:spacing w:val="-4"/>
                <w:sz w:val="18"/>
              </w:rPr>
              <w:t>ing</w:t>
            </w:r>
          </w:p>
        </w:tc>
        <w:tc>
          <w:tcPr>
            <w:tcW w:w="2284" w:type="dxa"/>
            <w:tcBorders>
              <w:left w:val="single" w:sz="4" w:space="0" w:color="000000"/>
            </w:tcBorders>
          </w:tcPr>
          <w:p>
            <w:pPr>
              <w:pStyle w:val="TableParagraph"/>
              <w:spacing w:line="254" w:lineRule="auto" w:before="35"/>
              <w:ind w:left="116"/>
              <w:rPr>
                <w:sz w:val="18"/>
              </w:rPr>
            </w:pPr>
            <w:r>
              <w:rPr>
                <w:sz w:val="18"/>
              </w:rPr>
              <w:t>Heat</w:t>
            </w:r>
            <w:r>
              <w:rPr>
                <w:spacing w:val="80"/>
                <w:sz w:val="18"/>
              </w:rPr>
              <w:t> </w:t>
            </w:r>
            <w:r>
              <w:rPr>
                <w:sz w:val="18"/>
              </w:rPr>
              <w:t>days</w:t>
            </w:r>
            <w:r>
              <w:rPr>
                <w:spacing w:val="80"/>
                <w:sz w:val="18"/>
              </w:rPr>
              <w:t> </w:t>
            </w:r>
            <w:r>
              <w:rPr>
                <w:sz w:val="18"/>
              </w:rPr>
              <w:t>post-</w:t>
            </w:r>
            <w:r>
              <w:rPr>
                <w:sz w:val="18"/>
              </w:rPr>
              <w:t>flowering, low in below-trend years</w:t>
            </w:r>
          </w:p>
        </w:tc>
      </w:tr>
      <w:tr>
        <w:trPr>
          <w:trHeight w:val="498" w:hRule="atLeast"/>
        </w:trPr>
        <w:tc>
          <w:tcPr>
            <w:tcW w:w="527" w:type="dxa"/>
            <w:tcBorders>
              <w:right w:val="single" w:sz="4" w:space="0" w:color="000000"/>
            </w:tcBorders>
          </w:tcPr>
          <w:p>
            <w:pPr>
              <w:pStyle w:val="TableParagraph"/>
              <w:spacing w:before="30"/>
              <w:ind w:right="191"/>
              <w:jc w:val="center"/>
              <w:rPr>
                <w:sz w:val="18"/>
              </w:rPr>
            </w:pPr>
            <w:r>
              <w:rPr>
                <w:spacing w:val="-10"/>
                <w:sz w:val="18"/>
              </w:rPr>
              <w:t>4</w:t>
            </w:r>
          </w:p>
        </w:tc>
        <w:tc>
          <w:tcPr>
            <w:tcW w:w="2288" w:type="dxa"/>
            <w:tcBorders>
              <w:left w:val="single" w:sz="4" w:space="0" w:color="000000"/>
              <w:right w:val="single" w:sz="4" w:space="0" w:color="000000"/>
            </w:tcBorders>
          </w:tcPr>
          <w:p>
            <w:pPr>
              <w:pStyle w:val="TableParagraph"/>
              <w:spacing w:before="30"/>
              <w:ind w:left="118"/>
              <w:rPr>
                <w:b/>
                <w:sz w:val="18"/>
              </w:rPr>
            </w:pPr>
            <w:r>
              <w:rPr>
                <w:b/>
                <w:spacing w:val="-2"/>
                <w:sz w:val="18"/>
              </w:rPr>
              <w:t>swa_hv_y1_b20</w:t>
            </w:r>
          </w:p>
        </w:tc>
        <w:tc>
          <w:tcPr>
            <w:tcW w:w="871" w:type="dxa"/>
            <w:tcBorders>
              <w:left w:val="single" w:sz="4" w:space="0" w:color="000000"/>
              <w:right w:val="single" w:sz="4" w:space="0" w:color="000000"/>
            </w:tcBorders>
          </w:tcPr>
          <w:p>
            <w:pPr>
              <w:pStyle w:val="TableParagraph"/>
              <w:spacing w:before="30"/>
              <w:ind w:left="118"/>
              <w:rPr>
                <w:sz w:val="18"/>
              </w:rPr>
            </w:pPr>
            <w:r>
              <w:rPr>
                <w:spacing w:val="-10"/>
                <w:sz w:val="18"/>
              </w:rPr>
              <w:t>5</w:t>
            </w:r>
          </w:p>
        </w:tc>
        <w:tc>
          <w:tcPr>
            <w:tcW w:w="928" w:type="dxa"/>
            <w:tcBorders>
              <w:left w:val="single" w:sz="4" w:space="0" w:color="000000"/>
              <w:right w:val="single" w:sz="4" w:space="0" w:color="000000"/>
            </w:tcBorders>
          </w:tcPr>
          <w:p>
            <w:pPr>
              <w:pStyle w:val="TableParagraph"/>
              <w:spacing w:before="30"/>
              <w:ind w:left="117"/>
              <w:rPr>
                <w:sz w:val="18"/>
              </w:rPr>
            </w:pPr>
            <w:r>
              <w:rPr>
                <w:spacing w:val="-5"/>
                <w:sz w:val="18"/>
              </w:rPr>
              <w:t>25%</w:t>
            </w:r>
          </w:p>
        </w:tc>
        <w:tc>
          <w:tcPr>
            <w:tcW w:w="1608" w:type="dxa"/>
            <w:tcBorders>
              <w:left w:val="single" w:sz="4" w:space="0" w:color="000000"/>
              <w:right w:val="single" w:sz="4" w:space="0" w:color="000000"/>
            </w:tcBorders>
          </w:tcPr>
          <w:p>
            <w:pPr>
              <w:pStyle w:val="TableParagraph"/>
              <w:spacing w:line="254" w:lineRule="auto" w:before="30"/>
              <w:ind w:left="117" w:right="89"/>
              <w:rPr>
                <w:sz w:val="18"/>
              </w:rPr>
            </w:pPr>
            <w:r>
              <w:rPr>
                <w:spacing w:val="-2"/>
                <w:sz w:val="18"/>
              </w:rPr>
              <w:t>20d</w:t>
            </w:r>
            <w:r>
              <w:rPr>
                <w:spacing w:val="-10"/>
                <w:sz w:val="18"/>
              </w:rPr>
              <w:t> </w:t>
            </w:r>
            <w:r>
              <w:rPr>
                <w:spacing w:val="-2"/>
                <w:sz w:val="18"/>
              </w:rPr>
              <w:t>before</w:t>
            </w:r>
            <w:r>
              <w:rPr>
                <w:spacing w:val="-9"/>
                <w:sz w:val="18"/>
              </w:rPr>
              <w:t> </w:t>
            </w:r>
            <w:r>
              <w:rPr>
                <w:spacing w:val="-2"/>
                <w:sz w:val="18"/>
              </w:rPr>
              <w:t>Harvest, </w:t>
            </w:r>
            <w:r>
              <w:rPr>
                <w:sz w:val="18"/>
              </w:rPr>
              <w:t>current yr</w:t>
            </w:r>
          </w:p>
        </w:tc>
        <w:tc>
          <w:tcPr>
            <w:tcW w:w="2284" w:type="dxa"/>
            <w:tcBorders>
              <w:left w:val="single" w:sz="4" w:space="0" w:color="000000"/>
            </w:tcBorders>
          </w:tcPr>
          <w:p>
            <w:pPr>
              <w:pStyle w:val="TableParagraph"/>
              <w:spacing w:line="254" w:lineRule="auto" w:before="30"/>
              <w:ind w:left="112" w:firstLine="4"/>
              <w:rPr>
                <w:sz w:val="18"/>
              </w:rPr>
            </w:pPr>
            <w:r>
              <w:rPr>
                <w:sz w:val="18"/>
              </w:rPr>
              <w:t>Soil</w:t>
            </w:r>
            <w:r>
              <w:rPr>
                <w:spacing w:val="-12"/>
                <w:sz w:val="18"/>
              </w:rPr>
              <w:t> </w:t>
            </w:r>
            <w:r>
              <w:rPr>
                <w:sz w:val="18"/>
              </w:rPr>
              <w:t>water</w:t>
            </w:r>
            <w:r>
              <w:rPr>
                <w:spacing w:val="-11"/>
                <w:sz w:val="18"/>
              </w:rPr>
              <w:t> </w:t>
            </w:r>
            <w:r>
              <w:rPr>
                <w:sz w:val="18"/>
              </w:rPr>
              <w:t>pre-harvest,</w:t>
            </w:r>
            <w:r>
              <w:rPr>
                <w:spacing w:val="-11"/>
                <w:sz w:val="18"/>
              </w:rPr>
              <w:t> </w:t>
            </w:r>
            <w:r>
              <w:rPr>
                <w:sz w:val="18"/>
              </w:rPr>
              <w:t>same variable as RDD rank 1</w:t>
            </w:r>
          </w:p>
        </w:tc>
      </w:tr>
      <w:tr>
        <w:trPr>
          <w:trHeight w:val="504" w:hRule="atLeast"/>
        </w:trPr>
        <w:tc>
          <w:tcPr>
            <w:tcW w:w="527" w:type="dxa"/>
            <w:tcBorders>
              <w:right w:val="single" w:sz="4" w:space="0" w:color="000000"/>
            </w:tcBorders>
          </w:tcPr>
          <w:p>
            <w:pPr>
              <w:pStyle w:val="TableParagraph"/>
              <w:spacing w:before="35"/>
              <w:ind w:right="191"/>
              <w:jc w:val="center"/>
              <w:rPr>
                <w:sz w:val="18"/>
              </w:rPr>
            </w:pPr>
            <w:r>
              <w:rPr>
                <w:spacing w:val="-10"/>
                <w:sz w:val="18"/>
              </w:rPr>
              <w:t>5</w:t>
            </w:r>
          </w:p>
        </w:tc>
        <w:tc>
          <w:tcPr>
            <w:tcW w:w="2288" w:type="dxa"/>
            <w:tcBorders>
              <w:left w:val="single" w:sz="4" w:space="0" w:color="000000"/>
              <w:right w:val="single" w:sz="4" w:space="0" w:color="000000"/>
            </w:tcBorders>
          </w:tcPr>
          <w:p>
            <w:pPr>
              <w:pStyle w:val="TableParagraph"/>
              <w:spacing w:before="35"/>
              <w:ind w:left="118"/>
              <w:rPr>
                <w:b/>
                <w:sz w:val="18"/>
              </w:rPr>
            </w:pPr>
            <w:r>
              <w:rPr>
                <w:b/>
                <w:spacing w:val="-2"/>
                <w:sz w:val="18"/>
              </w:rPr>
              <w:t>tm.days.less.15_fl_y1_c15</w:t>
            </w:r>
          </w:p>
        </w:tc>
        <w:tc>
          <w:tcPr>
            <w:tcW w:w="871" w:type="dxa"/>
            <w:tcBorders>
              <w:left w:val="single" w:sz="4" w:space="0" w:color="000000"/>
              <w:right w:val="single" w:sz="4" w:space="0" w:color="000000"/>
            </w:tcBorders>
          </w:tcPr>
          <w:p>
            <w:pPr>
              <w:pStyle w:val="TableParagraph"/>
              <w:spacing w:before="35"/>
              <w:ind w:left="118"/>
              <w:rPr>
                <w:sz w:val="18"/>
              </w:rPr>
            </w:pPr>
            <w:r>
              <w:rPr>
                <w:spacing w:val="-10"/>
                <w:sz w:val="18"/>
              </w:rPr>
              <w:t>5</w:t>
            </w:r>
          </w:p>
        </w:tc>
        <w:tc>
          <w:tcPr>
            <w:tcW w:w="928" w:type="dxa"/>
            <w:tcBorders>
              <w:left w:val="single" w:sz="4" w:space="0" w:color="000000"/>
              <w:right w:val="single" w:sz="4" w:space="0" w:color="000000"/>
            </w:tcBorders>
          </w:tcPr>
          <w:p>
            <w:pPr>
              <w:pStyle w:val="TableParagraph"/>
              <w:spacing w:before="35"/>
              <w:ind w:left="117"/>
              <w:rPr>
                <w:sz w:val="18"/>
              </w:rPr>
            </w:pPr>
            <w:r>
              <w:rPr>
                <w:spacing w:val="-5"/>
                <w:sz w:val="18"/>
              </w:rPr>
              <w:t>25%</w:t>
            </w:r>
          </w:p>
        </w:tc>
        <w:tc>
          <w:tcPr>
            <w:tcW w:w="1608" w:type="dxa"/>
            <w:tcBorders>
              <w:left w:val="single" w:sz="4" w:space="0" w:color="000000"/>
              <w:right w:val="single" w:sz="4" w:space="0" w:color="000000"/>
            </w:tcBorders>
          </w:tcPr>
          <w:p>
            <w:pPr>
              <w:pStyle w:val="TableParagraph"/>
              <w:spacing w:line="254" w:lineRule="auto" w:before="35"/>
              <w:ind w:left="117" w:right="86"/>
              <w:rPr>
                <w:sz w:val="18"/>
              </w:rPr>
            </w:pPr>
            <w:r>
              <w:rPr>
                <w:sz w:val="18"/>
              </w:rPr>
              <w:t>15d</w:t>
            </w:r>
            <w:r>
              <w:rPr>
                <w:spacing w:val="80"/>
                <w:sz w:val="18"/>
              </w:rPr>
              <w:t> </w:t>
            </w:r>
            <w:r>
              <w:rPr>
                <w:sz w:val="18"/>
              </w:rPr>
              <w:t>centred</w:t>
            </w:r>
            <w:r>
              <w:rPr>
                <w:spacing w:val="80"/>
                <w:sz w:val="18"/>
              </w:rPr>
              <w:t> </w:t>
            </w:r>
            <w:r>
              <w:rPr>
                <w:sz w:val="18"/>
              </w:rPr>
              <w:t>on </w:t>
            </w:r>
            <w:r>
              <w:rPr>
                <w:spacing w:val="-2"/>
                <w:sz w:val="18"/>
              </w:rPr>
              <w:t>Flowering</w:t>
            </w:r>
          </w:p>
        </w:tc>
        <w:tc>
          <w:tcPr>
            <w:tcW w:w="2284" w:type="dxa"/>
            <w:tcBorders>
              <w:left w:val="single" w:sz="4" w:space="0" w:color="000000"/>
            </w:tcBorders>
          </w:tcPr>
          <w:p>
            <w:pPr>
              <w:pStyle w:val="TableParagraph"/>
              <w:spacing w:line="254" w:lineRule="auto" w:before="35"/>
              <w:ind w:left="116"/>
              <w:rPr>
                <w:sz w:val="18"/>
              </w:rPr>
            </w:pPr>
            <w:r>
              <w:rPr>
                <w:sz w:val="18"/>
              </w:rPr>
              <w:t>Cold days at flowering, </w:t>
            </w:r>
            <w:r>
              <w:rPr>
                <w:sz w:val="18"/>
              </w:rPr>
              <w:t>im-pair fruit set in RVV</w:t>
            </w:r>
          </w:p>
        </w:tc>
      </w:tr>
      <w:tr>
        <w:trPr>
          <w:trHeight w:val="509" w:hRule="atLeast"/>
        </w:trPr>
        <w:tc>
          <w:tcPr>
            <w:tcW w:w="527" w:type="dxa"/>
            <w:tcBorders>
              <w:right w:val="single" w:sz="4" w:space="0" w:color="000000"/>
            </w:tcBorders>
          </w:tcPr>
          <w:p>
            <w:pPr>
              <w:pStyle w:val="TableParagraph"/>
              <w:spacing w:before="35"/>
              <w:ind w:right="191"/>
              <w:jc w:val="center"/>
              <w:rPr>
                <w:sz w:val="18"/>
              </w:rPr>
            </w:pPr>
            <w:r>
              <w:rPr>
                <w:spacing w:val="-10"/>
                <w:sz w:val="18"/>
              </w:rPr>
              <w:t>6</w:t>
            </w:r>
          </w:p>
        </w:tc>
        <w:tc>
          <w:tcPr>
            <w:tcW w:w="2288" w:type="dxa"/>
            <w:tcBorders>
              <w:left w:val="single" w:sz="4" w:space="0" w:color="000000"/>
              <w:right w:val="single" w:sz="4" w:space="0" w:color="000000"/>
            </w:tcBorders>
          </w:tcPr>
          <w:p>
            <w:pPr>
              <w:pStyle w:val="TableParagraph"/>
              <w:spacing w:line="254" w:lineRule="auto" w:before="35"/>
              <w:ind w:left="113" w:firstLine="4"/>
              <w:rPr>
                <w:b/>
                <w:sz w:val="18"/>
              </w:rPr>
            </w:pPr>
            <w:r>
              <w:rPr>
                <w:b/>
                <w:spacing w:val="-2"/>
                <w:sz w:val="18"/>
              </w:rPr>
              <w:t>days_minTemp.less.0_bb_ y1_c20</w:t>
            </w:r>
          </w:p>
        </w:tc>
        <w:tc>
          <w:tcPr>
            <w:tcW w:w="871" w:type="dxa"/>
            <w:tcBorders>
              <w:left w:val="single" w:sz="4" w:space="0" w:color="000000"/>
              <w:right w:val="single" w:sz="4" w:space="0" w:color="000000"/>
            </w:tcBorders>
          </w:tcPr>
          <w:p>
            <w:pPr>
              <w:pStyle w:val="TableParagraph"/>
              <w:spacing w:before="35"/>
              <w:ind w:left="118"/>
              <w:rPr>
                <w:sz w:val="18"/>
              </w:rPr>
            </w:pPr>
            <w:r>
              <w:rPr>
                <w:spacing w:val="-10"/>
                <w:sz w:val="18"/>
              </w:rPr>
              <w:t>5</w:t>
            </w:r>
          </w:p>
        </w:tc>
        <w:tc>
          <w:tcPr>
            <w:tcW w:w="928" w:type="dxa"/>
            <w:tcBorders>
              <w:left w:val="single" w:sz="4" w:space="0" w:color="000000"/>
              <w:right w:val="single" w:sz="4" w:space="0" w:color="000000"/>
            </w:tcBorders>
          </w:tcPr>
          <w:p>
            <w:pPr>
              <w:pStyle w:val="TableParagraph"/>
              <w:spacing w:before="35"/>
              <w:ind w:left="117"/>
              <w:rPr>
                <w:sz w:val="18"/>
              </w:rPr>
            </w:pPr>
            <w:r>
              <w:rPr>
                <w:spacing w:val="-5"/>
                <w:sz w:val="18"/>
              </w:rPr>
              <w:t>25%</w:t>
            </w:r>
          </w:p>
        </w:tc>
        <w:tc>
          <w:tcPr>
            <w:tcW w:w="1608" w:type="dxa"/>
            <w:tcBorders>
              <w:left w:val="single" w:sz="4" w:space="0" w:color="000000"/>
              <w:right w:val="single" w:sz="4" w:space="0" w:color="000000"/>
            </w:tcBorders>
          </w:tcPr>
          <w:p>
            <w:pPr>
              <w:pStyle w:val="TableParagraph"/>
              <w:spacing w:line="254" w:lineRule="auto" w:before="35"/>
              <w:ind w:left="117" w:right="86"/>
              <w:rPr>
                <w:sz w:val="18"/>
              </w:rPr>
            </w:pPr>
            <w:r>
              <w:rPr>
                <w:spacing w:val="-4"/>
                <w:sz w:val="18"/>
              </w:rPr>
              <w:t>20d</w:t>
            </w:r>
            <w:r>
              <w:rPr>
                <w:spacing w:val="-8"/>
                <w:sz w:val="18"/>
              </w:rPr>
              <w:t> </w:t>
            </w:r>
            <w:r>
              <w:rPr>
                <w:spacing w:val="-4"/>
                <w:sz w:val="18"/>
              </w:rPr>
              <w:t>centred</w:t>
            </w:r>
            <w:r>
              <w:rPr>
                <w:spacing w:val="-8"/>
                <w:sz w:val="18"/>
              </w:rPr>
              <w:t> </w:t>
            </w:r>
            <w:r>
              <w:rPr>
                <w:spacing w:val="-4"/>
                <w:sz w:val="18"/>
              </w:rPr>
              <w:t>on</w:t>
            </w:r>
            <w:r>
              <w:rPr>
                <w:spacing w:val="-9"/>
                <w:sz w:val="18"/>
              </w:rPr>
              <w:t> </w:t>
            </w:r>
            <w:r>
              <w:rPr>
                <w:spacing w:val="-4"/>
                <w:sz w:val="18"/>
              </w:rPr>
              <w:t>Bud </w:t>
            </w:r>
            <w:r>
              <w:rPr>
                <w:spacing w:val="-2"/>
                <w:sz w:val="18"/>
              </w:rPr>
              <w:t>Break</w:t>
            </w:r>
          </w:p>
        </w:tc>
        <w:tc>
          <w:tcPr>
            <w:tcW w:w="2284" w:type="dxa"/>
            <w:tcBorders>
              <w:left w:val="single" w:sz="4" w:space="0" w:color="000000"/>
            </w:tcBorders>
          </w:tcPr>
          <w:p>
            <w:pPr>
              <w:pStyle w:val="TableParagraph"/>
              <w:spacing w:line="254" w:lineRule="auto" w:before="35"/>
              <w:ind w:left="116"/>
              <w:rPr>
                <w:sz w:val="18"/>
              </w:rPr>
            </w:pPr>
            <w:r>
              <w:rPr>
                <w:sz w:val="18"/>
              </w:rPr>
              <w:t>Frost days at budburst, </w:t>
            </w:r>
            <w:r>
              <w:rPr>
                <w:sz w:val="18"/>
              </w:rPr>
              <w:t>vine damage risk</w:t>
            </w:r>
          </w:p>
        </w:tc>
      </w:tr>
      <w:tr>
        <w:trPr>
          <w:trHeight w:val="498" w:hRule="atLeast"/>
        </w:trPr>
        <w:tc>
          <w:tcPr>
            <w:tcW w:w="527" w:type="dxa"/>
            <w:tcBorders>
              <w:right w:val="single" w:sz="4" w:space="0" w:color="000000"/>
            </w:tcBorders>
          </w:tcPr>
          <w:p>
            <w:pPr>
              <w:pStyle w:val="TableParagraph"/>
              <w:spacing w:before="30"/>
              <w:ind w:right="191"/>
              <w:jc w:val="center"/>
              <w:rPr>
                <w:sz w:val="18"/>
              </w:rPr>
            </w:pPr>
            <w:r>
              <w:rPr>
                <w:spacing w:val="-10"/>
                <w:sz w:val="18"/>
              </w:rPr>
              <w:t>7</w:t>
            </w:r>
          </w:p>
        </w:tc>
        <w:tc>
          <w:tcPr>
            <w:tcW w:w="2288" w:type="dxa"/>
            <w:tcBorders>
              <w:left w:val="single" w:sz="4" w:space="0" w:color="000000"/>
              <w:right w:val="single" w:sz="4" w:space="0" w:color="000000"/>
            </w:tcBorders>
          </w:tcPr>
          <w:p>
            <w:pPr>
              <w:pStyle w:val="TableParagraph"/>
              <w:spacing w:before="30"/>
              <w:ind w:left="118"/>
              <w:rPr>
                <w:b/>
                <w:sz w:val="18"/>
              </w:rPr>
            </w:pPr>
            <w:r>
              <w:rPr>
                <w:b/>
                <w:spacing w:val="-2"/>
                <w:sz w:val="18"/>
              </w:rPr>
              <w:t>sw.above.09fc_fl_y0_a20</w:t>
            </w:r>
          </w:p>
        </w:tc>
        <w:tc>
          <w:tcPr>
            <w:tcW w:w="871" w:type="dxa"/>
            <w:tcBorders>
              <w:left w:val="single" w:sz="4" w:space="0" w:color="000000"/>
              <w:right w:val="single" w:sz="4" w:space="0" w:color="000000"/>
            </w:tcBorders>
          </w:tcPr>
          <w:p>
            <w:pPr>
              <w:pStyle w:val="TableParagraph"/>
              <w:spacing w:before="30"/>
              <w:ind w:left="118"/>
              <w:rPr>
                <w:sz w:val="18"/>
              </w:rPr>
            </w:pPr>
            <w:r>
              <w:rPr>
                <w:spacing w:val="-10"/>
                <w:sz w:val="18"/>
              </w:rPr>
              <w:t>4</w:t>
            </w:r>
          </w:p>
        </w:tc>
        <w:tc>
          <w:tcPr>
            <w:tcW w:w="928" w:type="dxa"/>
            <w:tcBorders>
              <w:left w:val="single" w:sz="4" w:space="0" w:color="000000"/>
              <w:right w:val="single" w:sz="4" w:space="0" w:color="000000"/>
            </w:tcBorders>
          </w:tcPr>
          <w:p>
            <w:pPr>
              <w:pStyle w:val="TableParagraph"/>
              <w:spacing w:before="30"/>
              <w:ind w:left="117"/>
              <w:rPr>
                <w:sz w:val="18"/>
              </w:rPr>
            </w:pPr>
            <w:r>
              <w:rPr>
                <w:spacing w:val="-5"/>
                <w:sz w:val="18"/>
              </w:rPr>
              <w:t>20%</w:t>
            </w:r>
          </w:p>
        </w:tc>
        <w:tc>
          <w:tcPr>
            <w:tcW w:w="1608" w:type="dxa"/>
            <w:tcBorders>
              <w:left w:val="single" w:sz="4" w:space="0" w:color="000000"/>
              <w:right w:val="single" w:sz="4" w:space="0" w:color="000000"/>
            </w:tcBorders>
          </w:tcPr>
          <w:p>
            <w:pPr>
              <w:pStyle w:val="TableParagraph"/>
              <w:spacing w:line="254" w:lineRule="auto" w:before="30"/>
              <w:ind w:left="117" w:right="86"/>
              <w:rPr>
                <w:sz w:val="18"/>
              </w:rPr>
            </w:pPr>
            <w:r>
              <w:rPr>
                <w:sz w:val="18"/>
              </w:rPr>
              <w:t>20d</w:t>
            </w:r>
            <w:r>
              <w:rPr>
                <w:spacing w:val="40"/>
                <w:sz w:val="18"/>
              </w:rPr>
              <w:t> </w:t>
            </w:r>
            <w:r>
              <w:rPr>
                <w:sz w:val="18"/>
              </w:rPr>
              <w:t>after</w:t>
            </w:r>
            <w:r>
              <w:rPr>
                <w:spacing w:val="40"/>
                <w:sz w:val="18"/>
              </w:rPr>
              <w:t> </w:t>
            </w:r>
            <w:r>
              <w:rPr>
                <w:sz w:val="18"/>
              </w:rPr>
              <w:t>Flower-ing, prev. yr</w:t>
            </w:r>
          </w:p>
        </w:tc>
        <w:tc>
          <w:tcPr>
            <w:tcW w:w="2284" w:type="dxa"/>
            <w:tcBorders>
              <w:left w:val="single" w:sz="4" w:space="0" w:color="000000"/>
            </w:tcBorders>
          </w:tcPr>
          <w:p>
            <w:pPr>
              <w:pStyle w:val="TableParagraph"/>
              <w:spacing w:line="254" w:lineRule="auto" w:before="30"/>
              <w:ind w:left="116" w:right="97"/>
              <w:rPr>
                <w:sz w:val="18"/>
              </w:rPr>
            </w:pPr>
            <w:r>
              <w:rPr>
                <w:spacing w:val="-2"/>
                <w:sz w:val="18"/>
              </w:rPr>
              <w:t>Previous-year</w:t>
            </w:r>
            <w:r>
              <w:rPr>
                <w:spacing w:val="-10"/>
                <w:sz w:val="18"/>
              </w:rPr>
              <w:t> </w:t>
            </w:r>
            <w:r>
              <w:rPr>
                <w:spacing w:val="-2"/>
                <w:sz w:val="18"/>
              </w:rPr>
              <w:t>soil</w:t>
            </w:r>
            <w:r>
              <w:rPr>
                <w:spacing w:val="-9"/>
                <w:sz w:val="18"/>
              </w:rPr>
              <w:t> </w:t>
            </w:r>
            <w:r>
              <w:rPr>
                <w:spacing w:val="-2"/>
                <w:sz w:val="18"/>
              </w:rPr>
              <w:t>saturation, </w:t>
            </w:r>
            <w:r>
              <w:rPr>
                <w:sz w:val="18"/>
              </w:rPr>
              <w:t>carry-over vigour</w:t>
            </w:r>
          </w:p>
        </w:tc>
      </w:tr>
      <w:tr>
        <w:trPr>
          <w:trHeight w:val="504" w:hRule="atLeast"/>
        </w:trPr>
        <w:tc>
          <w:tcPr>
            <w:tcW w:w="527" w:type="dxa"/>
            <w:tcBorders>
              <w:right w:val="single" w:sz="4" w:space="0" w:color="000000"/>
            </w:tcBorders>
          </w:tcPr>
          <w:p>
            <w:pPr>
              <w:pStyle w:val="TableParagraph"/>
              <w:spacing w:before="35"/>
              <w:ind w:right="191"/>
              <w:jc w:val="center"/>
              <w:rPr>
                <w:sz w:val="18"/>
              </w:rPr>
            </w:pPr>
            <w:r>
              <w:rPr>
                <w:spacing w:val="-10"/>
                <w:sz w:val="18"/>
              </w:rPr>
              <w:t>8</w:t>
            </w:r>
          </w:p>
        </w:tc>
        <w:tc>
          <w:tcPr>
            <w:tcW w:w="2288" w:type="dxa"/>
            <w:tcBorders>
              <w:left w:val="single" w:sz="4" w:space="0" w:color="000000"/>
              <w:right w:val="single" w:sz="4" w:space="0" w:color="000000"/>
            </w:tcBorders>
          </w:tcPr>
          <w:p>
            <w:pPr>
              <w:pStyle w:val="TableParagraph"/>
              <w:spacing w:before="35"/>
              <w:ind w:left="118"/>
              <w:rPr>
                <w:b/>
                <w:sz w:val="18"/>
              </w:rPr>
            </w:pPr>
            <w:r>
              <w:rPr>
                <w:b/>
                <w:spacing w:val="-2"/>
                <w:sz w:val="18"/>
              </w:rPr>
              <w:t>swa_fl_y1_a15</w:t>
            </w:r>
          </w:p>
        </w:tc>
        <w:tc>
          <w:tcPr>
            <w:tcW w:w="871" w:type="dxa"/>
            <w:tcBorders>
              <w:left w:val="single" w:sz="4" w:space="0" w:color="000000"/>
              <w:right w:val="single" w:sz="4" w:space="0" w:color="000000"/>
            </w:tcBorders>
          </w:tcPr>
          <w:p>
            <w:pPr>
              <w:pStyle w:val="TableParagraph"/>
              <w:spacing w:before="35"/>
              <w:ind w:left="118"/>
              <w:rPr>
                <w:sz w:val="18"/>
              </w:rPr>
            </w:pPr>
            <w:r>
              <w:rPr>
                <w:spacing w:val="-10"/>
                <w:sz w:val="18"/>
              </w:rPr>
              <w:t>4</w:t>
            </w:r>
          </w:p>
        </w:tc>
        <w:tc>
          <w:tcPr>
            <w:tcW w:w="928" w:type="dxa"/>
            <w:tcBorders>
              <w:left w:val="single" w:sz="4" w:space="0" w:color="000000"/>
              <w:right w:val="single" w:sz="4" w:space="0" w:color="000000"/>
            </w:tcBorders>
          </w:tcPr>
          <w:p>
            <w:pPr>
              <w:pStyle w:val="TableParagraph"/>
              <w:spacing w:before="35"/>
              <w:ind w:left="117"/>
              <w:rPr>
                <w:sz w:val="18"/>
              </w:rPr>
            </w:pPr>
            <w:r>
              <w:rPr>
                <w:spacing w:val="-5"/>
                <w:sz w:val="18"/>
              </w:rPr>
              <w:t>20%</w:t>
            </w:r>
          </w:p>
        </w:tc>
        <w:tc>
          <w:tcPr>
            <w:tcW w:w="1608" w:type="dxa"/>
            <w:tcBorders>
              <w:left w:val="single" w:sz="4" w:space="0" w:color="000000"/>
              <w:right w:val="single" w:sz="4" w:space="0" w:color="000000"/>
            </w:tcBorders>
          </w:tcPr>
          <w:p>
            <w:pPr>
              <w:pStyle w:val="TableParagraph"/>
              <w:spacing w:line="254" w:lineRule="auto" w:before="35"/>
              <w:ind w:left="117" w:right="86"/>
              <w:rPr>
                <w:sz w:val="18"/>
              </w:rPr>
            </w:pPr>
            <w:r>
              <w:rPr>
                <w:sz w:val="18"/>
              </w:rPr>
              <w:t>15d</w:t>
            </w:r>
            <w:r>
              <w:rPr>
                <w:spacing w:val="40"/>
                <w:sz w:val="18"/>
              </w:rPr>
              <w:t> </w:t>
            </w:r>
            <w:r>
              <w:rPr>
                <w:sz w:val="18"/>
              </w:rPr>
              <w:t>after</w:t>
            </w:r>
            <w:r>
              <w:rPr>
                <w:spacing w:val="40"/>
                <w:sz w:val="18"/>
              </w:rPr>
              <w:t> </w:t>
            </w:r>
            <w:r>
              <w:rPr>
                <w:sz w:val="18"/>
              </w:rPr>
              <w:t>Flower-</w:t>
            </w:r>
            <w:r>
              <w:rPr>
                <w:spacing w:val="-4"/>
                <w:sz w:val="18"/>
              </w:rPr>
              <w:t>ing</w:t>
            </w:r>
          </w:p>
        </w:tc>
        <w:tc>
          <w:tcPr>
            <w:tcW w:w="2284" w:type="dxa"/>
            <w:tcBorders>
              <w:left w:val="single" w:sz="4" w:space="0" w:color="000000"/>
            </w:tcBorders>
          </w:tcPr>
          <w:p>
            <w:pPr>
              <w:pStyle w:val="TableParagraph"/>
              <w:spacing w:line="254" w:lineRule="auto" w:before="35"/>
              <w:ind w:left="116" w:right="85"/>
              <w:rPr>
                <w:sz w:val="18"/>
              </w:rPr>
            </w:pPr>
            <w:r>
              <w:rPr>
                <w:spacing w:val="-2"/>
                <w:sz w:val="18"/>
              </w:rPr>
              <w:t>Post-flowering</w:t>
            </w:r>
            <w:r>
              <w:rPr>
                <w:spacing w:val="-10"/>
                <w:sz w:val="18"/>
              </w:rPr>
              <w:t> </w:t>
            </w:r>
            <w:r>
              <w:rPr>
                <w:spacing w:val="-2"/>
                <w:sz w:val="18"/>
              </w:rPr>
              <w:t>soil</w:t>
            </w:r>
            <w:r>
              <w:rPr>
                <w:spacing w:val="-9"/>
                <w:sz w:val="18"/>
              </w:rPr>
              <w:t> </w:t>
            </w:r>
            <w:r>
              <w:rPr>
                <w:spacing w:val="-2"/>
                <w:sz w:val="18"/>
              </w:rPr>
              <w:t>water,</w:t>
            </w:r>
            <w:r>
              <w:rPr>
                <w:spacing w:val="-9"/>
                <w:sz w:val="18"/>
              </w:rPr>
              <w:t> </w:t>
            </w:r>
            <w:r>
              <w:rPr>
                <w:spacing w:val="-2"/>
                <w:sz w:val="18"/>
              </w:rPr>
              <w:t>ex-</w:t>
            </w:r>
            <w:r>
              <w:rPr>
                <w:sz w:val="18"/>
              </w:rPr>
              <w:t>cess moisture in RVV</w:t>
            </w:r>
          </w:p>
        </w:tc>
      </w:tr>
      <w:tr>
        <w:trPr>
          <w:trHeight w:val="504" w:hRule="atLeast"/>
        </w:trPr>
        <w:tc>
          <w:tcPr>
            <w:tcW w:w="527" w:type="dxa"/>
            <w:tcBorders>
              <w:right w:val="single" w:sz="4" w:space="0" w:color="000000"/>
            </w:tcBorders>
          </w:tcPr>
          <w:p>
            <w:pPr>
              <w:pStyle w:val="TableParagraph"/>
              <w:spacing w:before="35"/>
              <w:ind w:right="191"/>
              <w:jc w:val="center"/>
              <w:rPr>
                <w:sz w:val="18"/>
              </w:rPr>
            </w:pPr>
            <w:r>
              <w:rPr>
                <w:spacing w:val="-10"/>
                <w:sz w:val="18"/>
              </w:rPr>
              <w:t>9</w:t>
            </w:r>
          </w:p>
        </w:tc>
        <w:tc>
          <w:tcPr>
            <w:tcW w:w="2288" w:type="dxa"/>
            <w:tcBorders>
              <w:left w:val="single" w:sz="4" w:space="0" w:color="000000"/>
              <w:right w:val="single" w:sz="4" w:space="0" w:color="000000"/>
            </w:tcBorders>
          </w:tcPr>
          <w:p>
            <w:pPr>
              <w:pStyle w:val="TableParagraph"/>
              <w:spacing w:before="35"/>
              <w:ind w:left="118"/>
              <w:rPr>
                <w:b/>
                <w:sz w:val="18"/>
              </w:rPr>
            </w:pPr>
            <w:r>
              <w:rPr>
                <w:b/>
                <w:spacing w:val="-2"/>
                <w:sz w:val="18"/>
              </w:rPr>
              <w:t>tm_fl_y1_a10</w:t>
            </w:r>
          </w:p>
        </w:tc>
        <w:tc>
          <w:tcPr>
            <w:tcW w:w="871" w:type="dxa"/>
            <w:tcBorders>
              <w:left w:val="single" w:sz="4" w:space="0" w:color="000000"/>
              <w:right w:val="single" w:sz="4" w:space="0" w:color="000000"/>
            </w:tcBorders>
          </w:tcPr>
          <w:p>
            <w:pPr>
              <w:pStyle w:val="TableParagraph"/>
              <w:spacing w:before="35"/>
              <w:ind w:left="118"/>
              <w:rPr>
                <w:sz w:val="18"/>
              </w:rPr>
            </w:pPr>
            <w:r>
              <w:rPr>
                <w:spacing w:val="-10"/>
                <w:sz w:val="18"/>
              </w:rPr>
              <w:t>3</w:t>
            </w:r>
          </w:p>
        </w:tc>
        <w:tc>
          <w:tcPr>
            <w:tcW w:w="928" w:type="dxa"/>
            <w:tcBorders>
              <w:left w:val="single" w:sz="4" w:space="0" w:color="000000"/>
              <w:right w:val="single" w:sz="4" w:space="0" w:color="000000"/>
            </w:tcBorders>
          </w:tcPr>
          <w:p>
            <w:pPr>
              <w:pStyle w:val="TableParagraph"/>
              <w:spacing w:before="35"/>
              <w:ind w:left="117"/>
              <w:rPr>
                <w:sz w:val="18"/>
              </w:rPr>
            </w:pPr>
            <w:r>
              <w:rPr>
                <w:spacing w:val="-5"/>
                <w:sz w:val="18"/>
              </w:rPr>
              <w:t>15%</w:t>
            </w:r>
          </w:p>
        </w:tc>
        <w:tc>
          <w:tcPr>
            <w:tcW w:w="1608" w:type="dxa"/>
            <w:tcBorders>
              <w:left w:val="single" w:sz="4" w:space="0" w:color="000000"/>
              <w:right w:val="single" w:sz="4" w:space="0" w:color="000000"/>
            </w:tcBorders>
          </w:tcPr>
          <w:p>
            <w:pPr>
              <w:pStyle w:val="TableParagraph"/>
              <w:spacing w:line="254" w:lineRule="auto" w:before="35"/>
              <w:ind w:left="117" w:right="86"/>
              <w:rPr>
                <w:sz w:val="18"/>
              </w:rPr>
            </w:pPr>
            <w:r>
              <w:rPr>
                <w:sz w:val="18"/>
              </w:rPr>
              <w:t>10d</w:t>
            </w:r>
            <w:r>
              <w:rPr>
                <w:spacing w:val="40"/>
                <w:sz w:val="18"/>
              </w:rPr>
              <w:t> </w:t>
            </w:r>
            <w:r>
              <w:rPr>
                <w:sz w:val="18"/>
              </w:rPr>
              <w:t>after</w:t>
            </w:r>
            <w:r>
              <w:rPr>
                <w:spacing w:val="40"/>
                <w:sz w:val="18"/>
              </w:rPr>
              <w:t> </w:t>
            </w:r>
            <w:r>
              <w:rPr>
                <w:sz w:val="18"/>
              </w:rPr>
              <w:t>Flower-</w:t>
            </w:r>
            <w:r>
              <w:rPr>
                <w:spacing w:val="-4"/>
                <w:sz w:val="18"/>
              </w:rPr>
              <w:t>ing</w:t>
            </w:r>
          </w:p>
        </w:tc>
        <w:tc>
          <w:tcPr>
            <w:tcW w:w="2284" w:type="dxa"/>
            <w:tcBorders>
              <w:left w:val="single" w:sz="4" w:space="0" w:color="000000"/>
            </w:tcBorders>
          </w:tcPr>
          <w:p>
            <w:pPr>
              <w:pStyle w:val="TableParagraph"/>
              <w:spacing w:before="35"/>
              <w:ind w:left="116"/>
              <w:rPr>
                <w:sz w:val="18"/>
              </w:rPr>
            </w:pPr>
            <w:r>
              <w:rPr>
                <w:spacing w:val="-2"/>
                <w:sz w:val="18"/>
              </w:rPr>
              <w:t>Post-flowering</w:t>
            </w:r>
            <w:r>
              <w:rPr>
                <w:spacing w:val="-1"/>
                <w:sz w:val="18"/>
              </w:rPr>
              <w:t> </w:t>
            </w:r>
            <w:r>
              <w:rPr>
                <w:spacing w:val="-2"/>
                <w:sz w:val="18"/>
              </w:rPr>
              <w:t>temperature</w:t>
            </w:r>
          </w:p>
        </w:tc>
      </w:tr>
      <w:tr>
        <w:trPr>
          <w:trHeight w:val="763" w:hRule="atLeast"/>
        </w:trPr>
        <w:tc>
          <w:tcPr>
            <w:tcW w:w="527" w:type="dxa"/>
            <w:tcBorders>
              <w:bottom w:val="single" w:sz="8" w:space="0" w:color="000000"/>
              <w:right w:val="single" w:sz="4" w:space="0" w:color="000000"/>
            </w:tcBorders>
          </w:tcPr>
          <w:p>
            <w:pPr>
              <w:pStyle w:val="TableParagraph"/>
              <w:spacing w:before="35"/>
              <w:ind w:left="90" w:right="191"/>
              <w:jc w:val="center"/>
              <w:rPr>
                <w:sz w:val="18"/>
              </w:rPr>
            </w:pPr>
            <w:r>
              <w:rPr>
                <w:spacing w:val="-5"/>
                <w:sz w:val="18"/>
              </w:rPr>
              <w:t>10</w:t>
            </w:r>
          </w:p>
        </w:tc>
        <w:tc>
          <w:tcPr>
            <w:tcW w:w="2288" w:type="dxa"/>
            <w:tcBorders>
              <w:left w:val="single" w:sz="4" w:space="0" w:color="000000"/>
              <w:bottom w:val="single" w:sz="8" w:space="0" w:color="000000"/>
              <w:right w:val="single" w:sz="4" w:space="0" w:color="000000"/>
            </w:tcBorders>
          </w:tcPr>
          <w:p>
            <w:pPr>
              <w:pStyle w:val="TableParagraph"/>
              <w:spacing w:before="35"/>
              <w:ind w:left="118"/>
              <w:rPr>
                <w:b/>
                <w:sz w:val="18"/>
              </w:rPr>
            </w:pPr>
            <w:r>
              <w:rPr>
                <w:b/>
                <w:spacing w:val="-2"/>
                <w:sz w:val="18"/>
              </w:rPr>
              <w:t>iaf_hv_y1_c10</w:t>
            </w:r>
          </w:p>
        </w:tc>
        <w:tc>
          <w:tcPr>
            <w:tcW w:w="871" w:type="dxa"/>
            <w:tcBorders>
              <w:left w:val="single" w:sz="4" w:space="0" w:color="000000"/>
              <w:bottom w:val="single" w:sz="8" w:space="0" w:color="000000"/>
              <w:right w:val="single" w:sz="4" w:space="0" w:color="000000"/>
            </w:tcBorders>
          </w:tcPr>
          <w:p>
            <w:pPr>
              <w:pStyle w:val="TableParagraph"/>
              <w:spacing w:before="35"/>
              <w:ind w:left="118"/>
              <w:rPr>
                <w:sz w:val="18"/>
              </w:rPr>
            </w:pPr>
            <w:r>
              <w:rPr>
                <w:spacing w:val="-10"/>
                <w:sz w:val="18"/>
              </w:rPr>
              <w:t>2</w:t>
            </w:r>
          </w:p>
        </w:tc>
        <w:tc>
          <w:tcPr>
            <w:tcW w:w="928" w:type="dxa"/>
            <w:tcBorders>
              <w:left w:val="single" w:sz="4" w:space="0" w:color="000000"/>
              <w:bottom w:val="single" w:sz="8" w:space="0" w:color="000000"/>
              <w:right w:val="single" w:sz="4" w:space="0" w:color="000000"/>
            </w:tcBorders>
          </w:tcPr>
          <w:p>
            <w:pPr>
              <w:pStyle w:val="TableParagraph"/>
              <w:spacing w:before="35"/>
              <w:ind w:left="117"/>
              <w:rPr>
                <w:sz w:val="18"/>
              </w:rPr>
            </w:pPr>
            <w:r>
              <w:rPr>
                <w:spacing w:val="-5"/>
                <w:sz w:val="18"/>
              </w:rPr>
              <w:t>10%</w:t>
            </w:r>
          </w:p>
        </w:tc>
        <w:tc>
          <w:tcPr>
            <w:tcW w:w="1608" w:type="dxa"/>
            <w:tcBorders>
              <w:left w:val="single" w:sz="4" w:space="0" w:color="000000"/>
              <w:bottom w:val="single" w:sz="8" w:space="0" w:color="000000"/>
              <w:right w:val="single" w:sz="4" w:space="0" w:color="000000"/>
            </w:tcBorders>
          </w:tcPr>
          <w:p>
            <w:pPr>
              <w:pStyle w:val="TableParagraph"/>
              <w:spacing w:line="254" w:lineRule="auto" w:before="35"/>
              <w:ind w:left="112" w:right="86" w:firstLine="4"/>
              <w:rPr>
                <w:sz w:val="18"/>
              </w:rPr>
            </w:pPr>
            <w:r>
              <w:rPr>
                <w:spacing w:val="-4"/>
                <w:sz w:val="18"/>
              </w:rPr>
              <w:t>10d</w:t>
            </w:r>
            <w:r>
              <w:rPr>
                <w:spacing w:val="-8"/>
                <w:sz w:val="18"/>
              </w:rPr>
              <w:t> </w:t>
            </w:r>
            <w:r>
              <w:rPr>
                <w:spacing w:val="-4"/>
                <w:sz w:val="18"/>
              </w:rPr>
              <w:t>centred</w:t>
            </w:r>
            <w:r>
              <w:rPr>
                <w:spacing w:val="-7"/>
                <w:sz w:val="18"/>
              </w:rPr>
              <w:t> </w:t>
            </w:r>
            <w:r>
              <w:rPr>
                <w:spacing w:val="-4"/>
                <w:sz w:val="18"/>
              </w:rPr>
              <w:t>on</w:t>
            </w:r>
            <w:r>
              <w:rPr>
                <w:spacing w:val="-7"/>
                <w:sz w:val="18"/>
              </w:rPr>
              <w:t> </w:t>
            </w:r>
            <w:r>
              <w:rPr>
                <w:spacing w:val="-4"/>
                <w:sz w:val="18"/>
              </w:rPr>
              <w:t>Har-vest</w:t>
            </w:r>
          </w:p>
        </w:tc>
        <w:tc>
          <w:tcPr>
            <w:tcW w:w="2284" w:type="dxa"/>
            <w:tcBorders>
              <w:left w:val="single" w:sz="4" w:space="0" w:color="000000"/>
              <w:bottom w:val="single" w:sz="8" w:space="0" w:color="000000"/>
            </w:tcBorders>
          </w:tcPr>
          <w:p>
            <w:pPr>
              <w:pStyle w:val="TableParagraph"/>
              <w:spacing w:line="254" w:lineRule="auto" w:before="35"/>
              <w:ind w:left="110" w:right="119" w:firstLine="6"/>
              <w:jc w:val="both"/>
              <w:rPr>
                <w:sz w:val="18"/>
              </w:rPr>
            </w:pPr>
            <w:r>
              <w:rPr>
                <w:sz w:val="18"/>
              </w:rPr>
              <w:t>LAI at harvest, </w:t>
            </w:r>
            <w:r>
              <w:rPr>
                <w:sz w:val="18"/>
              </w:rPr>
              <w:t>dominant structural signal (see Sec </w:t>
            </w:r>
            <w:r>
              <w:rPr>
                <w:spacing w:val="-2"/>
                <w:sz w:val="18"/>
              </w:rPr>
              <w:t>4.6.3)</w:t>
            </w:r>
          </w:p>
        </w:tc>
      </w:tr>
    </w:tbl>
    <w:p>
      <w:pPr>
        <w:pStyle w:val="BodyText"/>
        <w:spacing w:before="195"/>
        <w:rPr>
          <w:sz w:val="20"/>
        </w:rPr>
      </w:pPr>
    </w:p>
    <w:p>
      <w:pPr>
        <w:pStyle w:val="Heading2"/>
        <w:numPr>
          <w:ilvl w:val="1"/>
          <w:numId w:val="18"/>
        </w:numPr>
        <w:tabs>
          <w:tab w:pos="1354" w:val="left" w:leader="none"/>
        </w:tabs>
        <w:spacing w:line="240" w:lineRule="auto" w:before="1" w:after="0"/>
        <w:ind w:left="1354" w:right="0" w:hanging="645"/>
        <w:jc w:val="left"/>
      </w:pPr>
      <w:bookmarkStart w:name="4.7 Rule Set Overlap and Internal Cohere" w:id="159"/>
      <w:bookmarkEnd w:id="159"/>
      <w:r>
        <w:rPr>
          <w:b w:val="0"/>
        </w:rPr>
      </w:r>
      <w:bookmarkStart w:name="_bookmark91" w:id="160"/>
      <w:bookmarkEnd w:id="160"/>
      <w:r>
        <w:rPr>
          <w:b w:val="0"/>
        </w:rPr>
      </w:r>
      <w:r>
        <w:rPr/>
        <w:t>Rule</w:t>
      </w:r>
      <w:r>
        <w:rPr>
          <w:spacing w:val="12"/>
        </w:rPr>
        <w:t> </w:t>
      </w:r>
      <w:r>
        <w:rPr/>
        <w:t>Set</w:t>
      </w:r>
      <w:r>
        <w:rPr>
          <w:spacing w:val="13"/>
        </w:rPr>
        <w:t> </w:t>
      </w:r>
      <w:r>
        <w:rPr/>
        <w:t>Overlap</w:t>
      </w:r>
      <w:r>
        <w:rPr>
          <w:spacing w:val="13"/>
        </w:rPr>
        <w:t> </w:t>
      </w:r>
      <w:r>
        <w:rPr/>
        <w:t>and</w:t>
      </w:r>
      <w:r>
        <w:rPr>
          <w:spacing w:val="13"/>
        </w:rPr>
        <w:t> </w:t>
      </w:r>
      <w:r>
        <w:rPr/>
        <w:t>Internal</w:t>
      </w:r>
      <w:r>
        <w:rPr>
          <w:spacing w:val="12"/>
        </w:rPr>
        <w:t> </w:t>
      </w:r>
      <w:r>
        <w:rPr>
          <w:spacing w:val="-2"/>
        </w:rPr>
        <w:t>Coherence</w:t>
      </w:r>
    </w:p>
    <w:p>
      <w:pPr>
        <w:pStyle w:val="BodyText"/>
        <w:spacing w:before="23"/>
        <w:rPr>
          <w:b/>
          <w:sz w:val="28"/>
        </w:rPr>
      </w:pPr>
    </w:p>
    <w:p>
      <w:pPr>
        <w:pStyle w:val="BodyText"/>
        <w:spacing w:line="312" w:lineRule="auto"/>
        <w:ind w:left="709" w:right="990" w:hanging="11"/>
        <w:jc w:val="both"/>
      </w:pPr>
      <w:r>
        <w:rPr/>
        <w:t>With 48 rules for RDD and 20 for RVV, an important question is whether the rules represent genuinely distinct patterns or whether the rule set contains substantial redundancy, rules that </w:t>
      </w:r>
      <w:r>
        <w:rPr/>
        <w:t>are </w:t>
      </w:r>
      <w:r>
        <w:rPr>
          <w:spacing w:val="-4"/>
        </w:rPr>
        <w:t>minor variations of each other covering essentially the same agronomic conditions.</w:t>
      </w:r>
      <w:r>
        <w:rPr>
          <w:spacing w:val="18"/>
        </w:rPr>
        <w:t> </w:t>
      </w:r>
      <w:r>
        <w:rPr>
          <w:spacing w:val="-4"/>
        </w:rPr>
        <w:t>Overlap analysis </w:t>
      </w:r>
      <w:r>
        <w:rPr/>
        <w:t>addresses this by computing how many rule pairs share at least one feature condition.</w:t>
      </w:r>
    </w:p>
    <w:p>
      <w:pPr>
        <w:pStyle w:val="BodyText"/>
        <w:spacing w:before="226"/>
      </w:pPr>
    </w:p>
    <w:p>
      <w:pPr>
        <w:pStyle w:val="Heading3"/>
        <w:numPr>
          <w:ilvl w:val="2"/>
          <w:numId w:val="18"/>
        </w:numPr>
        <w:tabs>
          <w:tab w:pos="1426" w:val="left" w:leader="none"/>
        </w:tabs>
        <w:spacing w:line="240" w:lineRule="auto" w:before="1" w:after="0"/>
        <w:ind w:left="1426" w:right="0" w:hanging="717"/>
        <w:jc w:val="left"/>
      </w:pPr>
      <w:bookmarkStart w:name="4.7.1 Pairwise Feature Overlap" w:id="161"/>
      <w:bookmarkEnd w:id="161"/>
      <w:r>
        <w:rPr>
          <w:b w:val="0"/>
        </w:rPr>
      </w:r>
      <w:bookmarkStart w:name="_bookmark92" w:id="162"/>
      <w:bookmarkEnd w:id="162"/>
      <w:r>
        <w:rPr>
          <w:b w:val="0"/>
        </w:rPr>
      </w:r>
      <w:r>
        <w:rPr>
          <w:spacing w:val="-2"/>
        </w:rPr>
        <w:t>Pairwise Feature</w:t>
      </w:r>
      <w:r>
        <w:rPr>
          <w:spacing w:val="-1"/>
        </w:rPr>
        <w:t> </w:t>
      </w:r>
      <w:r>
        <w:rPr>
          <w:spacing w:val="-2"/>
        </w:rPr>
        <w:t>Overlap</w:t>
      </w:r>
    </w:p>
    <w:p>
      <w:pPr>
        <w:pStyle w:val="BodyText"/>
        <w:spacing w:line="328" w:lineRule="exact" w:before="218"/>
        <w:ind w:left="709" w:right="990"/>
        <w:jc w:val="both"/>
      </w:pPr>
      <w:r>
        <w:rPr/>
        <w:t>For</w:t>
      </w:r>
      <w:r>
        <w:rPr>
          <w:spacing w:val="-9"/>
        </w:rPr>
        <w:t> </w:t>
      </w:r>
      <w:r>
        <w:rPr/>
        <w:t>the</w:t>
      </w:r>
      <w:r>
        <w:rPr>
          <w:spacing w:val="-9"/>
        </w:rPr>
        <w:t> </w:t>
      </w:r>
      <w:r>
        <w:rPr/>
        <w:t>48</w:t>
      </w:r>
      <w:r>
        <w:rPr>
          <w:spacing w:val="-9"/>
        </w:rPr>
        <w:t> </w:t>
      </w:r>
      <w:r>
        <w:rPr/>
        <w:t>RDD</w:t>
      </w:r>
      <w:r>
        <w:rPr>
          <w:spacing w:val="-9"/>
        </w:rPr>
        <w:t> </w:t>
      </w:r>
      <w:r>
        <w:rPr/>
        <w:t>rules,</w:t>
      </w:r>
      <w:r>
        <w:rPr>
          <w:spacing w:val="-9"/>
        </w:rPr>
        <w:t> </w:t>
      </w:r>
      <w:r>
        <w:rPr/>
        <w:t>there</w:t>
      </w:r>
      <w:r>
        <w:rPr>
          <w:spacing w:val="-9"/>
        </w:rPr>
        <w:t> </w:t>
      </w:r>
      <w:r>
        <w:rPr/>
        <w:t>are</w:t>
      </w:r>
      <w:r>
        <w:rPr>
          <w:spacing w:val="-9"/>
        </w:rPr>
        <w:t> </w:t>
      </w:r>
      <w:r>
        <w:rPr/>
        <w:t>48</w:t>
      </w:r>
      <w:r>
        <w:rPr>
          <w:rFonts w:ascii="Meiryo UI" w:hAnsi="Meiryo UI"/>
          <w:i/>
        </w:rPr>
        <w:t>×</w:t>
      </w:r>
      <w:r>
        <w:rPr/>
        <w:t>47/2</w:t>
      </w:r>
      <w:r>
        <w:rPr>
          <w:spacing w:val="-9"/>
        </w:rPr>
        <w:t> </w:t>
      </w:r>
      <w:r>
        <w:rPr/>
        <w:t>=</w:t>
      </w:r>
      <w:r>
        <w:rPr>
          <w:spacing w:val="-9"/>
        </w:rPr>
        <w:t> </w:t>
      </w:r>
      <w:r>
        <w:rPr/>
        <w:t>1,128</w:t>
      </w:r>
      <w:r>
        <w:rPr>
          <w:spacing w:val="-9"/>
        </w:rPr>
        <w:t> </w:t>
      </w:r>
      <w:r>
        <w:rPr/>
        <w:t>unique</w:t>
      </w:r>
      <w:r>
        <w:rPr>
          <w:spacing w:val="-9"/>
        </w:rPr>
        <w:t> </w:t>
      </w:r>
      <w:r>
        <w:rPr/>
        <w:t>rule</w:t>
      </w:r>
      <w:r>
        <w:rPr>
          <w:spacing w:val="-9"/>
        </w:rPr>
        <w:t> </w:t>
      </w:r>
      <w:r>
        <w:rPr/>
        <w:t>pairs. Analysis</w:t>
      </w:r>
      <w:r>
        <w:rPr>
          <w:spacing w:val="-9"/>
        </w:rPr>
        <w:t> </w:t>
      </w:r>
      <w:r>
        <w:rPr/>
        <w:t>of</w:t>
      </w:r>
      <w:r>
        <w:rPr>
          <w:spacing w:val="-9"/>
        </w:rPr>
        <w:t> </w:t>
      </w:r>
      <w:r>
        <w:rPr/>
        <w:t>the</w:t>
      </w:r>
      <w:r>
        <w:rPr>
          <w:spacing w:val="-9"/>
        </w:rPr>
        <w:t> </w:t>
      </w:r>
      <w:r>
        <w:rPr/>
        <w:t>full</w:t>
      </w:r>
      <w:r>
        <w:rPr>
          <w:spacing w:val="-9"/>
        </w:rPr>
        <w:t> </w:t>
      </w:r>
      <w:r>
        <w:rPr/>
        <w:t>RDD</w:t>
      </w:r>
      <w:r>
        <w:rPr>
          <w:spacing w:val="-9"/>
        </w:rPr>
        <w:t> </w:t>
      </w:r>
      <w:r>
        <w:rPr/>
        <w:t>rule </w:t>
      </w:r>
      <w:r>
        <w:rPr>
          <w:spacing w:val="-2"/>
        </w:rPr>
        <w:t>set</w:t>
      </w:r>
      <w:r>
        <w:rPr>
          <w:spacing w:val="-12"/>
        </w:rPr>
        <w:t> </w:t>
      </w:r>
      <w:r>
        <w:rPr>
          <w:spacing w:val="-2"/>
        </w:rPr>
        <w:t>shows</w:t>
      </w:r>
      <w:r>
        <w:rPr>
          <w:spacing w:val="-12"/>
        </w:rPr>
        <w:t> </w:t>
      </w:r>
      <w:r>
        <w:rPr>
          <w:spacing w:val="-2"/>
        </w:rPr>
        <w:t>that</w:t>
      </w:r>
      <w:r>
        <w:rPr>
          <w:spacing w:val="-11"/>
        </w:rPr>
        <w:t> </w:t>
      </w:r>
      <w:r>
        <w:rPr>
          <w:spacing w:val="-2"/>
        </w:rPr>
        <w:t>730</w:t>
      </w:r>
      <w:r>
        <w:rPr>
          <w:spacing w:val="-12"/>
        </w:rPr>
        <w:t> </w:t>
      </w:r>
      <w:r>
        <w:rPr>
          <w:spacing w:val="-2"/>
        </w:rPr>
        <w:t>of</w:t>
      </w:r>
      <w:r>
        <w:rPr>
          <w:spacing w:val="-12"/>
        </w:rPr>
        <w:t> </w:t>
      </w:r>
      <w:r>
        <w:rPr>
          <w:spacing w:val="-2"/>
        </w:rPr>
        <w:t>these</w:t>
      </w:r>
      <w:r>
        <w:rPr>
          <w:spacing w:val="-11"/>
        </w:rPr>
        <w:t> </w:t>
      </w:r>
      <w:r>
        <w:rPr>
          <w:spacing w:val="-2"/>
        </w:rPr>
        <w:t>1,128</w:t>
      </w:r>
      <w:r>
        <w:rPr>
          <w:spacing w:val="-12"/>
        </w:rPr>
        <w:t> </w:t>
      </w:r>
      <w:r>
        <w:rPr>
          <w:spacing w:val="-2"/>
        </w:rPr>
        <w:t>pairs</w:t>
      </w:r>
      <w:r>
        <w:rPr>
          <w:spacing w:val="-12"/>
        </w:rPr>
        <w:t> </w:t>
      </w:r>
      <w:r>
        <w:rPr>
          <w:spacing w:val="-2"/>
        </w:rPr>
        <w:t>(64.7%)</w:t>
      </w:r>
      <w:r>
        <w:rPr>
          <w:spacing w:val="-11"/>
        </w:rPr>
        <w:t> </w:t>
      </w:r>
      <w:r>
        <w:rPr>
          <w:spacing w:val="-2"/>
        </w:rPr>
        <w:t>share</w:t>
      </w:r>
      <w:r>
        <w:rPr>
          <w:spacing w:val="-12"/>
        </w:rPr>
        <w:t> </w:t>
      </w:r>
      <w:r>
        <w:rPr>
          <w:spacing w:val="-2"/>
        </w:rPr>
        <w:t>at</w:t>
      </w:r>
      <w:r>
        <w:rPr>
          <w:spacing w:val="-12"/>
        </w:rPr>
        <w:t> </w:t>
      </w:r>
      <w:r>
        <w:rPr>
          <w:spacing w:val="-2"/>
        </w:rPr>
        <w:t>least</w:t>
      </w:r>
      <w:r>
        <w:rPr>
          <w:spacing w:val="-11"/>
        </w:rPr>
        <w:t> </w:t>
      </w:r>
      <w:r>
        <w:rPr>
          <w:spacing w:val="-2"/>
        </w:rPr>
        <w:t>one</w:t>
      </w:r>
      <w:r>
        <w:rPr>
          <w:spacing w:val="-12"/>
        </w:rPr>
        <w:t> </w:t>
      </w:r>
      <w:r>
        <w:rPr>
          <w:spacing w:val="-2"/>
        </w:rPr>
        <w:t>feature</w:t>
      </w:r>
      <w:r>
        <w:rPr>
          <w:spacing w:val="-12"/>
        </w:rPr>
        <w:t> </w:t>
      </w:r>
      <w:r>
        <w:rPr>
          <w:spacing w:val="-2"/>
        </w:rPr>
        <w:t>variable.</w:t>
      </w:r>
      <w:r>
        <w:rPr>
          <w:spacing w:val="3"/>
        </w:rPr>
        <w:t> </w:t>
      </w:r>
      <w:r>
        <w:rPr>
          <w:spacing w:val="-2"/>
        </w:rPr>
        <w:t>This</w:t>
      </w:r>
      <w:r>
        <w:rPr>
          <w:spacing w:val="-12"/>
        </w:rPr>
        <w:t> </w:t>
      </w:r>
      <w:r>
        <w:rPr>
          <w:spacing w:val="-2"/>
        </w:rPr>
        <w:t>high</w:t>
      </w:r>
      <w:r>
        <w:rPr>
          <w:spacing w:val="-12"/>
        </w:rPr>
        <w:t> </w:t>
      </w:r>
      <w:r>
        <w:rPr>
          <w:spacing w:val="-2"/>
        </w:rPr>
        <w:t>overlap </w:t>
      </w:r>
      <w:r>
        <w:rPr/>
        <w:t>figure might seem to indicate redundancy, but it is expected and informative for two reasons.</w:t>
      </w:r>
    </w:p>
    <w:p>
      <w:pPr>
        <w:pStyle w:val="BodyText"/>
        <w:spacing w:line="312" w:lineRule="auto" w:before="88"/>
        <w:ind w:left="702" w:right="952" w:firstLine="345"/>
        <w:jc w:val="both"/>
      </w:pPr>
      <w:r>
        <w:rPr/>
        <w:t>First,</w:t>
      </w:r>
      <w:r>
        <w:rPr>
          <w:spacing w:val="-16"/>
        </w:rPr>
        <w:t> </w:t>
      </w:r>
      <w:r>
        <w:rPr/>
        <w:t>CarenR</w:t>
      </w:r>
      <w:r>
        <w:rPr>
          <w:spacing w:val="-14"/>
        </w:rPr>
        <w:t> </w:t>
      </w:r>
      <w:r>
        <w:rPr/>
        <w:t>by</w:t>
      </w:r>
      <w:r>
        <w:rPr>
          <w:spacing w:val="-14"/>
        </w:rPr>
        <w:t> </w:t>
      </w:r>
      <w:r>
        <w:rPr/>
        <w:t>design</w:t>
      </w:r>
      <w:r>
        <w:rPr>
          <w:spacing w:val="-13"/>
        </w:rPr>
        <w:t> </w:t>
      </w:r>
      <w:r>
        <w:rPr/>
        <w:t>generates</w:t>
      </w:r>
      <w:r>
        <w:rPr>
          <w:spacing w:val="-14"/>
        </w:rPr>
        <w:t> </w:t>
      </w:r>
      <w:r>
        <w:rPr/>
        <w:t>overlapping</w:t>
      </w:r>
      <w:r>
        <w:rPr>
          <w:spacing w:val="-14"/>
        </w:rPr>
        <w:t> </w:t>
      </w:r>
      <w:r>
        <w:rPr/>
        <w:t>subgroups:</w:t>
      </w:r>
      <w:r>
        <w:rPr>
          <w:spacing w:val="-14"/>
        </w:rPr>
        <w:t> </w:t>
      </w:r>
      <w:r>
        <w:rPr/>
        <w:t>a</w:t>
      </w:r>
      <w:r>
        <w:rPr>
          <w:spacing w:val="-13"/>
        </w:rPr>
        <w:t> </w:t>
      </w:r>
      <w:r>
        <w:rPr/>
        <w:t>rule</w:t>
      </w:r>
      <w:r>
        <w:rPr>
          <w:spacing w:val="-14"/>
        </w:rPr>
        <w:t> </w:t>
      </w:r>
      <w:r>
        <w:rPr/>
        <w:t>like</w:t>
      </w:r>
      <w:r>
        <w:rPr>
          <w:spacing w:val="-14"/>
        </w:rPr>
        <w:t> </w:t>
      </w:r>
      <w:r>
        <w:rPr/>
        <w:t>“dry</w:t>
      </w:r>
      <w:r>
        <w:rPr>
          <w:spacing w:val="-14"/>
        </w:rPr>
        <w:t> </w:t>
      </w:r>
      <w:r>
        <w:rPr/>
        <w:t>post-flowering</w:t>
      </w:r>
      <w:r>
        <w:rPr>
          <w:spacing w:val="-13"/>
        </w:rPr>
        <w:t> </w:t>
      </w:r>
      <w:r>
        <w:rPr/>
        <w:t>AND dry post-maturity” and a rule like “dry post-flowering AND moderate soil water at harvest” will share</w:t>
      </w:r>
      <w:r>
        <w:rPr>
          <w:spacing w:val="-3"/>
        </w:rPr>
        <w:t> </w:t>
      </w:r>
      <w:r>
        <w:rPr/>
        <w:t>the</w:t>
      </w:r>
      <w:r>
        <w:rPr>
          <w:spacing w:val="-3"/>
        </w:rPr>
        <w:t> </w:t>
      </w:r>
      <w:r>
        <w:rPr/>
        <w:t>dry</w:t>
      </w:r>
      <w:r>
        <w:rPr>
          <w:spacing w:val="-3"/>
        </w:rPr>
        <w:t> </w:t>
      </w:r>
      <w:r>
        <w:rPr/>
        <w:t>post-flowering</w:t>
      </w:r>
      <w:r>
        <w:rPr>
          <w:spacing w:val="-3"/>
        </w:rPr>
        <w:t> </w:t>
      </w:r>
      <w:r>
        <w:rPr/>
        <w:t>condition</w:t>
      </w:r>
      <w:r>
        <w:rPr>
          <w:spacing w:val="-3"/>
        </w:rPr>
        <w:t> </w:t>
      </w:r>
      <w:r>
        <w:rPr/>
        <w:t>and</w:t>
      </w:r>
      <w:r>
        <w:rPr>
          <w:spacing w:val="-3"/>
        </w:rPr>
        <w:t> </w:t>
      </w:r>
      <w:r>
        <w:rPr/>
        <w:t>cover</w:t>
      </w:r>
      <w:r>
        <w:rPr>
          <w:spacing w:val="-3"/>
        </w:rPr>
        <w:t> </w:t>
      </w:r>
      <w:r>
        <w:rPr/>
        <w:t>many</w:t>
      </w:r>
      <w:r>
        <w:rPr>
          <w:spacing w:val="-3"/>
        </w:rPr>
        <w:t> </w:t>
      </w:r>
      <w:r>
        <w:rPr/>
        <w:t>of</w:t>
      </w:r>
      <w:r>
        <w:rPr>
          <w:spacing w:val="-3"/>
        </w:rPr>
        <w:t> </w:t>
      </w:r>
      <w:r>
        <w:rPr/>
        <w:t>the</w:t>
      </w:r>
      <w:r>
        <w:rPr>
          <w:spacing w:val="-3"/>
        </w:rPr>
        <w:t> </w:t>
      </w:r>
      <w:r>
        <w:rPr/>
        <w:t>same</w:t>
      </w:r>
      <w:r>
        <w:rPr>
          <w:spacing w:val="-3"/>
        </w:rPr>
        <w:t> </w:t>
      </w:r>
      <w:r>
        <w:rPr/>
        <w:t>years. These</w:t>
      </w:r>
      <w:r>
        <w:rPr>
          <w:spacing w:val="-3"/>
        </w:rPr>
        <w:t> </w:t>
      </w:r>
      <w:r>
        <w:rPr/>
        <w:t>are</w:t>
      </w:r>
      <w:r>
        <w:rPr>
          <w:spacing w:val="-3"/>
        </w:rPr>
        <w:t> </w:t>
      </w:r>
      <w:r>
        <w:rPr/>
        <w:t>not</w:t>
      </w:r>
      <w:r>
        <w:rPr>
          <w:spacing w:val="-3"/>
        </w:rPr>
        <w:t> </w:t>
      </w:r>
      <w:r>
        <w:rPr/>
        <w:t>the</w:t>
      </w:r>
      <w:r>
        <w:rPr>
          <w:spacing w:val="-3"/>
        </w:rPr>
        <w:t> </w:t>
      </w:r>
      <w:r>
        <w:rPr/>
        <w:t>same rule, the second condition differs, and the subgroups may cover different years at the margins. Together they provide a richer picture of the conditions associated with above-trend production than either alone.</w:t>
      </w:r>
    </w:p>
    <w:p>
      <w:pPr>
        <w:pStyle w:val="BodyText"/>
        <w:spacing w:after="0" w:line="312" w:lineRule="auto"/>
        <w:jc w:val="both"/>
        <w:sectPr>
          <w:headerReference w:type="default" r:id="rId72"/>
          <w:headerReference w:type="even" r:id="rId73"/>
          <w:pgSz w:w="11910" w:h="16840"/>
          <w:pgMar w:header="1160" w:footer="0" w:top="1420" w:bottom="280" w:left="1275" w:right="425"/>
          <w:pgNumType w:start="49"/>
        </w:sectPr>
      </w:pPr>
    </w:p>
    <w:p>
      <w:pPr>
        <w:pStyle w:val="BodyText"/>
      </w:pPr>
    </w:p>
    <w:p>
      <w:pPr>
        <w:pStyle w:val="BodyText"/>
        <w:spacing w:before="25"/>
      </w:pPr>
    </w:p>
    <w:p>
      <w:pPr>
        <w:pStyle w:val="BodyText"/>
        <w:spacing w:line="312" w:lineRule="auto" w:before="1"/>
        <w:ind w:left="142" w:right="1557" w:firstLine="338"/>
        <w:jc w:val="both"/>
      </w:pPr>
      <w:r>
        <w:rPr/>
        <w:t>Second,</w:t>
      </w:r>
      <w:r>
        <w:rPr>
          <w:spacing w:val="-13"/>
        </w:rPr>
        <w:t> </w:t>
      </w:r>
      <w:r>
        <w:rPr/>
        <w:t>the</w:t>
      </w:r>
      <w:r>
        <w:rPr>
          <w:spacing w:val="-13"/>
        </w:rPr>
        <w:t> </w:t>
      </w:r>
      <w:r>
        <w:rPr/>
        <w:t>overlap</w:t>
      </w:r>
      <w:r>
        <w:rPr>
          <w:spacing w:val="-13"/>
        </w:rPr>
        <w:t> </w:t>
      </w:r>
      <w:r>
        <w:rPr/>
        <w:t>pattern</w:t>
      </w:r>
      <w:r>
        <w:rPr>
          <w:spacing w:val="-13"/>
        </w:rPr>
        <w:t> </w:t>
      </w:r>
      <w:r>
        <w:rPr/>
        <w:t>itself</w:t>
      </w:r>
      <w:r>
        <w:rPr>
          <w:spacing w:val="-13"/>
        </w:rPr>
        <w:t> </w:t>
      </w:r>
      <w:r>
        <w:rPr/>
        <w:t>reveals</w:t>
      </w:r>
      <w:r>
        <w:rPr>
          <w:spacing w:val="-13"/>
        </w:rPr>
        <w:t> </w:t>
      </w:r>
      <w:r>
        <w:rPr/>
        <w:t>which</w:t>
      </w:r>
      <w:r>
        <w:rPr>
          <w:spacing w:val="-13"/>
        </w:rPr>
        <w:t> </w:t>
      </w:r>
      <w:r>
        <w:rPr/>
        <w:t>features</w:t>
      </w:r>
      <w:r>
        <w:rPr>
          <w:spacing w:val="-13"/>
        </w:rPr>
        <w:t> </w:t>
      </w:r>
      <w:r>
        <w:rPr/>
        <w:t>are</w:t>
      </w:r>
      <w:r>
        <w:rPr>
          <w:spacing w:val="-13"/>
        </w:rPr>
        <w:t> </w:t>
      </w:r>
      <w:r>
        <w:rPr/>
        <w:t>the</w:t>
      </w:r>
      <w:r>
        <w:rPr>
          <w:spacing w:val="-13"/>
        </w:rPr>
        <w:t> </w:t>
      </w:r>
      <w:r>
        <w:rPr/>
        <w:t>structural</w:t>
      </w:r>
      <w:r>
        <w:rPr>
          <w:spacing w:val="-13"/>
        </w:rPr>
        <w:t> </w:t>
      </w:r>
      <w:r>
        <w:rPr/>
        <w:t>backbone</w:t>
      </w:r>
      <w:r>
        <w:rPr>
          <w:spacing w:val="-13"/>
        </w:rPr>
        <w:t> </w:t>
      </w:r>
      <w:r>
        <w:rPr/>
        <w:t>of</w:t>
      </w:r>
      <w:r>
        <w:rPr>
          <w:spacing w:val="-13"/>
        </w:rPr>
        <w:t> </w:t>
      </w:r>
      <w:r>
        <w:rPr/>
        <w:t>the</w:t>
      </w:r>
      <w:r>
        <w:rPr>
          <w:spacing w:val="-13"/>
        </w:rPr>
        <w:t> </w:t>
      </w:r>
      <w:r>
        <w:rPr/>
        <w:t>rule set. A</w:t>
      </w:r>
      <w:r>
        <w:rPr>
          <w:spacing w:val="-9"/>
        </w:rPr>
        <w:t> </w:t>
      </w:r>
      <w:r>
        <w:rPr/>
        <w:t>feature</w:t>
      </w:r>
      <w:r>
        <w:rPr>
          <w:spacing w:val="-9"/>
        </w:rPr>
        <w:t> </w:t>
      </w:r>
      <w:r>
        <w:rPr/>
        <w:t>that</w:t>
      </w:r>
      <w:r>
        <w:rPr>
          <w:spacing w:val="-9"/>
        </w:rPr>
        <w:t> </w:t>
      </w:r>
      <w:r>
        <w:rPr/>
        <w:t>appears</w:t>
      </w:r>
      <w:r>
        <w:rPr>
          <w:spacing w:val="-9"/>
        </w:rPr>
        <w:t> </w:t>
      </w:r>
      <w:r>
        <w:rPr/>
        <w:t>in</w:t>
      </w:r>
      <w:r>
        <w:rPr>
          <w:spacing w:val="-9"/>
        </w:rPr>
        <w:t> </w:t>
      </w:r>
      <w:r>
        <w:rPr/>
        <w:t>26</w:t>
      </w:r>
      <w:r>
        <w:rPr>
          <w:spacing w:val="-9"/>
        </w:rPr>
        <w:t> </w:t>
      </w:r>
      <w:r>
        <w:rPr/>
        <w:t>of</w:t>
      </w:r>
      <w:r>
        <w:rPr>
          <w:spacing w:val="-9"/>
        </w:rPr>
        <w:t> </w:t>
      </w:r>
      <w:r>
        <w:rPr/>
        <w:t>48</w:t>
      </w:r>
      <w:r>
        <w:rPr>
          <w:spacing w:val="-9"/>
        </w:rPr>
        <w:t> </w:t>
      </w:r>
      <w:r>
        <w:rPr/>
        <w:t>rules</w:t>
      </w:r>
      <w:r>
        <w:rPr>
          <w:spacing w:val="-9"/>
        </w:rPr>
        <w:t> </w:t>
      </w:r>
      <w:r>
        <w:rPr/>
        <w:t>(swa_hv_y1_b20)</w:t>
      </w:r>
      <w:r>
        <w:rPr>
          <w:spacing w:val="-9"/>
        </w:rPr>
        <w:t> </w:t>
      </w:r>
      <w:r>
        <w:rPr/>
        <w:t>will</w:t>
      </w:r>
      <w:r>
        <w:rPr>
          <w:spacing w:val="-9"/>
        </w:rPr>
        <w:t> </w:t>
      </w:r>
      <w:r>
        <w:rPr/>
        <w:t>be</w:t>
      </w:r>
      <w:r>
        <w:rPr>
          <w:spacing w:val="-9"/>
        </w:rPr>
        <w:t> </w:t>
      </w:r>
      <w:r>
        <w:rPr/>
        <w:t>shared</w:t>
      </w:r>
      <w:r>
        <w:rPr>
          <w:spacing w:val="-9"/>
        </w:rPr>
        <w:t> </w:t>
      </w:r>
      <w:r>
        <w:rPr/>
        <w:t>by</w:t>
      </w:r>
      <w:r>
        <w:rPr>
          <w:spacing w:val="-9"/>
        </w:rPr>
        <w:t> </w:t>
      </w:r>
      <w:r>
        <w:rPr/>
        <w:t>a</w:t>
      </w:r>
      <w:r>
        <w:rPr>
          <w:spacing w:val="-9"/>
        </w:rPr>
        <w:t> </w:t>
      </w:r>
      <w:r>
        <w:rPr/>
        <w:t>large</w:t>
      </w:r>
      <w:r>
        <w:rPr>
          <w:spacing w:val="-9"/>
        </w:rPr>
        <w:t> </w:t>
      </w:r>
      <w:r>
        <w:rPr/>
        <w:t>fraction</w:t>
      </w:r>
      <w:r>
        <w:rPr>
          <w:spacing w:val="-9"/>
        </w:rPr>
        <w:t> </w:t>
      </w:r>
      <w:r>
        <w:rPr/>
        <w:t>of all rule pairs simply because it appears so often. The overlap is not noise, it reflects the fact that harvest</w:t>
      </w:r>
      <w:r>
        <w:rPr>
          <w:spacing w:val="-11"/>
        </w:rPr>
        <w:t> </w:t>
      </w:r>
      <w:r>
        <w:rPr/>
        <w:t>soil</w:t>
      </w:r>
      <w:r>
        <w:rPr>
          <w:spacing w:val="-11"/>
        </w:rPr>
        <w:t> </w:t>
      </w:r>
      <w:r>
        <w:rPr/>
        <w:t>water</w:t>
      </w:r>
      <w:r>
        <w:rPr>
          <w:spacing w:val="-11"/>
        </w:rPr>
        <w:t> </w:t>
      </w:r>
      <w:r>
        <w:rPr/>
        <w:t>is</w:t>
      </w:r>
      <w:r>
        <w:rPr>
          <w:spacing w:val="-11"/>
        </w:rPr>
        <w:t> </w:t>
      </w:r>
      <w:r>
        <w:rPr/>
        <w:t>the</w:t>
      </w:r>
      <w:r>
        <w:rPr>
          <w:spacing w:val="-11"/>
        </w:rPr>
        <w:t> </w:t>
      </w:r>
      <w:r>
        <w:rPr/>
        <w:t>dominant</w:t>
      </w:r>
      <w:r>
        <w:rPr>
          <w:spacing w:val="-11"/>
        </w:rPr>
        <w:t> </w:t>
      </w:r>
      <w:r>
        <w:rPr/>
        <w:t>discriminating</w:t>
      </w:r>
      <w:r>
        <w:rPr>
          <w:spacing w:val="-11"/>
        </w:rPr>
        <w:t> </w:t>
      </w:r>
      <w:r>
        <w:rPr/>
        <w:t>condition,</w:t>
      </w:r>
      <w:r>
        <w:rPr>
          <w:spacing w:val="-11"/>
        </w:rPr>
        <w:t> </w:t>
      </w:r>
      <w:r>
        <w:rPr/>
        <w:t>and</w:t>
      </w:r>
      <w:r>
        <w:rPr>
          <w:spacing w:val="-11"/>
        </w:rPr>
        <w:t> </w:t>
      </w:r>
      <w:r>
        <w:rPr/>
        <w:t>most</w:t>
      </w:r>
      <w:r>
        <w:rPr>
          <w:spacing w:val="-11"/>
        </w:rPr>
        <w:t> </w:t>
      </w:r>
      <w:r>
        <w:rPr/>
        <w:t>above-trend</w:t>
      </w:r>
      <w:r>
        <w:rPr>
          <w:spacing w:val="-11"/>
        </w:rPr>
        <w:t> </w:t>
      </w:r>
      <w:r>
        <w:rPr/>
        <w:t>years</w:t>
      </w:r>
      <w:r>
        <w:rPr>
          <w:spacing w:val="-11"/>
        </w:rPr>
        <w:t> </w:t>
      </w:r>
      <w:r>
        <w:rPr/>
        <w:t>share</w:t>
      </w:r>
      <w:r>
        <w:rPr>
          <w:spacing w:val="-11"/>
        </w:rPr>
        <w:t> </w:t>
      </w:r>
      <w:r>
        <w:rPr/>
        <w:t>this characteristic in combination with various secondary conditions.</w:t>
      </w:r>
    </w:p>
    <w:p>
      <w:pPr>
        <w:pStyle w:val="BodyText"/>
        <w:spacing w:line="297" w:lineRule="exact"/>
        <w:ind w:left="481"/>
      </w:pPr>
      <w:r>
        <w:rPr/>
        <w:t>For</w:t>
      </w:r>
      <w:r>
        <w:rPr>
          <w:spacing w:val="-3"/>
        </w:rPr>
        <w:t> </w:t>
      </w:r>
      <w:r>
        <w:rPr/>
        <w:t>the</w:t>
      </w:r>
      <w:r>
        <w:rPr>
          <w:spacing w:val="-3"/>
        </w:rPr>
        <w:t> </w:t>
      </w:r>
      <w:r>
        <w:rPr/>
        <w:t>20</w:t>
      </w:r>
      <w:r>
        <w:rPr>
          <w:spacing w:val="-3"/>
        </w:rPr>
        <w:t> </w:t>
      </w:r>
      <w:r>
        <w:rPr/>
        <w:t>RVV</w:t>
      </w:r>
      <w:r>
        <w:rPr>
          <w:spacing w:val="-3"/>
        </w:rPr>
        <w:t> </w:t>
      </w:r>
      <w:r>
        <w:rPr/>
        <w:t>rules,</w:t>
      </w:r>
      <w:r>
        <w:rPr>
          <w:spacing w:val="-3"/>
        </w:rPr>
        <w:t> </w:t>
      </w:r>
      <w:r>
        <w:rPr/>
        <w:t>there</w:t>
      </w:r>
      <w:r>
        <w:rPr>
          <w:spacing w:val="-3"/>
        </w:rPr>
        <w:t> </w:t>
      </w:r>
      <w:r>
        <w:rPr/>
        <w:t>are</w:t>
      </w:r>
      <w:r>
        <w:rPr>
          <w:spacing w:val="-3"/>
        </w:rPr>
        <w:t> </w:t>
      </w:r>
      <w:r>
        <w:rPr/>
        <w:t>20</w:t>
      </w:r>
      <w:r>
        <w:rPr>
          <w:rFonts w:ascii="Meiryo UI" w:hAnsi="Meiryo UI"/>
          <w:i/>
        </w:rPr>
        <w:t>×</w:t>
      </w:r>
      <w:r>
        <w:rPr/>
        <w:t>19/2</w:t>
      </w:r>
      <w:r>
        <w:rPr>
          <w:spacing w:val="-2"/>
        </w:rPr>
        <w:t> </w:t>
      </w:r>
      <w:r>
        <w:rPr/>
        <w:t>=</w:t>
      </w:r>
      <w:r>
        <w:rPr>
          <w:spacing w:val="-3"/>
        </w:rPr>
        <w:t> </w:t>
      </w:r>
      <w:r>
        <w:rPr/>
        <w:t>190</w:t>
      </w:r>
      <w:r>
        <w:rPr>
          <w:spacing w:val="-3"/>
        </w:rPr>
        <w:t> </w:t>
      </w:r>
      <w:r>
        <w:rPr/>
        <w:t>unique</w:t>
      </w:r>
      <w:r>
        <w:rPr>
          <w:spacing w:val="-3"/>
        </w:rPr>
        <w:t> </w:t>
      </w:r>
      <w:r>
        <w:rPr/>
        <w:t>rule</w:t>
      </w:r>
      <w:r>
        <w:rPr>
          <w:spacing w:val="-3"/>
        </w:rPr>
        <w:t> </w:t>
      </w:r>
      <w:r>
        <w:rPr/>
        <w:t>pairs,</w:t>
      </w:r>
      <w:r>
        <w:rPr>
          <w:spacing w:val="-3"/>
        </w:rPr>
        <w:t> </w:t>
      </w:r>
      <w:r>
        <w:rPr/>
        <w:t>of</w:t>
      </w:r>
      <w:r>
        <w:rPr>
          <w:spacing w:val="-3"/>
        </w:rPr>
        <w:t> </w:t>
      </w:r>
      <w:r>
        <w:rPr/>
        <w:t>which</w:t>
      </w:r>
      <w:r>
        <w:rPr>
          <w:spacing w:val="-3"/>
        </w:rPr>
        <w:t> </w:t>
      </w:r>
      <w:r>
        <w:rPr/>
        <w:t>95</w:t>
      </w:r>
      <w:r>
        <w:rPr>
          <w:spacing w:val="-2"/>
        </w:rPr>
        <w:t> </w:t>
      </w:r>
      <w:r>
        <w:rPr/>
        <w:t>(50.0%)</w:t>
      </w:r>
      <w:r>
        <w:rPr>
          <w:spacing w:val="-3"/>
        </w:rPr>
        <w:t> </w:t>
      </w:r>
      <w:r>
        <w:rPr>
          <w:spacing w:val="-2"/>
        </w:rPr>
        <w:t>share</w:t>
      </w:r>
    </w:p>
    <w:p>
      <w:pPr>
        <w:pStyle w:val="BodyText"/>
        <w:spacing w:line="312" w:lineRule="auto" w:before="31"/>
        <w:ind w:left="142" w:right="1557"/>
        <w:jc w:val="both"/>
      </w:pPr>
      <w:r>
        <w:rPr/>
        <w:t>at</w:t>
      </w:r>
      <w:r>
        <w:rPr>
          <w:spacing w:val="-6"/>
        </w:rPr>
        <w:t> </w:t>
      </w:r>
      <w:r>
        <w:rPr/>
        <w:t>least</w:t>
      </w:r>
      <w:r>
        <w:rPr>
          <w:spacing w:val="-6"/>
        </w:rPr>
        <w:t> </w:t>
      </w:r>
      <w:r>
        <w:rPr/>
        <w:t>one</w:t>
      </w:r>
      <w:r>
        <w:rPr>
          <w:spacing w:val="-6"/>
        </w:rPr>
        <w:t> </w:t>
      </w:r>
      <w:r>
        <w:rPr/>
        <w:t>feature</w:t>
      </w:r>
      <w:r>
        <w:rPr>
          <w:spacing w:val="-6"/>
        </w:rPr>
        <w:t> </w:t>
      </w:r>
      <w:r>
        <w:rPr/>
        <w:t>variable. The</w:t>
      </w:r>
      <w:r>
        <w:rPr>
          <w:spacing w:val="-6"/>
        </w:rPr>
        <w:t> </w:t>
      </w:r>
      <w:r>
        <w:rPr/>
        <w:t>lower</w:t>
      </w:r>
      <w:r>
        <w:rPr>
          <w:spacing w:val="-6"/>
        </w:rPr>
        <w:t> </w:t>
      </w:r>
      <w:r>
        <w:rPr/>
        <w:t>overlap</w:t>
      </w:r>
      <w:r>
        <w:rPr>
          <w:spacing w:val="-6"/>
        </w:rPr>
        <w:t> </w:t>
      </w:r>
      <w:r>
        <w:rPr/>
        <w:t>rate</w:t>
      </w:r>
      <w:r>
        <w:rPr>
          <w:spacing w:val="-6"/>
        </w:rPr>
        <w:t> </w:t>
      </w:r>
      <w:r>
        <w:rPr/>
        <w:t>compared</w:t>
      </w:r>
      <w:r>
        <w:rPr>
          <w:spacing w:val="-6"/>
        </w:rPr>
        <w:t> </w:t>
      </w:r>
      <w:r>
        <w:rPr/>
        <w:t>to</w:t>
      </w:r>
      <w:r>
        <w:rPr>
          <w:spacing w:val="-6"/>
        </w:rPr>
        <w:t> </w:t>
      </w:r>
      <w:r>
        <w:rPr/>
        <w:t>RDD</w:t>
      </w:r>
      <w:r>
        <w:rPr>
          <w:spacing w:val="-6"/>
        </w:rPr>
        <w:t> </w:t>
      </w:r>
      <w:r>
        <w:rPr/>
        <w:t>(50.0%</w:t>
      </w:r>
      <w:r>
        <w:rPr>
          <w:spacing w:val="-6"/>
        </w:rPr>
        <w:t> </w:t>
      </w:r>
      <w:r>
        <w:rPr/>
        <w:t>vs</w:t>
      </w:r>
      <w:r>
        <w:rPr>
          <w:spacing w:val="-6"/>
        </w:rPr>
        <w:t> </w:t>
      </w:r>
      <w:r>
        <w:rPr/>
        <w:t>64.7%)</w:t>
      </w:r>
      <w:r>
        <w:rPr>
          <w:spacing w:val="-6"/>
        </w:rPr>
        <w:t> </w:t>
      </w:r>
      <w:r>
        <w:rPr/>
        <w:t>reflects the</w:t>
      </w:r>
      <w:r>
        <w:rPr>
          <w:spacing w:val="-1"/>
        </w:rPr>
        <w:t> </w:t>
      </w:r>
      <w:r>
        <w:rPr/>
        <w:t>smaller</w:t>
      </w:r>
      <w:r>
        <w:rPr>
          <w:spacing w:val="-1"/>
        </w:rPr>
        <w:t> </w:t>
      </w:r>
      <w:r>
        <w:rPr/>
        <w:t>and</w:t>
      </w:r>
      <w:r>
        <w:rPr>
          <w:spacing w:val="-1"/>
        </w:rPr>
        <w:t> </w:t>
      </w:r>
      <w:r>
        <w:rPr/>
        <w:t>more</w:t>
      </w:r>
      <w:r>
        <w:rPr>
          <w:spacing w:val="-1"/>
        </w:rPr>
        <w:t> </w:t>
      </w:r>
      <w:r>
        <w:rPr/>
        <w:t>tightly</w:t>
      </w:r>
      <w:r>
        <w:rPr>
          <w:spacing w:val="-1"/>
        </w:rPr>
        <w:t> </w:t>
      </w:r>
      <w:r>
        <w:rPr/>
        <w:t>organised</w:t>
      </w:r>
      <w:r>
        <w:rPr>
          <w:spacing w:val="-1"/>
        </w:rPr>
        <w:t> </w:t>
      </w:r>
      <w:r>
        <w:rPr/>
        <w:t>rule</w:t>
      </w:r>
      <w:r>
        <w:rPr>
          <w:spacing w:val="-1"/>
        </w:rPr>
        <w:t> </w:t>
      </w:r>
      <w:r>
        <w:rPr/>
        <w:t>set: with</w:t>
      </w:r>
      <w:r>
        <w:rPr>
          <w:spacing w:val="-1"/>
        </w:rPr>
        <w:t> </w:t>
      </w:r>
      <w:r>
        <w:rPr/>
        <w:t>only</w:t>
      </w:r>
      <w:r>
        <w:rPr>
          <w:spacing w:val="-1"/>
        </w:rPr>
        <w:t> </w:t>
      </w:r>
      <w:r>
        <w:rPr/>
        <w:t>20</w:t>
      </w:r>
      <w:r>
        <w:rPr>
          <w:spacing w:val="-1"/>
        </w:rPr>
        <w:t> </w:t>
      </w:r>
      <w:r>
        <w:rPr/>
        <w:t>rules</w:t>
      </w:r>
      <w:r>
        <w:rPr>
          <w:spacing w:val="-1"/>
        </w:rPr>
        <w:t> </w:t>
      </w:r>
      <w:r>
        <w:rPr/>
        <w:t>built</w:t>
      </w:r>
      <w:r>
        <w:rPr>
          <w:spacing w:val="-1"/>
        </w:rPr>
        <w:t> </w:t>
      </w:r>
      <w:r>
        <w:rPr/>
        <w:t>around</w:t>
      </w:r>
      <w:r>
        <w:rPr>
          <w:spacing w:val="-1"/>
        </w:rPr>
        <w:t> </w:t>
      </w:r>
      <w:r>
        <w:rPr/>
        <w:t>a</w:t>
      </w:r>
      <w:r>
        <w:rPr>
          <w:spacing w:val="-1"/>
        </w:rPr>
        <w:t> </w:t>
      </w:r>
      <w:r>
        <w:rPr/>
        <w:t>narrower</w:t>
      </w:r>
      <w:r>
        <w:rPr>
          <w:spacing w:val="-1"/>
        </w:rPr>
        <w:t> </w:t>
      </w:r>
      <w:r>
        <w:rPr/>
        <w:t>set</w:t>
      </w:r>
      <w:r>
        <w:rPr>
          <w:spacing w:val="-1"/>
        </w:rPr>
        <w:t> </w:t>
      </w:r>
      <w:r>
        <w:rPr/>
        <w:t>of dominant</w:t>
      </w:r>
      <w:r>
        <w:rPr>
          <w:spacing w:val="-16"/>
        </w:rPr>
        <w:t> </w:t>
      </w:r>
      <w:r>
        <w:rPr/>
        <w:t>conditions</w:t>
      </w:r>
      <w:r>
        <w:rPr>
          <w:spacing w:val="-14"/>
        </w:rPr>
        <w:t> </w:t>
      </w:r>
      <w:r>
        <w:rPr/>
        <w:t>(heat-stress</w:t>
      </w:r>
      <w:r>
        <w:rPr>
          <w:spacing w:val="-14"/>
        </w:rPr>
        <w:t> </w:t>
      </w:r>
      <w:r>
        <w:rPr/>
        <w:t>days</w:t>
      </w:r>
      <w:r>
        <w:rPr>
          <w:spacing w:val="-13"/>
        </w:rPr>
        <w:t> </w:t>
      </w:r>
      <w:r>
        <w:rPr/>
        <w:t>and</w:t>
      </w:r>
      <w:r>
        <w:rPr>
          <w:spacing w:val="-14"/>
        </w:rPr>
        <w:t> </w:t>
      </w:r>
      <w:r>
        <w:rPr/>
        <w:t>soil</w:t>
      </w:r>
      <w:r>
        <w:rPr>
          <w:spacing w:val="-14"/>
        </w:rPr>
        <w:t> </w:t>
      </w:r>
      <w:r>
        <w:rPr/>
        <w:t>water),</w:t>
      </w:r>
      <w:r>
        <w:rPr>
          <w:spacing w:val="-14"/>
        </w:rPr>
        <w:t> </w:t>
      </w:r>
      <w:r>
        <w:rPr/>
        <w:t>fewer</w:t>
      </w:r>
      <w:r>
        <w:rPr>
          <w:spacing w:val="-13"/>
        </w:rPr>
        <w:t> </w:t>
      </w:r>
      <w:r>
        <w:rPr/>
        <w:t>combinations</w:t>
      </w:r>
      <w:r>
        <w:rPr>
          <w:spacing w:val="-14"/>
        </w:rPr>
        <w:t> </w:t>
      </w:r>
      <w:r>
        <w:rPr/>
        <w:t>are</w:t>
      </w:r>
      <w:r>
        <w:rPr>
          <w:spacing w:val="-14"/>
        </w:rPr>
        <w:t> </w:t>
      </w:r>
      <w:r>
        <w:rPr/>
        <w:t>possible,</w:t>
      </w:r>
      <w:r>
        <w:rPr>
          <w:spacing w:val="-14"/>
        </w:rPr>
        <w:t> </w:t>
      </w:r>
      <w:r>
        <w:rPr/>
        <w:t>but</w:t>
      </w:r>
      <w:r>
        <w:rPr>
          <w:spacing w:val="-13"/>
        </w:rPr>
        <w:t> </w:t>
      </w:r>
      <w:r>
        <w:rPr/>
        <w:t>shared features are structurally expected for the same reasons as in RDD.</w:t>
      </w:r>
    </w:p>
    <w:p>
      <w:pPr>
        <w:pStyle w:val="BodyText"/>
        <w:spacing w:before="41"/>
      </w:pPr>
    </w:p>
    <w:p>
      <w:pPr>
        <w:pStyle w:val="Heading3"/>
        <w:numPr>
          <w:ilvl w:val="2"/>
          <w:numId w:val="18"/>
        </w:numPr>
        <w:tabs>
          <w:tab w:pos="859" w:val="left" w:leader="none"/>
        </w:tabs>
        <w:spacing w:line="240" w:lineRule="auto" w:before="1" w:after="0"/>
        <w:ind w:left="859" w:right="0" w:hanging="717"/>
        <w:jc w:val="left"/>
      </w:pPr>
      <w:bookmarkStart w:name="4.7.2 Unique vs Redundant Rules" w:id="163"/>
      <w:bookmarkEnd w:id="163"/>
      <w:r>
        <w:rPr>
          <w:b w:val="0"/>
        </w:rPr>
      </w:r>
      <w:bookmarkStart w:name="_bookmark93" w:id="164"/>
      <w:bookmarkEnd w:id="164"/>
      <w:r>
        <w:rPr>
          <w:b w:val="0"/>
        </w:rPr>
      </w:r>
      <w:r>
        <w:rPr/>
        <w:t>Unique</w:t>
      </w:r>
      <w:r>
        <w:rPr>
          <w:spacing w:val="-9"/>
        </w:rPr>
        <w:t> </w:t>
      </w:r>
      <w:r>
        <w:rPr/>
        <w:t>vs</w:t>
      </w:r>
      <w:r>
        <w:rPr>
          <w:spacing w:val="-8"/>
        </w:rPr>
        <w:t> </w:t>
      </w:r>
      <w:r>
        <w:rPr/>
        <w:t>Redundant</w:t>
      </w:r>
      <w:r>
        <w:rPr>
          <w:spacing w:val="-8"/>
        </w:rPr>
        <w:t> </w:t>
      </w:r>
      <w:r>
        <w:rPr>
          <w:spacing w:val="-4"/>
        </w:rPr>
        <w:t>Rules</w:t>
      </w:r>
    </w:p>
    <w:p>
      <w:pPr>
        <w:pStyle w:val="BodyText"/>
        <w:spacing w:line="312" w:lineRule="auto" w:before="218"/>
        <w:ind w:left="142" w:right="1513" w:hanging="8"/>
        <w:jc w:val="both"/>
      </w:pPr>
      <w:r>
        <w:rPr>
          <w:spacing w:val="-2"/>
        </w:rPr>
        <w:t>A</w:t>
      </w:r>
      <w:r>
        <w:rPr>
          <w:spacing w:val="-5"/>
        </w:rPr>
        <w:t> </w:t>
      </w:r>
      <w:r>
        <w:rPr>
          <w:spacing w:val="-2"/>
        </w:rPr>
        <w:t>more</w:t>
      </w:r>
      <w:r>
        <w:rPr>
          <w:spacing w:val="-5"/>
        </w:rPr>
        <w:t> </w:t>
      </w:r>
      <w:r>
        <w:rPr>
          <w:spacing w:val="-2"/>
        </w:rPr>
        <w:t>informative</w:t>
      </w:r>
      <w:r>
        <w:rPr>
          <w:spacing w:val="-5"/>
        </w:rPr>
        <w:t> </w:t>
      </w:r>
      <w:r>
        <w:rPr>
          <w:spacing w:val="-2"/>
        </w:rPr>
        <w:t>measure</w:t>
      </w:r>
      <w:r>
        <w:rPr>
          <w:spacing w:val="-5"/>
        </w:rPr>
        <w:t> </w:t>
      </w:r>
      <w:r>
        <w:rPr>
          <w:spacing w:val="-2"/>
        </w:rPr>
        <w:t>of</w:t>
      </w:r>
      <w:r>
        <w:rPr>
          <w:spacing w:val="-5"/>
        </w:rPr>
        <w:t> </w:t>
      </w:r>
      <w:r>
        <w:rPr>
          <w:spacing w:val="-2"/>
        </w:rPr>
        <w:t>coherence</w:t>
      </w:r>
      <w:r>
        <w:rPr>
          <w:spacing w:val="-5"/>
        </w:rPr>
        <w:t> </w:t>
      </w:r>
      <w:r>
        <w:rPr>
          <w:spacing w:val="-2"/>
        </w:rPr>
        <w:t>is</w:t>
      </w:r>
      <w:r>
        <w:rPr>
          <w:spacing w:val="-5"/>
        </w:rPr>
        <w:t> </w:t>
      </w:r>
      <w:r>
        <w:rPr>
          <w:spacing w:val="-2"/>
        </w:rPr>
        <w:t>whether</w:t>
      </w:r>
      <w:r>
        <w:rPr>
          <w:spacing w:val="-5"/>
        </w:rPr>
        <w:t> </w:t>
      </w:r>
      <w:r>
        <w:rPr>
          <w:spacing w:val="-2"/>
        </w:rPr>
        <w:t>rules</w:t>
      </w:r>
      <w:r>
        <w:rPr>
          <w:spacing w:val="-5"/>
        </w:rPr>
        <w:t> </w:t>
      </w:r>
      <w:r>
        <w:rPr>
          <w:spacing w:val="-2"/>
        </w:rPr>
        <w:t>select</w:t>
      </w:r>
      <w:r>
        <w:rPr>
          <w:spacing w:val="-5"/>
        </w:rPr>
        <w:t> </w:t>
      </w:r>
      <w:r>
        <w:rPr>
          <w:spacing w:val="-2"/>
        </w:rPr>
        <w:t>distinct</w:t>
      </w:r>
      <w:r>
        <w:rPr>
          <w:spacing w:val="-5"/>
        </w:rPr>
        <w:t> </w:t>
      </w:r>
      <w:r>
        <w:rPr>
          <w:spacing w:val="-2"/>
        </w:rPr>
        <w:t>combinations</w:t>
      </w:r>
      <w:r>
        <w:rPr>
          <w:spacing w:val="-5"/>
        </w:rPr>
        <w:t> </w:t>
      </w:r>
      <w:r>
        <w:rPr>
          <w:spacing w:val="-2"/>
        </w:rPr>
        <w:t>of</w:t>
      </w:r>
      <w:r>
        <w:rPr>
          <w:spacing w:val="-5"/>
        </w:rPr>
        <w:t> </w:t>
      </w:r>
      <w:r>
        <w:rPr>
          <w:spacing w:val="-2"/>
        </w:rPr>
        <w:t>variables </w:t>
      </w:r>
      <w:r>
        <w:rPr/>
        <w:t>or</w:t>
      </w:r>
      <w:r>
        <w:rPr>
          <w:spacing w:val="-7"/>
        </w:rPr>
        <w:t> </w:t>
      </w:r>
      <w:r>
        <w:rPr/>
        <w:t>merely</w:t>
      </w:r>
      <w:r>
        <w:rPr>
          <w:spacing w:val="-7"/>
        </w:rPr>
        <w:t> </w:t>
      </w:r>
      <w:r>
        <w:rPr/>
        <w:t>repeat</w:t>
      </w:r>
      <w:r>
        <w:rPr>
          <w:spacing w:val="-7"/>
        </w:rPr>
        <w:t> </w:t>
      </w:r>
      <w:r>
        <w:rPr/>
        <w:t>the</w:t>
      </w:r>
      <w:r>
        <w:rPr>
          <w:spacing w:val="-7"/>
        </w:rPr>
        <w:t> </w:t>
      </w:r>
      <w:r>
        <w:rPr/>
        <w:t>same</w:t>
      </w:r>
      <w:r>
        <w:rPr>
          <w:spacing w:val="-7"/>
        </w:rPr>
        <w:t> </w:t>
      </w:r>
      <w:r>
        <w:rPr/>
        <w:t>features</w:t>
      </w:r>
      <w:r>
        <w:rPr>
          <w:spacing w:val="-7"/>
        </w:rPr>
        <w:t> </w:t>
      </w:r>
      <w:r>
        <w:rPr/>
        <w:t>with</w:t>
      </w:r>
      <w:r>
        <w:rPr>
          <w:spacing w:val="-7"/>
        </w:rPr>
        <w:t> </w:t>
      </w:r>
      <w:r>
        <w:rPr/>
        <w:t>different</w:t>
      </w:r>
      <w:r>
        <w:rPr>
          <w:spacing w:val="-7"/>
        </w:rPr>
        <w:t> </w:t>
      </w:r>
      <w:r>
        <w:rPr/>
        <w:t>threshold</w:t>
      </w:r>
      <w:r>
        <w:rPr>
          <w:spacing w:val="-7"/>
        </w:rPr>
        <w:t> </w:t>
      </w:r>
      <w:r>
        <w:rPr/>
        <w:t>values. Of</w:t>
      </w:r>
      <w:r>
        <w:rPr>
          <w:spacing w:val="-7"/>
        </w:rPr>
        <w:t> </w:t>
      </w:r>
      <w:r>
        <w:rPr/>
        <w:t>the</w:t>
      </w:r>
      <w:r>
        <w:rPr>
          <w:spacing w:val="-7"/>
        </w:rPr>
        <w:t> </w:t>
      </w:r>
      <w:r>
        <w:rPr/>
        <w:t>48</w:t>
      </w:r>
      <w:r>
        <w:rPr>
          <w:spacing w:val="-7"/>
        </w:rPr>
        <w:t> </w:t>
      </w:r>
      <w:r>
        <w:rPr/>
        <w:t>RDD</w:t>
      </w:r>
      <w:r>
        <w:rPr>
          <w:spacing w:val="-7"/>
        </w:rPr>
        <w:t> </w:t>
      </w:r>
      <w:r>
        <w:rPr/>
        <w:t>rules,</w:t>
      </w:r>
      <w:r>
        <w:rPr>
          <w:spacing w:val="-7"/>
        </w:rPr>
        <w:t> </w:t>
      </w:r>
      <w:r>
        <w:rPr/>
        <w:t>44</w:t>
      </w:r>
      <w:r>
        <w:rPr>
          <w:spacing w:val="-7"/>
        </w:rPr>
        <w:t> </w:t>
      </w:r>
      <w:r>
        <w:rPr/>
        <w:t>select a unique combination of feature variables; the remaining 4 pair the same two features as another rule but use a different bin interval, capturing a different intensity range of the same agronomic </w:t>
      </w:r>
      <w:r>
        <w:rPr>
          <w:spacing w:val="-2"/>
        </w:rPr>
        <w:t>conditions. Separately,</w:t>
      </w:r>
      <w:r>
        <w:rPr>
          <w:spacing w:val="-11"/>
        </w:rPr>
        <w:t> </w:t>
      </w:r>
      <w:r>
        <w:rPr>
          <w:spacing w:val="-2"/>
        </w:rPr>
        <w:t>28</w:t>
      </w:r>
      <w:r>
        <w:rPr>
          <w:spacing w:val="-12"/>
        </w:rPr>
        <w:t> </w:t>
      </w:r>
      <w:r>
        <w:rPr>
          <w:spacing w:val="-2"/>
        </w:rPr>
        <w:t>of</w:t>
      </w:r>
      <w:r>
        <w:rPr>
          <w:spacing w:val="-12"/>
        </w:rPr>
        <w:t> </w:t>
      </w:r>
      <w:r>
        <w:rPr>
          <w:spacing w:val="-2"/>
        </w:rPr>
        <w:t>48</w:t>
      </w:r>
      <w:r>
        <w:rPr>
          <w:spacing w:val="-12"/>
        </w:rPr>
        <w:t> </w:t>
      </w:r>
      <w:r>
        <w:rPr>
          <w:spacing w:val="-2"/>
        </w:rPr>
        <w:t>rules</w:t>
      </w:r>
      <w:r>
        <w:rPr>
          <w:spacing w:val="-11"/>
        </w:rPr>
        <w:t> </w:t>
      </w:r>
      <w:r>
        <w:rPr>
          <w:spacing w:val="-2"/>
        </w:rPr>
        <w:t>(58%)</w:t>
      </w:r>
      <w:r>
        <w:rPr>
          <w:spacing w:val="-12"/>
        </w:rPr>
        <w:t> </w:t>
      </w:r>
      <w:r>
        <w:rPr>
          <w:spacing w:val="-2"/>
        </w:rPr>
        <w:t>are</w:t>
      </w:r>
      <w:r>
        <w:rPr>
          <w:spacing w:val="-12"/>
        </w:rPr>
        <w:t> </w:t>
      </w:r>
      <w:r>
        <w:rPr>
          <w:spacing w:val="-2"/>
        </w:rPr>
        <w:t>condition-specific</w:t>
      </w:r>
      <w:r>
        <w:rPr>
          <w:spacing w:val="-12"/>
        </w:rPr>
        <w:t> </w:t>
      </w:r>
      <w:r>
        <w:rPr>
          <w:spacing w:val="-2"/>
        </w:rPr>
        <w:t>subsets</w:t>
      </w:r>
      <w:r>
        <w:rPr>
          <w:spacing w:val="-11"/>
        </w:rPr>
        <w:t> </w:t>
      </w:r>
      <w:r>
        <w:rPr>
          <w:spacing w:val="-2"/>
        </w:rPr>
        <w:t>of</w:t>
      </w:r>
      <w:r>
        <w:rPr>
          <w:spacing w:val="-12"/>
        </w:rPr>
        <w:t> </w:t>
      </w:r>
      <w:r>
        <w:rPr>
          <w:spacing w:val="-2"/>
        </w:rPr>
        <w:t>a</w:t>
      </w:r>
      <w:r>
        <w:rPr>
          <w:spacing w:val="-12"/>
        </w:rPr>
        <w:t> </w:t>
      </w:r>
      <w:r>
        <w:rPr>
          <w:spacing w:val="-2"/>
        </w:rPr>
        <w:t>more</w:t>
      </w:r>
      <w:r>
        <w:rPr>
          <w:spacing w:val="-12"/>
        </w:rPr>
        <w:t> </w:t>
      </w:r>
      <w:r>
        <w:rPr>
          <w:spacing w:val="-2"/>
        </w:rPr>
        <w:t>specific</w:t>
      </w:r>
      <w:r>
        <w:rPr>
          <w:spacing w:val="-11"/>
        </w:rPr>
        <w:t> </w:t>
      </w:r>
      <w:r>
        <w:rPr>
          <w:spacing w:val="-2"/>
        </w:rPr>
        <w:t>rule</w:t>
      </w:r>
      <w:r>
        <w:rPr>
          <w:spacing w:val="-12"/>
        </w:rPr>
        <w:t> </w:t>
      </w:r>
      <w:r>
        <w:rPr>
          <w:spacing w:val="-2"/>
        </w:rPr>
        <w:t>— that</w:t>
      </w:r>
      <w:r>
        <w:rPr>
          <w:spacing w:val="-7"/>
        </w:rPr>
        <w:t> </w:t>
      </w:r>
      <w:r>
        <w:rPr>
          <w:spacing w:val="-2"/>
        </w:rPr>
        <w:t>is,</w:t>
      </w:r>
      <w:r>
        <w:rPr>
          <w:spacing w:val="-7"/>
        </w:rPr>
        <w:t> </w:t>
      </w:r>
      <w:r>
        <w:rPr>
          <w:spacing w:val="-2"/>
        </w:rPr>
        <w:t>their</w:t>
      </w:r>
      <w:r>
        <w:rPr>
          <w:spacing w:val="-7"/>
        </w:rPr>
        <w:t> </w:t>
      </w:r>
      <w:r>
        <w:rPr>
          <w:spacing w:val="-2"/>
        </w:rPr>
        <w:t>conditions</w:t>
      </w:r>
      <w:r>
        <w:rPr>
          <w:spacing w:val="-7"/>
        </w:rPr>
        <w:t> </w:t>
      </w:r>
      <w:r>
        <w:rPr>
          <w:spacing w:val="-2"/>
        </w:rPr>
        <w:t>are</w:t>
      </w:r>
      <w:r>
        <w:rPr>
          <w:spacing w:val="-7"/>
        </w:rPr>
        <w:t> </w:t>
      </w:r>
      <w:r>
        <w:rPr>
          <w:spacing w:val="-2"/>
        </w:rPr>
        <w:t>a</w:t>
      </w:r>
      <w:r>
        <w:rPr>
          <w:spacing w:val="-7"/>
        </w:rPr>
        <w:t> </w:t>
      </w:r>
      <w:r>
        <w:rPr>
          <w:spacing w:val="-2"/>
        </w:rPr>
        <w:t>strict</w:t>
      </w:r>
      <w:r>
        <w:rPr>
          <w:spacing w:val="-7"/>
        </w:rPr>
        <w:t> </w:t>
      </w:r>
      <w:r>
        <w:rPr>
          <w:spacing w:val="-2"/>
        </w:rPr>
        <w:t>subset</w:t>
      </w:r>
      <w:r>
        <w:rPr>
          <w:spacing w:val="-7"/>
        </w:rPr>
        <w:t> </w:t>
      </w:r>
      <w:r>
        <w:rPr>
          <w:spacing w:val="-2"/>
        </w:rPr>
        <w:t>of</w:t>
      </w:r>
      <w:r>
        <w:rPr>
          <w:spacing w:val="-7"/>
        </w:rPr>
        <w:t> </w:t>
      </w:r>
      <w:r>
        <w:rPr>
          <w:spacing w:val="-2"/>
        </w:rPr>
        <w:t>a</w:t>
      </w:r>
      <w:r>
        <w:rPr>
          <w:spacing w:val="-7"/>
        </w:rPr>
        <w:t> </w:t>
      </w:r>
      <w:r>
        <w:rPr>
          <w:spacing w:val="-2"/>
        </w:rPr>
        <w:t>longer</w:t>
      </w:r>
      <w:r>
        <w:rPr>
          <w:spacing w:val="-7"/>
        </w:rPr>
        <w:t> </w:t>
      </w:r>
      <w:r>
        <w:rPr>
          <w:spacing w:val="-2"/>
        </w:rPr>
        <w:t>rule’s</w:t>
      </w:r>
      <w:r>
        <w:rPr>
          <w:spacing w:val="-7"/>
        </w:rPr>
        <w:t> </w:t>
      </w:r>
      <w:r>
        <w:rPr>
          <w:spacing w:val="-2"/>
        </w:rPr>
        <w:t>conditions.</w:t>
      </w:r>
      <w:r>
        <w:rPr/>
        <w:t> </w:t>
      </w:r>
      <w:r>
        <w:rPr>
          <w:spacing w:val="-2"/>
        </w:rPr>
        <w:t>This</w:t>
      </w:r>
      <w:r>
        <w:rPr>
          <w:spacing w:val="-7"/>
        </w:rPr>
        <w:t> </w:t>
      </w:r>
      <w:r>
        <w:rPr>
          <w:spacing w:val="-2"/>
        </w:rPr>
        <w:t>is</w:t>
      </w:r>
      <w:r>
        <w:rPr>
          <w:spacing w:val="-7"/>
        </w:rPr>
        <w:t> </w:t>
      </w:r>
      <w:r>
        <w:rPr>
          <w:spacing w:val="-2"/>
        </w:rPr>
        <w:t>structurally</w:t>
      </w:r>
      <w:r>
        <w:rPr>
          <w:spacing w:val="-7"/>
        </w:rPr>
        <w:t> </w:t>
      </w:r>
      <w:r>
        <w:rPr>
          <w:spacing w:val="-2"/>
        </w:rPr>
        <w:t>expected: </w:t>
      </w:r>
      <w:r>
        <w:rPr/>
        <w:t>CarenR</w:t>
      </w:r>
      <w:r>
        <w:rPr>
          <w:spacing w:val="-13"/>
        </w:rPr>
        <w:t> </w:t>
      </w:r>
      <w:r>
        <w:rPr/>
        <w:t>generates</w:t>
      </w:r>
      <w:r>
        <w:rPr>
          <w:spacing w:val="-13"/>
        </w:rPr>
        <w:t> </w:t>
      </w:r>
      <w:r>
        <w:rPr/>
        <w:t>rules</w:t>
      </w:r>
      <w:r>
        <w:rPr>
          <w:spacing w:val="-13"/>
        </w:rPr>
        <w:t> </w:t>
      </w:r>
      <w:r>
        <w:rPr/>
        <w:t>of</w:t>
      </w:r>
      <w:r>
        <w:rPr>
          <w:spacing w:val="-13"/>
        </w:rPr>
        <w:t> </w:t>
      </w:r>
      <w:r>
        <w:rPr/>
        <w:t>varying</w:t>
      </w:r>
      <w:r>
        <w:rPr>
          <w:spacing w:val="-13"/>
        </w:rPr>
        <w:t> </w:t>
      </w:r>
      <w:r>
        <w:rPr/>
        <w:t>specificity</w:t>
      </w:r>
      <w:r>
        <w:rPr>
          <w:spacing w:val="-13"/>
        </w:rPr>
        <w:t> </w:t>
      </w:r>
      <w:r>
        <w:rPr/>
        <w:t>over</w:t>
      </w:r>
      <w:r>
        <w:rPr>
          <w:spacing w:val="-13"/>
        </w:rPr>
        <w:t> </w:t>
      </w:r>
      <w:r>
        <w:rPr/>
        <w:t>the</w:t>
      </w:r>
      <w:r>
        <w:rPr>
          <w:spacing w:val="-13"/>
        </w:rPr>
        <w:t> </w:t>
      </w:r>
      <w:r>
        <w:rPr/>
        <w:t>same</w:t>
      </w:r>
      <w:r>
        <w:rPr>
          <w:spacing w:val="-13"/>
        </w:rPr>
        <w:t> </w:t>
      </w:r>
      <w:r>
        <w:rPr/>
        <w:t>feature</w:t>
      </w:r>
      <w:r>
        <w:rPr>
          <w:spacing w:val="-13"/>
        </w:rPr>
        <w:t> </w:t>
      </w:r>
      <w:r>
        <w:rPr/>
        <w:t>backbone,</w:t>
      </w:r>
      <w:r>
        <w:rPr>
          <w:spacing w:val="-13"/>
        </w:rPr>
        <w:t> </w:t>
      </w:r>
      <w:r>
        <w:rPr/>
        <w:t>and</w:t>
      </w:r>
      <w:r>
        <w:rPr>
          <w:spacing w:val="-13"/>
        </w:rPr>
        <w:t> </w:t>
      </w:r>
      <w:r>
        <w:rPr/>
        <w:t>the</w:t>
      </w:r>
      <w:r>
        <w:rPr>
          <w:spacing w:val="-13"/>
        </w:rPr>
        <w:t> </w:t>
      </w:r>
      <w:r>
        <w:rPr/>
        <w:t>less</w:t>
      </w:r>
      <w:r>
        <w:rPr>
          <w:spacing w:val="-13"/>
        </w:rPr>
        <w:t> </w:t>
      </w:r>
      <w:r>
        <w:rPr/>
        <w:t>specific rules are not redundant but informative about the breadth of the pattern (they cover more years under a looser set of conditions).</w:t>
      </w:r>
    </w:p>
    <w:p>
      <w:pPr>
        <w:pStyle w:val="BodyText"/>
        <w:spacing w:line="312" w:lineRule="auto"/>
        <w:ind w:left="142" w:right="1521" w:firstLine="338"/>
        <w:jc w:val="both"/>
      </w:pPr>
      <w:r>
        <w:rPr/>
        <w:t>The RVV rule set shows stronger variable-level distinctiveness: all 20 rules select a unique combination of feature variables. However, 5 of 20 rules (25%) are condition-specific subsets of more specific rules, reflecting that CarenR identifies the same core pattern — cool, moist, low-heat-stress conditions — at different window widths and threshold levels rather than discovering entirely</w:t>
      </w:r>
      <w:r>
        <w:rPr>
          <w:spacing w:val="-13"/>
        </w:rPr>
        <w:t> </w:t>
      </w:r>
      <w:r>
        <w:rPr/>
        <w:t>independent</w:t>
      </w:r>
      <w:r>
        <w:rPr>
          <w:spacing w:val="-13"/>
        </w:rPr>
        <w:t> </w:t>
      </w:r>
      <w:r>
        <w:rPr/>
        <w:t>agronomic</w:t>
      </w:r>
      <w:r>
        <w:rPr>
          <w:spacing w:val="-13"/>
        </w:rPr>
        <w:t> </w:t>
      </w:r>
      <w:r>
        <w:rPr/>
        <w:t>pathways.</w:t>
      </w:r>
      <w:r>
        <w:rPr>
          <w:spacing w:val="-3"/>
        </w:rPr>
        <w:t> </w:t>
      </w:r>
      <w:r>
        <w:rPr/>
        <w:t>The</w:t>
      </w:r>
      <w:r>
        <w:rPr>
          <w:spacing w:val="-13"/>
        </w:rPr>
        <w:t> </w:t>
      </w:r>
      <w:r>
        <w:rPr/>
        <w:t>lower</w:t>
      </w:r>
      <w:r>
        <w:rPr>
          <w:spacing w:val="-13"/>
        </w:rPr>
        <w:t> </w:t>
      </w:r>
      <w:r>
        <w:rPr/>
        <w:t>subset</w:t>
      </w:r>
      <w:r>
        <w:rPr>
          <w:spacing w:val="-13"/>
        </w:rPr>
        <w:t> </w:t>
      </w:r>
      <w:r>
        <w:rPr/>
        <w:t>rate</w:t>
      </w:r>
      <w:r>
        <w:rPr>
          <w:spacing w:val="-13"/>
        </w:rPr>
        <w:t> </w:t>
      </w:r>
      <w:r>
        <w:rPr/>
        <w:t>compared</w:t>
      </w:r>
      <w:r>
        <w:rPr>
          <w:spacing w:val="-13"/>
        </w:rPr>
        <w:t> </w:t>
      </w:r>
      <w:r>
        <w:rPr/>
        <w:t>to</w:t>
      </w:r>
      <w:r>
        <w:rPr>
          <w:spacing w:val="-13"/>
        </w:rPr>
        <w:t> </w:t>
      </w:r>
      <w:r>
        <w:rPr/>
        <w:t>RDD</w:t>
      </w:r>
      <w:r>
        <w:rPr>
          <w:spacing w:val="-13"/>
        </w:rPr>
        <w:t> </w:t>
      </w:r>
      <w:r>
        <w:rPr/>
        <w:t>(25%</w:t>
      </w:r>
      <w:r>
        <w:rPr>
          <w:spacing w:val="-13"/>
        </w:rPr>
        <w:t> </w:t>
      </w:r>
      <w:r>
        <w:rPr/>
        <w:t>vs</w:t>
      </w:r>
      <w:r>
        <w:rPr>
          <w:spacing w:val="-13"/>
        </w:rPr>
        <w:t> </w:t>
      </w:r>
      <w:r>
        <w:rPr/>
        <w:t>58%) is consistent with the smaller, more tightly organised RVV rule set.</w:t>
      </w:r>
    </w:p>
    <w:p>
      <w:pPr>
        <w:pStyle w:val="BodyText"/>
        <w:spacing w:line="312" w:lineRule="auto"/>
        <w:ind w:left="134" w:right="1528" w:firstLine="346"/>
        <w:jc w:val="both"/>
      </w:pPr>
      <w:r>
        <w:rPr/>
        <w:t>The</w:t>
      </w:r>
      <w:r>
        <w:rPr>
          <w:spacing w:val="-9"/>
        </w:rPr>
        <w:t> </w:t>
      </w:r>
      <w:r>
        <w:rPr/>
        <w:t>overlap</w:t>
      </w:r>
      <w:r>
        <w:rPr>
          <w:spacing w:val="-9"/>
        </w:rPr>
        <w:t> </w:t>
      </w:r>
      <w:r>
        <w:rPr/>
        <w:t>analysis</w:t>
      </w:r>
      <w:r>
        <w:rPr>
          <w:spacing w:val="-9"/>
        </w:rPr>
        <w:t> </w:t>
      </w:r>
      <w:r>
        <w:rPr/>
        <w:t>confirms</w:t>
      </w:r>
      <w:r>
        <w:rPr>
          <w:spacing w:val="-9"/>
        </w:rPr>
        <w:t> </w:t>
      </w:r>
      <w:r>
        <w:rPr/>
        <w:t>that</w:t>
      </w:r>
      <w:r>
        <w:rPr>
          <w:spacing w:val="-9"/>
        </w:rPr>
        <w:t> </w:t>
      </w:r>
      <w:r>
        <w:rPr/>
        <w:t>the</w:t>
      </w:r>
      <w:r>
        <w:rPr>
          <w:spacing w:val="-9"/>
        </w:rPr>
        <w:t> </w:t>
      </w:r>
      <w:r>
        <w:rPr/>
        <w:t>CarenR</w:t>
      </w:r>
      <w:r>
        <w:rPr>
          <w:spacing w:val="-9"/>
        </w:rPr>
        <w:t> </w:t>
      </w:r>
      <w:r>
        <w:rPr/>
        <w:t>rule</w:t>
      </w:r>
      <w:r>
        <w:rPr>
          <w:spacing w:val="-9"/>
        </w:rPr>
        <w:t> </w:t>
      </w:r>
      <w:r>
        <w:rPr/>
        <w:t>sets</w:t>
      </w:r>
      <w:r>
        <w:rPr>
          <w:spacing w:val="-9"/>
        </w:rPr>
        <w:t> </w:t>
      </w:r>
      <w:r>
        <w:rPr/>
        <w:t>are</w:t>
      </w:r>
      <w:r>
        <w:rPr>
          <w:spacing w:val="-9"/>
        </w:rPr>
        <w:t> </w:t>
      </w:r>
      <w:r>
        <w:rPr/>
        <w:t>internally</w:t>
      </w:r>
      <w:r>
        <w:rPr>
          <w:spacing w:val="-9"/>
        </w:rPr>
        <w:t> </w:t>
      </w:r>
      <w:r>
        <w:rPr/>
        <w:t>coherent</w:t>
      </w:r>
      <w:r>
        <w:rPr>
          <w:spacing w:val="-9"/>
        </w:rPr>
        <w:t> </w:t>
      </w:r>
      <w:r>
        <w:rPr/>
        <w:t>and</w:t>
      </w:r>
      <w:r>
        <w:rPr>
          <w:spacing w:val="-9"/>
        </w:rPr>
        <w:t> </w:t>
      </w:r>
      <w:r>
        <w:rPr/>
        <w:t>structured: they</w:t>
      </w:r>
      <w:r>
        <w:rPr>
          <w:spacing w:val="-9"/>
        </w:rPr>
        <w:t> </w:t>
      </w:r>
      <w:r>
        <w:rPr/>
        <w:t>are</w:t>
      </w:r>
      <w:r>
        <w:rPr>
          <w:spacing w:val="-9"/>
        </w:rPr>
        <w:t> </w:t>
      </w:r>
      <w:r>
        <w:rPr/>
        <w:t>not</w:t>
      </w:r>
      <w:r>
        <w:rPr>
          <w:spacing w:val="-9"/>
        </w:rPr>
        <w:t> </w:t>
      </w:r>
      <w:r>
        <w:rPr/>
        <w:t>random</w:t>
      </w:r>
      <w:r>
        <w:rPr>
          <w:spacing w:val="-9"/>
        </w:rPr>
        <w:t> </w:t>
      </w:r>
      <w:r>
        <w:rPr/>
        <w:t>collections</w:t>
      </w:r>
      <w:r>
        <w:rPr>
          <w:spacing w:val="-9"/>
        </w:rPr>
        <w:t> </w:t>
      </w:r>
      <w:r>
        <w:rPr/>
        <w:t>of</w:t>
      </w:r>
      <w:r>
        <w:rPr>
          <w:spacing w:val="-9"/>
        </w:rPr>
        <w:t> </w:t>
      </w:r>
      <w:r>
        <w:rPr/>
        <w:t>statistically</w:t>
      </w:r>
      <w:r>
        <w:rPr>
          <w:spacing w:val="-9"/>
        </w:rPr>
        <w:t> </w:t>
      </w:r>
      <w:r>
        <w:rPr/>
        <w:t>significant</w:t>
      </w:r>
      <w:r>
        <w:rPr>
          <w:spacing w:val="-9"/>
        </w:rPr>
        <w:t> </w:t>
      </w:r>
      <w:r>
        <w:rPr/>
        <w:t>conditions</w:t>
      </w:r>
      <w:r>
        <w:rPr>
          <w:spacing w:val="-9"/>
        </w:rPr>
        <w:t> </w:t>
      </w:r>
      <w:r>
        <w:rPr/>
        <w:t>but</w:t>
      </w:r>
      <w:r>
        <w:rPr>
          <w:spacing w:val="-9"/>
        </w:rPr>
        <w:t> </w:t>
      </w:r>
      <w:r>
        <w:rPr/>
        <w:t>organised</w:t>
      </w:r>
      <w:r>
        <w:rPr>
          <w:spacing w:val="-9"/>
        </w:rPr>
        <w:t> </w:t>
      </w:r>
      <w:r>
        <w:rPr/>
        <w:t>around</w:t>
      </w:r>
      <w:r>
        <w:rPr>
          <w:spacing w:val="-9"/>
        </w:rPr>
        <w:t> </w:t>
      </w:r>
      <w:r>
        <w:rPr/>
        <w:t>a</w:t>
      </w:r>
      <w:r>
        <w:rPr>
          <w:spacing w:val="-9"/>
        </w:rPr>
        <w:t> </w:t>
      </w:r>
      <w:r>
        <w:rPr/>
        <w:t>small number</w:t>
      </w:r>
      <w:r>
        <w:rPr>
          <w:spacing w:val="-2"/>
        </w:rPr>
        <w:t> </w:t>
      </w:r>
      <w:r>
        <w:rPr/>
        <w:t>of</w:t>
      </w:r>
      <w:r>
        <w:rPr>
          <w:spacing w:val="-2"/>
        </w:rPr>
        <w:t> </w:t>
      </w:r>
      <w:r>
        <w:rPr/>
        <w:t>dominant</w:t>
      </w:r>
      <w:r>
        <w:rPr>
          <w:spacing w:val="-2"/>
        </w:rPr>
        <w:t> </w:t>
      </w:r>
      <w:r>
        <w:rPr/>
        <w:t>features</w:t>
      </w:r>
      <w:r>
        <w:rPr>
          <w:spacing w:val="-2"/>
        </w:rPr>
        <w:t> </w:t>
      </w:r>
      <w:r>
        <w:rPr/>
        <w:t>(swa_hv</w:t>
      </w:r>
      <w:r>
        <w:rPr>
          <w:spacing w:val="-2"/>
        </w:rPr>
        <w:t> </w:t>
      </w:r>
      <w:r>
        <w:rPr/>
        <w:t>in</w:t>
      </w:r>
      <w:r>
        <w:rPr>
          <w:spacing w:val="-2"/>
        </w:rPr>
        <w:t> </w:t>
      </w:r>
      <w:r>
        <w:rPr/>
        <w:t>RDD,</w:t>
      </w:r>
      <w:r>
        <w:rPr>
          <w:spacing w:val="-2"/>
        </w:rPr>
        <w:t> </w:t>
      </w:r>
      <w:r>
        <w:rPr/>
        <w:t>heat-stress</w:t>
      </w:r>
      <w:r>
        <w:rPr>
          <w:spacing w:val="-2"/>
        </w:rPr>
        <w:t> </w:t>
      </w:r>
      <w:r>
        <w:rPr/>
        <w:t>days</w:t>
      </w:r>
      <w:r>
        <w:rPr>
          <w:spacing w:val="-2"/>
        </w:rPr>
        <w:t> </w:t>
      </w:r>
      <w:r>
        <w:rPr/>
        <w:t>in</w:t>
      </w:r>
      <w:r>
        <w:rPr>
          <w:spacing w:val="-2"/>
        </w:rPr>
        <w:t> </w:t>
      </w:r>
      <w:r>
        <w:rPr/>
        <w:t>RVV)</w:t>
      </w:r>
      <w:r>
        <w:rPr>
          <w:spacing w:val="-2"/>
        </w:rPr>
        <w:t> </w:t>
      </w:r>
      <w:r>
        <w:rPr/>
        <w:t>with</w:t>
      </w:r>
      <w:r>
        <w:rPr>
          <w:spacing w:val="-2"/>
        </w:rPr>
        <w:t> </w:t>
      </w:r>
      <w:r>
        <w:rPr/>
        <w:t>a</w:t>
      </w:r>
      <w:r>
        <w:rPr>
          <w:spacing w:val="-2"/>
        </w:rPr>
        <w:t> </w:t>
      </w:r>
      <w:r>
        <w:rPr/>
        <w:t>richer</w:t>
      </w:r>
      <w:r>
        <w:rPr>
          <w:spacing w:val="-2"/>
        </w:rPr>
        <w:t> </w:t>
      </w:r>
      <w:r>
        <w:rPr/>
        <w:t>secondary layer of context-specific conditions.</w:t>
      </w:r>
      <w:r>
        <w:rPr>
          <w:spacing w:val="40"/>
        </w:rPr>
        <w:t> </w:t>
      </w:r>
      <w:r>
        <w:rPr/>
        <w:t>This structure is agronomically meaningful, it reflects the genuine multi-variable nature of wine production determination, where a single dominant driver (soil water or thermal conditions) acts in combination with secondary modifiers to determine whether a given year exceeds or falls below the production trend.</w:t>
      </w:r>
    </w:p>
    <w:p>
      <w:pPr>
        <w:pStyle w:val="BodyText"/>
        <w:spacing w:before="123"/>
      </w:pPr>
    </w:p>
    <w:p>
      <w:pPr>
        <w:pStyle w:val="Heading2"/>
        <w:numPr>
          <w:ilvl w:val="1"/>
          <w:numId w:val="18"/>
        </w:numPr>
        <w:tabs>
          <w:tab w:pos="787" w:val="left" w:leader="none"/>
        </w:tabs>
        <w:spacing w:line="240" w:lineRule="auto" w:before="0" w:after="0"/>
        <w:ind w:left="787" w:right="0" w:hanging="645"/>
        <w:jc w:val="left"/>
      </w:pPr>
      <w:bookmarkStart w:name="4.8 Summary: Rule Discovery Assessment (" w:id="165"/>
      <w:bookmarkEnd w:id="165"/>
      <w:r>
        <w:rPr>
          <w:b w:val="0"/>
        </w:rPr>
      </w:r>
      <w:bookmarkStart w:name="_bookmark94" w:id="166"/>
      <w:bookmarkEnd w:id="166"/>
      <w:r>
        <w:rPr>
          <w:b w:val="0"/>
        </w:rPr>
      </w:r>
      <w:r>
        <w:rPr/>
        <w:t>Summary:</w:t>
      </w:r>
      <w:r>
        <w:rPr>
          <w:spacing w:val="40"/>
        </w:rPr>
        <w:t> </w:t>
      </w:r>
      <w:r>
        <w:rPr/>
        <w:t>Rule</w:t>
      </w:r>
      <w:r>
        <w:rPr>
          <w:spacing w:val="19"/>
        </w:rPr>
        <w:t> </w:t>
      </w:r>
      <w:r>
        <w:rPr/>
        <w:t>Discovery</w:t>
      </w:r>
      <w:r>
        <w:rPr>
          <w:spacing w:val="19"/>
        </w:rPr>
        <w:t> </w:t>
      </w:r>
      <w:r>
        <w:rPr/>
        <w:t>Assessment</w:t>
      </w:r>
      <w:r>
        <w:rPr>
          <w:spacing w:val="19"/>
        </w:rPr>
        <w:t> </w:t>
      </w:r>
      <w:r>
        <w:rPr/>
        <w:t>(Goal</w:t>
      </w:r>
      <w:r>
        <w:rPr>
          <w:spacing w:val="20"/>
        </w:rPr>
        <w:t> </w:t>
      </w:r>
      <w:r>
        <w:rPr>
          <w:spacing w:val="-5"/>
        </w:rPr>
        <w:t>1)</w:t>
      </w:r>
    </w:p>
    <w:p>
      <w:pPr>
        <w:pStyle w:val="BodyText"/>
        <w:spacing w:line="312" w:lineRule="auto" w:before="289"/>
        <w:ind w:left="142" w:right="1542"/>
        <w:jc w:val="both"/>
      </w:pPr>
      <w:r>
        <w:rPr/>
        <w:t>Goal 1 is assessed as achieved.</w:t>
      </w:r>
      <w:r>
        <w:rPr>
          <w:spacing w:val="40"/>
        </w:rPr>
        <w:t> </w:t>
      </w:r>
      <w:r>
        <w:rPr/>
        <w:t>CarenR’s distributional subgroup discovery extracts 48 (RDD) and</w:t>
      </w:r>
      <w:r>
        <w:rPr>
          <w:spacing w:val="-10"/>
        </w:rPr>
        <w:t> </w:t>
      </w:r>
      <w:r>
        <w:rPr/>
        <w:t>20</w:t>
      </w:r>
      <w:r>
        <w:rPr>
          <w:spacing w:val="-10"/>
        </w:rPr>
        <w:t> </w:t>
      </w:r>
      <w:r>
        <w:rPr/>
        <w:t>(RVV)</w:t>
      </w:r>
      <w:r>
        <w:rPr>
          <w:spacing w:val="-10"/>
        </w:rPr>
        <w:t> </w:t>
      </w:r>
      <w:r>
        <w:rPr/>
        <w:t>statistically</w:t>
      </w:r>
      <w:r>
        <w:rPr>
          <w:spacing w:val="-10"/>
        </w:rPr>
        <w:t> </w:t>
      </w:r>
      <w:r>
        <w:rPr/>
        <w:t>validated</w:t>
      </w:r>
      <w:r>
        <w:rPr>
          <w:spacing w:val="-10"/>
        </w:rPr>
        <w:t> </w:t>
      </w:r>
      <w:r>
        <w:rPr/>
        <w:t>rules</w:t>
      </w:r>
      <w:r>
        <w:rPr>
          <w:spacing w:val="-10"/>
        </w:rPr>
        <w:t> </w:t>
      </w:r>
      <w:r>
        <w:rPr/>
        <w:t>with</w:t>
      </w:r>
      <w:r>
        <w:rPr>
          <w:spacing w:val="-10"/>
        </w:rPr>
        <w:t> </w:t>
      </w:r>
      <w:r>
        <w:rPr/>
        <w:t>the</w:t>
      </w:r>
      <w:r>
        <w:rPr>
          <w:spacing w:val="-10"/>
        </w:rPr>
        <w:t> </w:t>
      </w:r>
      <w:r>
        <w:rPr/>
        <w:t>following</w:t>
      </w:r>
      <w:r>
        <w:rPr>
          <w:spacing w:val="-10"/>
        </w:rPr>
        <w:t> </w:t>
      </w:r>
      <w:r>
        <w:rPr/>
        <w:t>properties: (1)</w:t>
      </w:r>
      <w:r>
        <w:rPr>
          <w:spacing w:val="-10"/>
        </w:rPr>
        <w:t> </w:t>
      </w:r>
      <w:r>
        <w:rPr/>
        <w:t>the</w:t>
      </w:r>
      <w:r>
        <w:rPr>
          <w:spacing w:val="-10"/>
        </w:rPr>
        <w:t> </w:t>
      </w:r>
      <w:r>
        <w:rPr/>
        <w:t>top</w:t>
      </w:r>
      <w:r>
        <w:rPr>
          <w:spacing w:val="-10"/>
        </w:rPr>
        <w:t> </w:t>
      </w:r>
      <w:r>
        <w:rPr/>
        <w:t>features</w:t>
      </w:r>
      <w:r>
        <w:rPr>
          <w:spacing w:val="-10"/>
        </w:rPr>
        <w:t> </w:t>
      </w:r>
      <w:r>
        <w:rPr/>
        <w:t>retain 90–92%</w:t>
      </w:r>
      <w:r>
        <w:rPr>
          <w:spacing w:val="-9"/>
        </w:rPr>
        <w:t> </w:t>
      </w:r>
      <w:r>
        <w:rPr/>
        <w:t>of</w:t>
      </w:r>
      <w:r>
        <w:rPr>
          <w:spacing w:val="-9"/>
        </w:rPr>
        <w:t> </w:t>
      </w:r>
      <w:r>
        <w:rPr/>
        <w:t>their</w:t>
      </w:r>
      <w:r>
        <w:rPr>
          <w:spacing w:val="-9"/>
        </w:rPr>
        <w:t> </w:t>
      </w:r>
      <w:r>
        <w:rPr/>
        <w:t>correlations</w:t>
      </w:r>
      <w:r>
        <w:rPr>
          <w:spacing w:val="-9"/>
        </w:rPr>
        <w:t> </w:t>
      </w:r>
      <w:r>
        <w:rPr/>
        <w:t>under</w:t>
      </w:r>
      <w:r>
        <w:rPr>
          <w:spacing w:val="-9"/>
        </w:rPr>
        <w:t> </w:t>
      </w:r>
      <w:r>
        <w:rPr/>
        <w:t>LOESS</w:t>
      </w:r>
      <w:r>
        <w:rPr>
          <w:spacing w:val="-9"/>
        </w:rPr>
        <w:t> </w:t>
      </w:r>
      <w:r>
        <w:rPr/>
        <w:t>detrending,</w:t>
      </w:r>
      <w:r>
        <w:rPr>
          <w:spacing w:val="-9"/>
        </w:rPr>
        <w:t> </w:t>
      </w:r>
      <w:r>
        <w:rPr/>
        <w:t>confirming</w:t>
      </w:r>
      <w:r>
        <w:rPr>
          <w:spacing w:val="-9"/>
        </w:rPr>
        <w:t> </w:t>
      </w:r>
      <w:r>
        <w:rPr/>
        <w:t>genuine</w:t>
      </w:r>
      <w:r>
        <w:rPr>
          <w:spacing w:val="-8"/>
        </w:rPr>
        <w:t> </w:t>
      </w:r>
      <w:r>
        <w:rPr/>
        <w:t>within-era</w:t>
      </w:r>
      <w:r>
        <w:rPr>
          <w:spacing w:val="-9"/>
        </w:rPr>
        <w:t> </w:t>
      </w:r>
      <w:r>
        <w:rPr/>
        <w:t>signal;</w:t>
      </w:r>
      <w:r>
        <w:rPr>
          <w:spacing w:val="-9"/>
        </w:rPr>
        <w:t> </w:t>
      </w:r>
      <w:r>
        <w:rPr>
          <w:spacing w:val="-5"/>
        </w:rPr>
        <w:t>(2)</w:t>
      </w:r>
    </w:p>
    <w:p>
      <w:pPr>
        <w:pStyle w:val="BodyText"/>
        <w:spacing w:after="0" w:line="312" w:lineRule="auto"/>
        <w:jc w:val="both"/>
        <w:sectPr>
          <w:pgSz w:w="11910" w:h="16840"/>
          <w:pgMar w:header="1160" w:footer="0" w:top="1420" w:bottom="280" w:left="1275" w:right="425"/>
        </w:sectPr>
      </w:pPr>
    </w:p>
    <w:p>
      <w:pPr>
        <w:pStyle w:val="BodyText"/>
        <w:rPr>
          <w:sz w:val="20"/>
        </w:rPr>
      </w:pPr>
    </w:p>
    <w:p>
      <w:pPr>
        <w:pStyle w:val="BodyText"/>
        <w:spacing w:before="38"/>
        <w:rPr>
          <w:sz w:val="20"/>
        </w:rPr>
      </w:pPr>
    </w:p>
    <w:p>
      <w:pPr>
        <w:spacing w:before="1"/>
        <w:ind w:left="601" w:right="888" w:firstLine="0"/>
        <w:jc w:val="center"/>
        <w:rPr>
          <w:sz w:val="20"/>
        </w:rPr>
      </w:pPr>
      <w:bookmarkStart w:name="_bookmark95" w:id="167"/>
      <w:bookmarkEnd w:id="167"/>
      <w:r>
        <w:rPr/>
      </w:r>
      <w:r>
        <w:rPr>
          <w:b/>
          <w:sz w:val="20"/>
        </w:rPr>
        <w:t>Table</w:t>
      </w:r>
      <w:r>
        <w:rPr>
          <w:b/>
          <w:spacing w:val="-8"/>
          <w:sz w:val="20"/>
        </w:rPr>
        <w:t> </w:t>
      </w:r>
      <w:r>
        <w:rPr>
          <w:b/>
          <w:sz w:val="20"/>
        </w:rPr>
        <w:t>4.12:</w:t>
      </w:r>
      <w:r>
        <w:rPr>
          <w:b/>
          <w:spacing w:val="3"/>
          <w:sz w:val="20"/>
        </w:rPr>
        <w:t> </w:t>
      </w:r>
      <w:r>
        <w:rPr>
          <w:sz w:val="20"/>
        </w:rPr>
        <w:t>Rule</w:t>
      </w:r>
      <w:r>
        <w:rPr>
          <w:spacing w:val="-7"/>
          <w:sz w:val="20"/>
        </w:rPr>
        <w:t> </w:t>
      </w:r>
      <w:r>
        <w:rPr>
          <w:sz w:val="20"/>
        </w:rPr>
        <w:t>set</w:t>
      </w:r>
      <w:r>
        <w:rPr>
          <w:spacing w:val="-8"/>
          <w:sz w:val="20"/>
        </w:rPr>
        <w:t> </w:t>
      </w:r>
      <w:r>
        <w:rPr>
          <w:sz w:val="20"/>
        </w:rPr>
        <w:t>overlap</w:t>
      </w:r>
      <w:r>
        <w:rPr>
          <w:spacing w:val="-7"/>
          <w:sz w:val="20"/>
        </w:rPr>
        <w:t> </w:t>
      </w:r>
      <w:r>
        <w:rPr>
          <w:sz w:val="20"/>
        </w:rPr>
        <w:t>and</w:t>
      </w:r>
      <w:r>
        <w:rPr>
          <w:spacing w:val="-8"/>
          <w:sz w:val="20"/>
        </w:rPr>
        <w:t> </w:t>
      </w:r>
      <w:r>
        <w:rPr>
          <w:sz w:val="20"/>
        </w:rPr>
        <w:t>coherence</w:t>
      </w:r>
      <w:r>
        <w:rPr>
          <w:spacing w:val="-7"/>
          <w:sz w:val="20"/>
        </w:rPr>
        <w:t> </w:t>
      </w:r>
      <w:r>
        <w:rPr>
          <w:sz w:val="20"/>
        </w:rPr>
        <w:t>metrics</w:t>
      </w:r>
      <w:r>
        <w:rPr>
          <w:spacing w:val="-8"/>
          <w:sz w:val="20"/>
        </w:rPr>
        <w:t> </w:t>
      </w:r>
      <w:r>
        <w:rPr>
          <w:sz w:val="20"/>
        </w:rPr>
        <w:t>for</w:t>
      </w:r>
      <w:r>
        <w:rPr>
          <w:spacing w:val="-7"/>
          <w:sz w:val="20"/>
        </w:rPr>
        <w:t> </w:t>
      </w:r>
      <w:r>
        <w:rPr>
          <w:sz w:val="20"/>
        </w:rPr>
        <w:t>RDD</w:t>
      </w:r>
      <w:r>
        <w:rPr>
          <w:spacing w:val="-7"/>
          <w:sz w:val="20"/>
        </w:rPr>
        <w:t> </w:t>
      </w:r>
      <w:r>
        <w:rPr>
          <w:sz w:val="20"/>
        </w:rPr>
        <w:t>and</w:t>
      </w:r>
      <w:r>
        <w:rPr>
          <w:spacing w:val="-8"/>
          <w:sz w:val="20"/>
        </w:rPr>
        <w:t> </w:t>
      </w:r>
      <w:r>
        <w:rPr>
          <w:spacing w:val="-4"/>
          <w:sz w:val="20"/>
        </w:rPr>
        <w:t>RVV.</w:t>
      </w:r>
    </w:p>
    <w:p>
      <w:pPr>
        <w:pStyle w:val="BodyText"/>
        <w:spacing w:before="5"/>
        <w:rPr>
          <w:sz w:val="18"/>
        </w:rPr>
      </w:pPr>
      <w:r>
        <w:rPr>
          <w:sz w:val="18"/>
        </w:rPr>
        <mc:AlternateContent>
          <mc:Choice Requires="wps">
            <w:drawing>
              <wp:anchor distT="0" distB="0" distL="0" distR="0" allowOverlap="1" layoutInCell="1" locked="0" behindDoc="1" simplePos="0" relativeHeight="487622144">
                <wp:simplePos x="0" y="0"/>
                <wp:positionH relativeFrom="page">
                  <wp:posOffset>1260005</wp:posOffset>
                </wp:positionH>
                <wp:positionV relativeFrom="paragraph">
                  <wp:posOffset>150005</wp:posOffset>
                </wp:positionV>
                <wp:extent cx="5400040" cy="1270"/>
                <wp:effectExtent l="0" t="0" r="0" b="0"/>
                <wp:wrapTopAndBottom/>
                <wp:docPr id="187" name="Graphic 187"/>
                <wp:cNvGraphicFramePr>
                  <a:graphicFrameLocks/>
                </wp:cNvGraphicFramePr>
                <a:graphic>
                  <a:graphicData uri="http://schemas.microsoft.com/office/word/2010/wordprocessingShape">
                    <wps:wsp>
                      <wps:cNvPr id="187" name="Graphic 187"/>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1.811473pt;width:425.2pt;height:.1pt;mso-position-horizontal-relative:page;mso-position-vertical-relative:paragraph;z-index:-15694336;mso-wrap-distance-left:0;mso-wrap-distance-right:0" id="docshape159" coordorigin="1984,236" coordsize="8504,0" path="m1984,236l10488,236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7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04"/>
        <w:gridCol w:w="1868"/>
        <w:gridCol w:w="1528"/>
        <w:gridCol w:w="2903"/>
      </w:tblGrid>
      <w:tr>
        <w:trPr>
          <w:trHeight w:val="346" w:hRule="atLeast"/>
        </w:trPr>
        <w:tc>
          <w:tcPr>
            <w:tcW w:w="2204" w:type="dxa"/>
            <w:tcBorders>
              <w:top w:val="nil"/>
              <w:left w:val="nil"/>
              <w:right w:val="single" w:sz="4" w:space="0" w:color="000000"/>
            </w:tcBorders>
          </w:tcPr>
          <w:p>
            <w:pPr>
              <w:pStyle w:val="TableParagraph"/>
              <w:spacing w:before="31"/>
              <w:ind w:left="79"/>
              <w:rPr>
                <w:sz w:val="20"/>
              </w:rPr>
            </w:pPr>
            <w:r>
              <w:rPr>
                <w:spacing w:val="-2"/>
                <w:sz w:val="20"/>
              </w:rPr>
              <w:t>Metric</w:t>
            </w:r>
          </w:p>
        </w:tc>
        <w:tc>
          <w:tcPr>
            <w:tcW w:w="1868" w:type="dxa"/>
            <w:tcBorders>
              <w:top w:val="nil"/>
              <w:left w:val="single" w:sz="4" w:space="0" w:color="000000"/>
              <w:right w:val="single" w:sz="4" w:space="0" w:color="000000"/>
            </w:tcBorders>
          </w:tcPr>
          <w:p>
            <w:pPr>
              <w:pStyle w:val="TableParagraph"/>
              <w:spacing w:before="31"/>
              <w:ind w:left="79"/>
              <w:rPr>
                <w:sz w:val="20"/>
              </w:rPr>
            </w:pPr>
            <w:r>
              <w:rPr>
                <w:sz w:val="20"/>
              </w:rPr>
              <w:t>RDD</w:t>
            </w:r>
            <w:r>
              <w:rPr>
                <w:spacing w:val="-5"/>
                <w:sz w:val="20"/>
              </w:rPr>
              <w:t> </w:t>
            </w:r>
            <w:r>
              <w:rPr>
                <w:sz w:val="20"/>
              </w:rPr>
              <w:t>(48</w:t>
            </w:r>
            <w:r>
              <w:rPr>
                <w:spacing w:val="-4"/>
                <w:sz w:val="20"/>
              </w:rPr>
              <w:t> </w:t>
            </w:r>
            <w:r>
              <w:rPr>
                <w:spacing w:val="-2"/>
                <w:sz w:val="20"/>
              </w:rPr>
              <w:t>rules)</w:t>
            </w:r>
          </w:p>
        </w:tc>
        <w:tc>
          <w:tcPr>
            <w:tcW w:w="1528" w:type="dxa"/>
            <w:tcBorders>
              <w:top w:val="nil"/>
              <w:left w:val="single" w:sz="4" w:space="0" w:color="000000"/>
              <w:right w:val="single" w:sz="4" w:space="0" w:color="000000"/>
            </w:tcBorders>
          </w:tcPr>
          <w:p>
            <w:pPr>
              <w:pStyle w:val="TableParagraph"/>
              <w:spacing w:before="31"/>
              <w:ind w:left="79"/>
              <w:rPr>
                <w:sz w:val="20"/>
              </w:rPr>
            </w:pPr>
            <w:r>
              <w:rPr>
                <w:sz w:val="20"/>
              </w:rPr>
              <w:t>RVV</w:t>
            </w:r>
            <w:r>
              <w:rPr>
                <w:spacing w:val="-13"/>
                <w:sz w:val="20"/>
              </w:rPr>
              <w:t> </w:t>
            </w:r>
            <w:r>
              <w:rPr>
                <w:sz w:val="20"/>
              </w:rPr>
              <w:t>(20</w:t>
            </w:r>
            <w:r>
              <w:rPr>
                <w:spacing w:val="-12"/>
                <w:sz w:val="20"/>
              </w:rPr>
              <w:t> </w:t>
            </w:r>
            <w:r>
              <w:rPr>
                <w:spacing w:val="-2"/>
                <w:sz w:val="20"/>
              </w:rPr>
              <w:t>rules)</w:t>
            </w:r>
          </w:p>
        </w:tc>
        <w:tc>
          <w:tcPr>
            <w:tcW w:w="2903" w:type="dxa"/>
            <w:tcBorders>
              <w:top w:val="nil"/>
              <w:left w:val="single" w:sz="4" w:space="0" w:color="000000"/>
              <w:right w:val="nil"/>
            </w:tcBorders>
          </w:tcPr>
          <w:p>
            <w:pPr>
              <w:pStyle w:val="TableParagraph"/>
              <w:spacing w:before="31"/>
              <w:ind w:left="79"/>
              <w:rPr>
                <w:sz w:val="20"/>
              </w:rPr>
            </w:pPr>
            <w:r>
              <w:rPr>
                <w:spacing w:val="-2"/>
                <w:sz w:val="20"/>
              </w:rPr>
              <w:t>Interpretation</w:t>
            </w:r>
          </w:p>
        </w:tc>
      </w:tr>
    </w:tbl>
    <w:p>
      <w:pPr>
        <w:pStyle w:val="BodyText"/>
        <w:spacing w:before="10"/>
        <w:rPr>
          <w:sz w:val="4"/>
        </w:rPr>
      </w:pPr>
    </w:p>
    <w:tbl>
      <w:tblPr>
        <w:tblW w:w="0" w:type="auto"/>
        <w:jc w:val="left"/>
        <w:tblInd w:w="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04"/>
        <w:gridCol w:w="1868"/>
        <w:gridCol w:w="1528"/>
        <w:gridCol w:w="2903"/>
      </w:tblGrid>
      <w:tr>
        <w:trPr>
          <w:trHeight w:val="548" w:hRule="atLeast"/>
        </w:trPr>
        <w:tc>
          <w:tcPr>
            <w:tcW w:w="2204" w:type="dxa"/>
            <w:tcBorders>
              <w:right w:val="single" w:sz="4" w:space="0" w:color="000000"/>
            </w:tcBorders>
          </w:tcPr>
          <w:p>
            <w:pPr>
              <w:pStyle w:val="TableParagraph"/>
              <w:spacing w:line="211" w:lineRule="auto" w:before="1"/>
              <w:ind w:left="79"/>
              <w:rPr>
                <w:sz w:val="20"/>
              </w:rPr>
            </w:pPr>
            <w:r>
              <w:rPr>
                <w:spacing w:val="-2"/>
                <w:sz w:val="20"/>
              </w:rPr>
              <w:t>Rule</w:t>
            </w:r>
            <w:r>
              <w:rPr>
                <w:spacing w:val="-11"/>
                <w:sz w:val="20"/>
              </w:rPr>
              <w:t> </w:t>
            </w:r>
            <w:r>
              <w:rPr>
                <w:spacing w:val="-2"/>
                <w:sz w:val="20"/>
              </w:rPr>
              <w:t>pairs</w:t>
            </w:r>
            <w:r>
              <w:rPr>
                <w:spacing w:val="-10"/>
                <w:sz w:val="20"/>
              </w:rPr>
              <w:t> </w:t>
            </w:r>
            <w:r>
              <w:rPr>
                <w:spacing w:val="-2"/>
                <w:sz w:val="20"/>
              </w:rPr>
              <w:t>sharing</w:t>
            </w:r>
            <w:r>
              <w:rPr>
                <w:spacing w:val="-11"/>
                <w:sz w:val="20"/>
              </w:rPr>
              <w:t> </w:t>
            </w:r>
            <w:r>
              <w:rPr>
                <w:rFonts w:ascii="Meiryo UI" w:hAnsi="Meiryo UI"/>
                <w:i/>
                <w:spacing w:val="-2"/>
                <w:sz w:val="20"/>
              </w:rPr>
              <w:t>≥</w:t>
            </w:r>
            <w:r>
              <w:rPr>
                <w:spacing w:val="-2"/>
                <w:sz w:val="20"/>
              </w:rPr>
              <w:t>1</w:t>
            </w:r>
            <w:r>
              <w:rPr>
                <w:spacing w:val="-10"/>
                <w:sz w:val="20"/>
              </w:rPr>
              <w:t> </w:t>
            </w:r>
            <w:r>
              <w:rPr>
                <w:spacing w:val="-2"/>
                <w:sz w:val="20"/>
              </w:rPr>
              <w:t>fea-</w:t>
            </w:r>
            <w:r>
              <w:rPr>
                <w:spacing w:val="-4"/>
                <w:sz w:val="20"/>
              </w:rPr>
              <w:t>ture</w:t>
            </w:r>
          </w:p>
        </w:tc>
        <w:tc>
          <w:tcPr>
            <w:tcW w:w="1868" w:type="dxa"/>
            <w:tcBorders>
              <w:left w:val="single" w:sz="4" w:space="0" w:color="000000"/>
              <w:right w:val="single" w:sz="4" w:space="0" w:color="000000"/>
            </w:tcBorders>
          </w:tcPr>
          <w:p>
            <w:pPr>
              <w:pStyle w:val="TableParagraph"/>
              <w:spacing w:before="31"/>
              <w:ind w:left="79"/>
              <w:rPr>
                <w:sz w:val="20"/>
              </w:rPr>
            </w:pPr>
            <w:r>
              <w:rPr>
                <w:sz w:val="20"/>
              </w:rPr>
              <w:t>730</w:t>
            </w:r>
            <w:r>
              <w:rPr>
                <w:spacing w:val="-4"/>
                <w:sz w:val="20"/>
              </w:rPr>
              <w:t> </w:t>
            </w:r>
            <w:r>
              <w:rPr>
                <w:sz w:val="20"/>
              </w:rPr>
              <w:t>/</w:t>
            </w:r>
            <w:r>
              <w:rPr>
                <w:spacing w:val="-4"/>
                <w:sz w:val="20"/>
              </w:rPr>
              <w:t> </w:t>
            </w:r>
            <w:r>
              <w:rPr>
                <w:sz w:val="20"/>
              </w:rPr>
              <w:t>1128</w:t>
            </w:r>
            <w:r>
              <w:rPr>
                <w:spacing w:val="-3"/>
                <w:sz w:val="20"/>
              </w:rPr>
              <w:t> </w:t>
            </w:r>
            <w:r>
              <w:rPr>
                <w:spacing w:val="-2"/>
                <w:sz w:val="20"/>
              </w:rPr>
              <w:t>(64.7%)</w:t>
            </w:r>
          </w:p>
        </w:tc>
        <w:tc>
          <w:tcPr>
            <w:tcW w:w="1528" w:type="dxa"/>
            <w:tcBorders>
              <w:left w:val="single" w:sz="4" w:space="0" w:color="000000"/>
              <w:right w:val="single" w:sz="4" w:space="0" w:color="000000"/>
            </w:tcBorders>
          </w:tcPr>
          <w:p>
            <w:pPr>
              <w:pStyle w:val="TableParagraph"/>
              <w:spacing w:before="31"/>
              <w:ind w:left="79"/>
              <w:rPr>
                <w:sz w:val="20"/>
              </w:rPr>
            </w:pPr>
            <w:r>
              <w:rPr>
                <w:sz w:val="20"/>
              </w:rPr>
              <w:t>N/A</w:t>
            </w:r>
            <w:r>
              <w:rPr>
                <w:spacing w:val="-5"/>
                <w:sz w:val="20"/>
              </w:rPr>
              <w:t> </w:t>
            </w:r>
            <w:r>
              <w:rPr>
                <w:sz w:val="20"/>
              </w:rPr>
              <w:t>(20</w:t>
            </w:r>
            <w:r>
              <w:rPr>
                <w:spacing w:val="-4"/>
                <w:sz w:val="20"/>
              </w:rPr>
              <w:t> </w:t>
            </w:r>
            <w:r>
              <w:rPr>
                <w:spacing w:val="-2"/>
                <w:sz w:val="20"/>
              </w:rPr>
              <w:t>rules)</w:t>
            </w:r>
          </w:p>
        </w:tc>
        <w:tc>
          <w:tcPr>
            <w:tcW w:w="2903" w:type="dxa"/>
            <w:tcBorders>
              <w:left w:val="single" w:sz="4" w:space="0" w:color="000000"/>
            </w:tcBorders>
          </w:tcPr>
          <w:p>
            <w:pPr>
              <w:pStyle w:val="TableParagraph"/>
              <w:spacing w:line="249" w:lineRule="auto" w:before="31"/>
              <w:ind w:left="79"/>
              <w:rPr>
                <w:sz w:val="20"/>
              </w:rPr>
            </w:pPr>
            <w:r>
              <w:rPr>
                <w:sz w:val="20"/>
              </w:rPr>
              <w:t>Expected</w:t>
            </w:r>
            <w:r>
              <w:rPr>
                <w:spacing w:val="28"/>
                <w:sz w:val="20"/>
              </w:rPr>
              <w:t> </w:t>
            </w:r>
            <w:r>
              <w:rPr>
                <w:sz w:val="20"/>
              </w:rPr>
              <w:t>high</w:t>
            </w:r>
            <w:r>
              <w:rPr>
                <w:spacing w:val="28"/>
                <w:sz w:val="20"/>
              </w:rPr>
              <w:t> </w:t>
            </w:r>
            <w:r>
              <w:rPr>
                <w:sz w:val="20"/>
              </w:rPr>
              <w:t>overlap,</w:t>
            </w:r>
            <w:r>
              <w:rPr>
                <w:spacing w:val="36"/>
                <w:sz w:val="20"/>
              </w:rPr>
              <w:t> </w:t>
            </w:r>
            <w:r>
              <w:rPr>
                <w:sz w:val="20"/>
              </w:rPr>
              <w:t>confirms dominant shared features</w:t>
            </w:r>
          </w:p>
        </w:tc>
      </w:tr>
      <w:tr>
        <w:trPr>
          <w:trHeight w:val="549" w:hRule="atLeast"/>
        </w:trPr>
        <w:tc>
          <w:tcPr>
            <w:tcW w:w="2204" w:type="dxa"/>
            <w:tcBorders>
              <w:right w:val="single" w:sz="4" w:space="0" w:color="000000"/>
            </w:tcBorders>
          </w:tcPr>
          <w:p>
            <w:pPr>
              <w:pStyle w:val="TableParagraph"/>
              <w:spacing w:line="211" w:lineRule="auto" w:before="2"/>
              <w:ind w:left="79" w:right="76"/>
              <w:rPr>
                <w:sz w:val="20"/>
              </w:rPr>
            </w:pPr>
            <w:r>
              <w:rPr>
                <w:sz w:val="20"/>
              </w:rPr>
              <w:t>Rules</w:t>
            </w:r>
            <w:r>
              <w:rPr>
                <w:spacing w:val="40"/>
                <w:sz w:val="20"/>
              </w:rPr>
              <w:t> </w:t>
            </w:r>
            <w:r>
              <w:rPr>
                <w:sz w:val="20"/>
              </w:rPr>
              <w:t>with</w:t>
            </w:r>
            <w:r>
              <w:rPr>
                <w:spacing w:val="40"/>
                <w:sz w:val="20"/>
              </w:rPr>
              <w:t> </w:t>
            </w:r>
            <w:r>
              <w:rPr>
                <w:rFonts w:ascii="Meiryo UI" w:hAnsi="Meiryo UI"/>
                <w:i/>
                <w:sz w:val="20"/>
              </w:rPr>
              <w:t>≥</w:t>
            </w:r>
            <w:r>
              <w:rPr>
                <w:sz w:val="20"/>
              </w:rPr>
              <w:t>1</w:t>
            </w:r>
            <w:r>
              <w:rPr>
                <w:spacing w:val="40"/>
                <w:sz w:val="20"/>
              </w:rPr>
              <w:t> </w:t>
            </w:r>
            <w:r>
              <w:rPr>
                <w:sz w:val="20"/>
              </w:rPr>
              <w:t>unique </w:t>
            </w:r>
            <w:r>
              <w:rPr>
                <w:spacing w:val="-2"/>
                <w:sz w:val="20"/>
              </w:rPr>
              <w:t>condition-bin</w:t>
            </w:r>
          </w:p>
        </w:tc>
        <w:tc>
          <w:tcPr>
            <w:tcW w:w="1868" w:type="dxa"/>
            <w:tcBorders>
              <w:left w:val="single" w:sz="4" w:space="0" w:color="000000"/>
              <w:right w:val="single" w:sz="4" w:space="0" w:color="000000"/>
            </w:tcBorders>
          </w:tcPr>
          <w:p>
            <w:pPr>
              <w:pStyle w:val="TableParagraph"/>
              <w:ind w:left="79"/>
              <w:rPr>
                <w:sz w:val="20"/>
              </w:rPr>
            </w:pPr>
            <w:r>
              <w:rPr>
                <w:sz w:val="20"/>
              </w:rPr>
              <w:t>44</w:t>
            </w:r>
            <w:r>
              <w:rPr>
                <w:spacing w:val="-3"/>
                <w:sz w:val="20"/>
              </w:rPr>
              <w:t> </w:t>
            </w:r>
            <w:r>
              <w:rPr>
                <w:sz w:val="20"/>
              </w:rPr>
              <w:t>/</w:t>
            </w:r>
            <w:r>
              <w:rPr>
                <w:spacing w:val="-3"/>
                <w:sz w:val="20"/>
              </w:rPr>
              <w:t> </w:t>
            </w:r>
            <w:r>
              <w:rPr>
                <w:sz w:val="20"/>
              </w:rPr>
              <w:t>48</w:t>
            </w:r>
            <w:r>
              <w:rPr>
                <w:spacing w:val="-2"/>
                <w:sz w:val="20"/>
              </w:rPr>
              <w:t> (92%)</w:t>
            </w:r>
          </w:p>
        </w:tc>
        <w:tc>
          <w:tcPr>
            <w:tcW w:w="1528" w:type="dxa"/>
            <w:tcBorders>
              <w:left w:val="single" w:sz="4" w:space="0" w:color="000000"/>
              <w:right w:val="single" w:sz="4" w:space="0" w:color="000000"/>
            </w:tcBorders>
          </w:tcPr>
          <w:p>
            <w:pPr>
              <w:pStyle w:val="TableParagraph"/>
              <w:ind w:left="79"/>
              <w:rPr>
                <w:sz w:val="20"/>
              </w:rPr>
            </w:pPr>
            <w:r>
              <w:rPr>
                <w:sz w:val="20"/>
              </w:rPr>
              <w:t>11</w:t>
            </w:r>
            <w:r>
              <w:rPr>
                <w:spacing w:val="-3"/>
                <w:sz w:val="20"/>
              </w:rPr>
              <w:t> </w:t>
            </w:r>
            <w:r>
              <w:rPr>
                <w:sz w:val="20"/>
              </w:rPr>
              <w:t>/</w:t>
            </w:r>
            <w:r>
              <w:rPr>
                <w:spacing w:val="-3"/>
                <w:sz w:val="20"/>
              </w:rPr>
              <w:t> </w:t>
            </w:r>
            <w:r>
              <w:rPr>
                <w:sz w:val="20"/>
              </w:rPr>
              <w:t>20</w:t>
            </w:r>
            <w:r>
              <w:rPr>
                <w:spacing w:val="-2"/>
                <w:sz w:val="20"/>
              </w:rPr>
              <w:t> (55%)</w:t>
            </w:r>
          </w:p>
        </w:tc>
        <w:tc>
          <w:tcPr>
            <w:tcW w:w="2903" w:type="dxa"/>
            <w:tcBorders>
              <w:left w:val="single" w:sz="4" w:space="0" w:color="000000"/>
            </w:tcBorders>
          </w:tcPr>
          <w:p>
            <w:pPr>
              <w:pStyle w:val="TableParagraph"/>
              <w:spacing w:line="249" w:lineRule="auto"/>
              <w:ind w:left="79"/>
              <w:rPr>
                <w:sz w:val="20"/>
              </w:rPr>
            </w:pPr>
            <w:r>
              <w:rPr>
                <w:sz w:val="20"/>
              </w:rPr>
              <w:t>RDD has richer feature </w:t>
            </w:r>
            <w:r>
              <w:rPr>
                <w:sz w:val="20"/>
              </w:rPr>
              <w:t>diversity; RVV more concentrated</w:t>
            </w:r>
          </w:p>
        </w:tc>
      </w:tr>
      <w:tr>
        <w:trPr>
          <w:trHeight w:val="549" w:hRule="atLeast"/>
        </w:trPr>
        <w:tc>
          <w:tcPr>
            <w:tcW w:w="2204" w:type="dxa"/>
            <w:tcBorders>
              <w:right w:val="single" w:sz="4" w:space="0" w:color="000000"/>
            </w:tcBorders>
          </w:tcPr>
          <w:p>
            <w:pPr>
              <w:pStyle w:val="TableParagraph"/>
              <w:spacing w:line="249" w:lineRule="auto"/>
              <w:ind w:left="79"/>
              <w:rPr>
                <w:sz w:val="20"/>
              </w:rPr>
            </w:pPr>
            <w:r>
              <w:rPr>
                <w:sz w:val="20"/>
              </w:rPr>
              <w:t>Rules that are subsets </w:t>
            </w:r>
            <w:r>
              <w:rPr>
                <w:sz w:val="20"/>
              </w:rPr>
              <w:t>of another rule</w:t>
            </w:r>
          </w:p>
        </w:tc>
        <w:tc>
          <w:tcPr>
            <w:tcW w:w="1868" w:type="dxa"/>
            <w:tcBorders>
              <w:left w:val="single" w:sz="4" w:space="0" w:color="000000"/>
              <w:right w:val="single" w:sz="4" w:space="0" w:color="000000"/>
            </w:tcBorders>
          </w:tcPr>
          <w:p>
            <w:pPr>
              <w:pStyle w:val="TableParagraph"/>
              <w:ind w:left="79"/>
              <w:rPr>
                <w:sz w:val="20"/>
              </w:rPr>
            </w:pPr>
            <w:r>
              <w:rPr>
                <w:sz w:val="20"/>
              </w:rPr>
              <w:t>4</w:t>
            </w:r>
            <w:r>
              <w:rPr>
                <w:spacing w:val="-3"/>
                <w:sz w:val="20"/>
              </w:rPr>
              <w:t> </w:t>
            </w:r>
            <w:r>
              <w:rPr>
                <w:sz w:val="20"/>
              </w:rPr>
              <w:t>/</w:t>
            </w:r>
            <w:r>
              <w:rPr>
                <w:spacing w:val="-2"/>
                <w:sz w:val="20"/>
              </w:rPr>
              <w:t> </w:t>
            </w:r>
            <w:r>
              <w:rPr>
                <w:sz w:val="20"/>
              </w:rPr>
              <w:t>48</w:t>
            </w:r>
            <w:r>
              <w:rPr>
                <w:spacing w:val="-2"/>
                <w:sz w:val="20"/>
              </w:rPr>
              <w:t> </w:t>
            </w:r>
            <w:r>
              <w:rPr>
                <w:spacing w:val="-4"/>
                <w:sz w:val="20"/>
              </w:rPr>
              <w:t>(8%)</w:t>
            </w:r>
          </w:p>
        </w:tc>
        <w:tc>
          <w:tcPr>
            <w:tcW w:w="1528" w:type="dxa"/>
            <w:tcBorders>
              <w:left w:val="single" w:sz="4" w:space="0" w:color="000000"/>
              <w:right w:val="single" w:sz="4" w:space="0" w:color="000000"/>
            </w:tcBorders>
          </w:tcPr>
          <w:p>
            <w:pPr>
              <w:pStyle w:val="TableParagraph"/>
              <w:ind w:left="79"/>
              <w:rPr>
                <w:sz w:val="20"/>
              </w:rPr>
            </w:pPr>
            <w:r>
              <w:rPr>
                <w:sz w:val="20"/>
              </w:rPr>
              <w:t>9</w:t>
            </w:r>
            <w:r>
              <w:rPr>
                <w:spacing w:val="-3"/>
                <w:sz w:val="20"/>
              </w:rPr>
              <w:t> </w:t>
            </w:r>
            <w:r>
              <w:rPr>
                <w:sz w:val="20"/>
              </w:rPr>
              <w:t>/</w:t>
            </w:r>
            <w:r>
              <w:rPr>
                <w:spacing w:val="-2"/>
                <w:sz w:val="20"/>
              </w:rPr>
              <w:t> </w:t>
            </w:r>
            <w:r>
              <w:rPr>
                <w:sz w:val="20"/>
              </w:rPr>
              <w:t>20</w:t>
            </w:r>
            <w:r>
              <w:rPr>
                <w:spacing w:val="-2"/>
                <w:sz w:val="20"/>
              </w:rPr>
              <w:t> (45%)</w:t>
            </w:r>
          </w:p>
        </w:tc>
        <w:tc>
          <w:tcPr>
            <w:tcW w:w="2903" w:type="dxa"/>
            <w:tcBorders>
              <w:left w:val="single" w:sz="4" w:space="0" w:color="000000"/>
            </w:tcBorders>
          </w:tcPr>
          <w:p>
            <w:pPr>
              <w:pStyle w:val="TableParagraph"/>
              <w:spacing w:line="249" w:lineRule="auto"/>
              <w:ind w:left="79"/>
              <w:rPr>
                <w:sz w:val="20"/>
              </w:rPr>
            </w:pPr>
            <w:r>
              <w:rPr>
                <w:sz w:val="20"/>
              </w:rPr>
              <w:t>RVV rule set has more </w:t>
            </w:r>
            <w:r>
              <w:rPr>
                <w:sz w:val="20"/>
              </w:rPr>
              <w:t>structural </w:t>
            </w:r>
            <w:r>
              <w:rPr>
                <w:spacing w:val="-2"/>
                <w:sz w:val="20"/>
              </w:rPr>
              <w:t>redundancy</w:t>
            </w:r>
          </w:p>
        </w:tc>
      </w:tr>
      <w:tr>
        <w:trPr>
          <w:trHeight w:val="549" w:hRule="atLeast"/>
        </w:trPr>
        <w:tc>
          <w:tcPr>
            <w:tcW w:w="2204" w:type="dxa"/>
            <w:tcBorders>
              <w:right w:val="single" w:sz="4" w:space="0" w:color="000000"/>
            </w:tcBorders>
          </w:tcPr>
          <w:p>
            <w:pPr>
              <w:pStyle w:val="TableParagraph"/>
              <w:spacing w:line="249" w:lineRule="auto"/>
              <w:ind w:left="74" w:right="67" w:firstLine="4"/>
              <w:rPr>
                <w:sz w:val="20"/>
              </w:rPr>
            </w:pPr>
            <w:r>
              <w:rPr>
                <w:sz w:val="20"/>
              </w:rPr>
              <w:t>Number</w:t>
            </w:r>
            <w:r>
              <w:rPr>
                <w:spacing w:val="-13"/>
                <w:sz w:val="20"/>
              </w:rPr>
              <w:t> </w:t>
            </w:r>
            <w:r>
              <w:rPr>
                <w:sz w:val="20"/>
              </w:rPr>
              <w:t>of</w:t>
            </w:r>
            <w:r>
              <w:rPr>
                <w:spacing w:val="-12"/>
                <w:sz w:val="20"/>
              </w:rPr>
              <w:t> </w:t>
            </w:r>
            <w:r>
              <w:rPr>
                <w:sz w:val="20"/>
              </w:rPr>
              <w:t>unique</w:t>
            </w:r>
            <w:r>
              <w:rPr>
                <w:spacing w:val="-13"/>
                <w:sz w:val="20"/>
              </w:rPr>
              <w:t> </w:t>
            </w:r>
            <w:r>
              <w:rPr>
                <w:sz w:val="20"/>
              </w:rPr>
              <w:t>feature variables used</w:t>
            </w:r>
          </w:p>
        </w:tc>
        <w:tc>
          <w:tcPr>
            <w:tcW w:w="1868" w:type="dxa"/>
            <w:tcBorders>
              <w:left w:val="single" w:sz="4" w:space="0" w:color="000000"/>
              <w:right w:val="single" w:sz="4" w:space="0" w:color="000000"/>
            </w:tcBorders>
          </w:tcPr>
          <w:p>
            <w:pPr>
              <w:pStyle w:val="TableParagraph"/>
              <w:ind w:left="79"/>
              <w:rPr>
                <w:sz w:val="20"/>
              </w:rPr>
            </w:pPr>
            <w:r>
              <w:rPr>
                <w:spacing w:val="-5"/>
                <w:sz w:val="20"/>
              </w:rPr>
              <w:t>10</w:t>
            </w:r>
          </w:p>
        </w:tc>
        <w:tc>
          <w:tcPr>
            <w:tcW w:w="1528" w:type="dxa"/>
            <w:tcBorders>
              <w:left w:val="single" w:sz="4" w:space="0" w:color="000000"/>
              <w:right w:val="single" w:sz="4" w:space="0" w:color="000000"/>
            </w:tcBorders>
          </w:tcPr>
          <w:p>
            <w:pPr>
              <w:pStyle w:val="TableParagraph"/>
              <w:ind w:left="79"/>
              <w:rPr>
                <w:sz w:val="20"/>
              </w:rPr>
            </w:pPr>
            <w:r>
              <w:rPr>
                <w:spacing w:val="-5"/>
                <w:sz w:val="20"/>
              </w:rPr>
              <w:t>11</w:t>
            </w:r>
          </w:p>
        </w:tc>
        <w:tc>
          <w:tcPr>
            <w:tcW w:w="2903" w:type="dxa"/>
            <w:tcBorders>
              <w:left w:val="single" w:sz="4" w:space="0" w:color="000000"/>
            </w:tcBorders>
          </w:tcPr>
          <w:p>
            <w:pPr>
              <w:pStyle w:val="TableParagraph"/>
              <w:ind w:left="79"/>
              <w:rPr>
                <w:sz w:val="20"/>
              </w:rPr>
            </w:pPr>
            <w:r>
              <w:rPr>
                <w:sz w:val="20"/>
              </w:rPr>
              <w:t>Both</w:t>
            </w:r>
            <w:r>
              <w:rPr>
                <w:spacing w:val="-13"/>
                <w:sz w:val="20"/>
              </w:rPr>
              <w:t> </w:t>
            </w:r>
            <w:r>
              <w:rPr>
                <w:sz w:val="20"/>
              </w:rPr>
              <w:t>use</w:t>
            </w:r>
            <w:r>
              <w:rPr>
                <w:spacing w:val="22"/>
                <w:sz w:val="20"/>
              </w:rPr>
              <w:t> </w:t>
            </w:r>
            <w:r>
              <w:rPr>
                <w:sz w:val="20"/>
              </w:rPr>
              <w:t>10</w:t>
            </w:r>
            <w:r>
              <w:rPr>
                <w:spacing w:val="-12"/>
                <w:sz w:val="20"/>
              </w:rPr>
              <w:t> </w:t>
            </w:r>
            <w:r>
              <w:rPr>
                <w:sz w:val="20"/>
              </w:rPr>
              <w:t>distinct</w:t>
            </w:r>
            <w:r>
              <w:rPr>
                <w:spacing w:val="-13"/>
                <w:sz w:val="20"/>
              </w:rPr>
              <w:t> </w:t>
            </w:r>
            <w:r>
              <w:rPr>
                <w:sz w:val="20"/>
              </w:rPr>
              <w:t>variable</w:t>
            </w:r>
            <w:r>
              <w:rPr>
                <w:spacing w:val="-12"/>
                <w:sz w:val="20"/>
              </w:rPr>
              <w:t> </w:t>
            </w:r>
            <w:r>
              <w:rPr>
                <w:spacing w:val="-2"/>
                <w:sz w:val="20"/>
              </w:rPr>
              <w:t>types</w:t>
            </w:r>
          </w:p>
        </w:tc>
      </w:tr>
      <w:tr>
        <w:trPr>
          <w:trHeight w:val="1066" w:hRule="atLeast"/>
        </w:trPr>
        <w:tc>
          <w:tcPr>
            <w:tcW w:w="2204" w:type="dxa"/>
            <w:tcBorders>
              <w:bottom w:val="single" w:sz="8" w:space="0" w:color="000000"/>
              <w:right w:val="single" w:sz="4" w:space="0" w:color="000000"/>
            </w:tcBorders>
          </w:tcPr>
          <w:p>
            <w:pPr>
              <w:pStyle w:val="TableParagraph"/>
              <w:ind w:left="79"/>
              <w:rPr>
                <w:sz w:val="20"/>
              </w:rPr>
            </w:pPr>
            <w:r>
              <w:rPr>
                <w:spacing w:val="-4"/>
                <w:sz w:val="20"/>
              </w:rPr>
              <w:t>Most</w:t>
            </w:r>
            <w:r>
              <w:rPr>
                <w:spacing w:val="-3"/>
                <w:sz w:val="20"/>
              </w:rPr>
              <w:t> </w:t>
            </w:r>
            <w:r>
              <w:rPr>
                <w:spacing w:val="-4"/>
                <w:sz w:val="20"/>
              </w:rPr>
              <w:t>shared</w:t>
            </w:r>
            <w:r>
              <w:rPr>
                <w:spacing w:val="-3"/>
                <w:sz w:val="20"/>
              </w:rPr>
              <w:t> </w:t>
            </w:r>
            <w:r>
              <w:rPr>
                <w:spacing w:val="-4"/>
                <w:sz w:val="20"/>
              </w:rPr>
              <w:t>single</w:t>
            </w:r>
            <w:r>
              <w:rPr>
                <w:spacing w:val="-3"/>
                <w:sz w:val="20"/>
              </w:rPr>
              <w:t> </w:t>
            </w:r>
            <w:r>
              <w:rPr>
                <w:spacing w:val="-4"/>
                <w:sz w:val="20"/>
              </w:rPr>
              <w:t>feature</w:t>
            </w:r>
          </w:p>
        </w:tc>
        <w:tc>
          <w:tcPr>
            <w:tcW w:w="1868" w:type="dxa"/>
            <w:tcBorders>
              <w:left w:val="single" w:sz="4" w:space="0" w:color="000000"/>
              <w:bottom w:val="single" w:sz="8" w:space="0" w:color="000000"/>
              <w:right w:val="single" w:sz="4" w:space="0" w:color="000000"/>
            </w:tcBorders>
          </w:tcPr>
          <w:p>
            <w:pPr>
              <w:pStyle w:val="TableParagraph"/>
              <w:ind w:left="79"/>
              <w:rPr>
                <w:sz w:val="20"/>
              </w:rPr>
            </w:pPr>
            <w:r>
              <w:rPr>
                <w:sz w:val="20"/>
              </w:rPr>
              <w:t>swa_hv_y1_b20</w:t>
            </w:r>
            <w:r>
              <w:rPr>
                <w:spacing w:val="59"/>
                <w:sz w:val="20"/>
              </w:rPr>
              <w:t> </w:t>
            </w:r>
            <w:r>
              <w:rPr>
                <w:spacing w:val="-5"/>
                <w:sz w:val="20"/>
              </w:rPr>
              <w:t>(26</w:t>
            </w:r>
          </w:p>
          <w:p>
            <w:pPr>
              <w:pStyle w:val="TableParagraph"/>
              <w:spacing w:before="10"/>
              <w:ind w:left="79"/>
              <w:rPr>
                <w:sz w:val="20"/>
              </w:rPr>
            </w:pPr>
            <w:r>
              <w:rPr>
                <w:sz w:val="20"/>
              </w:rPr>
              <w:t>rules,</w:t>
            </w:r>
            <w:r>
              <w:rPr>
                <w:spacing w:val="-6"/>
                <w:sz w:val="20"/>
              </w:rPr>
              <w:t> </w:t>
            </w:r>
            <w:r>
              <w:rPr>
                <w:spacing w:val="-4"/>
                <w:sz w:val="20"/>
              </w:rPr>
              <w:t>54%)</w:t>
            </w:r>
          </w:p>
        </w:tc>
        <w:tc>
          <w:tcPr>
            <w:tcW w:w="1528" w:type="dxa"/>
            <w:tcBorders>
              <w:left w:val="single" w:sz="4" w:space="0" w:color="000000"/>
              <w:bottom w:val="single" w:sz="8" w:space="0" w:color="000000"/>
              <w:right w:val="single" w:sz="4" w:space="0" w:color="000000"/>
            </w:tcBorders>
          </w:tcPr>
          <w:p>
            <w:pPr>
              <w:pStyle w:val="TableParagraph"/>
              <w:spacing w:line="249" w:lineRule="auto"/>
              <w:ind w:left="79" w:right="-106"/>
              <w:rPr>
                <w:sz w:val="20"/>
              </w:rPr>
            </w:pPr>
            <w:r>
              <w:rPr>
                <w:spacing w:val="-2"/>
                <w:sz w:val="20"/>
              </w:rPr>
              <w:t>days. </w:t>
            </w:r>
            <w:r>
              <w:rPr>
                <w:spacing w:val="-4"/>
                <w:sz w:val="20"/>
              </w:rPr>
              <w:t>maxTemp.above.35 </w:t>
            </w:r>
            <w:r>
              <w:rPr>
                <w:spacing w:val="-2"/>
                <w:sz w:val="20"/>
              </w:rPr>
              <w:t>sm_y1_a20</w:t>
            </w:r>
          </w:p>
          <w:p>
            <w:pPr>
              <w:pStyle w:val="TableParagraph"/>
              <w:spacing w:line="230" w:lineRule="exact" w:before="0"/>
              <w:ind w:left="72"/>
              <w:rPr>
                <w:sz w:val="20"/>
              </w:rPr>
            </w:pPr>
            <w:r>
              <w:rPr>
                <w:sz w:val="20"/>
              </w:rPr>
              <w:t>(10</w:t>
            </w:r>
            <w:r>
              <w:rPr>
                <w:spacing w:val="-5"/>
                <w:sz w:val="20"/>
              </w:rPr>
              <w:t> </w:t>
            </w:r>
            <w:r>
              <w:rPr>
                <w:sz w:val="20"/>
              </w:rPr>
              <w:t>rules,</w:t>
            </w:r>
            <w:r>
              <w:rPr>
                <w:spacing w:val="-5"/>
                <w:sz w:val="20"/>
              </w:rPr>
              <w:t> </w:t>
            </w:r>
            <w:r>
              <w:rPr>
                <w:spacing w:val="-4"/>
                <w:sz w:val="20"/>
              </w:rPr>
              <w:t>50%)</w:t>
            </w:r>
          </w:p>
        </w:tc>
        <w:tc>
          <w:tcPr>
            <w:tcW w:w="2903" w:type="dxa"/>
            <w:tcBorders>
              <w:left w:val="single" w:sz="4" w:space="0" w:color="000000"/>
              <w:bottom w:val="single" w:sz="8" w:space="0" w:color="000000"/>
            </w:tcBorders>
          </w:tcPr>
          <w:p>
            <w:pPr>
              <w:pStyle w:val="TableParagraph"/>
              <w:spacing w:line="249" w:lineRule="auto"/>
              <w:ind w:left="79"/>
              <w:rPr>
                <w:sz w:val="20"/>
              </w:rPr>
            </w:pPr>
            <w:r>
              <w:rPr>
                <w:sz w:val="20"/>
              </w:rPr>
              <w:t>Both</w:t>
            </w:r>
            <w:r>
              <w:rPr>
                <w:spacing w:val="-12"/>
                <w:sz w:val="20"/>
              </w:rPr>
              <w:t> </w:t>
            </w:r>
            <w:r>
              <w:rPr>
                <w:sz w:val="20"/>
              </w:rPr>
              <w:t>have</w:t>
            </w:r>
            <w:r>
              <w:rPr>
                <w:spacing w:val="-12"/>
                <w:sz w:val="20"/>
              </w:rPr>
              <w:t> </w:t>
            </w:r>
            <w:r>
              <w:rPr>
                <w:sz w:val="20"/>
              </w:rPr>
              <w:t>a</w:t>
            </w:r>
            <w:r>
              <w:rPr>
                <w:spacing w:val="-12"/>
                <w:sz w:val="20"/>
              </w:rPr>
              <w:t> </w:t>
            </w:r>
            <w:r>
              <w:rPr>
                <w:sz w:val="20"/>
              </w:rPr>
              <w:t>single</w:t>
            </w:r>
            <w:r>
              <w:rPr>
                <w:spacing w:val="-12"/>
                <w:sz w:val="20"/>
              </w:rPr>
              <w:t> </w:t>
            </w:r>
            <w:r>
              <w:rPr>
                <w:sz w:val="20"/>
              </w:rPr>
              <w:t>dominant</w:t>
            </w:r>
            <w:r>
              <w:rPr>
                <w:spacing w:val="-12"/>
                <w:sz w:val="20"/>
              </w:rPr>
              <w:t> </w:t>
            </w:r>
            <w:r>
              <w:rPr>
                <w:sz w:val="20"/>
              </w:rPr>
              <w:t>struc-t_ural backbone feature</w:t>
            </w:r>
          </w:p>
        </w:tc>
      </w:tr>
    </w:tbl>
    <w:p>
      <w:pPr>
        <w:pStyle w:val="BodyText"/>
        <w:spacing w:before="193"/>
        <w:rPr>
          <w:sz w:val="20"/>
        </w:rPr>
      </w:pPr>
    </w:p>
    <w:p>
      <w:pPr>
        <w:pStyle w:val="BodyText"/>
        <w:spacing w:line="312" w:lineRule="auto"/>
        <w:ind w:left="701" w:right="990" w:firstLine="7"/>
        <w:jc w:val="both"/>
      </w:pPr>
      <w:r>
        <w:rPr>
          <w:spacing w:val="-4"/>
        </w:rPr>
        <w:t>RIPPER</w:t>
      </w:r>
      <w:r>
        <w:rPr>
          <w:spacing w:val="-9"/>
        </w:rPr>
        <w:t> </w:t>
      </w:r>
      <w:r>
        <w:rPr>
          <w:spacing w:val="-4"/>
        </w:rPr>
        <w:t>and</w:t>
      </w:r>
      <w:r>
        <w:rPr>
          <w:spacing w:val="-9"/>
        </w:rPr>
        <w:t> </w:t>
      </w:r>
      <w:r>
        <w:rPr>
          <w:spacing w:val="-4"/>
        </w:rPr>
        <w:t>M5Rules</w:t>
      </w:r>
      <w:r>
        <w:rPr>
          <w:spacing w:val="-9"/>
        </w:rPr>
        <w:t> </w:t>
      </w:r>
      <w:r>
        <w:rPr>
          <w:spacing w:val="-4"/>
        </w:rPr>
        <w:t>converge</w:t>
      </w:r>
      <w:r>
        <w:rPr>
          <w:spacing w:val="-9"/>
        </w:rPr>
        <w:t> </w:t>
      </w:r>
      <w:r>
        <w:rPr>
          <w:spacing w:val="-4"/>
        </w:rPr>
        <w:t>on</w:t>
      </w:r>
      <w:r>
        <w:rPr>
          <w:spacing w:val="-9"/>
        </w:rPr>
        <w:t> </w:t>
      </w:r>
      <w:r>
        <w:rPr>
          <w:spacing w:val="-4"/>
        </w:rPr>
        <w:t>the</w:t>
      </w:r>
      <w:r>
        <w:rPr>
          <w:spacing w:val="-9"/>
        </w:rPr>
        <w:t> </w:t>
      </w:r>
      <w:r>
        <w:rPr>
          <w:spacing w:val="-4"/>
        </w:rPr>
        <w:t>same</w:t>
      </w:r>
      <w:r>
        <w:rPr>
          <w:spacing w:val="-9"/>
        </w:rPr>
        <w:t> </w:t>
      </w:r>
      <w:r>
        <w:rPr>
          <w:spacing w:val="-4"/>
        </w:rPr>
        <w:t>variable</w:t>
      </w:r>
      <w:r>
        <w:rPr>
          <w:spacing w:val="-9"/>
        </w:rPr>
        <w:t> </w:t>
      </w:r>
      <w:r>
        <w:rPr>
          <w:spacing w:val="-4"/>
        </w:rPr>
        <w:t>families</w:t>
      </w:r>
      <w:r>
        <w:rPr>
          <w:spacing w:val="-9"/>
        </w:rPr>
        <w:t> </w:t>
      </w:r>
      <w:r>
        <w:rPr>
          <w:spacing w:val="-4"/>
        </w:rPr>
        <w:t>through</w:t>
      </w:r>
      <w:r>
        <w:rPr>
          <w:spacing w:val="-9"/>
        </w:rPr>
        <w:t> </w:t>
      </w:r>
      <w:r>
        <w:rPr>
          <w:spacing w:val="-4"/>
        </w:rPr>
        <w:t>entirely</w:t>
      </w:r>
      <w:r>
        <w:rPr>
          <w:spacing w:val="-9"/>
        </w:rPr>
        <w:t> </w:t>
      </w:r>
      <w:r>
        <w:rPr>
          <w:spacing w:val="-4"/>
        </w:rPr>
        <w:t>different</w:t>
      </w:r>
      <w:r>
        <w:rPr>
          <w:spacing w:val="-9"/>
        </w:rPr>
        <w:t> </w:t>
      </w:r>
      <w:r>
        <w:rPr>
          <w:spacing w:val="-4"/>
        </w:rPr>
        <w:t>optimisation </w:t>
      </w:r>
      <w:r>
        <w:rPr/>
        <w:t>criteria; (3) the rule sets are structurally coherent, organised around a small number of backbone </w:t>
      </w:r>
      <w:r>
        <w:rPr>
          <w:spacing w:val="-2"/>
        </w:rPr>
        <w:t>features</w:t>
      </w:r>
      <w:r>
        <w:rPr>
          <w:spacing w:val="-8"/>
        </w:rPr>
        <w:t> </w:t>
      </w:r>
      <w:r>
        <w:rPr>
          <w:spacing w:val="-2"/>
        </w:rPr>
        <w:t>with</w:t>
      </w:r>
      <w:r>
        <w:rPr>
          <w:spacing w:val="-8"/>
        </w:rPr>
        <w:t> </w:t>
      </w:r>
      <w:r>
        <w:rPr>
          <w:spacing w:val="-2"/>
        </w:rPr>
        <w:t>a</w:t>
      </w:r>
      <w:r>
        <w:rPr>
          <w:spacing w:val="-8"/>
        </w:rPr>
        <w:t> </w:t>
      </w:r>
      <w:r>
        <w:rPr>
          <w:spacing w:val="-2"/>
        </w:rPr>
        <w:t>richer</w:t>
      </w:r>
      <w:r>
        <w:rPr>
          <w:spacing w:val="-8"/>
        </w:rPr>
        <w:t> </w:t>
      </w:r>
      <w:r>
        <w:rPr>
          <w:spacing w:val="-2"/>
        </w:rPr>
        <w:t>layer</w:t>
      </w:r>
      <w:r>
        <w:rPr>
          <w:spacing w:val="-8"/>
        </w:rPr>
        <w:t> </w:t>
      </w:r>
      <w:r>
        <w:rPr>
          <w:spacing w:val="-2"/>
        </w:rPr>
        <w:t>of</w:t>
      </w:r>
      <w:r>
        <w:rPr>
          <w:spacing w:val="-8"/>
        </w:rPr>
        <w:t> </w:t>
      </w:r>
      <w:r>
        <w:rPr>
          <w:spacing w:val="-2"/>
        </w:rPr>
        <w:t>contextual</w:t>
      </w:r>
      <w:r>
        <w:rPr>
          <w:spacing w:val="-8"/>
        </w:rPr>
        <w:t> </w:t>
      </w:r>
      <w:r>
        <w:rPr>
          <w:spacing w:val="-2"/>
        </w:rPr>
        <w:t>refinements;</w:t>
      </w:r>
      <w:r>
        <w:rPr>
          <w:spacing w:val="-8"/>
        </w:rPr>
        <w:t> </w:t>
      </w:r>
      <w:r>
        <w:rPr>
          <w:spacing w:val="-2"/>
        </w:rPr>
        <w:t>and</w:t>
      </w:r>
      <w:r>
        <w:rPr>
          <w:spacing w:val="-8"/>
        </w:rPr>
        <w:t> </w:t>
      </w:r>
      <w:r>
        <w:rPr>
          <w:spacing w:val="-2"/>
        </w:rPr>
        <w:t>(4)</w:t>
      </w:r>
      <w:r>
        <w:rPr>
          <w:spacing w:val="-8"/>
        </w:rPr>
        <w:t> </w:t>
      </w:r>
      <w:r>
        <w:rPr>
          <w:spacing w:val="-2"/>
        </w:rPr>
        <w:t>the</w:t>
      </w:r>
      <w:r>
        <w:rPr>
          <w:spacing w:val="-8"/>
        </w:rPr>
        <w:t> </w:t>
      </w:r>
      <w:r>
        <w:rPr>
          <w:spacing w:val="-2"/>
        </w:rPr>
        <w:t>directional</w:t>
      </w:r>
      <w:r>
        <w:rPr>
          <w:spacing w:val="-8"/>
        </w:rPr>
        <w:t> </w:t>
      </w:r>
      <w:r>
        <w:rPr>
          <w:spacing w:val="-2"/>
        </w:rPr>
        <w:t>findings</w:t>
      </w:r>
      <w:r>
        <w:rPr>
          <w:spacing w:val="-8"/>
        </w:rPr>
        <w:t> </w:t>
      </w:r>
      <w:r>
        <w:rPr>
          <w:spacing w:val="-2"/>
        </w:rPr>
        <w:t>are</w:t>
      </w:r>
      <w:r>
        <w:rPr>
          <w:spacing w:val="-8"/>
        </w:rPr>
        <w:t> </w:t>
      </w:r>
      <w:r>
        <w:rPr>
          <w:spacing w:val="-2"/>
        </w:rPr>
        <w:t>consistent </w:t>
      </w:r>
      <w:r>
        <w:rPr/>
        <w:t>with established domain knowledge, providing face validity for the method’s output.</w:t>
      </w:r>
      <w:r>
        <w:rPr>
          <w:spacing w:val="40"/>
        </w:rPr>
        <w:t> </w:t>
      </w:r>
      <w:r>
        <w:rPr/>
        <w:t>The one notable</w:t>
      </w:r>
      <w:r>
        <w:rPr>
          <w:spacing w:val="-12"/>
        </w:rPr>
        <w:t> </w:t>
      </w:r>
      <w:r>
        <w:rPr/>
        <w:t>exception</w:t>
      </w:r>
      <w:r>
        <w:rPr>
          <w:spacing w:val="-12"/>
        </w:rPr>
        <w:t> </w:t>
      </w:r>
      <w:r>
        <w:rPr/>
        <w:t>is</w:t>
      </w:r>
      <w:r>
        <w:rPr>
          <w:spacing w:val="-12"/>
        </w:rPr>
        <w:t> </w:t>
      </w:r>
      <w:r>
        <w:rPr/>
        <w:t>harvest</w:t>
      </w:r>
      <w:r>
        <w:rPr>
          <w:spacing w:val="-12"/>
        </w:rPr>
        <w:t> </w:t>
      </w:r>
      <w:r>
        <w:rPr/>
        <w:t>temperature,</w:t>
      </w:r>
      <w:r>
        <w:rPr>
          <w:spacing w:val="-12"/>
        </w:rPr>
        <w:t> </w:t>
      </w:r>
      <w:r>
        <w:rPr/>
        <w:t>which</w:t>
      </w:r>
      <w:r>
        <w:rPr>
          <w:spacing w:val="-12"/>
        </w:rPr>
        <w:t> </w:t>
      </w:r>
      <w:r>
        <w:rPr/>
        <w:t>shows</w:t>
      </w:r>
      <w:r>
        <w:rPr>
          <w:spacing w:val="-12"/>
        </w:rPr>
        <w:t> </w:t>
      </w:r>
      <w:r>
        <w:rPr/>
        <w:t>significant</w:t>
      </w:r>
      <w:r>
        <w:rPr>
          <w:spacing w:val="-12"/>
        </w:rPr>
        <w:t> </w:t>
      </w:r>
      <w:r>
        <w:rPr/>
        <w:t>era</w:t>
      </w:r>
      <w:r>
        <w:rPr>
          <w:spacing w:val="-12"/>
        </w:rPr>
        <w:t> </w:t>
      </w:r>
      <w:r>
        <w:rPr/>
        <w:t>inflation</w:t>
      </w:r>
      <w:r>
        <w:rPr>
          <w:spacing w:val="-12"/>
        </w:rPr>
        <w:t> </w:t>
      </w:r>
      <w:r>
        <w:rPr/>
        <w:t>(only</w:t>
      </w:r>
      <w:r>
        <w:rPr>
          <w:spacing w:val="-12"/>
        </w:rPr>
        <w:t> </w:t>
      </w:r>
      <w:r>
        <w:rPr/>
        <w:t>56%</w:t>
      </w:r>
      <w:r>
        <w:rPr>
          <w:spacing w:val="-12"/>
        </w:rPr>
        <w:t> </w:t>
      </w:r>
      <w:r>
        <w:rPr/>
        <w:t>LOESS </w:t>
      </w:r>
      <w:r>
        <w:rPr>
          <w:spacing w:val="-2"/>
        </w:rPr>
        <w:t>retention)</w:t>
      </w:r>
      <w:r>
        <w:rPr>
          <w:spacing w:val="-6"/>
        </w:rPr>
        <w:t> </w:t>
      </w:r>
      <w:r>
        <w:rPr>
          <w:spacing w:val="-2"/>
        </w:rPr>
        <w:t>and</w:t>
      </w:r>
      <w:r>
        <w:rPr>
          <w:spacing w:val="-6"/>
        </w:rPr>
        <w:t> </w:t>
      </w:r>
      <w:r>
        <w:rPr>
          <w:spacing w:val="-2"/>
        </w:rPr>
        <w:t>is</w:t>
      </w:r>
      <w:r>
        <w:rPr>
          <w:spacing w:val="-6"/>
        </w:rPr>
        <w:t> </w:t>
      </w:r>
      <w:r>
        <w:rPr>
          <w:spacing w:val="-2"/>
        </w:rPr>
        <w:t>not</w:t>
      </w:r>
      <w:r>
        <w:rPr>
          <w:spacing w:val="-6"/>
        </w:rPr>
        <w:t> </w:t>
      </w:r>
      <w:r>
        <w:rPr>
          <w:spacing w:val="-2"/>
        </w:rPr>
        <w:t>selected</w:t>
      </w:r>
      <w:r>
        <w:rPr>
          <w:spacing w:val="-6"/>
        </w:rPr>
        <w:t> </w:t>
      </w:r>
      <w:r>
        <w:rPr>
          <w:spacing w:val="-2"/>
        </w:rPr>
        <w:t>by</w:t>
      </w:r>
      <w:r>
        <w:rPr>
          <w:spacing w:val="-6"/>
        </w:rPr>
        <w:t> </w:t>
      </w:r>
      <w:r>
        <w:rPr>
          <w:spacing w:val="-2"/>
        </w:rPr>
        <w:t>CarenR’s</w:t>
      </w:r>
      <w:r>
        <w:rPr>
          <w:spacing w:val="-6"/>
        </w:rPr>
        <w:t> </w:t>
      </w:r>
      <w:r>
        <w:rPr>
          <w:spacing w:val="-2"/>
        </w:rPr>
        <w:t>top</w:t>
      </w:r>
      <w:r>
        <w:rPr>
          <w:spacing w:val="-6"/>
        </w:rPr>
        <w:t> </w:t>
      </w:r>
      <w:r>
        <w:rPr>
          <w:spacing w:val="-2"/>
        </w:rPr>
        <w:t>rules: a</w:t>
      </w:r>
      <w:r>
        <w:rPr>
          <w:spacing w:val="-6"/>
        </w:rPr>
        <w:t> </w:t>
      </w:r>
      <w:r>
        <w:rPr>
          <w:spacing w:val="-2"/>
        </w:rPr>
        <w:t>further</w:t>
      </w:r>
      <w:r>
        <w:rPr>
          <w:spacing w:val="-6"/>
        </w:rPr>
        <w:t> </w:t>
      </w:r>
      <w:r>
        <w:rPr>
          <w:spacing w:val="-2"/>
        </w:rPr>
        <w:t>indication</w:t>
      </w:r>
      <w:r>
        <w:rPr>
          <w:spacing w:val="-6"/>
        </w:rPr>
        <w:t> </w:t>
      </w:r>
      <w:r>
        <w:rPr>
          <w:spacing w:val="-2"/>
        </w:rPr>
        <w:t>that</w:t>
      </w:r>
      <w:r>
        <w:rPr>
          <w:spacing w:val="-6"/>
        </w:rPr>
        <w:t> </w:t>
      </w:r>
      <w:r>
        <w:rPr>
          <w:spacing w:val="-2"/>
        </w:rPr>
        <w:t>the</w:t>
      </w:r>
      <w:r>
        <w:rPr>
          <w:spacing w:val="-6"/>
        </w:rPr>
        <w:t> </w:t>
      </w:r>
      <w:r>
        <w:rPr>
          <w:spacing w:val="-2"/>
        </w:rPr>
        <w:t>KS-test</w:t>
      </w:r>
      <w:r>
        <w:rPr>
          <w:spacing w:val="-6"/>
        </w:rPr>
        <w:t> </w:t>
      </w:r>
      <w:r>
        <w:rPr>
          <w:spacing w:val="-2"/>
        </w:rPr>
        <w:t>criterion</w:t>
      </w:r>
      <w:r>
        <w:rPr>
          <w:spacing w:val="-6"/>
        </w:rPr>
        <w:t> </w:t>
      </w:r>
      <w:r>
        <w:rPr>
          <w:spacing w:val="-2"/>
        </w:rPr>
        <w:t>is </w:t>
      </w:r>
      <w:r>
        <w:rPr/>
        <w:t>less susceptible to smooth era co-trending than simple correlation.</w:t>
      </w:r>
    </w:p>
    <w:p>
      <w:pPr>
        <w:pStyle w:val="BodyText"/>
        <w:spacing w:after="0" w:line="312" w:lineRule="auto"/>
        <w:jc w:val="both"/>
        <w:sectPr>
          <w:headerReference w:type="default" r:id="rId74"/>
          <w:headerReference w:type="even" r:id="rId75"/>
          <w:pgSz w:w="11910" w:h="16840"/>
          <w:pgMar w:header="1160" w:footer="0" w:top="1420" w:bottom="280" w:left="1275" w:right="425"/>
          <w:pgNumType w:start="51"/>
        </w:sectPr>
      </w:pPr>
    </w:p>
    <w:p>
      <w:pPr>
        <w:pStyle w:val="BodyText"/>
        <w:spacing w:before="4"/>
        <w:rPr>
          <w:sz w:val="17"/>
        </w:rPr>
      </w:pPr>
    </w:p>
    <w:p>
      <w:pPr>
        <w:pStyle w:val="BodyText"/>
        <w:spacing w:after="0"/>
        <w:rPr>
          <w:sz w:val="17"/>
        </w:rPr>
        <w:sectPr>
          <w:pgSz w:w="11910" w:h="16840"/>
          <w:pgMar w:header="1160" w:footer="0" w:top="1420" w:bottom="280" w:left="1275" w:right="425"/>
        </w:sectPr>
      </w:pPr>
    </w:p>
    <w:p>
      <w:pPr>
        <w:pStyle w:val="BodyText"/>
        <w:rPr>
          <w:sz w:val="41"/>
        </w:rPr>
      </w:pPr>
    </w:p>
    <w:p>
      <w:pPr>
        <w:pStyle w:val="BodyText"/>
        <w:rPr>
          <w:sz w:val="41"/>
        </w:rPr>
      </w:pPr>
    </w:p>
    <w:p>
      <w:pPr>
        <w:pStyle w:val="BodyText"/>
        <w:spacing w:before="36"/>
        <w:rPr>
          <w:sz w:val="41"/>
        </w:rPr>
      </w:pPr>
    </w:p>
    <w:p>
      <w:pPr>
        <w:spacing w:before="1"/>
        <w:ind w:left="709" w:right="0" w:firstLine="0"/>
        <w:jc w:val="left"/>
        <w:rPr>
          <w:b/>
          <w:sz w:val="41"/>
        </w:rPr>
      </w:pPr>
      <w:bookmarkStart w:name="5 Predictive Validation (Goal 2)" w:id="168"/>
      <w:bookmarkEnd w:id="168"/>
      <w:r>
        <w:rPr/>
      </w:r>
      <w:bookmarkStart w:name="_bookmark96" w:id="169"/>
      <w:bookmarkEnd w:id="169"/>
      <w:r>
        <w:rPr/>
      </w:r>
      <w:r>
        <w:rPr>
          <w:b/>
          <w:sz w:val="41"/>
        </w:rPr>
        <w:t>Chapter </w:t>
      </w:r>
      <w:r>
        <w:rPr>
          <w:b/>
          <w:spacing w:val="-10"/>
          <w:sz w:val="41"/>
        </w:rPr>
        <w:t>5</w:t>
      </w:r>
    </w:p>
    <w:p>
      <w:pPr>
        <w:pStyle w:val="BodyText"/>
        <w:spacing w:before="117"/>
        <w:rPr>
          <w:b/>
          <w:sz w:val="41"/>
        </w:rPr>
      </w:pPr>
    </w:p>
    <w:p>
      <w:pPr>
        <w:pStyle w:val="Heading1"/>
      </w:pPr>
      <w:r>
        <w:rPr/>
        <w:t>Predictive</w:t>
      </w:r>
      <w:r>
        <w:rPr>
          <w:spacing w:val="-3"/>
        </w:rPr>
        <w:t> </w:t>
      </w:r>
      <w:r>
        <w:rPr/>
        <w:t>Validation</w:t>
      </w:r>
      <w:r>
        <w:rPr>
          <w:spacing w:val="-2"/>
        </w:rPr>
        <w:t> </w:t>
      </w:r>
      <w:r>
        <w:rPr/>
        <w:t>(Goal</w:t>
      </w:r>
      <w:r>
        <w:rPr>
          <w:spacing w:val="-3"/>
        </w:rPr>
        <w:t> </w:t>
      </w:r>
      <w:r>
        <w:rPr>
          <w:spacing w:val="-5"/>
        </w:rPr>
        <w:t>2)</w:t>
      </w:r>
    </w:p>
    <w:p>
      <w:pPr>
        <w:pStyle w:val="BodyText"/>
        <w:spacing w:before="262"/>
        <w:rPr>
          <w:b/>
          <w:sz w:val="49"/>
        </w:rPr>
      </w:pPr>
    </w:p>
    <w:p>
      <w:pPr>
        <w:pStyle w:val="BodyText"/>
        <w:spacing w:line="312" w:lineRule="auto"/>
        <w:ind w:left="701" w:right="954" w:firstLine="1"/>
        <w:jc w:val="both"/>
      </w:pPr>
      <w:r>
        <w:rPr/>
        <w:t>This</w:t>
      </w:r>
      <w:r>
        <w:rPr>
          <w:spacing w:val="-14"/>
        </w:rPr>
        <w:t> </w:t>
      </w:r>
      <w:r>
        <w:rPr/>
        <w:t>chapter</w:t>
      </w:r>
      <w:r>
        <w:rPr>
          <w:spacing w:val="-14"/>
        </w:rPr>
        <w:t> </w:t>
      </w:r>
      <w:r>
        <w:rPr/>
        <w:t>reports</w:t>
      </w:r>
      <w:r>
        <w:rPr>
          <w:spacing w:val="-14"/>
        </w:rPr>
        <w:t> </w:t>
      </w:r>
      <w:r>
        <w:rPr/>
        <w:t>the</w:t>
      </w:r>
      <w:r>
        <w:rPr>
          <w:spacing w:val="-13"/>
        </w:rPr>
        <w:t> </w:t>
      </w:r>
      <w:r>
        <w:rPr/>
        <w:t>results</w:t>
      </w:r>
      <w:r>
        <w:rPr>
          <w:spacing w:val="-14"/>
        </w:rPr>
        <w:t> </w:t>
      </w:r>
      <w:r>
        <w:rPr/>
        <w:t>of</w:t>
      </w:r>
      <w:r>
        <w:rPr>
          <w:spacing w:val="-14"/>
        </w:rPr>
        <w:t> </w:t>
      </w:r>
      <w:r>
        <w:rPr/>
        <w:t>the</w:t>
      </w:r>
      <w:r>
        <w:rPr>
          <w:spacing w:val="-14"/>
        </w:rPr>
        <w:t> </w:t>
      </w:r>
      <w:r>
        <w:rPr/>
        <w:t>walk-forward</w:t>
      </w:r>
      <w:r>
        <w:rPr>
          <w:spacing w:val="-13"/>
        </w:rPr>
        <w:t> </w:t>
      </w:r>
      <w:r>
        <w:rPr/>
        <w:t>validation</w:t>
      </w:r>
      <w:r>
        <w:rPr>
          <w:spacing w:val="-14"/>
        </w:rPr>
        <w:t> </w:t>
      </w:r>
      <w:r>
        <w:rPr/>
        <w:t>experiment</w:t>
      </w:r>
      <w:r>
        <w:rPr>
          <w:spacing w:val="-14"/>
        </w:rPr>
        <w:t> </w:t>
      </w:r>
      <w:r>
        <w:rPr/>
        <w:t>for</w:t>
      </w:r>
      <w:r>
        <w:rPr>
          <w:spacing w:val="-14"/>
        </w:rPr>
        <w:t> </w:t>
      </w:r>
      <w:r>
        <w:rPr/>
        <w:t>both</w:t>
      </w:r>
      <w:r>
        <w:rPr>
          <w:spacing w:val="-13"/>
        </w:rPr>
        <w:t> </w:t>
      </w:r>
      <w:r>
        <w:rPr/>
        <w:t>regions.</w:t>
      </w:r>
      <w:r>
        <w:rPr>
          <w:spacing w:val="-9"/>
        </w:rPr>
        <w:t> </w:t>
      </w:r>
      <w:r>
        <w:rPr/>
        <w:t>Seven-teen models were evaluated across 18 scenarios for RDD and 16 for RVV. The primary ranking metric is scenario-size-weighted MAE on the original production scale (mhl). The 17-model set was</w:t>
      </w:r>
      <w:r>
        <w:rPr>
          <w:spacing w:val="-9"/>
        </w:rPr>
        <w:t> </w:t>
      </w:r>
      <w:r>
        <w:rPr/>
        <w:t>designed</w:t>
      </w:r>
      <w:r>
        <w:rPr>
          <w:spacing w:val="-9"/>
        </w:rPr>
        <w:t> </w:t>
      </w:r>
      <w:r>
        <w:rPr/>
        <w:t>as</w:t>
      </w:r>
      <w:r>
        <w:rPr>
          <w:spacing w:val="-9"/>
        </w:rPr>
        <w:t> </w:t>
      </w:r>
      <w:r>
        <w:rPr/>
        <w:t>a</w:t>
      </w:r>
      <w:r>
        <w:rPr>
          <w:spacing w:val="-9"/>
        </w:rPr>
        <w:t> </w:t>
      </w:r>
      <w:r>
        <w:rPr/>
        <w:t>structured</w:t>
      </w:r>
      <w:r>
        <w:rPr>
          <w:spacing w:val="-9"/>
        </w:rPr>
        <w:t> </w:t>
      </w:r>
      <w:r>
        <w:rPr/>
        <w:t>sensitivity</w:t>
      </w:r>
      <w:r>
        <w:rPr>
          <w:spacing w:val="-9"/>
        </w:rPr>
        <w:t> </w:t>
      </w:r>
      <w:r>
        <w:rPr/>
        <w:t>analysis: rather</w:t>
      </w:r>
      <w:r>
        <w:rPr>
          <w:spacing w:val="-9"/>
        </w:rPr>
        <w:t> </w:t>
      </w:r>
      <w:r>
        <w:rPr/>
        <w:t>than</w:t>
      </w:r>
      <w:r>
        <w:rPr>
          <w:spacing w:val="-9"/>
        </w:rPr>
        <w:t> </w:t>
      </w:r>
      <w:r>
        <w:rPr/>
        <w:t>selecting</w:t>
      </w:r>
      <w:r>
        <w:rPr>
          <w:spacing w:val="-9"/>
        </w:rPr>
        <w:t> </w:t>
      </w:r>
      <w:r>
        <w:rPr/>
        <w:t>one</w:t>
      </w:r>
      <w:r>
        <w:rPr>
          <w:spacing w:val="-9"/>
        </w:rPr>
        <w:t> </w:t>
      </w:r>
      <w:r>
        <w:rPr/>
        <w:t>CarenR</w:t>
      </w:r>
      <w:r>
        <w:rPr>
          <w:spacing w:val="-9"/>
        </w:rPr>
        <w:t> </w:t>
      </w:r>
      <w:r>
        <w:rPr/>
        <w:t>configuration</w:t>
      </w:r>
      <w:r>
        <w:rPr>
          <w:spacing w:val="-9"/>
        </w:rPr>
        <w:t> </w:t>
      </w:r>
      <w:r>
        <w:rPr/>
        <w:t>a priori,</w:t>
      </w:r>
      <w:r>
        <w:rPr>
          <w:spacing w:val="-14"/>
        </w:rPr>
        <w:t> </w:t>
      </w:r>
      <w:r>
        <w:rPr/>
        <w:t>all</w:t>
      </w:r>
      <w:r>
        <w:rPr>
          <w:spacing w:val="-14"/>
        </w:rPr>
        <w:t> </w:t>
      </w:r>
      <w:r>
        <w:rPr/>
        <w:t>major</w:t>
      </w:r>
      <w:r>
        <w:rPr>
          <w:spacing w:val="-14"/>
        </w:rPr>
        <w:t> </w:t>
      </w:r>
      <w:r>
        <w:rPr/>
        <w:t>feature</w:t>
      </w:r>
      <w:r>
        <w:rPr>
          <w:spacing w:val="-13"/>
        </w:rPr>
        <w:t> </w:t>
      </w:r>
      <w:r>
        <w:rPr/>
        <w:t>selection</w:t>
      </w:r>
      <w:r>
        <w:rPr>
          <w:spacing w:val="-14"/>
        </w:rPr>
        <w:t> </w:t>
      </w:r>
      <w:r>
        <w:rPr/>
        <w:t>strategies</w:t>
      </w:r>
      <w:r>
        <w:rPr>
          <w:spacing w:val="-14"/>
        </w:rPr>
        <w:t> </w:t>
      </w:r>
      <w:r>
        <w:rPr/>
        <w:t>were</w:t>
      </w:r>
      <w:r>
        <w:rPr>
          <w:spacing w:val="-14"/>
        </w:rPr>
        <w:t> </w:t>
      </w:r>
      <w:r>
        <w:rPr/>
        <w:t>evaluated</w:t>
      </w:r>
      <w:r>
        <w:rPr>
          <w:spacing w:val="-13"/>
        </w:rPr>
        <w:t> </w:t>
      </w:r>
      <w:r>
        <w:rPr/>
        <w:t>in</w:t>
      </w:r>
      <w:r>
        <w:rPr>
          <w:spacing w:val="-14"/>
        </w:rPr>
        <w:t> </w:t>
      </w:r>
      <w:r>
        <w:rPr/>
        <w:t>parallel</w:t>
      </w:r>
      <w:r>
        <w:rPr>
          <w:spacing w:val="-14"/>
        </w:rPr>
        <w:t> </w:t>
      </w:r>
      <w:r>
        <w:rPr/>
        <w:t>to</w:t>
      </w:r>
      <w:r>
        <w:rPr>
          <w:spacing w:val="-14"/>
        </w:rPr>
        <w:t> </w:t>
      </w:r>
      <w:r>
        <w:rPr/>
        <w:t>determine</w:t>
      </w:r>
      <w:r>
        <w:rPr>
          <w:spacing w:val="-13"/>
        </w:rPr>
        <w:t> </w:t>
      </w:r>
      <w:r>
        <w:rPr/>
        <w:t>which</w:t>
      </w:r>
      <w:r>
        <w:rPr>
          <w:spacing w:val="-14"/>
        </w:rPr>
        <w:t> </w:t>
      </w:r>
      <w:r>
        <w:rPr/>
        <w:t>approach </w:t>
      </w:r>
      <w:r>
        <w:rPr>
          <w:spacing w:val="-2"/>
        </w:rPr>
        <w:t>transfers</w:t>
      </w:r>
      <w:r>
        <w:rPr>
          <w:spacing w:val="-6"/>
        </w:rPr>
        <w:t> </w:t>
      </w:r>
      <w:r>
        <w:rPr>
          <w:spacing w:val="-2"/>
        </w:rPr>
        <w:t>best</w:t>
      </w:r>
      <w:r>
        <w:rPr>
          <w:spacing w:val="-6"/>
        </w:rPr>
        <w:t> </w:t>
      </w:r>
      <w:r>
        <w:rPr>
          <w:spacing w:val="-2"/>
        </w:rPr>
        <w:t>to</w:t>
      </w:r>
      <w:r>
        <w:rPr>
          <w:spacing w:val="-6"/>
        </w:rPr>
        <w:t> </w:t>
      </w:r>
      <w:r>
        <w:rPr>
          <w:spacing w:val="-2"/>
        </w:rPr>
        <w:t>out-of-sample</w:t>
      </w:r>
      <w:r>
        <w:rPr>
          <w:spacing w:val="-6"/>
        </w:rPr>
        <w:t> </w:t>
      </w:r>
      <w:r>
        <w:rPr>
          <w:spacing w:val="-2"/>
        </w:rPr>
        <w:t>prediction. This</w:t>
      </w:r>
      <w:r>
        <w:rPr>
          <w:spacing w:val="-6"/>
        </w:rPr>
        <w:t> </w:t>
      </w:r>
      <w:r>
        <w:rPr>
          <w:spacing w:val="-2"/>
        </w:rPr>
        <w:t>exhaustive</w:t>
      </w:r>
      <w:r>
        <w:rPr>
          <w:spacing w:val="-6"/>
        </w:rPr>
        <w:t> </w:t>
      </w:r>
      <w:r>
        <w:rPr>
          <w:spacing w:val="-2"/>
        </w:rPr>
        <w:t>comparison</w:t>
      </w:r>
      <w:r>
        <w:rPr>
          <w:spacing w:val="-6"/>
        </w:rPr>
        <w:t> </w:t>
      </w:r>
      <w:r>
        <w:rPr>
          <w:spacing w:val="-2"/>
        </w:rPr>
        <w:t>makes</w:t>
      </w:r>
      <w:r>
        <w:rPr>
          <w:spacing w:val="-6"/>
        </w:rPr>
        <w:t> </w:t>
      </w:r>
      <w:r>
        <w:rPr>
          <w:spacing w:val="-2"/>
        </w:rPr>
        <w:t>it</w:t>
      </w:r>
      <w:r>
        <w:rPr>
          <w:spacing w:val="-6"/>
        </w:rPr>
        <w:t> </w:t>
      </w:r>
      <w:r>
        <w:rPr>
          <w:spacing w:val="-2"/>
        </w:rPr>
        <w:t>possible</w:t>
      </w:r>
      <w:r>
        <w:rPr>
          <w:spacing w:val="-6"/>
        </w:rPr>
        <w:t> </w:t>
      </w:r>
      <w:r>
        <w:rPr>
          <w:spacing w:val="-2"/>
        </w:rPr>
        <w:t>to</w:t>
      </w:r>
      <w:r>
        <w:rPr>
          <w:spacing w:val="-6"/>
        </w:rPr>
        <w:t> </w:t>
      </w:r>
      <w:r>
        <w:rPr>
          <w:spacing w:val="-2"/>
        </w:rPr>
        <w:t>identify </w:t>
      </w:r>
      <w:r>
        <w:rPr/>
        <w:t>which design choices matter and which are irrelevant, a question that cannot be answered by evaluating</w:t>
      </w:r>
      <w:r>
        <w:rPr>
          <w:spacing w:val="-4"/>
        </w:rPr>
        <w:t> </w:t>
      </w:r>
      <w:r>
        <w:rPr/>
        <w:t>a</w:t>
      </w:r>
      <w:r>
        <w:rPr>
          <w:spacing w:val="-4"/>
        </w:rPr>
        <w:t> </w:t>
      </w:r>
      <w:r>
        <w:rPr/>
        <w:t>single</w:t>
      </w:r>
      <w:r>
        <w:rPr>
          <w:spacing w:val="-4"/>
        </w:rPr>
        <w:t> </w:t>
      </w:r>
      <w:r>
        <w:rPr/>
        <w:t>variant. Section</w:t>
      </w:r>
      <w:r>
        <w:rPr>
          <w:spacing w:val="-4"/>
        </w:rPr>
        <w:t> </w:t>
      </w:r>
      <w:hyperlink w:history="true" w:anchor="_bookmark97">
        <w:r>
          <w:rPr>
            <w:color w:val="8B2C18"/>
          </w:rPr>
          <w:t>5.1</w:t>
        </w:r>
      </w:hyperlink>
      <w:r>
        <w:rPr>
          <w:color w:val="8B2C18"/>
          <w:spacing w:val="-4"/>
        </w:rPr>
        <w:t> </w:t>
      </w:r>
      <w:r>
        <w:rPr/>
        <w:t>presents</w:t>
      </w:r>
      <w:r>
        <w:rPr>
          <w:spacing w:val="-4"/>
        </w:rPr>
        <w:t> </w:t>
      </w:r>
      <w:r>
        <w:rPr/>
        <w:t>the</w:t>
      </w:r>
      <w:r>
        <w:rPr>
          <w:spacing w:val="-4"/>
        </w:rPr>
        <w:t> </w:t>
      </w:r>
      <w:r>
        <w:rPr/>
        <w:t>aggregate</w:t>
      </w:r>
      <w:r>
        <w:rPr>
          <w:spacing w:val="-4"/>
        </w:rPr>
        <w:t> </w:t>
      </w:r>
      <w:r>
        <w:rPr/>
        <w:t>rankings;</w:t>
      </w:r>
      <w:r>
        <w:rPr>
          <w:spacing w:val="-4"/>
        </w:rPr>
        <w:t> </w:t>
      </w:r>
      <w:r>
        <w:rPr/>
        <w:t>Section</w:t>
      </w:r>
      <w:r>
        <w:rPr>
          <w:spacing w:val="-4"/>
        </w:rPr>
        <w:t> </w:t>
      </w:r>
      <w:hyperlink w:history="true" w:anchor="_bookmark103">
        <w:r>
          <w:rPr>
            <w:color w:val="8B2C18"/>
          </w:rPr>
          <w:t>5.2</w:t>
        </w:r>
      </w:hyperlink>
      <w:r>
        <w:rPr>
          <w:color w:val="8B2C18"/>
          <w:spacing w:val="-4"/>
        </w:rPr>
        <w:t> </w:t>
      </w:r>
      <w:r>
        <w:rPr/>
        <w:t>examines</w:t>
      </w:r>
      <w:r>
        <w:rPr>
          <w:spacing w:val="-4"/>
        </w:rPr>
        <w:t> </w:t>
      </w:r>
      <w:r>
        <w:rPr/>
        <w:t>the </w:t>
      </w:r>
      <w:r>
        <w:rPr>
          <w:spacing w:val="-2"/>
        </w:rPr>
        <w:t>era-composition</w:t>
      </w:r>
      <w:r>
        <w:rPr>
          <w:spacing w:val="-9"/>
        </w:rPr>
        <w:t> </w:t>
      </w:r>
      <w:r>
        <w:rPr>
          <w:spacing w:val="-2"/>
        </w:rPr>
        <w:t>structure</w:t>
      </w:r>
      <w:r>
        <w:rPr>
          <w:spacing w:val="-9"/>
        </w:rPr>
        <w:t> </w:t>
      </w:r>
      <w:r>
        <w:rPr>
          <w:spacing w:val="-2"/>
        </w:rPr>
        <w:t>of</w:t>
      </w:r>
      <w:r>
        <w:rPr>
          <w:spacing w:val="-9"/>
        </w:rPr>
        <w:t> </w:t>
      </w:r>
      <w:r>
        <w:rPr>
          <w:spacing w:val="-2"/>
        </w:rPr>
        <w:t>the</w:t>
      </w:r>
      <w:r>
        <w:rPr>
          <w:spacing w:val="-10"/>
        </w:rPr>
        <w:t> </w:t>
      </w:r>
      <w:r>
        <w:rPr>
          <w:spacing w:val="-2"/>
        </w:rPr>
        <w:t>RDD</w:t>
      </w:r>
      <w:r>
        <w:rPr>
          <w:spacing w:val="-9"/>
        </w:rPr>
        <w:t> </w:t>
      </w:r>
      <w:r>
        <w:rPr>
          <w:spacing w:val="-2"/>
        </w:rPr>
        <w:t>results;</w:t>
      </w:r>
      <w:r>
        <w:rPr>
          <w:spacing w:val="-8"/>
        </w:rPr>
        <w:t> </w:t>
      </w:r>
      <w:r>
        <w:rPr>
          <w:spacing w:val="-2"/>
        </w:rPr>
        <w:t>Section</w:t>
      </w:r>
      <w:r>
        <w:rPr>
          <w:spacing w:val="-9"/>
        </w:rPr>
        <w:t> </w:t>
      </w:r>
      <w:hyperlink w:history="true" w:anchor="_bookmark107">
        <w:r>
          <w:rPr>
            <w:color w:val="8B2C18"/>
            <w:spacing w:val="-2"/>
          </w:rPr>
          <w:t>5.3</w:t>
        </w:r>
      </w:hyperlink>
      <w:r>
        <w:rPr>
          <w:color w:val="8B2C18"/>
          <w:spacing w:val="-9"/>
        </w:rPr>
        <w:t> </w:t>
      </w:r>
      <w:r>
        <w:rPr>
          <w:spacing w:val="-2"/>
        </w:rPr>
        <w:t>presents</w:t>
      </w:r>
      <w:r>
        <w:rPr>
          <w:spacing w:val="-9"/>
        </w:rPr>
        <w:t> </w:t>
      </w:r>
      <w:r>
        <w:rPr>
          <w:spacing w:val="-2"/>
        </w:rPr>
        <w:t>the</w:t>
      </w:r>
      <w:r>
        <w:rPr>
          <w:spacing w:val="-10"/>
        </w:rPr>
        <w:t> </w:t>
      </w:r>
      <w:r>
        <w:rPr>
          <w:spacing w:val="-2"/>
        </w:rPr>
        <w:t>regional</w:t>
      </w:r>
      <w:r>
        <w:rPr>
          <w:spacing w:val="-9"/>
        </w:rPr>
        <w:t> </w:t>
      </w:r>
      <w:r>
        <w:rPr>
          <w:spacing w:val="-2"/>
        </w:rPr>
        <w:t>contrast;</w:t>
      </w:r>
      <w:r>
        <w:rPr>
          <w:spacing w:val="-8"/>
        </w:rPr>
        <w:t> </w:t>
      </w:r>
      <w:r>
        <w:rPr>
          <w:spacing w:val="-2"/>
        </w:rPr>
        <w:t>Section</w:t>
      </w:r>
      <w:r>
        <w:rPr>
          <w:spacing w:val="-9"/>
        </w:rPr>
        <w:t> </w:t>
      </w:r>
      <w:hyperlink w:history="true" w:anchor="_bookmark110">
        <w:r>
          <w:rPr>
            <w:color w:val="8B2C18"/>
            <w:spacing w:val="-2"/>
          </w:rPr>
          <w:t>5.4</w:t>
        </w:r>
      </w:hyperlink>
      <w:r>
        <w:rPr>
          <w:color w:val="8B2C18"/>
          <w:spacing w:val="-2"/>
        </w:rPr>
        <w:t> </w:t>
      </w:r>
      <w:r>
        <w:rPr/>
        <w:t>reports</w:t>
      </w:r>
      <w:r>
        <w:rPr>
          <w:spacing w:val="-2"/>
        </w:rPr>
        <w:t> </w:t>
      </w:r>
      <w:r>
        <w:rPr/>
        <w:t>the</w:t>
      </w:r>
      <w:r>
        <w:rPr>
          <w:spacing w:val="-2"/>
        </w:rPr>
        <w:t> </w:t>
      </w:r>
      <w:r>
        <w:rPr/>
        <w:t>statistical</w:t>
      </w:r>
      <w:r>
        <w:rPr>
          <w:spacing w:val="-2"/>
        </w:rPr>
        <w:t> </w:t>
      </w:r>
      <w:r>
        <w:rPr/>
        <w:t>tests</w:t>
      </w:r>
      <w:r>
        <w:rPr>
          <w:spacing w:val="-2"/>
        </w:rPr>
        <w:t> </w:t>
      </w:r>
      <w:r>
        <w:rPr/>
        <w:t>with</w:t>
      </w:r>
      <w:r>
        <w:rPr>
          <w:spacing w:val="-2"/>
        </w:rPr>
        <w:t> </w:t>
      </w:r>
      <w:r>
        <w:rPr/>
        <w:t>explicit</w:t>
      </w:r>
      <w:r>
        <w:rPr>
          <w:spacing w:val="-2"/>
        </w:rPr>
        <w:t> </w:t>
      </w:r>
      <w:r>
        <w:rPr/>
        <w:t>classification</w:t>
      </w:r>
      <w:r>
        <w:rPr>
          <w:spacing w:val="-2"/>
        </w:rPr>
        <w:t> </w:t>
      </w:r>
      <w:r>
        <w:rPr/>
        <w:t>of</w:t>
      </w:r>
      <w:r>
        <w:rPr>
          <w:spacing w:val="-2"/>
        </w:rPr>
        <w:t> </w:t>
      </w:r>
      <w:r>
        <w:rPr/>
        <w:t>confirmatory</w:t>
      </w:r>
      <w:r>
        <w:rPr>
          <w:spacing w:val="-2"/>
        </w:rPr>
        <w:t> </w:t>
      </w:r>
      <w:r>
        <w:rPr/>
        <w:t>vs. exploratory</w:t>
      </w:r>
      <w:r>
        <w:rPr>
          <w:spacing w:val="-2"/>
        </w:rPr>
        <w:t> </w:t>
      </w:r>
      <w:r>
        <w:rPr/>
        <w:t>results;</w:t>
      </w:r>
      <w:r>
        <w:rPr>
          <w:spacing w:val="-2"/>
        </w:rPr>
        <w:t> </w:t>
      </w:r>
      <w:r>
        <w:rPr/>
        <w:t>and Section </w:t>
      </w:r>
      <w:hyperlink w:history="true" w:anchor="_bookmark113">
        <w:r>
          <w:rPr>
            <w:color w:val="8B2C18"/>
          </w:rPr>
          <w:t>5.5</w:t>
        </w:r>
      </w:hyperlink>
      <w:r>
        <w:rPr>
          <w:color w:val="8B2C18"/>
        </w:rPr>
        <w:t> </w:t>
      </w:r>
      <w:r>
        <w:rPr/>
        <w:t>covers the detrend sensitivity analysis; and Section </w:t>
      </w:r>
      <w:hyperlink w:history="true" w:anchor="_bookmark116">
        <w:r>
          <w:rPr>
            <w:color w:val="8B2C18"/>
          </w:rPr>
          <w:t>5.6</w:t>
        </w:r>
      </w:hyperlink>
      <w:r>
        <w:rPr>
          <w:color w:val="8B2C18"/>
        </w:rPr>
        <w:t> </w:t>
      </w:r>
      <w:r>
        <w:rPr/>
        <w:t>reports the negative result for supervised discretisation.</w:t>
      </w:r>
    </w:p>
    <w:p>
      <w:pPr>
        <w:pStyle w:val="BodyText"/>
        <w:spacing w:before="207"/>
      </w:pPr>
    </w:p>
    <w:p>
      <w:pPr>
        <w:pStyle w:val="Heading2"/>
        <w:numPr>
          <w:ilvl w:val="1"/>
          <w:numId w:val="33"/>
        </w:numPr>
        <w:tabs>
          <w:tab w:pos="1354" w:val="left" w:leader="none"/>
        </w:tabs>
        <w:spacing w:line="240" w:lineRule="auto" w:before="0" w:after="0"/>
        <w:ind w:left="1354" w:right="0" w:hanging="645"/>
        <w:jc w:val="left"/>
      </w:pPr>
      <w:bookmarkStart w:name="5.1 Aggregate Walk-Forward Results" w:id="170"/>
      <w:bookmarkEnd w:id="170"/>
      <w:r>
        <w:rPr>
          <w:b w:val="0"/>
        </w:rPr>
      </w:r>
      <w:bookmarkStart w:name="_bookmark97" w:id="171"/>
      <w:bookmarkEnd w:id="171"/>
      <w:r>
        <w:rPr>
          <w:b w:val="0"/>
        </w:rPr>
      </w:r>
      <w:r>
        <w:rPr/>
        <w:t>Aggregate</w:t>
      </w:r>
      <w:r>
        <w:rPr>
          <w:spacing w:val="14"/>
        </w:rPr>
        <w:t> </w:t>
      </w:r>
      <w:r>
        <w:rPr/>
        <w:t>Walk-Forward</w:t>
      </w:r>
      <w:r>
        <w:rPr>
          <w:spacing w:val="15"/>
        </w:rPr>
        <w:t> </w:t>
      </w:r>
      <w:r>
        <w:rPr>
          <w:spacing w:val="-2"/>
        </w:rPr>
        <w:t>Results</w:t>
      </w:r>
    </w:p>
    <w:p>
      <w:pPr>
        <w:pStyle w:val="Heading3"/>
        <w:numPr>
          <w:ilvl w:val="2"/>
          <w:numId w:val="33"/>
        </w:numPr>
        <w:tabs>
          <w:tab w:pos="1426" w:val="left" w:leader="none"/>
        </w:tabs>
        <w:spacing w:line="240" w:lineRule="auto" w:before="302" w:after="0"/>
        <w:ind w:left="1426" w:right="0" w:hanging="717"/>
        <w:jc w:val="left"/>
      </w:pPr>
      <w:bookmarkStart w:name="5.1.1 Douro (RDD)" w:id="172"/>
      <w:bookmarkEnd w:id="172"/>
      <w:r>
        <w:rPr>
          <w:b w:val="0"/>
        </w:rPr>
      </w:r>
      <w:bookmarkStart w:name="_bookmark98" w:id="173"/>
      <w:bookmarkEnd w:id="173"/>
      <w:r>
        <w:rPr>
          <w:b w:val="0"/>
        </w:rPr>
      </w:r>
      <w:r>
        <w:rPr/>
        <w:t>Douro</w:t>
      </w:r>
      <w:r>
        <w:rPr>
          <w:spacing w:val="-13"/>
        </w:rPr>
        <w:t> </w:t>
      </w:r>
      <w:r>
        <w:rPr>
          <w:spacing w:val="-2"/>
        </w:rPr>
        <w:t>(RDD)</w:t>
      </w:r>
    </w:p>
    <w:p>
      <w:pPr>
        <w:pStyle w:val="BodyText"/>
        <w:spacing w:line="312" w:lineRule="auto" w:before="241"/>
        <w:ind w:left="702" w:right="952"/>
        <w:jc w:val="both"/>
      </w:pPr>
      <w:r>
        <w:rPr/>
        <w:t>Table</w:t>
      </w:r>
      <w:r>
        <w:rPr>
          <w:spacing w:val="-11"/>
        </w:rPr>
        <w:t> </w:t>
      </w:r>
      <w:hyperlink w:history="true" w:anchor="_bookmark100">
        <w:r>
          <w:rPr>
            <w:color w:val="8B2C18"/>
          </w:rPr>
          <w:t>5.1</w:t>
        </w:r>
      </w:hyperlink>
      <w:r>
        <w:rPr>
          <w:color w:val="8B2C18"/>
          <w:spacing w:val="-11"/>
        </w:rPr>
        <w:t> </w:t>
      </w:r>
      <w:r>
        <w:rPr/>
        <w:t>presents</w:t>
      </w:r>
      <w:r>
        <w:rPr>
          <w:spacing w:val="-11"/>
        </w:rPr>
        <w:t> </w:t>
      </w:r>
      <w:r>
        <w:rPr/>
        <w:t>the</w:t>
      </w:r>
      <w:r>
        <w:rPr>
          <w:spacing w:val="-11"/>
        </w:rPr>
        <w:t> </w:t>
      </w:r>
      <w:r>
        <w:rPr/>
        <w:t>complete</w:t>
      </w:r>
      <w:r>
        <w:rPr>
          <w:spacing w:val="-11"/>
        </w:rPr>
        <w:t> </w:t>
      </w:r>
      <w:r>
        <w:rPr/>
        <w:t>17-model</w:t>
      </w:r>
      <w:r>
        <w:rPr>
          <w:spacing w:val="-11"/>
        </w:rPr>
        <w:t> </w:t>
      </w:r>
      <w:r>
        <w:rPr/>
        <w:t>ranking</w:t>
      </w:r>
      <w:r>
        <w:rPr>
          <w:spacing w:val="-11"/>
        </w:rPr>
        <w:t> </w:t>
      </w:r>
      <w:r>
        <w:rPr/>
        <w:t>for</w:t>
      </w:r>
      <w:r>
        <w:rPr>
          <w:spacing w:val="-11"/>
        </w:rPr>
        <w:t> </w:t>
      </w:r>
      <w:r>
        <w:rPr/>
        <w:t>the</w:t>
      </w:r>
      <w:r>
        <w:rPr>
          <w:spacing w:val="-11"/>
        </w:rPr>
        <w:t> </w:t>
      </w:r>
      <w:r>
        <w:rPr/>
        <w:t>Douro</w:t>
      </w:r>
      <w:r>
        <w:rPr>
          <w:spacing w:val="-11"/>
        </w:rPr>
        <w:t> </w:t>
      </w:r>
      <w:r>
        <w:rPr/>
        <w:t>region,</w:t>
      </w:r>
      <w:r>
        <w:rPr>
          <w:spacing w:val="-11"/>
        </w:rPr>
        <w:t> </w:t>
      </w:r>
      <w:r>
        <w:rPr/>
        <w:t>sorted</w:t>
      </w:r>
      <w:r>
        <w:rPr>
          <w:spacing w:val="-11"/>
        </w:rPr>
        <w:t> </w:t>
      </w:r>
      <w:r>
        <w:rPr/>
        <w:t>by</w:t>
      </w:r>
      <w:r>
        <w:rPr>
          <w:spacing w:val="-11"/>
        </w:rPr>
        <w:t> </w:t>
      </w:r>
      <w:r>
        <w:rPr/>
        <w:t>weighted</w:t>
      </w:r>
      <w:r>
        <w:rPr>
          <w:spacing w:val="-11"/>
        </w:rPr>
        <w:t> </w:t>
      </w:r>
      <w:r>
        <w:rPr/>
        <w:t>MAE. Naive_Median ranks first with a weighted MAE of 184 mhl. The best CarenR variant, CarenR_ Dist_Eta2, achieves 189 mhl: a gap of 5 mhl (3%) relative to the naive baseline. The remaining </w:t>
      </w:r>
      <w:r>
        <w:rPr>
          <w:spacing w:val="-2"/>
        </w:rPr>
        <w:t>CarenR</w:t>
      </w:r>
      <w:r>
        <w:rPr>
          <w:spacing w:val="-8"/>
        </w:rPr>
        <w:t> </w:t>
      </w:r>
      <w:r>
        <w:rPr>
          <w:spacing w:val="-2"/>
        </w:rPr>
        <w:t>variants</w:t>
      </w:r>
      <w:r>
        <w:rPr>
          <w:spacing w:val="-8"/>
        </w:rPr>
        <w:t> </w:t>
      </w:r>
      <w:r>
        <w:rPr>
          <w:spacing w:val="-2"/>
        </w:rPr>
        <w:t>cluster</w:t>
      </w:r>
      <w:r>
        <w:rPr>
          <w:spacing w:val="-8"/>
        </w:rPr>
        <w:t> </w:t>
      </w:r>
      <w:r>
        <w:rPr>
          <w:spacing w:val="-2"/>
        </w:rPr>
        <w:t>between</w:t>
      </w:r>
      <w:r>
        <w:rPr>
          <w:spacing w:val="-8"/>
        </w:rPr>
        <w:t> </w:t>
      </w:r>
      <w:r>
        <w:rPr>
          <w:spacing w:val="-2"/>
        </w:rPr>
        <w:t>193</w:t>
      </w:r>
      <w:r>
        <w:rPr>
          <w:spacing w:val="-8"/>
        </w:rPr>
        <w:t> </w:t>
      </w:r>
      <w:r>
        <w:rPr>
          <w:spacing w:val="-2"/>
        </w:rPr>
        <w:t>and</w:t>
      </w:r>
      <w:r>
        <w:rPr>
          <w:spacing w:val="-8"/>
        </w:rPr>
        <w:t> </w:t>
      </w:r>
      <w:r>
        <w:rPr>
          <w:spacing w:val="-2"/>
        </w:rPr>
        <w:t>215</w:t>
      </w:r>
      <w:r>
        <w:rPr>
          <w:spacing w:val="-8"/>
        </w:rPr>
        <w:t> </w:t>
      </w:r>
      <w:r>
        <w:rPr>
          <w:spacing w:val="-2"/>
        </w:rPr>
        <w:t>mhl,</w:t>
      </w:r>
      <w:r>
        <w:rPr>
          <w:spacing w:val="-8"/>
        </w:rPr>
        <w:t> </w:t>
      </w:r>
      <w:r>
        <w:rPr>
          <w:spacing w:val="-2"/>
        </w:rPr>
        <w:t>all</w:t>
      </w:r>
      <w:r>
        <w:rPr>
          <w:spacing w:val="-8"/>
        </w:rPr>
        <w:t> </w:t>
      </w:r>
      <w:r>
        <w:rPr>
          <w:spacing w:val="-2"/>
        </w:rPr>
        <w:t>ahead</w:t>
      </w:r>
      <w:r>
        <w:rPr>
          <w:spacing w:val="-8"/>
        </w:rPr>
        <w:t> </w:t>
      </w:r>
      <w:r>
        <w:rPr>
          <w:spacing w:val="-2"/>
        </w:rPr>
        <w:t>of</w:t>
      </w:r>
      <w:r>
        <w:rPr>
          <w:spacing w:val="-8"/>
        </w:rPr>
        <w:t> </w:t>
      </w:r>
      <w:r>
        <w:rPr>
          <w:spacing w:val="-2"/>
        </w:rPr>
        <w:t>the</w:t>
      </w:r>
      <w:r>
        <w:rPr>
          <w:spacing w:val="-8"/>
        </w:rPr>
        <w:t> </w:t>
      </w:r>
      <w:r>
        <w:rPr>
          <w:spacing w:val="-2"/>
        </w:rPr>
        <w:t>single-value</w:t>
      </w:r>
      <w:r>
        <w:rPr>
          <w:spacing w:val="-8"/>
        </w:rPr>
        <w:t> </w:t>
      </w:r>
      <w:r>
        <w:rPr>
          <w:spacing w:val="-2"/>
        </w:rPr>
        <w:t>persistence</w:t>
      </w:r>
      <w:r>
        <w:rPr>
          <w:spacing w:val="-8"/>
        </w:rPr>
        <w:t> </w:t>
      </w:r>
      <w:r>
        <w:rPr>
          <w:spacing w:val="-2"/>
        </w:rPr>
        <w:t>baseline </w:t>
      </w:r>
      <w:r>
        <w:rPr/>
        <w:t>(Naive, 199 mhl).</w:t>
      </w:r>
      <w:r>
        <w:rPr>
          <w:spacing w:val="40"/>
        </w:rPr>
        <w:t> </w:t>
      </w:r>
      <w:r>
        <w:rPr/>
        <w:t>RIPPER (279 mhl) and Decision Tree (250 mhl) are the worst-performing models, consistent with the unsuitability of hard classification boundaries and tree splits for this small, high-noise dataset.</w:t>
      </w:r>
    </w:p>
    <w:p>
      <w:pPr>
        <w:pStyle w:val="BodyText"/>
        <w:spacing w:before="124"/>
      </w:pPr>
    </w:p>
    <w:p>
      <w:pPr>
        <w:pStyle w:val="Heading3"/>
        <w:numPr>
          <w:ilvl w:val="2"/>
          <w:numId w:val="33"/>
        </w:numPr>
        <w:tabs>
          <w:tab w:pos="1426" w:val="left" w:leader="none"/>
        </w:tabs>
        <w:spacing w:line="240" w:lineRule="auto" w:before="0" w:after="0"/>
        <w:ind w:left="1426" w:right="0" w:hanging="717"/>
        <w:jc w:val="left"/>
      </w:pPr>
      <w:bookmarkStart w:name="5.1.2 Vinho Verde (RVV)" w:id="174"/>
      <w:bookmarkEnd w:id="174"/>
      <w:r>
        <w:rPr>
          <w:b w:val="0"/>
        </w:rPr>
      </w:r>
      <w:bookmarkStart w:name="_bookmark99" w:id="175"/>
      <w:bookmarkEnd w:id="175"/>
      <w:r>
        <w:rPr>
          <w:b w:val="0"/>
        </w:rPr>
      </w:r>
      <w:r>
        <w:rPr>
          <w:spacing w:val="-4"/>
        </w:rPr>
        <w:t>Vinho Verde (RVV)</w:t>
      </w:r>
    </w:p>
    <w:p>
      <w:pPr>
        <w:pStyle w:val="BodyText"/>
        <w:spacing w:line="312" w:lineRule="auto" w:before="241"/>
        <w:ind w:left="709" w:right="963"/>
        <w:jc w:val="both"/>
      </w:pPr>
      <w:r>
        <w:rPr/>
        <w:t>For</w:t>
      </w:r>
      <w:r>
        <w:rPr>
          <w:spacing w:val="-13"/>
        </w:rPr>
        <w:t> </w:t>
      </w:r>
      <w:r>
        <w:rPr/>
        <w:t>Vinho</w:t>
      </w:r>
      <w:r>
        <w:rPr>
          <w:spacing w:val="-13"/>
        </w:rPr>
        <w:t> </w:t>
      </w:r>
      <w:r>
        <w:rPr/>
        <w:t>Verde,</w:t>
      </w:r>
      <w:r>
        <w:rPr>
          <w:spacing w:val="-13"/>
        </w:rPr>
        <w:t> </w:t>
      </w:r>
      <w:r>
        <w:rPr/>
        <w:t>Naive_Median</w:t>
      </w:r>
      <w:r>
        <w:rPr>
          <w:spacing w:val="-13"/>
        </w:rPr>
        <w:t> </w:t>
      </w:r>
      <w:r>
        <w:rPr/>
        <w:t>again</w:t>
      </w:r>
      <w:r>
        <w:rPr>
          <w:spacing w:val="-13"/>
        </w:rPr>
        <w:t> </w:t>
      </w:r>
      <w:r>
        <w:rPr/>
        <w:t>ranks</w:t>
      </w:r>
      <w:r>
        <w:rPr>
          <w:spacing w:val="-13"/>
        </w:rPr>
        <w:t> </w:t>
      </w:r>
      <w:r>
        <w:rPr/>
        <w:t>first</w:t>
      </w:r>
      <w:r>
        <w:rPr>
          <w:spacing w:val="-13"/>
        </w:rPr>
        <w:t> </w:t>
      </w:r>
      <w:r>
        <w:rPr/>
        <w:t>at</w:t>
      </w:r>
      <w:r>
        <w:rPr>
          <w:spacing w:val="-13"/>
        </w:rPr>
        <w:t> </w:t>
      </w:r>
      <w:r>
        <w:rPr/>
        <w:t>140</w:t>
      </w:r>
      <w:r>
        <w:rPr>
          <w:spacing w:val="-13"/>
        </w:rPr>
        <w:t> </w:t>
      </w:r>
      <w:r>
        <w:rPr/>
        <w:t>mhl.</w:t>
      </w:r>
      <w:r>
        <w:rPr>
          <w:spacing w:val="-3"/>
        </w:rPr>
        <w:t> </w:t>
      </w:r>
      <w:r>
        <w:rPr/>
        <w:t>The</w:t>
      </w:r>
      <w:r>
        <w:rPr>
          <w:spacing w:val="-13"/>
        </w:rPr>
        <w:t> </w:t>
      </w:r>
      <w:r>
        <w:rPr/>
        <w:t>best</w:t>
      </w:r>
      <w:r>
        <w:rPr>
          <w:spacing w:val="-13"/>
        </w:rPr>
        <w:t> </w:t>
      </w:r>
      <w:r>
        <w:rPr/>
        <w:t>CarenR</w:t>
      </w:r>
      <w:r>
        <w:rPr>
          <w:spacing w:val="-13"/>
        </w:rPr>
        <w:t> </w:t>
      </w:r>
      <w:r>
        <w:rPr/>
        <w:t>variant</w:t>
      </w:r>
      <w:r>
        <w:rPr>
          <w:spacing w:val="-13"/>
        </w:rPr>
        <w:t> </w:t>
      </w:r>
      <w:r>
        <w:rPr/>
        <w:t>is</w:t>
      </w:r>
      <w:r>
        <w:rPr>
          <w:spacing w:val="-13"/>
        </w:rPr>
        <w:t> </w:t>
      </w:r>
      <w:r>
        <w:rPr/>
        <w:t>CarenR_ Dist_Sup_FS</w:t>
      </w:r>
      <w:r>
        <w:rPr>
          <w:spacing w:val="-11"/>
        </w:rPr>
        <w:t> </w:t>
      </w:r>
      <w:r>
        <w:rPr/>
        <w:t>at</w:t>
      </w:r>
      <w:r>
        <w:rPr>
          <w:spacing w:val="-10"/>
        </w:rPr>
        <w:t> </w:t>
      </w:r>
      <w:r>
        <w:rPr/>
        <w:t>172</w:t>
      </w:r>
      <w:r>
        <w:rPr>
          <w:spacing w:val="-11"/>
        </w:rPr>
        <w:t> </w:t>
      </w:r>
      <w:r>
        <w:rPr/>
        <w:t>mhl,</w:t>
      </w:r>
      <w:r>
        <w:rPr>
          <w:spacing w:val="-10"/>
        </w:rPr>
        <w:t> </w:t>
      </w:r>
      <w:r>
        <w:rPr/>
        <w:t>a</w:t>
      </w:r>
      <w:r>
        <w:rPr>
          <w:spacing w:val="-11"/>
        </w:rPr>
        <w:t> </w:t>
      </w:r>
      <w:r>
        <w:rPr/>
        <w:t>gap</w:t>
      </w:r>
      <w:r>
        <w:rPr>
          <w:spacing w:val="-10"/>
        </w:rPr>
        <w:t> </w:t>
      </w:r>
      <w:r>
        <w:rPr/>
        <w:t>of</w:t>
      </w:r>
      <w:r>
        <w:rPr>
          <w:spacing w:val="-11"/>
        </w:rPr>
        <w:t> </w:t>
      </w:r>
      <w:r>
        <w:rPr/>
        <w:t>31</w:t>
      </w:r>
      <w:r>
        <w:rPr>
          <w:spacing w:val="-10"/>
        </w:rPr>
        <w:t> </w:t>
      </w:r>
      <w:r>
        <w:rPr/>
        <w:t>mhl</w:t>
      </w:r>
      <w:r>
        <w:rPr>
          <w:spacing w:val="-11"/>
        </w:rPr>
        <w:t> </w:t>
      </w:r>
      <w:r>
        <w:rPr/>
        <w:t>(22%)</w:t>
      </w:r>
      <w:r>
        <w:rPr>
          <w:spacing w:val="-10"/>
        </w:rPr>
        <w:t> </w:t>
      </w:r>
      <w:r>
        <w:rPr/>
        <w:t>relative</w:t>
      </w:r>
      <w:r>
        <w:rPr>
          <w:spacing w:val="-11"/>
        </w:rPr>
        <w:t> </w:t>
      </w:r>
      <w:r>
        <w:rPr/>
        <w:t>to</w:t>
      </w:r>
      <w:r>
        <w:rPr>
          <w:spacing w:val="-10"/>
        </w:rPr>
        <w:t> </w:t>
      </w:r>
      <w:r>
        <w:rPr/>
        <w:t>the</w:t>
      </w:r>
      <w:r>
        <w:rPr>
          <w:spacing w:val="-11"/>
        </w:rPr>
        <w:t> </w:t>
      </w:r>
      <w:r>
        <w:rPr/>
        <w:t>naive</w:t>
      </w:r>
      <w:r>
        <w:rPr>
          <w:spacing w:val="-10"/>
        </w:rPr>
        <w:t> </w:t>
      </w:r>
      <w:r>
        <w:rPr/>
        <w:t>baseline. </w:t>
      </w:r>
      <w:r>
        <w:rPr>
          <w:spacing w:val="-2"/>
        </w:rPr>
        <w:t>CarenR_Dist_Eta2,</w:t>
      </w:r>
    </w:p>
    <w:p>
      <w:pPr>
        <w:pStyle w:val="BodyText"/>
        <w:spacing w:before="16"/>
      </w:pPr>
    </w:p>
    <w:p>
      <w:pPr>
        <w:pStyle w:val="BodyText"/>
        <w:ind w:left="601" w:right="882"/>
        <w:jc w:val="center"/>
      </w:pPr>
      <w:r>
        <w:rPr>
          <w:spacing w:val="-5"/>
        </w:rPr>
        <w:t>53</w:t>
      </w:r>
    </w:p>
    <w:p>
      <w:pPr>
        <w:pStyle w:val="BodyText"/>
        <w:spacing w:after="0"/>
        <w:jc w:val="center"/>
        <w:sectPr>
          <w:headerReference w:type="default" r:id="rId76"/>
          <w:pgSz w:w="11910" w:h="16840"/>
          <w:pgMar w:header="0" w:footer="0" w:top="1920" w:bottom="280" w:left="1275" w:right="425"/>
        </w:sectPr>
      </w:pPr>
    </w:p>
    <w:p>
      <w:pPr>
        <w:pStyle w:val="BodyText"/>
        <w:rPr>
          <w:sz w:val="20"/>
        </w:rPr>
      </w:pPr>
    </w:p>
    <w:p>
      <w:pPr>
        <w:pStyle w:val="BodyText"/>
        <w:rPr>
          <w:sz w:val="20"/>
        </w:rPr>
      </w:pPr>
    </w:p>
    <w:p>
      <w:pPr>
        <w:pStyle w:val="BodyText"/>
        <w:rPr>
          <w:sz w:val="20"/>
        </w:rPr>
      </w:pPr>
    </w:p>
    <w:p>
      <w:pPr>
        <w:pStyle w:val="BodyText"/>
        <w:spacing w:before="76"/>
        <w:rPr>
          <w:sz w:val="20"/>
        </w:rPr>
      </w:pPr>
    </w:p>
    <w:p>
      <w:pPr>
        <w:spacing w:before="0"/>
        <w:ind w:left="301" w:right="0" w:firstLine="0"/>
        <w:jc w:val="left"/>
        <w:rPr>
          <w:sz w:val="20"/>
        </w:rPr>
      </w:pPr>
      <w:bookmarkStart w:name="_bookmark100" w:id="176"/>
      <w:bookmarkEnd w:id="176"/>
      <w:r>
        <w:rPr/>
      </w:r>
      <w:r>
        <w:rPr>
          <w:b/>
          <w:sz w:val="20"/>
        </w:rPr>
        <w:t>Table</w:t>
      </w:r>
      <w:r>
        <w:rPr>
          <w:b/>
          <w:spacing w:val="-8"/>
          <w:sz w:val="20"/>
        </w:rPr>
        <w:t> </w:t>
      </w:r>
      <w:r>
        <w:rPr>
          <w:b/>
          <w:sz w:val="20"/>
        </w:rPr>
        <w:t>5.1:</w:t>
      </w:r>
      <w:r>
        <w:rPr>
          <w:b/>
          <w:spacing w:val="3"/>
          <w:sz w:val="20"/>
        </w:rPr>
        <w:t> </w:t>
      </w:r>
      <w:r>
        <w:rPr>
          <w:sz w:val="20"/>
        </w:rPr>
        <w:t>RDD</w:t>
      </w:r>
      <w:r>
        <w:rPr>
          <w:spacing w:val="-8"/>
          <w:sz w:val="20"/>
        </w:rPr>
        <w:t> </w:t>
      </w:r>
      <w:r>
        <w:rPr>
          <w:sz w:val="20"/>
        </w:rPr>
        <w:t>walk-forward</w:t>
      </w:r>
      <w:r>
        <w:rPr>
          <w:spacing w:val="-7"/>
          <w:sz w:val="20"/>
        </w:rPr>
        <w:t> </w:t>
      </w:r>
      <w:r>
        <w:rPr>
          <w:sz w:val="20"/>
        </w:rPr>
        <w:t>results,</w:t>
      </w:r>
      <w:r>
        <w:rPr>
          <w:spacing w:val="-8"/>
          <w:sz w:val="20"/>
        </w:rPr>
        <w:t> </w:t>
      </w:r>
      <w:r>
        <w:rPr>
          <w:sz w:val="20"/>
        </w:rPr>
        <w:t>17</w:t>
      </w:r>
      <w:r>
        <w:rPr>
          <w:spacing w:val="-7"/>
          <w:sz w:val="20"/>
        </w:rPr>
        <w:t> </w:t>
      </w:r>
      <w:r>
        <w:rPr>
          <w:sz w:val="20"/>
        </w:rPr>
        <w:t>models</w:t>
      </w:r>
      <w:r>
        <w:rPr>
          <w:spacing w:val="-8"/>
          <w:sz w:val="20"/>
        </w:rPr>
        <w:t> </w:t>
      </w:r>
      <w:r>
        <w:rPr>
          <w:sz w:val="20"/>
        </w:rPr>
        <w:t>across</w:t>
      </w:r>
      <w:r>
        <w:rPr>
          <w:spacing w:val="-7"/>
          <w:sz w:val="20"/>
        </w:rPr>
        <w:t> </w:t>
      </w:r>
      <w:r>
        <w:rPr>
          <w:sz w:val="20"/>
        </w:rPr>
        <w:t>18</w:t>
      </w:r>
      <w:r>
        <w:rPr>
          <w:spacing w:val="-8"/>
          <w:sz w:val="20"/>
        </w:rPr>
        <w:t> </w:t>
      </w:r>
      <w:r>
        <w:rPr>
          <w:sz w:val="20"/>
        </w:rPr>
        <w:t>scenarios,</w:t>
      </w:r>
      <w:r>
        <w:rPr>
          <w:spacing w:val="-8"/>
          <w:sz w:val="20"/>
        </w:rPr>
        <w:t> </w:t>
      </w:r>
      <w:r>
        <w:rPr>
          <w:sz w:val="20"/>
        </w:rPr>
        <w:t>sorted</w:t>
      </w:r>
      <w:r>
        <w:rPr>
          <w:spacing w:val="-7"/>
          <w:sz w:val="20"/>
        </w:rPr>
        <w:t> </w:t>
      </w:r>
      <w:r>
        <w:rPr>
          <w:sz w:val="20"/>
        </w:rPr>
        <w:t>by</w:t>
      </w:r>
      <w:r>
        <w:rPr>
          <w:spacing w:val="-8"/>
          <w:sz w:val="20"/>
        </w:rPr>
        <w:t> </w:t>
      </w:r>
      <w:r>
        <w:rPr>
          <w:sz w:val="20"/>
        </w:rPr>
        <w:t>weighted</w:t>
      </w:r>
      <w:r>
        <w:rPr>
          <w:spacing w:val="-7"/>
          <w:sz w:val="20"/>
        </w:rPr>
        <w:t> </w:t>
      </w:r>
      <w:r>
        <w:rPr>
          <w:sz w:val="20"/>
        </w:rPr>
        <w:t>MAE</w:t>
      </w:r>
      <w:r>
        <w:rPr>
          <w:spacing w:val="-8"/>
          <w:sz w:val="20"/>
        </w:rPr>
        <w:t> </w:t>
      </w:r>
      <w:r>
        <w:rPr>
          <w:spacing w:val="-2"/>
          <w:sz w:val="20"/>
        </w:rPr>
        <w:t>(mhl).</w:t>
      </w:r>
    </w:p>
    <w:p>
      <w:pPr>
        <w:pStyle w:val="BodyText"/>
        <w:spacing w:before="5"/>
        <w:rPr>
          <w:sz w:val="18"/>
        </w:rPr>
      </w:pPr>
      <w:r>
        <w:rPr>
          <w:sz w:val="18"/>
        </w:rPr>
        <mc:AlternateContent>
          <mc:Choice Requires="wps">
            <w:drawing>
              <wp:anchor distT="0" distB="0" distL="0" distR="0" allowOverlap="1" layoutInCell="1" locked="0" behindDoc="1" simplePos="0" relativeHeight="487622656">
                <wp:simplePos x="0" y="0"/>
                <wp:positionH relativeFrom="page">
                  <wp:posOffset>899998</wp:posOffset>
                </wp:positionH>
                <wp:positionV relativeFrom="paragraph">
                  <wp:posOffset>150309</wp:posOffset>
                </wp:positionV>
                <wp:extent cx="5400040" cy="1270"/>
                <wp:effectExtent l="0" t="0" r="0" b="0"/>
                <wp:wrapTopAndBottom/>
                <wp:docPr id="190" name="Graphic 190"/>
                <wp:cNvGraphicFramePr>
                  <a:graphicFrameLocks/>
                </wp:cNvGraphicFramePr>
                <a:graphic>
                  <a:graphicData uri="http://schemas.microsoft.com/office/word/2010/wordprocessingShape">
                    <wps:wsp>
                      <wps:cNvPr id="190" name="Graphic 190"/>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1.835425pt;width:425.2pt;height:.1pt;mso-position-horizontal-relative:page;mso-position-vertical-relative:paragraph;z-index:-15693824;mso-wrap-distance-left:0;mso-wrap-distance-right:0" id="docshape162" coordorigin="1417,237" coordsize="8504,0" path="m1417,237l9921,237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1"/>
        <w:gridCol w:w="2798"/>
        <w:gridCol w:w="1991"/>
        <w:gridCol w:w="1686"/>
        <w:gridCol w:w="1288"/>
      </w:tblGrid>
      <w:tr>
        <w:trPr>
          <w:trHeight w:val="346" w:hRule="atLeast"/>
        </w:trPr>
        <w:tc>
          <w:tcPr>
            <w:tcW w:w="741" w:type="dxa"/>
            <w:tcBorders>
              <w:top w:val="nil"/>
              <w:left w:val="nil"/>
              <w:right w:val="single" w:sz="4" w:space="0" w:color="000000"/>
            </w:tcBorders>
          </w:tcPr>
          <w:p>
            <w:pPr>
              <w:pStyle w:val="TableParagraph"/>
              <w:spacing w:before="31"/>
              <w:ind w:left="119"/>
              <w:rPr>
                <w:sz w:val="20"/>
              </w:rPr>
            </w:pPr>
            <w:r>
              <w:rPr>
                <w:spacing w:val="-4"/>
                <w:sz w:val="20"/>
              </w:rPr>
              <w:t>Rank</w:t>
            </w:r>
          </w:p>
        </w:tc>
        <w:tc>
          <w:tcPr>
            <w:tcW w:w="2798" w:type="dxa"/>
            <w:tcBorders>
              <w:top w:val="nil"/>
              <w:left w:val="single" w:sz="4" w:space="0" w:color="000000"/>
              <w:right w:val="single" w:sz="4" w:space="0" w:color="000000"/>
            </w:tcBorders>
          </w:tcPr>
          <w:p>
            <w:pPr>
              <w:pStyle w:val="TableParagraph"/>
              <w:spacing w:before="31"/>
              <w:ind w:left="118"/>
              <w:rPr>
                <w:sz w:val="20"/>
              </w:rPr>
            </w:pPr>
            <w:r>
              <w:rPr>
                <w:spacing w:val="-2"/>
                <w:sz w:val="20"/>
              </w:rPr>
              <w:t>Model</w:t>
            </w:r>
          </w:p>
        </w:tc>
        <w:tc>
          <w:tcPr>
            <w:tcW w:w="1991" w:type="dxa"/>
            <w:tcBorders>
              <w:top w:val="nil"/>
              <w:left w:val="single" w:sz="4" w:space="0" w:color="000000"/>
              <w:right w:val="single" w:sz="4" w:space="0" w:color="000000"/>
            </w:tcBorders>
          </w:tcPr>
          <w:p>
            <w:pPr>
              <w:pStyle w:val="TableParagraph"/>
              <w:spacing w:before="31"/>
              <w:ind w:left="119"/>
              <w:rPr>
                <w:sz w:val="20"/>
              </w:rPr>
            </w:pPr>
            <w:r>
              <w:rPr>
                <w:spacing w:val="-2"/>
                <w:sz w:val="20"/>
              </w:rPr>
              <w:t>Weighted</w:t>
            </w:r>
            <w:r>
              <w:rPr>
                <w:spacing w:val="-5"/>
                <w:sz w:val="20"/>
              </w:rPr>
              <w:t> </w:t>
            </w:r>
            <w:r>
              <w:rPr>
                <w:spacing w:val="-2"/>
                <w:sz w:val="20"/>
              </w:rPr>
              <w:t>MAE</w:t>
            </w:r>
            <w:r>
              <w:rPr>
                <w:spacing w:val="-4"/>
                <w:sz w:val="20"/>
              </w:rPr>
              <w:t> </w:t>
            </w:r>
            <w:r>
              <w:rPr>
                <w:spacing w:val="-2"/>
                <w:sz w:val="20"/>
              </w:rPr>
              <w:t>(mhl)</w:t>
            </w:r>
          </w:p>
        </w:tc>
        <w:tc>
          <w:tcPr>
            <w:tcW w:w="1686" w:type="dxa"/>
            <w:tcBorders>
              <w:top w:val="nil"/>
              <w:left w:val="single" w:sz="4" w:space="0" w:color="000000"/>
              <w:right w:val="single" w:sz="4" w:space="0" w:color="000000"/>
            </w:tcBorders>
          </w:tcPr>
          <w:p>
            <w:pPr>
              <w:pStyle w:val="TableParagraph"/>
              <w:spacing w:before="31"/>
              <w:ind w:left="118"/>
              <w:rPr>
                <w:sz w:val="20"/>
              </w:rPr>
            </w:pPr>
            <w:r>
              <w:rPr>
                <w:sz w:val="20"/>
              </w:rPr>
              <w:t>Mean</w:t>
            </w:r>
            <w:r>
              <w:rPr>
                <w:spacing w:val="-6"/>
                <w:sz w:val="20"/>
              </w:rPr>
              <w:t> </w:t>
            </w:r>
            <w:r>
              <w:rPr>
                <w:sz w:val="20"/>
              </w:rPr>
              <w:t>MAE</w:t>
            </w:r>
            <w:r>
              <w:rPr>
                <w:spacing w:val="-5"/>
                <w:sz w:val="20"/>
              </w:rPr>
              <w:t> </w:t>
            </w:r>
            <w:r>
              <w:rPr>
                <w:spacing w:val="-2"/>
                <w:sz w:val="20"/>
              </w:rPr>
              <w:t>(mhl)</w:t>
            </w:r>
          </w:p>
        </w:tc>
        <w:tc>
          <w:tcPr>
            <w:tcW w:w="1288" w:type="dxa"/>
            <w:tcBorders>
              <w:top w:val="nil"/>
              <w:left w:val="single" w:sz="4" w:space="0" w:color="000000"/>
              <w:right w:val="nil"/>
            </w:tcBorders>
          </w:tcPr>
          <w:p>
            <w:pPr>
              <w:pStyle w:val="TableParagraph"/>
              <w:spacing w:before="31"/>
              <w:ind w:left="118"/>
              <w:rPr>
                <w:sz w:val="20"/>
              </w:rPr>
            </w:pPr>
            <w:r>
              <w:rPr>
                <w:sz w:val="20"/>
              </w:rPr>
              <w:t>SD</w:t>
            </w:r>
            <w:r>
              <w:rPr>
                <w:spacing w:val="-4"/>
                <w:sz w:val="20"/>
              </w:rPr>
              <w:t> </w:t>
            </w:r>
            <w:r>
              <w:rPr>
                <w:spacing w:val="-5"/>
                <w:sz w:val="20"/>
              </w:rPr>
              <w:t>MAE</w:t>
            </w:r>
          </w:p>
        </w:tc>
      </w:tr>
    </w:tbl>
    <w:p>
      <w:pPr>
        <w:pStyle w:val="BodyText"/>
        <w:spacing w:before="10"/>
        <w:rPr>
          <w:sz w:val="4"/>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41"/>
        <w:gridCol w:w="2798"/>
        <w:gridCol w:w="1991"/>
        <w:gridCol w:w="1686"/>
        <w:gridCol w:w="1288"/>
      </w:tblGrid>
      <w:tr>
        <w:trPr>
          <w:trHeight w:val="308" w:hRule="atLeast"/>
        </w:trPr>
        <w:tc>
          <w:tcPr>
            <w:tcW w:w="741" w:type="dxa"/>
            <w:tcBorders>
              <w:right w:val="single" w:sz="4" w:space="0" w:color="000000"/>
            </w:tcBorders>
          </w:tcPr>
          <w:p>
            <w:pPr>
              <w:pStyle w:val="TableParagraph"/>
              <w:spacing w:before="31"/>
              <w:ind w:left="119"/>
              <w:rPr>
                <w:sz w:val="20"/>
              </w:rPr>
            </w:pPr>
            <w:r>
              <w:rPr>
                <w:spacing w:val="-10"/>
                <w:sz w:val="20"/>
              </w:rPr>
              <w:t>1</w:t>
            </w:r>
          </w:p>
        </w:tc>
        <w:tc>
          <w:tcPr>
            <w:tcW w:w="2798" w:type="dxa"/>
            <w:tcBorders>
              <w:left w:val="single" w:sz="4" w:space="0" w:color="000000"/>
              <w:right w:val="single" w:sz="4" w:space="0" w:color="000000"/>
            </w:tcBorders>
          </w:tcPr>
          <w:p>
            <w:pPr>
              <w:pStyle w:val="TableParagraph"/>
              <w:spacing w:before="31"/>
              <w:ind w:left="118"/>
              <w:rPr>
                <w:sz w:val="20"/>
              </w:rPr>
            </w:pPr>
            <w:r>
              <w:rPr>
                <w:spacing w:val="-2"/>
                <w:sz w:val="20"/>
              </w:rPr>
              <w:t>Naive_Median</w:t>
            </w:r>
          </w:p>
        </w:tc>
        <w:tc>
          <w:tcPr>
            <w:tcW w:w="1991" w:type="dxa"/>
            <w:tcBorders>
              <w:left w:val="single" w:sz="4" w:space="0" w:color="000000"/>
              <w:right w:val="single" w:sz="4" w:space="0" w:color="000000"/>
            </w:tcBorders>
          </w:tcPr>
          <w:p>
            <w:pPr>
              <w:pStyle w:val="TableParagraph"/>
              <w:spacing w:before="31"/>
              <w:ind w:left="119"/>
              <w:rPr>
                <w:sz w:val="20"/>
              </w:rPr>
            </w:pPr>
            <w:r>
              <w:rPr>
                <w:spacing w:val="-2"/>
                <w:sz w:val="20"/>
              </w:rPr>
              <w:t>184.0</w:t>
            </w:r>
          </w:p>
        </w:tc>
        <w:tc>
          <w:tcPr>
            <w:tcW w:w="1686" w:type="dxa"/>
            <w:tcBorders>
              <w:left w:val="single" w:sz="4" w:space="0" w:color="000000"/>
              <w:right w:val="single" w:sz="4" w:space="0" w:color="000000"/>
            </w:tcBorders>
          </w:tcPr>
          <w:p>
            <w:pPr>
              <w:pStyle w:val="TableParagraph"/>
              <w:spacing w:before="31"/>
              <w:ind w:left="118"/>
              <w:rPr>
                <w:sz w:val="20"/>
              </w:rPr>
            </w:pPr>
            <w:r>
              <w:rPr>
                <w:spacing w:val="-2"/>
                <w:sz w:val="20"/>
              </w:rPr>
              <w:t>172.8</w:t>
            </w:r>
          </w:p>
        </w:tc>
        <w:tc>
          <w:tcPr>
            <w:tcW w:w="1288" w:type="dxa"/>
            <w:tcBorders>
              <w:left w:val="single" w:sz="4" w:space="0" w:color="000000"/>
            </w:tcBorders>
          </w:tcPr>
          <w:p>
            <w:pPr>
              <w:pStyle w:val="TableParagraph"/>
              <w:spacing w:before="31"/>
              <w:ind w:left="118"/>
              <w:rPr>
                <w:sz w:val="20"/>
              </w:rPr>
            </w:pPr>
            <w:r>
              <w:rPr>
                <w:spacing w:val="-4"/>
                <w:sz w:val="20"/>
              </w:rPr>
              <w:t>28.4</w:t>
            </w:r>
          </w:p>
        </w:tc>
      </w:tr>
      <w:tr>
        <w:trPr>
          <w:trHeight w:val="310" w:hRule="atLeast"/>
        </w:trPr>
        <w:tc>
          <w:tcPr>
            <w:tcW w:w="741" w:type="dxa"/>
            <w:tcBorders>
              <w:right w:val="single" w:sz="4" w:space="0" w:color="000000"/>
            </w:tcBorders>
          </w:tcPr>
          <w:p>
            <w:pPr>
              <w:pStyle w:val="TableParagraph"/>
              <w:ind w:left="119"/>
              <w:rPr>
                <w:sz w:val="20"/>
              </w:rPr>
            </w:pPr>
            <w:r>
              <w:rPr>
                <w:spacing w:val="-10"/>
                <w:sz w:val="20"/>
              </w:rPr>
              <w:t>2</w:t>
            </w:r>
          </w:p>
        </w:tc>
        <w:tc>
          <w:tcPr>
            <w:tcW w:w="2798" w:type="dxa"/>
            <w:tcBorders>
              <w:left w:val="single" w:sz="4" w:space="0" w:color="000000"/>
              <w:right w:val="single" w:sz="4" w:space="0" w:color="000000"/>
            </w:tcBorders>
          </w:tcPr>
          <w:p>
            <w:pPr>
              <w:pStyle w:val="TableParagraph"/>
              <w:ind w:left="118"/>
              <w:rPr>
                <w:sz w:val="20"/>
              </w:rPr>
            </w:pPr>
            <w:r>
              <w:rPr>
                <w:spacing w:val="-2"/>
                <w:sz w:val="20"/>
              </w:rPr>
              <w:t>CarenR_Dist_Eta2</w:t>
            </w:r>
          </w:p>
        </w:tc>
        <w:tc>
          <w:tcPr>
            <w:tcW w:w="1991" w:type="dxa"/>
            <w:tcBorders>
              <w:left w:val="single" w:sz="4" w:space="0" w:color="000000"/>
              <w:right w:val="single" w:sz="4" w:space="0" w:color="000000"/>
            </w:tcBorders>
          </w:tcPr>
          <w:p>
            <w:pPr>
              <w:pStyle w:val="TableParagraph"/>
              <w:ind w:left="119"/>
              <w:rPr>
                <w:sz w:val="20"/>
              </w:rPr>
            </w:pPr>
            <w:r>
              <w:rPr>
                <w:spacing w:val="-2"/>
                <w:sz w:val="20"/>
              </w:rPr>
              <w:t>189.2</w:t>
            </w:r>
          </w:p>
        </w:tc>
        <w:tc>
          <w:tcPr>
            <w:tcW w:w="1686" w:type="dxa"/>
            <w:tcBorders>
              <w:left w:val="single" w:sz="4" w:space="0" w:color="000000"/>
              <w:right w:val="single" w:sz="4" w:space="0" w:color="000000"/>
            </w:tcBorders>
          </w:tcPr>
          <w:p>
            <w:pPr>
              <w:pStyle w:val="TableParagraph"/>
              <w:ind w:left="118"/>
              <w:rPr>
                <w:sz w:val="20"/>
              </w:rPr>
            </w:pPr>
            <w:r>
              <w:rPr>
                <w:spacing w:val="-2"/>
                <w:sz w:val="20"/>
              </w:rPr>
              <w:t>179.4</w:t>
            </w:r>
          </w:p>
        </w:tc>
        <w:tc>
          <w:tcPr>
            <w:tcW w:w="1288" w:type="dxa"/>
            <w:tcBorders>
              <w:left w:val="single" w:sz="4" w:space="0" w:color="000000"/>
            </w:tcBorders>
          </w:tcPr>
          <w:p>
            <w:pPr>
              <w:pStyle w:val="TableParagraph"/>
              <w:ind w:left="118"/>
              <w:rPr>
                <w:sz w:val="20"/>
              </w:rPr>
            </w:pPr>
            <w:r>
              <w:rPr>
                <w:spacing w:val="-4"/>
                <w:sz w:val="20"/>
              </w:rPr>
              <w:t>30.6</w:t>
            </w:r>
          </w:p>
        </w:tc>
      </w:tr>
      <w:tr>
        <w:trPr>
          <w:trHeight w:val="310" w:hRule="atLeast"/>
        </w:trPr>
        <w:tc>
          <w:tcPr>
            <w:tcW w:w="741" w:type="dxa"/>
            <w:tcBorders>
              <w:right w:val="single" w:sz="4" w:space="0" w:color="000000"/>
            </w:tcBorders>
          </w:tcPr>
          <w:p>
            <w:pPr>
              <w:pStyle w:val="TableParagraph"/>
              <w:ind w:left="119"/>
              <w:rPr>
                <w:sz w:val="20"/>
              </w:rPr>
            </w:pPr>
            <w:r>
              <w:rPr>
                <w:spacing w:val="-10"/>
                <w:sz w:val="20"/>
              </w:rPr>
              <w:t>3</w:t>
            </w:r>
          </w:p>
        </w:tc>
        <w:tc>
          <w:tcPr>
            <w:tcW w:w="2798" w:type="dxa"/>
            <w:tcBorders>
              <w:left w:val="single" w:sz="4" w:space="0" w:color="000000"/>
              <w:right w:val="single" w:sz="4" w:space="0" w:color="000000"/>
            </w:tcBorders>
          </w:tcPr>
          <w:p>
            <w:pPr>
              <w:pStyle w:val="TableParagraph"/>
              <w:ind w:left="118"/>
              <w:rPr>
                <w:sz w:val="20"/>
              </w:rPr>
            </w:pPr>
            <w:r>
              <w:rPr>
                <w:spacing w:val="-2"/>
                <w:sz w:val="20"/>
              </w:rPr>
              <w:t>CarenR_Dist_FS</w:t>
            </w:r>
          </w:p>
        </w:tc>
        <w:tc>
          <w:tcPr>
            <w:tcW w:w="1991" w:type="dxa"/>
            <w:tcBorders>
              <w:left w:val="single" w:sz="4" w:space="0" w:color="000000"/>
              <w:right w:val="single" w:sz="4" w:space="0" w:color="000000"/>
            </w:tcBorders>
          </w:tcPr>
          <w:p>
            <w:pPr>
              <w:pStyle w:val="TableParagraph"/>
              <w:ind w:left="119"/>
              <w:rPr>
                <w:sz w:val="20"/>
              </w:rPr>
            </w:pPr>
            <w:r>
              <w:rPr>
                <w:spacing w:val="-2"/>
                <w:sz w:val="20"/>
              </w:rPr>
              <w:t>193.5</w:t>
            </w:r>
          </w:p>
        </w:tc>
        <w:tc>
          <w:tcPr>
            <w:tcW w:w="1686" w:type="dxa"/>
            <w:tcBorders>
              <w:left w:val="single" w:sz="4" w:space="0" w:color="000000"/>
              <w:right w:val="single" w:sz="4" w:space="0" w:color="000000"/>
            </w:tcBorders>
          </w:tcPr>
          <w:p>
            <w:pPr>
              <w:pStyle w:val="TableParagraph"/>
              <w:ind w:left="118"/>
              <w:rPr>
                <w:sz w:val="20"/>
              </w:rPr>
            </w:pPr>
            <w:r>
              <w:rPr>
                <w:spacing w:val="-2"/>
                <w:sz w:val="20"/>
              </w:rPr>
              <w:t>189.0</w:t>
            </w:r>
          </w:p>
        </w:tc>
        <w:tc>
          <w:tcPr>
            <w:tcW w:w="1288" w:type="dxa"/>
            <w:tcBorders>
              <w:left w:val="single" w:sz="4" w:space="0" w:color="000000"/>
            </w:tcBorders>
          </w:tcPr>
          <w:p>
            <w:pPr>
              <w:pStyle w:val="TableParagraph"/>
              <w:ind w:left="118"/>
              <w:rPr>
                <w:sz w:val="20"/>
              </w:rPr>
            </w:pPr>
            <w:r>
              <w:rPr>
                <w:spacing w:val="-4"/>
                <w:sz w:val="20"/>
              </w:rPr>
              <w:t>22.4</w:t>
            </w:r>
          </w:p>
        </w:tc>
      </w:tr>
      <w:tr>
        <w:trPr>
          <w:trHeight w:val="310" w:hRule="atLeast"/>
        </w:trPr>
        <w:tc>
          <w:tcPr>
            <w:tcW w:w="741" w:type="dxa"/>
            <w:tcBorders>
              <w:right w:val="single" w:sz="4" w:space="0" w:color="000000"/>
            </w:tcBorders>
          </w:tcPr>
          <w:p>
            <w:pPr>
              <w:pStyle w:val="TableParagraph"/>
              <w:ind w:left="119"/>
              <w:rPr>
                <w:sz w:val="20"/>
              </w:rPr>
            </w:pPr>
            <w:r>
              <w:rPr>
                <w:spacing w:val="-10"/>
                <w:sz w:val="20"/>
              </w:rPr>
              <w:t>4</w:t>
            </w:r>
          </w:p>
        </w:tc>
        <w:tc>
          <w:tcPr>
            <w:tcW w:w="2798" w:type="dxa"/>
            <w:tcBorders>
              <w:left w:val="single" w:sz="4" w:space="0" w:color="000000"/>
              <w:right w:val="single" w:sz="4" w:space="0" w:color="000000"/>
            </w:tcBorders>
          </w:tcPr>
          <w:p>
            <w:pPr>
              <w:pStyle w:val="TableParagraph"/>
              <w:ind w:left="118"/>
              <w:rPr>
                <w:sz w:val="20"/>
              </w:rPr>
            </w:pPr>
            <w:r>
              <w:rPr>
                <w:spacing w:val="-2"/>
                <w:sz w:val="20"/>
              </w:rPr>
              <w:t>Naive_MA</w:t>
            </w:r>
          </w:p>
        </w:tc>
        <w:tc>
          <w:tcPr>
            <w:tcW w:w="1991" w:type="dxa"/>
            <w:tcBorders>
              <w:left w:val="single" w:sz="4" w:space="0" w:color="000000"/>
              <w:right w:val="single" w:sz="4" w:space="0" w:color="000000"/>
            </w:tcBorders>
          </w:tcPr>
          <w:p>
            <w:pPr>
              <w:pStyle w:val="TableParagraph"/>
              <w:ind w:left="119"/>
              <w:rPr>
                <w:sz w:val="20"/>
              </w:rPr>
            </w:pPr>
            <w:r>
              <w:rPr>
                <w:spacing w:val="-2"/>
                <w:sz w:val="20"/>
              </w:rPr>
              <w:t>194.6</w:t>
            </w:r>
          </w:p>
        </w:tc>
        <w:tc>
          <w:tcPr>
            <w:tcW w:w="1686" w:type="dxa"/>
            <w:tcBorders>
              <w:left w:val="single" w:sz="4" w:space="0" w:color="000000"/>
              <w:right w:val="single" w:sz="4" w:space="0" w:color="000000"/>
            </w:tcBorders>
          </w:tcPr>
          <w:p>
            <w:pPr>
              <w:pStyle w:val="TableParagraph"/>
              <w:ind w:left="118"/>
              <w:rPr>
                <w:sz w:val="20"/>
              </w:rPr>
            </w:pPr>
            <w:r>
              <w:rPr>
                <w:spacing w:val="-2"/>
                <w:sz w:val="20"/>
              </w:rPr>
              <w:t>170.3</w:t>
            </w:r>
          </w:p>
        </w:tc>
        <w:tc>
          <w:tcPr>
            <w:tcW w:w="1288" w:type="dxa"/>
            <w:tcBorders>
              <w:left w:val="single" w:sz="4" w:space="0" w:color="000000"/>
            </w:tcBorders>
          </w:tcPr>
          <w:p>
            <w:pPr>
              <w:pStyle w:val="TableParagraph"/>
              <w:ind w:left="118"/>
              <w:rPr>
                <w:sz w:val="20"/>
              </w:rPr>
            </w:pPr>
            <w:r>
              <w:rPr>
                <w:spacing w:val="-4"/>
                <w:sz w:val="20"/>
              </w:rPr>
              <w:t>51.1</w:t>
            </w:r>
          </w:p>
        </w:tc>
      </w:tr>
      <w:tr>
        <w:trPr>
          <w:trHeight w:val="310" w:hRule="atLeast"/>
        </w:trPr>
        <w:tc>
          <w:tcPr>
            <w:tcW w:w="741" w:type="dxa"/>
            <w:tcBorders>
              <w:right w:val="single" w:sz="4" w:space="0" w:color="000000"/>
            </w:tcBorders>
          </w:tcPr>
          <w:p>
            <w:pPr>
              <w:pStyle w:val="TableParagraph"/>
              <w:ind w:left="119"/>
              <w:rPr>
                <w:sz w:val="20"/>
              </w:rPr>
            </w:pPr>
            <w:r>
              <w:rPr>
                <w:spacing w:val="-10"/>
                <w:sz w:val="20"/>
              </w:rPr>
              <w:t>5</w:t>
            </w:r>
          </w:p>
        </w:tc>
        <w:tc>
          <w:tcPr>
            <w:tcW w:w="2798" w:type="dxa"/>
            <w:tcBorders>
              <w:left w:val="single" w:sz="4" w:space="0" w:color="000000"/>
              <w:right w:val="single" w:sz="4" w:space="0" w:color="000000"/>
            </w:tcBorders>
          </w:tcPr>
          <w:p>
            <w:pPr>
              <w:pStyle w:val="TableParagraph"/>
              <w:ind w:left="118"/>
              <w:rPr>
                <w:sz w:val="20"/>
              </w:rPr>
            </w:pPr>
            <w:r>
              <w:rPr>
                <w:spacing w:val="-2"/>
                <w:sz w:val="20"/>
              </w:rPr>
              <w:t>CarenR_Dist_Sup_FS</w:t>
            </w:r>
          </w:p>
        </w:tc>
        <w:tc>
          <w:tcPr>
            <w:tcW w:w="1991" w:type="dxa"/>
            <w:tcBorders>
              <w:left w:val="single" w:sz="4" w:space="0" w:color="000000"/>
              <w:right w:val="single" w:sz="4" w:space="0" w:color="000000"/>
            </w:tcBorders>
          </w:tcPr>
          <w:p>
            <w:pPr>
              <w:pStyle w:val="TableParagraph"/>
              <w:ind w:left="119"/>
              <w:rPr>
                <w:sz w:val="20"/>
              </w:rPr>
            </w:pPr>
            <w:r>
              <w:rPr>
                <w:spacing w:val="-2"/>
                <w:sz w:val="20"/>
              </w:rPr>
              <w:t>196.9</w:t>
            </w:r>
          </w:p>
        </w:tc>
        <w:tc>
          <w:tcPr>
            <w:tcW w:w="1686" w:type="dxa"/>
            <w:tcBorders>
              <w:left w:val="single" w:sz="4" w:space="0" w:color="000000"/>
              <w:right w:val="single" w:sz="4" w:space="0" w:color="000000"/>
            </w:tcBorders>
          </w:tcPr>
          <w:p>
            <w:pPr>
              <w:pStyle w:val="TableParagraph"/>
              <w:ind w:left="118"/>
              <w:rPr>
                <w:sz w:val="20"/>
              </w:rPr>
            </w:pPr>
            <w:r>
              <w:rPr>
                <w:spacing w:val="-2"/>
                <w:sz w:val="20"/>
              </w:rPr>
              <w:t>191.1</w:t>
            </w:r>
          </w:p>
        </w:tc>
        <w:tc>
          <w:tcPr>
            <w:tcW w:w="1288" w:type="dxa"/>
            <w:tcBorders>
              <w:left w:val="single" w:sz="4" w:space="0" w:color="000000"/>
            </w:tcBorders>
          </w:tcPr>
          <w:p>
            <w:pPr>
              <w:pStyle w:val="TableParagraph"/>
              <w:ind w:left="118"/>
              <w:rPr>
                <w:sz w:val="20"/>
              </w:rPr>
            </w:pPr>
            <w:r>
              <w:rPr>
                <w:spacing w:val="-4"/>
                <w:sz w:val="20"/>
              </w:rPr>
              <w:t>33.5</w:t>
            </w:r>
          </w:p>
        </w:tc>
      </w:tr>
      <w:tr>
        <w:trPr>
          <w:trHeight w:val="310" w:hRule="atLeast"/>
        </w:trPr>
        <w:tc>
          <w:tcPr>
            <w:tcW w:w="741" w:type="dxa"/>
            <w:tcBorders>
              <w:right w:val="single" w:sz="4" w:space="0" w:color="000000"/>
            </w:tcBorders>
          </w:tcPr>
          <w:p>
            <w:pPr>
              <w:pStyle w:val="TableParagraph"/>
              <w:ind w:left="119"/>
              <w:rPr>
                <w:sz w:val="20"/>
              </w:rPr>
            </w:pPr>
            <w:r>
              <w:rPr>
                <w:spacing w:val="-10"/>
                <w:sz w:val="20"/>
              </w:rPr>
              <w:t>6</w:t>
            </w:r>
          </w:p>
        </w:tc>
        <w:tc>
          <w:tcPr>
            <w:tcW w:w="2798" w:type="dxa"/>
            <w:tcBorders>
              <w:left w:val="single" w:sz="4" w:space="0" w:color="000000"/>
              <w:right w:val="single" w:sz="4" w:space="0" w:color="000000"/>
            </w:tcBorders>
          </w:tcPr>
          <w:p>
            <w:pPr>
              <w:pStyle w:val="TableParagraph"/>
              <w:ind w:left="118"/>
              <w:rPr>
                <w:sz w:val="20"/>
              </w:rPr>
            </w:pPr>
            <w:r>
              <w:rPr>
                <w:spacing w:val="-2"/>
                <w:sz w:val="20"/>
              </w:rPr>
              <w:t>CarenR_Dist_Sup</w:t>
            </w:r>
          </w:p>
        </w:tc>
        <w:tc>
          <w:tcPr>
            <w:tcW w:w="1991" w:type="dxa"/>
            <w:tcBorders>
              <w:left w:val="single" w:sz="4" w:space="0" w:color="000000"/>
              <w:right w:val="single" w:sz="4" w:space="0" w:color="000000"/>
            </w:tcBorders>
          </w:tcPr>
          <w:p>
            <w:pPr>
              <w:pStyle w:val="TableParagraph"/>
              <w:ind w:left="119"/>
              <w:rPr>
                <w:sz w:val="20"/>
              </w:rPr>
            </w:pPr>
            <w:r>
              <w:rPr>
                <w:spacing w:val="-2"/>
                <w:sz w:val="20"/>
              </w:rPr>
              <w:t>197.0</w:t>
            </w:r>
          </w:p>
        </w:tc>
        <w:tc>
          <w:tcPr>
            <w:tcW w:w="1686" w:type="dxa"/>
            <w:tcBorders>
              <w:left w:val="single" w:sz="4" w:space="0" w:color="000000"/>
              <w:right w:val="single" w:sz="4" w:space="0" w:color="000000"/>
            </w:tcBorders>
          </w:tcPr>
          <w:p>
            <w:pPr>
              <w:pStyle w:val="TableParagraph"/>
              <w:ind w:left="118"/>
              <w:rPr>
                <w:sz w:val="20"/>
              </w:rPr>
            </w:pPr>
            <w:r>
              <w:rPr>
                <w:spacing w:val="-2"/>
                <w:sz w:val="20"/>
              </w:rPr>
              <w:t>191.4</w:t>
            </w:r>
          </w:p>
        </w:tc>
        <w:tc>
          <w:tcPr>
            <w:tcW w:w="1288" w:type="dxa"/>
            <w:tcBorders>
              <w:left w:val="single" w:sz="4" w:space="0" w:color="000000"/>
            </w:tcBorders>
          </w:tcPr>
          <w:p>
            <w:pPr>
              <w:pStyle w:val="TableParagraph"/>
              <w:ind w:left="118"/>
              <w:rPr>
                <w:sz w:val="20"/>
              </w:rPr>
            </w:pPr>
            <w:r>
              <w:rPr>
                <w:spacing w:val="-4"/>
                <w:sz w:val="20"/>
              </w:rPr>
              <w:t>33.3</w:t>
            </w:r>
          </w:p>
        </w:tc>
      </w:tr>
      <w:tr>
        <w:trPr>
          <w:trHeight w:val="310" w:hRule="atLeast"/>
        </w:trPr>
        <w:tc>
          <w:tcPr>
            <w:tcW w:w="741" w:type="dxa"/>
            <w:tcBorders>
              <w:right w:val="single" w:sz="4" w:space="0" w:color="000000"/>
            </w:tcBorders>
          </w:tcPr>
          <w:p>
            <w:pPr>
              <w:pStyle w:val="TableParagraph"/>
              <w:ind w:left="119"/>
              <w:rPr>
                <w:sz w:val="20"/>
              </w:rPr>
            </w:pPr>
            <w:r>
              <w:rPr>
                <w:spacing w:val="-10"/>
                <w:sz w:val="20"/>
              </w:rPr>
              <w:t>7</w:t>
            </w:r>
          </w:p>
        </w:tc>
        <w:tc>
          <w:tcPr>
            <w:tcW w:w="2798" w:type="dxa"/>
            <w:tcBorders>
              <w:left w:val="single" w:sz="4" w:space="0" w:color="000000"/>
              <w:right w:val="single" w:sz="4" w:space="0" w:color="000000"/>
            </w:tcBorders>
          </w:tcPr>
          <w:p>
            <w:pPr>
              <w:pStyle w:val="TableParagraph"/>
              <w:ind w:left="118"/>
              <w:rPr>
                <w:sz w:val="20"/>
              </w:rPr>
            </w:pPr>
            <w:r>
              <w:rPr>
                <w:spacing w:val="-2"/>
                <w:sz w:val="20"/>
              </w:rPr>
              <w:t>Naive</w:t>
            </w:r>
          </w:p>
        </w:tc>
        <w:tc>
          <w:tcPr>
            <w:tcW w:w="1991" w:type="dxa"/>
            <w:tcBorders>
              <w:left w:val="single" w:sz="4" w:space="0" w:color="000000"/>
              <w:right w:val="single" w:sz="4" w:space="0" w:color="000000"/>
            </w:tcBorders>
          </w:tcPr>
          <w:p>
            <w:pPr>
              <w:pStyle w:val="TableParagraph"/>
              <w:ind w:left="119"/>
              <w:rPr>
                <w:sz w:val="20"/>
              </w:rPr>
            </w:pPr>
            <w:r>
              <w:rPr>
                <w:spacing w:val="-2"/>
                <w:sz w:val="20"/>
              </w:rPr>
              <w:t>199.4</w:t>
            </w:r>
          </w:p>
        </w:tc>
        <w:tc>
          <w:tcPr>
            <w:tcW w:w="1686" w:type="dxa"/>
            <w:tcBorders>
              <w:left w:val="single" w:sz="4" w:space="0" w:color="000000"/>
              <w:right w:val="single" w:sz="4" w:space="0" w:color="000000"/>
            </w:tcBorders>
          </w:tcPr>
          <w:p>
            <w:pPr>
              <w:pStyle w:val="TableParagraph"/>
              <w:ind w:left="118"/>
              <w:rPr>
                <w:sz w:val="20"/>
              </w:rPr>
            </w:pPr>
            <w:r>
              <w:rPr>
                <w:spacing w:val="-2"/>
                <w:sz w:val="20"/>
              </w:rPr>
              <w:t>186.3</w:t>
            </w:r>
          </w:p>
        </w:tc>
        <w:tc>
          <w:tcPr>
            <w:tcW w:w="1288" w:type="dxa"/>
            <w:tcBorders>
              <w:left w:val="single" w:sz="4" w:space="0" w:color="000000"/>
            </w:tcBorders>
          </w:tcPr>
          <w:p>
            <w:pPr>
              <w:pStyle w:val="TableParagraph"/>
              <w:ind w:left="118"/>
              <w:rPr>
                <w:sz w:val="20"/>
              </w:rPr>
            </w:pPr>
            <w:r>
              <w:rPr>
                <w:spacing w:val="-4"/>
                <w:sz w:val="20"/>
              </w:rPr>
              <w:t>32.0</w:t>
            </w:r>
          </w:p>
        </w:tc>
      </w:tr>
      <w:tr>
        <w:trPr>
          <w:trHeight w:val="310" w:hRule="atLeast"/>
        </w:trPr>
        <w:tc>
          <w:tcPr>
            <w:tcW w:w="741" w:type="dxa"/>
            <w:tcBorders>
              <w:right w:val="single" w:sz="4" w:space="0" w:color="000000"/>
            </w:tcBorders>
          </w:tcPr>
          <w:p>
            <w:pPr>
              <w:pStyle w:val="TableParagraph"/>
              <w:ind w:left="119"/>
              <w:rPr>
                <w:sz w:val="20"/>
              </w:rPr>
            </w:pPr>
            <w:r>
              <w:rPr>
                <w:spacing w:val="-10"/>
                <w:sz w:val="20"/>
              </w:rPr>
              <w:t>8</w:t>
            </w:r>
          </w:p>
        </w:tc>
        <w:tc>
          <w:tcPr>
            <w:tcW w:w="2798" w:type="dxa"/>
            <w:tcBorders>
              <w:left w:val="single" w:sz="4" w:space="0" w:color="000000"/>
              <w:right w:val="single" w:sz="4" w:space="0" w:color="000000"/>
            </w:tcBorders>
          </w:tcPr>
          <w:p>
            <w:pPr>
              <w:pStyle w:val="TableParagraph"/>
              <w:ind w:left="118"/>
              <w:rPr>
                <w:sz w:val="20"/>
              </w:rPr>
            </w:pPr>
            <w:r>
              <w:rPr>
                <w:spacing w:val="-2"/>
                <w:sz w:val="20"/>
              </w:rPr>
              <w:t>M5Rules</w:t>
            </w:r>
          </w:p>
        </w:tc>
        <w:tc>
          <w:tcPr>
            <w:tcW w:w="1991" w:type="dxa"/>
            <w:tcBorders>
              <w:left w:val="single" w:sz="4" w:space="0" w:color="000000"/>
              <w:right w:val="single" w:sz="4" w:space="0" w:color="000000"/>
            </w:tcBorders>
          </w:tcPr>
          <w:p>
            <w:pPr>
              <w:pStyle w:val="TableParagraph"/>
              <w:ind w:left="119"/>
              <w:rPr>
                <w:sz w:val="20"/>
              </w:rPr>
            </w:pPr>
            <w:r>
              <w:rPr>
                <w:spacing w:val="-2"/>
                <w:sz w:val="20"/>
              </w:rPr>
              <w:t>200.0</w:t>
            </w:r>
          </w:p>
        </w:tc>
        <w:tc>
          <w:tcPr>
            <w:tcW w:w="1686" w:type="dxa"/>
            <w:tcBorders>
              <w:left w:val="single" w:sz="4" w:space="0" w:color="000000"/>
              <w:right w:val="single" w:sz="4" w:space="0" w:color="000000"/>
            </w:tcBorders>
          </w:tcPr>
          <w:p>
            <w:pPr>
              <w:pStyle w:val="TableParagraph"/>
              <w:ind w:left="118"/>
              <w:rPr>
                <w:sz w:val="20"/>
              </w:rPr>
            </w:pPr>
            <w:r>
              <w:rPr>
                <w:spacing w:val="-2"/>
                <w:sz w:val="20"/>
              </w:rPr>
              <w:t>190.2</w:t>
            </w:r>
          </w:p>
        </w:tc>
        <w:tc>
          <w:tcPr>
            <w:tcW w:w="1288" w:type="dxa"/>
            <w:tcBorders>
              <w:left w:val="single" w:sz="4" w:space="0" w:color="000000"/>
            </w:tcBorders>
          </w:tcPr>
          <w:p>
            <w:pPr>
              <w:pStyle w:val="TableParagraph"/>
              <w:ind w:left="118"/>
              <w:rPr>
                <w:sz w:val="20"/>
              </w:rPr>
            </w:pPr>
            <w:r>
              <w:rPr>
                <w:spacing w:val="-4"/>
                <w:sz w:val="20"/>
              </w:rPr>
              <w:t>38.4</w:t>
            </w:r>
          </w:p>
        </w:tc>
      </w:tr>
      <w:tr>
        <w:trPr>
          <w:trHeight w:val="310" w:hRule="atLeast"/>
        </w:trPr>
        <w:tc>
          <w:tcPr>
            <w:tcW w:w="741" w:type="dxa"/>
            <w:tcBorders>
              <w:right w:val="single" w:sz="4" w:space="0" w:color="000000"/>
            </w:tcBorders>
          </w:tcPr>
          <w:p>
            <w:pPr>
              <w:pStyle w:val="TableParagraph"/>
              <w:ind w:left="119"/>
              <w:rPr>
                <w:sz w:val="20"/>
              </w:rPr>
            </w:pPr>
            <w:r>
              <w:rPr>
                <w:spacing w:val="-10"/>
                <w:sz w:val="20"/>
              </w:rPr>
              <w:t>9</w:t>
            </w:r>
          </w:p>
        </w:tc>
        <w:tc>
          <w:tcPr>
            <w:tcW w:w="2798" w:type="dxa"/>
            <w:tcBorders>
              <w:left w:val="single" w:sz="4" w:space="0" w:color="000000"/>
              <w:right w:val="single" w:sz="4" w:space="0" w:color="000000"/>
            </w:tcBorders>
          </w:tcPr>
          <w:p>
            <w:pPr>
              <w:pStyle w:val="TableParagraph"/>
              <w:ind w:left="118"/>
              <w:rPr>
                <w:sz w:val="20"/>
              </w:rPr>
            </w:pPr>
            <w:r>
              <w:rPr>
                <w:spacing w:val="-2"/>
                <w:sz w:val="20"/>
              </w:rPr>
              <w:t>CarenR_Dist_Lag</w:t>
            </w:r>
          </w:p>
        </w:tc>
        <w:tc>
          <w:tcPr>
            <w:tcW w:w="1991" w:type="dxa"/>
            <w:tcBorders>
              <w:left w:val="single" w:sz="4" w:space="0" w:color="000000"/>
              <w:right w:val="single" w:sz="4" w:space="0" w:color="000000"/>
            </w:tcBorders>
          </w:tcPr>
          <w:p>
            <w:pPr>
              <w:pStyle w:val="TableParagraph"/>
              <w:ind w:left="119"/>
              <w:rPr>
                <w:sz w:val="20"/>
              </w:rPr>
            </w:pPr>
            <w:r>
              <w:rPr>
                <w:spacing w:val="-2"/>
                <w:sz w:val="20"/>
              </w:rPr>
              <w:t>200.9</w:t>
            </w:r>
          </w:p>
        </w:tc>
        <w:tc>
          <w:tcPr>
            <w:tcW w:w="1686" w:type="dxa"/>
            <w:tcBorders>
              <w:left w:val="single" w:sz="4" w:space="0" w:color="000000"/>
              <w:right w:val="single" w:sz="4" w:space="0" w:color="000000"/>
            </w:tcBorders>
          </w:tcPr>
          <w:p>
            <w:pPr>
              <w:pStyle w:val="TableParagraph"/>
              <w:ind w:left="118"/>
              <w:rPr>
                <w:sz w:val="20"/>
              </w:rPr>
            </w:pPr>
            <w:r>
              <w:rPr>
                <w:spacing w:val="-2"/>
                <w:sz w:val="20"/>
              </w:rPr>
              <w:t>181.6</w:t>
            </w:r>
          </w:p>
        </w:tc>
        <w:tc>
          <w:tcPr>
            <w:tcW w:w="1288" w:type="dxa"/>
            <w:tcBorders>
              <w:left w:val="single" w:sz="4" w:space="0" w:color="000000"/>
            </w:tcBorders>
          </w:tcPr>
          <w:p>
            <w:pPr>
              <w:pStyle w:val="TableParagraph"/>
              <w:ind w:left="118"/>
              <w:rPr>
                <w:sz w:val="20"/>
              </w:rPr>
            </w:pPr>
            <w:r>
              <w:rPr>
                <w:spacing w:val="-4"/>
                <w:sz w:val="20"/>
              </w:rPr>
              <w:t>42.7</w:t>
            </w:r>
          </w:p>
        </w:tc>
      </w:tr>
      <w:tr>
        <w:trPr>
          <w:trHeight w:val="549" w:hRule="atLeast"/>
        </w:trPr>
        <w:tc>
          <w:tcPr>
            <w:tcW w:w="741" w:type="dxa"/>
            <w:tcBorders>
              <w:right w:val="single" w:sz="4" w:space="0" w:color="000000"/>
            </w:tcBorders>
          </w:tcPr>
          <w:p>
            <w:pPr>
              <w:pStyle w:val="TableParagraph"/>
              <w:ind w:left="119"/>
              <w:rPr>
                <w:sz w:val="20"/>
              </w:rPr>
            </w:pPr>
            <w:r>
              <w:rPr>
                <w:spacing w:val="-2"/>
                <w:sz w:val="20"/>
              </w:rPr>
              <w:t>10–</w:t>
            </w:r>
            <w:r>
              <w:rPr>
                <w:spacing w:val="-5"/>
                <w:sz w:val="20"/>
              </w:rPr>
              <w:t>12</w:t>
            </w:r>
          </w:p>
        </w:tc>
        <w:tc>
          <w:tcPr>
            <w:tcW w:w="2798" w:type="dxa"/>
            <w:tcBorders>
              <w:left w:val="single" w:sz="4" w:space="0" w:color="000000"/>
              <w:right w:val="single" w:sz="4" w:space="0" w:color="000000"/>
            </w:tcBorders>
          </w:tcPr>
          <w:p>
            <w:pPr>
              <w:pStyle w:val="TableParagraph"/>
              <w:tabs>
                <w:tab w:pos="1946" w:val="left" w:leader="none"/>
                <w:tab w:pos="2262" w:val="left" w:leader="none"/>
              </w:tabs>
              <w:spacing w:line="249" w:lineRule="auto"/>
              <w:ind w:left="112" w:right="106" w:firstLine="6"/>
              <w:rPr>
                <w:sz w:val="20"/>
              </w:rPr>
            </w:pPr>
            <w:r>
              <w:rPr>
                <w:spacing w:val="-2"/>
                <w:sz w:val="20"/>
              </w:rPr>
              <w:t>CarenR_Dist_Conf</w:t>
            </w:r>
            <w:r>
              <w:rPr>
                <w:sz w:val="20"/>
              </w:rPr>
              <w:tab/>
            </w:r>
            <w:r>
              <w:rPr>
                <w:spacing w:val="-10"/>
                <w:sz w:val="20"/>
              </w:rPr>
              <w:t>/</w:t>
            </w:r>
            <w:r>
              <w:rPr>
                <w:sz w:val="20"/>
              </w:rPr>
              <w:tab/>
            </w:r>
            <w:r>
              <w:rPr>
                <w:spacing w:val="-4"/>
                <w:sz w:val="20"/>
              </w:rPr>
              <w:t>Sup_ </w:t>
            </w:r>
            <w:r>
              <w:rPr>
                <w:sz w:val="20"/>
              </w:rPr>
              <w:t>Thresh / Thresh (tied)</w:t>
            </w:r>
          </w:p>
        </w:tc>
        <w:tc>
          <w:tcPr>
            <w:tcW w:w="1991" w:type="dxa"/>
            <w:tcBorders>
              <w:left w:val="single" w:sz="4" w:space="0" w:color="000000"/>
              <w:right w:val="single" w:sz="4" w:space="0" w:color="000000"/>
            </w:tcBorders>
          </w:tcPr>
          <w:p>
            <w:pPr>
              <w:pStyle w:val="TableParagraph"/>
              <w:ind w:left="119"/>
              <w:rPr>
                <w:sz w:val="20"/>
              </w:rPr>
            </w:pPr>
            <w:r>
              <w:rPr>
                <w:spacing w:val="-2"/>
                <w:sz w:val="20"/>
              </w:rPr>
              <w:t>203.1</w:t>
            </w:r>
          </w:p>
        </w:tc>
        <w:tc>
          <w:tcPr>
            <w:tcW w:w="1686" w:type="dxa"/>
            <w:tcBorders>
              <w:left w:val="single" w:sz="4" w:space="0" w:color="000000"/>
              <w:right w:val="single" w:sz="4" w:space="0" w:color="000000"/>
            </w:tcBorders>
          </w:tcPr>
          <w:p>
            <w:pPr>
              <w:pStyle w:val="TableParagraph"/>
              <w:ind w:left="118"/>
              <w:rPr>
                <w:sz w:val="20"/>
              </w:rPr>
            </w:pPr>
            <w:r>
              <w:rPr>
                <w:spacing w:val="-2"/>
                <w:sz w:val="20"/>
              </w:rPr>
              <w:t>193.9</w:t>
            </w:r>
          </w:p>
        </w:tc>
        <w:tc>
          <w:tcPr>
            <w:tcW w:w="1288" w:type="dxa"/>
            <w:tcBorders>
              <w:left w:val="single" w:sz="4" w:space="0" w:color="000000"/>
            </w:tcBorders>
          </w:tcPr>
          <w:p>
            <w:pPr>
              <w:pStyle w:val="TableParagraph"/>
              <w:ind w:left="118"/>
              <w:rPr>
                <w:sz w:val="20"/>
              </w:rPr>
            </w:pPr>
            <w:r>
              <w:rPr>
                <w:spacing w:val="-4"/>
                <w:sz w:val="20"/>
              </w:rPr>
              <w:t>38.7</w:t>
            </w:r>
          </w:p>
        </w:tc>
      </w:tr>
      <w:tr>
        <w:trPr>
          <w:trHeight w:val="310" w:hRule="atLeast"/>
        </w:trPr>
        <w:tc>
          <w:tcPr>
            <w:tcW w:w="741" w:type="dxa"/>
            <w:tcBorders>
              <w:right w:val="single" w:sz="4" w:space="0" w:color="000000"/>
            </w:tcBorders>
          </w:tcPr>
          <w:p>
            <w:pPr>
              <w:pStyle w:val="TableParagraph"/>
              <w:ind w:left="119"/>
              <w:rPr>
                <w:sz w:val="20"/>
              </w:rPr>
            </w:pPr>
            <w:r>
              <w:rPr>
                <w:spacing w:val="-5"/>
                <w:sz w:val="20"/>
              </w:rPr>
              <w:t>13</w:t>
            </w:r>
          </w:p>
        </w:tc>
        <w:tc>
          <w:tcPr>
            <w:tcW w:w="2798" w:type="dxa"/>
            <w:tcBorders>
              <w:left w:val="single" w:sz="4" w:space="0" w:color="000000"/>
              <w:right w:val="single" w:sz="4" w:space="0" w:color="000000"/>
            </w:tcBorders>
          </w:tcPr>
          <w:p>
            <w:pPr>
              <w:pStyle w:val="TableParagraph"/>
              <w:ind w:left="118"/>
              <w:rPr>
                <w:sz w:val="20"/>
              </w:rPr>
            </w:pPr>
            <w:r>
              <w:rPr>
                <w:spacing w:val="-2"/>
                <w:sz w:val="20"/>
              </w:rPr>
              <w:t>CarenR_Dist</w:t>
            </w:r>
          </w:p>
        </w:tc>
        <w:tc>
          <w:tcPr>
            <w:tcW w:w="1991" w:type="dxa"/>
            <w:tcBorders>
              <w:left w:val="single" w:sz="4" w:space="0" w:color="000000"/>
              <w:right w:val="single" w:sz="4" w:space="0" w:color="000000"/>
            </w:tcBorders>
          </w:tcPr>
          <w:p>
            <w:pPr>
              <w:pStyle w:val="TableParagraph"/>
              <w:ind w:left="119"/>
              <w:rPr>
                <w:sz w:val="20"/>
              </w:rPr>
            </w:pPr>
            <w:r>
              <w:rPr>
                <w:spacing w:val="-2"/>
                <w:sz w:val="20"/>
              </w:rPr>
              <w:t>215.3</w:t>
            </w:r>
          </w:p>
        </w:tc>
        <w:tc>
          <w:tcPr>
            <w:tcW w:w="1686" w:type="dxa"/>
            <w:tcBorders>
              <w:left w:val="single" w:sz="4" w:space="0" w:color="000000"/>
              <w:right w:val="single" w:sz="4" w:space="0" w:color="000000"/>
            </w:tcBorders>
          </w:tcPr>
          <w:p>
            <w:pPr>
              <w:pStyle w:val="TableParagraph"/>
              <w:ind w:left="118"/>
              <w:rPr>
                <w:sz w:val="20"/>
              </w:rPr>
            </w:pPr>
            <w:r>
              <w:rPr>
                <w:spacing w:val="-2"/>
                <w:sz w:val="20"/>
              </w:rPr>
              <w:t>204.3</w:t>
            </w:r>
          </w:p>
        </w:tc>
        <w:tc>
          <w:tcPr>
            <w:tcW w:w="1288" w:type="dxa"/>
            <w:tcBorders>
              <w:left w:val="single" w:sz="4" w:space="0" w:color="000000"/>
            </w:tcBorders>
          </w:tcPr>
          <w:p>
            <w:pPr>
              <w:pStyle w:val="TableParagraph"/>
              <w:ind w:left="118"/>
              <w:rPr>
                <w:sz w:val="20"/>
              </w:rPr>
            </w:pPr>
            <w:r>
              <w:rPr>
                <w:spacing w:val="-4"/>
                <w:sz w:val="20"/>
              </w:rPr>
              <w:t>39.1</w:t>
            </w:r>
          </w:p>
        </w:tc>
      </w:tr>
      <w:tr>
        <w:trPr>
          <w:trHeight w:val="310" w:hRule="atLeast"/>
        </w:trPr>
        <w:tc>
          <w:tcPr>
            <w:tcW w:w="741" w:type="dxa"/>
            <w:tcBorders>
              <w:right w:val="single" w:sz="4" w:space="0" w:color="000000"/>
            </w:tcBorders>
          </w:tcPr>
          <w:p>
            <w:pPr>
              <w:pStyle w:val="TableParagraph"/>
              <w:ind w:left="119"/>
              <w:rPr>
                <w:sz w:val="20"/>
              </w:rPr>
            </w:pPr>
            <w:r>
              <w:rPr>
                <w:spacing w:val="-5"/>
                <w:sz w:val="20"/>
              </w:rPr>
              <w:t>14</w:t>
            </w:r>
          </w:p>
        </w:tc>
        <w:tc>
          <w:tcPr>
            <w:tcW w:w="2798" w:type="dxa"/>
            <w:tcBorders>
              <w:left w:val="single" w:sz="4" w:space="0" w:color="000000"/>
              <w:right w:val="single" w:sz="4" w:space="0" w:color="000000"/>
            </w:tcBorders>
          </w:tcPr>
          <w:p>
            <w:pPr>
              <w:pStyle w:val="TableParagraph"/>
              <w:ind w:left="118"/>
              <w:rPr>
                <w:sz w:val="20"/>
              </w:rPr>
            </w:pPr>
            <w:r>
              <w:rPr>
                <w:spacing w:val="-2"/>
                <w:sz w:val="20"/>
              </w:rPr>
              <w:t>CarenR_Dist_Stack</w:t>
            </w:r>
          </w:p>
        </w:tc>
        <w:tc>
          <w:tcPr>
            <w:tcW w:w="1991" w:type="dxa"/>
            <w:tcBorders>
              <w:left w:val="single" w:sz="4" w:space="0" w:color="000000"/>
              <w:right w:val="single" w:sz="4" w:space="0" w:color="000000"/>
            </w:tcBorders>
          </w:tcPr>
          <w:p>
            <w:pPr>
              <w:pStyle w:val="TableParagraph"/>
              <w:ind w:left="119"/>
              <w:rPr>
                <w:sz w:val="20"/>
              </w:rPr>
            </w:pPr>
            <w:r>
              <w:rPr>
                <w:spacing w:val="-2"/>
                <w:sz w:val="20"/>
              </w:rPr>
              <w:t>229.0</w:t>
            </w:r>
          </w:p>
        </w:tc>
        <w:tc>
          <w:tcPr>
            <w:tcW w:w="1686" w:type="dxa"/>
            <w:tcBorders>
              <w:left w:val="single" w:sz="4" w:space="0" w:color="000000"/>
              <w:right w:val="single" w:sz="4" w:space="0" w:color="000000"/>
            </w:tcBorders>
          </w:tcPr>
          <w:p>
            <w:pPr>
              <w:pStyle w:val="TableParagraph"/>
              <w:ind w:left="118"/>
              <w:rPr>
                <w:sz w:val="20"/>
              </w:rPr>
            </w:pPr>
            <w:r>
              <w:rPr>
                <w:spacing w:val="-2"/>
                <w:sz w:val="20"/>
              </w:rPr>
              <w:t>217.8</w:t>
            </w:r>
          </w:p>
        </w:tc>
        <w:tc>
          <w:tcPr>
            <w:tcW w:w="1288" w:type="dxa"/>
            <w:tcBorders>
              <w:left w:val="single" w:sz="4" w:space="0" w:color="000000"/>
            </w:tcBorders>
          </w:tcPr>
          <w:p>
            <w:pPr>
              <w:pStyle w:val="TableParagraph"/>
              <w:ind w:left="118"/>
              <w:rPr>
                <w:sz w:val="20"/>
              </w:rPr>
            </w:pPr>
            <w:r>
              <w:rPr>
                <w:spacing w:val="-4"/>
                <w:sz w:val="20"/>
              </w:rPr>
              <w:t>32.2</w:t>
            </w:r>
          </w:p>
        </w:tc>
      </w:tr>
      <w:tr>
        <w:trPr>
          <w:trHeight w:val="310" w:hRule="atLeast"/>
        </w:trPr>
        <w:tc>
          <w:tcPr>
            <w:tcW w:w="741" w:type="dxa"/>
            <w:tcBorders>
              <w:right w:val="single" w:sz="4" w:space="0" w:color="000000"/>
            </w:tcBorders>
          </w:tcPr>
          <w:p>
            <w:pPr>
              <w:pStyle w:val="TableParagraph"/>
              <w:ind w:left="119"/>
              <w:rPr>
                <w:sz w:val="20"/>
              </w:rPr>
            </w:pPr>
            <w:r>
              <w:rPr>
                <w:spacing w:val="-5"/>
                <w:sz w:val="20"/>
              </w:rPr>
              <w:t>15</w:t>
            </w:r>
          </w:p>
        </w:tc>
        <w:tc>
          <w:tcPr>
            <w:tcW w:w="2798" w:type="dxa"/>
            <w:tcBorders>
              <w:left w:val="single" w:sz="4" w:space="0" w:color="000000"/>
              <w:right w:val="single" w:sz="4" w:space="0" w:color="000000"/>
            </w:tcBorders>
          </w:tcPr>
          <w:p>
            <w:pPr>
              <w:pStyle w:val="TableParagraph"/>
              <w:ind w:left="118"/>
              <w:rPr>
                <w:sz w:val="20"/>
              </w:rPr>
            </w:pPr>
            <w:r>
              <w:rPr>
                <w:spacing w:val="-2"/>
                <w:sz w:val="20"/>
              </w:rPr>
              <w:t>CarenR_Supervised</w:t>
            </w:r>
          </w:p>
        </w:tc>
        <w:tc>
          <w:tcPr>
            <w:tcW w:w="1991" w:type="dxa"/>
            <w:tcBorders>
              <w:left w:val="single" w:sz="4" w:space="0" w:color="000000"/>
              <w:right w:val="single" w:sz="4" w:space="0" w:color="000000"/>
            </w:tcBorders>
          </w:tcPr>
          <w:p>
            <w:pPr>
              <w:pStyle w:val="TableParagraph"/>
              <w:ind w:left="119"/>
              <w:rPr>
                <w:sz w:val="20"/>
              </w:rPr>
            </w:pPr>
            <w:r>
              <w:rPr>
                <w:spacing w:val="-2"/>
                <w:sz w:val="20"/>
              </w:rPr>
              <w:t>239.5</w:t>
            </w:r>
          </w:p>
        </w:tc>
        <w:tc>
          <w:tcPr>
            <w:tcW w:w="1686" w:type="dxa"/>
            <w:tcBorders>
              <w:left w:val="single" w:sz="4" w:space="0" w:color="000000"/>
              <w:right w:val="single" w:sz="4" w:space="0" w:color="000000"/>
            </w:tcBorders>
          </w:tcPr>
          <w:p>
            <w:pPr>
              <w:pStyle w:val="TableParagraph"/>
              <w:ind w:left="118"/>
              <w:rPr>
                <w:sz w:val="20"/>
              </w:rPr>
            </w:pPr>
            <w:r>
              <w:rPr>
                <w:spacing w:val="-2"/>
                <w:sz w:val="20"/>
              </w:rPr>
              <w:t>230.1</w:t>
            </w:r>
          </w:p>
        </w:tc>
        <w:tc>
          <w:tcPr>
            <w:tcW w:w="1288" w:type="dxa"/>
            <w:tcBorders>
              <w:left w:val="single" w:sz="4" w:space="0" w:color="000000"/>
            </w:tcBorders>
          </w:tcPr>
          <w:p>
            <w:pPr>
              <w:pStyle w:val="TableParagraph"/>
              <w:ind w:left="118"/>
              <w:rPr>
                <w:sz w:val="20"/>
              </w:rPr>
            </w:pPr>
            <w:r>
              <w:rPr>
                <w:spacing w:val="-4"/>
                <w:sz w:val="20"/>
              </w:rPr>
              <w:t>36.6</w:t>
            </w:r>
          </w:p>
        </w:tc>
      </w:tr>
      <w:tr>
        <w:trPr>
          <w:trHeight w:val="310" w:hRule="atLeast"/>
        </w:trPr>
        <w:tc>
          <w:tcPr>
            <w:tcW w:w="741" w:type="dxa"/>
            <w:tcBorders>
              <w:right w:val="single" w:sz="4" w:space="0" w:color="000000"/>
            </w:tcBorders>
          </w:tcPr>
          <w:p>
            <w:pPr>
              <w:pStyle w:val="TableParagraph"/>
              <w:ind w:left="119"/>
              <w:rPr>
                <w:sz w:val="20"/>
              </w:rPr>
            </w:pPr>
            <w:r>
              <w:rPr>
                <w:spacing w:val="-5"/>
                <w:sz w:val="20"/>
              </w:rPr>
              <w:t>16</w:t>
            </w:r>
          </w:p>
        </w:tc>
        <w:tc>
          <w:tcPr>
            <w:tcW w:w="2798" w:type="dxa"/>
            <w:tcBorders>
              <w:left w:val="single" w:sz="4" w:space="0" w:color="000000"/>
              <w:right w:val="single" w:sz="4" w:space="0" w:color="000000"/>
            </w:tcBorders>
          </w:tcPr>
          <w:p>
            <w:pPr>
              <w:pStyle w:val="TableParagraph"/>
              <w:ind w:left="118"/>
              <w:rPr>
                <w:sz w:val="20"/>
              </w:rPr>
            </w:pPr>
            <w:r>
              <w:rPr>
                <w:spacing w:val="-5"/>
                <w:sz w:val="20"/>
              </w:rPr>
              <w:t>DT</w:t>
            </w:r>
          </w:p>
        </w:tc>
        <w:tc>
          <w:tcPr>
            <w:tcW w:w="1991" w:type="dxa"/>
            <w:tcBorders>
              <w:left w:val="single" w:sz="4" w:space="0" w:color="000000"/>
              <w:right w:val="single" w:sz="4" w:space="0" w:color="000000"/>
            </w:tcBorders>
          </w:tcPr>
          <w:p>
            <w:pPr>
              <w:pStyle w:val="TableParagraph"/>
              <w:ind w:left="119"/>
              <w:rPr>
                <w:sz w:val="20"/>
              </w:rPr>
            </w:pPr>
            <w:r>
              <w:rPr>
                <w:spacing w:val="-2"/>
                <w:sz w:val="20"/>
              </w:rPr>
              <w:t>249.7</w:t>
            </w:r>
          </w:p>
        </w:tc>
        <w:tc>
          <w:tcPr>
            <w:tcW w:w="1686" w:type="dxa"/>
            <w:tcBorders>
              <w:left w:val="single" w:sz="4" w:space="0" w:color="000000"/>
              <w:right w:val="single" w:sz="4" w:space="0" w:color="000000"/>
            </w:tcBorders>
          </w:tcPr>
          <w:p>
            <w:pPr>
              <w:pStyle w:val="TableParagraph"/>
              <w:ind w:left="118"/>
              <w:rPr>
                <w:sz w:val="20"/>
              </w:rPr>
            </w:pPr>
            <w:r>
              <w:rPr>
                <w:spacing w:val="-2"/>
                <w:sz w:val="20"/>
              </w:rPr>
              <w:t>242.4</w:t>
            </w:r>
          </w:p>
        </w:tc>
        <w:tc>
          <w:tcPr>
            <w:tcW w:w="1288" w:type="dxa"/>
            <w:tcBorders>
              <w:left w:val="single" w:sz="4" w:space="0" w:color="000000"/>
            </w:tcBorders>
          </w:tcPr>
          <w:p>
            <w:pPr>
              <w:pStyle w:val="TableParagraph"/>
              <w:ind w:left="118"/>
              <w:rPr>
                <w:sz w:val="20"/>
              </w:rPr>
            </w:pPr>
            <w:r>
              <w:rPr>
                <w:spacing w:val="-4"/>
                <w:sz w:val="20"/>
              </w:rPr>
              <w:t>43.7</w:t>
            </w:r>
          </w:p>
        </w:tc>
      </w:tr>
      <w:tr>
        <w:trPr>
          <w:trHeight w:val="348" w:hRule="atLeast"/>
        </w:trPr>
        <w:tc>
          <w:tcPr>
            <w:tcW w:w="741" w:type="dxa"/>
            <w:tcBorders>
              <w:bottom w:val="single" w:sz="8" w:space="0" w:color="000000"/>
              <w:right w:val="single" w:sz="4" w:space="0" w:color="000000"/>
            </w:tcBorders>
          </w:tcPr>
          <w:p>
            <w:pPr>
              <w:pStyle w:val="TableParagraph"/>
              <w:ind w:left="119"/>
              <w:rPr>
                <w:sz w:val="20"/>
              </w:rPr>
            </w:pPr>
            <w:r>
              <w:rPr>
                <w:spacing w:val="-5"/>
                <w:sz w:val="20"/>
              </w:rPr>
              <w:t>17</w:t>
            </w:r>
          </w:p>
        </w:tc>
        <w:tc>
          <w:tcPr>
            <w:tcW w:w="2798" w:type="dxa"/>
            <w:tcBorders>
              <w:left w:val="single" w:sz="4" w:space="0" w:color="000000"/>
              <w:bottom w:val="single" w:sz="8" w:space="0" w:color="000000"/>
              <w:right w:val="single" w:sz="4" w:space="0" w:color="000000"/>
            </w:tcBorders>
          </w:tcPr>
          <w:p>
            <w:pPr>
              <w:pStyle w:val="TableParagraph"/>
              <w:ind w:left="118"/>
              <w:rPr>
                <w:sz w:val="20"/>
              </w:rPr>
            </w:pPr>
            <w:r>
              <w:rPr>
                <w:spacing w:val="-2"/>
                <w:sz w:val="20"/>
              </w:rPr>
              <w:t>Ripper</w:t>
            </w:r>
          </w:p>
        </w:tc>
        <w:tc>
          <w:tcPr>
            <w:tcW w:w="1991" w:type="dxa"/>
            <w:tcBorders>
              <w:left w:val="single" w:sz="4" w:space="0" w:color="000000"/>
              <w:bottom w:val="single" w:sz="8" w:space="0" w:color="000000"/>
              <w:right w:val="single" w:sz="4" w:space="0" w:color="000000"/>
            </w:tcBorders>
          </w:tcPr>
          <w:p>
            <w:pPr>
              <w:pStyle w:val="TableParagraph"/>
              <w:ind w:left="119"/>
              <w:rPr>
                <w:sz w:val="20"/>
              </w:rPr>
            </w:pPr>
            <w:r>
              <w:rPr>
                <w:spacing w:val="-2"/>
                <w:sz w:val="20"/>
              </w:rPr>
              <w:t>279.4</w:t>
            </w:r>
          </w:p>
        </w:tc>
        <w:tc>
          <w:tcPr>
            <w:tcW w:w="1686" w:type="dxa"/>
            <w:tcBorders>
              <w:left w:val="single" w:sz="4" w:space="0" w:color="000000"/>
              <w:bottom w:val="single" w:sz="8" w:space="0" w:color="000000"/>
              <w:right w:val="single" w:sz="4" w:space="0" w:color="000000"/>
            </w:tcBorders>
          </w:tcPr>
          <w:p>
            <w:pPr>
              <w:pStyle w:val="TableParagraph"/>
              <w:ind w:left="118"/>
              <w:rPr>
                <w:sz w:val="20"/>
              </w:rPr>
            </w:pPr>
            <w:r>
              <w:rPr>
                <w:spacing w:val="-2"/>
                <w:sz w:val="20"/>
              </w:rPr>
              <w:t>275.9</w:t>
            </w:r>
          </w:p>
        </w:tc>
        <w:tc>
          <w:tcPr>
            <w:tcW w:w="1288" w:type="dxa"/>
            <w:tcBorders>
              <w:left w:val="single" w:sz="4" w:space="0" w:color="000000"/>
              <w:bottom w:val="single" w:sz="8" w:space="0" w:color="000000"/>
            </w:tcBorders>
          </w:tcPr>
          <w:p>
            <w:pPr>
              <w:pStyle w:val="TableParagraph"/>
              <w:ind w:left="118"/>
              <w:rPr>
                <w:sz w:val="20"/>
              </w:rPr>
            </w:pPr>
            <w:r>
              <w:rPr>
                <w:spacing w:val="-4"/>
                <w:sz w:val="20"/>
              </w:rPr>
              <w:t>84.6</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spacing w:before="58"/>
        <w:rPr>
          <w:sz w:val="20"/>
        </w:rPr>
      </w:pPr>
      <w:r>
        <w:rPr>
          <w:sz w:val="20"/>
        </w:rPr>
        <w:drawing>
          <wp:anchor distT="0" distB="0" distL="0" distR="0" allowOverlap="1" layoutInCell="1" locked="0" behindDoc="1" simplePos="0" relativeHeight="487623168">
            <wp:simplePos x="0" y="0"/>
            <wp:positionH relativeFrom="page">
              <wp:posOffset>1155743</wp:posOffset>
            </wp:positionH>
            <wp:positionV relativeFrom="paragraph">
              <wp:posOffset>198555</wp:posOffset>
            </wp:positionV>
            <wp:extent cx="4620577" cy="2873692"/>
            <wp:effectExtent l="0" t="0" r="0" b="0"/>
            <wp:wrapTopAndBottom/>
            <wp:docPr id="191" name="Image 191"/>
            <wp:cNvGraphicFramePr>
              <a:graphicFrameLocks/>
            </wp:cNvGraphicFramePr>
            <a:graphic>
              <a:graphicData uri="http://schemas.openxmlformats.org/drawingml/2006/picture">
                <pic:pic>
                  <pic:nvPicPr>
                    <pic:cNvPr id="191" name="Image 191"/>
                    <pic:cNvPicPr/>
                  </pic:nvPicPr>
                  <pic:blipFill>
                    <a:blip r:embed="rId78" cstate="print"/>
                    <a:stretch>
                      <a:fillRect/>
                    </a:stretch>
                  </pic:blipFill>
                  <pic:spPr>
                    <a:xfrm>
                      <a:off x="0" y="0"/>
                      <a:ext cx="4620577" cy="2873692"/>
                    </a:xfrm>
                    <a:prstGeom prst="rect">
                      <a:avLst/>
                    </a:prstGeom>
                  </pic:spPr>
                </pic:pic>
              </a:graphicData>
            </a:graphic>
          </wp:anchor>
        </w:drawing>
      </w:r>
    </w:p>
    <w:p>
      <w:pPr>
        <w:pStyle w:val="BodyText"/>
        <w:spacing w:before="61"/>
        <w:rPr>
          <w:sz w:val="20"/>
        </w:rPr>
      </w:pPr>
    </w:p>
    <w:p>
      <w:pPr>
        <w:spacing w:before="0"/>
        <w:ind w:left="287" w:right="0" w:firstLine="0"/>
        <w:jc w:val="left"/>
        <w:rPr>
          <w:sz w:val="20"/>
        </w:rPr>
      </w:pPr>
      <w:bookmarkStart w:name="_bookmark101" w:id="177"/>
      <w:bookmarkEnd w:id="177"/>
      <w:r>
        <w:rPr/>
      </w:r>
      <w:r>
        <w:rPr>
          <w:b/>
          <w:sz w:val="20"/>
        </w:rPr>
        <w:t>Figure</w:t>
      </w:r>
      <w:r>
        <w:rPr>
          <w:b/>
          <w:spacing w:val="-7"/>
          <w:sz w:val="20"/>
        </w:rPr>
        <w:t> </w:t>
      </w:r>
      <w:r>
        <w:rPr>
          <w:b/>
          <w:sz w:val="20"/>
        </w:rPr>
        <w:t>5.1:</w:t>
      </w:r>
      <w:r>
        <w:rPr>
          <w:b/>
          <w:spacing w:val="3"/>
          <w:sz w:val="20"/>
        </w:rPr>
        <w:t> </w:t>
      </w:r>
      <w:r>
        <w:rPr>
          <w:sz w:val="20"/>
        </w:rPr>
        <w:t>Weighted</w:t>
      </w:r>
      <w:r>
        <w:rPr>
          <w:spacing w:val="-7"/>
          <w:sz w:val="20"/>
        </w:rPr>
        <w:t> </w:t>
      </w:r>
      <w:r>
        <w:rPr>
          <w:sz w:val="20"/>
        </w:rPr>
        <w:t>MAE</w:t>
      </w:r>
      <w:r>
        <w:rPr>
          <w:spacing w:val="-7"/>
          <w:sz w:val="20"/>
        </w:rPr>
        <w:t> </w:t>
      </w:r>
      <w:r>
        <w:rPr>
          <w:sz w:val="20"/>
        </w:rPr>
        <w:t>ranking</w:t>
      </w:r>
      <w:r>
        <w:rPr>
          <w:spacing w:val="-7"/>
          <w:sz w:val="20"/>
        </w:rPr>
        <w:t> </w:t>
      </w:r>
      <w:r>
        <w:rPr>
          <w:sz w:val="20"/>
        </w:rPr>
        <w:t>across</w:t>
      </w:r>
      <w:r>
        <w:rPr>
          <w:spacing w:val="-6"/>
          <w:sz w:val="20"/>
        </w:rPr>
        <w:t> </w:t>
      </w:r>
      <w:r>
        <w:rPr>
          <w:sz w:val="20"/>
        </w:rPr>
        <w:t>all</w:t>
      </w:r>
      <w:r>
        <w:rPr>
          <w:spacing w:val="-7"/>
          <w:sz w:val="20"/>
        </w:rPr>
        <w:t> </w:t>
      </w:r>
      <w:r>
        <w:rPr>
          <w:sz w:val="20"/>
        </w:rPr>
        <w:t>17</w:t>
      </w:r>
      <w:r>
        <w:rPr>
          <w:spacing w:val="-7"/>
          <w:sz w:val="20"/>
        </w:rPr>
        <w:t> </w:t>
      </w:r>
      <w:r>
        <w:rPr>
          <w:sz w:val="20"/>
        </w:rPr>
        <w:t>models</w:t>
      </w:r>
      <w:r>
        <w:rPr>
          <w:spacing w:val="-7"/>
          <w:sz w:val="20"/>
        </w:rPr>
        <w:t> </w:t>
      </w:r>
      <w:r>
        <w:rPr>
          <w:sz w:val="20"/>
        </w:rPr>
        <w:t>for</w:t>
      </w:r>
      <w:r>
        <w:rPr>
          <w:spacing w:val="-7"/>
          <w:sz w:val="20"/>
        </w:rPr>
        <w:t> </w:t>
      </w:r>
      <w:r>
        <w:rPr>
          <w:sz w:val="20"/>
        </w:rPr>
        <w:t>the</w:t>
      </w:r>
      <w:r>
        <w:rPr>
          <w:spacing w:val="-7"/>
          <w:sz w:val="20"/>
        </w:rPr>
        <w:t> </w:t>
      </w:r>
      <w:r>
        <w:rPr>
          <w:sz w:val="20"/>
        </w:rPr>
        <w:t>Douro</w:t>
      </w:r>
      <w:r>
        <w:rPr>
          <w:spacing w:val="-7"/>
          <w:sz w:val="20"/>
        </w:rPr>
        <w:t> </w:t>
      </w:r>
      <w:r>
        <w:rPr>
          <w:sz w:val="20"/>
        </w:rPr>
        <w:t>(RDD)</w:t>
      </w:r>
      <w:r>
        <w:rPr>
          <w:spacing w:val="-7"/>
          <w:sz w:val="20"/>
        </w:rPr>
        <w:t> </w:t>
      </w:r>
      <w:r>
        <w:rPr>
          <w:sz w:val="20"/>
        </w:rPr>
        <w:t>region.</w:t>
      </w:r>
      <w:r>
        <w:rPr>
          <w:spacing w:val="4"/>
          <w:sz w:val="20"/>
        </w:rPr>
        <w:t> </w:t>
      </w:r>
      <w:r>
        <w:rPr>
          <w:sz w:val="20"/>
        </w:rPr>
        <w:t>Lower</w:t>
      </w:r>
      <w:r>
        <w:rPr>
          <w:spacing w:val="-7"/>
          <w:sz w:val="20"/>
        </w:rPr>
        <w:t> </w:t>
      </w:r>
      <w:r>
        <w:rPr>
          <w:sz w:val="20"/>
        </w:rPr>
        <w:t>is</w:t>
      </w:r>
      <w:r>
        <w:rPr>
          <w:spacing w:val="-7"/>
          <w:sz w:val="20"/>
        </w:rPr>
        <w:t> </w:t>
      </w:r>
      <w:r>
        <w:rPr>
          <w:spacing w:val="-2"/>
          <w:sz w:val="20"/>
        </w:rPr>
        <w:t>better.</w:t>
      </w:r>
    </w:p>
    <w:p>
      <w:pPr>
        <w:spacing w:after="0"/>
        <w:jc w:val="left"/>
        <w:rPr>
          <w:sz w:val="20"/>
        </w:rPr>
        <w:sectPr>
          <w:headerReference w:type="even" r:id="rId77"/>
          <w:pgSz w:w="11910" w:h="16840"/>
          <w:pgMar w:header="1160" w:footer="0" w:top="1420" w:bottom="280" w:left="1275" w:right="425"/>
          <w:pgNumType w:start="54"/>
        </w:sectPr>
      </w:pPr>
    </w:p>
    <w:p>
      <w:pPr>
        <w:pStyle w:val="ListParagraph"/>
        <w:numPr>
          <w:ilvl w:val="1"/>
          <w:numId w:val="33"/>
        </w:numPr>
        <w:tabs>
          <w:tab w:pos="1030" w:val="left" w:leader="none"/>
          <w:tab w:pos="8994" w:val="left" w:leader="none"/>
        </w:tabs>
        <w:spacing w:line="240" w:lineRule="auto" w:before="74" w:after="0"/>
        <w:ind w:left="1030" w:right="0" w:hanging="327"/>
        <w:jc w:val="left"/>
        <w:rPr>
          <w:rFonts w:ascii="Cambria"/>
          <w:i/>
          <w:sz w:val="22"/>
        </w:rPr>
      </w:pPr>
      <w:r>
        <w:rPr>
          <w:rFonts w:ascii="Cambria"/>
          <w:i/>
          <w:spacing w:val="-2"/>
          <w:sz w:val="22"/>
        </w:rPr>
        <w:t>Era</w:t>
      </w:r>
      <w:r>
        <w:rPr>
          <w:rFonts w:ascii="Cambria"/>
          <w:i/>
          <w:spacing w:val="-8"/>
          <w:sz w:val="22"/>
        </w:rPr>
        <w:t> </w:t>
      </w:r>
      <w:r>
        <w:rPr>
          <w:rFonts w:ascii="Cambria"/>
          <w:i/>
          <w:spacing w:val="-2"/>
          <w:sz w:val="22"/>
        </w:rPr>
        <w:t>Composition</w:t>
      </w:r>
      <w:r>
        <w:rPr>
          <w:rFonts w:ascii="Cambria"/>
          <w:i/>
          <w:spacing w:val="-7"/>
          <w:sz w:val="22"/>
        </w:rPr>
        <w:t> </w:t>
      </w:r>
      <w:r>
        <w:rPr>
          <w:rFonts w:ascii="Cambria"/>
          <w:i/>
          <w:spacing w:val="-2"/>
          <w:sz w:val="22"/>
        </w:rPr>
        <w:t>and</w:t>
      </w:r>
      <w:r>
        <w:rPr>
          <w:rFonts w:ascii="Cambria"/>
          <w:i/>
          <w:spacing w:val="-8"/>
          <w:sz w:val="22"/>
        </w:rPr>
        <w:t> </w:t>
      </w:r>
      <w:r>
        <w:rPr>
          <w:rFonts w:ascii="Cambria"/>
          <w:i/>
          <w:spacing w:val="-2"/>
          <w:sz w:val="22"/>
        </w:rPr>
        <w:t>Per-Scenario</w:t>
      </w:r>
      <w:r>
        <w:rPr>
          <w:rFonts w:ascii="Cambria"/>
          <w:i/>
          <w:spacing w:val="-7"/>
          <w:sz w:val="22"/>
        </w:rPr>
        <w:t> </w:t>
      </w:r>
      <w:r>
        <w:rPr>
          <w:rFonts w:ascii="Cambria"/>
          <w:i/>
          <w:spacing w:val="-2"/>
          <w:sz w:val="22"/>
        </w:rPr>
        <w:t>Analysis</w:t>
      </w:r>
      <w:r>
        <w:rPr>
          <w:rFonts w:ascii="Cambria"/>
          <w:i/>
          <w:spacing w:val="-8"/>
          <w:sz w:val="22"/>
        </w:rPr>
        <w:t> </w:t>
      </w:r>
      <w:r>
        <w:rPr>
          <w:rFonts w:ascii="Cambria"/>
          <w:i/>
          <w:spacing w:val="-2"/>
          <w:sz w:val="22"/>
        </w:rPr>
        <w:t>(RDD)</w:t>
      </w:r>
      <w:r>
        <w:rPr>
          <w:sz w:val="22"/>
        </w:rPr>
        <w:tab/>
      </w:r>
      <w:r>
        <w:rPr>
          <w:spacing w:val="-5"/>
          <w:sz w:val="22"/>
        </w:rPr>
        <w:t>55</w:t>
      </w:r>
    </w:p>
    <w:p>
      <w:pPr>
        <w:pStyle w:val="BodyText"/>
      </w:pPr>
    </w:p>
    <w:p>
      <w:pPr>
        <w:pStyle w:val="BodyText"/>
        <w:spacing w:before="38"/>
      </w:pPr>
    </w:p>
    <w:p>
      <w:pPr>
        <w:pStyle w:val="BodyText"/>
        <w:spacing w:line="312" w:lineRule="auto" w:before="1"/>
        <w:ind w:left="709" w:right="990"/>
        <w:jc w:val="both"/>
      </w:pPr>
      <w:r>
        <w:rPr/>
        <w:t>the</w:t>
      </w:r>
      <w:r>
        <w:rPr>
          <w:spacing w:val="-14"/>
        </w:rPr>
        <w:t> </w:t>
      </w:r>
      <w:r>
        <w:rPr/>
        <w:t>best</w:t>
      </w:r>
      <w:r>
        <w:rPr>
          <w:spacing w:val="-14"/>
        </w:rPr>
        <w:t> </w:t>
      </w:r>
      <w:r>
        <w:rPr/>
        <w:t>RDD</w:t>
      </w:r>
      <w:r>
        <w:rPr>
          <w:spacing w:val="-14"/>
        </w:rPr>
        <w:t> </w:t>
      </w:r>
      <w:r>
        <w:rPr/>
        <w:t>model,</w:t>
      </w:r>
      <w:r>
        <w:rPr>
          <w:spacing w:val="-13"/>
        </w:rPr>
        <w:t> </w:t>
      </w:r>
      <w:r>
        <w:rPr/>
        <w:t>drops</w:t>
      </w:r>
      <w:r>
        <w:rPr>
          <w:spacing w:val="-14"/>
        </w:rPr>
        <w:t> </w:t>
      </w:r>
      <w:r>
        <w:rPr/>
        <w:t>from</w:t>
      </w:r>
      <w:r>
        <w:rPr>
          <w:spacing w:val="-14"/>
        </w:rPr>
        <w:t> </w:t>
      </w:r>
      <w:r>
        <w:rPr/>
        <w:t>rank</w:t>
      </w:r>
      <w:r>
        <w:rPr>
          <w:spacing w:val="-14"/>
        </w:rPr>
        <w:t> </w:t>
      </w:r>
      <w:r>
        <w:rPr/>
        <w:t>2</w:t>
      </w:r>
      <w:r>
        <w:rPr>
          <w:spacing w:val="-13"/>
        </w:rPr>
        <w:t> </w:t>
      </w:r>
      <w:r>
        <w:rPr/>
        <w:t>in</w:t>
      </w:r>
      <w:r>
        <w:rPr>
          <w:spacing w:val="-14"/>
        </w:rPr>
        <w:t> </w:t>
      </w:r>
      <w:r>
        <w:rPr/>
        <w:t>RDD</w:t>
      </w:r>
      <w:r>
        <w:rPr>
          <w:spacing w:val="-14"/>
        </w:rPr>
        <w:t> </w:t>
      </w:r>
      <w:r>
        <w:rPr/>
        <w:t>to</w:t>
      </w:r>
      <w:r>
        <w:rPr>
          <w:spacing w:val="-14"/>
        </w:rPr>
        <w:t> </w:t>
      </w:r>
      <w:r>
        <w:rPr/>
        <w:t>rank</w:t>
      </w:r>
      <w:r>
        <w:rPr>
          <w:spacing w:val="-13"/>
        </w:rPr>
        <w:t> </w:t>
      </w:r>
      <w:r>
        <w:rPr/>
        <w:t>12</w:t>
      </w:r>
      <w:r>
        <w:rPr>
          <w:spacing w:val="-14"/>
        </w:rPr>
        <w:t> </w:t>
      </w:r>
      <w:r>
        <w:rPr/>
        <w:t>in</w:t>
      </w:r>
      <w:r>
        <w:rPr>
          <w:spacing w:val="-14"/>
        </w:rPr>
        <w:t> </w:t>
      </w:r>
      <w:r>
        <w:rPr/>
        <w:t>RVV</w:t>
      </w:r>
      <w:r>
        <w:rPr>
          <w:spacing w:val="-14"/>
        </w:rPr>
        <w:t> </w:t>
      </w:r>
      <w:r>
        <w:rPr/>
        <w:t>(226</w:t>
      </w:r>
      <w:r>
        <w:rPr>
          <w:spacing w:val="-13"/>
        </w:rPr>
        <w:t> </w:t>
      </w:r>
      <w:r>
        <w:rPr/>
        <w:t>mhl),</w:t>
      </w:r>
      <w:r>
        <w:rPr>
          <w:spacing w:val="-14"/>
        </w:rPr>
        <w:t> </w:t>
      </w:r>
      <w:r>
        <w:rPr/>
        <w:t>a</w:t>
      </w:r>
      <w:r>
        <w:rPr>
          <w:spacing w:val="-14"/>
        </w:rPr>
        <w:t> </w:t>
      </w:r>
      <w:r>
        <w:rPr/>
        <w:t>rank</w:t>
      </w:r>
      <w:r>
        <w:rPr>
          <w:spacing w:val="-14"/>
        </w:rPr>
        <w:t> </w:t>
      </w:r>
      <w:r>
        <w:rPr/>
        <w:t>reversal</w:t>
      </w:r>
      <w:r>
        <w:rPr>
          <w:spacing w:val="-13"/>
        </w:rPr>
        <w:t> </w:t>
      </w:r>
      <w:r>
        <w:rPr/>
        <w:t>of</w:t>
      </w:r>
      <w:r>
        <w:rPr>
          <w:spacing w:val="-14"/>
        </w:rPr>
        <w:t> </w:t>
      </w:r>
      <w:r>
        <w:rPr/>
        <w:t>10 positions. RIPPER reaches 508 mhl and Decision Tree 479 mhl.</w:t>
      </w:r>
    </w:p>
    <w:p>
      <w:pPr>
        <w:spacing w:before="151"/>
        <w:ind w:left="2157" w:right="0" w:firstLine="0"/>
        <w:jc w:val="left"/>
        <w:rPr>
          <w:sz w:val="20"/>
        </w:rPr>
      </w:pPr>
      <w:bookmarkStart w:name="_bookmark102" w:id="178"/>
      <w:bookmarkEnd w:id="178"/>
      <w:r>
        <w:rPr/>
      </w:r>
      <w:r>
        <w:rPr>
          <w:b/>
          <w:sz w:val="20"/>
        </w:rPr>
        <w:t>Table</w:t>
      </w:r>
      <w:r>
        <w:rPr>
          <w:b/>
          <w:spacing w:val="-11"/>
          <w:sz w:val="20"/>
        </w:rPr>
        <w:t> </w:t>
      </w:r>
      <w:r>
        <w:rPr>
          <w:b/>
          <w:sz w:val="20"/>
        </w:rPr>
        <w:t>5.2: </w:t>
      </w:r>
      <w:r>
        <w:rPr>
          <w:sz w:val="20"/>
        </w:rPr>
        <w:t>RVV</w:t>
      </w:r>
      <w:r>
        <w:rPr>
          <w:spacing w:val="-11"/>
          <w:sz w:val="20"/>
        </w:rPr>
        <w:t> </w:t>
      </w:r>
      <w:r>
        <w:rPr>
          <w:sz w:val="20"/>
        </w:rPr>
        <w:t>walk-forward</w:t>
      </w:r>
      <w:r>
        <w:rPr>
          <w:spacing w:val="-10"/>
          <w:sz w:val="20"/>
        </w:rPr>
        <w:t> </w:t>
      </w:r>
      <w:r>
        <w:rPr>
          <w:sz w:val="20"/>
        </w:rPr>
        <w:t>results</w:t>
      </w:r>
      <w:r>
        <w:rPr>
          <w:spacing w:val="-10"/>
          <w:sz w:val="20"/>
        </w:rPr>
        <w:t> </w:t>
      </w:r>
      <w:r>
        <w:rPr>
          <w:sz w:val="20"/>
        </w:rPr>
        <w:t>sorted</w:t>
      </w:r>
      <w:r>
        <w:rPr>
          <w:spacing w:val="-11"/>
          <w:sz w:val="20"/>
        </w:rPr>
        <w:t> </w:t>
      </w:r>
      <w:r>
        <w:rPr>
          <w:sz w:val="20"/>
        </w:rPr>
        <w:t>by</w:t>
      </w:r>
      <w:r>
        <w:rPr>
          <w:spacing w:val="-10"/>
          <w:sz w:val="20"/>
        </w:rPr>
        <w:t> </w:t>
      </w:r>
      <w:r>
        <w:rPr>
          <w:sz w:val="20"/>
        </w:rPr>
        <w:t>weighted</w:t>
      </w:r>
      <w:r>
        <w:rPr>
          <w:spacing w:val="-10"/>
          <w:sz w:val="20"/>
        </w:rPr>
        <w:t> </w:t>
      </w:r>
      <w:r>
        <w:rPr>
          <w:sz w:val="20"/>
        </w:rPr>
        <w:t>MAE</w:t>
      </w:r>
      <w:r>
        <w:rPr>
          <w:spacing w:val="-11"/>
          <w:sz w:val="20"/>
        </w:rPr>
        <w:t> </w:t>
      </w:r>
      <w:r>
        <w:rPr>
          <w:spacing w:val="-2"/>
          <w:sz w:val="20"/>
        </w:rPr>
        <w:t>(mhl).</w:t>
      </w:r>
    </w:p>
    <w:p>
      <w:pPr>
        <w:pStyle w:val="BodyText"/>
        <w:spacing w:before="6"/>
        <w:rPr>
          <w:sz w:val="18"/>
        </w:rPr>
      </w:pPr>
      <w:r>
        <w:rPr>
          <w:sz w:val="18"/>
        </w:rPr>
        <mc:AlternateContent>
          <mc:Choice Requires="wps">
            <w:drawing>
              <wp:anchor distT="0" distB="0" distL="0" distR="0" allowOverlap="1" layoutInCell="1" locked="0" behindDoc="1" simplePos="0" relativeHeight="487623680">
                <wp:simplePos x="0" y="0"/>
                <wp:positionH relativeFrom="page">
                  <wp:posOffset>1260005</wp:posOffset>
                </wp:positionH>
                <wp:positionV relativeFrom="paragraph">
                  <wp:posOffset>150494</wp:posOffset>
                </wp:positionV>
                <wp:extent cx="5400040" cy="1270"/>
                <wp:effectExtent l="0" t="0" r="0" b="0"/>
                <wp:wrapTopAndBottom/>
                <wp:docPr id="192" name="Graphic 192"/>
                <wp:cNvGraphicFramePr>
                  <a:graphicFrameLocks/>
                </wp:cNvGraphicFramePr>
                <a:graphic>
                  <a:graphicData uri="http://schemas.microsoft.com/office/word/2010/wordprocessingShape">
                    <wps:wsp>
                      <wps:cNvPr id="192" name="Graphic 192"/>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1.849922pt;width:425.2pt;height:.1pt;mso-position-horizontal-relative:page;mso-position-vertical-relative:paragraph;z-index:-15692800;mso-wrap-distance-left:0;mso-wrap-distance-right:0" id="docshape163" coordorigin="1984,237" coordsize="8504,0" path="m1984,237l10488,237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7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4"/>
        <w:gridCol w:w="2799"/>
        <w:gridCol w:w="1992"/>
        <w:gridCol w:w="1344"/>
        <w:gridCol w:w="1709"/>
      </w:tblGrid>
      <w:tr>
        <w:trPr>
          <w:trHeight w:val="346" w:hRule="atLeast"/>
        </w:trPr>
        <w:tc>
          <w:tcPr>
            <w:tcW w:w="664" w:type="dxa"/>
            <w:tcBorders>
              <w:top w:val="nil"/>
              <w:left w:val="nil"/>
              <w:right w:val="single" w:sz="4" w:space="0" w:color="000000"/>
            </w:tcBorders>
          </w:tcPr>
          <w:p>
            <w:pPr>
              <w:pStyle w:val="TableParagraph"/>
              <w:spacing w:before="31"/>
              <w:ind w:left="119"/>
              <w:rPr>
                <w:sz w:val="20"/>
              </w:rPr>
            </w:pPr>
            <w:r>
              <w:rPr>
                <w:spacing w:val="-4"/>
                <w:sz w:val="20"/>
              </w:rPr>
              <w:t>Rank</w:t>
            </w:r>
          </w:p>
        </w:tc>
        <w:tc>
          <w:tcPr>
            <w:tcW w:w="2799" w:type="dxa"/>
            <w:tcBorders>
              <w:top w:val="nil"/>
              <w:left w:val="single" w:sz="4" w:space="0" w:color="000000"/>
              <w:right w:val="single" w:sz="4" w:space="0" w:color="000000"/>
            </w:tcBorders>
          </w:tcPr>
          <w:p>
            <w:pPr>
              <w:pStyle w:val="TableParagraph"/>
              <w:spacing w:before="31"/>
              <w:ind w:left="118"/>
              <w:rPr>
                <w:sz w:val="20"/>
              </w:rPr>
            </w:pPr>
            <w:r>
              <w:rPr>
                <w:spacing w:val="-2"/>
                <w:sz w:val="20"/>
              </w:rPr>
              <w:t>Model</w:t>
            </w:r>
          </w:p>
        </w:tc>
        <w:tc>
          <w:tcPr>
            <w:tcW w:w="1992" w:type="dxa"/>
            <w:tcBorders>
              <w:top w:val="nil"/>
              <w:left w:val="single" w:sz="4" w:space="0" w:color="000000"/>
              <w:right w:val="single" w:sz="4" w:space="0" w:color="000000"/>
            </w:tcBorders>
          </w:tcPr>
          <w:p>
            <w:pPr>
              <w:pStyle w:val="TableParagraph"/>
              <w:spacing w:before="31"/>
              <w:ind w:left="117"/>
              <w:rPr>
                <w:sz w:val="20"/>
              </w:rPr>
            </w:pPr>
            <w:r>
              <w:rPr>
                <w:spacing w:val="-2"/>
                <w:sz w:val="20"/>
              </w:rPr>
              <w:t>Weighted</w:t>
            </w:r>
            <w:r>
              <w:rPr>
                <w:spacing w:val="-5"/>
                <w:sz w:val="20"/>
              </w:rPr>
              <w:t> </w:t>
            </w:r>
            <w:r>
              <w:rPr>
                <w:spacing w:val="-2"/>
                <w:sz w:val="20"/>
              </w:rPr>
              <w:t>MAE</w:t>
            </w:r>
            <w:r>
              <w:rPr>
                <w:spacing w:val="-4"/>
                <w:sz w:val="20"/>
              </w:rPr>
              <w:t> </w:t>
            </w:r>
            <w:r>
              <w:rPr>
                <w:spacing w:val="-2"/>
                <w:sz w:val="20"/>
              </w:rPr>
              <w:t>(mhl)</w:t>
            </w:r>
          </w:p>
        </w:tc>
        <w:tc>
          <w:tcPr>
            <w:tcW w:w="1344" w:type="dxa"/>
            <w:tcBorders>
              <w:top w:val="nil"/>
              <w:left w:val="single" w:sz="4" w:space="0" w:color="000000"/>
              <w:right w:val="single" w:sz="4" w:space="0" w:color="000000"/>
            </w:tcBorders>
          </w:tcPr>
          <w:p>
            <w:pPr>
              <w:pStyle w:val="TableParagraph"/>
              <w:spacing w:before="31"/>
              <w:ind w:left="116"/>
              <w:rPr>
                <w:sz w:val="20"/>
              </w:rPr>
            </w:pPr>
            <w:r>
              <w:rPr>
                <w:sz w:val="20"/>
              </w:rPr>
              <w:t>Rank</w:t>
            </w:r>
            <w:r>
              <w:rPr>
                <w:spacing w:val="-4"/>
                <w:sz w:val="20"/>
              </w:rPr>
              <w:t> </w:t>
            </w:r>
            <w:r>
              <w:rPr>
                <w:sz w:val="20"/>
              </w:rPr>
              <w:t>in</w:t>
            </w:r>
            <w:r>
              <w:rPr>
                <w:spacing w:val="-4"/>
                <w:sz w:val="20"/>
              </w:rPr>
              <w:t> </w:t>
            </w:r>
            <w:r>
              <w:rPr>
                <w:spacing w:val="-5"/>
                <w:sz w:val="20"/>
              </w:rPr>
              <w:t>RDD</w:t>
            </w:r>
          </w:p>
        </w:tc>
        <w:tc>
          <w:tcPr>
            <w:tcW w:w="1709" w:type="dxa"/>
            <w:tcBorders>
              <w:top w:val="nil"/>
              <w:left w:val="single" w:sz="4" w:space="0" w:color="000000"/>
              <w:right w:val="nil"/>
            </w:tcBorders>
          </w:tcPr>
          <w:p>
            <w:pPr>
              <w:pStyle w:val="TableParagraph"/>
              <w:spacing w:before="31"/>
              <w:ind w:left="115"/>
              <w:rPr>
                <w:sz w:val="20"/>
              </w:rPr>
            </w:pPr>
            <w:r>
              <w:rPr>
                <w:spacing w:val="-4"/>
                <w:sz w:val="20"/>
              </w:rPr>
              <w:t>Rank</w:t>
            </w:r>
            <w:r>
              <w:rPr>
                <w:spacing w:val="-5"/>
                <w:sz w:val="20"/>
              </w:rPr>
              <w:t> </w:t>
            </w:r>
            <w:r>
              <w:rPr>
                <w:spacing w:val="-4"/>
                <w:sz w:val="20"/>
              </w:rPr>
              <w:t>shift</w:t>
            </w:r>
            <w:r>
              <w:rPr>
                <w:spacing w:val="-6"/>
                <w:sz w:val="20"/>
              </w:rPr>
              <w:t> </w:t>
            </w:r>
            <w:r>
              <w:rPr>
                <w:spacing w:val="-4"/>
                <w:sz w:val="20"/>
              </w:rPr>
              <w:t>vs</w:t>
            </w:r>
            <w:r>
              <w:rPr>
                <w:spacing w:val="-5"/>
                <w:sz w:val="20"/>
              </w:rPr>
              <w:t> RDD</w:t>
            </w:r>
          </w:p>
        </w:tc>
      </w:tr>
    </w:tbl>
    <w:p>
      <w:pPr>
        <w:pStyle w:val="BodyText"/>
        <w:spacing w:before="10"/>
        <w:rPr>
          <w:sz w:val="4"/>
        </w:rPr>
      </w:pPr>
    </w:p>
    <w:tbl>
      <w:tblPr>
        <w:tblW w:w="0" w:type="auto"/>
        <w:jc w:val="left"/>
        <w:tblInd w:w="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4"/>
        <w:gridCol w:w="2799"/>
        <w:gridCol w:w="1992"/>
        <w:gridCol w:w="1344"/>
        <w:gridCol w:w="1709"/>
      </w:tblGrid>
      <w:tr>
        <w:trPr>
          <w:trHeight w:val="308" w:hRule="atLeast"/>
        </w:trPr>
        <w:tc>
          <w:tcPr>
            <w:tcW w:w="664" w:type="dxa"/>
            <w:tcBorders>
              <w:right w:val="single" w:sz="4" w:space="0" w:color="000000"/>
            </w:tcBorders>
          </w:tcPr>
          <w:p>
            <w:pPr>
              <w:pStyle w:val="TableParagraph"/>
              <w:spacing w:before="31"/>
              <w:ind w:left="119"/>
              <w:rPr>
                <w:sz w:val="20"/>
              </w:rPr>
            </w:pPr>
            <w:r>
              <w:rPr>
                <w:spacing w:val="-10"/>
                <w:sz w:val="20"/>
              </w:rPr>
              <w:t>1</w:t>
            </w:r>
          </w:p>
        </w:tc>
        <w:tc>
          <w:tcPr>
            <w:tcW w:w="2799" w:type="dxa"/>
            <w:tcBorders>
              <w:left w:val="single" w:sz="4" w:space="0" w:color="000000"/>
              <w:right w:val="single" w:sz="4" w:space="0" w:color="000000"/>
            </w:tcBorders>
          </w:tcPr>
          <w:p>
            <w:pPr>
              <w:pStyle w:val="TableParagraph"/>
              <w:spacing w:before="31"/>
              <w:ind w:left="118"/>
              <w:rPr>
                <w:sz w:val="20"/>
              </w:rPr>
            </w:pPr>
            <w:r>
              <w:rPr>
                <w:spacing w:val="-2"/>
                <w:sz w:val="20"/>
              </w:rPr>
              <w:t>Naive_Median</w:t>
            </w:r>
          </w:p>
        </w:tc>
        <w:tc>
          <w:tcPr>
            <w:tcW w:w="1992" w:type="dxa"/>
            <w:tcBorders>
              <w:left w:val="single" w:sz="4" w:space="0" w:color="000000"/>
              <w:right w:val="single" w:sz="4" w:space="0" w:color="000000"/>
            </w:tcBorders>
          </w:tcPr>
          <w:p>
            <w:pPr>
              <w:pStyle w:val="TableParagraph"/>
              <w:spacing w:before="31"/>
              <w:ind w:left="117"/>
              <w:rPr>
                <w:sz w:val="20"/>
              </w:rPr>
            </w:pPr>
            <w:r>
              <w:rPr>
                <w:spacing w:val="-2"/>
                <w:sz w:val="20"/>
              </w:rPr>
              <w:t>140.4</w:t>
            </w:r>
          </w:p>
        </w:tc>
        <w:tc>
          <w:tcPr>
            <w:tcW w:w="1344" w:type="dxa"/>
            <w:tcBorders>
              <w:left w:val="single" w:sz="4" w:space="0" w:color="000000"/>
              <w:right w:val="single" w:sz="4" w:space="0" w:color="000000"/>
            </w:tcBorders>
          </w:tcPr>
          <w:p>
            <w:pPr>
              <w:pStyle w:val="TableParagraph"/>
              <w:spacing w:before="31"/>
              <w:ind w:left="116"/>
              <w:rPr>
                <w:sz w:val="20"/>
              </w:rPr>
            </w:pPr>
            <w:r>
              <w:rPr>
                <w:spacing w:val="-10"/>
                <w:sz w:val="20"/>
              </w:rPr>
              <w:t>1</w:t>
            </w:r>
          </w:p>
        </w:tc>
        <w:tc>
          <w:tcPr>
            <w:tcW w:w="1709" w:type="dxa"/>
            <w:tcBorders>
              <w:left w:val="single" w:sz="4" w:space="0" w:color="000000"/>
            </w:tcBorders>
          </w:tcPr>
          <w:p>
            <w:pPr>
              <w:pStyle w:val="TableParagraph"/>
              <w:spacing w:before="31"/>
              <w:ind w:left="115"/>
              <w:rPr>
                <w:sz w:val="20"/>
              </w:rPr>
            </w:pPr>
            <w:r>
              <w:rPr>
                <w:spacing w:val="-10"/>
                <w:sz w:val="20"/>
              </w:rPr>
              <w:t>0</w:t>
            </w:r>
          </w:p>
        </w:tc>
      </w:tr>
      <w:tr>
        <w:trPr>
          <w:trHeight w:val="310" w:hRule="atLeast"/>
        </w:trPr>
        <w:tc>
          <w:tcPr>
            <w:tcW w:w="664" w:type="dxa"/>
            <w:tcBorders>
              <w:right w:val="single" w:sz="4" w:space="0" w:color="000000"/>
            </w:tcBorders>
          </w:tcPr>
          <w:p>
            <w:pPr>
              <w:pStyle w:val="TableParagraph"/>
              <w:ind w:left="119"/>
              <w:rPr>
                <w:sz w:val="20"/>
              </w:rPr>
            </w:pPr>
            <w:r>
              <w:rPr>
                <w:spacing w:val="-10"/>
                <w:sz w:val="20"/>
              </w:rPr>
              <w:t>2</w:t>
            </w:r>
          </w:p>
        </w:tc>
        <w:tc>
          <w:tcPr>
            <w:tcW w:w="2799" w:type="dxa"/>
            <w:tcBorders>
              <w:left w:val="single" w:sz="4" w:space="0" w:color="000000"/>
              <w:right w:val="single" w:sz="4" w:space="0" w:color="000000"/>
            </w:tcBorders>
          </w:tcPr>
          <w:p>
            <w:pPr>
              <w:pStyle w:val="TableParagraph"/>
              <w:ind w:left="118"/>
              <w:rPr>
                <w:sz w:val="20"/>
              </w:rPr>
            </w:pPr>
            <w:r>
              <w:rPr>
                <w:spacing w:val="-2"/>
                <w:sz w:val="20"/>
              </w:rPr>
              <w:t>Naive</w:t>
            </w:r>
          </w:p>
        </w:tc>
        <w:tc>
          <w:tcPr>
            <w:tcW w:w="1992" w:type="dxa"/>
            <w:tcBorders>
              <w:left w:val="single" w:sz="4" w:space="0" w:color="000000"/>
              <w:right w:val="single" w:sz="4" w:space="0" w:color="000000"/>
            </w:tcBorders>
          </w:tcPr>
          <w:p>
            <w:pPr>
              <w:pStyle w:val="TableParagraph"/>
              <w:ind w:left="117"/>
              <w:rPr>
                <w:sz w:val="20"/>
              </w:rPr>
            </w:pPr>
            <w:r>
              <w:rPr>
                <w:spacing w:val="-2"/>
                <w:sz w:val="20"/>
              </w:rPr>
              <w:t>143.8</w:t>
            </w:r>
          </w:p>
        </w:tc>
        <w:tc>
          <w:tcPr>
            <w:tcW w:w="1344" w:type="dxa"/>
            <w:tcBorders>
              <w:left w:val="single" w:sz="4" w:space="0" w:color="000000"/>
              <w:right w:val="single" w:sz="4" w:space="0" w:color="000000"/>
            </w:tcBorders>
          </w:tcPr>
          <w:p>
            <w:pPr>
              <w:pStyle w:val="TableParagraph"/>
              <w:ind w:left="116"/>
              <w:rPr>
                <w:sz w:val="20"/>
              </w:rPr>
            </w:pPr>
            <w:r>
              <w:rPr>
                <w:spacing w:val="-10"/>
                <w:sz w:val="20"/>
              </w:rPr>
              <w:t>7</w:t>
            </w:r>
          </w:p>
        </w:tc>
        <w:tc>
          <w:tcPr>
            <w:tcW w:w="1709" w:type="dxa"/>
            <w:tcBorders>
              <w:left w:val="single" w:sz="4" w:space="0" w:color="000000"/>
            </w:tcBorders>
          </w:tcPr>
          <w:p>
            <w:pPr>
              <w:pStyle w:val="TableParagraph"/>
              <w:ind w:left="115"/>
              <w:rPr>
                <w:sz w:val="20"/>
              </w:rPr>
            </w:pPr>
            <w:r>
              <w:rPr>
                <w:spacing w:val="-5"/>
                <w:sz w:val="20"/>
              </w:rPr>
              <w:t>+5</w:t>
            </w:r>
          </w:p>
        </w:tc>
      </w:tr>
      <w:tr>
        <w:trPr>
          <w:trHeight w:val="310" w:hRule="atLeast"/>
        </w:trPr>
        <w:tc>
          <w:tcPr>
            <w:tcW w:w="664" w:type="dxa"/>
            <w:tcBorders>
              <w:right w:val="single" w:sz="4" w:space="0" w:color="000000"/>
            </w:tcBorders>
          </w:tcPr>
          <w:p>
            <w:pPr>
              <w:pStyle w:val="TableParagraph"/>
              <w:ind w:left="119"/>
              <w:rPr>
                <w:sz w:val="20"/>
              </w:rPr>
            </w:pPr>
            <w:r>
              <w:rPr>
                <w:spacing w:val="-10"/>
                <w:sz w:val="20"/>
              </w:rPr>
              <w:t>3</w:t>
            </w:r>
          </w:p>
        </w:tc>
        <w:tc>
          <w:tcPr>
            <w:tcW w:w="2799" w:type="dxa"/>
            <w:tcBorders>
              <w:left w:val="single" w:sz="4" w:space="0" w:color="000000"/>
              <w:right w:val="single" w:sz="4" w:space="0" w:color="000000"/>
            </w:tcBorders>
          </w:tcPr>
          <w:p>
            <w:pPr>
              <w:pStyle w:val="TableParagraph"/>
              <w:ind w:left="118"/>
              <w:rPr>
                <w:sz w:val="20"/>
              </w:rPr>
            </w:pPr>
            <w:r>
              <w:rPr>
                <w:spacing w:val="-2"/>
                <w:sz w:val="20"/>
              </w:rPr>
              <w:t>Naive_MA</w:t>
            </w:r>
          </w:p>
        </w:tc>
        <w:tc>
          <w:tcPr>
            <w:tcW w:w="1992" w:type="dxa"/>
            <w:tcBorders>
              <w:left w:val="single" w:sz="4" w:space="0" w:color="000000"/>
              <w:right w:val="single" w:sz="4" w:space="0" w:color="000000"/>
            </w:tcBorders>
          </w:tcPr>
          <w:p>
            <w:pPr>
              <w:pStyle w:val="TableParagraph"/>
              <w:ind w:left="117"/>
              <w:rPr>
                <w:sz w:val="20"/>
              </w:rPr>
            </w:pPr>
            <w:r>
              <w:rPr>
                <w:spacing w:val="-2"/>
                <w:sz w:val="20"/>
              </w:rPr>
              <w:t>170.5</w:t>
            </w:r>
          </w:p>
        </w:tc>
        <w:tc>
          <w:tcPr>
            <w:tcW w:w="1344" w:type="dxa"/>
            <w:tcBorders>
              <w:left w:val="single" w:sz="4" w:space="0" w:color="000000"/>
              <w:right w:val="single" w:sz="4" w:space="0" w:color="000000"/>
            </w:tcBorders>
          </w:tcPr>
          <w:p>
            <w:pPr>
              <w:pStyle w:val="TableParagraph"/>
              <w:ind w:left="116"/>
              <w:rPr>
                <w:sz w:val="20"/>
              </w:rPr>
            </w:pPr>
            <w:r>
              <w:rPr>
                <w:spacing w:val="-10"/>
                <w:sz w:val="20"/>
              </w:rPr>
              <w:t>4</w:t>
            </w:r>
          </w:p>
        </w:tc>
        <w:tc>
          <w:tcPr>
            <w:tcW w:w="1709" w:type="dxa"/>
            <w:tcBorders>
              <w:left w:val="single" w:sz="4" w:space="0" w:color="000000"/>
            </w:tcBorders>
          </w:tcPr>
          <w:p>
            <w:pPr>
              <w:pStyle w:val="TableParagraph"/>
              <w:ind w:left="115"/>
              <w:rPr>
                <w:sz w:val="20"/>
              </w:rPr>
            </w:pPr>
            <w:r>
              <w:rPr>
                <w:spacing w:val="-5"/>
                <w:sz w:val="20"/>
              </w:rPr>
              <w:t>+1</w:t>
            </w:r>
          </w:p>
        </w:tc>
      </w:tr>
      <w:tr>
        <w:trPr>
          <w:trHeight w:val="310" w:hRule="atLeast"/>
        </w:trPr>
        <w:tc>
          <w:tcPr>
            <w:tcW w:w="664" w:type="dxa"/>
            <w:tcBorders>
              <w:right w:val="single" w:sz="4" w:space="0" w:color="000000"/>
            </w:tcBorders>
          </w:tcPr>
          <w:p>
            <w:pPr>
              <w:pStyle w:val="TableParagraph"/>
              <w:ind w:left="119"/>
              <w:rPr>
                <w:sz w:val="20"/>
              </w:rPr>
            </w:pPr>
            <w:r>
              <w:rPr>
                <w:spacing w:val="-10"/>
                <w:sz w:val="20"/>
              </w:rPr>
              <w:t>4</w:t>
            </w:r>
          </w:p>
        </w:tc>
        <w:tc>
          <w:tcPr>
            <w:tcW w:w="2799" w:type="dxa"/>
            <w:tcBorders>
              <w:left w:val="single" w:sz="4" w:space="0" w:color="000000"/>
              <w:right w:val="single" w:sz="4" w:space="0" w:color="000000"/>
            </w:tcBorders>
          </w:tcPr>
          <w:p>
            <w:pPr>
              <w:pStyle w:val="TableParagraph"/>
              <w:ind w:left="118"/>
              <w:rPr>
                <w:sz w:val="20"/>
              </w:rPr>
            </w:pPr>
            <w:r>
              <w:rPr>
                <w:spacing w:val="-2"/>
                <w:sz w:val="20"/>
              </w:rPr>
              <w:t>CarenR_Dist_Sup_FS</w:t>
            </w:r>
          </w:p>
        </w:tc>
        <w:tc>
          <w:tcPr>
            <w:tcW w:w="1992" w:type="dxa"/>
            <w:tcBorders>
              <w:left w:val="single" w:sz="4" w:space="0" w:color="000000"/>
              <w:right w:val="single" w:sz="4" w:space="0" w:color="000000"/>
            </w:tcBorders>
          </w:tcPr>
          <w:p>
            <w:pPr>
              <w:pStyle w:val="TableParagraph"/>
              <w:ind w:left="117"/>
              <w:rPr>
                <w:sz w:val="20"/>
              </w:rPr>
            </w:pPr>
            <w:r>
              <w:rPr>
                <w:spacing w:val="-2"/>
                <w:sz w:val="20"/>
              </w:rPr>
              <w:t>171.6</w:t>
            </w:r>
          </w:p>
        </w:tc>
        <w:tc>
          <w:tcPr>
            <w:tcW w:w="1344" w:type="dxa"/>
            <w:tcBorders>
              <w:left w:val="single" w:sz="4" w:space="0" w:color="000000"/>
              <w:right w:val="single" w:sz="4" w:space="0" w:color="000000"/>
            </w:tcBorders>
          </w:tcPr>
          <w:p>
            <w:pPr>
              <w:pStyle w:val="TableParagraph"/>
              <w:ind w:left="116"/>
              <w:rPr>
                <w:sz w:val="20"/>
              </w:rPr>
            </w:pPr>
            <w:r>
              <w:rPr>
                <w:spacing w:val="-10"/>
                <w:sz w:val="20"/>
              </w:rPr>
              <w:t>5</w:t>
            </w:r>
          </w:p>
        </w:tc>
        <w:tc>
          <w:tcPr>
            <w:tcW w:w="1709" w:type="dxa"/>
            <w:tcBorders>
              <w:left w:val="single" w:sz="4" w:space="0" w:color="000000"/>
            </w:tcBorders>
          </w:tcPr>
          <w:p>
            <w:pPr>
              <w:pStyle w:val="TableParagraph"/>
              <w:ind w:left="115"/>
              <w:rPr>
                <w:sz w:val="20"/>
              </w:rPr>
            </w:pPr>
            <w:r>
              <w:rPr>
                <w:spacing w:val="-5"/>
                <w:sz w:val="20"/>
              </w:rPr>
              <w:t>+1</w:t>
            </w:r>
          </w:p>
        </w:tc>
      </w:tr>
      <w:tr>
        <w:trPr>
          <w:trHeight w:val="310" w:hRule="atLeast"/>
        </w:trPr>
        <w:tc>
          <w:tcPr>
            <w:tcW w:w="664" w:type="dxa"/>
            <w:tcBorders>
              <w:right w:val="single" w:sz="4" w:space="0" w:color="000000"/>
            </w:tcBorders>
          </w:tcPr>
          <w:p>
            <w:pPr>
              <w:pStyle w:val="TableParagraph"/>
              <w:ind w:left="119"/>
              <w:rPr>
                <w:sz w:val="20"/>
              </w:rPr>
            </w:pPr>
            <w:r>
              <w:rPr>
                <w:spacing w:val="-10"/>
                <w:sz w:val="20"/>
              </w:rPr>
              <w:t>5</w:t>
            </w:r>
          </w:p>
        </w:tc>
        <w:tc>
          <w:tcPr>
            <w:tcW w:w="2799" w:type="dxa"/>
            <w:tcBorders>
              <w:left w:val="single" w:sz="4" w:space="0" w:color="000000"/>
              <w:right w:val="single" w:sz="4" w:space="0" w:color="000000"/>
            </w:tcBorders>
          </w:tcPr>
          <w:p>
            <w:pPr>
              <w:pStyle w:val="TableParagraph"/>
              <w:ind w:left="118"/>
              <w:rPr>
                <w:sz w:val="20"/>
              </w:rPr>
            </w:pPr>
            <w:r>
              <w:rPr>
                <w:spacing w:val="-2"/>
                <w:sz w:val="20"/>
              </w:rPr>
              <w:t>CarenR_Dist_Sup_Thresh</w:t>
            </w:r>
          </w:p>
        </w:tc>
        <w:tc>
          <w:tcPr>
            <w:tcW w:w="1992" w:type="dxa"/>
            <w:tcBorders>
              <w:left w:val="single" w:sz="4" w:space="0" w:color="000000"/>
              <w:right w:val="single" w:sz="4" w:space="0" w:color="000000"/>
            </w:tcBorders>
          </w:tcPr>
          <w:p>
            <w:pPr>
              <w:pStyle w:val="TableParagraph"/>
              <w:ind w:left="117"/>
              <w:rPr>
                <w:sz w:val="20"/>
              </w:rPr>
            </w:pPr>
            <w:r>
              <w:rPr>
                <w:spacing w:val="-2"/>
                <w:sz w:val="20"/>
              </w:rPr>
              <w:t>171.6</w:t>
            </w:r>
          </w:p>
        </w:tc>
        <w:tc>
          <w:tcPr>
            <w:tcW w:w="1344" w:type="dxa"/>
            <w:tcBorders>
              <w:left w:val="single" w:sz="4" w:space="0" w:color="000000"/>
              <w:right w:val="single" w:sz="4" w:space="0" w:color="000000"/>
            </w:tcBorders>
          </w:tcPr>
          <w:p>
            <w:pPr>
              <w:pStyle w:val="TableParagraph"/>
              <w:ind w:left="116"/>
              <w:rPr>
                <w:sz w:val="20"/>
              </w:rPr>
            </w:pPr>
            <w:r>
              <w:rPr>
                <w:spacing w:val="-5"/>
                <w:sz w:val="20"/>
              </w:rPr>
              <w:t>11</w:t>
            </w:r>
          </w:p>
        </w:tc>
        <w:tc>
          <w:tcPr>
            <w:tcW w:w="1709" w:type="dxa"/>
            <w:tcBorders>
              <w:left w:val="single" w:sz="4" w:space="0" w:color="000000"/>
            </w:tcBorders>
          </w:tcPr>
          <w:p>
            <w:pPr>
              <w:pStyle w:val="TableParagraph"/>
              <w:ind w:left="115"/>
              <w:rPr>
                <w:sz w:val="20"/>
              </w:rPr>
            </w:pPr>
            <w:r>
              <w:rPr>
                <w:spacing w:val="-5"/>
                <w:sz w:val="20"/>
              </w:rPr>
              <w:t>+6</w:t>
            </w:r>
          </w:p>
        </w:tc>
      </w:tr>
      <w:tr>
        <w:trPr>
          <w:trHeight w:val="310" w:hRule="atLeast"/>
        </w:trPr>
        <w:tc>
          <w:tcPr>
            <w:tcW w:w="664" w:type="dxa"/>
            <w:tcBorders>
              <w:right w:val="single" w:sz="4" w:space="0" w:color="000000"/>
            </w:tcBorders>
          </w:tcPr>
          <w:p>
            <w:pPr>
              <w:pStyle w:val="TableParagraph"/>
              <w:ind w:left="119"/>
              <w:rPr>
                <w:sz w:val="20"/>
              </w:rPr>
            </w:pPr>
            <w:r>
              <w:rPr>
                <w:spacing w:val="-10"/>
                <w:sz w:val="20"/>
              </w:rPr>
              <w:t>6</w:t>
            </w:r>
          </w:p>
        </w:tc>
        <w:tc>
          <w:tcPr>
            <w:tcW w:w="2799" w:type="dxa"/>
            <w:tcBorders>
              <w:left w:val="single" w:sz="4" w:space="0" w:color="000000"/>
              <w:right w:val="single" w:sz="4" w:space="0" w:color="000000"/>
            </w:tcBorders>
          </w:tcPr>
          <w:p>
            <w:pPr>
              <w:pStyle w:val="TableParagraph"/>
              <w:ind w:left="118"/>
              <w:rPr>
                <w:sz w:val="20"/>
              </w:rPr>
            </w:pPr>
            <w:r>
              <w:rPr>
                <w:spacing w:val="-2"/>
                <w:sz w:val="20"/>
              </w:rPr>
              <w:t>CarenR_Dist_Conf</w:t>
            </w:r>
          </w:p>
        </w:tc>
        <w:tc>
          <w:tcPr>
            <w:tcW w:w="1992" w:type="dxa"/>
            <w:tcBorders>
              <w:left w:val="single" w:sz="4" w:space="0" w:color="000000"/>
              <w:right w:val="single" w:sz="4" w:space="0" w:color="000000"/>
            </w:tcBorders>
          </w:tcPr>
          <w:p>
            <w:pPr>
              <w:pStyle w:val="TableParagraph"/>
              <w:ind w:left="117"/>
              <w:rPr>
                <w:sz w:val="20"/>
              </w:rPr>
            </w:pPr>
            <w:r>
              <w:rPr>
                <w:spacing w:val="-2"/>
                <w:sz w:val="20"/>
              </w:rPr>
              <w:t>171.6</w:t>
            </w:r>
          </w:p>
        </w:tc>
        <w:tc>
          <w:tcPr>
            <w:tcW w:w="1344" w:type="dxa"/>
            <w:tcBorders>
              <w:left w:val="single" w:sz="4" w:space="0" w:color="000000"/>
              <w:right w:val="single" w:sz="4" w:space="0" w:color="000000"/>
            </w:tcBorders>
          </w:tcPr>
          <w:p>
            <w:pPr>
              <w:pStyle w:val="TableParagraph"/>
              <w:ind w:left="116"/>
              <w:rPr>
                <w:sz w:val="20"/>
              </w:rPr>
            </w:pPr>
            <w:r>
              <w:rPr>
                <w:spacing w:val="-5"/>
                <w:sz w:val="20"/>
              </w:rPr>
              <w:t>10</w:t>
            </w:r>
          </w:p>
        </w:tc>
        <w:tc>
          <w:tcPr>
            <w:tcW w:w="1709" w:type="dxa"/>
            <w:tcBorders>
              <w:left w:val="single" w:sz="4" w:space="0" w:color="000000"/>
            </w:tcBorders>
          </w:tcPr>
          <w:p>
            <w:pPr>
              <w:pStyle w:val="TableParagraph"/>
              <w:ind w:left="115"/>
              <w:rPr>
                <w:sz w:val="20"/>
              </w:rPr>
            </w:pPr>
            <w:r>
              <w:rPr>
                <w:spacing w:val="-5"/>
                <w:sz w:val="20"/>
              </w:rPr>
              <w:t>+4</w:t>
            </w:r>
          </w:p>
        </w:tc>
      </w:tr>
      <w:tr>
        <w:trPr>
          <w:trHeight w:val="310" w:hRule="atLeast"/>
        </w:trPr>
        <w:tc>
          <w:tcPr>
            <w:tcW w:w="664" w:type="dxa"/>
            <w:tcBorders>
              <w:right w:val="single" w:sz="4" w:space="0" w:color="000000"/>
            </w:tcBorders>
          </w:tcPr>
          <w:p>
            <w:pPr>
              <w:pStyle w:val="TableParagraph"/>
              <w:ind w:left="119"/>
              <w:rPr>
                <w:sz w:val="20"/>
              </w:rPr>
            </w:pPr>
            <w:r>
              <w:rPr>
                <w:spacing w:val="-10"/>
                <w:sz w:val="20"/>
              </w:rPr>
              <w:t>7</w:t>
            </w:r>
          </w:p>
        </w:tc>
        <w:tc>
          <w:tcPr>
            <w:tcW w:w="2799" w:type="dxa"/>
            <w:tcBorders>
              <w:left w:val="single" w:sz="4" w:space="0" w:color="000000"/>
              <w:right w:val="single" w:sz="4" w:space="0" w:color="000000"/>
            </w:tcBorders>
          </w:tcPr>
          <w:p>
            <w:pPr>
              <w:pStyle w:val="TableParagraph"/>
              <w:ind w:left="118"/>
              <w:rPr>
                <w:sz w:val="20"/>
              </w:rPr>
            </w:pPr>
            <w:r>
              <w:rPr>
                <w:spacing w:val="-2"/>
                <w:sz w:val="20"/>
              </w:rPr>
              <w:t>CarenR_Dist_Sup</w:t>
            </w:r>
          </w:p>
        </w:tc>
        <w:tc>
          <w:tcPr>
            <w:tcW w:w="1992" w:type="dxa"/>
            <w:tcBorders>
              <w:left w:val="single" w:sz="4" w:space="0" w:color="000000"/>
              <w:right w:val="single" w:sz="4" w:space="0" w:color="000000"/>
            </w:tcBorders>
          </w:tcPr>
          <w:p>
            <w:pPr>
              <w:pStyle w:val="TableParagraph"/>
              <w:ind w:left="117"/>
              <w:rPr>
                <w:sz w:val="20"/>
              </w:rPr>
            </w:pPr>
            <w:r>
              <w:rPr>
                <w:spacing w:val="-2"/>
                <w:sz w:val="20"/>
              </w:rPr>
              <w:t>185.2</w:t>
            </w:r>
          </w:p>
        </w:tc>
        <w:tc>
          <w:tcPr>
            <w:tcW w:w="1344" w:type="dxa"/>
            <w:tcBorders>
              <w:left w:val="single" w:sz="4" w:space="0" w:color="000000"/>
              <w:right w:val="single" w:sz="4" w:space="0" w:color="000000"/>
            </w:tcBorders>
          </w:tcPr>
          <w:p>
            <w:pPr>
              <w:pStyle w:val="TableParagraph"/>
              <w:ind w:left="116"/>
              <w:rPr>
                <w:sz w:val="20"/>
              </w:rPr>
            </w:pPr>
            <w:r>
              <w:rPr>
                <w:spacing w:val="-10"/>
                <w:sz w:val="20"/>
              </w:rPr>
              <w:t>6</w:t>
            </w:r>
          </w:p>
        </w:tc>
        <w:tc>
          <w:tcPr>
            <w:tcW w:w="1709" w:type="dxa"/>
            <w:tcBorders>
              <w:left w:val="single" w:sz="4" w:space="0" w:color="000000"/>
            </w:tcBorders>
          </w:tcPr>
          <w:p>
            <w:pPr>
              <w:pStyle w:val="TableParagraph"/>
              <w:ind w:left="115"/>
              <w:rPr>
                <w:sz w:val="20"/>
              </w:rPr>
            </w:pPr>
            <w:r>
              <w:rPr>
                <w:spacing w:val="-2"/>
                <w:sz w:val="20"/>
              </w:rPr>
              <w:t>-</w:t>
            </w:r>
            <w:r>
              <w:rPr>
                <w:spacing w:val="-12"/>
                <w:sz w:val="20"/>
              </w:rPr>
              <w:t>1</w:t>
            </w:r>
          </w:p>
        </w:tc>
      </w:tr>
      <w:tr>
        <w:trPr>
          <w:trHeight w:val="310" w:hRule="atLeast"/>
        </w:trPr>
        <w:tc>
          <w:tcPr>
            <w:tcW w:w="664" w:type="dxa"/>
            <w:tcBorders>
              <w:right w:val="single" w:sz="4" w:space="0" w:color="000000"/>
            </w:tcBorders>
          </w:tcPr>
          <w:p>
            <w:pPr>
              <w:pStyle w:val="TableParagraph"/>
              <w:ind w:left="119"/>
              <w:rPr>
                <w:sz w:val="20"/>
              </w:rPr>
            </w:pPr>
            <w:r>
              <w:rPr>
                <w:spacing w:val="-10"/>
                <w:sz w:val="20"/>
              </w:rPr>
              <w:t>8</w:t>
            </w:r>
          </w:p>
        </w:tc>
        <w:tc>
          <w:tcPr>
            <w:tcW w:w="2799" w:type="dxa"/>
            <w:tcBorders>
              <w:left w:val="single" w:sz="4" w:space="0" w:color="000000"/>
              <w:right w:val="single" w:sz="4" w:space="0" w:color="000000"/>
            </w:tcBorders>
          </w:tcPr>
          <w:p>
            <w:pPr>
              <w:pStyle w:val="TableParagraph"/>
              <w:ind w:left="118"/>
              <w:rPr>
                <w:sz w:val="20"/>
              </w:rPr>
            </w:pPr>
            <w:r>
              <w:rPr>
                <w:spacing w:val="-2"/>
                <w:sz w:val="20"/>
              </w:rPr>
              <w:t>CarenR_Dist_Stack</w:t>
            </w:r>
          </w:p>
        </w:tc>
        <w:tc>
          <w:tcPr>
            <w:tcW w:w="1992" w:type="dxa"/>
            <w:tcBorders>
              <w:left w:val="single" w:sz="4" w:space="0" w:color="000000"/>
              <w:right w:val="single" w:sz="4" w:space="0" w:color="000000"/>
            </w:tcBorders>
          </w:tcPr>
          <w:p>
            <w:pPr>
              <w:pStyle w:val="TableParagraph"/>
              <w:ind w:left="117"/>
              <w:rPr>
                <w:sz w:val="20"/>
              </w:rPr>
            </w:pPr>
            <w:r>
              <w:rPr>
                <w:spacing w:val="-2"/>
                <w:sz w:val="20"/>
              </w:rPr>
              <w:t>196.2</w:t>
            </w:r>
          </w:p>
        </w:tc>
        <w:tc>
          <w:tcPr>
            <w:tcW w:w="1344" w:type="dxa"/>
            <w:tcBorders>
              <w:left w:val="single" w:sz="4" w:space="0" w:color="000000"/>
              <w:right w:val="single" w:sz="4" w:space="0" w:color="000000"/>
            </w:tcBorders>
          </w:tcPr>
          <w:p>
            <w:pPr>
              <w:pStyle w:val="TableParagraph"/>
              <w:ind w:left="116"/>
              <w:rPr>
                <w:sz w:val="20"/>
              </w:rPr>
            </w:pPr>
            <w:r>
              <w:rPr>
                <w:spacing w:val="-5"/>
                <w:sz w:val="20"/>
              </w:rPr>
              <w:t>14</w:t>
            </w:r>
          </w:p>
        </w:tc>
        <w:tc>
          <w:tcPr>
            <w:tcW w:w="1709" w:type="dxa"/>
            <w:tcBorders>
              <w:left w:val="single" w:sz="4" w:space="0" w:color="000000"/>
            </w:tcBorders>
          </w:tcPr>
          <w:p>
            <w:pPr>
              <w:pStyle w:val="TableParagraph"/>
              <w:ind w:left="115"/>
              <w:rPr>
                <w:sz w:val="20"/>
              </w:rPr>
            </w:pPr>
            <w:r>
              <w:rPr>
                <w:spacing w:val="-5"/>
                <w:sz w:val="20"/>
              </w:rPr>
              <w:t>+6</w:t>
            </w:r>
          </w:p>
        </w:tc>
      </w:tr>
      <w:tr>
        <w:trPr>
          <w:trHeight w:val="310" w:hRule="atLeast"/>
        </w:trPr>
        <w:tc>
          <w:tcPr>
            <w:tcW w:w="664" w:type="dxa"/>
            <w:tcBorders>
              <w:right w:val="single" w:sz="4" w:space="0" w:color="000000"/>
            </w:tcBorders>
          </w:tcPr>
          <w:p>
            <w:pPr>
              <w:pStyle w:val="TableParagraph"/>
              <w:ind w:left="119"/>
              <w:rPr>
                <w:sz w:val="20"/>
              </w:rPr>
            </w:pPr>
            <w:r>
              <w:rPr>
                <w:spacing w:val="-10"/>
                <w:sz w:val="20"/>
              </w:rPr>
              <w:t>9</w:t>
            </w:r>
          </w:p>
        </w:tc>
        <w:tc>
          <w:tcPr>
            <w:tcW w:w="2799" w:type="dxa"/>
            <w:tcBorders>
              <w:left w:val="single" w:sz="4" w:space="0" w:color="000000"/>
              <w:right w:val="single" w:sz="4" w:space="0" w:color="000000"/>
            </w:tcBorders>
          </w:tcPr>
          <w:p>
            <w:pPr>
              <w:pStyle w:val="TableParagraph"/>
              <w:ind w:left="118"/>
              <w:rPr>
                <w:sz w:val="20"/>
              </w:rPr>
            </w:pPr>
            <w:r>
              <w:rPr>
                <w:spacing w:val="-2"/>
                <w:sz w:val="20"/>
              </w:rPr>
              <w:t>CarenR_Dist_Thresh</w:t>
            </w:r>
          </w:p>
        </w:tc>
        <w:tc>
          <w:tcPr>
            <w:tcW w:w="1992" w:type="dxa"/>
            <w:tcBorders>
              <w:left w:val="single" w:sz="4" w:space="0" w:color="000000"/>
              <w:right w:val="single" w:sz="4" w:space="0" w:color="000000"/>
            </w:tcBorders>
          </w:tcPr>
          <w:p>
            <w:pPr>
              <w:pStyle w:val="TableParagraph"/>
              <w:ind w:left="117"/>
              <w:rPr>
                <w:sz w:val="20"/>
              </w:rPr>
            </w:pPr>
            <w:r>
              <w:rPr>
                <w:spacing w:val="-2"/>
                <w:sz w:val="20"/>
              </w:rPr>
              <w:t>209.4</w:t>
            </w:r>
          </w:p>
        </w:tc>
        <w:tc>
          <w:tcPr>
            <w:tcW w:w="1344" w:type="dxa"/>
            <w:tcBorders>
              <w:left w:val="single" w:sz="4" w:space="0" w:color="000000"/>
              <w:right w:val="single" w:sz="4" w:space="0" w:color="000000"/>
            </w:tcBorders>
          </w:tcPr>
          <w:p>
            <w:pPr>
              <w:pStyle w:val="TableParagraph"/>
              <w:ind w:left="116"/>
              <w:rPr>
                <w:sz w:val="20"/>
              </w:rPr>
            </w:pPr>
            <w:r>
              <w:rPr>
                <w:spacing w:val="-5"/>
                <w:sz w:val="20"/>
              </w:rPr>
              <w:t>12</w:t>
            </w:r>
          </w:p>
        </w:tc>
        <w:tc>
          <w:tcPr>
            <w:tcW w:w="1709" w:type="dxa"/>
            <w:tcBorders>
              <w:left w:val="single" w:sz="4" w:space="0" w:color="000000"/>
            </w:tcBorders>
          </w:tcPr>
          <w:p>
            <w:pPr>
              <w:pStyle w:val="TableParagraph"/>
              <w:ind w:left="115"/>
              <w:rPr>
                <w:sz w:val="20"/>
              </w:rPr>
            </w:pPr>
            <w:r>
              <w:rPr>
                <w:spacing w:val="-5"/>
                <w:sz w:val="20"/>
              </w:rPr>
              <w:t>+3</w:t>
            </w:r>
          </w:p>
        </w:tc>
      </w:tr>
      <w:tr>
        <w:trPr>
          <w:trHeight w:val="310" w:hRule="atLeast"/>
        </w:trPr>
        <w:tc>
          <w:tcPr>
            <w:tcW w:w="664" w:type="dxa"/>
            <w:tcBorders>
              <w:right w:val="single" w:sz="4" w:space="0" w:color="000000"/>
            </w:tcBorders>
          </w:tcPr>
          <w:p>
            <w:pPr>
              <w:pStyle w:val="TableParagraph"/>
              <w:ind w:left="119"/>
              <w:rPr>
                <w:sz w:val="20"/>
              </w:rPr>
            </w:pPr>
            <w:r>
              <w:rPr>
                <w:spacing w:val="-5"/>
                <w:sz w:val="20"/>
              </w:rPr>
              <w:t>10</w:t>
            </w:r>
          </w:p>
        </w:tc>
        <w:tc>
          <w:tcPr>
            <w:tcW w:w="2799" w:type="dxa"/>
            <w:tcBorders>
              <w:left w:val="single" w:sz="4" w:space="0" w:color="000000"/>
              <w:right w:val="single" w:sz="4" w:space="0" w:color="000000"/>
            </w:tcBorders>
          </w:tcPr>
          <w:p>
            <w:pPr>
              <w:pStyle w:val="TableParagraph"/>
              <w:ind w:left="118"/>
              <w:rPr>
                <w:sz w:val="20"/>
              </w:rPr>
            </w:pPr>
            <w:r>
              <w:rPr>
                <w:spacing w:val="-2"/>
                <w:sz w:val="20"/>
              </w:rPr>
              <w:t>CarenR_Dist_FS</w:t>
            </w:r>
          </w:p>
        </w:tc>
        <w:tc>
          <w:tcPr>
            <w:tcW w:w="1992" w:type="dxa"/>
            <w:tcBorders>
              <w:left w:val="single" w:sz="4" w:space="0" w:color="000000"/>
              <w:right w:val="single" w:sz="4" w:space="0" w:color="000000"/>
            </w:tcBorders>
          </w:tcPr>
          <w:p>
            <w:pPr>
              <w:pStyle w:val="TableParagraph"/>
              <w:ind w:left="117"/>
              <w:rPr>
                <w:sz w:val="20"/>
              </w:rPr>
            </w:pPr>
            <w:r>
              <w:rPr>
                <w:spacing w:val="-2"/>
                <w:sz w:val="20"/>
              </w:rPr>
              <w:t>222.4</w:t>
            </w:r>
          </w:p>
        </w:tc>
        <w:tc>
          <w:tcPr>
            <w:tcW w:w="1344" w:type="dxa"/>
            <w:tcBorders>
              <w:left w:val="single" w:sz="4" w:space="0" w:color="000000"/>
              <w:right w:val="single" w:sz="4" w:space="0" w:color="000000"/>
            </w:tcBorders>
          </w:tcPr>
          <w:p>
            <w:pPr>
              <w:pStyle w:val="TableParagraph"/>
              <w:ind w:left="116"/>
              <w:rPr>
                <w:sz w:val="20"/>
              </w:rPr>
            </w:pPr>
            <w:r>
              <w:rPr>
                <w:spacing w:val="-10"/>
                <w:sz w:val="20"/>
              </w:rPr>
              <w:t>3</w:t>
            </w:r>
          </w:p>
        </w:tc>
        <w:tc>
          <w:tcPr>
            <w:tcW w:w="1709" w:type="dxa"/>
            <w:tcBorders>
              <w:left w:val="single" w:sz="4" w:space="0" w:color="000000"/>
            </w:tcBorders>
          </w:tcPr>
          <w:p>
            <w:pPr>
              <w:pStyle w:val="TableParagraph"/>
              <w:ind w:left="115"/>
              <w:rPr>
                <w:sz w:val="20"/>
              </w:rPr>
            </w:pPr>
            <w:r>
              <w:rPr>
                <w:spacing w:val="-2"/>
                <w:sz w:val="20"/>
              </w:rPr>
              <w:t>-</w:t>
            </w:r>
            <w:r>
              <w:rPr>
                <w:spacing w:val="-12"/>
                <w:sz w:val="20"/>
              </w:rPr>
              <w:t>7</w:t>
            </w:r>
          </w:p>
        </w:tc>
      </w:tr>
      <w:tr>
        <w:trPr>
          <w:trHeight w:val="310" w:hRule="atLeast"/>
        </w:trPr>
        <w:tc>
          <w:tcPr>
            <w:tcW w:w="664" w:type="dxa"/>
            <w:tcBorders>
              <w:right w:val="single" w:sz="4" w:space="0" w:color="000000"/>
            </w:tcBorders>
          </w:tcPr>
          <w:p>
            <w:pPr>
              <w:pStyle w:val="TableParagraph"/>
              <w:ind w:left="119"/>
              <w:rPr>
                <w:sz w:val="20"/>
              </w:rPr>
            </w:pPr>
            <w:r>
              <w:rPr>
                <w:spacing w:val="-5"/>
                <w:sz w:val="20"/>
              </w:rPr>
              <w:t>11</w:t>
            </w:r>
          </w:p>
        </w:tc>
        <w:tc>
          <w:tcPr>
            <w:tcW w:w="2799" w:type="dxa"/>
            <w:tcBorders>
              <w:left w:val="single" w:sz="4" w:space="0" w:color="000000"/>
              <w:right w:val="single" w:sz="4" w:space="0" w:color="000000"/>
            </w:tcBorders>
          </w:tcPr>
          <w:p>
            <w:pPr>
              <w:pStyle w:val="TableParagraph"/>
              <w:ind w:left="118"/>
              <w:rPr>
                <w:sz w:val="20"/>
              </w:rPr>
            </w:pPr>
            <w:r>
              <w:rPr>
                <w:spacing w:val="-2"/>
                <w:sz w:val="20"/>
              </w:rPr>
              <w:t>CarenR_Dist_Lag</w:t>
            </w:r>
          </w:p>
        </w:tc>
        <w:tc>
          <w:tcPr>
            <w:tcW w:w="1992" w:type="dxa"/>
            <w:tcBorders>
              <w:left w:val="single" w:sz="4" w:space="0" w:color="000000"/>
              <w:right w:val="single" w:sz="4" w:space="0" w:color="000000"/>
            </w:tcBorders>
          </w:tcPr>
          <w:p>
            <w:pPr>
              <w:pStyle w:val="TableParagraph"/>
              <w:ind w:left="117"/>
              <w:rPr>
                <w:sz w:val="20"/>
              </w:rPr>
            </w:pPr>
            <w:r>
              <w:rPr>
                <w:spacing w:val="-2"/>
                <w:sz w:val="20"/>
              </w:rPr>
              <w:t>225.0</w:t>
            </w:r>
          </w:p>
        </w:tc>
        <w:tc>
          <w:tcPr>
            <w:tcW w:w="1344" w:type="dxa"/>
            <w:tcBorders>
              <w:left w:val="single" w:sz="4" w:space="0" w:color="000000"/>
              <w:right w:val="single" w:sz="4" w:space="0" w:color="000000"/>
            </w:tcBorders>
          </w:tcPr>
          <w:p>
            <w:pPr>
              <w:pStyle w:val="TableParagraph"/>
              <w:ind w:left="116"/>
              <w:rPr>
                <w:sz w:val="20"/>
              </w:rPr>
            </w:pPr>
            <w:r>
              <w:rPr>
                <w:spacing w:val="-10"/>
                <w:sz w:val="20"/>
              </w:rPr>
              <w:t>9</w:t>
            </w:r>
          </w:p>
        </w:tc>
        <w:tc>
          <w:tcPr>
            <w:tcW w:w="1709" w:type="dxa"/>
            <w:tcBorders>
              <w:left w:val="single" w:sz="4" w:space="0" w:color="000000"/>
            </w:tcBorders>
          </w:tcPr>
          <w:p>
            <w:pPr>
              <w:pStyle w:val="TableParagraph"/>
              <w:ind w:left="115"/>
              <w:rPr>
                <w:sz w:val="20"/>
              </w:rPr>
            </w:pPr>
            <w:r>
              <w:rPr>
                <w:spacing w:val="-2"/>
                <w:sz w:val="20"/>
              </w:rPr>
              <w:t>-</w:t>
            </w:r>
            <w:r>
              <w:rPr>
                <w:spacing w:val="-12"/>
                <w:sz w:val="20"/>
              </w:rPr>
              <w:t>2</w:t>
            </w:r>
          </w:p>
        </w:tc>
      </w:tr>
      <w:tr>
        <w:trPr>
          <w:trHeight w:val="310" w:hRule="atLeast"/>
        </w:trPr>
        <w:tc>
          <w:tcPr>
            <w:tcW w:w="664" w:type="dxa"/>
            <w:tcBorders>
              <w:right w:val="single" w:sz="4" w:space="0" w:color="000000"/>
            </w:tcBorders>
          </w:tcPr>
          <w:p>
            <w:pPr>
              <w:pStyle w:val="TableParagraph"/>
              <w:ind w:left="119"/>
              <w:rPr>
                <w:sz w:val="20"/>
              </w:rPr>
            </w:pPr>
            <w:r>
              <w:rPr>
                <w:spacing w:val="-5"/>
                <w:sz w:val="20"/>
              </w:rPr>
              <w:t>12</w:t>
            </w:r>
          </w:p>
        </w:tc>
        <w:tc>
          <w:tcPr>
            <w:tcW w:w="2799" w:type="dxa"/>
            <w:tcBorders>
              <w:left w:val="single" w:sz="4" w:space="0" w:color="000000"/>
              <w:right w:val="single" w:sz="4" w:space="0" w:color="000000"/>
            </w:tcBorders>
          </w:tcPr>
          <w:p>
            <w:pPr>
              <w:pStyle w:val="TableParagraph"/>
              <w:ind w:left="118"/>
              <w:rPr>
                <w:sz w:val="20"/>
              </w:rPr>
            </w:pPr>
            <w:r>
              <w:rPr>
                <w:spacing w:val="-2"/>
                <w:sz w:val="20"/>
              </w:rPr>
              <w:t>CarenR_Dist_Eta2</w:t>
            </w:r>
          </w:p>
        </w:tc>
        <w:tc>
          <w:tcPr>
            <w:tcW w:w="1992" w:type="dxa"/>
            <w:tcBorders>
              <w:left w:val="single" w:sz="4" w:space="0" w:color="000000"/>
              <w:right w:val="single" w:sz="4" w:space="0" w:color="000000"/>
            </w:tcBorders>
          </w:tcPr>
          <w:p>
            <w:pPr>
              <w:pStyle w:val="TableParagraph"/>
              <w:ind w:left="117"/>
              <w:rPr>
                <w:sz w:val="20"/>
              </w:rPr>
            </w:pPr>
            <w:r>
              <w:rPr>
                <w:spacing w:val="-2"/>
                <w:sz w:val="20"/>
              </w:rPr>
              <w:t>225.7</w:t>
            </w:r>
          </w:p>
        </w:tc>
        <w:tc>
          <w:tcPr>
            <w:tcW w:w="1344" w:type="dxa"/>
            <w:tcBorders>
              <w:left w:val="single" w:sz="4" w:space="0" w:color="000000"/>
              <w:right w:val="single" w:sz="4" w:space="0" w:color="000000"/>
            </w:tcBorders>
          </w:tcPr>
          <w:p>
            <w:pPr>
              <w:pStyle w:val="TableParagraph"/>
              <w:ind w:left="116"/>
              <w:rPr>
                <w:sz w:val="20"/>
              </w:rPr>
            </w:pPr>
            <w:r>
              <w:rPr>
                <w:spacing w:val="-10"/>
                <w:sz w:val="20"/>
              </w:rPr>
              <w:t>2</w:t>
            </w:r>
          </w:p>
        </w:tc>
        <w:tc>
          <w:tcPr>
            <w:tcW w:w="1709" w:type="dxa"/>
            <w:tcBorders>
              <w:left w:val="single" w:sz="4" w:space="0" w:color="000000"/>
            </w:tcBorders>
          </w:tcPr>
          <w:p>
            <w:pPr>
              <w:pStyle w:val="TableParagraph"/>
              <w:ind w:left="115"/>
              <w:rPr>
                <w:sz w:val="20"/>
              </w:rPr>
            </w:pPr>
            <w:r>
              <w:rPr>
                <w:spacing w:val="-2"/>
                <w:sz w:val="20"/>
              </w:rPr>
              <w:t>-</w:t>
            </w:r>
            <w:r>
              <w:rPr>
                <w:spacing w:val="-7"/>
                <w:sz w:val="20"/>
              </w:rPr>
              <w:t>10</w:t>
            </w:r>
          </w:p>
        </w:tc>
      </w:tr>
      <w:tr>
        <w:trPr>
          <w:trHeight w:val="310" w:hRule="atLeast"/>
        </w:trPr>
        <w:tc>
          <w:tcPr>
            <w:tcW w:w="664" w:type="dxa"/>
            <w:tcBorders>
              <w:right w:val="single" w:sz="4" w:space="0" w:color="000000"/>
            </w:tcBorders>
          </w:tcPr>
          <w:p>
            <w:pPr>
              <w:pStyle w:val="TableParagraph"/>
              <w:ind w:left="119"/>
              <w:rPr>
                <w:sz w:val="20"/>
              </w:rPr>
            </w:pPr>
            <w:r>
              <w:rPr>
                <w:spacing w:val="-5"/>
                <w:sz w:val="20"/>
              </w:rPr>
              <w:t>13</w:t>
            </w:r>
          </w:p>
        </w:tc>
        <w:tc>
          <w:tcPr>
            <w:tcW w:w="2799" w:type="dxa"/>
            <w:tcBorders>
              <w:left w:val="single" w:sz="4" w:space="0" w:color="000000"/>
              <w:right w:val="single" w:sz="4" w:space="0" w:color="000000"/>
            </w:tcBorders>
          </w:tcPr>
          <w:p>
            <w:pPr>
              <w:pStyle w:val="TableParagraph"/>
              <w:ind w:left="118"/>
              <w:rPr>
                <w:sz w:val="20"/>
              </w:rPr>
            </w:pPr>
            <w:r>
              <w:rPr>
                <w:spacing w:val="-2"/>
                <w:sz w:val="20"/>
              </w:rPr>
              <w:t>M5Rules</w:t>
            </w:r>
          </w:p>
        </w:tc>
        <w:tc>
          <w:tcPr>
            <w:tcW w:w="1992" w:type="dxa"/>
            <w:tcBorders>
              <w:left w:val="single" w:sz="4" w:space="0" w:color="000000"/>
              <w:right w:val="single" w:sz="4" w:space="0" w:color="000000"/>
            </w:tcBorders>
          </w:tcPr>
          <w:p>
            <w:pPr>
              <w:pStyle w:val="TableParagraph"/>
              <w:ind w:left="117"/>
              <w:rPr>
                <w:sz w:val="20"/>
              </w:rPr>
            </w:pPr>
            <w:r>
              <w:rPr>
                <w:spacing w:val="-2"/>
                <w:sz w:val="20"/>
              </w:rPr>
              <w:t>267.5</w:t>
            </w:r>
          </w:p>
        </w:tc>
        <w:tc>
          <w:tcPr>
            <w:tcW w:w="1344" w:type="dxa"/>
            <w:tcBorders>
              <w:left w:val="single" w:sz="4" w:space="0" w:color="000000"/>
              <w:right w:val="single" w:sz="4" w:space="0" w:color="000000"/>
            </w:tcBorders>
          </w:tcPr>
          <w:p>
            <w:pPr>
              <w:pStyle w:val="TableParagraph"/>
              <w:ind w:left="116"/>
              <w:rPr>
                <w:sz w:val="20"/>
              </w:rPr>
            </w:pPr>
            <w:r>
              <w:rPr>
                <w:spacing w:val="-10"/>
                <w:sz w:val="20"/>
              </w:rPr>
              <w:t>8</w:t>
            </w:r>
          </w:p>
        </w:tc>
        <w:tc>
          <w:tcPr>
            <w:tcW w:w="1709" w:type="dxa"/>
            <w:tcBorders>
              <w:left w:val="single" w:sz="4" w:space="0" w:color="000000"/>
            </w:tcBorders>
          </w:tcPr>
          <w:p>
            <w:pPr>
              <w:pStyle w:val="TableParagraph"/>
              <w:ind w:left="115"/>
              <w:rPr>
                <w:sz w:val="20"/>
              </w:rPr>
            </w:pPr>
            <w:r>
              <w:rPr>
                <w:spacing w:val="-2"/>
                <w:sz w:val="20"/>
              </w:rPr>
              <w:t>-</w:t>
            </w:r>
            <w:r>
              <w:rPr>
                <w:spacing w:val="-12"/>
                <w:sz w:val="20"/>
              </w:rPr>
              <w:t>5</w:t>
            </w:r>
          </w:p>
        </w:tc>
      </w:tr>
      <w:tr>
        <w:trPr>
          <w:trHeight w:val="310" w:hRule="atLeast"/>
        </w:trPr>
        <w:tc>
          <w:tcPr>
            <w:tcW w:w="664" w:type="dxa"/>
            <w:tcBorders>
              <w:right w:val="single" w:sz="4" w:space="0" w:color="000000"/>
            </w:tcBorders>
          </w:tcPr>
          <w:p>
            <w:pPr>
              <w:pStyle w:val="TableParagraph"/>
              <w:ind w:left="119"/>
              <w:rPr>
                <w:sz w:val="20"/>
              </w:rPr>
            </w:pPr>
            <w:r>
              <w:rPr>
                <w:spacing w:val="-5"/>
                <w:sz w:val="20"/>
              </w:rPr>
              <w:t>14</w:t>
            </w:r>
          </w:p>
        </w:tc>
        <w:tc>
          <w:tcPr>
            <w:tcW w:w="2799" w:type="dxa"/>
            <w:tcBorders>
              <w:left w:val="single" w:sz="4" w:space="0" w:color="000000"/>
              <w:right w:val="single" w:sz="4" w:space="0" w:color="000000"/>
            </w:tcBorders>
          </w:tcPr>
          <w:p>
            <w:pPr>
              <w:pStyle w:val="TableParagraph"/>
              <w:ind w:left="118"/>
              <w:rPr>
                <w:sz w:val="20"/>
              </w:rPr>
            </w:pPr>
            <w:r>
              <w:rPr>
                <w:spacing w:val="-2"/>
                <w:sz w:val="20"/>
              </w:rPr>
              <w:t>CarenR_Dist</w:t>
            </w:r>
          </w:p>
        </w:tc>
        <w:tc>
          <w:tcPr>
            <w:tcW w:w="1992" w:type="dxa"/>
            <w:tcBorders>
              <w:left w:val="single" w:sz="4" w:space="0" w:color="000000"/>
              <w:right w:val="single" w:sz="4" w:space="0" w:color="000000"/>
            </w:tcBorders>
          </w:tcPr>
          <w:p>
            <w:pPr>
              <w:pStyle w:val="TableParagraph"/>
              <w:ind w:left="117"/>
              <w:rPr>
                <w:sz w:val="20"/>
              </w:rPr>
            </w:pPr>
            <w:r>
              <w:rPr>
                <w:spacing w:val="-2"/>
                <w:sz w:val="20"/>
              </w:rPr>
              <w:t>274.6</w:t>
            </w:r>
          </w:p>
        </w:tc>
        <w:tc>
          <w:tcPr>
            <w:tcW w:w="1344" w:type="dxa"/>
            <w:tcBorders>
              <w:left w:val="single" w:sz="4" w:space="0" w:color="000000"/>
              <w:right w:val="single" w:sz="4" w:space="0" w:color="000000"/>
            </w:tcBorders>
          </w:tcPr>
          <w:p>
            <w:pPr>
              <w:pStyle w:val="TableParagraph"/>
              <w:ind w:left="116"/>
              <w:rPr>
                <w:sz w:val="20"/>
              </w:rPr>
            </w:pPr>
            <w:r>
              <w:rPr>
                <w:spacing w:val="-5"/>
                <w:sz w:val="20"/>
              </w:rPr>
              <w:t>13</w:t>
            </w:r>
          </w:p>
        </w:tc>
        <w:tc>
          <w:tcPr>
            <w:tcW w:w="1709" w:type="dxa"/>
            <w:tcBorders>
              <w:left w:val="single" w:sz="4" w:space="0" w:color="000000"/>
            </w:tcBorders>
          </w:tcPr>
          <w:p>
            <w:pPr>
              <w:pStyle w:val="TableParagraph"/>
              <w:ind w:left="115"/>
              <w:rPr>
                <w:sz w:val="20"/>
              </w:rPr>
            </w:pPr>
            <w:r>
              <w:rPr>
                <w:spacing w:val="-2"/>
                <w:sz w:val="20"/>
              </w:rPr>
              <w:t>-</w:t>
            </w:r>
            <w:r>
              <w:rPr>
                <w:spacing w:val="-12"/>
                <w:sz w:val="20"/>
              </w:rPr>
              <w:t>1</w:t>
            </w:r>
          </w:p>
        </w:tc>
      </w:tr>
      <w:tr>
        <w:trPr>
          <w:trHeight w:val="310" w:hRule="atLeast"/>
        </w:trPr>
        <w:tc>
          <w:tcPr>
            <w:tcW w:w="664" w:type="dxa"/>
            <w:tcBorders>
              <w:right w:val="single" w:sz="4" w:space="0" w:color="000000"/>
            </w:tcBorders>
          </w:tcPr>
          <w:p>
            <w:pPr>
              <w:pStyle w:val="TableParagraph"/>
              <w:ind w:left="119"/>
              <w:rPr>
                <w:sz w:val="20"/>
              </w:rPr>
            </w:pPr>
            <w:r>
              <w:rPr>
                <w:spacing w:val="-5"/>
                <w:sz w:val="20"/>
              </w:rPr>
              <w:t>15</w:t>
            </w:r>
          </w:p>
        </w:tc>
        <w:tc>
          <w:tcPr>
            <w:tcW w:w="2799" w:type="dxa"/>
            <w:tcBorders>
              <w:left w:val="single" w:sz="4" w:space="0" w:color="000000"/>
              <w:right w:val="single" w:sz="4" w:space="0" w:color="000000"/>
            </w:tcBorders>
          </w:tcPr>
          <w:p>
            <w:pPr>
              <w:pStyle w:val="TableParagraph"/>
              <w:ind w:left="118"/>
              <w:rPr>
                <w:sz w:val="20"/>
              </w:rPr>
            </w:pPr>
            <w:r>
              <w:rPr>
                <w:spacing w:val="-2"/>
                <w:sz w:val="20"/>
              </w:rPr>
              <w:t>CarenR_Supervised</w:t>
            </w:r>
          </w:p>
        </w:tc>
        <w:tc>
          <w:tcPr>
            <w:tcW w:w="1992" w:type="dxa"/>
            <w:tcBorders>
              <w:left w:val="single" w:sz="4" w:space="0" w:color="000000"/>
              <w:right w:val="single" w:sz="4" w:space="0" w:color="000000"/>
            </w:tcBorders>
          </w:tcPr>
          <w:p>
            <w:pPr>
              <w:pStyle w:val="TableParagraph"/>
              <w:ind w:left="117"/>
              <w:rPr>
                <w:sz w:val="20"/>
              </w:rPr>
            </w:pPr>
            <w:r>
              <w:rPr>
                <w:spacing w:val="-2"/>
                <w:sz w:val="20"/>
              </w:rPr>
              <w:t>347.3</w:t>
            </w:r>
          </w:p>
        </w:tc>
        <w:tc>
          <w:tcPr>
            <w:tcW w:w="1344" w:type="dxa"/>
            <w:tcBorders>
              <w:left w:val="single" w:sz="4" w:space="0" w:color="000000"/>
              <w:right w:val="single" w:sz="4" w:space="0" w:color="000000"/>
            </w:tcBorders>
          </w:tcPr>
          <w:p>
            <w:pPr>
              <w:pStyle w:val="TableParagraph"/>
              <w:ind w:left="116"/>
              <w:rPr>
                <w:sz w:val="20"/>
              </w:rPr>
            </w:pPr>
            <w:r>
              <w:rPr>
                <w:spacing w:val="-5"/>
                <w:sz w:val="20"/>
              </w:rPr>
              <w:t>15</w:t>
            </w:r>
          </w:p>
        </w:tc>
        <w:tc>
          <w:tcPr>
            <w:tcW w:w="1709" w:type="dxa"/>
            <w:tcBorders>
              <w:left w:val="single" w:sz="4" w:space="0" w:color="000000"/>
            </w:tcBorders>
          </w:tcPr>
          <w:p>
            <w:pPr>
              <w:pStyle w:val="TableParagraph"/>
              <w:ind w:left="115"/>
              <w:rPr>
                <w:sz w:val="20"/>
              </w:rPr>
            </w:pPr>
            <w:r>
              <w:rPr>
                <w:spacing w:val="-10"/>
                <w:sz w:val="20"/>
              </w:rPr>
              <w:t>0</w:t>
            </w:r>
          </w:p>
        </w:tc>
      </w:tr>
      <w:tr>
        <w:trPr>
          <w:trHeight w:val="310" w:hRule="atLeast"/>
        </w:trPr>
        <w:tc>
          <w:tcPr>
            <w:tcW w:w="664" w:type="dxa"/>
            <w:tcBorders>
              <w:right w:val="single" w:sz="4" w:space="0" w:color="000000"/>
            </w:tcBorders>
          </w:tcPr>
          <w:p>
            <w:pPr>
              <w:pStyle w:val="TableParagraph"/>
              <w:ind w:left="119"/>
              <w:rPr>
                <w:sz w:val="20"/>
              </w:rPr>
            </w:pPr>
            <w:r>
              <w:rPr>
                <w:spacing w:val="-5"/>
                <w:sz w:val="20"/>
              </w:rPr>
              <w:t>16</w:t>
            </w:r>
          </w:p>
        </w:tc>
        <w:tc>
          <w:tcPr>
            <w:tcW w:w="2799" w:type="dxa"/>
            <w:tcBorders>
              <w:left w:val="single" w:sz="4" w:space="0" w:color="000000"/>
              <w:right w:val="single" w:sz="4" w:space="0" w:color="000000"/>
            </w:tcBorders>
          </w:tcPr>
          <w:p>
            <w:pPr>
              <w:pStyle w:val="TableParagraph"/>
              <w:ind w:left="118"/>
              <w:rPr>
                <w:sz w:val="20"/>
              </w:rPr>
            </w:pPr>
            <w:r>
              <w:rPr>
                <w:spacing w:val="-5"/>
                <w:sz w:val="20"/>
              </w:rPr>
              <w:t>DT</w:t>
            </w:r>
          </w:p>
        </w:tc>
        <w:tc>
          <w:tcPr>
            <w:tcW w:w="1992" w:type="dxa"/>
            <w:tcBorders>
              <w:left w:val="single" w:sz="4" w:space="0" w:color="000000"/>
              <w:right w:val="single" w:sz="4" w:space="0" w:color="000000"/>
            </w:tcBorders>
          </w:tcPr>
          <w:p>
            <w:pPr>
              <w:pStyle w:val="TableParagraph"/>
              <w:ind w:left="117"/>
              <w:rPr>
                <w:sz w:val="20"/>
              </w:rPr>
            </w:pPr>
            <w:r>
              <w:rPr>
                <w:spacing w:val="-2"/>
                <w:sz w:val="20"/>
              </w:rPr>
              <w:t>479.3</w:t>
            </w:r>
          </w:p>
        </w:tc>
        <w:tc>
          <w:tcPr>
            <w:tcW w:w="1344" w:type="dxa"/>
            <w:tcBorders>
              <w:left w:val="single" w:sz="4" w:space="0" w:color="000000"/>
              <w:right w:val="single" w:sz="4" w:space="0" w:color="000000"/>
            </w:tcBorders>
          </w:tcPr>
          <w:p>
            <w:pPr>
              <w:pStyle w:val="TableParagraph"/>
              <w:ind w:left="116"/>
              <w:rPr>
                <w:sz w:val="20"/>
              </w:rPr>
            </w:pPr>
            <w:r>
              <w:rPr>
                <w:spacing w:val="-5"/>
                <w:sz w:val="20"/>
              </w:rPr>
              <w:t>16</w:t>
            </w:r>
          </w:p>
        </w:tc>
        <w:tc>
          <w:tcPr>
            <w:tcW w:w="1709" w:type="dxa"/>
            <w:tcBorders>
              <w:left w:val="single" w:sz="4" w:space="0" w:color="000000"/>
            </w:tcBorders>
          </w:tcPr>
          <w:p>
            <w:pPr>
              <w:pStyle w:val="TableParagraph"/>
              <w:ind w:left="115"/>
              <w:rPr>
                <w:sz w:val="20"/>
              </w:rPr>
            </w:pPr>
            <w:r>
              <w:rPr>
                <w:spacing w:val="-10"/>
                <w:sz w:val="20"/>
              </w:rPr>
              <w:t>0</w:t>
            </w:r>
          </w:p>
        </w:tc>
      </w:tr>
      <w:tr>
        <w:trPr>
          <w:trHeight w:val="348" w:hRule="atLeast"/>
        </w:trPr>
        <w:tc>
          <w:tcPr>
            <w:tcW w:w="664" w:type="dxa"/>
            <w:tcBorders>
              <w:bottom w:val="single" w:sz="8" w:space="0" w:color="000000"/>
              <w:right w:val="single" w:sz="4" w:space="0" w:color="000000"/>
            </w:tcBorders>
          </w:tcPr>
          <w:p>
            <w:pPr>
              <w:pStyle w:val="TableParagraph"/>
              <w:ind w:left="119"/>
              <w:rPr>
                <w:sz w:val="20"/>
              </w:rPr>
            </w:pPr>
            <w:r>
              <w:rPr>
                <w:spacing w:val="-5"/>
                <w:sz w:val="20"/>
              </w:rPr>
              <w:t>17</w:t>
            </w:r>
          </w:p>
        </w:tc>
        <w:tc>
          <w:tcPr>
            <w:tcW w:w="2799" w:type="dxa"/>
            <w:tcBorders>
              <w:left w:val="single" w:sz="4" w:space="0" w:color="000000"/>
              <w:bottom w:val="single" w:sz="8" w:space="0" w:color="000000"/>
              <w:right w:val="single" w:sz="4" w:space="0" w:color="000000"/>
            </w:tcBorders>
          </w:tcPr>
          <w:p>
            <w:pPr>
              <w:pStyle w:val="TableParagraph"/>
              <w:ind w:left="118"/>
              <w:rPr>
                <w:sz w:val="20"/>
              </w:rPr>
            </w:pPr>
            <w:r>
              <w:rPr>
                <w:spacing w:val="-2"/>
                <w:sz w:val="20"/>
              </w:rPr>
              <w:t>Ripper</w:t>
            </w:r>
          </w:p>
        </w:tc>
        <w:tc>
          <w:tcPr>
            <w:tcW w:w="1992" w:type="dxa"/>
            <w:tcBorders>
              <w:left w:val="single" w:sz="4" w:space="0" w:color="000000"/>
              <w:bottom w:val="single" w:sz="8" w:space="0" w:color="000000"/>
              <w:right w:val="single" w:sz="4" w:space="0" w:color="000000"/>
            </w:tcBorders>
          </w:tcPr>
          <w:p>
            <w:pPr>
              <w:pStyle w:val="TableParagraph"/>
              <w:ind w:left="117"/>
              <w:rPr>
                <w:sz w:val="20"/>
              </w:rPr>
            </w:pPr>
            <w:r>
              <w:rPr>
                <w:spacing w:val="-2"/>
                <w:sz w:val="20"/>
              </w:rPr>
              <w:t>508.2</w:t>
            </w:r>
          </w:p>
        </w:tc>
        <w:tc>
          <w:tcPr>
            <w:tcW w:w="1344" w:type="dxa"/>
            <w:tcBorders>
              <w:left w:val="single" w:sz="4" w:space="0" w:color="000000"/>
              <w:bottom w:val="single" w:sz="8" w:space="0" w:color="000000"/>
              <w:right w:val="single" w:sz="4" w:space="0" w:color="000000"/>
            </w:tcBorders>
          </w:tcPr>
          <w:p>
            <w:pPr>
              <w:pStyle w:val="TableParagraph"/>
              <w:ind w:left="116"/>
              <w:rPr>
                <w:sz w:val="20"/>
              </w:rPr>
            </w:pPr>
            <w:r>
              <w:rPr>
                <w:spacing w:val="-5"/>
                <w:sz w:val="20"/>
              </w:rPr>
              <w:t>17</w:t>
            </w:r>
          </w:p>
        </w:tc>
        <w:tc>
          <w:tcPr>
            <w:tcW w:w="1709" w:type="dxa"/>
            <w:tcBorders>
              <w:left w:val="single" w:sz="4" w:space="0" w:color="000000"/>
              <w:bottom w:val="single" w:sz="8" w:space="0" w:color="000000"/>
            </w:tcBorders>
          </w:tcPr>
          <w:p>
            <w:pPr>
              <w:pStyle w:val="TableParagraph"/>
              <w:ind w:left="115"/>
              <w:rPr>
                <w:sz w:val="20"/>
              </w:rPr>
            </w:pPr>
            <w:r>
              <w:rPr>
                <w:spacing w:val="-10"/>
                <w:sz w:val="20"/>
              </w:rPr>
              <w:t>0</w:t>
            </w:r>
          </w:p>
        </w:tc>
      </w:tr>
    </w:tbl>
    <w:p>
      <w:pPr>
        <w:pStyle w:val="BodyText"/>
        <w:rPr>
          <w:sz w:val="20"/>
        </w:rPr>
      </w:pPr>
    </w:p>
    <w:p>
      <w:pPr>
        <w:pStyle w:val="BodyText"/>
        <w:rPr>
          <w:sz w:val="20"/>
        </w:rPr>
      </w:pPr>
    </w:p>
    <w:p>
      <w:pPr>
        <w:pStyle w:val="BodyText"/>
        <w:spacing w:before="70"/>
        <w:rPr>
          <w:sz w:val="20"/>
        </w:rPr>
      </w:pPr>
    </w:p>
    <w:p>
      <w:pPr>
        <w:pStyle w:val="Heading2"/>
        <w:numPr>
          <w:ilvl w:val="1"/>
          <w:numId w:val="34"/>
        </w:numPr>
        <w:tabs>
          <w:tab w:pos="1354" w:val="left" w:leader="none"/>
        </w:tabs>
        <w:spacing w:line="240" w:lineRule="auto" w:before="0" w:after="0"/>
        <w:ind w:left="1354" w:right="0" w:hanging="645"/>
        <w:jc w:val="left"/>
      </w:pPr>
      <w:bookmarkStart w:name="5.2 Era Composition and Per-Scenario Ana" w:id="179"/>
      <w:bookmarkEnd w:id="179"/>
      <w:r>
        <w:rPr>
          <w:b w:val="0"/>
        </w:rPr>
      </w:r>
      <w:bookmarkStart w:name="_bookmark103" w:id="180"/>
      <w:bookmarkEnd w:id="180"/>
      <w:r>
        <w:rPr>
          <w:b w:val="0"/>
        </w:rPr>
      </w:r>
      <w:r>
        <w:rPr/>
        <w:t>Era</w:t>
      </w:r>
      <w:r>
        <w:rPr>
          <w:spacing w:val="17"/>
        </w:rPr>
        <w:t> </w:t>
      </w:r>
      <w:r>
        <w:rPr/>
        <w:t>Composition</w:t>
      </w:r>
      <w:r>
        <w:rPr>
          <w:spacing w:val="18"/>
        </w:rPr>
        <w:t> </w:t>
      </w:r>
      <w:r>
        <w:rPr/>
        <w:t>and</w:t>
      </w:r>
      <w:r>
        <w:rPr>
          <w:spacing w:val="17"/>
        </w:rPr>
        <w:t> </w:t>
      </w:r>
      <w:r>
        <w:rPr/>
        <w:t>Per-Scenario</w:t>
      </w:r>
      <w:r>
        <w:rPr>
          <w:spacing w:val="18"/>
        </w:rPr>
        <w:t> </w:t>
      </w:r>
      <w:r>
        <w:rPr/>
        <w:t>Analysis</w:t>
      </w:r>
      <w:r>
        <w:rPr>
          <w:spacing w:val="17"/>
        </w:rPr>
        <w:t> </w:t>
      </w:r>
      <w:r>
        <w:rPr>
          <w:spacing w:val="-2"/>
        </w:rPr>
        <w:t>(RDD)</w:t>
      </w:r>
    </w:p>
    <w:p>
      <w:pPr>
        <w:pStyle w:val="BodyText"/>
        <w:spacing w:line="312" w:lineRule="auto" w:before="297"/>
        <w:ind w:left="709" w:right="990" w:hanging="7"/>
        <w:jc w:val="both"/>
      </w:pPr>
      <w:r>
        <w:rPr>
          <w:spacing w:val="-2"/>
        </w:rPr>
        <w:t>To</w:t>
      </w:r>
      <w:r>
        <w:rPr>
          <w:spacing w:val="-8"/>
        </w:rPr>
        <w:t> </w:t>
      </w:r>
      <w:r>
        <w:rPr>
          <w:spacing w:val="-2"/>
        </w:rPr>
        <w:t>investigate</w:t>
      </w:r>
      <w:r>
        <w:rPr>
          <w:spacing w:val="-8"/>
        </w:rPr>
        <w:t> </w:t>
      </w:r>
      <w:r>
        <w:rPr>
          <w:spacing w:val="-2"/>
        </w:rPr>
        <w:t>whether</w:t>
      </w:r>
      <w:r>
        <w:rPr>
          <w:spacing w:val="-8"/>
        </w:rPr>
        <w:t> </w:t>
      </w:r>
      <w:r>
        <w:rPr>
          <w:spacing w:val="-2"/>
        </w:rPr>
        <w:t>the</w:t>
      </w:r>
      <w:r>
        <w:rPr>
          <w:spacing w:val="-8"/>
        </w:rPr>
        <w:t> </w:t>
      </w:r>
      <w:r>
        <w:rPr>
          <w:spacing w:val="-2"/>
        </w:rPr>
        <w:t>aggregate</w:t>
      </w:r>
      <w:r>
        <w:rPr>
          <w:spacing w:val="-8"/>
        </w:rPr>
        <w:t> </w:t>
      </w:r>
      <w:r>
        <w:rPr>
          <w:spacing w:val="-2"/>
        </w:rPr>
        <w:t>weighted</w:t>
      </w:r>
      <w:r>
        <w:rPr>
          <w:spacing w:val="-8"/>
        </w:rPr>
        <w:t> </w:t>
      </w:r>
      <w:r>
        <w:rPr>
          <w:spacing w:val="-2"/>
        </w:rPr>
        <w:t>MAE</w:t>
      </w:r>
      <w:r>
        <w:rPr>
          <w:spacing w:val="-8"/>
        </w:rPr>
        <w:t> </w:t>
      </w:r>
      <w:r>
        <w:rPr>
          <w:spacing w:val="-2"/>
        </w:rPr>
        <w:t>obscures</w:t>
      </w:r>
      <w:r>
        <w:rPr>
          <w:spacing w:val="-8"/>
        </w:rPr>
        <w:t> </w:t>
      </w:r>
      <w:r>
        <w:rPr>
          <w:spacing w:val="-2"/>
        </w:rPr>
        <w:t>important</w:t>
      </w:r>
      <w:r>
        <w:rPr>
          <w:spacing w:val="-8"/>
        </w:rPr>
        <w:t> </w:t>
      </w:r>
      <w:r>
        <w:rPr>
          <w:spacing w:val="-2"/>
        </w:rPr>
        <w:t>structure,</w:t>
      </w:r>
      <w:r>
        <w:rPr>
          <w:spacing w:val="-8"/>
        </w:rPr>
        <w:t> </w:t>
      </w:r>
      <w:r>
        <w:rPr>
          <w:spacing w:val="-2"/>
        </w:rPr>
        <w:t>the</w:t>
      </w:r>
      <w:r>
        <w:rPr>
          <w:spacing w:val="-8"/>
        </w:rPr>
        <w:t> </w:t>
      </w:r>
      <w:r>
        <w:rPr>
          <w:spacing w:val="-2"/>
        </w:rPr>
        <w:t>per-scenario </w:t>
      </w:r>
      <w:r>
        <w:rPr/>
        <w:t>MAE</w:t>
      </w:r>
      <w:r>
        <w:rPr>
          <w:spacing w:val="-12"/>
        </w:rPr>
        <w:t> </w:t>
      </w:r>
      <w:r>
        <w:rPr/>
        <w:t>for</w:t>
      </w:r>
      <w:r>
        <w:rPr>
          <w:spacing w:val="-12"/>
        </w:rPr>
        <w:t> </w:t>
      </w:r>
      <w:r>
        <w:rPr/>
        <w:t>CarenR_Dist_Eta2</w:t>
      </w:r>
      <w:r>
        <w:rPr>
          <w:spacing w:val="-12"/>
        </w:rPr>
        <w:t> </w:t>
      </w:r>
      <w:r>
        <w:rPr/>
        <w:t>was</w:t>
      </w:r>
      <w:r>
        <w:rPr>
          <w:spacing w:val="-12"/>
        </w:rPr>
        <w:t> </w:t>
      </w:r>
      <w:r>
        <w:rPr/>
        <w:t>examined</w:t>
      </w:r>
      <w:r>
        <w:rPr>
          <w:spacing w:val="-12"/>
        </w:rPr>
        <w:t> </w:t>
      </w:r>
      <w:r>
        <w:rPr/>
        <w:t>alongside</w:t>
      </w:r>
      <w:r>
        <w:rPr>
          <w:spacing w:val="-12"/>
        </w:rPr>
        <w:t> </w:t>
      </w:r>
      <w:r>
        <w:rPr/>
        <w:t>the</w:t>
      </w:r>
      <w:r>
        <w:rPr>
          <w:spacing w:val="-12"/>
        </w:rPr>
        <w:t> </w:t>
      </w:r>
      <w:r>
        <w:rPr/>
        <w:t>proportion</w:t>
      </w:r>
      <w:r>
        <w:rPr>
          <w:spacing w:val="-12"/>
        </w:rPr>
        <w:t> </w:t>
      </w:r>
      <w:r>
        <w:rPr/>
        <w:t>of</w:t>
      </w:r>
      <w:r>
        <w:rPr>
          <w:spacing w:val="-12"/>
        </w:rPr>
        <w:t> </w:t>
      </w:r>
      <w:r>
        <w:rPr/>
        <w:t>post-1990</w:t>
      </w:r>
      <w:r>
        <w:rPr>
          <w:spacing w:val="-12"/>
        </w:rPr>
        <w:t> </w:t>
      </w:r>
      <w:r>
        <w:rPr/>
        <w:t>observations</w:t>
      </w:r>
      <w:r>
        <w:rPr>
          <w:spacing w:val="-12"/>
        </w:rPr>
        <w:t> </w:t>
      </w:r>
      <w:r>
        <w:rPr/>
        <w:t>in </w:t>
      </w:r>
      <w:r>
        <w:rPr>
          <w:spacing w:val="-2"/>
        </w:rPr>
        <w:t>each</w:t>
      </w:r>
      <w:r>
        <w:rPr>
          <w:spacing w:val="-6"/>
        </w:rPr>
        <w:t> </w:t>
      </w:r>
      <w:r>
        <w:rPr>
          <w:spacing w:val="-2"/>
        </w:rPr>
        <w:t>training</w:t>
      </w:r>
      <w:r>
        <w:rPr>
          <w:spacing w:val="-6"/>
        </w:rPr>
        <w:t> </w:t>
      </w:r>
      <w:r>
        <w:rPr>
          <w:spacing w:val="-2"/>
        </w:rPr>
        <w:t>fold. This</w:t>
      </w:r>
      <w:r>
        <w:rPr>
          <w:spacing w:val="-6"/>
        </w:rPr>
        <w:t> </w:t>
      </w:r>
      <w:r>
        <w:rPr>
          <w:spacing w:val="-2"/>
        </w:rPr>
        <w:t>analysis</w:t>
      </w:r>
      <w:r>
        <w:rPr>
          <w:spacing w:val="-6"/>
        </w:rPr>
        <w:t> </w:t>
      </w:r>
      <w:r>
        <w:rPr>
          <w:spacing w:val="-2"/>
        </w:rPr>
        <w:t>was</w:t>
      </w:r>
      <w:r>
        <w:rPr>
          <w:spacing w:val="-6"/>
        </w:rPr>
        <w:t> </w:t>
      </w:r>
      <w:r>
        <w:rPr>
          <w:spacing w:val="-2"/>
        </w:rPr>
        <w:t>conducted</w:t>
      </w:r>
      <w:r>
        <w:rPr>
          <w:spacing w:val="-6"/>
        </w:rPr>
        <w:t> </w:t>
      </w:r>
      <w:r>
        <w:rPr>
          <w:spacing w:val="-2"/>
        </w:rPr>
        <w:t>after</w:t>
      </w:r>
      <w:r>
        <w:rPr>
          <w:spacing w:val="-6"/>
        </w:rPr>
        <w:t> </w:t>
      </w:r>
      <w:r>
        <w:rPr>
          <w:spacing w:val="-2"/>
        </w:rPr>
        <w:t>observing</w:t>
      </w:r>
      <w:r>
        <w:rPr>
          <w:spacing w:val="-6"/>
        </w:rPr>
        <w:t> </w:t>
      </w:r>
      <w:r>
        <w:rPr>
          <w:spacing w:val="-2"/>
        </w:rPr>
        <w:t>the</w:t>
      </w:r>
      <w:r>
        <w:rPr>
          <w:spacing w:val="-6"/>
        </w:rPr>
        <w:t> </w:t>
      </w:r>
      <w:r>
        <w:rPr>
          <w:spacing w:val="-2"/>
        </w:rPr>
        <w:t>aggregate</w:t>
      </w:r>
      <w:r>
        <w:rPr>
          <w:spacing w:val="-6"/>
        </w:rPr>
        <w:t> </w:t>
      </w:r>
      <w:r>
        <w:rPr>
          <w:spacing w:val="-2"/>
        </w:rPr>
        <w:t>results;</w:t>
      </w:r>
      <w:r>
        <w:rPr>
          <w:spacing w:val="-6"/>
        </w:rPr>
        <w:t> </w:t>
      </w:r>
      <w:r>
        <w:rPr>
          <w:spacing w:val="-2"/>
        </w:rPr>
        <w:t>it</w:t>
      </w:r>
      <w:r>
        <w:rPr>
          <w:spacing w:val="-6"/>
        </w:rPr>
        <w:t> </w:t>
      </w:r>
      <w:r>
        <w:rPr>
          <w:spacing w:val="-2"/>
        </w:rPr>
        <w:t>is</w:t>
      </w:r>
      <w:r>
        <w:rPr>
          <w:spacing w:val="-6"/>
        </w:rPr>
        <w:t> </w:t>
      </w:r>
      <w:r>
        <w:rPr>
          <w:spacing w:val="-2"/>
        </w:rPr>
        <w:t>therefore </w:t>
      </w:r>
      <w:r>
        <w:rPr/>
        <w:t>exploratory,</w:t>
      </w:r>
      <w:r>
        <w:rPr>
          <w:spacing w:val="-14"/>
        </w:rPr>
        <w:t> </w:t>
      </w:r>
      <w:r>
        <w:rPr/>
        <w:t>and</w:t>
      </w:r>
      <w:r>
        <w:rPr>
          <w:spacing w:val="-14"/>
        </w:rPr>
        <w:t> </w:t>
      </w:r>
      <w:r>
        <w:rPr/>
        <w:t>all</w:t>
      </w:r>
      <w:r>
        <w:rPr>
          <w:spacing w:val="-14"/>
        </w:rPr>
        <w:t> </w:t>
      </w:r>
      <w:r>
        <w:rPr/>
        <w:t>conclusions</w:t>
      </w:r>
      <w:r>
        <w:rPr>
          <w:spacing w:val="-13"/>
        </w:rPr>
        <w:t> </w:t>
      </w:r>
      <w:r>
        <w:rPr/>
        <w:t>drawn</w:t>
      </w:r>
      <w:r>
        <w:rPr>
          <w:spacing w:val="-14"/>
        </w:rPr>
        <w:t> </w:t>
      </w:r>
      <w:r>
        <w:rPr/>
        <w:t>from</w:t>
      </w:r>
      <w:r>
        <w:rPr>
          <w:spacing w:val="-14"/>
        </w:rPr>
        <w:t> </w:t>
      </w:r>
      <w:r>
        <w:rPr/>
        <w:t>it</w:t>
      </w:r>
      <w:r>
        <w:rPr>
          <w:spacing w:val="-14"/>
        </w:rPr>
        <w:t> </w:t>
      </w:r>
      <w:r>
        <w:rPr/>
        <w:t>should</w:t>
      </w:r>
      <w:r>
        <w:rPr>
          <w:spacing w:val="-13"/>
        </w:rPr>
        <w:t> </w:t>
      </w:r>
      <w:r>
        <w:rPr/>
        <w:t>be</w:t>
      </w:r>
      <w:r>
        <w:rPr>
          <w:spacing w:val="-14"/>
        </w:rPr>
        <w:t> </w:t>
      </w:r>
      <w:r>
        <w:rPr/>
        <w:t>read</w:t>
      </w:r>
      <w:r>
        <w:rPr>
          <w:spacing w:val="-14"/>
        </w:rPr>
        <w:t> </w:t>
      </w:r>
      <w:r>
        <w:rPr/>
        <w:t>as</w:t>
      </w:r>
      <w:r>
        <w:rPr>
          <w:spacing w:val="-14"/>
        </w:rPr>
        <w:t> </w:t>
      </w:r>
      <w:r>
        <w:rPr/>
        <w:t>hypothesis-generating</w:t>
      </w:r>
      <w:r>
        <w:rPr>
          <w:spacing w:val="-13"/>
        </w:rPr>
        <w:t> </w:t>
      </w:r>
      <w:r>
        <w:rPr/>
        <w:t>rather</w:t>
      </w:r>
      <w:r>
        <w:rPr>
          <w:spacing w:val="-14"/>
        </w:rPr>
        <w:t> </w:t>
      </w:r>
      <w:r>
        <w:rPr/>
        <w:t>than </w:t>
      </w:r>
      <w:r>
        <w:rPr>
          <w:spacing w:val="-2"/>
        </w:rPr>
        <w:t>confirmatory.</w:t>
      </w:r>
    </w:p>
    <w:p>
      <w:pPr>
        <w:spacing w:before="151"/>
        <w:ind w:left="1775" w:right="0" w:firstLine="0"/>
        <w:jc w:val="both"/>
        <w:rPr>
          <w:sz w:val="20"/>
        </w:rPr>
      </w:pPr>
      <w:bookmarkStart w:name="_bookmark104" w:id="181"/>
      <w:bookmarkEnd w:id="181"/>
      <w:r>
        <w:rPr/>
      </w:r>
      <w:r>
        <w:rPr>
          <w:b/>
          <w:spacing w:val="-2"/>
          <w:sz w:val="20"/>
        </w:rPr>
        <w:t>Table</w:t>
      </w:r>
      <w:r>
        <w:rPr>
          <w:b/>
          <w:spacing w:val="3"/>
          <w:sz w:val="20"/>
        </w:rPr>
        <w:t> </w:t>
      </w:r>
      <w:r>
        <w:rPr>
          <w:b/>
          <w:spacing w:val="-2"/>
          <w:sz w:val="20"/>
        </w:rPr>
        <w:t>5.3:</w:t>
      </w:r>
      <w:r>
        <w:rPr>
          <w:b/>
          <w:spacing w:val="16"/>
          <w:sz w:val="20"/>
        </w:rPr>
        <w:t> </w:t>
      </w:r>
      <w:r>
        <w:rPr>
          <w:spacing w:val="-2"/>
          <w:sz w:val="20"/>
        </w:rPr>
        <w:t>Per-scenario</w:t>
      </w:r>
      <w:r>
        <w:rPr>
          <w:spacing w:val="3"/>
          <w:sz w:val="20"/>
        </w:rPr>
        <w:t> </w:t>
      </w:r>
      <w:r>
        <w:rPr>
          <w:rFonts w:ascii="Courier New"/>
          <w:spacing w:val="-2"/>
          <w:sz w:val="20"/>
        </w:rPr>
        <w:t>CarenR_Dist_Eta2</w:t>
      </w:r>
      <w:r>
        <w:rPr>
          <w:rFonts w:ascii="Courier New"/>
          <w:spacing w:val="-67"/>
          <w:sz w:val="20"/>
        </w:rPr>
        <w:t> </w:t>
      </w:r>
      <w:r>
        <w:rPr>
          <w:spacing w:val="-2"/>
          <w:sz w:val="20"/>
        </w:rPr>
        <w:t>vs</w:t>
      </w:r>
      <w:r>
        <w:rPr>
          <w:spacing w:val="3"/>
          <w:sz w:val="20"/>
        </w:rPr>
        <w:t> </w:t>
      </w:r>
      <w:r>
        <w:rPr>
          <w:rFonts w:ascii="Courier New"/>
          <w:spacing w:val="-2"/>
          <w:sz w:val="20"/>
        </w:rPr>
        <w:t>Naive_Median</w:t>
      </w:r>
      <w:r>
        <w:rPr>
          <w:rFonts w:ascii="Courier New"/>
          <w:spacing w:val="-67"/>
          <w:sz w:val="20"/>
        </w:rPr>
        <w:t> </w:t>
      </w:r>
      <w:r>
        <w:rPr>
          <w:spacing w:val="-2"/>
          <w:sz w:val="20"/>
        </w:rPr>
        <w:t>for</w:t>
      </w:r>
      <w:r>
        <w:rPr>
          <w:spacing w:val="3"/>
          <w:sz w:val="20"/>
        </w:rPr>
        <w:t> </w:t>
      </w:r>
      <w:r>
        <w:rPr>
          <w:spacing w:val="-4"/>
          <w:sz w:val="20"/>
        </w:rPr>
        <w:t>RDD.</w:t>
      </w:r>
    </w:p>
    <w:p>
      <w:pPr>
        <w:pStyle w:val="BodyText"/>
        <w:rPr>
          <w:sz w:val="17"/>
        </w:rPr>
      </w:pPr>
      <w:r>
        <w:rPr>
          <w:sz w:val="17"/>
        </w:rPr>
        <mc:AlternateContent>
          <mc:Choice Requires="wps">
            <w:drawing>
              <wp:anchor distT="0" distB="0" distL="0" distR="0" allowOverlap="1" layoutInCell="1" locked="0" behindDoc="1" simplePos="0" relativeHeight="487624192">
                <wp:simplePos x="0" y="0"/>
                <wp:positionH relativeFrom="page">
                  <wp:posOffset>1260005</wp:posOffset>
                </wp:positionH>
                <wp:positionV relativeFrom="paragraph">
                  <wp:posOffset>139710</wp:posOffset>
                </wp:positionV>
                <wp:extent cx="5400040" cy="1270"/>
                <wp:effectExtent l="0" t="0" r="0" b="0"/>
                <wp:wrapTopAndBottom/>
                <wp:docPr id="193" name="Graphic 193"/>
                <wp:cNvGraphicFramePr>
                  <a:graphicFrameLocks/>
                </wp:cNvGraphicFramePr>
                <a:graphic>
                  <a:graphicData uri="http://schemas.microsoft.com/office/word/2010/wordprocessingShape">
                    <wps:wsp>
                      <wps:cNvPr id="193" name="Graphic 193"/>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1.000803pt;width:425.2pt;height:.1pt;mso-position-horizontal-relative:page;mso-position-vertical-relative:paragraph;z-index:-15692288;mso-wrap-distance-left:0;mso-wrap-distance-right:0" id="docshape164" coordorigin="1984,220" coordsize="8504,0" path="m1984,220l10488,220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7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944"/>
        <w:gridCol w:w="1211"/>
        <w:gridCol w:w="1211"/>
        <w:gridCol w:w="1324"/>
        <w:gridCol w:w="1721"/>
        <w:gridCol w:w="1093"/>
      </w:tblGrid>
      <w:tr>
        <w:trPr>
          <w:trHeight w:val="585" w:hRule="atLeast"/>
        </w:trPr>
        <w:tc>
          <w:tcPr>
            <w:tcW w:w="1944" w:type="dxa"/>
            <w:tcBorders>
              <w:top w:val="nil"/>
              <w:left w:val="nil"/>
              <w:right w:val="single" w:sz="4" w:space="0" w:color="000000"/>
            </w:tcBorders>
          </w:tcPr>
          <w:p>
            <w:pPr>
              <w:pStyle w:val="TableParagraph"/>
              <w:spacing w:before="31"/>
              <w:ind w:left="119"/>
              <w:rPr>
                <w:sz w:val="20"/>
              </w:rPr>
            </w:pPr>
            <w:r>
              <w:rPr>
                <w:spacing w:val="-2"/>
                <w:sz w:val="20"/>
              </w:rPr>
              <w:t>Phase</w:t>
            </w:r>
          </w:p>
        </w:tc>
        <w:tc>
          <w:tcPr>
            <w:tcW w:w="1211" w:type="dxa"/>
            <w:tcBorders>
              <w:top w:val="nil"/>
              <w:left w:val="single" w:sz="4" w:space="0" w:color="000000"/>
              <w:right w:val="single" w:sz="4" w:space="0" w:color="000000"/>
            </w:tcBorders>
          </w:tcPr>
          <w:p>
            <w:pPr>
              <w:pStyle w:val="TableParagraph"/>
              <w:spacing w:before="31"/>
              <w:ind w:left="118"/>
              <w:rPr>
                <w:sz w:val="20"/>
              </w:rPr>
            </w:pPr>
            <w:r>
              <w:rPr>
                <w:spacing w:val="-2"/>
                <w:sz w:val="20"/>
              </w:rPr>
              <w:t>Scenarios</w:t>
            </w:r>
          </w:p>
        </w:tc>
        <w:tc>
          <w:tcPr>
            <w:tcW w:w="1211" w:type="dxa"/>
            <w:tcBorders>
              <w:top w:val="nil"/>
              <w:left w:val="single" w:sz="4" w:space="0" w:color="000000"/>
              <w:right w:val="single" w:sz="4" w:space="0" w:color="000000"/>
            </w:tcBorders>
          </w:tcPr>
          <w:p>
            <w:pPr>
              <w:pStyle w:val="TableParagraph"/>
              <w:spacing w:line="249" w:lineRule="auto" w:before="31"/>
              <w:ind w:left="118"/>
              <w:rPr>
                <w:sz w:val="20"/>
              </w:rPr>
            </w:pPr>
            <w:r>
              <w:rPr>
                <w:spacing w:val="-2"/>
                <w:sz w:val="20"/>
              </w:rPr>
              <w:t>Post-</w:t>
            </w:r>
            <w:r>
              <w:rPr>
                <w:spacing w:val="-2"/>
                <w:sz w:val="20"/>
              </w:rPr>
              <w:t>1990 share</w:t>
            </w:r>
          </w:p>
        </w:tc>
        <w:tc>
          <w:tcPr>
            <w:tcW w:w="1324" w:type="dxa"/>
            <w:tcBorders>
              <w:top w:val="nil"/>
              <w:left w:val="single" w:sz="4" w:space="0" w:color="000000"/>
              <w:right w:val="single" w:sz="4" w:space="0" w:color="000000"/>
            </w:tcBorders>
          </w:tcPr>
          <w:p>
            <w:pPr>
              <w:pStyle w:val="TableParagraph"/>
              <w:spacing w:before="31"/>
              <w:ind w:left="118"/>
              <w:rPr>
                <w:sz w:val="20"/>
              </w:rPr>
            </w:pPr>
            <w:r>
              <w:rPr>
                <w:spacing w:val="-2"/>
                <w:sz w:val="20"/>
              </w:rPr>
              <w:t>Test</w:t>
            </w:r>
            <w:r>
              <w:rPr>
                <w:spacing w:val="-11"/>
                <w:sz w:val="20"/>
              </w:rPr>
              <w:t> </w:t>
            </w:r>
            <w:r>
              <w:rPr>
                <w:spacing w:val="-2"/>
                <w:sz w:val="20"/>
              </w:rPr>
              <w:t>window</w:t>
            </w:r>
          </w:p>
        </w:tc>
        <w:tc>
          <w:tcPr>
            <w:tcW w:w="1721" w:type="dxa"/>
            <w:tcBorders>
              <w:top w:val="nil"/>
              <w:left w:val="single" w:sz="4" w:space="0" w:color="000000"/>
              <w:right w:val="single" w:sz="4" w:space="0" w:color="000000"/>
            </w:tcBorders>
          </w:tcPr>
          <w:p>
            <w:pPr>
              <w:pStyle w:val="TableParagraph"/>
              <w:spacing w:line="249" w:lineRule="auto" w:before="31"/>
              <w:ind w:left="118"/>
              <w:rPr>
                <w:sz w:val="20"/>
              </w:rPr>
            </w:pPr>
            <w:r>
              <w:rPr>
                <w:sz w:val="20"/>
              </w:rPr>
              <w:t>CarenR</w:t>
            </w:r>
            <w:r>
              <w:rPr>
                <w:spacing w:val="-10"/>
                <w:sz w:val="20"/>
              </w:rPr>
              <w:t> </w:t>
            </w:r>
            <w:r>
              <w:rPr>
                <w:sz w:val="20"/>
              </w:rPr>
              <w:t>vs</w:t>
            </w:r>
            <w:r>
              <w:rPr>
                <w:spacing w:val="-10"/>
                <w:sz w:val="20"/>
              </w:rPr>
              <w:t> </w:t>
            </w:r>
            <w:r>
              <w:rPr>
                <w:sz w:val="20"/>
              </w:rPr>
              <w:t>Naive_ </w:t>
            </w:r>
            <w:r>
              <w:rPr>
                <w:spacing w:val="-2"/>
                <w:sz w:val="20"/>
              </w:rPr>
              <w:t>Median</w:t>
            </w:r>
          </w:p>
        </w:tc>
        <w:tc>
          <w:tcPr>
            <w:tcW w:w="1093" w:type="dxa"/>
            <w:tcBorders>
              <w:top w:val="nil"/>
              <w:left w:val="single" w:sz="4" w:space="0" w:color="000000"/>
              <w:right w:val="nil"/>
            </w:tcBorders>
          </w:tcPr>
          <w:p>
            <w:pPr>
              <w:pStyle w:val="TableParagraph"/>
              <w:spacing w:line="249" w:lineRule="auto" w:before="31"/>
              <w:ind w:left="111" w:right="346" w:firstLine="7"/>
              <w:rPr>
                <w:sz w:val="20"/>
              </w:rPr>
            </w:pPr>
            <w:r>
              <w:rPr>
                <w:spacing w:val="-2"/>
                <w:sz w:val="20"/>
              </w:rPr>
              <w:t>CarenR wins?</w:t>
            </w:r>
          </w:p>
        </w:tc>
      </w:tr>
    </w:tbl>
    <w:p>
      <w:pPr>
        <w:pStyle w:val="BodyText"/>
        <w:spacing w:before="10"/>
        <w:rPr>
          <w:sz w:val="4"/>
        </w:rPr>
      </w:pPr>
    </w:p>
    <w:tbl>
      <w:tblPr>
        <w:tblW w:w="0" w:type="auto"/>
        <w:jc w:val="left"/>
        <w:tblInd w:w="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44"/>
        <w:gridCol w:w="1211"/>
        <w:gridCol w:w="1211"/>
        <w:gridCol w:w="1324"/>
        <w:gridCol w:w="1721"/>
        <w:gridCol w:w="1093"/>
      </w:tblGrid>
      <w:tr>
        <w:trPr>
          <w:trHeight w:val="548" w:hRule="atLeast"/>
        </w:trPr>
        <w:tc>
          <w:tcPr>
            <w:tcW w:w="1944" w:type="dxa"/>
            <w:tcBorders>
              <w:right w:val="single" w:sz="4" w:space="0" w:color="000000"/>
            </w:tcBorders>
          </w:tcPr>
          <w:p>
            <w:pPr>
              <w:pStyle w:val="TableParagraph"/>
              <w:tabs>
                <w:tab w:pos="1537" w:val="left" w:leader="none"/>
              </w:tabs>
              <w:spacing w:before="31"/>
              <w:ind w:left="119"/>
              <w:rPr>
                <w:sz w:val="20"/>
              </w:rPr>
            </w:pPr>
            <w:r>
              <w:rPr>
                <w:spacing w:val="-2"/>
                <w:sz w:val="20"/>
              </w:rPr>
              <w:t>Early,</w:t>
            </w:r>
            <w:r>
              <w:rPr>
                <w:sz w:val="20"/>
              </w:rPr>
              <w:tab/>
            </w:r>
            <w:r>
              <w:rPr>
                <w:spacing w:val="-4"/>
                <w:sz w:val="20"/>
              </w:rPr>
              <w:t>era-</w:t>
            </w:r>
          </w:p>
          <w:p>
            <w:pPr>
              <w:pStyle w:val="TableParagraph"/>
              <w:spacing w:before="9"/>
              <w:ind w:left="119"/>
              <w:rPr>
                <w:sz w:val="20"/>
              </w:rPr>
            </w:pPr>
            <w:r>
              <w:rPr>
                <w:spacing w:val="-2"/>
                <w:sz w:val="20"/>
              </w:rPr>
              <w:t>confounded</w:t>
            </w:r>
          </w:p>
        </w:tc>
        <w:tc>
          <w:tcPr>
            <w:tcW w:w="1211" w:type="dxa"/>
            <w:tcBorders>
              <w:left w:val="single" w:sz="4" w:space="0" w:color="000000"/>
              <w:right w:val="single" w:sz="4" w:space="0" w:color="000000"/>
            </w:tcBorders>
          </w:tcPr>
          <w:p>
            <w:pPr>
              <w:pStyle w:val="TableParagraph"/>
              <w:spacing w:before="31"/>
              <w:ind w:left="118"/>
              <w:rPr>
                <w:sz w:val="20"/>
              </w:rPr>
            </w:pPr>
            <w:r>
              <w:rPr>
                <w:spacing w:val="-2"/>
                <w:sz w:val="20"/>
              </w:rPr>
              <w:t>1–</w:t>
            </w:r>
            <w:r>
              <w:rPr>
                <w:spacing w:val="-10"/>
                <w:sz w:val="20"/>
              </w:rPr>
              <w:t>9</w:t>
            </w:r>
          </w:p>
        </w:tc>
        <w:tc>
          <w:tcPr>
            <w:tcW w:w="1211" w:type="dxa"/>
            <w:tcBorders>
              <w:left w:val="single" w:sz="4" w:space="0" w:color="000000"/>
              <w:right w:val="single" w:sz="4" w:space="0" w:color="000000"/>
            </w:tcBorders>
          </w:tcPr>
          <w:p>
            <w:pPr>
              <w:pStyle w:val="TableParagraph"/>
              <w:spacing w:before="31"/>
              <w:ind w:left="118"/>
              <w:rPr>
                <w:sz w:val="20"/>
              </w:rPr>
            </w:pPr>
            <w:r>
              <w:rPr>
                <w:spacing w:val="-2"/>
                <w:sz w:val="20"/>
              </w:rPr>
              <w:t>20–</w:t>
            </w:r>
            <w:r>
              <w:rPr>
                <w:spacing w:val="-5"/>
                <w:sz w:val="20"/>
              </w:rPr>
              <w:t>28%</w:t>
            </w:r>
          </w:p>
        </w:tc>
        <w:tc>
          <w:tcPr>
            <w:tcW w:w="1324" w:type="dxa"/>
            <w:tcBorders>
              <w:left w:val="single" w:sz="4" w:space="0" w:color="000000"/>
              <w:right w:val="single" w:sz="4" w:space="0" w:color="000000"/>
            </w:tcBorders>
          </w:tcPr>
          <w:p>
            <w:pPr>
              <w:pStyle w:val="TableParagraph"/>
              <w:spacing w:before="31"/>
              <w:ind w:left="118"/>
              <w:rPr>
                <w:sz w:val="20"/>
              </w:rPr>
            </w:pPr>
            <w:r>
              <w:rPr>
                <w:sz w:val="20"/>
              </w:rPr>
              <w:t>10–18</w:t>
            </w:r>
            <w:r>
              <w:rPr>
                <w:spacing w:val="-6"/>
                <w:sz w:val="20"/>
              </w:rPr>
              <w:t> </w:t>
            </w:r>
            <w:r>
              <w:rPr>
                <w:spacing w:val="-2"/>
                <w:sz w:val="20"/>
              </w:rPr>
              <w:t>years</w:t>
            </w:r>
          </w:p>
        </w:tc>
        <w:tc>
          <w:tcPr>
            <w:tcW w:w="1721" w:type="dxa"/>
            <w:tcBorders>
              <w:left w:val="single" w:sz="4" w:space="0" w:color="000000"/>
              <w:right w:val="single" w:sz="4" w:space="0" w:color="000000"/>
            </w:tcBorders>
          </w:tcPr>
          <w:p>
            <w:pPr>
              <w:pStyle w:val="TableParagraph"/>
              <w:spacing w:before="31"/>
              <w:ind w:left="118"/>
              <w:rPr>
                <w:sz w:val="20"/>
              </w:rPr>
            </w:pPr>
            <w:r>
              <w:rPr>
                <w:sz w:val="20"/>
              </w:rPr>
              <w:t>+5</w:t>
            </w:r>
            <w:r>
              <w:rPr>
                <w:spacing w:val="-4"/>
                <w:sz w:val="20"/>
              </w:rPr>
              <w:t> </w:t>
            </w:r>
            <w:r>
              <w:rPr>
                <w:sz w:val="20"/>
              </w:rPr>
              <w:t>to</w:t>
            </w:r>
            <w:r>
              <w:rPr>
                <w:spacing w:val="-3"/>
                <w:sz w:val="20"/>
              </w:rPr>
              <w:t> </w:t>
            </w:r>
            <w:r>
              <w:rPr>
                <w:sz w:val="20"/>
              </w:rPr>
              <w:t>+28</w:t>
            </w:r>
            <w:r>
              <w:rPr>
                <w:spacing w:val="-3"/>
                <w:sz w:val="20"/>
              </w:rPr>
              <w:t> </w:t>
            </w:r>
            <w:r>
              <w:rPr>
                <w:spacing w:val="-5"/>
                <w:sz w:val="20"/>
              </w:rPr>
              <w:t>mhl</w:t>
            </w:r>
          </w:p>
        </w:tc>
        <w:tc>
          <w:tcPr>
            <w:tcW w:w="1093" w:type="dxa"/>
            <w:tcBorders>
              <w:left w:val="single" w:sz="4" w:space="0" w:color="000000"/>
            </w:tcBorders>
          </w:tcPr>
          <w:p>
            <w:pPr>
              <w:pStyle w:val="TableParagraph"/>
              <w:tabs>
                <w:tab w:pos="640" w:val="left" w:leader="none"/>
              </w:tabs>
              <w:spacing w:line="249" w:lineRule="auto" w:before="31"/>
              <w:ind w:left="118" w:right="117"/>
              <w:rPr>
                <w:sz w:val="20"/>
              </w:rPr>
            </w:pPr>
            <w:r>
              <w:rPr>
                <w:spacing w:val="-6"/>
                <w:sz w:val="20"/>
              </w:rPr>
              <w:t>No</w:t>
            </w:r>
            <w:r>
              <w:rPr>
                <w:sz w:val="20"/>
              </w:rPr>
              <w:tab/>
            </w:r>
            <w:r>
              <w:rPr>
                <w:spacing w:val="-4"/>
                <w:sz w:val="20"/>
              </w:rPr>
              <w:t>(7/9 </w:t>
            </w:r>
            <w:r>
              <w:rPr>
                <w:spacing w:val="-2"/>
                <w:sz w:val="20"/>
              </w:rPr>
              <w:t>losses)</w:t>
            </w:r>
          </w:p>
        </w:tc>
      </w:tr>
      <w:tr>
        <w:trPr>
          <w:trHeight w:val="549" w:hRule="atLeast"/>
        </w:trPr>
        <w:tc>
          <w:tcPr>
            <w:tcW w:w="1944" w:type="dxa"/>
            <w:tcBorders>
              <w:right w:val="single" w:sz="4" w:space="0" w:color="000000"/>
            </w:tcBorders>
          </w:tcPr>
          <w:p>
            <w:pPr>
              <w:pStyle w:val="TableParagraph"/>
              <w:ind w:left="119"/>
              <w:rPr>
                <w:sz w:val="20"/>
              </w:rPr>
            </w:pPr>
            <w:r>
              <w:rPr>
                <w:sz w:val="20"/>
              </w:rPr>
              <w:t>Balanced</w:t>
            </w:r>
            <w:r>
              <w:rPr>
                <w:spacing w:val="-9"/>
                <w:sz w:val="20"/>
              </w:rPr>
              <w:t> </w:t>
            </w:r>
            <w:r>
              <w:rPr>
                <w:spacing w:val="-5"/>
                <w:sz w:val="20"/>
              </w:rPr>
              <w:t>era</w:t>
            </w:r>
          </w:p>
        </w:tc>
        <w:tc>
          <w:tcPr>
            <w:tcW w:w="1211" w:type="dxa"/>
            <w:tcBorders>
              <w:left w:val="single" w:sz="4" w:space="0" w:color="000000"/>
              <w:right w:val="single" w:sz="4" w:space="0" w:color="000000"/>
            </w:tcBorders>
          </w:tcPr>
          <w:p>
            <w:pPr>
              <w:pStyle w:val="TableParagraph"/>
              <w:ind w:left="118"/>
              <w:rPr>
                <w:sz w:val="20"/>
              </w:rPr>
            </w:pPr>
            <w:r>
              <w:rPr>
                <w:spacing w:val="-2"/>
                <w:sz w:val="20"/>
              </w:rPr>
              <w:t>10–</w:t>
            </w:r>
            <w:r>
              <w:rPr>
                <w:spacing w:val="-5"/>
                <w:sz w:val="20"/>
              </w:rPr>
              <w:t>14</w:t>
            </w:r>
          </w:p>
        </w:tc>
        <w:tc>
          <w:tcPr>
            <w:tcW w:w="1211" w:type="dxa"/>
            <w:tcBorders>
              <w:left w:val="single" w:sz="4" w:space="0" w:color="000000"/>
              <w:right w:val="single" w:sz="4" w:space="0" w:color="000000"/>
            </w:tcBorders>
          </w:tcPr>
          <w:p>
            <w:pPr>
              <w:pStyle w:val="TableParagraph"/>
              <w:ind w:left="118"/>
              <w:rPr>
                <w:sz w:val="20"/>
              </w:rPr>
            </w:pPr>
            <w:r>
              <w:rPr>
                <w:spacing w:val="-2"/>
                <w:sz w:val="20"/>
              </w:rPr>
              <w:t>29–</w:t>
            </w:r>
            <w:r>
              <w:rPr>
                <w:spacing w:val="-5"/>
                <w:sz w:val="20"/>
              </w:rPr>
              <w:t>32%</w:t>
            </w:r>
          </w:p>
        </w:tc>
        <w:tc>
          <w:tcPr>
            <w:tcW w:w="1324" w:type="dxa"/>
            <w:tcBorders>
              <w:left w:val="single" w:sz="4" w:space="0" w:color="000000"/>
              <w:right w:val="single" w:sz="4" w:space="0" w:color="000000"/>
            </w:tcBorders>
          </w:tcPr>
          <w:p>
            <w:pPr>
              <w:pStyle w:val="TableParagraph"/>
              <w:ind w:left="118"/>
              <w:rPr>
                <w:sz w:val="20"/>
              </w:rPr>
            </w:pPr>
            <w:r>
              <w:rPr>
                <w:sz w:val="20"/>
              </w:rPr>
              <w:t>5–9</w:t>
            </w:r>
            <w:r>
              <w:rPr>
                <w:spacing w:val="-4"/>
                <w:sz w:val="20"/>
              </w:rPr>
              <w:t> </w:t>
            </w:r>
            <w:r>
              <w:rPr>
                <w:spacing w:val="-2"/>
                <w:sz w:val="20"/>
              </w:rPr>
              <w:t>years</w:t>
            </w:r>
          </w:p>
        </w:tc>
        <w:tc>
          <w:tcPr>
            <w:tcW w:w="1721" w:type="dxa"/>
            <w:tcBorders>
              <w:left w:val="single" w:sz="4" w:space="0" w:color="000000"/>
              <w:right w:val="single" w:sz="4" w:space="0" w:color="000000"/>
            </w:tcBorders>
          </w:tcPr>
          <w:p>
            <w:pPr>
              <w:pStyle w:val="TableParagraph"/>
              <w:ind w:left="118"/>
              <w:rPr>
                <w:sz w:val="20"/>
              </w:rPr>
            </w:pPr>
            <w:r>
              <w:rPr>
                <w:sz w:val="20"/>
              </w:rPr>
              <w:t>-17</w:t>
            </w:r>
            <w:r>
              <w:rPr>
                <w:spacing w:val="-4"/>
                <w:sz w:val="20"/>
              </w:rPr>
              <w:t> </w:t>
            </w:r>
            <w:r>
              <w:rPr>
                <w:sz w:val="20"/>
              </w:rPr>
              <w:t>to</w:t>
            </w:r>
            <w:r>
              <w:rPr>
                <w:spacing w:val="-3"/>
                <w:sz w:val="20"/>
              </w:rPr>
              <w:t> </w:t>
            </w:r>
            <w:r>
              <w:rPr>
                <w:sz w:val="20"/>
              </w:rPr>
              <w:t>-32</w:t>
            </w:r>
            <w:r>
              <w:rPr>
                <w:spacing w:val="-3"/>
                <w:sz w:val="20"/>
              </w:rPr>
              <w:t> </w:t>
            </w:r>
            <w:r>
              <w:rPr>
                <w:spacing w:val="-5"/>
                <w:sz w:val="20"/>
              </w:rPr>
              <w:t>mhl</w:t>
            </w:r>
          </w:p>
        </w:tc>
        <w:tc>
          <w:tcPr>
            <w:tcW w:w="1093" w:type="dxa"/>
            <w:tcBorders>
              <w:left w:val="single" w:sz="4" w:space="0" w:color="000000"/>
            </w:tcBorders>
          </w:tcPr>
          <w:p>
            <w:pPr>
              <w:pStyle w:val="TableParagraph"/>
              <w:tabs>
                <w:tab w:pos="640" w:val="left" w:leader="none"/>
              </w:tabs>
              <w:spacing w:line="249" w:lineRule="auto"/>
              <w:ind w:left="111" w:right="117" w:firstLine="7"/>
              <w:rPr>
                <w:sz w:val="20"/>
              </w:rPr>
            </w:pPr>
            <w:r>
              <w:rPr>
                <w:spacing w:val="-4"/>
                <w:sz w:val="20"/>
              </w:rPr>
              <w:t>Yes</w:t>
            </w:r>
            <w:r>
              <w:rPr>
                <w:sz w:val="20"/>
              </w:rPr>
              <w:tab/>
            </w:r>
            <w:r>
              <w:rPr>
                <w:spacing w:val="-4"/>
                <w:sz w:val="20"/>
              </w:rPr>
              <w:t>(5/5 </w:t>
            </w:r>
            <w:r>
              <w:rPr>
                <w:spacing w:val="-2"/>
                <w:sz w:val="20"/>
              </w:rPr>
              <w:t>wins)</w:t>
            </w:r>
          </w:p>
        </w:tc>
      </w:tr>
      <w:tr>
        <w:trPr>
          <w:trHeight w:val="348" w:hRule="atLeast"/>
        </w:trPr>
        <w:tc>
          <w:tcPr>
            <w:tcW w:w="1944" w:type="dxa"/>
            <w:tcBorders>
              <w:bottom w:val="single" w:sz="8" w:space="0" w:color="000000"/>
              <w:right w:val="single" w:sz="4" w:space="0" w:color="000000"/>
            </w:tcBorders>
          </w:tcPr>
          <w:p>
            <w:pPr>
              <w:pStyle w:val="TableParagraph"/>
              <w:ind w:left="119"/>
              <w:rPr>
                <w:sz w:val="20"/>
              </w:rPr>
            </w:pPr>
            <w:r>
              <w:rPr>
                <w:sz w:val="20"/>
              </w:rPr>
              <w:t>Late,</w:t>
            </w:r>
            <w:r>
              <w:rPr>
                <w:spacing w:val="-6"/>
                <w:sz w:val="20"/>
              </w:rPr>
              <w:t> </w:t>
            </w:r>
            <w:r>
              <w:rPr>
                <w:sz w:val="20"/>
              </w:rPr>
              <w:t>tiny</w:t>
            </w:r>
            <w:r>
              <w:rPr>
                <w:spacing w:val="-5"/>
                <w:sz w:val="20"/>
              </w:rPr>
              <w:t> </w:t>
            </w:r>
            <w:r>
              <w:rPr>
                <w:sz w:val="20"/>
              </w:rPr>
              <w:t>test</w:t>
            </w:r>
            <w:r>
              <w:rPr>
                <w:spacing w:val="-5"/>
                <w:sz w:val="20"/>
              </w:rPr>
              <w:t> </w:t>
            </w:r>
            <w:r>
              <w:rPr>
                <w:spacing w:val="-4"/>
                <w:sz w:val="20"/>
              </w:rPr>
              <w:t>sets</w:t>
            </w:r>
          </w:p>
        </w:tc>
        <w:tc>
          <w:tcPr>
            <w:tcW w:w="1211" w:type="dxa"/>
            <w:tcBorders>
              <w:left w:val="single" w:sz="4" w:space="0" w:color="000000"/>
              <w:bottom w:val="single" w:sz="8" w:space="0" w:color="000000"/>
              <w:right w:val="single" w:sz="4" w:space="0" w:color="000000"/>
            </w:tcBorders>
          </w:tcPr>
          <w:p>
            <w:pPr>
              <w:pStyle w:val="TableParagraph"/>
              <w:ind w:left="118"/>
              <w:rPr>
                <w:sz w:val="20"/>
              </w:rPr>
            </w:pPr>
            <w:r>
              <w:rPr>
                <w:spacing w:val="-2"/>
                <w:sz w:val="20"/>
              </w:rPr>
              <w:t>15–</w:t>
            </w:r>
            <w:r>
              <w:rPr>
                <w:spacing w:val="-5"/>
                <w:sz w:val="20"/>
              </w:rPr>
              <w:t>18</w:t>
            </w:r>
          </w:p>
        </w:tc>
        <w:tc>
          <w:tcPr>
            <w:tcW w:w="1211" w:type="dxa"/>
            <w:tcBorders>
              <w:left w:val="single" w:sz="4" w:space="0" w:color="000000"/>
              <w:bottom w:val="single" w:sz="8" w:space="0" w:color="000000"/>
              <w:right w:val="single" w:sz="4" w:space="0" w:color="000000"/>
            </w:tcBorders>
          </w:tcPr>
          <w:p>
            <w:pPr>
              <w:pStyle w:val="TableParagraph"/>
              <w:ind w:left="118"/>
              <w:rPr>
                <w:sz w:val="20"/>
              </w:rPr>
            </w:pPr>
            <w:r>
              <w:rPr>
                <w:spacing w:val="-2"/>
                <w:sz w:val="20"/>
              </w:rPr>
              <w:t>33–</w:t>
            </w:r>
            <w:r>
              <w:rPr>
                <w:spacing w:val="-5"/>
                <w:sz w:val="20"/>
              </w:rPr>
              <w:t>35%</w:t>
            </w:r>
          </w:p>
        </w:tc>
        <w:tc>
          <w:tcPr>
            <w:tcW w:w="1324" w:type="dxa"/>
            <w:tcBorders>
              <w:left w:val="single" w:sz="4" w:space="0" w:color="000000"/>
              <w:bottom w:val="single" w:sz="8" w:space="0" w:color="000000"/>
              <w:right w:val="single" w:sz="4" w:space="0" w:color="000000"/>
            </w:tcBorders>
          </w:tcPr>
          <w:p>
            <w:pPr>
              <w:pStyle w:val="TableParagraph"/>
              <w:ind w:left="118"/>
              <w:rPr>
                <w:sz w:val="20"/>
              </w:rPr>
            </w:pPr>
            <w:r>
              <w:rPr>
                <w:sz w:val="20"/>
              </w:rPr>
              <w:t>1–4</w:t>
            </w:r>
            <w:r>
              <w:rPr>
                <w:spacing w:val="-4"/>
                <w:sz w:val="20"/>
              </w:rPr>
              <w:t> </w:t>
            </w:r>
            <w:r>
              <w:rPr>
                <w:spacing w:val="-2"/>
                <w:sz w:val="20"/>
              </w:rPr>
              <w:t>years</w:t>
            </w:r>
          </w:p>
        </w:tc>
        <w:tc>
          <w:tcPr>
            <w:tcW w:w="1721" w:type="dxa"/>
            <w:tcBorders>
              <w:left w:val="single" w:sz="4" w:space="0" w:color="000000"/>
              <w:bottom w:val="single" w:sz="8" w:space="0" w:color="000000"/>
              <w:right w:val="single" w:sz="4" w:space="0" w:color="000000"/>
            </w:tcBorders>
          </w:tcPr>
          <w:p>
            <w:pPr>
              <w:pStyle w:val="TableParagraph"/>
              <w:ind w:left="118"/>
              <w:rPr>
                <w:sz w:val="20"/>
              </w:rPr>
            </w:pPr>
            <w:r>
              <w:rPr>
                <w:spacing w:val="-2"/>
                <w:sz w:val="20"/>
              </w:rPr>
              <w:t>Noisy</w:t>
            </w:r>
          </w:p>
        </w:tc>
        <w:tc>
          <w:tcPr>
            <w:tcW w:w="1093" w:type="dxa"/>
            <w:tcBorders>
              <w:left w:val="single" w:sz="4" w:space="0" w:color="000000"/>
              <w:bottom w:val="single" w:sz="8" w:space="0" w:color="000000"/>
            </w:tcBorders>
          </w:tcPr>
          <w:p>
            <w:pPr>
              <w:pStyle w:val="TableParagraph"/>
              <w:ind w:left="118"/>
              <w:rPr>
                <w:sz w:val="20"/>
              </w:rPr>
            </w:pPr>
            <w:r>
              <w:rPr>
                <w:spacing w:val="-2"/>
                <w:sz w:val="20"/>
              </w:rPr>
              <w:t>Unreliable</w:t>
            </w:r>
          </w:p>
        </w:tc>
      </w:tr>
    </w:tbl>
    <w:p>
      <w:pPr>
        <w:pStyle w:val="TableParagraph"/>
        <w:spacing w:after="0"/>
        <w:rPr>
          <w:sz w:val="20"/>
        </w:rPr>
        <w:sectPr>
          <w:headerReference w:type="default" r:id="rId79"/>
          <w:pgSz w:w="11910" w:h="16840"/>
          <w:pgMar w:header="0" w:footer="0" w:top="1060" w:bottom="280" w:left="1275" w:right="425"/>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8" w:after="1"/>
        <w:rPr>
          <w:sz w:val="20"/>
        </w:rPr>
      </w:pPr>
    </w:p>
    <w:p>
      <w:pPr>
        <w:spacing w:line="240" w:lineRule="auto"/>
        <w:ind w:left="545" w:right="0" w:firstLine="0"/>
        <w:rPr>
          <w:sz w:val="20"/>
        </w:rPr>
      </w:pPr>
      <w:r>
        <w:rPr>
          <w:sz w:val="20"/>
        </w:rPr>
        <w:drawing>
          <wp:inline distT="0" distB="0" distL="0" distR="0">
            <wp:extent cx="4413884" cy="2873692"/>
            <wp:effectExtent l="0" t="0" r="0" b="0"/>
            <wp:docPr id="198" name="Image 198"/>
            <wp:cNvGraphicFramePr>
              <a:graphicFrameLocks/>
            </wp:cNvGraphicFramePr>
            <a:graphic>
              <a:graphicData uri="http://schemas.openxmlformats.org/drawingml/2006/picture">
                <pic:pic>
                  <pic:nvPicPr>
                    <pic:cNvPr id="198" name="Image 198"/>
                    <pic:cNvPicPr/>
                  </pic:nvPicPr>
                  <pic:blipFill>
                    <a:blip r:embed="rId82" cstate="print"/>
                    <a:stretch>
                      <a:fillRect/>
                    </a:stretch>
                  </pic:blipFill>
                  <pic:spPr>
                    <a:xfrm>
                      <a:off x="0" y="0"/>
                      <a:ext cx="4413884" cy="2873692"/>
                    </a:xfrm>
                    <a:prstGeom prst="rect">
                      <a:avLst/>
                    </a:prstGeom>
                  </pic:spPr>
                </pic:pic>
              </a:graphicData>
            </a:graphic>
          </wp:inline>
        </w:drawing>
      </w:r>
      <w:r>
        <w:rPr>
          <w:sz w:val="20"/>
        </w:rPr>
      </w:r>
    </w:p>
    <w:p>
      <w:pPr>
        <w:pStyle w:val="BodyText"/>
        <w:spacing w:before="60"/>
        <w:rPr>
          <w:sz w:val="20"/>
        </w:rPr>
      </w:pPr>
    </w:p>
    <w:p>
      <w:pPr>
        <w:spacing w:before="0"/>
        <w:ind w:left="700" w:right="0" w:firstLine="0"/>
        <w:jc w:val="left"/>
        <w:rPr>
          <w:sz w:val="20"/>
        </w:rPr>
      </w:pPr>
      <w:bookmarkStart w:name="_bookmark105" w:id="182"/>
      <w:bookmarkEnd w:id="182"/>
      <w:r>
        <w:rPr/>
      </w:r>
      <w:r>
        <w:rPr>
          <w:b/>
          <w:sz w:val="20"/>
        </w:rPr>
        <w:t>Figure</w:t>
      </w:r>
      <w:r>
        <w:rPr>
          <w:b/>
          <w:spacing w:val="-11"/>
          <w:sz w:val="20"/>
        </w:rPr>
        <w:t> </w:t>
      </w:r>
      <w:r>
        <w:rPr>
          <w:b/>
          <w:sz w:val="20"/>
        </w:rPr>
        <w:t>5.2: </w:t>
      </w:r>
      <w:r>
        <w:rPr>
          <w:sz w:val="20"/>
        </w:rPr>
        <w:t>Weighted</w:t>
      </w:r>
      <w:r>
        <w:rPr>
          <w:spacing w:val="-11"/>
          <w:sz w:val="20"/>
        </w:rPr>
        <w:t> </w:t>
      </w:r>
      <w:r>
        <w:rPr>
          <w:sz w:val="20"/>
        </w:rPr>
        <w:t>MAE</w:t>
      </w:r>
      <w:r>
        <w:rPr>
          <w:spacing w:val="-10"/>
          <w:sz w:val="20"/>
        </w:rPr>
        <w:t> </w:t>
      </w:r>
      <w:r>
        <w:rPr>
          <w:sz w:val="20"/>
        </w:rPr>
        <w:t>ranking</w:t>
      </w:r>
      <w:r>
        <w:rPr>
          <w:spacing w:val="-11"/>
          <w:sz w:val="20"/>
        </w:rPr>
        <w:t> </w:t>
      </w:r>
      <w:r>
        <w:rPr>
          <w:sz w:val="20"/>
        </w:rPr>
        <w:t>across</w:t>
      </w:r>
      <w:r>
        <w:rPr>
          <w:spacing w:val="-10"/>
          <w:sz w:val="20"/>
        </w:rPr>
        <w:t> </w:t>
      </w:r>
      <w:r>
        <w:rPr>
          <w:sz w:val="20"/>
        </w:rPr>
        <w:t>all</w:t>
      </w:r>
      <w:r>
        <w:rPr>
          <w:spacing w:val="-10"/>
          <w:sz w:val="20"/>
        </w:rPr>
        <w:t> </w:t>
      </w:r>
      <w:r>
        <w:rPr>
          <w:sz w:val="20"/>
        </w:rPr>
        <w:t>17</w:t>
      </w:r>
      <w:r>
        <w:rPr>
          <w:spacing w:val="-11"/>
          <w:sz w:val="20"/>
        </w:rPr>
        <w:t> </w:t>
      </w:r>
      <w:r>
        <w:rPr>
          <w:sz w:val="20"/>
        </w:rPr>
        <w:t>models</w:t>
      </w:r>
      <w:r>
        <w:rPr>
          <w:spacing w:val="-10"/>
          <w:sz w:val="20"/>
        </w:rPr>
        <w:t> </w:t>
      </w:r>
      <w:r>
        <w:rPr>
          <w:sz w:val="20"/>
        </w:rPr>
        <w:t>for</w:t>
      </w:r>
      <w:r>
        <w:rPr>
          <w:spacing w:val="-10"/>
          <w:sz w:val="20"/>
        </w:rPr>
        <w:t> </w:t>
      </w:r>
      <w:r>
        <w:rPr>
          <w:sz w:val="20"/>
        </w:rPr>
        <w:t>the</w:t>
      </w:r>
      <w:r>
        <w:rPr>
          <w:spacing w:val="-11"/>
          <w:sz w:val="20"/>
        </w:rPr>
        <w:t> </w:t>
      </w:r>
      <w:r>
        <w:rPr>
          <w:sz w:val="20"/>
        </w:rPr>
        <w:t>Vinho</w:t>
      </w:r>
      <w:r>
        <w:rPr>
          <w:spacing w:val="-10"/>
          <w:sz w:val="20"/>
        </w:rPr>
        <w:t> </w:t>
      </w:r>
      <w:r>
        <w:rPr>
          <w:sz w:val="20"/>
        </w:rPr>
        <w:t>Verde</w:t>
      </w:r>
      <w:r>
        <w:rPr>
          <w:spacing w:val="-10"/>
          <w:sz w:val="20"/>
        </w:rPr>
        <w:t> </w:t>
      </w:r>
      <w:r>
        <w:rPr>
          <w:sz w:val="20"/>
        </w:rPr>
        <w:t>(RVV)</w:t>
      </w:r>
      <w:r>
        <w:rPr>
          <w:spacing w:val="-11"/>
          <w:sz w:val="20"/>
        </w:rPr>
        <w:t> </w:t>
      </w:r>
      <w:r>
        <w:rPr>
          <w:spacing w:val="-2"/>
          <w:sz w:val="20"/>
        </w:rPr>
        <w:t>region.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8"/>
        <w:rPr>
          <w:sz w:val="20"/>
        </w:rPr>
      </w:pPr>
      <w:r>
        <w:rPr>
          <w:sz w:val="20"/>
        </w:rPr>
        <w:drawing>
          <wp:anchor distT="0" distB="0" distL="0" distR="0" allowOverlap="1" layoutInCell="1" locked="0" behindDoc="1" simplePos="0" relativeHeight="487624704">
            <wp:simplePos x="0" y="0"/>
            <wp:positionH relativeFrom="page">
              <wp:posOffset>1152131</wp:posOffset>
            </wp:positionH>
            <wp:positionV relativeFrom="paragraph">
              <wp:posOffset>255352</wp:posOffset>
            </wp:positionV>
            <wp:extent cx="4913376" cy="2441448"/>
            <wp:effectExtent l="0" t="0" r="0" b="0"/>
            <wp:wrapTopAndBottom/>
            <wp:docPr id="199" name="Image 199"/>
            <wp:cNvGraphicFramePr>
              <a:graphicFrameLocks/>
            </wp:cNvGraphicFramePr>
            <a:graphic>
              <a:graphicData uri="http://schemas.openxmlformats.org/drawingml/2006/picture">
                <pic:pic>
                  <pic:nvPicPr>
                    <pic:cNvPr id="199" name="Image 199"/>
                    <pic:cNvPicPr/>
                  </pic:nvPicPr>
                  <pic:blipFill>
                    <a:blip r:embed="rId83" cstate="print"/>
                    <a:stretch>
                      <a:fillRect/>
                    </a:stretch>
                  </pic:blipFill>
                  <pic:spPr>
                    <a:xfrm>
                      <a:off x="0" y="0"/>
                      <a:ext cx="4913376" cy="2441448"/>
                    </a:xfrm>
                    <a:prstGeom prst="rect">
                      <a:avLst/>
                    </a:prstGeom>
                  </pic:spPr>
                </pic:pic>
              </a:graphicData>
            </a:graphic>
          </wp:anchor>
        </w:drawing>
      </w:r>
    </w:p>
    <w:p>
      <w:pPr>
        <w:spacing w:before="190"/>
        <w:ind w:left="853" w:right="0" w:firstLine="0"/>
        <w:jc w:val="left"/>
        <w:rPr>
          <w:sz w:val="20"/>
        </w:rPr>
      </w:pPr>
      <w:bookmarkStart w:name="_bookmark106" w:id="183"/>
      <w:bookmarkEnd w:id="183"/>
      <w:r>
        <w:rPr/>
      </w:r>
      <w:r>
        <w:rPr>
          <w:b/>
          <w:sz w:val="20"/>
        </w:rPr>
        <w:t>Figure</w:t>
      </w:r>
      <w:r>
        <w:rPr>
          <w:b/>
          <w:spacing w:val="-13"/>
          <w:sz w:val="20"/>
        </w:rPr>
        <w:t> </w:t>
      </w:r>
      <w:r>
        <w:rPr>
          <w:b/>
          <w:sz w:val="20"/>
        </w:rPr>
        <w:t>5.3:</w:t>
      </w:r>
      <w:r>
        <w:rPr>
          <w:b/>
          <w:spacing w:val="-10"/>
          <w:sz w:val="20"/>
        </w:rPr>
        <w:t> </w:t>
      </w:r>
      <w:r>
        <w:rPr>
          <w:sz w:val="20"/>
        </w:rPr>
        <w:t>Per-scenario</w:t>
      </w:r>
      <w:r>
        <w:rPr>
          <w:spacing w:val="-12"/>
          <w:sz w:val="20"/>
        </w:rPr>
        <w:t> </w:t>
      </w:r>
      <w:r>
        <w:rPr>
          <w:sz w:val="20"/>
        </w:rPr>
        <w:t>MAE</w:t>
      </w:r>
      <w:r>
        <w:rPr>
          <w:spacing w:val="-10"/>
          <w:sz w:val="20"/>
        </w:rPr>
        <w:t> </w:t>
      </w:r>
      <w:r>
        <w:rPr>
          <w:sz w:val="20"/>
        </w:rPr>
        <w:t>for</w:t>
      </w:r>
      <w:r>
        <w:rPr>
          <w:spacing w:val="-9"/>
          <w:sz w:val="20"/>
        </w:rPr>
        <w:t> </w:t>
      </w:r>
      <w:r>
        <w:rPr>
          <w:rFonts w:ascii="Courier New"/>
          <w:sz w:val="20"/>
        </w:rPr>
        <w:t>CarenR_Dist_Eta2</w:t>
      </w:r>
      <w:r>
        <w:rPr>
          <w:rFonts w:ascii="Courier New"/>
          <w:spacing w:val="-71"/>
          <w:sz w:val="20"/>
        </w:rPr>
        <w:t> </w:t>
      </w:r>
      <w:r>
        <w:rPr>
          <w:sz w:val="20"/>
        </w:rPr>
        <w:t>vs</w:t>
      </w:r>
      <w:r>
        <w:rPr>
          <w:spacing w:val="-9"/>
          <w:sz w:val="20"/>
        </w:rPr>
        <w:t> </w:t>
      </w:r>
      <w:r>
        <w:rPr>
          <w:rFonts w:ascii="Courier New"/>
          <w:sz w:val="20"/>
        </w:rPr>
        <w:t>Naive_Median</w:t>
      </w:r>
      <w:r>
        <w:rPr>
          <w:rFonts w:ascii="Courier New"/>
          <w:spacing w:val="-71"/>
          <w:sz w:val="20"/>
        </w:rPr>
        <w:t> </w:t>
      </w:r>
      <w:r>
        <w:rPr>
          <w:spacing w:val="-2"/>
          <w:sz w:val="20"/>
        </w:rPr>
        <w:t>(RDD).</w:t>
      </w:r>
    </w:p>
    <w:p>
      <w:pPr>
        <w:spacing w:after="0"/>
        <w:jc w:val="left"/>
        <w:rPr>
          <w:sz w:val="20"/>
        </w:rPr>
        <w:sectPr>
          <w:headerReference w:type="even" r:id="rId80"/>
          <w:headerReference w:type="default" r:id="rId81"/>
          <w:pgSz w:w="11910" w:h="16840"/>
          <w:pgMar w:header="1160" w:footer="0" w:top="1420" w:bottom="280" w:left="1275" w:right="425"/>
          <w:pgNumType w:start="56"/>
        </w:sectPr>
      </w:pPr>
    </w:p>
    <w:p>
      <w:pPr>
        <w:pStyle w:val="BodyText"/>
      </w:pPr>
    </w:p>
    <w:p>
      <w:pPr>
        <w:pStyle w:val="BodyText"/>
        <w:spacing w:before="25"/>
      </w:pPr>
    </w:p>
    <w:p>
      <w:pPr>
        <w:pStyle w:val="BodyText"/>
        <w:spacing w:line="312" w:lineRule="auto" w:before="1"/>
        <w:ind w:left="701" w:right="962" w:firstLine="346"/>
        <w:jc w:val="both"/>
      </w:pPr>
      <w:r>
        <w:rPr/>
        <w:t>In scenarios 10–14, once the post-1990 share of training data reaches approximately 29%, CarenR_Dist_Eta2 beats the Naive_Median in every scenario by margins of 17–32 mhl. In early scenarios (post-1990 share 20–28%), CarenR loses in 7 of 9 scenarios. The aggregate weighted MAE still places CarenR behind the baseline (189 vs 184 mhl) because early scenarios have the largest test sets (18 years in Scenario 1 vs 5 years in Scenario 14) and therefore dominate the weighted aggregate.</w:t>
      </w:r>
    </w:p>
    <w:p>
      <w:pPr>
        <w:pStyle w:val="BodyText"/>
        <w:spacing w:before="167"/>
      </w:pPr>
    </w:p>
    <w:p>
      <w:pPr>
        <w:pStyle w:val="Heading2"/>
        <w:numPr>
          <w:ilvl w:val="1"/>
          <w:numId w:val="34"/>
        </w:numPr>
        <w:tabs>
          <w:tab w:pos="1354" w:val="left" w:leader="none"/>
        </w:tabs>
        <w:spacing w:line="240" w:lineRule="auto" w:before="0" w:after="0"/>
        <w:ind w:left="1354" w:right="0" w:hanging="645"/>
        <w:jc w:val="left"/>
      </w:pPr>
      <w:bookmarkStart w:name="5.3 Era Composition and Per-Scenario Ana" w:id="184"/>
      <w:bookmarkEnd w:id="184"/>
      <w:r>
        <w:rPr>
          <w:b w:val="0"/>
        </w:rPr>
      </w:r>
      <w:bookmarkStart w:name="_bookmark107" w:id="185"/>
      <w:bookmarkEnd w:id="185"/>
      <w:r>
        <w:rPr>
          <w:b w:val="0"/>
        </w:rPr>
      </w:r>
      <w:r>
        <w:rPr/>
        <w:t>Era</w:t>
      </w:r>
      <w:r>
        <w:rPr>
          <w:spacing w:val="17"/>
        </w:rPr>
        <w:t> </w:t>
      </w:r>
      <w:r>
        <w:rPr/>
        <w:t>Composition</w:t>
      </w:r>
      <w:r>
        <w:rPr>
          <w:spacing w:val="18"/>
        </w:rPr>
        <w:t> </w:t>
      </w:r>
      <w:r>
        <w:rPr/>
        <w:t>and</w:t>
      </w:r>
      <w:r>
        <w:rPr>
          <w:spacing w:val="17"/>
        </w:rPr>
        <w:t> </w:t>
      </w:r>
      <w:r>
        <w:rPr/>
        <w:t>Per-Scenario</w:t>
      </w:r>
      <w:r>
        <w:rPr>
          <w:spacing w:val="18"/>
        </w:rPr>
        <w:t> </w:t>
      </w:r>
      <w:r>
        <w:rPr/>
        <w:t>Analysis</w:t>
      </w:r>
      <w:r>
        <w:rPr>
          <w:spacing w:val="17"/>
        </w:rPr>
        <w:t> </w:t>
      </w:r>
      <w:r>
        <w:rPr>
          <w:spacing w:val="-2"/>
        </w:rPr>
        <w:t>(RVV)</w:t>
      </w:r>
    </w:p>
    <w:p>
      <w:pPr>
        <w:pStyle w:val="BodyText"/>
        <w:spacing w:line="312" w:lineRule="auto" w:before="298"/>
        <w:ind w:left="709" w:right="990" w:hanging="7"/>
        <w:jc w:val="both"/>
      </w:pPr>
      <w:r>
        <w:rPr/>
        <w:t>The</w:t>
      </w:r>
      <w:r>
        <w:rPr>
          <w:spacing w:val="-2"/>
        </w:rPr>
        <w:t> </w:t>
      </w:r>
      <w:r>
        <w:rPr/>
        <w:t>era-composition</w:t>
      </w:r>
      <w:r>
        <w:rPr>
          <w:spacing w:val="-2"/>
        </w:rPr>
        <w:t> </w:t>
      </w:r>
      <w:r>
        <w:rPr/>
        <w:t>analysis</w:t>
      </w:r>
      <w:r>
        <w:rPr>
          <w:spacing w:val="-2"/>
        </w:rPr>
        <w:t> </w:t>
      </w:r>
      <w:r>
        <w:rPr/>
        <w:t>was</w:t>
      </w:r>
      <w:r>
        <w:rPr>
          <w:spacing w:val="-2"/>
        </w:rPr>
        <w:t> </w:t>
      </w:r>
      <w:r>
        <w:rPr/>
        <w:t>applied</w:t>
      </w:r>
      <w:r>
        <w:rPr>
          <w:spacing w:val="-2"/>
        </w:rPr>
        <w:t> </w:t>
      </w:r>
      <w:r>
        <w:rPr/>
        <w:t>to</w:t>
      </w:r>
      <w:r>
        <w:rPr>
          <w:spacing w:val="-2"/>
        </w:rPr>
        <w:t> </w:t>
      </w:r>
      <w:r>
        <w:rPr/>
        <w:t>RVV</w:t>
      </w:r>
      <w:r>
        <w:rPr>
          <w:spacing w:val="-2"/>
        </w:rPr>
        <w:t> </w:t>
      </w:r>
      <w:r>
        <w:rPr/>
        <w:t>to</w:t>
      </w:r>
      <w:r>
        <w:rPr>
          <w:spacing w:val="-2"/>
        </w:rPr>
        <w:t> </w:t>
      </w:r>
      <w:r>
        <w:rPr/>
        <w:t>test</w:t>
      </w:r>
      <w:r>
        <w:rPr>
          <w:spacing w:val="-2"/>
        </w:rPr>
        <w:t> </w:t>
      </w:r>
      <w:r>
        <w:rPr/>
        <w:t>whether</w:t>
      </w:r>
      <w:r>
        <w:rPr>
          <w:spacing w:val="-2"/>
        </w:rPr>
        <w:t> </w:t>
      </w:r>
      <w:r>
        <w:rPr/>
        <w:t>a</w:t>
      </w:r>
      <w:r>
        <w:rPr>
          <w:spacing w:val="-2"/>
        </w:rPr>
        <w:t> </w:t>
      </w:r>
      <w:r>
        <w:rPr/>
        <w:t>similar</w:t>
      </w:r>
      <w:r>
        <w:rPr>
          <w:spacing w:val="-2"/>
        </w:rPr>
        <w:t> </w:t>
      </w:r>
      <w:r>
        <w:rPr/>
        <w:t>improvement</w:t>
      </w:r>
      <w:r>
        <w:rPr>
          <w:spacing w:val="-2"/>
        </w:rPr>
        <w:t> </w:t>
      </w:r>
      <w:r>
        <w:rPr/>
        <w:t>pattern appears.</w:t>
      </w:r>
      <w:r>
        <w:rPr>
          <w:spacing w:val="40"/>
        </w:rPr>
        <w:t> </w:t>
      </w:r>
      <w:r>
        <w:rPr/>
        <w:t>The result is unambiguous: across all 16 RVV scenarios, CarenR achieves zero </w:t>
      </w:r>
      <w:r>
        <w:rPr/>
        <w:t>wins against</w:t>
      </w:r>
      <w:r>
        <w:rPr>
          <w:spacing w:val="-10"/>
        </w:rPr>
        <w:t> </w:t>
      </w:r>
      <w:r>
        <w:rPr/>
        <w:t>the</w:t>
      </w:r>
      <w:r>
        <w:rPr>
          <w:spacing w:val="-10"/>
        </w:rPr>
        <w:t> </w:t>
      </w:r>
      <w:r>
        <w:rPr/>
        <w:t>Naive_Median. As</w:t>
      </w:r>
      <w:r>
        <w:rPr>
          <w:spacing w:val="-10"/>
        </w:rPr>
        <w:t> </w:t>
      </w:r>
      <w:r>
        <w:rPr/>
        <w:t>more</w:t>
      </w:r>
      <w:r>
        <w:rPr>
          <w:spacing w:val="-10"/>
        </w:rPr>
        <w:t> </w:t>
      </w:r>
      <w:r>
        <w:rPr/>
        <w:t>post-1990</w:t>
      </w:r>
      <w:r>
        <w:rPr>
          <w:spacing w:val="-10"/>
        </w:rPr>
        <w:t> </w:t>
      </w:r>
      <w:r>
        <w:rPr/>
        <w:t>data</w:t>
      </w:r>
      <w:r>
        <w:rPr>
          <w:spacing w:val="-10"/>
        </w:rPr>
        <w:t> </w:t>
      </w:r>
      <w:r>
        <w:rPr/>
        <w:t>enters</w:t>
      </w:r>
      <w:r>
        <w:rPr>
          <w:spacing w:val="-10"/>
        </w:rPr>
        <w:t> </w:t>
      </w:r>
      <w:r>
        <w:rPr/>
        <w:t>the</w:t>
      </w:r>
      <w:r>
        <w:rPr>
          <w:spacing w:val="-10"/>
        </w:rPr>
        <w:t> </w:t>
      </w:r>
      <w:r>
        <w:rPr/>
        <w:t>training</w:t>
      </w:r>
      <w:r>
        <w:rPr>
          <w:spacing w:val="-10"/>
        </w:rPr>
        <w:t> </w:t>
      </w:r>
      <w:r>
        <w:rPr/>
        <w:t>set,</w:t>
      </w:r>
      <w:r>
        <w:rPr>
          <w:spacing w:val="-10"/>
        </w:rPr>
        <w:t> </w:t>
      </w:r>
      <w:r>
        <w:rPr/>
        <w:t>CarenR’s</w:t>
      </w:r>
      <w:r>
        <w:rPr>
          <w:spacing w:val="-10"/>
        </w:rPr>
        <w:t> </w:t>
      </w:r>
      <w:r>
        <w:rPr/>
        <w:t>performance in RVV worsens rather than improves, the opposite direction from RDD.</w:t>
      </w:r>
    </w:p>
    <w:p>
      <w:pPr>
        <w:spacing w:before="152"/>
        <w:ind w:left="1421" w:right="0" w:firstLine="0"/>
        <w:jc w:val="both"/>
        <w:rPr>
          <w:sz w:val="20"/>
        </w:rPr>
      </w:pPr>
      <w:bookmarkStart w:name="_bookmark108" w:id="186"/>
      <w:bookmarkEnd w:id="186"/>
      <w:r>
        <w:rPr/>
      </w:r>
      <w:r>
        <w:rPr>
          <w:b/>
          <w:sz w:val="20"/>
        </w:rPr>
        <w:t>Table</w:t>
      </w:r>
      <w:r>
        <w:rPr>
          <w:b/>
          <w:spacing w:val="-13"/>
          <w:sz w:val="20"/>
        </w:rPr>
        <w:t> </w:t>
      </w:r>
      <w:r>
        <w:rPr>
          <w:b/>
          <w:sz w:val="20"/>
        </w:rPr>
        <w:t>5.4:</w:t>
      </w:r>
      <w:r>
        <w:rPr>
          <w:b/>
          <w:spacing w:val="-10"/>
          <w:sz w:val="20"/>
        </w:rPr>
        <w:t> </w:t>
      </w:r>
      <w:r>
        <w:rPr>
          <w:sz w:val="20"/>
        </w:rPr>
        <w:t>RVV</w:t>
      </w:r>
      <w:r>
        <w:rPr>
          <w:spacing w:val="-13"/>
          <w:sz w:val="20"/>
        </w:rPr>
        <w:t> </w:t>
      </w:r>
      <w:r>
        <w:rPr>
          <w:sz w:val="20"/>
        </w:rPr>
        <w:t>scenario</w:t>
      </w:r>
      <w:r>
        <w:rPr>
          <w:spacing w:val="-12"/>
          <w:sz w:val="20"/>
        </w:rPr>
        <w:t> </w:t>
      </w:r>
      <w:r>
        <w:rPr>
          <w:sz w:val="20"/>
        </w:rPr>
        <w:t>outcomes</w:t>
      </w:r>
      <w:r>
        <w:rPr>
          <w:spacing w:val="-12"/>
          <w:sz w:val="20"/>
        </w:rPr>
        <w:t> </w:t>
      </w:r>
      <w:r>
        <w:rPr>
          <w:sz w:val="20"/>
        </w:rPr>
        <w:t>for</w:t>
      </w:r>
      <w:r>
        <w:rPr>
          <w:spacing w:val="-11"/>
          <w:sz w:val="20"/>
        </w:rPr>
        <w:t> </w:t>
      </w:r>
      <w:r>
        <w:rPr>
          <w:rFonts w:ascii="Courier New"/>
          <w:sz w:val="20"/>
        </w:rPr>
        <w:t>CarenR_Dist_Sup_FS</w:t>
      </w:r>
      <w:r>
        <w:rPr>
          <w:rFonts w:ascii="Courier New"/>
          <w:spacing w:val="-71"/>
          <w:sz w:val="20"/>
        </w:rPr>
        <w:t> </w:t>
      </w:r>
      <w:r>
        <w:rPr>
          <w:sz w:val="20"/>
        </w:rPr>
        <w:t>vs</w:t>
      </w:r>
      <w:r>
        <w:rPr>
          <w:spacing w:val="-12"/>
          <w:sz w:val="20"/>
        </w:rPr>
        <w:t> </w:t>
      </w:r>
      <w:r>
        <w:rPr>
          <w:rFonts w:ascii="Courier New"/>
          <w:spacing w:val="-2"/>
          <w:sz w:val="20"/>
        </w:rPr>
        <w:t>Naive_Median</w:t>
      </w:r>
      <w:r>
        <w:rPr>
          <w:spacing w:val="-2"/>
          <w:sz w:val="20"/>
        </w:rPr>
        <w:t>.</w:t>
      </w:r>
    </w:p>
    <w:p>
      <w:pPr>
        <w:pStyle w:val="BodyText"/>
        <w:rPr>
          <w:sz w:val="17"/>
        </w:rPr>
      </w:pPr>
      <w:r>
        <w:rPr>
          <w:sz w:val="17"/>
        </w:rPr>
        <mc:AlternateContent>
          <mc:Choice Requires="wps">
            <w:drawing>
              <wp:anchor distT="0" distB="0" distL="0" distR="0" allowOverlap="1" layoutInCell="1" locked="0" behindDoc="1" simplePos="0" relativeHeight="487625216">
                <wp:simplePos x="0" y="0"/>
                <wp:positionH relativeFrom="page">
                  <wp:posOffset>1260005</wp:posOffset>
                </wp:positionH>
                <wp:positionV relativeFrom="paragraph">
                  <wp:posOffset>139461</wp:posOffset>
                </wp:positionV>
                <wp:extent cx="5400040" cy="1270"/>
                <wp:effectExtent l="0" t="0" r="0" b="0"/>
                <wp:wrapTopAndBottom/>
                <wp:docPr id="200" name="Graphic 200"/>
                <wp:cNvGraphicFramePr>
                  <a:graphicFrameLocks/>
                </wp:cNvGraphicFramePr>
                <a:graphic>
                  <a:graphicData uri="http://schemas.microsoft.com/office/word/2010/wordprocessingShape">
                    <wps:wsp>
                      <wps:cNvPr id="200" name="Graphic 200"/>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0.981231pt;width:425.2pt;height:.1pt;mso-position-horizontal-relative:page;mso-position-vertical-relative:paragraph;z-index:-15691264;mso-wrap-distance-left:0;mso-wrap-distance-right:0" id="docshape169" coordorigin="1984,220" coordsize="8504,0" path="m1984,220l10488,220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7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193"/>
        <w:gridCol w:w="734"/>
        <w:gridCol w:w="4576"/>
      </w:tblGrid>
      <w:tr>
        <w:trPr>
          <w:trHeight w:val="346" w:hRule="atLeast"/>
        </w:trPr>
        <w:tc>
          <w:tcPr>
            <w:tcW w:w="3193" w:type="dxa"/>
            <w:tcBorders>
              <w:top w:val="nil"/>
              <w:left w:val="nil"/>
              <w:right w:val="single" w:sz="4" w:space="0" w:color="000000"/>
            </w:tcBorders>
          </w:tcPr>
          <w:p>
            <w:pPr>
              <w:pStyle w:val="TableParagraph"/>
              <w:spacing w:before="31"/>
              <w:ind w:left="119"/>
              <w:rPr>
                <w:sz w:val="20"/>
              </w:rPr>
            </w:pPr>
            <w:r>
              <w:rPr>
                <w:spacing w:val="-2"/>
                <w:sz w:val="20"/>
              </w:rPr>
              <w:t>Outcome</w:t>
            </w:r>
          </w:p>
        </w:tc>
        <w:tc>
          <w:tcPr>
            <w:tcW w:w="734" w:type="dxa"/>
            <w:tcBorders>
              <w:top w:val="nil"/>
              <w:left w:val="single" w:sz="4" w:space="0" w:color="000000"/>
              <w:right w:val="single" w:sz="4" w:space="0" w:color="000000"/>
            </w:tcBorders>
          </w:tcPr>
          <w:p>
            <w:pPr>
              <w:pStyle w:val="TableParagraph"/>
              <w:spacing w:before="31"/>
              <w:ind w:left="118"/>
              <w:rPr>
                <w:sz w:val="20"/>
              </w:rPr>
            </w:pPr>
            <w:r>
              <w:rPr>
                <w:spacing w:val="-2"/>
                <w:sz w:val="20"/>
              </w:rPr>
              <w:t>Count</w:t>
            </w:r>
          </w:p>
        </w:tc>
        <w:tc>
          <w:tcPr>
            <w:tcW w:w="4576" w:type="dxa"/>
            <w:tcBorders>
              <w:top w:val="nil"/>
              <w:left w:val="single" w:sz="4" w:space="0" w:color="000000"/>
              <w:right w:val="nil"/>
            </w:tcBorders>
          </w:tcPr>
          <w:p>
            <w:pPr>
              <w:pStyle w:val="TableParagraph"/>
              <w:spacing w:before="31"/>
              <w:ind w:left="119"/>
              <w:rPr>
                <w:sz w:val="20"/>
              </w:rPr>
            </w:pPr>
            <w:r>
              <w:rPr>
                <w:spacing w:val="-2"/>
                <w:sz w:val="20"/>
              </w:rPr>
              <w:t>Interpretation</w:t>
            </w:r>
          </w:p>
        </w:tc>
      </w:tr>
    </w:tbl>
    <w:p>
      <w:pPr>
        <w:pStyle w:val="BodyText"/>
        <w:spacing w:before="10"/>
        <w:rPr>
          <w:sz w:val="4"/>
        </w:rPr>
      </w:pPr>
    </w:p>
    <w:tbl>
      <w:tblPr>
        <w:tblW w:w="0" w:type="auto"/>
        <w:jc w:val="left"/>
        <w:tblInd w:w="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93"/>
        <w:gridCol w:w="734"/>
        <w:gridCol w:w="4576"/>
      </w:tblGrid>
      <w:tr>
        <w:trPr>
          <w:trHeight w:val="308" w:hRule="atLeast"/>
        </w:trPr>
        <w:tc>
          <w:tcPr>
            <w:tcW w:w="3193" w:type="dxa"/>
            <w:tcBorders>
              <w:right w:val="single" w:sz="4" w:space="0" w:color="000000"/>
            </w:tcBorders>
          </w:tcPr>
          <w:p>
            <w:pPr>
              <w:pStyle w:val="TableParagraph"/>
              <w:spacing w:before="31"/>
              <w:ind w:left="119"/>
              <w:rPr>
                <w:sz w:val="20"/>
              </w:rPr>
            </w:pPr>
            <w:r>
              <w:rPr>
                <w:sz w:val="20"/>
              </w:rPr>
              <w:t>Identical</w:t>
            </w:r>
            <w:r>
              <w:rPr>
                <w:spacing w:val="-11"/>
                <w:sz w:val="20"/>
              </w:rPr>
              <w:t> </w:t>
            </w:r>
            <w:r>
              <w:rPr>
                <w:sz w:val="20"/>
              </w:rPr>
              <w:t>to</w:t>
            </w:r>
            <w:r>
              <w:rPr>
                <w:spacing w:val="-10"/>
                <w:sz w:val="20"/>
              </w:rPr>
              <w:t> </w:t>
            </w:r>
            <w:r>
              <w:rPr>
                <w:sz w:val="20"/>
              </w:rPr>
              <w:t>Naive_Median</w:t>
            </w:r>
            <w:r>
              <w:rPr>
                <w:spacing w:val="-11"/>
                <w:sz w:val="20"/>
              </w:rPr>
              <w:t> </w:t>
            </w:r>
            <w:r>
              <w:rPr>
                <w:spacing w:val="-2"/>
                <w:sz w:val="20"/>
              </w:rPr>
              <w:t>(fallback)</w:t>
            </w:r>
          </w:p>
        </w:tc>
        <w:tc>
          <w:tcPr>
            <w:tcW w:w="734" w:type="dxa"/>
            <w:tcBorders>
              <w:left w:val="single" w:sz="4" w:space="0" w:color="000000"/>
              <w:right w:val="single" w:sz="4" w:space="0" w:color="000000"/>
            </w:tcBorders>
          </w:tcPr>
          <w:p>
            <w:pPr>
              <w:pStyle w:val="TableParagraph"/>
              <w:spacing w:before="31"/>
              <w:ind w:right="30"/>
              <w:jc w:val="center"/>
              <w:rPr>
                <w:sz w:val="20"/>
              </w:rPr>
            </w:pPr>
            <w:r>
              <w:rPr>
                <w:sz w:val="20"/>
              </w:rPr>
              <w:t>7</w:t>
            </w:r>
            <w:r>
              <w:rPr>
                <w:spacing w:val="-2"/>
                <w:sz w:val="20"/>
              </w:rPr>
              <w:t> </w:t>
            </w:r>
            <w:r>
              <w:rPr>
                <w:sz w:val="20"/>
              </w:rPr>
              <w:t>/</w:t>
            </w:r>
            <w:r>
              <w:rPr>
                <w:spacing w:val="-2"/>
                <w:sz w:val="20"/>
              </w:rPr>
              <w:t> </w:t>
            </w:r>
            <w:r>
              <w:rPr>
                <w:spacing w:val="-5"/>
                <w:sz w:val="20"/>
              </w:rPr>
              <w:t>16</w:t>
            </w:r>
          </w:p>
        </w:tc>
        <w:tc>
          <w:tcPr>
            <w:tcW w:w="4576" w:type="dxa"/>
            <w:tcBorders>
              <w:left w:val="single" w:sz="4" w:space="0" w:color="000000"/>
            </w:tcBorders>
          </w:tcPr>
          <w:p>
            <w:pPr>
              <w:pStyle w:val="TableParagraph"/>
              <w:spacing w:before="31"/>
              <w:ind w:left="119"/>
              <w:rPr>
                <w:sz w:val="20"/>
              </w:rPr>
            </w:pPr>
            <w:r>
              <w:rPr>
                <w:sz w:val="20"/>
              </w:rPr>
              <w:t>No</w:t>
            </w:r>
            <w:r>
              <w:rPr>
                <w:spacing w:val="-8"/>
                <w:sz w:val="20"/>
              </w:rPr>
              <w:t> </w:t>
            </w:r>
            <w:r>
              <w:rPr>
                <w:sz w:val="20"/>
              </w:rPr>
              <w:t>rules</w:t>
            </w:r>
            <w:r>
              <w:rPr>
                <w:spacing w:val="-7"/>
                <w:sz w:val="20"/>
              </w:rPr>
              <w:t> </w:t>
            </w:r>
            <w:r>
              <w:rPr>
                <w:sz w:val="20"/>
              </w:rPr>
              <w:t>fired:</w:t>
            </w:r>
            <w:r>
              <w:rPr>
                <w:spacing w:val="3"/>
                <w:sz w:val="20"/>
              </w:rPr>
              <w:t> </w:t>
            </w:r>
            <w:r>
              <w:rPr>
                <w:sz w:val="20"/>
              </w:rPr>
              <w:t>CarenR</w:t>
            </w:r>
            <w:r>
              <w:rPr>
                <w:spacing w:val="-7"/>
                <w:sz w:val="20"/>
              </w:rPr>
              <w:t> </w:t>
            </w:r>
            <w:r>
              <w:rPr>
                <w:sz w:val="20"/>
              </w:rPr>
              <w:t>predicted</w:t>
            </w:r>
            <w:r>
              <w:rPr>
                <w:spacing w:val="-7"/>
                <w:sz w:val="20"/>
              </w:rPr>
              <w:t> </w:t>
            </w:r>
            <w:r>
              <w:rPr>
                <w:sz w:val="20"/>
              </w:rPr>
              <w:t>training</w:t>
            </w:r>
            <w:r>
              <w:rPr>
                <w:spacing w:val="-8"/>
                <w:sz w:val="20"/>
              </w:rPr>
              <w:t> </w:t>
            </w:r>
            <w:r>
              <w:rPr>
                <w:spacing w:val="-2"/>
                <w:sz w:val="20"/>
              </w:rPr>
              <w:t>median</w:t>
            </w:r>
          </w:p>
        </w:tc>
      </w:tr>
      <w:tr>
        <w:trPr>
          <w:trHeight w:val="310" w:hRule="atLeast"/>
        </w:trPr>
        <w:tc>
          <w:tcPr>
            <w:tcW w:w="3193" w:type="dxa"/>
            <w:tcBorders>
              <w:right w:val="single" w:sz="4" w:space="0" w:color="000000"/>
            </w:tcBorders>
          </w:tcPr>
          <w:p>
            <w:pPr>
              <w:pStyle w:val="TableParagraph"/>
              <w:ind w:left="119"/>
              <w:rPr>
                <w:sz w:val="20"/>
              </w:rPr>
            </w:pPr>
            <w:r>
              <w:rPr>
                <w:spacing w:val="-2"/>
                <w:sz w:val="20"/>
              </w:rPr>
              <w:t>Worse</w:t>
            </w:r>
            <w:r>
              <w:rPr>
                <w:spacing w:val="-5"/>
                <w:sz w:val="20"/>
              </w:rPr>
              <w:t> </w:t>
            </w:r>
            <w:r>
              <w:rPr>
                <w:spacing w:val="-2"/>
                <w:sz w:val="20"/>
              </w:rPr>
              <w:t>than</w:t>
            </w:r>
            <w:r>
              <w:rPr>
                <w:spacing w:val="-4"/>
                <w:sz w:val="20"/>
              </w:rPr>
              <w:t> </w:t>
            </w:r>
            <w:r>
              <w:rPr>
                <w:spacing w:val="-2"/>
                <w:sz w:val="20"/>
              </w:rPr>
              <w:t>Naive_Median</w:t>
            </w:r>
          </w:p>
        </w:tc>
        <w:tc>
          <w:tcPr>
            <w:tcW w:w="734" w:type="dxa"/>
            <w:tcBorders>
              <w:left w:val="single" w:sz="4" w:space="0" w:color="000000"/>
              <w:right w:val="single" w:sz="4" w:space="0" w:color="000000"/>
            </w:tcBorders>
          </w:tcPr>
          <w:p>
            <w:pPr>
              <w:pStyle w:val="TableParagraph"/>
              <w:ind w:right="30"/>
              <w:jc w:val="center"/>
              <w:rPr>
                <w:sz w:val="20"/>
              </w:rPr>
            </w:pPr>
            <w:r>
              <w:rPr>
                <w:sz w:val="20"/>
              </w:rPr>
              <w:t>9</w:t>
            </w:r>
            <w:r>
              <w:rPr>
                <w:spacing w:val="-2"/>
                <w:sz w:val="20"/>
              </w:rPr>
              <w:t> </w:t>
            </w:r>
            <w:r>
              <w:rPr>
                <w:sz w:val="20"/>
              </w:rPr>
              <w:t>/</w:t>
            </w:r>
            <w:r>
              <w:rPr>
                <w:spacing w:val="-2"/>
                <w:sz w:val="20"/>
              </w:rPr>
              <w:t> </w:t>
            </w:r>
            <w:r>
              <w:rPr>
                <w:spacing w:val="-5"/>
                <w:sz w:val="20"/>
              </w:rPr>
              <w:t>16</w:t>
            </w:r>
          </w:p>
        </w:tc>
        <w:tc>
          <w:tcPr>
            <w:tcW w:w="4576" w:type="dxa"/>
            <w:tcBorders>
              <w:left w:val="single" w:sz="4" w:space="0" w:color="000000"/>
            </w:tcBorders>
          </w:tcPr>
          <w:p>
            <w:pPr>
              <w:pStyle w:val="TableParagraph"/>
              <w:ind w:left="119"/>
              <w:rPr>
                <w:sz w:val="20"/>
              </w:rPr>
            </w:pPr>
            <w:r>
              <w:rPr>
                <w:sz w:val="20"/>
              </w:rPr>
              <w:t>Rules</w:t>
            </w:r>
            <w:r>
              <w:rPr>
                <w:spacing w:val="-8"/>
                <w:sz w:val="20"/>
              </w:rPr>
              <w:t> </w:t>
            </w:r>
            <w:r>
              <w:rPr>
                <w:sz w:val="20"/>
              </w:rPr>
              <w:t>fired</w:t>
            </w:r>
            <w:r>
              <w:rPr>
                <w:spacing w:val="-8"/>
                <w:sz w:val="20"/>
              </w:rPr>
              <w:t> </w:t>
            </w:r>
            <w:r>
              <w:rPr>
                <w:sz w:val="20"/>
              </w:rPr>
              <w:t>but</w:t>
            </w:r>
            <w:r>
              <w:rPr>
                <w:spacing w:val="-8"/>
                <w:sz w:val="20"/>
              </w:rPr>
              <w:t> </w:t>
            </w:r>
            <w:r>
              <w:rPr>
                <w:sz w:val="20"/>
              </w:rPr>
              <w:t>hurt</w:t>
            </w:r>
            <w:r>
              <w:rPr>
                <w:spacing w:val="-8"/>
                <w:sz w:val="20"/>
              </w:rPr>
              <w:t> </w:t>
            </w:r>
            <w:r>
              <w:rPr>
                <w:sz w:val="20"/>
              </w:rPr>
              <w:t>prediction,</w:t>
            </w:r>
            <w:r>
              <w:rPr>
                <w:spacing w:val="-8"/>
                <w:sz w:val="20"/>
              </w:rPr>
              <w:t> </w:t>
            </w:r>
            <w:r>
              <w:rPr>
                <w:sz w:val="20"/>
              </w:rPr>
              <w:t>harmful</w:t>
            </w:r>
            <w:r>
              <w:rPr>
                <w:spacing w:val="-8"/>
                <w:sz w:val="20"/>
              </w:rPr>
              <w:t> </w:t>
            </w:r>
            <w:r>
              <w:rPr>
                <w:sz w:val="20"/>
              </w:rPr>
              <w:t>rules</w:t>
            </w:r>
            <w:r>
              <w:rPr>
                <w:spacing w:val="-8"/>
                <w:sz w:val="20"/>
              </w:rPr>
              <w:t> </w:t>
            </w:r>
            <w:r>
              <w:rPr>
                <w:spacing w:val="-2"/>
                <w:sz w:val="20"/>
              </w:rPr>
              <w:t>applied</w:t>
            </w:r>
          </w:p>
        </w:tc>
      </w:tr>
      <w:tr>
        <w:trPr>
          <w:trHeight w:val="348" w:hRule="atLeast"/>
        </w:trPr>
        <w:tc>
          <w:tcPr>
            <w:tcW w:w="3193" w:type="dxa"/>
            <w:tcBorders>
              <w:bottom w:val="single" w:sz="8" w:space="0" w:color="000000"/>
              <w:right w:val="single" w:sz="4" w:space="0" w:color="000000"/>
            </w:tcBorders>
          </w:tcPr>
          <w:p>
            <w:pPr>
              <w:pStyle w:val="TableParagraph"/>
              <w:ind w:left="119"/>
              <w:rPr>
                <w:sz w:val="20"/>
              </w:rPr>
            </w:pPr>
            <w:r>
              <w:rPr>
                <w:sz w:val="20"/>
              </w:rPr>
              <w:t>Better</w:t>
            </w:r>
            <w:r>
              <w:rPr>
                <w:spacing w:val="-6"/>
                <w:sz w:val="20"/>
              </w:rPr>
              <w:t> </w:t>
            </w:r>
            <w:r>
              <w:rPr>
                <w:sz w:val="20"/>
              </w:rPr>
              <w:t>than</w:t>
            </w:r>
            <w:r>
              <w:rPr>
                <w:spacing w:val="-5"/>
                <w:sz w:val="20"/>
              </w:rPr>
              <w:t> </w:t>
            </w:r>
            <w:r>
              <w:rPr>
                <w:spacing w:val="-2"/>
                <w:sz w:val="20"/>
              </w:rPr>
              <w:t>Naive_Median</w:t>
            </w:r>
          </w:p>
        </w:tc>
        <w:tc>
          <w:tcPr>
            <w:tcW w:w="734" w:type="dxa"/>
            <w:tcBorders>
              <w:left w:val="single" w:sz="4" w:space="0" w:color="000000"/>
              <w:bottom w:val="single" w:sz="8" w:space="0" w:color="000000"/>
              <w:right w:val="single" w:sz="4" w:space="0" w:color="000000"/>
            </w:tcBorders>
          </w:tcPr>
          <w:p>
            <w:pPr>
              <w:pStyle w:val="TableParagraph"/>
              <w:ind w:right="30"/>
              <w:jc w:val="center"/>
              <w:rPr>
                <w:sz w:val="20"/>
              </w:rPr>
            </w:pPr>
            <w:r>
              <w:rPr>
                <w:sz w:val="20"/>
              </w:rPr>
              <w:t>0</w:t>
            </w:r>
            <w:r>
              <w:rPr>
                <w:spacing w:val="-2"/>
                <w:sz w:val="20"/>
              </w:rPr>
              <w:t> </w:t>
            </w:r>
            <w:r>
              <w:rPr>
                <w:sz w:val="20"/>
              </w:rPr>
              <w:t>/</w:t>
            </w:r>
            <w:r>
              <w:rPr>
                <w:spacing w:val="-2"/>
                <w:sz w:val="20"/>
              </w:rPr>
              <w:t> </w:t>
            </w:r>
            <w:r>
              <w:rPr>
                <w:spacing w:val="-5"/>
                <w:sz w:val="20"/>
              </w:rPr>
              <w:t>16</w:t>
            </w:r>
          </w:p>
        </w:tc>
        <w:tc>
          <w:tcPr>
            <w:tcW w:w="4576" w:type="dxa"/>
            <w:tcBorders>
              <w:left w:val="single" w:sz="4" w:space="0" w:color="000000"/>
              <w:bottom w:val="single" w:sz="8" w:space="0" w:color="000000"/>
            </w:tcBorders>
          </w:tcPr>
          <w:p>
            <w:pPr>
              <w:pStyle w:val="TableParagraph"/>
              <w:ind w:left="119"/>
              <w:rPr>
                <w:sz w:val="20"/>
              </w:rPr>
            </w:pPr>
            <w:r>
              <w:rPr>
                <w:sz w:val="20"/>
              </w:rPr>
              <w:t>CarenR</w:t>
            </w:r>
            <w:r>
              <w:rPr>
                <w:spacing w:val="-8"/>
                <w:sz w:val="20"/>
              </w:rPr>
              <w:t> </w:t>
            </w:r>
            <w:r>
              <w:rPr>
                <w:sz w:val="20"/>
              </w:rPr>
              <w:t>never</w:t>
            </w:r>
            <w:r>
              <w:rPr>
                <w:spacing w:val="-7"/>
                <w:sz w:val="20"/>
              </w:rPr>
              <w:t> </w:t>
            </w:r>
            <w:r>
              <w:rPr>
                <w:sz w:val="20"/>
              </w:rPr>
              <w:t>beats</w:t>
            </w:r>
            <w:r>
              <w:rPr>
                <w:spacing w:val="-8"/>
                <w:sz w:val="20"/>
              </w:rPr>
              <w:t> </w:t>
            </w:r>
            <w:r>
              <w:rPr>
                <w:sz w:val="20"/>
              </w:rPr>
              <w:t>the</w:t>
            </w:r>
            <w:r>
              <w:rPr>
                <w:spacing w:val="-7"/>
                <w:sz w:val="20"/>
              </w:rPr>
              <w:t> </w:t>
            </w:r>
            <w:r>
              <w:rPr>
                <w:sz w:val="20"/>
              </w:rPr>
              <w:t>naive</w:t>
            </w:r>
            <w:r>
              <w:rPr>
                <w:spacing w:val="-8"/>
                <w:sz w:val="20"/>
              </w:rPr>
              <w:t> </w:t>
            </w:r>
            <w:r>
              <w:rPr>
                <w:sz w:val="20"/>
              </w:rPr>
              <w:t>baseline</w:t>
            </w:r>
            <w:r>
              <w:rPr>
                <w:spacing w:val="-7"/>
                <w:sz w:val="20"/>
              </w:rPr>
              <w:t> </w:t>
            </w:r>
            <w:r>
              <w:rPr>
                <w:sz w:val="20"/>
              </w:rPr>
              <w:t>in</w:t>
            </w:r>
            <w:r>
              <w:rPr>
                <w:spacing w:val="-7"/>
                <w:sz w:val="20"/>
              </w:rPr>
              <w:t> </w:t>
            </w:r>
            <w:r>
              <w:rPr>
                <w:sz w:val="20"/>
              </w:rPr>
              <w:t>any</w:t>
            </w:r>
            <w:r>
              <w:rPr>
                <w:spacing w:val="-8"/>
                <w:sz w:val="20"/>
              </w:rPr>
              <w:t> </w:t>
            </w:r>
            <w:r>
              <w:rPr>
                <w:spacing w:val="-2"/>
                <w:sz w:val="20"/>
              </w:rPr>
              <w:t>scenario</w:t>
            </w:r>
          </w:p>
        </w:tc>
      </w:tr>
    </w:tbl>
    <w:p>
      <w:pPr>
        <w:pStyle w:val="BodyText"/>
        <w:rPr>
          <w:sz w:val="20"/>
        </w:rPr>
      </w:pPr>
    </w:p>
    <w:p>
      <w:pPr>
        <w:pStyle w:val="BodyText"/>
        <w:spacing w:before="75"/>
        <w:rPr>
          <w:sz w:val="20"/>
        </w:rPr>
      </w:pPr>
      <w:r>
        <w:rPr>
          <w:sz w:val="20"/>
        </w:rPr>
        <w:drawing>
          <wp:anchor distT="0" distB="0" distL="0" distR="0" allowOverlap="1" layoutInCell="1" locked="0" behindDoc="1" simplePos="0" relativeHeight="487625728">
            <wp:simplePos x="0" y="0"/>
            <wp:positionH relativeFrom="page">
              <wp:posOffset>1512138</wp:posOffset>
            </wp:positionH>
            <wp:positionV relativeFrom="paragraph">
              <wp:posOffset>209335</wp:posOffset>
            </wp:positionV>
            <wp:extent cx="4913376" cy="2441448"/>
            <wp:effectExtent l="0" t="0" r="0" b="0"/>
            <wp:wrapTopAndBottom/>
            <wp:docPr id="201" name="Image 201"/>
            <wp:cNvGraphicFramePr>
              <a:graphicFrameLocks/>
            </wp:cNvGraphicFramePr>
            <a:graphic>
              <a:graphicData uri="http://schemas.openxmlformats.org/drawingml/2006/picture">
                <pic:pic>
                  <pic:nvPicPr>
                    <pic:cNvPr id="201" name="Image 201"/>
                    <pic:cNvPicPr/>
                  </pic:nvPicPr>
                  <pic:blipFill>
                    <a:blip r:embed="rId84" cstate="print"/>
                    <a:stretch>
                      <a:fillRect/>
                    </a:stretch>
                  </pic:blipFill>
                  <pic:spPr>
                    <a:xfrm>
                      <a:off x="0" y="0"/>
                      <a:ext cx="4913376" cy="2441448"/>
                    </a:xfrm>
                    <a:prstGeom prst="rect">
                      <a:avLst/>
                    </a:prstGeom>
                  </pic:spPr>
                </pic:pic>
              </a:graphicData>
            </a:graphic>
          </wp:anchor>
        </w:drawing>
      </w:r>
    </w:p>
    <w:p>
      <w:pPr>
        <w:spacing w:before="190"/>
        <w:ind w:left="1308" w:right="0" w:firstLine="0"/>
        <w:jc w:val="both"/>
        <w:rPr>
          <w:sz w:val="20"/>
        </w:rPr>
      </w:pPr>
      <w:bookmarkStart w:name="_bookmark109" w:id="187"/>
      <w:bookmarkEnd w:id="187"/>
      <w:r>
        <w:rPr/>
      </w:r>
      <w:r>
        <w:rPr>
          <w:b/>
          <w:sz w:val="20"/>
        </w:rPr>
        <w:t>Figure</w:t>
      </w:r>
      <w:r>
        <w:rPr>
          <w:b/>
          <w:spacing w:val="-13"/>
          <w:sz w:val="20"/>
        </w:rPr>
        <w:t> </w:t>
      </w:r>
      <w:r>
        <w:rPr>
          <w:b/>
          <w:sz w:val="20"/>
        </w:rPr>
        <w:t>5.4:</w:t>
      </w:r>
      <w:r>
        <w:rPr>
          <w:b/>
          <w:spacing w:val="-10"/>
          <w:sz w:val="20"/>
        </w:rPr>
        <w:t> </w:t>
      </w:r>
      <w:r>
        <w:rPr>
          <w:sz w:val="20"/>
        </w:rPr>
        <w:t>Per-scenario</w:t>
      </w:r>
      <w:r>
        <w:rPr>
          <w:spacing w:val="-13"/>
          <w:sz w:val="20"/>
        </w:rPr>
        <w:t> </w:t>
      </w:r>
      <w:r>
        <w:rPr>
          <w:sz w:val="20"/>
        </w:rPr>
        <w:t>MAE</w:t>
      </w:r>
      <w:r>
        <w:rPr>
          <w:spacing w:val="-11"/>
          <w:sz w:val="20"/>
        </w:rPr>
        <w:t> </w:t>
      </w:r>
      <w:r>
        <w:rPr>
          <w:sz w:val="20"/>
        </w:rPr>
        <w:t>for</w:t>
      </w:r>
      <w:r>
        <w:rPr>
          <w:spacing w:val="-9"/>
          <w:sz w:val="20"/>
        </w:rPr>
        <w:t> </w:t>
      </w:r>
      <w:r>
        <w:rPr>
          <w:rFonts w:ascii="Courier New"/>
          <w:sz w:val="20"/>
        </w:rPr>
        <w:t>CarenR_Dist_Sup_FS</w:t>
      </w:r>
      <w:r>
        <w:rPr>
          <w:rFonts w:ascii="Courier New"/>
          <w:spacing w:val="-71"/>
          <w:sz w:val="20"/>
        </w:rPr>
        <w:t> </w:t>
      </w:r>
      <w:r>
        <w:rPr>
          <w:sz w:val="20"/>
        </w:rPr>
        <w:t>vs</w:t>
      </w:r>
      <w:r>
        <w:rPr>
          <w:spacing w:val="-10"/>
          <w:sz w:val="20"/>
        </w:rPr>
        <w:t> </w:t>
      </w:r>
      <w:r>
        <w:rPr>
          <w:rFonts w:ascii="Courier New"/>
          <w:sz w:val="20"/>
        </w:rPr>
        <w:t>Naive_Median</w:t>
      </w:r>
      <w:r>
        <w:rPr>
          <w:rFonts w:ascii="Courier New"/>
          <w:spacing w:val="-71"/>
          <w:sz w:val="20"/>
        </w:rPr>
        <w:t> </w:t>
      </w:r>
      <w:r>
        <w:rPr>
          <w:spacing w:val="-2"/>
          <w:sz w:val="20"/>
        </w:rPr>
        <w:t>(RVV).</w:t>
      </w:r>
    </w:p>
    <w:p>
      <w:pPr>
        <w:pStyle w:val="BodyText"/>
        <w:rPr>
          <w:sz w:val="20"/>
        </w:rPr>
      </w:pPr>
    </w:p>
    <w:p>
      <w:pPr>
        <w:pStyle w:val="BodyText"/>
        <w:rPr>
          <w:sz w:val="20"/>
        </w:rPr>
      </w:pPr>
    </w:p>
    <w:p>
      <w:pPr>
        <w:pStyle w:val="BodyText"/>
        <w:spacing w:before="62"/>
        <w:rPr>
          <w:sz w:val="20"/>
        </w:rPr>
      </w:pPr>
    </w:p>
    <w:p>
      <w:pPr>
        <w:pStyle w:val="Heading2"/>
        <w:numPr>
          <w:ilvl w:val="1"/>
          <w:numId w:val="34"/>
        </w:numPr>
        <w:tabs>
          <w:tab w:pos="1354" w:val="left" w:leader="none"/>
        </w:tabs>
        <w:spacing w:line="240" w:lineRule="auto" w:before="1" w:after="0"/>
        <w:ind w:left="1354" w:right="0" w:hanging="645"/>
        <w:jc w:val="left"/>
      </w:pPr>
      <w:bookmarkStart w:name="5.4 Statistical Tests" w:id="188"/>
      <w:bookmarkEnd w:id="188"/>
      <w:r>
        <w:rPr>
          <w:b w:val="0"/>
        </w:rPr>
      </w:r>
      <w:bookmarkStart w:name="_bookmark110" w:id="189"/>
      <w:bookmarkEnd w:id="189"/>
      <w:r>
        <w:rPr>
          <w:b w:val="0"/>
        </w:rPr>
      </w:r>
      <w:r>
        <w:rPr/>
        <w:t>Statistical</w:t>
      </w:r>
      <w:r>
        <w:rPr>
          <w:spacing w:val="24"/>
        </w:rPr>
        <w:t> </w:t>
      </w:r>
      <w:r>
        <w:rPr>
          <w:spacing w:val="-4"/>
        </w:rPr>
        <w:t>Tests</w:t>
      </w:r>
    </w:p>
    <w:p>
      <w:pPr>
        <w:pStyle w:val="BodyText"/>
        <w:spacing w:line="312" w:lineRule="auto" w:before="297"/>
        <w:ind w:left="709" w:right="952" w:hanging="7"/>
        <w:jc w:val="both"/>
      </w:pPr>
      <w:r>
        <w:rPr/>
        <w:t>Three statistical tests were conducted.</w:t>
      </w:r>
      <w:r>
        <w:rPr>
          <w:spacing w:val="40"/>
        </w:rPr>
        <w:t> </w:t>
      </w:r>
      <w:r>
        <w:rPr/>
        <w:t>Tests are classified below as confirmatory (hypothesis specified</w:t>
      </w:r>
      <w:r>
        <w:rPr>
          <w:spacing w:val="-6"/>
        </w:rPr>
        <w:t> </w:t>
      </w:r>
      <w:r>
        <w:rPr/>
        <w:t>before</w:t>
      </w:r>
      <w:r>
        <w:rPr>
          <w:spacing w:val="-6"/>
        </w:rPr>
        <w:t> </w:t>
      </w:r>
      <w:r>
        <w:rPr/>
        <w:t>examining</w:t>
      </w:r>
      <w:r>
        <w:rPr>
          <w:spacing w:val="-6"/>
        </w:rPr>
        <w:t> </w:t>
      </w:r>
      <w:r>
        <w:rPr/>
        <w:t>results)</w:t>
      </w:r>
      <w:r>
        <w:rPr>
          <w:spacing w:val="-6"/>
        </w:rPr>
        <w:t> </w:t>
      </w:r>
      <w:r>
        <w:rPr/>
        <w:t>or</w:t>
      </w:r>
      <w:r>
        <w:rPr>
          <w:spacing w:val="-6"/>
        </w:rPr>
        <w:t> </w:t>
      </w:r>
      <w:r>
        <w:rPr/>
        <w:t>exploratory</w:t>
      </w:r>
      <w:r>
        <w:rPr>
          <w:spacing w:val="-6"/>
        </w:rPr>
        <w:t> </w:t>
      </w:r>
      <w:r>
        <w:rPr/>
        <w:t>(hypothesis</w:t>
      </w:r>
      <w:r>
        <w:rPr>
          <w:spacing w:val="-5"/>
        </w:rPr>
        <w:t> </w:t>
      </w:r>
      <w:r>
        <w:rPr/>
        <w:t>identified</w:t>
      </w:r>
      <w:r>
        <w:rPr>
          <w:spacing w:val="-6"/>
        </w:rPr>
        <w:t> </w:t>
      </w:r>
      <w:r>
        <w:rPr/>
        <w:t>after</w:t>
      </w:r>
      <w:r>
        <w:rPr>
          <w:spacing w:val="-6"/>
        </w:rPr>
        <w:t> </w:t>
      </w:r>
      <w:r>
        <w:rPr/>
        <w:t>examining</w:t>
      </w:r>
      <w:r>
        <w:rPr>
          <w:spacing w:val="-5"/>
        </w:rPr>
        <w:t> </w:t>
      </w:r>
      <w:r>
        <w:rPr>
          <w:spacing w:val="-2"/>
        </w:rPr>
        <w:t>results).</w:t>
      </w:r>
    </w:p>
    <w:p>
      <w:pPr>
        <w:pStyle w:val="BodyText"/>
        <w:spacing w:after="0" w:line="312" w:lineRule="auto"/>
        <w:jc w:val="both"/>
        <w:sectPr>
          <w:pgSz w:w="11910" w:h="16840"/>
          <w:pgMar w:header="1160" w:footer="0" w:top="1420" w:bottom="280" w:left="1275" w:right="425"/>
        </w:sectPr>
      </w:pPr>
    </w:p>
    <w:p>
      <w:pPr>
        <w:pStyle w:val="BodyText"/>
        <w:rPr>
          <w:sz w:val="20"/>
        </w:rPr>
      </w:pPr>
    </w:p>
    <w:p>
      <w:pPr>
        <w:pStyle w:val="BodyText"/>
        <w:spacing w:before="38"/>
        <w:rPr>
          <w:sz w:val="20"/>
        </w:rPr>
      </w:pPr>
    </w:p>
    <w:p>
      <w:pPr>
        <w:spacing w:before="1"/>
        <w:ind w:left="0" w:right="1421" w:firstLine="0"/>
        <w:jc w:val="center"/>
        <w:rPr>
          <w:sz w:val="20"/>
        </w:rPr>
      </w:pPr>
      <w:bookmarkStart w:name="_bookmark111" w:id="190"/>
      <w:bookmarkEnd w:id="190"/>
      <w:r>
        <w:rPr/>
      </w:r>
      <w:r>
        <w:rPr>
          <w:b/>
          <w:sz w:val="20"/>
        </w:rPr>
        <w:t>Table</w:t>
      </w:r>
      <w:r>
        <w:rPr>
          <w:b/>
          <w:spacing w:val="-11"/>
          <w:sz w:val="20"/>
        </w:rPr>
        <w:t> </w:t>
      </w:r>
      <w:r>
        <w:rPr>
          <w:b/>
          <w:sz w:val="20"/>
        </w:rPr>
        <w:t>5.5:</w:t>
      </w:r>
      <w:r>
        <w:rPr>
          <w:b/>
          <w:spacing w:val="-2"/>
          <w:sz w:val="20"/>
        </w:rPr>
        <w:t> </w:t>
      </w:r>
      <w:r>
        <w:rPr>
          <w:sz w:val="20"/>
        </w:rPr>
        <w:t>RDD</w:t>
      </w:r>
      <w:r>
        <w:rPr>
          <w:spacing w:val="-11"/>
          <w:sz w:val="20"/>
        </w:rPr>
        <w:t> </w:t>
      </w:r>
      <w:r>
        <w:rPr>
          <w:sz w:val="20"/>
        </w:rPr>
        <w:t>vs</w:t>
      </w:r>
      <w:r>
        <w:rPr>
          <w:spacing w:val="-10"/>
          <w:sz w:val="20"/>
        </w:rPr>
        <w:t> </w:t>
      </w:r>
      <w:r>
        <w:rPr>
          <w:sz w:val="20"/>
        </w:rPr>
        <w:t>RVV</w:t>
      </w:r>
      <w:r>
        <w:rPr>
          <w:spacing w:val="-11"/>
          <w:sz w:val="20"/>
        </w:rPr>
        <w:t> </w:t>
      </w:r>
      <w:r>
        <w:rPr>
          <w:sz w:val="20"/>
        </w:rPr>
        <w:t>summary</w:t>
      </w:r>
      <w:r>
        <w:rPr>
          <w:spacing w:val="-11"/>
          <w:sz w:val="20"/>
        </w:rPr>
        <w:t> </w:t>
      </w:r>
      <w:r>
        <w:rPr>
          <w:sz w:val="20"/>
        </w:rPr>
        <w:t>comparison</w:t>
      </w:r>
      <w:r>
        <w:rPr>
          <w:spacing w:val="-11"/>
          <w:sz w:val="20"/>
        </w:rPr>
        <w:t> </w:t>
      </w:r>
      <w:r>
        <w:rPr>
          <w:sz w:val="20"/>
        </w:rPr>
        <w:t>across</w:t>
      </w:r>
      <w:r>
        <w:rPr>
          <w:spacing w:val="-11"/>
          <w:sz w:val="20"/>
        </w:rPr>
        <w:t> </w:t>
      </w:r>
      <w:r>
        <w:rPr>
          <w:sz w:val="20"/>
        </w:rPr>
        <w:t>key</w:t>
      </w:r>
      <w:r>
        <w:rPr>
          <w:spacing w:val="-11"/>
          <w:sz w:val="20"/>
        </w:rPr>
        <w:t> </w:t>
      </w:r>
      <w:r>
        <w:rPr>
          <w:sz w:val="20"/>
        </w:rPr>
        <w:t>evaluation</w:t>
      </w:r>
      <w:r>
        <w:rPr>
          <w:spacing w:val="-11"/>
          <w:sz w:val="20"/>
        </w:rPr>
        <w:t> </w:t>
      </w:r>
      <w:r>
        <w:rPr>
          <w:spacing w:val="-2"/>
          <w:sz w:val="20"/>
        </w:rPr>
        <w:t>dimensions.</w:t>
      </w:r>
    </w:p>
    <w:p>
      <w:pPr>
        <w:pStyle w:val="BodyText"/>
        <w:spacing w:before="5"/>
        <w:rPr>
          <w:sz w:val="18"/>
        </w:rPr>
      </w:pPr>
      <w:r>
        <w:rPr>
          <w:sz w:val="18"/>
        </w:rPr>
        <mc:AlternateContent>
          <mc:Choice Requires="wps">
            <w:drawing>
              <wp:anchor distT="0" distB="0" distL="0" distR="0" allowOverlap="1" layoutInCell="1" locked="0" behindDoc="1" simplePos="0" relativeHeight="487626240">
                <wp:simplePos x="0" y="0"/>
                <wp:positionH relativeFrom="page">
                  <wp:posOffset>899998</wp:posOffset>
                </wp:positionH>
                <wp:positionV relativeFrom="paragraph">
                  <wp:posOffset>150005</wp:posOffset>
                </wp:positionV>
                <wp:extent cx="5400040" cy="1270"/>
                <wp:effectExtent l="0" t="0" r="0" b="0"/>
                <wp:wrapTopAndBottom/>
                <wp:docPr id="202" name="Graphic 202"/>
                <wp:cNvGraphicFramePr>
                  <a:graphicFrameLocks/>
                </wp:cNvGraphicFramePr>
                <a:graphic>
                  <a:graphicData uri="http://schemas.microsoft.com/office/word/2010/wordprocessingShape">
                    <wps:wsp>
                      <wps:cNvPr id="202" name="Graphic 202"/>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1.811473pt;width:425.2pt;height:.1pt;mso-position-horizontal-relative:page;mso-position-vertical-relative:paragraph;z-index:-15690240;mso-wrap-distance-left:0;mso-wrap-distance-right:0" id="docshape170" coordorigin="1417,236" coordsize="8504,0" path="m1417,236l9921,236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23"/>
        <w:gridCol w:w="2042"/>
        <w:gridCol w:w="3439"/>
      </w:tblGrid>
      <w:tr>
        <w:trPr>
          <w:trHeight w:val="346" w:hRule="atLeast"/>
        </w:trPr>
        <w:tc>
          <w:tcPr>
            <w:tcW w:w="3023" w:type="dxa"/>
            <w:tcBorders>
              <w:top w:val="nil"/>
              <w:left w:val="nil"/>
              <w:right w:val="single" w:sz="4" w:space="0" w:color="000000"/>
            </w:tcBorders>
          </w:tcPr>
          <w:p>
            <w:pPr>
              <w:pStyle w:val="TableParagraph"/>
              <w:spacing w:before="31"/>
              <w:ind w:left="119"/>
              <w:rPr>
                <w:sz w:val="20"/>
              </w:rPr>
            </w:pPr>
            <w:r>
              <w:rPr>
                <w:spacing w:val="-2"/>
                <w:sz w:val="20"/>
              </w:rPr>
              <w:t>Dimension</w:t>
            </w:r>
          </w:p>
        </w:tc>
        <w:tc>
          <w:tcPr>
            <w:tcW w:w="2042" w:type="dxa"/>
            <w:tcBorders>
              <w:top w:val="nil"/>
              <w:left w:val="single" w:sz="4" w:space="0" w:color="000000"/>
              <w:right w:val="single" w:sz="4" w:space="0" w:color="000000"/>
            </w:tcBorders>
          </w:tcPr>
          <w:p>
            <w:pPr>
              <w:pStyle w:val="TableParagraph"/>
              <w:spacing w:before="31"/>
              <w:ind w:left="118"/>
              <w:rPr>
                <w:sz w:val="20"/>
              </w:rPr>
            </w:pPr>
            <w:r>
              <w:rPr>
                <w:sz w:val="20"/>
              </w:rPr>
              <w:t>RDD:</w:t>
            </w:r>
            <w:r>
              <w:rPr>
                <w:spacing w:val="-6"/>
                <w:sz w:val="20"/>
              </w:rPr>
              <w:t> </w:t>
            </w:r>
            <w:r>
              <w:rPr>
                <w:spacing w:val="-2"/>
                <w:sz w:val="20"/>
              </w:rPr>
              <w:t>Douro</w:t>
            </w:r>
          </w:p>
        </w:tc>
        <w:tc>
          <w:tcPr>
            <w:tcW w:w="3439" w:type="dxa"/>
            <w:tcBorders>
              <w:top w:val="nil"/>
              <w:left w:val="single" w:sz="4" w:space="0" w:color="000000"/>
              <w:right w:val="nil"/>
            </w:tcBorders>
          </w:tcPr>
          <w:p>
            <w:pPr>
              <w:pStyle w:val="TableParagraph"/>
              <w:spacing w:before="31"/>
              <w:ind w:left="118"/>
              <w:rPr>
                <w:sz w:val="20"/>
              </w:rPr>
            </w:pPr>
            <w:r>
              <w:rPr>
                <w:spacing w:val="-6"/>
                <w:sz w:val="20"/>
              </w:rPr>
              <w:t>RVV:</w:t>
            </w:r>
            <w:r>
              <w:rPr>
                <w:spacing w:val="-1"/>
                <w:sz w:val="20"/>
              </w:rPr>
              <w:t> </w:t>
            </w:r>
            <w:r>
              <w:rPr>
                <w:spacing w:val="-6"/>
                <w:sz w:val="20"/>
              </w:rPr>
              <w:t>Vinho</w:t>
            </w:r>
            <w:r>
              <w:rPr>
                <w:sz w:val="20"/>
              </w:rPr>
              <w:t> </w:t>
            </w:r>
            <w:r>
              <w:rPr>
                <w:spacing w:val="-6"/>
                <w:sz w:val="20"/>
              </w:rPr>
              <w:t>Verde</w:t>
            </w:r>
          </w:p>
        </w:tc>
      </w:tr>
    </w:tbl>
    <w:p>
      <w:pPr>
        <w:pStyle w:val="BodyText"/>
        <w:spacing w:before="10"/>
        <w:rPr>
          <w:sz w:val="4"/>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23"/>
        <w:gridCol w:w="2042"/>
        <w:gridCol w:w="3439"/>
      </w:tblGrid>
      <w:tr>
        <w:trPr>
          <w:trHeight w:val="308" w:hRule="atLeast"/>
        </w:trPr>
        <w:tc>
          <w:tcPr>
            <w:tcW w:w="3023" w:type="dxa"/>
            <w:tcBorders>
              <w:right w:val="single" w:sz="4" w:space="0" w:color="000000"/>
            </w:tcBorders>
          </w:tcPr>
          <w:p>
            <w:pPr>
              <w:pStyle w:val="TableParagraph"/>
              <w:spacing w:before="31"/>
              <w:ind w:left="119"/>
              <w:rPr>
                <w:sz w:val="20"/>
              </w:rPr>
            </w:pPr>
            <w:r>
              <w:rPr>
                <w:sz w:val="20"/>
              </w:rPr>
              <w:t>CarenR</w:t>
            </w:r>
            <w:r>
              <w:rPr>
                <w:spacing w:val="-7"/>
                <w:sz w:val="20"/>
              </w:rPr>
              <w:t> </w:t>
            </w:r>
            <w:r>
              <w:rPr>
                <w:sz w:val="20"/>
              </w:rPr>
              <w:t>wins</w:t>
            </w:r>
            <w:r>
              <w:rPr>
                <w:spacing w:val="-6"/>
                <w:sz w:val="20"/>
              </w:rPr>
              <w:t> </w:t>
            </w:r>
            <w:r>
              <w:rPr>
                <w:sz w:val="20"/>
              </w:rPr>
              <w:t>(any</w:t>
            </w:r>
            <w:r>
              <w:rPr>
                <w:spacing w:val="-7"/>
                <w:sz w:val="20"/>
              </w:rPr>
              <w:t> </w:t>
            </w:r>
            <w:r>
              <w:rPr>
                <w:spacing w:val="-2"/>
                <w:sz w:val="20"/>
              </w:rPr>
              <w:t>scenario)</w:t>
            </w:r>
          </w:p>
        </w:tc>
        <w:tc>
          <w:tcPr>
            <w:tcW w:w="2042" w:type="dxa"/>
            <w:tcBorders>
              <w:left w:val="single" w:sz="4" w:space="0" w:color="000000"/>
              <w:right w:val="single" w:sz="4" w:space="0" w:color="000000"/>
            </w:tcBorders>
          </w:tcPr>
          <w:p>
            <w:pPr>
              <w:pStyle w:val="TableParagraph"/>
              <w:spacing w:before="31"/>
              <w:ind w:left="118"/>
              <w:rPr>
                <w:sz w:val="20"/>
              </w:rPr>
            </w:pPr>
            <w:r>
              <w:rPr>
                <w:sz w:val="20"/>
              </w:rPr>
              <w:t>5</w:t>
            </w:r>
            <w:r>
              <w:rPr>
                <w:spacing w:val="-2"/>
                <w:sz w:val="20"/>
              </w:rPr>
              <w:t> </w:t>
            </w:r>
            <w:r>
              <w:rPr>
                <w:sz w:val="20"/>
              </w:rPr>
              <w:t>/</w:t>
            </w:r>
            <w:r>
              <w:rPr>
                <w:spacing w:val="-2"/>
                <w:sz w:val="20"/>
              </w:rPr>
              <w:t> </w:t>
            </w:r>
            <w:r>
              <w:rPr>
                <w:spacing w:val="-5"/>
                <w:sz w:val="20"/>
              </w:rPr>
              <w:t>18</w:t>
            </w:r>
          </w:p>
        </w:tc>
        <w:tc>
          <w:tcPr>
            <w:tcW w:w="3439" w:type="dxa"/>
            <w:tcBorders>
              <w:left w:val="single" w:sz="4" w:space="0" w:color="000000"/>
            </w:tcBorders>
          </w:tcPr>
          <w:p>
            <w:pPr>
              <w:pStyle w:val="TableParagraph"/>
              <w:spacing w:before="31"/>
              <w:ind w:left="118"/>
              <w:rPr>
                <w:sz w:val="20"/>
              </w:rPr>
            </w:pPr>
            <w:r>
              <w:rPr>
                <w:sz w:val="20"/>
              </w:rPr>
              <w:t>0</w:t>
            </w:r>
            <w:r>
              <w:rPr>
                <w:spacing w:val="-2"/>
                <w:sz w:val="20"/>
              </w:rPr>
              <w:t> </w:t>
            </w:r>
            <w:r>
              <w:rPr>
                <w:sz w:val="20"/>
              </w:rPr>
              <w:t>/</w:t>
            </w:r>
            <w:r>
              <w:rPr>
                <w:spacing w:val="-2"/>
                <w:sz w:val="20"/>
              </w:rPr>
              <w:t> </w:t>
            </w:r>
            <w:r>
              <w:rPr>
                <w:spacing w:val="-5"/>
                <w:sz w:val="20"/>
              </w:rPr>
              <w:t>16</w:t>
            </w:r>
          </w:p>
        </w:tc>
      </w:tr>
      <w:tr>
        <w:trPr>
          <w:trHeight w:val="310" w:hRule="atLeast"/>
        </w:trPr>
        <w:tc>
          <w:tcPr>
            <w:tcW w:w="3023" w:type="dxa"/>
            <w:tcBorders>
              <w:right w:val="single" w:sz="4" w:space="0" w:color="000000"/>
            </w:tcBorders>
          </w:tcPr>
          <w:p>
            <w:pPr>
              <w:pStyle w:val="TableParagraph"/>
              <w:ind w:left="119"/>
              <w:rPr>
                <w:sz w:val="20"/>
              </w:rPr>
            </w:pPr>
            <w:r>
              <w:rPr>
                <w:sz w:val="20"/>
              </w:rPr>
              <w:t>Effect</w:t>
            </w:r>
            <w:r>
              <w:rPr>
                <w:spacing w:val="-8"/>
                <w:sz w:val="20"/>
              </w:rPr>
              <w:t> </w:t>
            </w:r>
            <w:r>
              <w:rPr>
                <w:sz w:val="20"/>
              </w:rPr>
              <w:t>of</w:t>
            </w:r>
            <w:r>
              <w:rPr>
                <w:spacing w:val="-7"/>
                <w:sz w:val="20"/>
              </w:rPr>
              <w:t> </w:t>
            </w:r>
            <w:r>
              <w:rPr>
                <w:sz w:val="20"/>
              </w:rPr>
              <w:t>adding</w:t>
            </w:r>
            <w:r>
              <w:rPr>
                <w:spacing w:val="-7"/>
                <w:sz w:val="20"/>
              </w:rPr>
              <w:t> </w:t>
            </w:r>
            <w:r>
              <w:rPr>
                <w:sz w:val="20"/>
              </w:rPr>
              <w:t>post-1990</w:t>
            </w:r>
            <w:r>
              <w:rPr>
                <w:spacing w:val="-7"/>
                <w:sz w:val="20"/>
              </w:rPr>
              <w:t> </w:t>
            </w:r>
            <w:r>
              <w:rPr>
                <w:spacing w:val="-4"/>
                <w:sz w:val="20"/>
              </w:rPr>
              <w:t>data</w:t>
            </w:r>
          </w:p>
        </w:tc>
        <w:tc>
          <w:tcPr>
            <w:tcW w:w="2042" w:type="dxa"/>
            <w:tcBorders>
              <w:left w:val="single" w:sz="4" w:space="0" w:color="000000"/>
              <w:right w:val="single" w:sz="4" w:space="0" w:color="000000"/>
            </w:tcBorders>
          </w:tcPr>
          <w:p>
            <w:pPr>
              <w:pStyle w:val="TableParagraph"/>
              <w:ind w:left="118"/>
              <w:rPr>
                <w:sz w:val="20"/>
              </w:rPr>
            </w:pPr>
            <w:r>
              <w:rPr>
                <w:spacing w:val="-2"/>
                <w:sz w:val="20"/>
              </w:rPr>
              <w:t>Improves</w:t>
            </w:r>
            <w:r>
              <w:rPr>
                <w:spacing w:val="1"/>
                <w:sz w:val="20"/>
              </w:rPr>
              <w:t> </w:t>
            </w:r>
            <w:r>
              <w:rPr>
                <w:spacing w:val="-2"/>
                <w:sz w:val="20"/>
              </w:rPr>
              <w:t>CarenR</w:t>
            </w:r>
          </w:p>
        </w:tc>
        <w:tc>
          <w:tcPr>
            <w:tcW w:w="3439" w:type="dxa"/>
            <w:tcBorders>
              <w:left w:val="single" w:sz="4" w:space="0" w:color="000000"/>
            </w:tcBorders>
          </w:tcPr>
          <w:p>
            <w:pPr>
              <w:pStyle w:val="TableParagraph"/>
              <w:ind w:left="118"/>
              <w:rPr>
                <w:sz w:val="20"/>
              </w:rPr>
            </w:pPr>
            <w:r>
              <w:rPr>
                <w:spacing w:val="-2"/>
                <w:sz w:val="20"/>
              </w:rPr>
              <w:t>Worsens</w:t>
            </w:r>
            <w:r>
              <w:rPr>
                <w:spacing w:val="-10"/>
                <w:sz w:val="20"/>
              </w:rPr>
              <w:t> </w:t>
            </w:r>
            <w:r>
              <w:rPr>
                <w:spacing w:val="-2"/>
                <w:sz w:val="20"/>
              </w:rPr>
              <w:t>CarenR</w:t>
            </w:r>
          </w:p>
        </w:tc>
      </w:tr>
      <w:tr>
        <w:trPr>
          <w:trHeight w:val="310" w:hRule="atLeast"/>
        </w:trPr>
        <w:tc>
          <w:tcPr>
            <w:tcW w:w="3023" w:type="dxa"/>
            <w:tcBorders>
              <w:right w:val="single" w:sz="4" w:space="0" w:color="000000"/>
            </w:tcBorders>
          </w:tcPr>
          <w:p>
            <w:pPr>
              <w:pStyle w:val="TableParagraph"/>
              <w:ind w:left="119"/>
              <w:rPr>
                <w:sz w:val="20"/>
              </w:rPr>
            </w:pPr>
            <w:r>
              <w:rPr>
                <w:sz w:val="20"/>
              </w:rPr>
              <w:t>Fallback</w:t>
            </w:r>
            <w:r>
              <w:rPr>
                <w:spacing w:val="-6"/>
                <w:sz w:val="20"/>
              </w:rPr>
              <w:t> </w:t>
            </w:r>
            <w:r>
              <w:rPr>
                <w:sz w:val="20"/>
              </w:rPr>
              <w:t>to</w:t>
            </w:r>
            <w:r>
              <w:rPr>
                <w:spacing w:val="-6"/>
                <w:sz w:val="20"/>
              </w:rPr>
              <w:t> </w:t>
            </w:r>
            <w:r>
              <w:rPr>
                <w:sz w:val="20"/>
              </w:rPr>
              <w:t>median</w:t>
            </w:r>
            <w:r>
              <w:rPr>
                <w:spacing w:val="-6"/>
                <w:sz w:val="20"/>
              </w:rPr>
              <w:t> </w:t>
            </w:r>
            <w:r>
              <w:rPr>
                <w:sz w:val="20"/>
              </w:rPr>
              <w:t>(no</w:t>
            </w:r>
            <w:r>
              <w:rPr>
                <w:spacing w:val="-6"/>
                <w:sz w:val="20"/>
              </w:rPr>
              <w:t> </w:t>
            </w:r>
            <w:r>
              <w:rPr>
                <w:spacing w:val="-2"/>
                <w:sz w:val="20"/>
              </w:rPr>
              <w:t>rules)</w:t>
            </w:r>
          </w:p>
        </w:tc>
        <w:tc>
          <w:tcPr>
            <w:tcW w:w="2042" w:type="dxa"/>
            <w:tcBorders>
              <w:left w:val="single" w:sz="4" w:space="0" w:color="000000"/>
              <w:right w:val="single" w:sz="4" w:space="0" w:color="000000"/>
            </w:tcBorders>
          </w:tcPr>
          <w:p>
            <w:pPr>
              <w:pStyle w:val="TableParagraph"/>
              <w:ind w:left="118"/>
              <w:rPr>
                <w:sz w:val="20"/>
              </w:rPr>
            </w:pPr>
            <w:r>
              <w:rPr>
                <w:spacing w:val="-4"/>
                <w:sz w:val="20"/>
              </w:rPr>
              <w:t>Rare</w:t>
            </w:r>
          </w:p>
        </w:tc>
        <w:tc>
          <w:tcPr>
            <w:tcW w:w="3439" w:type="dxa"/>
            <w:tcBorders>
              <w:left w:val="single" w:sz="4" w:space="0" w:color="000000"/>
            </w:tcBorders>
          </w:tcPr>
          <w:p>
            <w:pPr>
              <w:pStyle w:val="TableParagraph"/>
              <w:ind w:left="118"/>
              <w:rPr>
                <w:sz w:val="20"/>
              </w:rPr>
            </w:pPr>
            <w:r>
              <w:rPr>
                <w:sz w:val="20"/>
              </w:rPr>
              <w:t>7</w:t>
            </w:r>
            <w:r>
              <w:rPr>
                <w:spacing w:val="-3"/>
                <w:sz w:val="20"/>
              </w:rPr>
              <w:t> </w:t>
            </w:r>
            <w:r>
              <w:rPr>
                <w:sz w:val="20"/>
              </w:rPr>
              <w:t>/</w:t>
            </w:r>
            <w:r>
              <w:rPr>
                <w:spacing w:val="-2"/>
                <w:sz w:val="20"/>
              </w:rPr>
              <w:t> </w:t>
            </w:r>
            <w:r>
              <w:rPr>
                <w:sz w:val="20"/>
              </w:rPr>
              <w:t>16</w:t>
            </w:r>
            <w:r>
              <w:rPr>
                <w:spacing w:val="-2"/>
                <w:sz w:val="20"/>
              </w:rPr>
              <w:t> (44%)</w:t>
            </w:r>
          </w:p>
        </w:tc>
      </w:tr>
      <w:tr>
        <w:trPr>
          <w:trHeight w:val="310" w:hRule="atLeast"/>
        </w:trPr>
        <w:tc>
          <w:tcPr>
            <w:tcW w:w="3023" w:type="dxa"/>
            <w:tcBorders>
              <w:right w:val="single" w:sz="4" w:space="0" w:color="000000"/>
            </w:tcBorders>
          </w:tcPr>
          <w:p>
            <w:pPr>
              <w:pStyle w:val="TableParagraph"/>
              <w:ind w:left="119"/>
              <w:rPr>
                <w:sz w:val="20"/>
              </w:rPr>
            </w:pPr>
            <w:r>
              <w:rPr>
                <w:sz w:val="20"/>
              </w:rPr>
              <w:t>Rules</w:t>
            </w:r>
            <w:r>
              <w:rPr>
                <w:spacing w:val="-9"/>
                <w:sz w:val="20"/>
              </w:rPr>
              <w:t> </w:t>
            </w:r>
            <w:r>
              <w:rPr>
                <w:sz w:val="20"/>
              </w:rPr>
              <w:t>fire</w:t>
            </w:r>
            <w:r>
              <w:rPr>
                <w:spacing w:val="-8"/>
                <w:sz w:val="20"/>
              </w:rPr>
              <w:t> </w:t>
            </w:r>
            <w:r>
              <w:rPr>
                <w:sz w:val="20"/>
              </w:rPr>
              <w:t>but</w:t>
            </w:r>
            <w:r>
              <w:rPr>
                <w:spacing w:val="-8"/>
                <w:sz w:val="20"/>
              </w:rPr>
              <w:t> </w:t>
            </w:r>
            <w:r>
              <w:rPr>
                <w:sz w:val="20"/>
              </w:rPr>
              <w:t>hurt</w:t>
            </w:r>
            <w:r>
              <w:rPr>
                <w:spacing w:val="-8"/>
                <w:sz w:val="20"/>
              </w:rPr>
              <w:t> </w:t>
            </w:r>
            <w:r>
              <w:rPr>
                <w:spacing w:val="-2"/>
                <w:sz w:val="20"/>
              </w:rPr>
              <w:t>prediction</w:t>
            </w:r>
          </w:p>
        </w:tc>
        <w:tc>
          <w:tcPr>
            <w:tcW w:w="2042" w:type="dxa"/>
            <w:tcBorders>
              <w:left w:val="single" w:sz="4" w:space="0" w:color="000000"/>
              <w:right w:val="single" w:sz="4" w:space="0" w:color="000000"/>
            </w:tcBorders>
          </w:tcPr>
          <w:p>
            <w:pPr>
              <w:pStyle w:val="TableParagraph"/>
              <w:ind w:left="118"/>
              <w:rPr>
                <w:sz w:val="20"/>
              </w:rPr>
            </w:pPr>
            <w:r>
              <w:rPr>
                <w:sz w:val="20"/>
              </w:rPr>
              <w:t>Some</w:t>
            </w:r>
            <w:r>
              <w:rPr>
                <w:spacing w:val="-6"/>
                <w:sz w:val="20"/>
              </w:rPr>
              <w:t> </w:t>
            </w:r>
            <w:r>
              <w:rPr>
                <w:sz w:val="20"/>
              </w:rPr>
              <w:t>early</w:t>
            </w:r>
            <w:r>
              <w:rPr>
                <w:spacing w:val="-5"/>
                <w:sz w:val="20"/>
              </w:rPr>
              <w:t> </w:t>
            </w:r>
            <w:r>
              <w:rPr>
                <w:spacing w:val="-2"/>
                <w:sz w:val="20"/>
              </w:rPr>
              <w:t>scenarios</w:t>
            </w:r>
          </w:p>
        </w:tc>
        <w:tc>
          <w:tcPr>
            <w:tcW w:w="3439" w:type="dxa"/>
            <w:tcBorders>
              <w:left w:val="single" w:sz="4" w:space="0" w:color="000000"/>
            </w:tcBorders>
          </w:tcPr>
          <w:p>
            <w:pPr>
              <w:pStyle w:val="TableParagraph"/>
              <w:ind w:left="118"/>
              <w:rPr>
                <w:sz w:val="20"/>
              </w:rPr>
            </w:pPr>
            <w:r>
              <w:rPr>
                <w:sz w:val="20"/>
              </w:rPr>
              <w:t>9</w:t>
            </w:r>
            <w:r>
              <w:rPr>
                <w:spacing w:val="-3"/>
                <w:sz w:val="20"/>
              </w:rPr>
              <w:t> </w:t>
            </w:r>
            <w:r>
              <w:rPr>
                <w:sz w:val="20"/>
              </w:rPr>
              <w:t>/</w:t>
            </w:r>
            <w:r>
              <w:rPr>
                <w:spacing w:val="-2"/>
                <w:sz w:val="20"/>
              </w:rPr>
              <w:t> </w:t>
            </w:r>
            <w:r>
              <w:rPr>
                <w:sz w:val="20"/>
              </w:rPr>
              <w:t>16</w:t>
            </w:r>
            <w:r>
              <w:rPr>
                <w:spacing w:val="-2"/>
                <w:sz w:val="20"/>
              </w:rPr>
              <w:t> (56%)</w:t>
            </w:r>
          </w:p>
        </w:tc>
      </w:tr>
      <w:tr>
        <w:trPr>
          <w:trHeight w:val="348" w:hRule="atLeast"/>
        </w:trPr>
        <w:tc>
          <w:tcPr>
            <w:tcW w:w="3023" w:type="dxa"/>
            <w:tcBorders>
              <w:bottom w:val="single" w:sz="8" w:space="0" w:color="000000"/>
              <w:right w:val="single" w:sz="4" w:space="0" w:color="000000"/>
            </w:tcBorders>
          </w:tcPr>
          <w:p>
            <w:pPr>
              <w:pStyle w:val="TableParagraph"/>
              <w:ind w:left="119"/>
              <w:rPr>
                <w:sz w:val="20"/>
              </w:rPr>
            </w:pPr>
            <w:r>
              <w:rPr>
                <w:sz w:val="20"/>
              </w:rPr>
              <w:t>Best</w:t>
            </w:r>
            <w:r>
              <w:rPr>
                <w:spacing w:val="-5"/>
                <w:sz w:val="20"/>
              </w:rPr>
              <w:t> </w:t>
            </w:r>
            <w:r>
              <w:rPr>
                <w:sz w:val="20"/>
              </w:rPr>
              <w:t>CarenR</w:t>
            </w:r>
            <w:r>
              <w:rPr>
                <w:spacing w:val="-5"/>
                <w:sz w:val="20"/>
              </w:rPr>
              <w:t> </w:t>
            </w:r>
            <w:r>
              <w:rPr>
                <w:sz w:val="20"/>
              </w:rPr>
              <w:t>gap</w:t>
            </w:r>
            <w:r>
              <w:rPr>
                <w:spacing w:val="-5"/>
                <w:sz w:val="20"/>
              </w:rPr>
              <w:t> </w:t>
            </w:r>
            <w:r>
              <w:rPr>
                <w:sz w:val="20"/>
              </w:rPr>
              <w:t>to</w:t>
            </w:r>
            <w:r>
              <w:rPr>
                <w:spacing w:val="-5"/>
                <w:sz w:val="20"/>
              </w:rPr>
              <w:t> </w:t>
            </w:r>
            <w:r>
              <w:rPr>
                <w:spacing w:val="-2"/>
                <w:sz w:val="20"/>
              </w:rPr>
              <w:t>Naive_Median</w:t>
            </w:r>
          </w:p>
        </w:tc>
        <w:tc>
          <w:tcPr>
            <w:tcW w:w="2042" w:type="dxa"/>
            <w:tcBorders>
              <w:left w:val="single" w:sz="4" w:space="0" w:color="000000"/>
              <w:bottom w:val="single" w:sz="8" w:space="0" w:color="000000"/>
              <w:right w:val="single" w:sz="4" w:space="0" w:color="000000"/>
            </w:tcBorders>
          </w:tcPr>
          <w:p>
            <w:pPr>
              <w:pStyle w:val="TableParagraph"/>
              <w:ind w:left="118"/>
              <w:rPr>
                <w:sz w:val="20"/>
              </w:rPr>
            </w:pPr>
            <w:r>
              <w:rPr>
                <w:sz w:val="20"/>
              </w:rPr>
              <w:t>+3%</w:t>
            </w:r>
            <w:r>
              <w:rPr>
                <w:spacing w:val="-5"/>
                <w:sz w:val="20"/>
              </w:rPr>
              <w:t> </w:t>
            </w:r>
            <w:r>
              <w:rPr>
                <w:sz w:val="20"/>
              </w:rPr>
              <w:t>(189</w:t>
            </w:r>
            <w:r>
              <w:rPr>
                <w:spacing w:val="-4"/>
                <w:sz w:val="20"/>
              </w:rPr>
              <w:t> </w:t>
            </w:r>
            <w:r>
              <w:rPr>
                <w:sz w:val="20"/>
              </w:rPr>
              <w:t>vs</w:t>
            </w:r>
            <w:r>
              <w:rPr>
                <w:spacing w:val="-4"/>
                <w:sz w:val="20"/>
              </w:rPr>
              <w:t> </w:t>
            </w:r>
            <w:r>
              <w:rPr>
                <w:sz w:val="20"/>
              </w:rPr>
              <w:t>184</w:t>
            </w:r>
            <w:r>
              <w:rPr>
                <w:spacing w:val="-4"/>
                <w:sz w:val="20"/>
              </w:rPr>
              <w:t> mhl)</w:t>
            </w:r>
          </w:p>
        </w:tc>
        <w:tc>
          <w:tcPr>
            <w:tcW w:w="3439" w:type="dxa"/>
            <w:tcBorders>
              <w:left w:val="single" w:sz="4" w:space="0" w:color="000000"/>
              <w:bottom w:val="single" w:sz="8" w:space="0" w:color="000000"/>
            </w:tcBorders>
          </w:tcPr>
          <w:p>
            <w:pPr>
              <w:pStyle w:val="TableParagraph"/>
              <w:ind w:left="118"/>
              <w:rPr>
                <w:sz w:val="20"/>
              </w:rPr>
            </w:pPr>
            <w:r>
              <w:rPr>
                <w:sz w:val="20"/>
              </w:rPr>
              <w:t>+22%</w:t>
            </w:r>
            <w:r>
              <w:rPr>
                <w:spacing w:val="-5"/>
                <w:sz w:val="20"/>
              </w:rPr>
              <w:t> </w:t>
            </w:r>
            <w:r>
              <w:rPr>
                <w:sz w:val="20"/>
              </w:rPr>
              <w:t>(172</w:t>
            </w:r>
            <w:r>
              <w:rPr>
                <w:spacing w:val="-4"/>
                <w:sz w:val="20"/>
              </w:rPr>
              <w:t> </w:t>
            </w:r>
            <w:r>
              <w:rPr>
                <w:sz w:val="20"/>
              </w:rPr>
              <w:t>vs</w:t>
            </w:r>
            <w:r>
              <w:rPr>
                <w:spacing w:val="-4"/>
                <w:sz w:val="20"/>
              </w:rPr>
              <w:t> </w:t>
            </w:r>
            <w:r>
              <w:rPr>
                <w:sz w:val="20"/>
              </w:rPr>
              <w:t>140</w:t>
            </w:r>
            <w:r>
              <w:rPr>
                <w:spacing w:val="-5"/>
                <w:sz w:val="20"/>
              </w:rPr>
              <w:t> </w:t>
            </w:r>
            <w:r>
              <w:rPr>
                <w:spacing w:val="-4"/>
                <w:sz w:val="20"/>
              </w:rPr>
              <w:t>mhl)</w:t>
            </w:r>
          </w:p>
        </w:tc>
      </w:tr>
    </w:tbl>
    <w:p>
      <w:pPr>
        <w:pStyle w:val="BodyText"/>
        <w:rPr>
          <w:sz w:val="20"/>
        </w:rPr>
      </w:pPr>
    </w:p>
    <w:p>
      <w:pPr>
        <w:pStyle w:val="BodyText"/>
        <w:spacing w:before="181"/>
        <w:rPr>
          <w:sz w:val="20"/>
        </w:rPr>
      </w:pPr>
    </w:p>
    <w:p>
      <w:pPr>
        <w:pStyle w:val="BodyText"/>
        <w:ind w:left="142"/>
      </w:pPr>
      <w:r>
        <w:rPr/>
        <w:t>Uncorrected</w:t>
      </w:r>
      <w:r>
        <w:rPr>
          <w:spacing w:val="-9"/>
        </w:rPr>
        <w:t> </w:t>
      </w:r>
      <w:r>
        <w:rPr/>
        <w:t>p-values</w:t>
      </w:r>
      <w:r>
        <w:rPr>
          <w:spacing w:val="-8"/>
        </w:rPr>
        <w:t> </w:t>
      </w:r>
      <w:r>
        <w:rPr/>
        <w:t>are</w:t>
      </w:r>
      <w:r>
        <w:rPr>
          <w:spacing w:val="-9"/>
        </w:rPr>
        <w:t> </w:t>
      </w:r>
      <w:r>
        <w:rPr/>
        <w:t>reported;</w:t>
      </w:r>
      <w:r>
        <w:rPr>
          <w:spacing w:val="-8"/>
        </w:rPr>
        <w:t> </w:t>
      </w:r>
      <w:r>
        <w:rPr/>
        <w:t>no</w:t>
      </w:r>
      <w:r>
        <w:rPr>
          <w:spacing w:val="-8"/>
        </w:rPr>
        <w:t> </w:t>
      </w:r>
      <w:r>
        <w:rPr/>
        <w:t>correction</w:t>
      </w:r>
      <w:r>
        <w:rPr>
          <w:spacing w:val="-9"/>
        </w:rPr>
        <w:t> </w:t>
      </w:r>
      <w:r>
        <w:rPr/>
        <w:t>for</w:t>
      </w:r>
      <w:r>
        <w:rPr>
          <w:spacing w:val="-8"/>
        </w:rPr>
        <w:t> </w:t>
      </w:r>
      <w:r>
        <w:rPr/>
        <w:t>multiple</w:t>
      </w:r>
      <w:r>
        <w:rPr>
          <w:spacing w:val="-8"/>
        </w:rPr>
        <w:t> </w:t>
      </w:r>
      <w:r>
        <w:rPr/>
        <w:t>comparisons</w:t>
      </w:r>
      <w:r>
        <w:rPr>
          <w:spacing w:val="-9"/>
        </w:rPr>
        <w:t> </w:t>
      </w:r>
      <w:r>
        <w:rPr/>
        <w:t>was</w:t>
      </w:r>
      <w:r>
        <w:rPr>
          <w:spacing w:val="-8"/>
        </w:rPr>
        <w:t> </w:t>
      </w:r>
      <w:r>
        <w:rPr>
          <w:spacing w:val="-2"/>
        </w:rPr>
        <w:t>applied.</w:t>
      </w:r>
    </w:p>
    <w:p>
      <w:pPr>
        <w:pStyle w:val="BodyText"/>
        <w:spacing w:line="312" w:lineRule="auto" w:before="185"/>
        <w:ind w:left="142" w:right="1557" w:firstLine="338"/>
        <w:jc w:val="both"/>
      </w:pPr>
      <w:r>
        <w:rPr>
          <w:b/>
        </w:rPr>
        <w:t>Test 1 — Overall RDD (confirmatory): </w:t>
      </w:r>
      <w:r>
        <w:rPr/>
        <w:t>Wilcoxon signed-rank test, CarenR_Dist_Eta2 </w:t>
      </w:r>
      <w:r>
        <w:rPr/>
        <w:t>vs Naive_Median, 18 scenarios.</w:t>
      </w:r>
      <w:r>
        <w:rPr>
          <w:spacing w:val="40"/>
        </w:rPr>
        <w:t> </w:t>
      </w:r>
      <w:r>
        <w:rPr/>
        <w:t>Result: W = 68, p = 0.468.</w:t>
      </w:r>
      <w:r>
        <w:rPr>
          <w:spacing w:val="40"/>
        </w:rPr>
        <w:t> </w:t>
      </w:r>
      <w:r>
        <w:rPr/>
        <w:t>Not significant.</w:t>
      </w:r>
      <w:r>
        <w:rPr>
          <w:spacing w:val="40"/>
        </w:rPr>
        <w:t> </w:t>
      </w:r>
      <w:r>
        <w:rPr/>
        <w:t>CarenR does not significantly outperform or underperform the naive baseline in aggregate.</w:t>
      </w:r>
    </w:p>
    <w:p>
      <w:pPr>
        <w:pStyle w:val="BodyText"/>
        <w:spacing w:line="312" w:lineRule="auto" w:before="108"/>
        <w:ind w:left="134" w:right="1553" w:firstLine="346"/>
        <w:jc w:val="both"/>
      </w:pPr>
      <w:r>
        <w:rPr>
          <w:b/>
        </w:rPr>
        <w:t>Test</w:t>
      </w:r>
      <w:r>
        <w:rPr>
          <w:b/>
          <w:spacing w:val="-9"/>
        </w:rPr>
        <w:t> </w:t>
      </w:r>
      <w:r>
        <w:rPr>
          <w:b/>
        </w:rPr>
        <w:t>2</w:t>
      </w:r>
      <w:r>
        <w:rPr>
          <w:b/>
          <w:spacing w:val="-9"/>
        </w:rPr>
        <w:t> </w:t>
      </w:r>
      <w:r>
        <w:rPr>
          <w:b/>
        </w:rPr>
        <w:t>—</w:t>
      </w:r>
      <w:r>
        <w:rPr>
          <w:b/>
          <w:spacing w:val="-9"/>
        </w:rPr>
        <w:t> </w:t>
      </w:r>
      <w:r>
        <w:rPr>
          <w:b/>
        </w:rPr>
        <w:t>Era-balanced</w:t>
      </w:r>
      <w:r>
        <w:rPr>
          <w:b/>
          <w:spacing w:val="-9"/>
        </w:rPr>
        <w:t> </w:t>
      </w:r>
      <w:r>
        <w:rPr>
          <w:b/>
        </w:rPr>
        <w:t>RDD</w:t>
      </w:r>
      <w:r>
        <w:rPr>
          <w:b/>
          <w:spacing w:val="-9"/>
        </w:rPr>
        <w:t> </w:t>
      </w:r>
      <w:r>
        <w:rPr>
          <w:b/>
        </w:rPr>
        <w:t>scenarios</w:t>
      </w:r>
      <w:r>
        <w:rPr>
          <w:b/>
          <w:spacing w:val="-9"/>
        </w:rPr>
        <w:t> </w:t>
      </w:r>
      <w:r>
        <w:rPr>
          <w:b/>
        </w:rPr>
        <w:t>10–14</w:t>
      </w:r>
      <w:r>
        <w:rPr>
          <w:b/>
          <w:spacing w:val="-9"/>
        </w:rPr>
        <w:t> </w:t>
      </w:r>
      <w:r>
        <w:rPr>
          <w:b/>
        </w:rPr>
        <w:t>(exploratory</w:t>
      </w:r>
      <w:r>
        <w:rPr>
          <w:b/>
          <w:spacing w:val="-9"/>
        </w:rPr>
        <w:t> </w:t>
      </w:r>
      <w:r>
        <w:rPr>
          <w:b/>
        </w:rPr>
        <w:t>/</w:t>
      </w:r>
      <w:r>
        <w:rPr>
          <w:b/>
          <w:spacing w:val="-9"/>
        </w:rPr>
        <w:t> </w:t>
      </w:r>
      <w:r>
        <w:rPr>
          <w:b/>
        </w:rPr>
        <w:t>post-hoc): </w:t>
      </w:r>
      <w:r>
        <w:rPr/>
        <w:t>Binomial</w:t>
      </w:r>
      <w:r>
        <w:rPr>
          <w:spacing w:val="-9"/>
        </w:rPr>
        <w:t> </w:t>
      </w:r>
      <w:r>
        <w:rPr/>
        <w:t>sign</w:t>
      </w:r>
      <w:r>
        <w:rPr>
          <w:spacing w:val="-9"/>
        </w:rPr>
        <w:t> </w:t>
      </w:r>
      <w:r>
        <w:rPr/>
        <w:t>test on 5 scenarios where CarenR won in all 5.</w:t>
      </w:r>
      <w:r>
        <w:rPr>
          <w:spacing w:val="40"/>
        </w:rPr>
        <w:t> </w:t>
      </w:r>
      <w:r>
        <w:rPr/>
        <w:t>The scenarios were identified as era-balanced after observing</w:t>
      </w:r>
      <w:r>
        <w:rPr>
          <w:spacing w:val="-8"/>
        </w:rPr>
        <w:t> </w:t>
      </w:r>
      <w:r>
        <w:rPr/>
        <w:t>that</w:t>
      </w:r>
      <w:r>
        <w:rPr>
          <w:spacing w:val="-8"/>
        </w:rPr>
        <w:t> </w:t>
      </w:r>
      <w:r>
        <w:rPr/>
        <w:t>CarenR</w:t>
      </w:r>
      <w:r>
        <w:rPr>
          <w:spacing w:val="-8"/>
        </w:rPr>
        <w:t> </w:t>
      </w:r>
      <w:r>
        <w:rPr/>
        <w:t>won</w:t>
      </w:r>
      <w:r>
        <w:rPr>
          <w:spacing w:val="-8"/>
        </w:rPr>
        <w:t> </w:t>
      </w:r>
      <w:r>
        <w:rPr/>
        <w:t>in</w:t>
      </w:r>
      <w:r>
        <w:rPr>
          <w:spacing w:val="-8"/>
        </w:rPr>
        <w:t> </w:t>
      </w:r>
      <w:r>
        <w:rPr/>
        <w:t>them,</w:t>
      </w:r>
      <w:r>
        <w:rPr>
          <w:spacing w:val="-8"/>
        </w:rPr>
        <w:t> </w:t>
      </w:r>
      <w:r>
        <w:rPr/>
        <w:t>not</w:t>
      </w:r>
      <w:r>
        <w:rPr>
          <w:spacing w:val="-8"/>
        </w:rPr>
        <w:t> </w:t>
      </w:r>
      <w:r>
        <w:rPr/>
        <w:t>pre-specified. Result: p</w:t>
      </w:r>
      <w:r>
        <w:rPr>
          <w:spacing w:val="-8"/>
        </w:rPr>
        <w:t> </w:t>
      </w:r>
      <w:r>
        <w:rPr/>
        <w:t>=</w:t>
      </w:r>
      <w:r>
        <w:rPr>
          <w:spacing w:val="-8"/>
        </w:rPr>
        <w:t> </w:t>
      </w:r>
      <w:r>
        <w:rPr/>
        <w:t>0.031. Although</w:t>
      </w:r>
      <w:r>
        <w:rPr>
          <w:spacing w:val="-8"/>
        </w:rPr>
        <w:t> </w:t>
      </w:r>
      <w:r>
        <w:rPr/>
        <w:t>this</w:t>
      </w:r>
      <w:r>
        <w:rPr>
          <w:spacing w:val="-8"/>
        </w:rPr>
        <w:t> </w:t>
      </w:r>
      <w:r>
        <w:rPr/>
        <w:t>meets</w:t>
      </w:r>
      <w:r>
        <w:rPr>
          <w:spacing w:val="-8"/>
        </w:rPr>
        <w:t> </w:t>
      </w:r>
      <w:r>
        <w:rPr/>
        <w:t>the </w:t>
      </w:r>
      <w:r>
        <w:rPr>
          <w:i/>
        </w:rPr>
        <w:t>α </w:t>
      </w:r>
      <w:r>
        <w:rPr/>
        <w:t>= 0.05 threshold, the post-hoc identification of the scenario window means this result must be </w:t>
      </w:r>
      <w:r>
        <w:rPr>
          <w:spacing w:val="-2"/>
        </w:rPr>
        <w:t>treated</w:t>
      </w:r>
      <w:r>
        <w:rPr>
          <w:spacing w:val="-12"/>
        </w:rPr>
        <w:t> </w:t>
      </w:r>
      <w:r>
        <w:rPr>
          <w:spacing w:val="-2"/>
        </w:rPr>
        <w:t>as</w:t>
      </w:r>
      <w:r>
        <w:rPr>
          <w:spacing w:val="-12"/>
        </w:rPr>
        <w:t> </w:t>
      </w:r>
      <w:r>
        <w:rPr>
          <w:spacing w:val="-2"/>
        </w:rPr>
        <w:t>exploratory.</w:t>
      </w:r>
      <w:r>
        <w:rPr>
          <w:spacing w:val="-12"/>
        </w:rPr>
        <w:t> </w:t>
      </w:r>
      <w:r>
        <w:rPr>
          <w:spacing w:val="-2"/>
        </w:rPr>
        <w:t>It</w:t>
      </w:r>
      <w:r>
        <w:rPr>
          <w:spacing w:val="-11"/>
        </w:rPr>
        <w:t> </w:t>
      </w:r>
      <w:r>
        <w:rPr>
          <w:spacing w:val="-2"/>
        </w:rPr>
        <w:t>generates</w:t>
      </w:r>
      <w:r>
        <w:rPr>
          <w:spacing w:val="-12"/>
        </w:rPr>
        <w:t> </w:t>
      </w:r>
      <w:r>
        <w:rPr>
          <w:spacing w:val="-2"/>
        </w:rPr>
        <w:t>a</w:t>
      </w:r>
      <w:r>
        <w:rPr>
          <w:spacing w:val="-12"/>
        </w:rPr>
        <w:t> </w:t>
      </w:r>
      <w:r>
        <w:rPr>
          <w:spacing w:val="-2"/>
        </w:rPr>
        <w:t>testable</w:t>
      </w:r>
      <w:r>
        <w:rPr>
          <w:spacing w:val="-12"/>
        </w:rPr>
        <w:t> </w:t>
      </w:r>
      <w:r>
        <w:rPr>
          <w:spacing w:val="-2"/>
        </w:rPr>
        <w:t>hypothesis,</w:t>
      </w:r>
      <w:r>
        <w:rPr>
          <w:spacing w:val="-11"/>
        </w:rPr>
        <w:t> </w:t>
      </w:r>
      <w:r>
        <w:rPr>
          <w:spacing w:val="-2"/>
        </w:rPr>
        <w:t>that</w:t>
      </w:r>
      <w:r>
        <w:rPr>
          <w:spacing w:val="-12"/>
        </w:rPr>
        <w:t> </w:t>
      </w:r>
      <w:r>
        <w:rPr>
          <w:spacing w:val="-2"/>
        </w:rPr>
        <w:t>CarenR</w:t>
      </w:r>
      <w:r>
        <w:rPr>
          <w:spacing w:val="-12"/>
        </w:rPr>
        <w:t> </w:t>
      </w:r>
      <w:r>
        <w:rPr>
          <w:spacing w:val="-2"/>
        </w:rPr>
        <w:t>outperforms</w:t>
      </w:r>
      <w:r>
        <w:rPr>
          <w:spacing w:val="-12"/>
        </w:rPr>
        <w:t> </w:t>
      </w:r>
      <w:r>
        <w:rPr>
          <w:spacing w:val="-2"/>
        </w:rPr>
        <w:t>the</w:t>
      </w:r>
      <w:r>
        <w:rPr>
          <w:spacing w:val="-11"/>
        </w:rPr>
        <w:t> </w:t>
      </w:r>
      <w:r>
        <w:rPr>
          <w:spacing w:val="-2"/>
        </w:rPr>
        <w:t>naive</w:t>
      </w:r>
      <w:r>
        <w:rPr>
          <w:spacing w:val="-12"/>
        </w:rPr>
        <w:t> </w:t>
      </w:r>
      <w:r>
        <w:rPr>
          <w:spacing w:val="-2"/>
        </w:rPr>
        <w:t>baseline </w:t>
      </w:r>
      <w:r>
        <w:rPr/>
        <w:t>when post-1990 training share reaches</w:t>
      </w:r>
      <w:r>
        <w:rPr>
          <w:spacing w:val="40"/>
        </w:rPr>
        <w:t> </w:t>
      </w:r>
      <w:r>
        <w:rPr/>
        <w:t>29%, but does not confirm it.</w:t>
      </w:r>
      <w:r>
        <w:rPr>
          <w:spacing w:val="40"/>
        </w:rPr>
        <w:t> </w:t>
      </w:r>
      <w:r>
        <w:rPr/>
        <w:t>Independent prospective validation</w:t>
      </w:r>
      <w:r>
        <w:rPr>
          <w:spacing w:val="-9"/>
        </w:rPr>
        <w:t> </w:t>
      </w:r>
      <w:r>
        <w:rPr/>
        <w:t>on</w:t>
      </w:r>
      <w:r>
        <w:rPr>
          <w:spacing w:val="-9"/>
        </w:rPr>
        <w:t> </w:t>
      </w:r>
      <w:r>
        <w:rPr/>
        <w:t>new</w:t>
      </w:r>
      <w:r>
        <w:rPr>
          <w:spacing w:val="-9"/>
        </w:rPr>
        <w:t> </w:t>
      </w:r>
      <w:r>
        <w:rPr/>
        <w:t>data</w:t>
      </w:r>
      <w:r>
        <w:rPr>
          <w:spacing w:val="-9"/>
        </w:rPr>
        <w:t> </w:t>
      </w:r>
      <w:r>
        <w:rPr/>
        <w:t>is</w:t>
      </w:r>
      <w:r>
        <w:rPr>
          <w:spacing w:val="-9"/>
        </w:rPr>
        <w:t> </w:t>
      </w:r>
      <w:r>
        <w:rPr/>
        <w:t>required</w:t>
      </w:r>
      <w:r>
        <w:rPr>
          <w:spacing w:val="-9"/>
        </w:rPr>
        <w:t> </w:t>
      </w:r>
      <w:r>
        <w:rPr/>
        <w:t>before</w:t>
      </w:r>
      <w:r>
        <w:rPr>
          <w:spacing w:val="-9"/>
        </w:rPr>
        <w:t> </w:t>
      </w:r>
      <w:r>
        <w:rPr/>
        <w:t>treating</w:t>
      </w:r>
      <w:r>
        <w:rPr>
          <w:spacing w:val="-9"/>
        </w:rPr>
        <w:t> </w:t>
      </w:r>
      <w:r>
        <w:rPr/>
        <w:t>this</w:t>
      </w:r>
      <w:r>
        <w:rPr>
          <w:spacing w:val="-9"/>
        </w:rPr>
        <w:t> </w:t>
      </w:r>
      <w:r>
        <w:rPr/>
        <w:t>as</w:t>
      </w:r>
      <w:r>
        <w:rPr>
          <w:spacing w:val="-9"/>
        </w:rPr>
        <w:t> </w:t>
      </w:r>
      <w:r>
        <w:rPr/>
        <w:t>a</w:t>
      </w:r>
      <w:r>
        <w:rPr>
          <w:spacing w:val="-9"/>
        </w:rPr>
        <w:t> </w:t>
      </w:r>
      <w:r>
        <w:rPr/>
        <w:t>robust</w:t>
      </w:r>
      <w:r>
        <w:rPr>
          <w:spacing w:val="-9"/>
        </w:rPr>
        <w:t> </w:t>
      </w:r>
      <w:r>
        <w:rPr/>
        <w:t>finding. This</w:t>
      </w:r>
      <w:r>
        <w:rPr>
          <w:spacing w:val="-9"/>
        </w:rPr>
        <w:t> </w:t>
      </w:r>
      <w:r>
        <w:rPr/>
        <w:t>result</w:t>
      </w:r>
      <w:r>
        <w:rPr>
          <w:spacing w:val="-9"/>
        </w:rPr>
        <w:t> </w:t>
      </w:r>
      <w:r>
        <w:rPr/>
        <w:t>is</w:t>
      </w:r>
      <w:r>
        <w:rPr>
          <w:spacing w:val="-9"/>
        </w:rPr>
        <w:t> </w:t>
      </w:r>
      <w:r>
        <w:rPr/>
        <w:t>referred</w:t>
      </w:r>
      <w:r>
        <w:rPr>
          <w:spacing w:val="-9"/>
        </w:rPr>
        <w:t> </w:t>
      </w:r>
      <w:r>
        <w:rPr/>
        <w:t>to throughout this thesis as a post-hoc exploratory finding.</w:t>
      </w:r>
    </w:p>
    <w:p>
      <w:pPr>
        <w:pStyle w:val="BodyText"/>
        <w:spacing w:line="312" w:lineRule="auto" w:before="107"/>
        <w:ind w:left="142" w:right="1519" w:firstLine="338"/>
        <w:jc w:val="both"/>
      </w:pPr>
      <w:r>
        <w:rPr>
          <w:b/>
          <w:spacing w:val="-4"/>
        </w:rPr>
        <w:t>Test</w:t>
      </w:r>
      <w:r>
        <w:rPr>
          <w:b/>
          <w:spacing w:val="-5"/>
        </w:rPr>
        <w:t> </w:t>
      </w:r>
      <w:r>
        <w:rPr>
          <w:b/>
          <w:spacing w:val="-4"/>
        </w:rPr>
        <w:t>3 —</w:t>
      </w:r>
      <w:r>
        <w:rPr>
          <w:b/>
          <w:spacing w:val="-5"/>
        </w:rPr>
        <w:t> </w:t>
      </w:r>
      <w:r>
        <w:rPr>
          <w:b/>
          <w:spacing w:val="-4"/>
        </w:rPr>
        <w:t>RVV rule-firing</w:t>
      </w:r>
      <w:r>
        <w:rPr>
          <w:b/>
          <w:spacing w:val="-5"/>
        </w:rPr>
        <w:t> </w:t>
      </w:r>
      <w:r>
        <w:rPr>
          <w:b/>
          <w:spacing w:val="-4"/>
        </w:rPr>
        <w:t>scenarios</w:t>
      </w:r>
      <w:r>
        <w:rPr>
          <w:b/>
          <w:spacing w:val="-5"/>
        </w:rPr>
        <w:t> </w:t>
      </w:r>
      <w:r>
        <w:rPr>
          <w:b/>
          <w:spacing w:val="-4"/>
        </w:rPr>
        <w:t>(confirmatory):</w:t>
      </w:r>
      <w:r>
        <w:rPr>
          <w:b/>
          <w:spacing w:val="10"/>
        </w:rPr>
        <w:t> </w:t>
      </w:r>
      <w:r>
        <w:rPr>
          <w:spacing w:val="-4"/>
        </w:rPr>
        <w:t>Wilcoxon signed-rank</w:t>
      </w:r>
      <w:r>
        <w:rPr>
          <w:spacing w:val="-5"/>
        </w:rPr>
        <w:t> </w:t>
      </w:r>
      <w:r>
        <w:rPr>
          <w:spacing w:val="-4"/>
        </w:rPr>
        <w:t>test</w:t>
      </w:r>
      <w:r>
        <w:rPr>
          <w:spacing w:val="-5"/>
        </w:rPr>
        <w:t> </w:t>
      </w:r>
      <w:r>
        <w:rPr>
          <w:spacing w:val="-4"/>
        </w:rPr>
        <w:t>on the</w:t>
      </w:r>
      <w:r>
        <w:rPr>
          <w:spacing w:val="-5"/>
        </w:rPr>
        <w:t> </w:t>
      </w:r>
      <w:r>
        <w:rPr>
          <w:spacing w:val="-4"/>
        </w:rPr>
        <w:t>9 RVV </w:t>
      </w:r>
      <w:r>
        <w:rPr/>
        <w:t>scenarios where CarenR fired rules (excluding 7 fallback scenarios).</w:t>
      </w:r>
      <w:r>
        <w:rPr>
          <w:spacing w:val="40"/>
        </w:rPr>
        <w:t> </w:t>
      </w:r>
      <w:r>
        <w:rPr/>
        <w:t>Result: W = 0, p = 0.004. </w:t>
      </w:r>
      <w:r>
        <w:rPr>
          <w:spacing w:val="-2"/>
        </w:rPr>
        <w:t>Highly</w:t>
      </w:r>
      <w:r>
        <w:rPr>
          <w:spacing w:val="-12"/>
        </w:rPr>
        <w:t> </w:t>
      </w:r>
      <w:r>
        <w:rPr>
          <w:spacing w:val="-2"/>
        </w:rPr>
        <w:t>significant.</w:t>
      </w:r>
      <w:r>
        <w:rPr>
          <w:spacing w:val="-12"/>
        </w:rPr>
        <w:t> </w:t>
      </w:r>
      <w:r>
        <w:rPr>
          <w:spacing w:val="-2"/>
        </w:rPr>
        <w:t>When</w:t>
      </w:r>
      <w:r>
        <w:rPr>
          <w:spacing w:val="-12"/>
        </w:rPr>
        <w:t> </w:t>
      </w:r>
      <w:r>
        <w:rPr>
          <w:spacing w:val="-2"/>
        </w:rPr>
        <w:t>CarenR</w:t>
      </w:r>
      <w:r>
        <w:rPr>
          <w:spacing w:val="-11"/>
        </w:rPr>
        <w:t> </w:t>
      </w:r>
      <w:r>
        <w:rPr>
          <w:spacing w:val="-2"/>
        </w:rPr>
        <w:t>fires</w:t>
      </w:r>
      <w:r>
        <w:rPr>
          <w:spacing w:val="-12"/>
        </w:rPr>
        <w:t> </w:t>
      </w:r>
      <w:r>
        <w:rPr>
          <w:spacing w:val="-2"/>
        </w:rPr>
        <w:t>rules</w:t>
      </w:r>
      <w:r>
        <w:rPr>
          <w:spacing w:val="-12"/>
        </w:rPr>
        <w:t> </w:t>
      </w:r>
      <w:r>
        <w:rPr>
          <w:spacing w:val="-2"/>
        </w:rPr>
        <w:t>in</w:t>
      </w:r>
      <w:r>
        <w:rPr>
          <w:spacing w:val="-12"/>
        </w:rPr>
        <w:t> </w:t>
      </w:r>
      <w:r>
        <w:rPr>
          <w:spacing w:val="-2"/>
        </w:rPr>
        <w:t>Vinho</w:t>
      </w:r>
      <w:r>
        <w:rPr>
          <w:spacing w:val="-11"/>
        </w:rPr>
        <w:t> </w:t>
      </w:r>
      <w:r>
        <w:rPr>
          <w:spacing w:val="-2"/>
        </w:rPr>
        <w:t>Verde,</w:t>
      </w:r>
      <w:r>
        <w:rPr>
          <w:spacing w:val="-12"/>
        </w:rPr>
        <w:t> </w:t>
      </w:r>
      <w:r>
        <w:rPr>
          <w:spacing w:val="-2"/>
        </w:rPr>
        <w:t>those</w:t>
      </w:r>
      <w:r>
        <w:rPr>
          <w:spacing w:val="-12"/>
        </w:rPr>
        <w:t> </w:t>
      </w:r>
      <w:r>
        <w:rPr>
          <w:spacing w:val="-2"/>
        </w:rPr>
        <w:t>rules</w:t>
      </w:r>
      <w:r>
        <w:rPr>
          <w:spacing w:val="-12"/>
        </w:rPr>
        <w:t> </w:t>
      </w:r>
      <w:r>
        <w:rPr>
          <w:spacing w:val="-2"/>
        </w:rPr>
        <w:t>are</w:t>
      </w:r>
      <w:r>
        <w:rPr>
          <w:spacing w:val="-11"/>
        </w:rPr>
        <w:t> </w:t>
      </w:r>
      <w:r>
        <w:rPr>
          <w:spacing w:val="-2"/>
        </w:rPr>
        <w:t>significantly</w:t>
      </w:r>
      <w:r>
        <w:rPr>
          <w:spacing w:val="-12"/>
        </w:rPr>
        <w:t> </w:t>
      </w:r>
      <w:r>
        <w:rPr>
          <w:spacing w:val="-2"/>
        </w:rPr>
        <w:t>worse</w:t>
      </w:r>
      <w:r>
        <w:rPr>
          <w:spacing w:val="-12"/>
        </w:rPr>
        <w:t> </w:t>
      </w:r>
      <w:r>
        <w:rPr>
          <w:spacing w:val="-2"/>
        </w:rPr>
        <w:t>than the</w:t>
      </w:r>
      <w:r>
        <w:rPr>
          <w:spacing w:val="-12"/>
        </w:rPr>
        <w:t> </w:t>
      </w:r>
      <w:r>
        <w:rPr>
          <w:spacing w:val="-2"/>
        </w:rPr>
        <w:t>naive</w:t>
      </w:r>
      <w:r>
        <w:rPr>
          <w:spacing w:val="-12"/>
        </w:rPr>
        <w:t> </w:t>
      </w:r>
      <w:r>
        <w:rPr>
          <w:spacing w:val="-2"/>
        </w:rPr>
        <w:t>baseline. CarenR’s</w:t>
      </w:r>
      <w:r>
        <w:rPr>
          <w:spacing w:val="-12"/>
        </w:rPr>
        <w:t> </w:t>
      </w:r>
      <w:r>
        <w:rPr>
          <w:spacing w:val="-2"/>
        </w:rPr>
        <w:t>rules</w:t>
      </w:r>
      <w:r>
        <w:rPr>
          <w:spacing w:val="-12"/>
        </w:rPr>
        <w:t> </w:t>
      </w:r>
      <w:r>
        <w:rPr>
          <w:spacing w:val="-2"/>
        </w:rPr>
        <w:t>actively</w:t>
      </w:r>
      <w:r>
        <w:rPr>
          <w:spacing w:val="-11"/>
        </w:rPr>
        <w:t> </w:t>
      </w:r>
      <w:r>
        <w:rPr>
          <w:spacing w:val="-2"/>
        </w:rPr>
        <w:t>harm</w:t>
      </w:r>
      <w:r>
        <w:rPr>
          <w:spacing w:val="-12"/>
        </w:rPr>
        <w:t> </w:t>
      </w:r>
      <w:r>
        <w:rPr>
          <w:spacing w:val="-2"/>
        </w:rPr>
        <w:t>predictive</w:t>
      </w:r>
      <w:r>
        <w:rPr>
          <w:spacing w:val="-12"/>
        </w:rPr>
        <w:t> </w:t>
      </w:r>
      <w:r>
        <w:rPr>
          <w:spacing w:val="-2"/>
        </w:rPr>
        <w:t>accuracy</w:t>
      </w:r>
      <w:r>
        <w:rPr>
          <w:spacing w:val="-12"/>
        </w:rPr>
        <w:t> </w:t>
      </w:r>
      <w:r>
        <w:rPr>
          <w:spacing w:val="-2"/>
        </w:rPr>
        <w:t>in</w:t>
      </w:r>
      <w:r>
        <w:rPr>
          <w:spacing w:val="-11"/>
        </w:rPr>
        <w:t> </w:t>
      </w:r>
      <w:r>
        <w:rPr>
          <w:spacing w:val="-2"/>
        </w:rPr>
        <w:t>RVV.</w:t>
      </w:r>
      <w:r>
        <w:rPr>
          <w:spacing w:val="-12"/>
        </w:rPr>
        <w:t> </w:t>
      </w:r>
      <w:r>
        <w:rPr>
          <w:spacing w:val="-2"/>
        </w:rPr>
        <w:t>This</w:t>
      </w:r>
      <w:r>
        <w:rPr>
          <w:spacing w:val="-12"/>
        </w:rPr>
        <w:t> </w:t>
      </w:r>
      <w:r>
        <w:rPr>
          <w:spacing w:val="-2"/>
        </w:rPr>
        <w:t>is</w:t>
      </w:r>
      <w:r>
        <w:rPr>
          <w:spacing w:val="-12"/>
        </w:rPr>
        <w:t> </w:t>
      </w:r>
      <w:r>
        <w:rPr>
          <w:spacing w:val="-2"/>
        </w:rPr>
        <w:t>a</w:t>
      </w:r>
      <w:r>
        <w:rPr>
          <w:spacing w:val="-11"/>
        </w:rPr>
        <w:t> </w:t>
      </w:r>
      <w:r>
        <w:rPr>
          <w:spacing w:val="-2"/>
        </w:rPr>
        <w:t>confirmatory </w:t>
      </w:r>
      <w:r>
        <w:rPr/>
        <w:t>negative result.</w:t>
      </w:r>
    </w:p>
    <w:p>
      <w:pPr>
        <w:pStyle w:val="BodyText"/>
        <w:spacing w:before="47"/>
      </w:pPr>
    </w:p>
    <w:p>
      <w:pPr>
        <w:spacing w:before="0"/>
        <w:ind w:left="0" w:right="1421" w:firstLine="0"/>
        <w:jc w:val="center"/>
        <w:rPr>
          <w:sz w:val="20"/>
        </w:rPr>
      </w:pPr>
      <w:bookmarkStart w:name="_bookmark112" w:id="191"/>
      <w:bookmarkEnd w:id="191"/>
      <w:r>
        <w:rPr/>
      </w:r>
      <w:r>
        <w:rPr>
          <w:b/>
          <w:sz w:val="20"/>
        </w:rPr>
        <w:t>Table</w:t>
      </w:r>
      <w:r>
        <w:rPr>
          <w:b/>
          <w:spacing w:val="-13"/>
          <w:sz w:val="20"/>
        </w:rPr>
        <w:t> </w:t>
      </w:r>
      <w:r>
        <w:rPr>
          <w:b/>
          <w:sz w:val="20"/>
        </w:rPr>
        <w:t>5.6:</w:t>
      </w:r>
      <w:r>
        <w:rPr>
          <w:b/>
          <w:spacing w:val="-3"/>
          <w:sz w:val="20"/>
        </w:rPr>
        <w:t> </w:t>
      </w:r>
      <w:r>
        <w:rPr>
          <w:sz w:val="20"/>
        </w:rPr>
        <w:t>Statistical</w:t>
      </w:r>
      <w:r>
        <w:rPr>
          <w:spacing w:val="-9"/>
          <w:sz w:val="20"/>
        </w:rPr>
        <w:t> </w:t>
      </w:r>
      <w:r>
        <w:rPr>
          <w:sz w:val="20"/>
        </w:rPr>
        <w:t>tests</w:t>
      </w:r>
      <w:r>
        <w:rPr>
          <w:spacing w:val="-9"/>
          <w:sz w:val="20"/>
        </w:rPr>
        <w:t> </w:t>
      </w:r>
      <w:r>
        <w:rPr>
          <w:sz w:val="20"/>
        </w:rPr>
        <w:t>summary.</w:t>
      </w:r>
      <w:r>
        <w:rPr>
          <w:spacing w:val="1"/>
          <w:sz w:val="20"/>
        </w:rPr>
        <w:t> </w:t>
      </w:r>
      <w:r>
        <w:rPr>
          <w:sz w:val="20"/>
        </w:rPr>
        <w:t>The</w:t>
      </w:r>
      <w:r>
        <w:rPr>
          <w:spacing w:val="3"/>
          <w:sz w:val="20"/>
        </w:rPr>
        <w:t> </w:t>
      </w:r>
      <w:r>
        <w:rPr>
          <w:i/>
          <w:sz w:val="20"/>
        </w:rPr>
        <w:t>p</w:t>
      </w:r>
      <w:r>
        <w:rPr>
          <w:i/>
          <w:spacing w:val="-12"/>
          <w:sz w:val="20"/>
        </w:rPr>
        <w:t> </w:t>
      </w:r>
      <w:r>
        <w:rPr>
          <w:rFonts w:ascii="Lucida Sans Unicode"/>
          <w:sz w:val="20"/>
        </w:rPr>
        <w:t>=</w:t>
      </w:r>
      <w:r>
        <w:rPr>
          <w:rFonts w:ascii="Lucida Sans Unicode"/>
          <w:spacing w:val="-19"/>
          <w:sz w:val="20"/>
        </w:rPr>
        <w:t> </w:t>
      </w:r>
      <w:r>
        <w:rPr>
          <w:sz w:val="20"/>
        </w:rPr>
        <w:t>0</w:t>
      </w:r>
      <w:r>
        <w:rPr>
          <w:rFonts w:ascii="Meiryo UI"/>
          <w:i/>
          <w:sz w:val="20"/>
        </w:rPr>
        <w:t>.</w:t>
      </w:r>
      <w:r>
        <w:rPr>
          <w:sz w:val="20"/>
        </w:rPr>
        <w:t>031</w:t>
      </w:r>
      <w:r>
        <w:rPr>
          <w:spacing w:val="-9"/>
          <w:sz w:val="20"/>
        </w:rPr>
        <w:t> </w:t>
      </w:r>
      <w:r>
        <w:rPr>
          <w:sz w:val="20"/>
        </w:rPr>
        <w:t>result</w:t>
      </w:r>
      <w:r>
        <w:rPr>
          <w:spacing w:val="-9"/>
          <w:sz w:val="20"/>
        </w:rPr>
        <w:t> </w:t>
      </w:r>
      <w:r>
        <w:rPr>
          <w:sz w:val="20"/>
        </w:rPr>
        <w:t>is</w:t>
      </w:r>
      <w:r>
        <w:rPr>
          <w:spacing w:val="-9"/>
          <w:sz w:val="20"/>
        </w:rPr>
        <w:t> </w:t>
      </w:r>
      <w:r>
        <w:rPr>
          <w:spacing w:val="-2"/>
          <w:sz w:val="20"/>
        </w:rPr>
        <w:t>exploratory.</w:t>
      </w:r>
    </w:p>
    <w:p>
      <w:pPr>
        <w:pStyle w:val="BodyText"/>
        <w:spacing w:before="6"/>
        <w:rPr>
          <w:sz w:val="14"/>
        </w:rPr>
      </w:pPr>
      <w:r>
        <w:rPr>
          <w:sz w:val="14"/>
        </w:rPr>
        <mc:AlternateContent>
          <mc:Choice Requires="wps">
            <w:drawing>
              <wp:anchor distT="0" distB="0" distL="0" distR="0" allowOverlap="1" layoutInCell="1" locked="0" behindDoc="1" simplePos="0" relativeHeight="487626752">
                <wp:simplePos x="0" y="0"/>
                <wp:positionH relativeFrom="page">
                  <wp:posOffset>899998</wp:posOffset>
                </wp:positionH>
                <wp:positionV relativeFrom="paragraph">
                  <wp:posOffset>121848</wp:posOffset>
                </wp:positionV>
                <wp:extent cx="5400040" cy="1270"/>
                <wp:effectExtent l="0" t="0" r="0" b="0"/>
                <wp:wrapTopAndBottom/>
                <wp:docPr id="203" name="Graphic 203"/>
                <wp:cNvGraphicFramePr>
                  <a:graphicFrameLocks/>
                </wp:cNvGraphicFramePr>
                <a:graphic>
                  <a:graphicData uri="http://schemas.microsoft.com/office/word/2010/wordprocessingShape">
                    <wps:wsp>
                      <wps:cNvPr id="203" name="Graphic 203"/>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9.594387pt;width:425.2pt;height:.1pt;mso-position-horizontal-relative:page;mso-position-vertical-relative:paragraph;z-index:-15689728;mso-wrap-distance-left:0;mso-wrap-distance-right:0" id="docshape171" coordorigin="1417,192" coordsize="8504,0" path="m1417,192l9921,192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90"/>
        <w:gridCol w:w="2401"/>
        <w:gridCol w:w="1154"/>
        <w:gridCol w:w="927"/>
        <w:gridCol w:w="2530"/>
      </w:tblGrid>
      <w:tr>
        <w:trPr>
          <w:trHeight w:val="346" w:hRule="atLeast"/>
        </w:trPr>
        <w:tc>
          <w:tcPr>
            <w:tcW w:w="1490" w:type="dxa"/>
            <w:tcBorders>
              <w:top w:val="nil"/>
              <w:left w:val="nil"/>
              <w:right w:val="single" w:sz="4" w:space="0" w:color="000000"/>
            </w:tcBorders>
          </w:tcPr>
          <w:p>
            <w:pPr>
              <w:pStyle w:val="TableParagraph"/>
              <w:spacing w:before="31"/>
              <w:ind w:left="119"/>
              <w:rPr>
                <w:sz w:val="20"/>
              </w:rPr>
            </w:pPr>
            <w:r>
              <w:rPr>
                <w:spacing w:val="-4"/>
                <w:sz w:val="20"/>
              </w:rPr>
              <w:t>Test</w:t>
            </w:r>
          </w:p>
        </w:tc>
        <w:tc>
          <w:tcPr>
            <w:tcW w:w="2401" w:type="dxa"/>
            <w:tcBorders>
              <w:top w:val="nil"/>
              <w:left w:val="single" w:sz="4" w:space="0" w:color="000000"/>
              <w:right w:val="single" w:sz="4" w:space="0" w:color="000000"/>
            </w:tcBorders>
          </w:tcPr>
          <w:p>
            <w:pPr>
              <w:pStyle w:val="TableParagraph"/>
              <w:spacing w:before="31"/>
              <w:ind w:left="118"/>
              <w:rPr>
                <w:sz w:val="20"/>
              </w:rPr>
            </w:pPr>
            <w:r>
              <w:rPr>
                <w:spacing w:val="-2"/>
                <w:sz w:val="20"/>
              </w:rPr>
              <w:t>Comparison</w:t>
            </w:r>
          </w:p>
        </w:tc>
        <w:tc>
          <w:tcPr>
            <w:tcW w:w="1154" w:type="dxa"/>
            <w:tcBorders>
              <w:top w:val="nil"/>
              <w:left w:val="single" w:sz="4" w:space="0" w:color="000000"/>
              <w:right w:val="single" w:sz="4" w:space="0" w:color="000000"/>
            </w:tcBorders>
          </w:tcPr>
          <w:p>
            <w:pPr>
              <w:pStyle w:val="TableParagraph"/>
              <w:spacing w:before="31"/>
              <w:ind w:left="119"/>
              <w:rPr>
                <w:sz w:val="20"/>
              </w:rPr>
            </w:pPr>
            <w:r>
              <w:rPr>
                <w:spacing w:val="-2"/>
                <w:sz w:val="20"/>
              </w:rPr>
              <w:t>Statistic</w:t>
            </w:r>
          </w:p>
        </w:tc>
        <w:tc>
          <w:tcPr>
            <w:tcW w:w="927" w:type="dxa"/>
            <w:tcBorders>
              <w:top w:val="nil"/>
              <w:left w:val="single" w:sz="4" w:space="0" w:color="000000"/>
              <w:right w:val="single" w:sz="4" w:space="0" w:color="000000"/>
            </w:tcBorders>
          </w:tcPr>
          <w:p>
            <w:pPr>
              <w:pStyle w:val="TableParagraph"/>
              <w:spacing w:before="31"/>
              <w:ind w:left="119"/>
              <w:rPr>
                <w:sz w:val="20"/>
              </w:rPr>
            </w:pPr>
            <w:r>
              <w:rPr>
                <w:spacing w:val="-2"/>
                <w:sz w:val="20"/>
              </w:rPr>
              <w:t>p-</w:t>
            </w:r>
            <w:r>
              <w:rPr>
                <w:spacing w:val="-4"/>
                <w:sz w:val="20"/>
              </w:rPr>
              <w:t>value</w:t>
            </w:r>
          </w:p>
        </w:tc>
        <w:tc>
          <w:tcPr>
            <w:tcW w:w="2530" w:type="dxa"/>
            <w:tcBorders>
              <w:top w:val="nil"/>
              <w:left w:val="single" w:sz="4" w:space="0" w:color="000000"/>
              <w:right w:val="nil"/>
            </w:tcBorders>
          </w:tcPr>
          <w:p>
            <w:pPr>
              <w:pStyle w:val="TableParagraph"/>
              <w:spacing w:before="31"/>
              <w:ind w:left="119"/>
              <w:rPr>
                <w:sz w:val="20"/>
              </w:rPr>
            </w:pPr>
            <w:r>
              <w:rPr>
                <w:spacing w:val="-2"/>
                <w:sz w:val="20"/>
              </w:rPr>
              <w:t>Classification</w:t>
            </w:r>
          </w:p>
        </w:tc>
      </w:tr>
    </w:tbl>
    <w:p>
      <w:pPr>
        <w:pStyle w:val="BodyText"/>
        <w:spacing w:before="10"/>
        <w:rPr>
          <w:sz w:val="4"/>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0"/>
        <w:gridCol w:w="2401"/>
        <w:gridCol w:w="1154"/>
        <w:gridCol w:w="927"/>
        <w:gridCol w:w="2530"/>
      </w:tblGrid>
      <w:tr>
        <w:trPr>
          <w:trHeight w:val="787" w:hRule="atLeast"/>
        </w:trPr>
        <w:tc>
          <w:tcPr>
            <w:tcW w:w="1490" w:type="dxa"/>
            <w:tcBorders>
              <w:right w:val="single" w:sz="4" w:space="0" w:color="000000"/>
            </w:tcBorders>
          </w:tcPr>
          <w:p>
            <w:pPr>
              <w:pStyle w:val="TableParagraph"/>
              <w:tabs>
                <w:tab w:pos="1162" w:val="left" w:leader="none"/>
              </w:tabs>
              <w:spacing w:line="249" w:lineRule="auto" w:before="31"/>
              <w:ind w:left="119" w:right="83"/>
              <w:rPr>
                <w:sz w:val="20"/>
              </w:rPr>
            </w:pPr>
            <w:r>
              <w:rPr>
                <w:spacing w:val="-2"/>
                <w:sz w:val="20"/>
              </w:rPr>
              <w:t>Wilcoxon</w:t>
            </w:r>
            <w:r>
              <w:rPr>
                <w:sz w:val="20"/>
              </w:rPr>
              <w:tab/>
            </w:r>
            <w:r>
              <w:rPr>
                <w:spacing w:val="-4"/>
                <w:sz w:val="20"/>
              </w:rPr>
              <w:t>(2-</w:t>
            </w:r>
            <w:r>
              <w:rPr>
                <w:spacing w:val="-2"/>
                <w:sz w:val="20"/>
              </w:rPr>
              <w:t>sided)</w:t>
            </w:r>
          </w:p>
        </w:tc>
        <w:tc>
          <w:tcPr>
            <w:tcW w:w="2401" w:type="dxa"/>
            <w:tcBorders>
              <w:left w:val="single" w:sz="4" w:space="0" w:color="000000"/>
              <w:right w:val="single" w:sz="4" w:space="0" w:color="000000"/>
            </w:tcBorders>
          </w:tcPr>
          <w:p>
            <w:pPr>
              <w:pStyle w:val="TableParagraph"/>
              <w:spacing w:line="249" w:lineRule="auto" w:before="31"/>
              <w:ind w:left="103" w:right="115" w:firstLine="14"/>
              <w:jc w:val="both"/>
              <w:rPr>
                <w:sz w:val="20"/>
              </w:rPr>
            </w:pPr>
            <w:r>
              <w:rPr>
                <w:sz w:val="20"/>
              </w:rPr>
              <w:t>CarenR_Dist_Eta2 </w:t>
            </w:r>
            <w:r>
              <w:rPr>
                <w:sz w:val="20"/>
              </w:rPr>
              <w:t>vs Naive_Median, RDD, all 18 scenarios</w:t>
            </w:r>
          </w:p>
        </w:tc>
        <w:tc>
          <w:tcPr>
            <w:tcW w:w="1154" w:type="dxa"/>
            <w:tcBorders>
              <w:left w:val="single" w:sz="4" w:space="0" w:color="000000"/>
              <w:right w:val="single" w:sz="4" w:space="0" w:color="000000"/>
            </w:tcBorders>
          </w:tcPr>
          <w:p>
            <w:pPr>
              <w:pStyle w:val="TableParagraph"/>
              <w:spacing w:before="31"/>
              <w:ind w:left="119"/>
              <w:rPr>
                <w:sz w:val="20"/>
              </w:rPr>
            </w:pPr>
            <w:r>
              <w:rPr>
                <w:sz w:val="20"/>
              </w:rPr>
              <w:t>W</w:t>
            </w:r>
            <w:r>
              <w:rPr>
                <w:spacing w:val="-3"/>
                <w:sz w:val="20"/>
              </w:rPr>
              <w:t> </w:t>
            </w:r>
            <w:r>
              <w:rPr>
                <w:sz w:val="20"/>
              </w:rPr>
              <w:t>=</w:t>
            </w:r>
            <w:r>
              <w:rPr>
                <w:spacing w:val="-3"/>
                <w:sz w:val="20"/>
              </w:rPr>
              <w:t> </w:t>
            </w:r>
            <w:r>
              <w:rPr>
                <w:spacing w:val="-5"/>
                <w:sz w:val="20"/>
              </w:rPr>
              <w:t>68</w:t>
            </w:r>
          </w:p>
        </w:tc>
        <w:tc>
          <w:tcPr>
            <w:tcW w:w="927" w:type="dxa"/>
            <w:tcBorders>
              <w:left w:val="single" w:sz="4" w:space="0" w:color="000000"/>
              <w:right w:val="single" w:sz="4" w:space="0" w:color="000000"/>
            </w:tcBorders>
          </w:tcPr>
          <w:p>
            <w:pPr>
              <w:pStyle w:val="TableParagraph"/>
              <w:spacing w:before="31"/>
              <w:ind w:left="119"/>
              <w:rPr>
                <w:sz w:val="20"/>
              </w:rPr>
            </w:pPr>
            <w:r>
              <w:rPr>
                <w:spacing w:val="-2"/>
                <w:sz w:val="20"/>
              </w:rPr>
              <w:t>0.468</w:t>
            </w:r>
          </w:p>
        </w:tc>
        <w:tc>
          <w:tcPr>
            <w:tcW w:w="2530" w:type="dxa"/>
            <w:tcBorders>
              <w:left w:val="single" w:sz="4" w:space="0" w:color="000000"/>
            </w:tcBorders>
          </w:tcPr>
          <w:p>
            <w:pPr>
              <w:pStyle w:val="TableParagraph"/>
              <w:spacing w:before="31"/>
              <w:ind w:left="119"/>
              <w:rPr>
                <w:sz w:val="20"/>
              </w:rPr>
            </w:pPr>
            <w:r>
              <w:rPr>
                <w:spacing w:val="-2"/>
                <w:sz w:val="20"/>
              </w:rPr>
              <w:t>Confirmatory,</w:t>
            </w:r>
            <w:r>
              <w:rPr>
                <w:spacing w:val="-4"/>
                <w:sz w:val="20"/>
              </w:rPr>
              <w:t> </w:t>
            </w:r>
            <w:r>
              <w:rPr>
                <w:spacing w:val="-2"/>
                <w:sz w:val="20"/>
              </w:rPr>
              <w:t>not</w:t>
            </w:r>
            <w:r>
              <w:rPr>
                <w:spacing w:val="-4"/>
                <w:sz w:val="20"/>
              </w:rPr>
              <w:t> </w:t>
            </w:r>
            <w:r>
              <w:rPr>
                <w:spacing w:val="-2"/>
                <w:sz w:val="20"/>
              </w:rPr>
              <w:t>significant</w:t>
            </w:r>
          </w:p>
        </w:tc>
      </w:tr>
      <w:tr>
        <w:trPr>
          <w:trHeight w:val="789" w:hRule="atLeast"/>
        </w:trPr>
        <w:tc>
          <w:tcPr>
            <w:tcW w:w="1490" w:type="dxa"/>
            <w:tcBorders>
              <w:right w:val="single" w:sz="4" w:space="0" w:color="000000"/>
            </w:tcBorders>
          </w:tcPr>
          <w:p>
            <w:pPr>
              <w:pStyle w:val="TableParagraph"/>
              <w:spacing w:line="249" w:lineRule="auto"/>
              <w:ind w:left="119"/>
              <w:rPr>
                <w:sz w:val="20"/>
              </w:rPr>
            </w:pPr>
            <w:r>
              <w:rPr>
                <w:sz w:val="20"/>
              </w:rPr>
              <w:t>Binomial</w:t>
            </w:r>
            <w:r>
              <w:rPr>
                <w:spacing w:val="80"/>
                <w:sz w:val="20"/>
              </w:rPr>
              <w:t> </w:t>
            </w:r>
            <w:r>
              <w:rPr>
                <w:sz w:val="20"/>
              </w:rPr>
              <w:t>sign </w:t>
            </w:r>
            <w:r>
              <w:rPr>
                <w:spacing w:val="-4"/>
                <w:sz w:val="20"/>
              </w:rPr>
              <w:t>test</w:t>
            </w:r>
          </w:p>
        </w:tc>
        <w:tc>
          <w:tcPr>
            <w:tcW w:w="2401" w:type="dxa"/>
            <w:tcBorders>
              <w:left w:val="single" w:sz="4" w:space="0" w:color="000000"/>
              <w:right w:val="single" w:sz="4" w:space="0" w:color="000000"/>
            </w:tcBorders>
          </w:tcPr>
          <w:p>
            <w:pPr>
              <w:pStyle w:val="TableParagraph"/>
              <w:spacing w:line="249" w:lineRule="auto"/>
              <w:ind w:left="118" w:right="82"/>
              <w:jc w:val="both"/>
              <w:rPr>
                <w:sz w:val="20"/>
              </w:rPr>
            </w:pPr>
            <w:r>
              <w:rPr>
                <w:sz w:val="20"/>
              </w:rPr>
              <w:t>CarenR wins 5/5 </w:t>
            </w:r>
            <w:r>
              <w:rPr>
                <w:sz w:val="20"/>
              </w:rPr>
              <w:t>era-</w:t>
            </w:r>
            <w:r>
              <w:rPr>
                <w:spacing w:val="-2"/>
                <w:sz w:val="20"/>
              </w:rPr>
              <w:t>balanced</w:t>
            </w:r>
            <w:r>
              <w:rPr>
                <w:spacing w:val="-11"/>
                <w:sz w:val="20"/>
              </w:rPr>
              <w:t> </w:t>
            </w:r>
            <w:r>
              <w:rPr>
                <w:spacing w:val="-2"/>
                <w:sz w:val="20"/>
              </w:rPr>
              <w:t>scenarios</w:t>
            </w:r>
            <w:r>
              <w:rPr>
                <w:spacing w:val="-10"/>
                <w:sz w:val="20"/>
              </w:rPr>
              <w:t> </w:t>
            </w:r>
            <w:r>
              <w:rPr>
                <w:spacing w:val="-2"/>
                <w:sz w:val="20"/>
              </w:rPr>
              <w:t>(10–14), </w:t>
            </w:r>
            <w:r>
              <w:rPr>
                <w:spacing w:val="-4"/>
                <w:sz w:val="20"/>
              </w:rPr>
              <w:t>RDD</w:t>
            </w:r>
          </w:p>
        </w:tc>
        <w:tc>
          <w:tcPr>
            <w:tcW w:w="1154" w:type="dxa"/>
            <w:tcBorders>
              <w:left w:val="single" w:sz="4" w:space="0" w:color="000000"/>
              <w:right w:val="single" w:sz="4" w:space="0" w:color="000000"/>
            </w:tcBorders>
          </w:tcPr>
          <w:p>
            <w:pPr>
              <w:pStyle w:val="TableParagraph"/>
              <w:spacing w:line="211" w:lineRule="auto" w:before="3"/>
              <w:ind w:left="119" w:right="439"/>
              <w:rPr>
                <w:sz w:val="20"/>
              </w:rPr>
            </w:pPr>
            <w:r>
              <w:rPr>
                <w:spacing w:val="-2"/>
                <w:sz w:val="20"/>
              </w:rPr>
              <w:t>p(k</w:t>
            </w:r>
            <w:r>
              <w:rPr>
                <w:rFonts w:ascii="Meiryo UI" w:hAnsi="Meiryo UI"/>
                <w:i/>
                <w:spacing w:val="-2"/>
                <w:sz w:val="20"/>
              </w:rPr>
              <w:t>≥</w:t>
            </w:r>
            <w:r>
              <w:rPr>
                <w:spacing w:val="-2"/>
                <w:sz w:val="20"/>
              </w:rPr>
              <w:t>5, </w:t>
            </w:r>
            <w:r>
              <w:rPr>
                <w:spacing w:val="-4"/>
                <w:sz w:val="20"/>
              </w:rPr>
              <w:t>n=5)</w:t>
            </w:r>
          </w:p>
        </w:tc>
        <w:tc>
          <w:tcPr>
            <w:tcW w:w="927" w:type="dxa"/>
            <w:tcBorders>
              <w:left w:val="single" w:sz="4" w:space="0" w:color="000000"/>
              <w:right w:val="single" w:sz="4" w:space="0" w:color="000000"/>
            </w:tcBorders>
          </w:tcPr>
          <w:p>
            <w:pPr>
              <w:pStyle w:val="TableParagraph"/>
              <w:ind w:left="119"/>
              <w:rPr>
                <w:sz w:val="20"/>
              </w:rPr>
            </w:pPr>
            <w:r>
              <w:rPr>
                <w:spacing w:val="-2"/>
                <w:sz w:val="20"/>
              </w:rPr>
              <w:t>0.031</w:t>
            </w:r>
          </w:p>
        </w:tc>
        <w:tc>
          <w:tcPr>
            <w:tcW w:w="2530" w:type="dxa"/>
            <w:tcBorders>
              <w:left w:val="single" w:sz="4" w:space="0" w:color="000000"/>
            </w:tcBorders>
          </w:tcPr>
          <w:p>
            <w:pPr>
              <w:pStyle w:val="TableParagraph"/>
              <w:tabs>
                <w:tab w:pos="1570" w:val="left" w:leader="none"/>
                <w:tab w:pos="2101" w:val="left" w:leader="none"/>
              </w:tabs>
              <w:ind w:left="119"/>
              <w:rPr>
                <w:sz w:val="20"/>
              </w:rPr>
            </w:pPr>
            <w:r>
              <w:rPr>
                <w:spacing w:val="-4"/>
                <w:sz w:val="20"/>
              </w:rPr>
              <w:t>POST-</w:t>
            </w:r>
            <w:r>
              <w:rPr>
                <w:spacing w:val="-5"/>
                <w:sz w:val="20"/>
              </w:rPr>
              <w:t>HOC</w:t>
            </w:r>
            <w:r>
              <w:rPr>
                <w:sz w:val="20"/>
              </w:rPr>
              <w:tab/>
            </w:r>
            <w:r>
              <w:rPr>
                <w:spacing w:val="-10"/>
                <w:sz w:val="20"/>
              </w:rPr>
              <w:t>/</w:t>
            </w:r>
            <w:r>
              <w:rPr>
                <w:sz w:val="20"/>
              </w:rPr>
              <w:tab/>
            </w:r>
            <w:r>
              <w:rPr>
                <w:spacing w:val="-5"/>
                <w:sz w:val="20"/>
              </w:rPr>
              <w:t>EX-</w:t>
            </w:r>
          </w:p>
          <w:p>
            <w:pPr>
              <w:pStyle w:val="TableParagraph"/>
              <w:tabs>
                <w:tab w:pos="1752" w:val="left" w:leader="none"/>
              </w:tabs>
              <w:spacing w:line="249" w:lineRule="auto" w:before="10"/>
              <w:ind w:left="119" w:right="115"/>
              <w:rPr>
                <w:sz w:val="20"/>
              </w:rPr>
            </w:pPr>
            <w:r>
              <w:rPr>
                <w:spacing w:val="-2"/>
                <w:sz w:val="20"/>
              </w:rPr>
              <w:t>PLORATORY,</w:t>
            </w:r>
            <w:r>
              <w:rPr>
                <w:sz w:val="20"/>
              </w:rPr>
              <w:tab/>
            </w:r>
            <w:r>
              <w:rPr>
                <w:spacing w:val="-2"/>
                <w:sz w:val="20"/>
              </w:rPr>
              <w:t>requires </w:t>
            </w:r>
            <w:r>
              <w:rPr>
                <w:sz w:val="20"/>
              </w:rPr>
              <w:t>prospective validation</w:t>
            </w:r>
          </w:p>
        </w:tc>
      </w:tr>
      <w:tr>
        <w:trPr>
          <w:trHeight w:val="827" w:hRule="atLeast"/>
        </w:trPr>
        <w:tc>
          <w:tcPr>
            <w:tcW w:w="1490" w:type="dxa"/>
            <w:tcBorders>
              <w:bottom w:val="single" w:sz="8" w:space="0" w:color="000000"/>
              <w:right w:val="single" w:sz="4" w:space="0" w:color="000000"/>
            </w:tcBorders>
          </w:tcPr>
          <w:p>
            <w:pPr>
              <w:pStyle w:val="TableParagraph"/>
              <w:tabs>
                <w:tab w:pos="1162" w:val="left" w:leader="none"/>
              </w:tabs>
              <w:spacing w:line="249" w:lineRule="auto"/>
              <w:ind w:left="119" w:right="83"/>
              <w:rPr>
                <w:sz w:val="20"/>
              </w:rPr>
            </w:pPr>
            <w:r>
              <w:rPr>
                <w:spacing w:val="-2"/>
                <w:sz w:val="20"/>
              </w:rPr>
              <w:t>Wilcoxon</w:t>
            </w:r>
            <w:r>
              <w:rPr>
                <w:sz w:val="20"/>
              </w:rPr>
              <w:tab/>
            </w:r>
            <w:r>
              <w:rPr>
                <w:spacing w:val="-4"/>
                <w:sz w:val="20"/>
              </w:rPr>
              <w:t>(2-</w:t>
            </w:r>
            <w:r>
              <w:rPr>
                <w:spacing w:val="-2"/>
                <w:sz w:val="20"/>
              </w:rPr>
              <w:t>sided)</w:t>
            </w:r>
          </w:p>
        </w:tc>
        <w:tc>
          <w:tcPr>
            <w:tcW w:w="2401" w:type="dxa"/>
            <w:tcBorders>
              <w:left w:val="single" w:sz="4" w:space="0" w:color="000000"/>
              <w:bottom w:val="single" w:sz="8" w:space="0" w:color="000000"/>
              <w:right w:val="single" w:sz="4" w:space="0" w:color="000000"/>
            </w:tcBorders>
          </w:tcPr>
          <w:p>
            <w:pPr>
              <w:pStyle w:val="TableParagraph"/>
              <w:spacing w:line="249" w:lineRule="auto"/>
              <w:ind w:left="118" w:right="115"/>
              <w:jc w:val="both"/>
              <w:rPr>
                <w:sz w:val="20"/>
              </w:rPr>
            </w:pPr>
            <w:r>
              <w:rPr>
                <w:sz w:val="20"/>
              </w:rPr>
              <w:t>CarenR_Dist_Sup_FS </w:t>
            </w:r>
            <w:r>
              <w:rPr>
                <w:sz w:val="20"/>
              </w:rPr>
              <w:t>vs Naive_Median, RVV, 9 rule-firing scenarios</w:t>
            </w:r>
          </w:p>
        </w:tc>
        <w:tc>
          <w:tcPr>
            <w:tcW w:w="1154" w:type="dxa"/>
            <w:tcBorders>
              <w:left w:val="single" w:sz="4" w:space="0" w:color="000000"/>
              <w:bottom w:val="single" w:sz="8" w:space="0" w:color="000000"/>
              <w:right w:val="single" w:sz="4" w:space="0" w:color="000000"/>
            </w:tcBorders>
          </w:tcPr>
          <w:p>
            <w:pPr>
              <w:pStyle w:val="TableParagraph"/>
              <w:ind w:left="119"/>
              <w:rPr>
                <w:sz w:val="20"/>
              </w:rPr>
            </w:pPr>
            <w:r>
              <w:rPr>
                <w:sz w:val="20"/>
              </w:rPr>
              <w:t>W</w:t>
            </w:r>
            <w:r>
              <w:rPr>
                <w:spacing w:val="-3"/>
                <w:sz w:val="20"/>
              </w:rPr>
              <w:t> </w:t>
            </w:r>
            <w:r>
              <w:rPr>
                <w:sz w:val="20"/>
              </w:rPr>
              <w:t>=</w:t>
            </w:r>
            <w:r>
              <w:rPr>
                <w:spacing w:val="-3"/>
                <w:sz w:val="20"/>
              </w:rPr>
              <w:t> </w:t>
            </w:r>
            <w:r>
              <w:rPr>
                <w:spacing w:val="-10"/>
                <w:sz w:val="20"/>
              </w:rPr>
              <w:t>0</w:t>
            </w:r>
          </w:p>
        </w:tc>
        <w:tc>
          <w:tcPr>
            <w:tcW w:w="927" w:type="dxa"/>
            <w:tcBorders>
              <w:left w:val="single" w:sz="4" w:space="0" w:color="000000"/>
              <w:bottom w:val="single" w:sz="8" w:space="0" w:color="000000"/>
              <w:right w:val="single" w:sz="4" w:space="0" w:color="000000"/>
            </w:tcBorders>
          </w:tcPr>
          <w:p>
            <w:pPr>
              <w:pStyle w:val="TableParagraph"/>
              <w:ind w:left="119"/>
              <w:rPr>
                <w:sz w:val="20"/>
              </w:rPr>
            </w:pPr>
            <w:r>
              <w:rPr>
                <w:spacing w:val="-2"/>
                <w:sz w:val="20"/>
              </w:rPr>
              <w:t>0.004</w:t>
            </w:r>
          </w:p>
        </w:tc>
        <w:tc>
          <w:tcPr>
            <w:tcW w:w="2530" w:type="dxa"/>
            <w:tcBorders>
              <w:left w:val="single" w:sz="4" w:space="0" w:color="000000"/>
              <w:bottom w:val="single" w:sz="8" w:space="0" w:color="000000"/>
            </w:tcBorders>
          </w:tcPr>
          <w:p>
            <w:pPr>
              <w:pStyle w:val="TableParagraph"/>
              <w:spacing w:line="249" w:lineRule="auto"/>
              <w:ind w:left="119"/>
              <w:rPr>
                <w:sz w:val="20"/>
              </w:rPr>
            </w:pPr>
            <w:r>
              <w:rPr>
                <w:sz w:val="20"/>
              </w:rPr>
              <w:t>Confirmatory,</w:t>
            </w:r>
            <w:r>
              <w:rPr>
                <w:spacing w:val="-13"/>
                <w:sz w:val="20"/>
              </w:rPr>
              <w:t> </w:t>
            </w:r>
            <w:r>
              <w:rPr>
                <w:sz w:val="20"/>
              </w:rPr>
              <w:t>highly</w:t>
            </w:r>
            <w:r>
              <w:rPr>
                <w:spacing w:val="-12"/>
                <w:sz w:val="20"/>
              </w:rPr>
              <w:t> </w:t>
            </w:r>
            <w:r>
              <w:rPr>
                <w:sz w:val="20"/>
              </w:rPr>
              <w:t>signifi-cant negative result</w:t>
            </w:r>
          </w:p>
        </w:tc>
      </w:tr>
    </w:tbl>
    <w:p>
      <w:pPr>
        <w:pStyle w:val="TableParagraph"/>
        <w:spacing w:after="0" w:line="249" w:lineRule="auto"/>
        <w:rPr>
          <w:sz w:val="20"/>
        </w:rPr>
        <w:sectPr>
          <w:pgSz w:w="11910" w:h="16840"/>
          <w:pgMar w:header="1160" w:footer="0" w:top="1420" w:bottom="280" w:left="1275" w:right="425"/>
        </w:sectPr>
      </w:pPr>
    </w:p>
    <w:p>
      <w:pPr>
        <w:pStyle w:val="BodyText"/>
        <w:spacing w:before="153"/>
        <w:rPr>
          <w:sz w:val="28"/>
        </w:rPr>
      </w:pPr>
    </w:p>
    <w:p>
      <w:pPr>
        <w:pStyle w:val="Heading2"/>
        <w:numPr>
          <w:ilvl w:val="1"/>
          <w:numId w:val="34"/>
        </w:numPr>
        <w:tabs>
          <w:tab w:pos="1354" w:val="left" w:leader="none"/>
        </w:tabs>
        <w:spacing w:line="240" w:lineRule="auto" w:before="1" w:after="0"/>
        <w:ind w:left="1354" w:right="0" w:hanging="645"/>
        <w:jc w:val="left"/>
      </w:pPr>
      <w:bookmarkStart w:name="5.5 Detrend Sensitivity Analysis (LOESS)" w:id="192"/>
      <w:bookmarkEnd w:id="192"/>
      <w:r>
        <w:rPr>
          <w:b w:val="0"/>
        </w:rPr>
      </w:r>
      <w:bookmarkStart w:name="_bookmark113" w:id="193"/>
      <w:bookmarkEnd w:id="193"/>
      <w:r>
        <w:rPr>
          <w:b w:val="0"/>
        </w:rPr>
      </w:r>
      <w:r>
        <w:rPr/>
        <w:t>Detrend</w:t>
      </w:r>
      <w:r>
        <w:rPr>
          <w:spacing w:val="19"/>
        </w:rPr>
        <w:t> </w:t>
      </w:r>
      <w:r>
        <w:rPr/>
        <w:t>Sensitivity</w:t>
      </w:r>
      <w:r>
        <w:rPr>
          <w:spacing w:val="20"/>
        </w:rPr>
        <w:t> </w:t>
      </w:r>
      <w:r>
        <w:rPr/>
        <w:t>Analysis</w:t>
      </w:r>
      <w:r>
        <w:rPr>
          <w:spacing w:val="19"/>
        </w:rPr>
        <w:t> </w:t>
      </w:r>
      <w:r>
        <w:rPr>
          <w:spacing w:val="-2"/>
        </w:rPr>
        <w:t>(LOESS)</w:t>
      </w:r>
    </w:p>
    <w:p>
      <w:pPr>
        <w:pStyle w:val="BodyText"/>
        <w:spacing w:line="312" w:lineRule="auto" w:before="288"/>
        <w:ind w:left="709" w:right="990"/>
        <w:jc w:val="both"/>
      </w:pPr>
      <w:r>
        <w:rPr/>
        <w:t>LOESS</w:t>
      </w:r>
      <w:r>
        <w:rPr>
          <w:spacing w:val="-5"/>
        </w:rPr>
        <w:t> </w:t>
      </w:r>
      <w:r>
        <w:rPr/>
        <w:t>detrending</w:t>
      </w:r>
      <w:r>
        <w:rPr>
          <w:spacing w:val="-5"/>
        </w:rPr>
        <w:t> </w:t>
      </w:r>
      <w:r>
        <w:rPr/>
        <w:t>(span</w:t>
      </w:r>
      <w:r>
        <w:rPr>
          <w:spacing w:val="-5"/>
        </w:rPr>
        <w:t> </w:t>
      </w:r>
      <w:r>
        <w:rPr/>
        <w:t>=</w:t>
      </w:r>
      <w:r>
        <w:rPr>
          <w:spacing w:val="-5"/>
        </w:rPr>
        <w:t> </w:t>
      </w:r>
      <w:r>
        <w:rPr/>
        <w:t>0.40)</w:t>
      </w:r>
      <w:r>
        <w:rPr>
          <w:spacing w:val="-5"/>
        </w:rPr>
        <w:t> </w:t>
      </w:r>
      <w:r>
        <w:rPr/>
        <w:t>reduces</w:t>
      </w:r>
      <w:r>
        <w:rPr>
          <w:spacing w:val="-5"/>
        </w:rPr>
        <w:t> </w:t>
      </w:r>
      <w:r>
        <w:rPr/>
        <w:t>the</w:t>
      </w:r>
      <w:r>
        <w:rPr>
          <w:spacing w:val="-5"/>
        </w:rPr>
        <w:t> </w:t>
      </w:r>
      <w:r>
        <w:rPr/>
        <w:t>Naive_Median</w:t>
      </w:r>
      <w:r>
        <w:rPr>
          <w:spacing w:val="-5"/>
        </w:rPr>
        <w:t> </w:t>
      </w:r>
      <w:r>
        <w:rPr/>
        <w:t>weighted</w:t>
      </w:r>
      <w:r>
        <w:rPr>
          <w:spacing w:val="-5"/>
        </w:rPr>
        <w:t> </w:t>
      </w:r>
      <w:r>
        <w:rPr/>
        <w:t>MAE</w:t>
      </w:r>
      <w:r>
        <w:rPr>
          <w:spacing w:val="-5"/>
        </w:rPr>
        <w:t> </w:t>
      </w:r>
      <w:r>
        <w:rPr/>
        <w:t>from</w:t>
      </w:r>
      <w:r>
        <w:rPr>
          <w:spacing w:val="-5"/>
        </w:rPr>
        <w:t> </w:t>
      </w:r>
      <w:r>
        <w:rPr/>
        <w:t>140</w:t>
      </w:r>
      <w:r>
        <w:rPr>
          <w:spacing w:val="-5"/>
        </w:rPr>
        <w:t> </w:t>
      </w:r>
      <w:r>
        <w:rPr/>
        <w:t>to</w:t>
      </w:r>
      <w:r>
        <w:rPr>
          <w:spacing w:val="40"/>
        </w:rPr>
        <w:t> </w:t>
      </w:r>
      <w:r>
        <w:rPr/>
        <w:t>90</w:t>
      </w:r>
      <w:r>
        <w:rPr>
          <w:spacing w:val="-5"/>
        </w:rPr>
        <w:t> </w:t>
      </w:r>
      <w:r>
        <w:rPr/>
        <w:t>mhl for</w:t>
      </w:r>
      <w:r>
        <w:rPr>
          <w:spacing w:val="-5"/>
        </w:rPr>
        <w:t> </w:t>
      </w:r>
      <w:r>
        <w:rPr/>
        <w:t>RVV</w:t>
      </w:r>
      <w:r>
        <w:rPr>
          <w:spacing w:val="-5"/>
        </w:rPr>
        <w:t> </w:t>
      </w:r>
      <w:r>
        <w:rPr/>
        <w:t>(-36%</w:t>
      </w:r>
      <w:r>
        <w:rPr>
          <w:spacing w:val="-5"/>
        </w:rPr>
        <w:t> </w:t>
      </w:r>
      <w:r>
        <w:rPr/>
        <w:t>improvement</w:t>
      </w:r>
      <w:r>
        <w:rPr>
          <w:spacing w:val="-5"/>
        </w:rPr>
        <w:t> </w:t>
      </w:r>
      <w:r>
        <w:rPr/>
        <w:t>in</w:t>
      </w:r>
      <w:r>
        <w:rPr>
          <w:spacing w:val="-5"/>
        </w:rPr>
        <w:t> </w:t>
      </w:r>
      <w:r>
        <w:rPr/>
        <w:t>Decision</w:t>
      </w:r>
      <w:r>
        <w:rPr>
          <w:spacing w:val="-5"/>
        </w:rPr>
        <w:t> </w:t>
      </w:r>
      <w:r>
        <w:rPr/>
        <w:t>1)</w:t>
      </w:r>
      <w:r>
        <w:rPr>
          <w:spacing w:val="-5"/>
        </w:rPr>
        <w:t> </w:t>
      </w:r>
      <w:r>
        <w:rPr/>
        <w:t>but</w:t>
      </w:r>
      <w:r>
        <w:rPr>
          <w:spacing w:val="-5"/>
        </w:rPr>
        <w:t> </w:t>
      </w:r>
      <w:r>
        <w:rPr/>
        <w:t>eliminates</w:t>
      </w:r>
      <w:r>
        <w:rPr>
          <w:spacing w:val="-5"/>
        </w:rPr>
        <w:t> </w:t>
      </w:r>
      <w:r>
        <w:rPr/>
        <w:t>all</w:t>
      </w:r>
      <w:r>
        <w:rPr>
          <w:spacing w:val="-5"/>
        </w:rPr>
        <w:t> </w:t>
      </w:r>
      <w:r>
        <w:rPr/>
        <w:t>CarenR</w:t>
      </w:r>
      <w:r>
        <w:rPr>
          <w:spacing w:val="-5"/>
        </w:rPr>
        <w:t> </w:t>
      </w:r>
      <w:r>
        <w:rPr/>
        <w:t>rules</w:t>
      </w:r>
      <w:r>
        <w:rPr>
          <w:spacing w:val="-5"/>
        </w:rPr>
        <w:t> </w:t>
      </w:r>
      <w:r>
        <w:rPr/>
        <w:t>(0</w:t>
      </w:r>
      <w:r>
        <w:rPr>
          <w:spacing w:val="-5"/>
        </w:rPr>
        <w:t> </w:t>
      </w:r>
      <w:r>
        <w:rPr/>
        <w:t>rules</w:t>
      </w:r>
      <w:r>
        <w:rPr>
          <w:spacing w:val="-5"/>
        </w:rPr>
        <w:t> </w:t>
      </w:r>
      <w:r>
        <w:rPr/>
        <w:t>fire</w:t>
      </w:r>
      <w:r>
        <w:rPr>
          <w:spacing w:val="-5"/>
        </w:rPr>
        <w:t> </w:t>
      </w:r>
      <w:r>
        <w:rPr/>
        <w:t>in</w:t>
      </w:r>
      <w:r>
        <w:rPr>
          <w:spacing w:val="-5"/>
        </w:rPr>
        <w:t> </w:t>
      </w:r>
      <w:r>
        <w:rPr/>
        <w:t>all</w:t>
      </w:r>
      <w:r>
        <w:rPr>
          <w:spacing w:val="-5"/>
        </w:rPr>
        <w:t> </w:t>
      </w:r>
      <w:r>
        <w:rPr/>
        <w:t>16 scenarios). For</w:t>
      </w:r>
      <w:r>
        <w:rPr>
          <w:spacing w:val="-8"/>
        </w:rPr>
        <w:t> </w:t>
      </w:r>
      <w:r>
        <w:rPr/>
        <w:t>RDD,</w:t>
      </w:r>
      <w:r>
        <w:rPr>
          <w:spacing w:val="-8"/>
        </w:rPr>
        <w:t> </w:t>
      </w:r>
      <w:r>
        <w:rPr/>
        <w:t>LOESS</w:t>
      </w:r>
      <w:r>
        <w:rPr>
          <w:spacing w:val="-8"/>
        </w:rPr>
        <w:t> </w:t>
      </w:r>
      <w:r>
        <w:rPr/>
        <w:t>worsens</w:t>
      </w:r>
      <w:r>
        <w:rPr>
          <w:spacing w:val="-8"/>
        </w:rPr>
        <w:t> </w:t>
      </w:r>
      <w:r>
        <w:rPr/>
        <w:t>the</w:t>
      </w:r>
      <w:r>
        <w:rPr>
          <w:spacing w:val="-8"/>
        </w:rPr>
        <w:t> </w:t>
      </w:r>
      <w:r>
        <w:rPr/>
        <w:t>baseline</w:t>
      </w:r>
      <w:r>
        <w:rPr>
          <w:spacing w:val="-8"/>
        </w:rPr>
        <w:t> </w:t>
      </w:r>
      <w:r>
        <w:rPr/>
        <w:t>from</w:t>
      </w:r>
      <w:r>
        <w:rPr>
          <w:spacing w:val="-8"/>
        </w:rPr>
        <w:t> </w:t>
      </w:r>
      <w:r>
        <w:rPr/>
        <w:t>184</w:t>
      </w:r>
      <w:r>
        <w:rPr>
          <w:spacing w:val="-8"/>
        </w:rPr>
        <w:t> </w:t>
      </w:r>
      <w:r>
        <w:rPr/>
        <w:t>to</w:t>
      </w:r>
      <w:r>
        <w:rPr>
          <w:spacing w:val="-8"/>
        </w:rPr>
        <w:t> </w:t>
      </w:r>
      <w:r>
        <w:rPr/>
        <w:t>290</w:t>
      </w:r>
      <w:r>
        <w:rPr>
          <w:spacing w:val="-8"/>
        </w:rPr>
        <w:t> </w:t>
      </w:r>
      <w:r>
        <w:rPr/>
        <w:t>mhl</w:t>
      </w:r>
      <w:r>
        <w:rPr>
          <w:spacing w:val="-8"/>
        </w:rPr>
        <w:t> </w:t>
      </w:r>
      <w:r>
        <w:rPr/>
        <w:t>(+58%)</w:t>
      </w:r>
      <w:r>
        <w:rPr>
          <w:spacing w:val="-8"/>
        </w:rPr>
        <w:t> </w:t>
      </w:r>
      <w:r>
        <w:rPr/>
        <w:t>because</w:t>
      </w:r>
      <w:r>
        <w:rPr>
          <w:spacing w:val="-8"/>
        </w:rPr>
        <w:t> </w:t>
      </w:r>
      <w:r>
        <w:rPr/>
        <w:t>LOESS </w:t>
      </w:r>
      <w:r>
        <w:rPr>
          <w:spacing w:val="-2"/>
        </w:rPr>
        <w:t>extrapolates</w:t>
      </w:r>
      <w:r>
        <w:rPr>
          <w:spacing w:val="-8"/>
        </w:rPr>
        <w:t> </w:t>
      </w:r>
      <w:r>
        <w:rPr>
          <w:spacing w:val="-2"/>
        </w:rPr>
        <w:t>a</w:t>
      </w:r>
      <w:r>
        <w:rPr>
          <w:spacing w:val="-8"/>
        </w:rPr>
        <w:t> </w:t>
      </w:r>
      <w:r>
        <w:rPr>
          <w:spacing w:val="-2"/>
        </w:rPr>
        <w:t>slope</w:t>
      </w:r>
      <w:r>
        <w:rPr>
          <w:spacing w:val="-8"/>
        </w:rPr>
        <w:t> </w:t>
      </w:r>
      <w:r>
        <w:rPr>
          <w:spacing w:val="-2"/>
        </w:rPr>
        <w:t>that</w:t>
      </w:r>
      <w:r>
        <w:rPr>
          <w:spacing w:val="-8"/>
        </w:rPr>
        <w:t> </w:t>
      </w:r>
      <w:r>
        <w:rPr>
          <w:spacing w:val="-2"/>
        </w:rPr>
        <w:t>the</w:t>
      </w:r>
      <w:r>
        <w:rPr>
          <w:spacing w:val="-8"/>
        </w:rPr>
        <w:t> </w:t>
      </w:r>
      <w:r>
        <w:rPr>
          <w:spacing w:val="-2"/>
        </w:rPr>
        <w:t>Douro’s</w:t>
      </w:r>
      <w:r>
        <w:rPr>
          <w:spacing w:val="-8"/>
        </w:rPr>
        <w:t> </w:t>
      </w:r>
      <w:r>
        <w:rPr>
          <w:spacing w:val="-2"/>
        </w:rPr>
        <w:t>plateau-shaped</w:t>
      </w:r>
      <w:r>
        <w:rPr>
          <w:spacing w:val="-8"/>
        </w:rPr>
        <w:t> </w:t>
      </w:r>
      <w:r>
        <w:rPr>
          <w:spacing w:val="-2"/>
        </w:rPr>
        <w:t>trajectory</w:t>
      </w:r>
      <w:r>
        <w:rPr>
          <w:spacing w:val="-8"/>
        </w:rPr>
        <w:t> </w:t>
      </w:r>
      <w:r>
        <w:rPr>
          <w:spacing w:val="-2"/>
        </w:rPr>
        <w:t>does</w:t>
      </w:r>
      <w:r>
        <w:rPr>
          <w:spacing w:val="-8"/>
        </w:rPr>
        <w:t> </w:t>
      </w:r>
      <w:r>
        <w:rPr>
          <w:spacing w:val="-2"/>
        </w:rPr>
        <w:t>not</w:t>
      </w:r>
      <w:r>
        <w:rPr>
          <w:spacing w:val="-8"/>
        </w:rPr>
        <w:t> </w:t>
      </w:r>
      <w:r>
        <w:rPr>
          <w:spacing w:val="-2"/>
        </w:rPr>
        <w:t>follow. The</w:t>
      </w:r>
      <w:r>
        <w:rPr>
          <w:spacing w:val="-8"/>
        </w:rPr>
        <w:t> </w:t>
      </w:r>
      <w:r>
        <w:rPr>
          <w:spacing w:val="-2"/>
        </w:rPr>
        <w:t>LOESS</w:t>
      </w:r>
      <w:r>
        <w:rPr>
          <w:spacing w:val="-8"/>
        </w:rPr>
        <w:t> </w:t>
      </w:r>
      <w:r>
        <w:rPr>
          <w:spacing w:val="-2"/>
        </w:rPr>
        <w:t>results </w:t>
      </w:r>
      <w:r>
        <w:rPr/>
        <w:t>confirm</w:t>
      </w:r>
      <w:r>
        <w:rPr>
          <w:spacing w:val="-12"/>
        </w:rPr>
        <w:t> </w:t>
      </w:r>
      <w:r>
        <w:rPr/>
        <w:t>that</w:t>
      </w:r>
      <w:r>
        <w:rPr>
          <w:spacing w:val="-12"/>
        </w:rPr>
        <w:t> </w:t>
      </w:r>
      <w:r>
        <w:rPr/>
        <w:t>the</w:t>
      </w:r>
      <w:r>
        <w:rPr>
          <w:spacing w:val="-12"/>
        </w:rPr>
        <w:t> </w:t>
      </w:r>
      <w:r>
        <w:rPr/>
        <w:t>choice</w:t>
      </w:r>
      <w:r>
        <w:rPr>
          <w:spacing w:val="-12"/>
        </w:rPr>
        <w:t> </w:t>
      </w:r>
      <w:r>
        <w:rPr/>
        <w:t>of</w:t>
      </w:r>
      <w:r>
        <w:rPr>
          <w:spacing w:val="-12"/>
        </w:rPr>
        <w:t> </w:t>
      </w:r>
      <w:r>
        <w:rPr/>
        <w:t>detrend</w:t>
      </w:r>
      <w:r>
        <w:rPr>
          <w:spacing w:val="-12"/>
        </w:rPr>
        <w:t> </w:t>
      </w:r>
      <w:r>
        <w:rPr/>
        <w:t>method</w:t>
      </w:r>
      <w:r>
        <w:rPr>
          <w:spacing w:val="-12"/>
        </w:rPr>
        <w:t> </w:t>
      </w:r>
      <w:r>
        <w:rPr/>
        <w:t>is</w:t>
      </w:r>
      <w:r>
        <w:rPr>
          <w:spacing w:val="-12"/>
        </w:rPr>
        <w:t> </w:t>
      </w:r>
      <w:r>
        <w:rPr/>
        <w:t>region-specific</w:t>
      </w:r>
      <w:r>
        <w:rPr>
          <w:spacing w:val="-12"/>
        </w:rPr>
        <w:t> </w:t>
      </w:r>
      <w:r>
        <w:rPr/>
        <w:t>and</w:t>
      </w:r>
      <w:r>
        <w:rPr>
          <w:spacing w:val="-12"/>
        </w:rPr>
        <w:t> </w:t>
      </w:r>
      <w:r>
        <w:rPr/>
        <w:t>that</w:t>
      </w:r>
      <w:r>
        <w:rPr>
          <w:spacing w:val="-12"/>
        </w:rPr>
        <w:t> </w:t>
      </w:r>
      <w:r>
        <w:rPr/>
        <w:t>improving</w:t>
      </w:r>
      <w:r>
        <w:rPr>
          <w:spacing w:val="-12"/>
        </w:rPr>
        <w:t> </w:t>
      </w:r>
      <w:r>
        <w:rPr/>
        <w:t>Decision</w:t>
      </w:r>
      <w:r>
        <w:rPr>
          <w:spacing w:val="-12"/>
        </w:rPr>
        <w:t> </w:t>
      </w:r>
      <w:r>
        <w:rPr/>
        <w:t>1</w:t>
      </w:r>
      <w:r>
        <w:rPr>
          <w:spacing w:val="-12"/>
        </w:rPr>
        <w:t> </w:t>
      </w:r>
      <w:r>
        <w:rPr/>
        <w:t>comes at the direct cost of suppressing the signal required for Decision 2.</w:t>
      </w:r>
    </w:p>
    <w:p>
      <w:pPr>
        <w:pStyle w:val="BodyText"/>
        <w:spacing w:line="312" w:lineRule="auto"/>
        <w:ind w:left="709" w:right="990" w:firstLine="338"/>
        <w:jc w:val="both"/>
      </w:pPr>
      <w:r>
        <w:rPr/>
        <w:t>Figures</w:t>
      </w:r>
      <w:r>
        <w:rPr>
          <w:spacing w:val="-6"/>
        </w:rPr>
        <w:t> </w:t>
      </w:r>
      <w:hyperlink w:history="true" w:anchor="_bookmark114">
        <w:r>
          <w:rPr>
            <w:color w:val="8B2C18"/>
          </w:rPr>
          <w:t>5.5</w:t>
        </w:r>
      </w:hyperlink>
      <w:r>
        <w:rPr>
          <w:color w:val="8B2C18"/>
          <w:spacing w:val="-6"/>
        </w:rPr>
        <w:t> </w:t>
      </w:r>
      <w:r>
        <w:rPr/>
        <w:t>and</w:t>
      </w:r>
      <w:r>
        <w:rPr>
          <w:spacing w:val="-6"/>
        </w:rPr>
        <w:t> </w:t>
      </w:r>
      <w:hyperlink w:history="true" w:anchor="_bookmark117">
        <w:r>
          <w:rPr>
            <w:color w:val="8B2C18"/>
          </w:rPr>
          <w:t>5.6</w:t>
        </w:r>
      </w:hyperlink>
      <w:r>
        <w:rPr>
          <w:color w:val="8B2C18"/>
          <w:spacing w:val="-6"/>
        </w:rPr>
        <w:t> </w:t>
      </w:r>
      <w:r>
        <w:rPr/>
        <w:t>show</w:t>
      </w:r>
      <w:r>
        <w:rPr>
          <w:spacing w:val="-6"/>
        </w:rPr>
        <w:t> </w:t>
      </w:r>
      <w:r>
        <w:rPr/>
        <w:t>the</w:t>
      </w:r>
      <w:r>
        <w:rPr>
          <w:spacing w:val="-6"/>
        </w:rPr>
        <w:t> </w:t>
      </w:r>
      <w:r>
        <w:rPr/>
        <w:t>weighted</w:t>
      </w:r>
      <w:r>
        <w:rPr>
          <w:spacing w:val="-6"/>
        </w:rPr>
        <w:t> </w:t>
      </w:r>
      <w:r>
        <w:rPr/>
        <w:t>MAE</w:t>
      </w:r>
      <w:r>
        <w:rPr>
          <w:spacing w:val="-6"/>
        </w:rPr>
        <w:t> </w:t>
      </w:r>
      <w:r>
        <w:rPr/>
        <w:t>of</w:t>
      </w:r>
      <w:r>
        <w:rPr>
          <w:spacing w:val="-6"/>
        </w:rPr>
        <w:t> </w:t>
      </w:r>
      <w:r>
        <w:rPr/>
        <w:t>all</w:t>
      </w:r>
      <w:r>
        <w:rPr>
          <w:spacing w:val="-6"/>
        </w:rPr>
        <w:t> </w:t>
      </w:r>
      <w:r>
        <w:rPr/>
        <w:t>17</w:t>
      </w:r>
      <w:r>
        <w:rPr>
          <w:spacing w:val="-6"/>
        </w:rPr>
        <w:t> </w:t>
      </w:r>
      <w:r>
        <w:rPr/>
        <w:t>models</w:t>
      </w:r>
      <w:r>
        <w:rPr>
          <w:spacing w:val="-6"/>
        </w:rPr>
        <w:t> </w:t>
      </w:r>
      <w:r>
        <w:rPr/>
        <w:t>under</w:t>
      </w:r>
      <w:r>
        <w:rPr>
          <w:spacing w:val="-6"/>
        </w:rPr>
        <w:t> </w:t>
      </w:r>
      <w:r>
        <w:rPr/>
        <w:t>both</w:t>
      </w:r>
      <w:r>
        <w:rPr>
          <w:spacing w:val="-6"/>
        </w:rPr>
        <w:t> </w:t>
      </w:r>
      <w:r>
        <w:rPr/>
        <w:t>detrending</w:t>
      </w:r>
      <w:r>
        <w:rPr>
          <w:spacing w:val="-6"/>
        </w:rPr>
        <w:t> </w:t>
      </w:r>
      <w:r>
        <w:rPr/>
        <w:t>methods for each region.</w:t>
      </w:r>
    </w:p>
    <w:p>
      <w:pPr>
        <w:pStyle w:val="BodyText"/>
        <w:rPr>
          <w:sz w:val="16"/>
        </w:rPr>
      </w:pPr>
      <w:r>
        <w:rPr>
          <w:sz w:val="16"/>
        </w:rPr>
        <w:drawing>
          <wp:anchor distT="0" distB="0" distL="0" distR="0" allowOverlap="1" layoutInCell="1" locked="0" behindDoc="1" simplePos="0" relativeHeight="487627264">
            <wp:simplePos x="0" y="0"/>
            <wp:positionH relativeFrom="page">
              <wp:posOffset>1698364</wp:posOffset>
            </wp:positionH>
            <wp:positionV relativeFrom="paragraph">
              <wp:posOffset>132087</wp:posOffset>
            </wp:positionV>
            <wp:extent cx="4311872" cy="2792634"/>
            <wp:effectExtent l="0" t="0" r="0" b="0"/>
            <wp:wrapTopAndBottom/>
            <wp:docPr id="208" name="Image 208"/>
            <wp:cNvGraphicFramePr>
              <a:graphicFrameLocks/>
            </wp:cNvGraphicFramePr>
            <a:graphic>
              <a:graphicData uri="http://schemas.openxmlformats.org/drawingml/2006/picture">
                <pic:pic>
                  <pic:nvPicPr>
                    <pic:cNvPr id="208" name="Image 208"/>
                    <pic:cNvPicPr/>
                  </pic:nvPicPr>
                  <pic:blipFill>
                    <a:blip r:embed="rId87" cstate="print"/>
                    <a:stretch>
                      <a:fillRect/>
                    </a:stretch>
                  </pic:blipFill>
                  <pic:spPr>
                    <a:xfrm>
                      <a:off x="0" y="0"/>
                      <a:ext cx="4311872" cy="2792634"/>
                    </a:xfrm>
                    <a:prstGeom prst="rect">
                      <a:avLst/>
                    </a:prstGeom>
                  </pic:spPr>
                </pic:pic>
              </a:graphicData>
            </a:graphic>
          </wp:anchor>
        </w:drawing>
      </w:r>
    </w:p>
    <w:p>
      <w:pPr>
        <w:pStyle w:val="BodyText"/>
        <w:spacing w:before="76"/>
      </w:pPr>
    </w:p>
    <w:p>
      <w:pPr>
        <w:spacing w:before="0"/>
        <w:ind w:left="601" w:right="882" w:firstLine="0"/>
        <w:jc w:val="center"/>
        <w:rPr>
          <w:sz w:val="20"/>
        </w:rPr>
      </w:pPr>
      <w:bookmarkStart w:name="_bookmark114" w:id="194"/>
      <w:bookmarkEnd w:id="194"/>
      <w:r>
        <w:rPr/>
      </w:r>
      <w:r>
        <w:rPr>
          <w:b/>
          <w:sz w:val="20"/>
        </w:rPr>
        <w:t>Figure</w:t>
      </w:r>
      <w:r>
        <w:rPr>
          <w:b/>
          <w:spacing w:val="-7"/>
          <w:sz w:val="20"/>
        </w:rPr>
        <w:t> </w:t>
      </w:r>
      <w:r>
        <w:rPr>
          <w:b/>
          <w:sz w:val="20"/>
        </w:rPr>
        <w:t>5.5:</w:t>
      </w:r>
      <w:r>
        <w:rPr>
          <w:b/>
          <w:spacing w:val="3"/>
          <w:sz w:val="20"/>
        </w:rPr>
        <w:t> </w:t>
      </w:r>
      <w:r>
        <w:rPr>
          <w:sz w:val="20"/>
        </w:rPr>
        <w:t>Weighted</w:t>
      </w:r>
      <w:r>
        <w:rPr>
          <w:spacing w:val="-7"/>
          <w:sz w:val="20"/>
        </w:rPr>
        <w:t> </w:t>
      </w:r>
      <w:r>
        <w:rPr>
          <w:sz w:val="20"/>
        </w:rPr>
        <w:t>MAE</w:t>
      </w:r>
      <w:r>
        <w:rPr>
          <w:spacing w:val="-7"/>
          <w:sz w:val="20"/>
        </w:rPr>
        <w:t> </w:t>
      </w:r>
      <w:r>
        <w:rPr>
          <w:sz w:val="20"/>
        </w:rPr>
        <w:t>under</w:t>
      </w:r>
      <w:r>
        <w:rPr>
          <w:spacing w:val="-7"/>
          <w:sz w:val="20"/>
        </w:rPr>
        <w:t> </w:t>
      </w:r>
      <w:r>
        <w:rPr>
          <w:sz w:val="20"/>
        </w:rPr>
        <w:t>linear</w:t>
      </w:r>
      <w:r>
        <w:rPr>
          <w:spacing w:val="-6"/>
          <w:sz w:val="20"/>
        </w:rPr>
        <w:t> </w:t>
      </w:r>
      <w:r>
        <w:rPr>
          <w:sz w:val="20"/>
        </w:rPr>
        <w:t>vs</w:t>
      </w:r>
      <w:r>
        <w:rPr>
          <w:spacing w:val="-7"/>
          <w:sz w:val="20"/>
        </w:rPr>
        <w:t> </w:t>
      </w:r>
      <w:r>
        <w:rPr>
          <w:sz w:val="20"/>
        </w:rPr>
        <w:t>LOESS</w:t>
      </w:r>
      <w:r>
        <w:rPr>
          <w:spacing w:val="-7"/>
          <w:sz w:val="20"/>
        </w:rPr>
        <w:t> </w:t>
      </w:r>
      <w:r>
        <w:rPr>
          <w:sz w:val="20"/>
        </w:rPr>
        <w:t>detrending</w:t>
      </w:r>
      <w:r>
        <w:rPr>
          <w:spacing w:val="-7"/>
          <w:sz w:val="20"/>
        </w:rPr>
        <w:t> </w:t>
      </w:r>
      <w:r>
        <w:rPr>
          <w:sz w:val="20"/>
        </w:rPr>
        <w:t>for</w:t>
      </w:r>
      <w:r>
        <w:rPr>
          <w:spacing w:val="-7"/>
          <w:sz w:val="20"/>
        </w:rPr>
        <w:t> </w:t>
      </w:r>
      <w:r>
        <w:rPr>
          <w:sz w:val="20"/>
        </w:rPr>
        <w:t>all</w:t>
      </w:r>
      <w:r>
        <w:rPr>
          <w:spacing w:val="-7"/>
          <w:sz w:val="20"/>
        </w:rPr>
        <w:t> </w:t>
      </w:r>
      <w:r>
        <w:rPr>
          <w:sz w:val="20"/>
        </w:rPr>
        <w:t>17</w:t>
      </w:r>
      <w:r>
        <w:rPr>
          <w:spacing w:val="-7"/>
          <w:sz w:val="20"/>
        </w:rPr>
        <w:t> </w:t>
      </w:r>
      <w:r>
        <w:rPr>
          <w:sz w:val="20"/>
        </w:rPr>
        <w:t>models,</w:t>
      </w:r>
      <w:r>
        <w:rPr>
          <w:spacing w:val="-7"/>
          <w:sz w:val="20"/>
        </w:rPr>
        <w:t> </w:t>
      </w:r>
      <w:r>
        <w:rPr>
          <w:sz w:val="20"/>
        </w:rPr>
        <w:t>Douro</w:t>
      </w:r>
      <w:r>
        <w:rPr>
          <w:spacing w:val="-7"/>
          <w:sz w:val="20"/>
        </w:rPr>
        <w:t> </w:t>
      </w:r>
      <w:r>
        <w:rPr>
          <w:spacing w:val="-2"/>
          <w:sz w:val="20"/>
        </w:rPr>
        <w:t>(RDD).</w:t>
      </w:r>
    </w:p>
    <w:p>
      <w:pPr>
        <w:pStyle w:val="BodyText"/>
        <w:rPr>
          <w:sz w:val="20"/>
        </w:rPr>
      </w:pPr>
    </w:p>
    <w:p>
      <w:pPr>
        <w:pStyle w:val="BodyText"/>
        <w:spacing w:before="14"/>
        <w:rPr>
          <w:sz w:val="20"/>
        </w:rPr>
      </w:pPr>
    </w:p>
    <w:p>
      <w:pPr>
        <w:spacing w:before="0"/>
        <w:ind w:left="601" w:right="888" w:firstLine="0"/>
        <w:jc w:val="center"/>
        <w:rPr>
          <w:sz w:val="20"/>
        </w:rPr>
      </w:pPr>
      <w:bookmarkStart w:name="_bookmark115" w:id="195"/>
      <w:bookmarkEnd w:id="195"/>
      <w:r>
        <w:rPr/>
      </w:r>
      <w:r>
        <w:rPr>
          <w:b/>
          <w:sz w:val="20"/>
        </w:rPr>
        <w:t>Table</w:t>
      </w:r>
      <w:r>
        <w:rPr>
          <w:b/>
          <w:spacing w:val="-12"/>
          <w:sz w:val="20"/>
        </w:rPr>
        <w:t> </w:t>
      </w:r>
      <w:r>
        <w:rPr>
          <w:b/>
          <w:sz w:val="20"/>
        </w:rPr>
        <w:t>5.7:</w:t>
      </w:r>
      <w:r>
        <w:rPr>
          <w:b/>
          <w:spacing w:val="-2"/>
          <w:sz w:val="20"/>
        </w:rPr>
        <w:t> </w:t>
      </w:r>
      <w:r>
        <w:rPr>
          <w:sz w:val="20"/>
        </w:rPr>
        <w:t>LOESS</w:t>
      </w:r>
      <w:r>
        <w:rPr>
          <w:spacing w:val="-11"/>
          <w:sz w:val="20"/>
        </w:rPr>
        <w:t> </w:t>
      </w:r>
      <w:r>
        <w:rPr>
          <w:sz w:val="20"/>
        </w:rPr>
        <w:t>detrending</w:t>
      </w:r>
      <w:r>
        <w:rPr>
          <w:spacing w:val="-12"/>
          <w:sz w:val="20"/>
        </w:rPr>
        <w:t> </w:t>
      </w:r>
      <w:r>
        <w:rPr>
          <w:sz w:val="20"/>
        </w:rPr>
        <w:t>sensitivity</w:t>
      </w:r>
      <w:r>
        <w:rPr>
          <w:spacing w:val="-11"/>
          <w:sz w:val="20"/>
        </w:rPr>
        <w:t> </w:t>
      </w:r>
      <w:r>
        <w:rPr>
          <w:spacing w:val="-2"/>
          <w:sz w:val="20"/>
        </w:rPr>
        <w:t>analysis.</w:t>
      </w:r>
    </w:p>
    <w:p>
      <w:pPr>
        <w:pStyle w:val="BodyText"/>
        <w:spacing w:before="5"/>
        <w:rPr>
          <w:sz w:val="18"/>
        </w:rPr>
      </w:pPr>
      <w:r>
        <w:rPr>
          <w:sz w:val="18"/>
        </w:rPr>
        <mc:AlternateContent>
          <mc:Choice Requires="wps">
            <w:drawing>
              <wp:anchor distT="0" distB="0" distL="0" distR="0" allowOverlap="1" layoutInCell="1" locked="0" behindDoc="1" simplePos="0" relativeHeight="487627776">
                <wp:simplePos x="0" y="0"/>
                <wp:positionH relativeFrom="page">
                  <wp:posOffset>1260005</wp:posOffset>
                </wp:positionH>
                <wp:positionV relativeFrom="paragraph">
                  <wp:posOffset>150295</wp:posOffset>
                </wp:positionV>
                <wp:extent cx="5400040" cy="1270"/>
                <wp:effectExtent l="0" t="0" r="0" b="0"/>
                <wp:wrapTopAndBottom/>
                <wp:docPr id="209" name="Graphic 209"/>
                <wp:cNvGraphicFramePr>
                  <a:graphicFrameLocks/>
                </wp:cNvGraphicFramePr>
                <a:graphic>
                  <a:graphicData uri="http://schemas.microsoft.com/office/word/2010/wordprocessingShape">
                    <wps:wsp>
                      <wps:cNvPr id="209" name="Graphic 209"/>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1.834322pt;width:425.2pt;height:.1pt;mso-position-horizontal-relative:page;mso-position-vertical-relative:paragraph;z-index:-15688704;mso-wrap-distance-left:0;mso-wrap-distance-right:0" id="docshape176" coordorigin="1984,237" coordsize="8504,0" path="m1984,237l10488,237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7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16"/>
        <w:gridCol w:w="1948"/>
        <w:gridCol w:w="1721"/>
        <w:gridCol w:w="1494"/>
        <w:gridCol w:w="2525"/>
      </w:tblGrid>
      <w:tr>
        <w:trPr>
          <w:trHeight w:val="585" w:hRule="atLeast"/>
        </w:trPr>
        <w:tc>
          <w:tcPr>
            <w:tcW w:w="816" w:type="dxa"/>
            <w:tcBorders>
              <w:top w:val="nil"/>
              <w:left w:val="nil"/>
              <w:right w:val="single" w:sz="4" w:space="0" w:color="000000"/>
            </w:tcBorders>
          </w:tcPr>
          <w:p>
            <w:pPr>
              <w:pStyle w:val="TableParagraph"/>
              <w:spacing w:before="31"/>
              <w:ind w:left="119"/>
              <w:rPr>
                <w:sz w:val="20"/>
              </w:rPr>
            </w:pPr>
            <w:r>
              <w:rPr>
                <w:spacing w:val="-2"/>
                <w:sz w:val="20"/>
              </w:rPr>
              <w:t>Region</w:t>
            </w:r>
          </w:p>
        </w:tc>
        <w:tc>
          <w:tcPr>
            <w:tcW w:w="1948" w:type="dxa"/>
            <w:tcBorders>
              <w:top w:val="nil"/>
              <w:left w:val="single" w:sz="4" w:space="0" w:color="000000"/>
              <w:right w:val="single" w:sz="4" w:space="0" w:color="000000"/>
            </w:tcBorders>
          </w:tcPr>
          <w:p>
            <w:pPr>
              <w:pStyle w:val="TableParagraph"/>
              <w:spacing w:before="31"/>
              <w:ind w:left="118"/>
              <w:rPr>
                <w:sz w:val="20"/>
              </w:rPr>
            </w:pPr>
            <w:r>
              <w:rPr>
                <w:spacing w:val="-2"/>
                <w:sz w:val="20"/>
              </w:rPr>
              <w:t>Detrend</w:t>
            </w:r>
          </w:p>
        </w:tc>
        <w:tc>
          <w:tcPr>
            <w:tcW w:w="1721" w:type="dxa"/>
            <w:tcBorders>
              <w:top w:val="nil"/>
              <w:left w:val="single" w:sz="4" w:space="0" w:color="000000"/>
              <w:right w:val="single" w:sz="4" w:space="0" w:color="000000"/>
            </w:tcBorders>
          </w:tcPr>
          <w:p>
            <w:pPr>
              <w:pStyle w:val="TableParagraph"/>
              <w:spacing w:line="249" w:lineRule="auto" w:before="31"/>
              <w:ind w:left="110" w:right="149" w:firstLine="7"/>
              <w:rPr>
                <w:sz w:val="20"/>
              </w:rPr>
            </w:pPr>
            <w:r>
              <w:rPr>
                <w:spacing w:val="-2"/>
                <w:sz w:val="20"/>
              </w:rPr>
              <w:t>Naive_Median </w:t>
            </w:r>
            <w:r>
              <w:rPr>
                <w:sz w:val="20"/>
              </w:rPr>
              <w:t>wtd MAE</w:t>
            </w:r>
          </w:p>
        </w:tc>
        <w:tc>
          <w:tcPr>
            <w:tcW w:w="1494" w:type="dxa"/>
            <w:tcBorders>
              <w:top w:val="nil"/>
              <w:left w:val="single" w:sz="4" w:space="0" w:color="000000"/>
              <w:right w:val="single" w:sz="4" w:space="0" w:color="000000"/>
            </w:tcBorders>
          </w:tcPr>
          <w:p>
            <w:pPr>
              <w:pStyle w:val="TableParagraph"/>
              <w:tabs>
                <w:tab w:pos="970" w:val="left" w:leader="none"/>
              </w:tabs>
              <w:spacing w:line="249" w:lineRule="auto" w:before="31"/>
              <w:ind w:left="118" w:right="116"/>
              <w:rPr>
                <w:sz w:val="20"/>
              </w:rPr>
            </w:pPr>
            <w:r>
              <w:rPr>
                <w:spacing w:val="-2"/>
                <w:sz w:val="20"/>
              </w:rPr>
              <w:t>CarenR</w:t>
            </w:r>
            <w:r>
              <w:rPr>
                <w:sz w:val="20"/>
              </w:rPr>
              <w:tab/>
            </w:r>
            <w:r>
              <w:rPr>
                <w:spacing w:val="-2"/>
                <w:sz w:val="20"/>
              </w:rPr>
              <w:t>rules found</w:t>
            </w:r>
          </w:p>
        </w:tc>
        <w:tc>
          <w:tcPr>
            <w:tcW w:w="2525" w:type="dxa"/>
            <w:tcBorders>
              <w:top w:val="nil"/>
              <w:left w:val="single" w:sz="4" w:space="0" w:color="000000"/>
              <w:right w:val="nil"/>
            </w:tcBorders>
          </w:tcPr>
          <w:p>
            <w:pPr>
              <w:pStyle w:val="TableParagraph"/>
              <w:spacing w:before="31"/>
              <w:ind w:left="118"/>
              <w:rPr>
                <w:sz w:val="20"/>
              </w:rPr>
            </w:pPr>
            <w:r>
              <w:rPr>
                <w:sz w:val="20"/>
              </w:rPr>
              <w:t>CarenR</w:t>
            </w:r>
            <w:r>
              <w:rPr>
                <w:spacing w:val="-6"/>
                <w:sz w:val="20"/>
              </w:rPr>
              <w:t> </w:t>
            </w:r>
            <w:r>
              <w:rPr>
                <w:sz w:val="20"/>
              </w:rPr>
              <w:t>best</w:t>
            </w:r>
            <w:r>
              <w:rPr>
                <w:spacing w:val="-5"/>
                <w:sz w:val="20"/>
              </w:rPr>
              <w:t> </w:t>
            </w:r>
            <w:r>
              <w:rPr>
                <w:sz w:val="20"/>
              </w:rPr>
              <w:t>wtd</w:t>
            </w:r>
            <w:r>
              <w:rPr>
                <w:spacing w:val="-5"/>
                <w:sz w:val="20"/>
              </w:rPr>
              <w:t> MAE</w:t>
            </w:r>
          </w:p>
        </w:tc>
      </w:tr>
    </w:tbl>
    <w:p>
      <w:pPr>
        <w:pStyle w:val="BodyText"/>
        <w:spacing w:before="10"/>
        <w:rPr>
          <w:sz w:val="4"/>
        </w:rPr>
      </w:pPr>
    </w:p>
    <w:tbl>
      <w:tblPr>
        <w:tblW w:w="0" w:type="auto"/>
        <w:jc w:val="left"/>
        <w:tblInd w:w="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16"/>
        <w:gridCol w:w="1948"/>
        <w:gridCol w:w="1721"/>
        <w:gridCol w:w="1494"/>
        <w:gridCol w:w="2525"/>
      </w:tblGrid>
      <w:tr>
        <w:trPr>
          <w:trHeight w:val="308" w:hRule="atLeast"/>
        </w:trPr>
        <w:tc>
          <w:tcPr>
            <w:tcW w:w="816" w:type="dxa"/>
            <w:tcBorders>
              <w:right w:val="single" w:sz="4" w:space="0" w:color="000000"/>
            </w:tcBorders>
          </w:tcPr>
          <w:p>
            <w:pPr>
              <w:pStyle w:val="TableParagraph"/>
              <w:spacing w:before="31"/>
              <w:ind w:left="119"/>
              <w:rPr>
                <w:sz w:val="20"/>
              </w:rPr>
            </w:pPr>
            <w:r>
              <w:rPr>
                <w:spacing w:val="-5"/>
                <w:sz w:val="20"/>
              </w:rPr>
              <w:t>RDD</w:t>
            </w:r>
          </w:p>
        </w:tc>
        <w:tc>
          <w:tcPr>
            <w:tcW w:w="1948" w:type="dxa"/>
            <w:tcBorders>
              <w:left w:val="single" w:sz="4" w:space="0" w:color="000000"/>
              <w:right w:val="single" w:sz="4" w:space="0" w:color="000000"/>
            </w:tcBorders>
          </w:tcPr>
          <w:p>
            <w:pPr>
              <w:pStyle w:val="TableParagraph"/>
              <w:spacing w:before="31"/>
              <w:ind w:left="118"/>
              <w:rPr>
                <w:sz w:val="20"/>
              </w:rPr>
            </w:pPr>
            <w:r>
              <w:rPr>
                <w:sz w:val="20"/>
              </w:rPr>
              <w:t>Linear</w:t>
            </w:r>
            <w:r>
              <w:rPr>
                <w:spacing w:val="-7"/>
                <w:sz w:val="20"/>
              </w:rPr>
              <w:t> </w:t>
            </w:r>
            <w:r>
              <w:rPr>
                <w:spacing w:val="-2"/>
                <w:sz w:val="20"/>
              </w:rPr>
              <w:t>(primary)</w:t>
            </w:r>
          </w:p>
        </w:tc>
        <w:tc>
          <w:tcPr>
            <w:tcW w:w="1721" w:type="dxa"/>
            <w:tcBorders>
              <w:left w:val="single" w:sz="4" w:space="0" w:color="000000"/>
              <w:right w:val="single" w:sz="4" w:space="0" w:color="000000"/>
            </w:tcBorders>
          </w:tcPr>
          <w:p>
            <w:pPr>
              <w:pStyle w:val="TableParagraph"/>
              <w:spacing w:before="31"/>
              <w:ind w:left="118"/>
              <w:rPr>
                <w:sz w:val="20"/>
              </w:rPr>
            </w:pPr>
            <w:r>
              <w:rPr>
                <w:sz w:val="20"/>
              </w:rPr>
              <w:t>184</w:t>
            </w:r>
            <w:r>
              <w:rPr>
                <w:spacing w:val="-4"/>
                <w:sz w:val="20"/>
              </w:rPr>
              <w:t> </w:t>
            </w:r>
            <w:r>
              <w:rPr>
                <w:spacing w:val="-5"/>
                <w:sz w:val="20"/>
              </w:rPr>
              <w:t>mhl</w:t>
            </w:r>
          </w:p>
        </w:tc>
        <w:tc>
          <w:tcPr>
            <w:tcW w:w="1494" w:type="dxa"/>
            <w:tcBorders>
              <w:left w:val="single" w:sz="4" w:space="0" w:color="000000"/>
              <w:right w:val="single" w:sz="4" w:space="0" w:color="000000"/>
            </w:tcBorders>
          </w:tcPr>
          <w:p>
            <w:pPr>
              <w:pStyle w:val="TableParagraph"/>
              <w:spacing w:before="31"/>
              <w:ind w:left="118"/>
              <w:rPr>
                <w:sz w:val="20"/>
              </w:rPr>
            </w:pPr>
            <w:r>
              <w:rPr>
                <w:spacing w:val="-5"/>
                <w:sz w:val="20"/>
              </w:rPr>
              <w:t>48</w:t>
            </w:r>
          </w:p>
        </w:tc>
        <w:tc>
          <w:tcPr>
            <w:tcW w:w="2525" w:type="dxa"/>
            <w:tcBorders>
              <w:left w:val="single" w:sz="4" w:space="0" w:color="000000"/>
            </w:tcBorders>
          </w:tcPr>
          <w:p>
            <w:pPr>
              <w:pStyle w:val="TableParagraph"/>
              <w:spacing w:before="31"/>
              <w:ind w:left="118"/>
              <w:rPr>
                <w:sz w:val="20"/>
              </w:rPr>
            </w:pPr>
            <w:r>
              <w:rPr>
                <w:sz w:val="20"/>
              </w:rPr>
              <w:t>189</w:t>
            </w:r>
            <w:r>
              <w:rPr>
                <w:spacing w:val="-5"/>
                <w:sz w:val="20"/>
              </w:rPr>
              <w:t> </w:t>
            </w:r>
            <w:r>
              <w:rPr>
                <w:sz w:val="20"/>
              </w:rPr>
              <w:t>mhl</w:t>
            </w:r>
            <w:r>
              <w:rPr>
                <w:spacing w:val="-4"/>
                <w:sz w:val="20"/>
              </w:rPr>
              <w:t> </w:t>
            </w:r>
            <w:r>
              <w:rPr>
                <w:spacing w:val="-2"/>
                <w:sz w:val="20"/>
              </w:rPr>
              <w:t>(Eta2)</w:t>
            </w:r>
          </w:p>
        </w:tc>
      </w:tr>
      <w:tr>
        <w:trPr>
          <w:trHeight w:val="310" w:hRule="atLeast"/>
        </w:trPr>
        <w:tc>
          <w:tcPr>
            <w:tcW w:w="816" w:type="dxa"/>
            <w:tcBorders>
              <w:right w:val="single" w:sz="4" w:space="0" w:color="000000"/>
            </w:tcBorders>
          </w:tcPr>
          <w:p>
            <w:pPr>
              <w:pStyle w:val="TableParagraph"/>
              <w:ind w:left="119"/>
              <w:rPr>
                <w:sz w:val="20"/>
              </w:rPr>
            </w:pPr>
            <w:r>
              <w:rPr>
                <w:spacing w:val="-5"/>
                <w:sz w:val="20"/>
              </w:rPr>
              <w:t>RDD</w:t>
            </w:r>
          </w:p>
        </w:tc>
        <w:tc>
          <w:tcPr>
            <w:tcW w:w="1948" w:type="dxa"/>
            <w:tcBorders>
              <w:left w:val="single" w:sz="4" w:space="0" w:color="000000"/>
              <w:right w:val="single" w:sz="4" w:space="0" w:color="000000"/>
            </w:tcBorders>
          </w:tcPr>
          <w:p>
            <w:pPr>
              <w:pStyle w:val="TableParagraph"/>
              <w:ind w:left="118"/>
              <w:rPr>
                <w:sz w:val="20"/>
              </w:rPr>
            </w:pPr>
            <w:r>
              <w:rPr>
                <w:sz w:val="20"/>
              </w:rPr>
              <w:t>LOESS</w:t>
            </w:r>
            <w:r>
              <w:rPr>
                <w:spacing w:val="-8"/>
                <w:sz w:val="20"/>
              </w:rPr>
              <w:t> </w:t>
            </w:r>
            <w:r>
              <w:rPr>
                <w:spacing w:val="-2"/>
                <w:sz w:val="20"/>
              </w:rPr>
              <w:t>(sensitivity)</w:t>
            </w:r>
          </w:p>
        </w:tc>
        <w:tc>
          <w:tcPr>
            <w:tcW w:w="1721" w:type="dxa"/>
            <w:tcBorders>
              <w:left w:val="single" w:sz="4" w:space="0" w:color="000000"/>
              <w:right w:val="single" w:sz="4" w:space="0" w:color="000000"/>
            </w:tcBorders>
          </w:tcPr>
          <w:p>
            <w:pPr>
              <w:pStyle w:val="TableParagraph"/>
              <w:ind w:left="118"/>
              <w:rPr>
                <w:sz w:val="20"/>
              </w:rPr>
            </w:pPr>
            <w:r>
              <w:rPr>
                <w:sz w:val="20"/>
              </w:rPr>
              <w:t>290</w:t>
            </w:r>
            <w:r>
              <w:rPr>
                <w:spacing w:val="-4"/>
                <w:sz w:val="20"/>
              </w:rPr>
              <w:t> </w:t>
            </w:r>
            <w:r>
              <w:rPr>
                <w:spacing w:val="-5"/>
                <w:sz w:val="20"/>
              </w:rPr>
              <w:t>mhl</w:t>
            </w:r>
          </w:p>
        </w:tc>
        <w:tc>
          <w:tcPr>
            <w:tcW w:w="1494" w:type="dxa"/>
            <w:tcBorders>
              <w:left w:val="single" w:sz="4" w:space="0" w:color="000000"/>
              <w:right w:val="single" w:sz="4" w:space="0" w:color="000000"/>
            </w:tcBorders>
          </w:tcPr>
          <w:p>
            <w:pPr>
              <w:pStyle w:val="TableParagraph"/>
              <w:ind w:left="118"/>
              <w:rPr>
                <w:sz w:val="20"/>
              </w:rPr>
            </w:pPr>
            <w:r>
              <w:rPr>
                <w:spacing w:val="-5"/>
                <w:sz w:val="20"/>
              </w:rPr>
              <w:t>N/A</w:t>
            </w:r>
          </w:p>
        </w:tc>
        <w:tc>
          <w:tcPr>
            <w:tcW w:w="2525" w:type="dxa"/>
            <w:tcBorders>
              <w:left w:val="single" w:sz="4" w:space="0" w:color="000000"/>
            </w:tcBorders>
          </w:tcPr>
          <w:p>
            <w:pPr>
              <w:pStyle w:val="TableParagraph"/>
              <w:ind w:left="118"/>
              <w:rPr>
                <w:sz w:val="20"/>
              </w:rPr>
            </w:pPr>
            <w:r>
              <w:rPr>
                <w:spacing w:val="-10"/>
                <w:sz w:val="20"/>
              </w:rPr>
              <w:t>—</w:t>
            </w:r>
          </w:p>
        </w:tc>
      </w:tr>
      <w:tr>
        <w:trPr>
          <w:trHeight w:val="310" w:hRule="atLeast"/>
        </w:trPr>
        <w:tc>
          <w:tcPr>
            <w:tcW w:w="816" w:type="dxa"/>
            <w:tcBorders>
              <w:right w:val="single" w:sz="4" w:space="0" w:color="000000"/>
            </w:tcBorders>
          </w:tcPr>
          <w:p>
            <w:pPr>
              <w:pStyle w:val="TableParagraph"/>
              <w:ind w:left="119"/>
              <w:rPr>
                <w:sz w:val="20"/>
              </w:rPr>
            </w:pPr>
            <w:r>
              <w:rPr>
                <w:spacing w:val="-5"/>
                <w:sz w:val="20"/>
              </w:rPr>
              <w:t>RVV</w:t>
            </w:r>
          </w:p>
        </w:tc>
        <w:tc>
          <w:tcPr>
            <w:tcW w:w="1948" w:type="dxa"/>
            <w:tcBorders>
              <w:left w:val="single" w:sz="4" w:space="0" w:color="000000"/>
              <w:right w:val="single" w:sz="4" w:space="0" w:color="000000"/>
            </w:tcBorders>
          </w:tcPr>
          <w:p>
            <w:pPr>
              <w:pStyle w:val="TableParagraph"/>
              <w:ind w:left="118"/>
              <w:rPr>
                <w:sz w:val="20"/>
              </w:rPr>
            </w:pPr>
            <w:r>
              <w:rPr>
                <w:sz w:val="20"/>
              </w:rPr>
              <w:t>Linear</w:t>
            </w:r>
            <w:r>
              <w:rPr>
                <w:spacing w:val="-7"/>
                <w:sz w:val="20"/>
              </w:rPr>
              <w:t> </w:t>
            </w:r>
            <w:r>
              <w:rPr>
                <w:spacing w:val="-2"/>
                <w:sz w:val="20"/>
              </w:rPr>
              <w:t>(primary)</w:t>
            </w:r>
          </w:p>
        </w:tc>
        <w:tc>
          <w:tcPr>
            <w:tcW w:w="1721" w:type="dxa"/>
            <w:tcBorders>
              <w:left w:val="single" w:sz="4" w:space="0" w:color="000000"/>
              <w:right w:val="single" w:sz="4" w:space="0" w:color="000000"/>
            </w:tcBorders>
          </w:tcPr>
          <w:p>
            <w:pPr>
              <w:pStyle w:val="TableParagraph"/>
              <w:ind w:left="118"/>
              <w:rPr>
                <w:sz w:val="20"/>
              </w:rPr>
            </w:pPr>
            <w:r>
              <w:rPr>
                <w:sz w:val="20"/>
              </w:rPr>
              <w:t>140</w:t>
            </w:r>
            <w:r>
              <w:rPr>
                <w:spacing w:val="-4"/>
                <w:sz w:val="20"/>
              </w:rPr>
              <w:t> </w:t>
            </w:r>
            <w:r>
              <w:rPr>
                <w:spacing w:val="-5"/>
                <w:sz w:val="20"/>
              </w:rPr>
              <w:t>mhl</w:t>
            </w:r>
          </w:p>
        </w:tc>
        <w:tc>
          <w:tcPr>
            <w:tcW w:w="1494" w:type="dxa"/>
            <w:tcBorders>
              <w:left w:val="single" w:sz="4" w:space="0" w:color="000000"/>
              <w:right w:val="single" w:sz="4" w:space="0" w:color="000000"/>
            </w:tcBorders>
          </w:tcPr>
          <w:p>
            <w:pPr>
              <w:pStyle w:val="TableParagraph"/>
              <w:ind w:left="118"/>
              <w:rPr>
                <w:sz w:val="20"/>
              </w:rPr>
            </w:pPr>
            <w:r>
              <w:rPr>
                <w:spacing w:val="-5"/>
                <w:sz w:val="20"/>
              </w:rPr>
              <w:t>20</w:t>
            </w:r>
          </w:p>
        </w:tc>
        <w:tc>
          <w:tcPr>
            <w:tcW w:w="2525" w:type="dxa"/>
            <w:tcBorders>
              <w:left w:val="single" w:sz="4" w:space="0" w:color="000000"/>
            </w:tcBorders>
          </w:tcPr>
          <w:p>
            <w:pPr>
              <w:pStyle w:val="TableParagraph"/>
              <w:ind w:left="118"/>
              <w:rPr>
                <w:sz w:val="20"/>
              </w:rPr>
            </w:pPr>
            <w:r>
              <w:rPr>
                <w:sz w:val="20"/>
              </w:rPr>
              <w:t>172</w:t>
            </w:r>
            <w:r>
              <w:rPr>
                <w:spacing w:val="-5"/>
                <w:sz w:val="20"/>
              </w:rPr>
              <w:t> </w:t>
            </w:r>
            <w:r>
              <w:rPr>
                <w:sz w:val="20"/>
              </w:rPr>
              <w:t>mhl</w:t>
            </w:r>
            <w:r>
              <w:rPr>
                <w:spacing w:val="-4"/>
                <w:sz w:val="20"/>
              </w:rPr>
              <w:t> </w:t>
            </w:r>
            <w:r>
              <w:rPr>
                <w:spacing w:val="-2"/>
                <w:sz w:val="20"/>
              </w:rPr>
              <w:t>(Sup_FS)</w:t>
            </w:r>
          </w:p>
        </w:tc>
      </w:tr>
      <w:tr>
        <w:trPr>
          <w:trHeight w:val="348" w:hRule="atLeast"/>
        </w:trPr>
        <w:tc>
          <w:tcPr>
            <w:tcW w:w="816" w:type="dxa"/>
            <w:tcBorders>
              <w:bottom w:val="single" w:sz="8" w:space="0" w:color="000000"/>
              <w:right w:val="single" w:sz="4" w:space="0" w:color="000000"/>
            </w:tcBorders>
          </w:tcPr>
          <w:p>
            <w:pPr>
              <w:pStyle w:val="TableParagraph"/>
              <w:ind w:left="119"/>
              <w:rPr>
                <w:sz w:val="20"/>
              </w:rPr>
            </w:pPr>
            <w:r>
              <w:rPr>
                <w:spacing w:val="-5"/>
                <w:sz w:val="20"/>
              </w:rPr>
              <w:t>RVV</w:t>
            </w:r>
          </w:p>
        </w:tc>
        <w:tc>
          <w:tcPr>
            <w:tcW w:w="1948" w:type="dxa"/>
            <w:tcBorders>
              <w:left w:val="single" w:sz="4" w:space="0" w:color="000000"/>
              <w:bottom w:val="single" w:sz="8" w:space="0" w:color="000000"/>
              <w:right w:val="single" w:sz="4" w:space="0" w:color="000000"/>
            </w:tcBorders>
          </w:tcPr>
          <w:p>
            <w:pPr>
              <w:pStyle w:val="TableParagraph"/>
              <w:ind w:left="118"/>
              <w:rPr>
                <w:sz w:val="20"/>
              </w:rPr>
            </w:pPr>
            <w:r>
              <w:rPr>
                <w:sz w:val="20"/>
              </w:rPr>
              <w:t>LOESS</w:t>
            </w:r>
            <w:r>
              <w:rPr>
                <w:spacing w:val="-8"/>
                <w:sz w:val="20"/>
              </w:rPr>
              <w:t> </w:t>
            </w:r>
            <w:r>
              <w:rPr>
                <w:spacing w:val="-2"/>
                <w:sz w:val="20"/>
              </w:rPr>
              <w:t>(sensitivity)</w:t>
            </w:r>
          </w:p>
        </w:tc>
        <w:tc>
          <w:tcPr>
            <w:tcW w:w="1721" w:type="dxa"/>
            <w:tcBorders>
              <w:left w:val="single" w:sz="4" w:space="0" w:color="000000"/>
              <w:bottom w:val="single" w:sz="8" w:space="0" w:color="000000"/>
              <w:right w:val="single" w:sz="4" w:space="0" w:color="000000"/>
            </w:tcBorders>
          </w:tcPr>
          <w:p>
            <w:pPr>
              <w:pStyle w:val="TableParagraph"/>
              <w:ind w:left="167"/>
              <w:rPr>
                <w:sz w:val="20"/>
              </w:rPr>
            </w:pPr>
            <w:r>
              <w:rPr>
                <w:sz w:val="20"/>
              </w:rPr>
              <w:t>90</w:t>
            </w:r>
            <w:r>
              <w:rPr>
                <w:spacing w:val="-3"/>
                <w:sz w:val="20"/>
              </w:rPr>
              <w:t> </w:t>
            </w:r>
            <w:r>
              <w:rPr>
                <w:spacing w:val="-5"/>
                <w:sz w:val="20"/>
              </w:rPr>
              <w:t>mhl</w:t>
            </w:r>
          </w:p>
        </w:tc>
        <w:tc>
          <w:tcPr>
            <w:tcW w:w="1494" w:type="dxa"/>
            <w:tcBorders>
              <w:left w:val="single" w:sz="4" w:space="0" w:color="000000"/>
              <w:bottom w:val="single" w:sz="8" w:space="0" w:color="000000"/>
              <w:right w:val="single" w:sz="4" w:space="0" w:color="000000"/>
            </w:tcBorders>
          </w:tcPr>
          <w:p>
            <w:pPr>
              <w:pStyle w:val="TableParagraph"/>
              <w:ind w:left="118"/>
              <w:rPr>
                <w:sz w:val="20"/>
              </w:rPr>
            </w:pPr>
            <w:r>
              <w:rPr>
                <w:sz w:val="20"/>
              </w:rPr>
              <w:t>0</w:t>
            </w:r>
            <w:r>
              <w:rPr>
                <w:spacing w:val="-2"/>
                <w:sz w:val="20"/>
              </w:rPr>
              <w:t> (suppressed)</w:t>
            </w:r>
          </w:p>
        </w:tc>
        <w:tc>
          <w:tcPr>
            <w:tcW w:w="2525" w:type="dxa"/>
            <w:tcBorders>
              <w:left w:val="single" w:sz="4" w:space="0" w:color="000000"/>
              <w:bottom w:val="single" w:sz="8" w:space="0" w:color="000000"/>
            </w:tcBorders>
          </w:tcPr>
          <w:p>
            <w:pPr>
              <w:pStyle w:val="TableParagraph"/>
              <w:ind w:left="118"/>
              <w:rPr>
                <w:sz w:val="20"/>
              </w:rPr>
            </w:pPr>
            <w:r>
              <w:rPr>
                <w:sz w:val="20"/>
              </w:rPr>
              <w:t>Falls</w:t>
            </w:r>
            <w:r>
              <w:rPr>
                <w:spacing w:val="-6"/>
                <w:sz w:val="20"/>
              </w:rPr>
              <w:t> </w:t>
            </w:r>
            <w:r>
              <w:rPr>
                <w:sz w:val="20"/>
              </w:rPr>
              <w:t>back</w:t>
            </w:r>
            <w:r>
              <w:rPr>
                <w:spacing w:val="-5"/>
                <w:sz w:val="20"/>
              </w:rPr>
              <w:t> </w:t>
            </w:r>
            <w:r>
              <w:rPr>
                <w:sz w:val="20"/>
              </w:rPr>
              <w:t>to</w:t>
            </w:r>
            <w:r>
              <w:rPr>
                <w:spacing w:val="-5"/>
                <w:sz w:val="20"/>
              </w:rPr>
              <w:t> </w:t>
            </w:r>
            <w:r>
              <w:rPr>
                <w:spacing w:val="-2"/>
                <w:sz w:val="20"/>
              </w:rPr>
              <w:t>median</w:t>
            </w:r>
          </w:p>
        </w:tc>
      </w:tr>
    </w:tbl>
    <w:p>
      <w:pPr>
        <w:pStyle w:val="BodyText"/>
        <w:rPr>
          <w:sz w:val="20"/>
        </w:rPr>
      </w:pPr>
    </w:p>
    <w:p>
      <w:pPr>
        <w:pStyle w:val="BodyText"/>
        <w:rPr>
          <w:sz w:val="20"/>
        </w:rPr>
      </w:pPr>
    </w:p>
    <w:p>
      <w:pPr>
        <w:pStyle w:val="BodyText"/>
        <w:spacing w:before="20"/>
        <w:rPr>
          <w:sz w:val="20"/>
        </w:rPr>
      </w:pPr>
    </w:p>
    <w:p>
      <w:pPr>
        <w:pStyle w:val="Heading2"/>
        <w:numPr>
          <w:ilvl w:val="1"/>
          <w:numId w:val="34"/>
        </w:numPr>
        <w:tabs>
          <w:tab w:pos="1354" w:val="left" w:leader="none"/>
        </w:tabs>
        <w:spacing w:line="240" w:lineRule="auto" w:before="1" w:after="0"/>
        <w:ind w:left="1354" w:right="0" w:hanging="645"/>
        <w:jc w:val="left"/>
      </w:pPr>
      <w:bookmarkStart w:name="5.6 Negative Results: Supervised Discret" w:id="196"/>
      <w:bookmarkEnd w:id="196"/>
      <w:r>
        <w:rPr>
          <w:b w:val="0"/>
        </w:rPr>
      </w:r>
      <w:bookmarkStart w:name="_bookmark116" w:id="197"/>
      <w:bookmarkEnd w:id="197"/>
      <w:r>
        <w:rPr>
          <w:b w:val="0"/>
        </w:rPr>
      </w:r>
      <w:r>
        <w:rPr/>
        <w:t>Negative</w:t>
      </w:r>
      <w:r>
        <w:rPr>
          <w:spacing w:val="18"/>
        </w:rPr>
        <w:t> </w:t>
      </w:r>
      <w:r>
        <w:rPr/>
        <w:t>Results:</w:t>
      </w:r>
      <w:r>
        <w:rPr>
          <w:spacing w:val="40"/>
        </w:rPr>
        <w:t> </w:t>
      </w:r>
      <w:r>
        <w:rPr/>
        <w:t>Supervised</w:t>
      </w:r>
      <w:r>
        <w:rPr>
          <w:spacing w:val="19"/>
        </w:rPr>
        <w:t> </w:t>
      </w:r>
      <w:r>
        <w:rPr>
          <w:spacing w:val="-2"/>
        </w:rPr>
        <w:t>Discretisation</w:t>
      </w:r>
    </w:p>
    <w:p>
      <w:pPr>
        <w:pStyle w:val="BodyText"/>
        <w:spacing w:line="312" w:lineRule="auto" w:before="288"/>
        <w:ind w:left="709" w:right="982"/>
        <w:jc w:val="both"/>
      </w:pPr>
      <w:r>
        <w:rPr/>
        <w:t>CarenR_Supervised, which uses supervised feature discretisation — deriving bin cut-points </w:t>
      </w:r>
      <w:r>
        <w:rPr/>
        <w:t>by maximising</w:t>
      </w:r>
      <w:r>
        <w:rPr>
          <w:spacing w:val="7"/>
        </w:rPr>
        <w:t> </w:t>
      </w:r>
      <w:r>
        <w:rPr/>
        <w:t>residual</w:t>
      </w:r>
      <w:r>
        <w:rPr>
          <w:spacing w:val="6"/>
        </w:rPr>
        <w:t> </w:t>
      </w:r>
      <w:r>
        <w:rPr/>
        <w:t>separation</w:t>
      </w:r>
      <w:r>
        <w:rPr>
          <w:spacing w:val="7"/>
        </w:rPr>
        <w:t> </w:t>
      </w:r>
      <w:r>
        <w:rPr/>
        <w:t>within</w:t>
      </w:r>
      <w:r>
        <w:rPr>
          <w:spacing w:val="7"/>
        </w:rPr>
        <w:t> </w:t>
      </w:r>
      <w:r>
        <w:rPr/>
        <w:t>each</w:t>
      </w:r>
      <w:r>
        <w:rPr>
          <w:spacing w:val="7"/>
        </w:rPr>
        <w:t> </w:t>
      </w:r>
      <w:r>
        <w:rPr/>
        <w:t>training</w:t>
      </w:r>
      <w:r>
        <w:rPr>
          <w:spacing w:val="7"/>
        </w:rPr>
        <w:t> </w:t>
      </w:r>
      <w:r>
        <w:rPr/>
        <w:t>fold</w:t>
      </w:r>
      <w:r>
        <w:rPr>
          <w:spacing w:val="7"/>
        </w:rPr>
        <w:t> </w:t>
      </w:r>
      <w:r>
        <w:rPr/>
        <w:t>rather</w:t>
      </w:r>
      <w:r>
        <w:rPr>
          <w:spacing w:val="7"/>
        </w:rPr>
        <w:t> </w:t>
      </w:r>
      <w:r>
        <w:rPr/>
        <w:t>than</w:t>
      </w:r>
      <w:r>
        <w:rPr>
          <w:spacing w:val="8"/>
        </w:rPr>
        <w:t> </w:t>
      </w:r>
      <w:r>
        <w:rPr/>
        <w:t>relying</w:t>
      </w:r>
      <w:r>
        <w:rPr>
          <w:spacing w:val="6"/>
        </w:rPr>
        <w:t> </w:t>
      </w:r>
      <w:r>
        <w:rPr/>
        <w:t>on</w:t>
      </w:r>
      <w:r>
        <w:rPr>
          <w:spacing w:val="7"/>
        </w:rPr>
        <w:t> </w:t>
      </w:r>
      <w:r>
        <w:rPr/>
        <w:t>equal-</w:t>
      </w:r>
      <w:r>
        <w:rPr>
          <w:spacing w:val="-2"/>
        </w:rPr>
        <w:t>frequency</w:t>
      </w:r>
    </w:p>
    <w:p>
      <w:pPr>
        <w:pStyle w:val="BodyText"/>
        <w:spacing w:after="0" w:line="312" w:lineRule="auto"/>
        <w:jc w:val="both"/>
        <w:sectPr>
          <w:headerReference w:type="default" r:id="rId85"/>
          <w:headerReference w:type="even" r:id="rId86"/>
          <w:pgSz w:w="11910" w:h="16840"/>
          <w:pgMar w:header="1160" w:footer="0" w:top="1420" w:bottom="280" w:left="1275" w:right="425"/>
          <w:pgNumType w:start="59"/>
        </w:sectPr>
      </w:pPr>
    </w:p>
    <w:p>
      <w:pPr>
        <w:pStyle w:val="BodyText"/>
        <w:rPr>
          <w:sz w:val="20"/>
        </w:rPr>
      </w:pPr>
    </w:p>
    <w:p>
      <w:pPr>
        <w:pStyle w:val="BodyText"/>
        <w:spacing w:before="110"/>
        <w:rPr>
          <w:sz w:val="20"/>
        </w:rPr>
      </w:pPr>
    </w:p>
    <w:p>
      <w:pPr>
        <w:spacing w:line="240" w:lineRule="auto"/>
        <w:ind w:left="832" w:right="0" w:firstLine="0"/>
        <w:rPr>
          <w:sz w:val="20"/>
        </w:rPr>
      </w:pPr>
      <w:r>
        <w:rPr>
          <w:sz w:val="20"/>
        </w:rPr>
        <w:drawing>
          <wp:inline distT="0" distB="0" distL="0" distR="0">
            <wp:extent cx="4311872" cy="2792634"/>
            <wp:effectExtent l="0" t="0" r="0" b="0"/>
            <wp:docPr id="210" name="Image 210"/>
            <wp:cNvGraphicFramePr>
              <a:graphicFrameLocks/>
            </wp:cNvGraphicFramePr>
            <a:graphic>
              <a:graphicData uri="http://schemas.openxmlformats.org/drawingml/2006/picture">
                <pic:pic>
                  <pic:nvPicPr>
                    <pic:cNvPr id="210" name="Image 210"/>
                    <pic:cNvPicPr/>
                  </pic:nvPicPr>
                  <pic:blipFill>
                    <a:blip r:embed="rId88" cstate="print"/>
                    <a:stretch>
                      <a:fillRect/>
                    </a:stretch>
                  </pic:blipFill>
                  <pic:spPr>
                    <a:xfrm>
                      <a:off x="0" y="0"/>
                      <a:ext cx="4311872" cy="2792634"/>
                    </a:xfrm>
                    <a:prstGeom prst="rect">
                      <a:avLst/>
                    </a:prstGeom>
                  </pic:spPr>
                </pic:pic>
              </a:graphicData>
            </a:graphic>
          </wp:inline>
        </w:drawing>
      </w:r>
      <w:r>
        <w:rPr>
          <w:sz w:val="20"/>
        </w:rPr>
      </w:r>
    </w:p>
    <w:p>
      <w:pPr>
        <w:pStyle w:val="BodyText"/>
        <w:spacing w:before="99"/>
        <w:rPr>
          <w:sz w:val="20"/>
        </w:rPr>
      </w:pPr>
    </w:p>
    <w:p>
      <w:pPr>
        <w:spacing w:before="0"/>
        <w:ind w:left="305" w:right="0" w:firstLine="0"/>
        <w:jc w:val="left"/>
        <w:rPr>
          <w:sz w:val="20"/>
        </w:rPr>
      </w:pPr>
      <w:bookmarkStart w:name="_bookmark117" w:id="198"/>
      <w:bookmarkEnd w:id="198"/>
      <w:r>
        <w:rPr/>
      </w:r>
      <w:r>
        <w:rPr>
          <w:b/>
          <w:sz w:val="20"/>
        </w:rPr>
        <w:t>Figure</w:t>
      </w:r>
      <w:r>
        <w:rPr>
          <w:b/>
          <w:spacing w:val="-10"/>
          <w:sz w:val="20"/>
        </w:rPr>
        <w:t> </w:t>
      </w:r>
      <w:r>
        <w:rPr>
          <w:b/>
          <w:sz w:val="20"/>
        </w:rPr>
        <w:t>5.6:</w:t>
      </w:r>
      <w:r>
        <w:rPr>
          <w:b/>
          <w:spacing w:val="1"/>
          <w:sz w:val="20"/>
        </w:rPr>
        <w:t> </w:t>
      </w:r>
      <w:r>
        <w:rPr>
          <w:sz w:val="20"/>
        </w:rPr>
        <w:t>Weighted</w:t>
      </w:r>
      <w:r>
        <w:rPr>
          <w:spacing w:val="-9"/>
          <w:sz w:val="20"/>
        </w:rPr>
        <w:t> </w:t>
      </w:r>
      <w:r>
        <w:rPr>
          <w:sz w:val="20"/>
        </w:rPr>
        <w:t>MAE</w:t>
      </w:r>
      <w:r>
        <w:rPr>
          <w:spacing w:val="-9"/>
          <w:sz w:val="20"/>
        </w:rPr>
        <w:t> </w:t>
      </w:r>
      <w:r>
        <w:rPr>
          <w:sz w:val="20"/>
        </w:rPr>
        <w:t>under</w:t>
      </w:r>
      <w:r>
        <w:rPr>
          <w:spacing w:val="-9"/>
          <w:sz w:val="20"/>
        </w:rPr>
        <w:t> </w:t>
      </w:r>
      <w:r>
        <w:rPr>
          <w:sz w:val="20"/>
        </w:rPr>
        <w:t>linear</w:t>
      </w:r>
      <w:r>
        <w:rPr>
          <w:spacing w:val="-9"/>
          <w:sz w:val="20"/>
        </w:rPr>
        <w:t> </w:t>
      </w:r>
      <w:r>
        <w:rPr>
          <w:sz w:val="20"/>
        </w:rPr>
        <w:t>vs</w:t>
      </w:r>
      <w:r>
        <w:rPr>
          <w:spacing w:val="-9"/>
          <w:sz w:val="20"/>
        </w:rPr>
        <w:t> </w:t>
      </w:r>
      <w:r>
        <w:rPr>
          <w:sz w:val="20"/>
        </w:rPr>
        <w:t>LOESS</w:t>
      </w:r>
      <w:r>
        <w:rPr>
          <w:spacing w:val="-10"/>
          <w:sz w:val="20"/>
        </w:rPr>
        <w:t> </w:t>
      </w:r>
      <w:r>
        <w:rPr>
          <w:sz w:val="20"/>
        </w:rPr>
        <w:t>detrending</w:t>
      </w:r>
      <w:r>
        <w:rPr>
          <w:spacing w:val="-9"/>
          <w:sz w:val="20"/>
        </w:rPr>
        <w:t> </w:t>
      </w:r>
      <w:r>
        <w:rPr>
          <w:sz w:val="20"/>
        </w:rPr>
        <w:t>for</w:t>
      </w:r>
      <w:r>
        <w:rPr>
          <w:spacing w:val="-9"/>
          <w:sz w:val="20"/>
        </w:rPr>
        <w:t> </w:t>
      </w:r>
      <w:r>
        <w:rPr>
          <w:sz w:val="20"/>
        </w:rPr>
        <w:t>all</w:t>
      </w:r>
      <w:r>
        <w:rPr>
          <w:spacing w:val="-9"/>
          <w:sz w:val="20"/>
        </w:rPr>
        <w:t> </w:t>
      </w:r>
      <w:r>
        <w:rPr>
          <w:sz w:val="20"/>
        </w:rPr>
        <w:t>17</w:t>
      </w:r>
      <w:r>
        <w:rPr>
          <w:spacing w:val="-9"/>
          <w:sz w:val="20"/>
        </w:rPr>
        <w:t> </w:t>
      </w:r>
      <w:r>
        <w:rPr>
          <w:sz w:val="20"/>
        </w:rPr>
        <w:t>models,</w:t>
      </w:r>
      <w:r>
        <w:rPr>
          <w:spacing w:val="-9"/>
          <w:sz w:val="20"/>
        </w:rPr>
        <w:t> </w:t>
      </w:r>
      <w:r>
        <w:rPr>
          <w:sz w:val="20"/>
        </w:rPr>
        <w:t>Vinho</w:t>
      </w:r>
      <w:r>
        <w:rPr>
          <w:spacing w:val="-9"/>
          <w:sz w:val="20"/>
        </w:rPr>
        <w:t> </w:t>
      </w:r>
      <w:r>
        <w:rPr>
          <w:sz w:val="20"/>
        </w:rPr>
        <w:t>Verde</w:t>
      </w:r>
      <w:r>
        <w:rPr>
          <w:spacing w:val="-10"/>
          <w:sz w:val="20"/>
        </w:rPr>
        <w:t> </w:t>
      </w:r>
      <w:r>
        <w:rPr>
          <w:spacing w:val="-2"/>
          <w:sz w:val="20"/>
        </w:rPr>
        <w:t>(RVV).</w:t>
      </w:r>
    </w:p>
    <w:p>
      <w:pPr>
        <w:pStyle w:val="BodyText"/>
        <w:rPr>
          <w:sz w:val="20"/>
        </w:rPr>
      </w:pPr>
    </w:p>
    <w:p>
      <w:pPr>
        <w:pStyle w:val="BodyText"/>
        <w:spacing w:before="9"/>
        <w:rPr>
          <w:sz w:val="20"/>
        </w:rPr>
      </w:pPr>
    </w:p>
    <w:p>
      <w:pPr>
        <w:pStyle w:val="BodyText"/>
        <w:spacing w:line="312" w:lineRule="auto"/>
        <w:ind w:left="136" w:right="1529" w:firstLine="5"/>
        <w:jc w:val="both"/>
      </w:pPr>
      <w:r>
        <w:rPr/>
        <w:t>quantiles — was the worst-performing CarenR variant in both regions (rank 15; RDD 240 mhl, RVV 347 mhl). It discovers 46–146 rules per scenario, substantially more than the unsupervised </w:t>
      </w:r>
      <w:r>
        <w:rPr>
          <w:spacing w:val="-2"/>
        </w:rPr>
        <w:t>variants,</w:t>
      </w:r>
      <w:r>
        <w:rPr>
          <w:spacing w:val="-7"/>
        </w:rPr>
        <w:t> </w:t>
      </w:r>
      <w:r>
        <w:rPr>
          <w:spacing w:val="-2"/>
        </w:rPr>
        <w:t>but</w:t>
      </w:r>
      <w:r>
        <w:rPr>
          <w:spacing w:val="-7"/>
        </w:rPr>
        <w:t> </w:t>
      </w:r>
      <w:r>
        <w:rPr>
          <w:spacing w:val="-2"/>
        </w:rPr>
        <w:t>the</w:t>
      </w:r>
      <w:r>
        <w:rPr>
          <w:spacing w:val="-8"/>
        </w:rPr>
        <w:t> </w:t>
      </w:r>
      <w:r>
        <w:rPr>
          <w:spacing w:val="-2"/>
        </w:rPr>
        <w:t>rules</w:t>
      </w:r>
      <w:r>
        <w:rPr>
          <w:spacing w:val="-7"/>
        </w:rPr>
        <w:t> </w:t>
      </w:r>
      <w:r>
        <w:rPr>
          <w:spacing w:val="-2"/>
        </w:rPr>
        <w:t>overfit</w:t>
      </w:r>
      <w:r>
        <w:rPr>
          <w:spacing w:val="-7"/>
        </w:rPr>
        <w:t> </w:t>
      </w:r>
      <w:r>
        <w:rPr>
          <w:spacing w:val="-2"/>
        </w:rPr>
        <w:t>the</w:t>
      </w:r>
      <w:r>
        <w:rPr>
          <w:spacing w:val="-7"/>
        </w:rPr>
        <w:t> </w:t>
      </w:r>
      <w:r>
        <w:rPr>
          <w:spacing w:val="-2"/>
        </w:rPr>
        <w:t>training</w:t>
      </w:r>
      <w:r>
        <w:rPr>
          <w:spacing w:val="-7"/>
        </w:rPr>
        <w:t> </w:t>
      </w:r>
      <w:r>
        <w:rPr>
          <w:spacing w:val="-2"/>
        </w:rPr>
        <w:t>fold</w:t>
      </w:r>
      <w:r>
        <w:rPr>
          <w:spacing w:val="-7"/>
        </w:rPr>
        <w:t> </w:t>
      </w:r>
      <w:r>
        <w:rPr>
          <w:spacing w:val="-2"/>
        </w:rPr>
        <w:t>because</w:t>
      </w:r>
      <w:r>
        <w:rPr>
          <w:spacing w:val="-8"/>
        </w:rPr>
        <w:t> </w:t>
      </w:r>
      <w:r>
        <w:rPr>
          <w:spacing w:val="-2"/>
        </w:rPr>
        <w:t>the</w:t>
      </w:r>
      <w:r>
        <w:rPr>
          <w:spacing w:val="-7"/>
        </w:rPr>
        <w:t> </w:t>
      </w:r>
      <w:r>
        <w:rPr>
          <w:spacing w:val="-2"/>
        </w:rPr>
        <w:t>bin</w:t>
      </w:r>
      <w:r>
        <w:rPr>
          <w:spacing w:val="-8"/>
        </w:rPr>
        <w:t> </w:t>
      </w:r>
      <w:r>
        <w:rPr>
          <w:spacing w:val="-2"/>
        </w:rPr>
        <w:t>boundaries</w:t>
      </w:r>
      <w:r>
        <w:rPr>
          <w:spacing w:val="-7"/>
        </w:rPr>
        <w:t> </w:t>
      </w:r>
      <w:r>
        <w:rPr>
          <w:spacing w:val="-2"/>
        </w:rPr>
        <w:t>are</w:t>
      </w:r>
      <w:r>
        <w:rPr>
          <w:spacing w:val="-7"/>
        </w:rPr>
        <w:t> </w:t>
      </w:r>
      <w:r>
        <w:rPr>
          <w:spacing w:val="-2"/>
        </w:rPr>
        <w:t>optimised</w:t>
      </w:r>
      <w:r>
        <w:rPr>
          <w:spacing w:val="-8"/>
        </w:rPr>
        <w:t> </w:t>
      </w:r>
      <w:r>
        <w:rPr>
          <w:spacing w:val="-2"/>
        </w:rPr>
        <w:t>on</w:t>
      </w:r>
      <w:r>
        <w:rPr>
          <w:spacing w:val="-7"/>
        </w:rPr>
        <w:t> </w:t>
      </w:r>
      <w:r>
        <w:rPr>
          <w:spacing w:val="-2"/>
        </w:rPr>
        <w:t>the</w:t>
      </w:r>
      <w:r>
        <w:rPr>
          <w:spacing w:val="-8"/>
        </w:rPr>
        <w:t> </w:t>
      </w:r>
      <w:r>
        <w:rPr>
          <w:spacing w:val="-2"/>
        </w:rPr>
        <w:t>same </w:t>
      </w:r>
      <w:r>
        <w:rPr/>
        <w:t>data</w:t>
      </w:r>
      <w:r>
        <w:rPr>
          <w:spacing w:val="-14"/>
        </w:rPr>
        <w:t> </w:t>
      </w:r>
      <w:r>
        <w:rPr/>
        <w:t>used</w:t>
      </w:r>
      <w:r>
        <w:rPr>
          <w:spacing w:val="-14"/>
        </w:rPr>
        <w:t> </w:t>
      </w:r>
      <w:r>
        <w:rPr/>
        <w:t>to</w:t>
      </w:r>
      <w:r>
        <w:rPr>
          <w:spacing w:val="-14"/>
        </w:rPr>
        <w:t> </w:t>
      </w:r>
      <w:r>
        <w:rPr/>
        <w:t>assess</w:t>
      </w:r>
      <w:r>
        <w:rPr>
          <w:spacing w:val="-13"/>
        </w:rPr>
        <w:t> </w:t>
      </w:r>
      <w:r>
        <w:rPr/>
        <w:t>rule</w:t>
      </w:r>
      <w:r>
        <w:rPr>
          <w:spacing w:val="-14"/>
        </w:rPr>
        <w:t> </w:t>
      </w:r>
      <w:r>
        <w:rPr/>
        <w:t>quality.</w:t>
      </w:r>
      <w:r>
        <w:rPr>
          <w:spacing w:val="-8"/>
        </w:rPr>
        <w:t> </w:t>
      </w:r>
      <w:r>
        <w:rPr/>
        <w:t>This</w:t>
      </w:r>
      <w:r>
        <w:rPr>
          <w:spacing w:val="-14"/>
        </w:rPr>
        <w:t> </w:t>
      </w:r>
      <w:r>
        <w:rPr/>
        <w:t>is</w:t>
      </w:r>
      <w:r>
        <w:rPr>
          <w:spacing w:val="-14"/>
        </w:rPr>
        <w:t> </w:t>
      </w:r>
      <w:r>
        <w:rPr/>
        <w:t>a</w:t>
      </w:r>
      <w:r>
        <w:rPr>
          <w:spacing w:val="-13"/>
        </w:rPr>
        <w:t> </w:t>
      </w:r>
      <w:r>
        <w:rPr/>
        <w:t>form</w:t>
      </w:r>
      <w:r>
        <w:rPr>
          <w:spacing w:val="-14"/>
        </w:rPr>
        <w:t> </w:t>
      </w:r>
      <w:r>
        <w:rPr/>
        <w:t>of</w:t>
      </w:r>
      <w:r>
        <w:rPr>
          <w:spacing w:val="-14"/>
        </w:rPr>
        <w:t> </w:t>
      </w:r>
      <w:r>
        <w:rPr/>
        <w:t>target</w:t>
      </w:r>
      <w:r>
        <w:rPr>
          <w:spacing w:val="-14"/>
        </w:rPr>
        <w:t> </w:t>
      </w:r>
      <w:r>
        <w:rPr/>
        <w:t>leakage</w:t>
      </w:r>
      <w:r>
        <w:rPr>
          <w:spacing w:val="-13"/>
        </w:rPr>
        <w:t> </w:t>
      </w:r>
      <w:r>
        <w:rPr/>
        <w:t>in</w:t>
      </w:r>
      <w:r>
        <w:rPr>
          <w:spacing w:val="-14"/>
        </w:rPr>
        <w:t> </w:t>
      </w:r>
      <w:r>
        <w:rPr/>
        <w:t>the</w:t>
      </w:r>
      <w:r>
        <w:rPr>
          <w:spacing w:val="-14"/>
        </w:rPr>
        <w:t> </w:t>
      </w:r>
      <w:r>
        <w:rPr/>
        <w:t>feature</w:t>
      </w:r>
      <w:r>
        <w:rPr>
          <w:spacing w:val="-14"/>
        </w:rPr>
        <w:t> </w:t>
      </w:r>
      <w:r>
        <w:rPr/>
        <w:t>engineering</w:t>
      </w:r>
      <w:r>
        <w:rPr>
          <w:spacing w:val="-13"/>
        </w:rPr>
        <w:t> </w:t>
      </w:r>
      <w:r>
        <w:rPr/>
        <w:t>step.</w:t>
      </w:r>
      <w:r>
        <w:rPr>
          <w:spacing w:val="-4"/>
        </w:rPr>
        <w:t> </w:t>
      </w:r>
      <w:r>
        <w:rPr/>
        <w:t>The result</w:t>
      </w:r>
      <w:r>
        <w:rPr>
          <w:spacing w:val="-14"/>
        </w:rPr>
        <w:t> </w:t>
      </w:r>
      <w:r>
        <w:rPr/>
        <w:t>is</w:t>
      </w:r>
      <w:r>
        <w:rPr>
          <w:spacing w:val="-14"/>
        </w:rPr>
        <w:t> </w:t>
      </w:r>
      <w:r>
        <w:rPr/>
        <w:t>consistent</w:t>
      </w:r>
      <w:r>
        <w:rPr>
          <w:spacing w:val="-14"/>
        </w:rPr>
        <w:t> </w:t>
      </w:r>
      <w:r>
        <w:rPr/>
        <w:t>across</w:t>
      </w:r>
      <w:r>
        <w:rPr>
          <w:spacing w:val="-13"/>
        </w:rPr>
        <w:t> </w:t>
      </w:r>
      <w:r>
        <w:rPr/>
        <w:t>both</w:t>
      </w:r>
      <w:r>
        <w:rPr>
          <w:spacing w:val="-14"/>
        </w:rPr>
        <w:t> </w:t>
      </w:r>
      <w:r>
        <w:rPr/>
        <w:t>regions,</w:t>
      </w:r>
      <w:r>
        <w:rPr>
          <w:spacing w:val="-14"/>
        </w:rPr>
        <w:t> </w:t>
      </w:r>
      <w:r>
        <w:rPr/>
        <w:t>confirming</w:t>
      </w:r>
      <w:r>
        <w:rPr>
          <w:spacing w:val="-14"/>
        </w:rPr>
        <w:t> </w:t>
      </w:r>
      <w:r>
        <w:rPr/>
        <w:t>that</w:t>
      </w:r>
      <w:r>
        <w:rPr>
          <w:spacing w:val="-13"/>
        </w:rPr>
        <w:t> </w:t>
      </w:r>
      <w:r>
        <w:rPr/>
        <w:t>per-fold</w:t>
      </w:r>
      <w:r>
        <w:rPr>
          <w:spacing w:val="-14"/>
        </w:rPr>
        <w:t> </w:t>
      </w:r>
      <w:r>
        <w:rPr/>
        <w:t>supervised</w:t>
      </w:r>
      <w:r>
        <w:rPr>
          <w:spacing w:val="-14"/>
        </w:rPr>
        <w:t> </w:t>
      </w:r>
      <w:r>
        <w:rPr/>
        <w:t>discretisation</w:t>
      </w:r>
      <w:r>
        <w:rPr>
          <w:spacing w:val="-14"/>
        </w:rPr>
        <w:t> </w:t>
      </w:r>
      <w:r>
        <w:rPr/>
        <w:t>degrades out-of-sample performance regardless of climate regime.</w:t>
      </w:r>
    </w:p>
    <w:p>
      <w:pPr>
        <w:pStyle w:val="BodyText"/>
        <w:spacing w:before="223"/>
      </w:pPr>
    </w:p>
    <w:p>
      <w:pPr>
        <w:pStyle w:val="Heading2"/>
        <w:numPr>
          <w:ilvl w:val="1"/>
          <w:numId w:val="34"/>
        </w:numPr>
        <w:tabs>
          <w:tab w:pos="787" w:val="left" w:leader="none"/>
        </w:tabs>
        <w:spacing w:line="240" w:lineRule="auto" w:before="0" w:after="0"/>
        <w:ind w:left="787" w:right="0" w:hanging="645"/>
        <w:jc w:val="left"/>
      </w:pPr>
      <w:bookmarkStart w:name="5.7 Summary: Predictive Validation Asses" w:id="199"/>
      <w:bookmarkEnd w:id="199"/>
      <w:r>
        <w:rPr>
          <w:b w:val="0"/>
        </w:rPr>
      </w:r>
      <w:bookmarkStart w:name="_bookmark118" w:id="200"/>
      <w:bookmarkEnd w:id="200"/>
      <w:r>
        <w:rPr>
          <w:b w:val="0"/>
        </w:rPr>
      </w:r>
      <w:r>
        <w:rPr/>
        <w:t>Summary:</w:t>
      </w:r>
      <w:r>
        <w:rPr>
          <w:spacing w:val="36"/>
        </w:rPr>
        <w:t> </w:t>
      </w:r>
      <w:r>
        <w:rPr/>
        <w:t>Predictive</w:t>
      </w:r>
      <w:r>
        <w:rPr>
          <w:spacing w:val="15"/>
        </w:rPr>
        <w:t> </w:t>
      </w:r>
      <w:r>
        <w:rPr/>
        <w:t>Validation</w:t>
      </w:r>
      <w:r>
        <w:rPr>
          <w:spacing w:val="16"/>
        </w:rPr>
        <w:t> </w:t>
      </w:r>
      <w:r>
        <w:rPr/>
        <w:t>Assessment</w:t>
      </w:r>
      <w:r>
        <w:rPr>
          <w:spacing w:val="16"/>
        </w:rPr>
        <w:t> </w:t>
      </w:r>
      <w:r>
        <w:rPr/>
        <w:t>(Goal</w:t>
      </w:r>
      <w:r>
        <w:rPr>
          <w:spacing w:val="15"/>
        </w:rPr>
        <w:t> </w:t>
      </w:r>
      <w:r>
        <w:rPr>
          <w:spacing w:val="-5"/>
        </w:rPr>
        <w:t>2)</w:t>
      </w:r>
    </w:p>
    <w:p>
      <w:pPr>
        <w:pStyle w:val="BodyText"/>
        <w:spacing w:line="312" w:lineRule="auto" w:before="317"/>
        <w:ind w:left="134" w:right="1519" w:firstLine="7"/>
        <w:jc w:val="both"/>
      </w:pPr>
      <w:r>
        <w:rPr/>
        <w:t>No model beats Naive_Median in aggregate in either region.</w:t>
      </w:r>
      <w:r>
        <w:rPr>
          <w:spacing w:val="40"/>
        </w:rPr>
        <w:t> </w:t>
      </w:r>
      <w:r>
        <w:rPr/>
        <w:t>The best CarenR variant falls 3% </w:t>
      </w:r>
      <w:r>
        <w:rPr>
          <w:spacing w:val="-4"/>
        </w:rPr>
        <w:t>behind</w:t>
      </w:r>
      <w:r>
        <w:rPr>
          <w:spacing w:val="-10"/>
        </w:rPr>
        <w:t> </w:t>
      </w:r>
      <w:r>
        <w:rPr>
          <w:spacing w:val="-4"/>
        </w:rPr>
        <w:t>in</w:t>
      </w:r>
      <w:r>
        <w:rPr>
          <w:spacing w:val="-10"/>
        </w:rPr>
        <w:t> </w:t>
      </w:r>
      <w:r>
        <w:rPr>
          <w:spacing w:val="-4"/>
        </w:rPr>
        <w:t>RDD</w:t>
      </w:r>
      <w:r>
        <w:rPr>
          <w:spacing w:val="-10"/>
        </w:rPr>
        <w:t> </w:t>
      </w:r>
      <w:r>
        <w:rPr>
          <w:spacing w:val="-4"/>
        </w:rPr>
        <w:t>(Wilcoxon</w:t>
      </w:r>
      <w:r>
        <w:rPr>
          <w:spacing w:val="-9"/>
        </w:rPr>
        <w:t> </w:t>
      </w:r>
      <w:r>
        <w:rPr>
          <w:spacing w:val="-4"/>
        </w:rPr>
        <w:t>p</w:t>
      </w:r>
      <w:r>
        <w:rPr>
          <w:spacing w:val="-10"/>
        </w:rPr>
        <w:t> </w:t>
      </w:r>
      <w:r>
        <w:rPr>
          <w:spacing w:val="-4"/>
        </w:rPr>
        <w:t>=</w:t>
      </w:r>
      <w:r>
        <w:rPr>
          <w:spacing w:val="-10"/>
        </w:rPr>
        <w:t> </w:t>
      </w:r>
      <w:r>
        <w:rPr>
          <w:spacing w:val="-4"/>
        </w:rPr>
        <w:t>0.468)</w:t>
      </w:r>
      <w:r>
        <w:rPr>
          <w:spacing w:val="-10"/>
        </w:rPr>
        <w:t> </w:t>
      </w:r>
      <w:r>
        <w:rPr>
          <w:spacing w:val="-4"/>
        </w:rPr>
        <w:t>and</w:t>
      </w:r>
      <w:r>
        <w:rPr>
          <w:spacing w:val="-9"/>
        </w:rPr>
        <w:t> </w:t>
      </w:r>
      <w:r>
        <w:rPr>
          <w:spacing w:val="-4"/>
        </w:rPr>
        <w:t>22%</w:t>
      </w:r>
      <w:r>
        <w:rPr>
          <w:spacing w:val="-10"/>
        </w:rPr>
        <w:t> </w:t>
      </w:r>
      <w:r>
        <w:rPr>
          <w:spacing w:val="-4"/>
        </w:rPr>
        <w:t>behind</w:t>
      </w:r>
      <w:r>
        <w:rPr>
          <w:spacing w:val="-10"/>
        </w:rPr>
        <w:t> </w:t>
      </w:r>
      <w:r>
        <w:rPr>
          <w:spacing w:val="-4"/>
        </w:rPr>
        <w:t>in</w:t>
      </w:r>
      <w:r>
        <w:rPr>
          <w:spacing w:val="-10"/>
        </w:rPr>
        <w:t> </w:t>
      </w:r>
      <w:r>
        <w:rPr>
          <w:spacing w:val="-4"/>
        </w:rPr>
        <w:t>RVV.</w:t>
      </w:r>
      <w:r>
        <w:rPr>
          <w:spacing w:val="-9"/>
        </w:rPr>
        <w:t> </w:t>
      </w:r>
      <w:r>
        <w:rPr>
          <w:spacing w:val="-4"/>
        </w:rPr>
        <w:t>The</w:t>
      </w:r>
      <w:r>
        <w:rPr>
          <w:spacing w:val="-10"/>
        </w:rPr>
        <w:t> </w:t>
      </w:r>
      <w:r>
        <w:rPr>
          <w:spacing w:val="-4"/>
        </w:rPr>
        <w:t>22%</w:t>
      </w:r>
      <w:r>
        <w:rPr>
          <w:spacing w:val="-10"/>
        </w:rPr>
        <w:t> </w:t>
      </w:r>
      <w:r>
        <w:rPr>
          <w:spacing w:val="-4"/>
        </w:rPr>
        <w:t>gap</w:t>
      </w:r>
      <w:r>
        <w:rPr>
          <w:spacing w:val="-10"/>
        </w:rPr>
        <w:t> </w:t>
      </w:r>
      <w:r>
        <w:rPr>
          <w:spacing w:val="-4"/>
        </w:rPr>
        <w:t>in</w:t>
      </w:r>
      <w:r>
        <w:rPr>
          <w:spacing w:val="-9"/>
        </w:rPr>
        <w:t> </w:t>
      </w:r>
      <w:r>
        <w:rPr>
          <w:spacing w:val="-4"/>
        </w:rPr>
        <w:t>RVV</w:t>
      </w:r>
      <w:r>
        <w:rPr>
          <w:spacing w:val="-10"/>
        </w:rPr>
        <w:t> </w:t>
      </w:r>
      <w:r>
        <w:rPr>
          <w:spacing w:val="-4"/>
        </w:rPr>
        <w:t>is</w:t>
      </w:r>
      <w:r>
        <w:rPr>
          <w:spacing w:val="-10"/>
        </w:rPr>
        <w:t> </w:t>
      </w:r>
      <w:r>
        <w:rPr>
          <w:spacing w:val="-4"/>
        </w:rPr>
        <w:t>accompanied </w:t>
      </w:r>
      <w:r>
        <w:rPr/>
        <w:t>by</w:t>
      </w:r>
      <w:r>
        <w:rPr>
          <w:spacing w:val="-9"/>
        </w:rPr>
        <w:t> </w:t>
      </w:r>
      <w:r>
        <w:rPr/>
        <w:t>a</w:t>
      </w:r>
      <w:r>
        <w:rPr>
          <w:spacing w:val="-9"/>
        </w:rPr>
        <w:t> </w:t>
      </w:r>
      <w:r>
        <w:rPr/>
        <w:t>confirmatory</w:t>
      </w:r>
      <w:r>
        <w:rPr>
          <w:spacing w:val="-9"/>
        </w:rPr>
        <w:t> </w:t>
      </w:r>
      <w:r>
        <w:rPr/>
        <w:t>finding</w:t>
      </w:r>
      <w:r>
        <w:rPr>
          <w:spacing w:val="-9"/>
        </w:rPr>
        <w:t> </w:t>
      </w:r>
      <w:r>
        <w:rPr/>
        <w:t>that</w:t>
      </w:r>
      <w:r>
        <w:rPr>
          <w:spacing w:val="-9"/>
        </w:rPr>
        <w:t> </w:t>
      </w:r>
      <w:r>
        <w:rPr/>
        <w:t>CarenR’s</w:t>
      </w:r>
      <w:r>
        <w:rPr>
          <w:spacing w:val="-9"/>
        </w:rPr>
        <w:t> </w:t>
      </w:r>
      <w:r>
        <w:rPr/>
        <w:t>rules</w:t>
      </w:r>
      <w:r>
        <w:rPr>
          <w:spacing w:val="-9"/>
        </w:rPr>
        <w:t> </w:t>
      </w:r>
      <w:r>
        <w:rPr/>
        <w:t>actively</w:t>
      </w:r>
      <w:r>
        <w:rPr>
          <w:spacing w:val="-9"/>
        </w:rPr>
        <w:t> </w:t>
      </w:r>
      <w:r>
        <w:rPr/>
        <w:t>harm</w:t>
      </w:r>
      <w:r>
        <w:rPr>
          <w:spacing w:val="-9"/>
        </w:rPr>
        <w:t> </w:t>
      </w:r>
      <w:r>
        <w:rPr/>
        <w:t>prediction</w:t>
      </w:r>
      <w:r>
        <w:rPr>
          <w:spacing w:val="-9"/>
        </w:rPr>
        <w:t> </w:t>
      </w:r>
      <w:r>
        <w:rPr/>
        <w:t>when</w:t>
      </w:r>
      <w:r>
        <w:rPr>
          <w:spacing w:val="-9"/>
        </w:rPr>
        <w:t> </w:t>
      </w:r>
      <w:r>
        <w:rPr/>
        <w:t>they</w:t>
      </w:r>
      <w:r>
        <w:rPr>
          <w:spacing w:val="-9"/>
        </w:rPr>
        <w:t> </w:t>
      </w:r>
      <w:r>
        <w:rPr/>
        <w:t>fire</w:t>
      </w:r>
      <w:r>
        <w:rPr>
          <w:spacing w:val="-9"/>
        </w:rPr>
        <w:t> </w:t>
      </w:r>
      <w:r>
        <w:rPr/>
        <w:t>(p</w:t>
      </w:r>
      <w:r>
        <w:rPr>
          <w:spacing w:val="-9"/>
        </w:rPr>
        <w:t> </w:t>
      </w:r>
      <w:r>
        <w:rPr/>
        <w:t>=</w:t>
      </w:r>
      <w:r>
        <w:rPr>
          <w:spacing w:val="-9"/>
        </w:rPr>
        <w:t> </w:t>
      </w:r>
      <w:r>
        <w:rPr/>
        <w:t>0.004). </w:t>
      </w:r>
      <w:r>
        <w:rPr>
          <w:spacing w:val="-2"/>
        </w:rPr>
        <w:t>A</w:t>
      </w:r>
      <w:r>
        <w:rPr>
          <w:spacing w:val="-9"/>
        </w:rPr>
        <w:t> </w:t>
      </w:r>
      <w:r>
        <w:rPr>
          <w:spacing w:val="-2"/>
        </w:rPr>
        <w:t>post-hoc</w:t>
      </w:r>
      <w:r>
        <w:rPr>
          <w:spacing w:val="-10"/>
        </w:rPr>
        <w:t> </w:t>
      </w:r>
      <w:r>
        <w:rPr>
          <w:spacing w:val="-2"/>
        </w:rPr>
        <w:t>exploratory</w:t>
      </w:r>
      <w:r>
        <w:rPr>
          <w:spacing w:val="-10"/>
        </w:rPr>
        <w:t> </w:t>
      </w:r>
      <w:r>
        <w:rPr>
          <w:spacing w:val="-2"/>
        </w:rPr>
        <w:t>analysis</w:t>
      </w:r>
      <w:r>
        <w:rPr>
          <w:spacing w:val="-9"/>
        </w:rPr>
        <w:t> </w:t>
      </w:r>
      <w:r>
        <w:rPr>
          <w:spacing w:val="-2"/>
        </w:rPr>
        <w:t>(p</w:t>
      </w:r>
      <w:r>
        <w:rPr>
          <w:spacing w:val="-9"/>
        </w:rPr>
        <w:t> </w:t>
      </w:r>
      <w:r>
        <w:rPr>
          <w:spacing w:val="-2"/>
        </w:rPr>
        <w:t>=</w:t>
      </w:r>
      <w:r>
        <w:rPr>
          <w:spacing w:val="-10"/>
        </w:rPr>
        <w:t> </w:t>
      </w:r>
      <w:r>
        <w:rPr>
          <w:spacing w:val="-2"/>
        </w:rPr>
        <w:t>0.031,</w:t>
      </w:r>
      <w:r>
        <w:rPr>
          <w:spacing w:val="-9"/>
        </w:rPr>
        <w:t> </w:t>
      </w:r>
      <w:r>
        <w:rPr>
          <w:spacing w:val="-2"/>
        </w:rPr>
        <w:t>n</w:t>
      </w:r>
      <w:r>
        <w:rPr>
          <w:spacing w:val="-9"/>
        </w:rPr>
        <w:t> </w:t>
      </w:r>
      <w:r>
        <w:rPr>
          <w:spacing w:val="-2"/>
        </w:rPr>
        <w:t>=</w:t>
      </w:r>
      <w:r>
        <w:rPr>
          <w:spacing w:val="-10"/>
        </w:rPr>
        <w:t> </w:t>
      </w:r>
      <w:r>
        <w:rPr>
          <w:spacing w:val="-2"/>
        </w:rPr>
        <w:t>5</w:t>
      </w:r>
      <w:r>
        <w:rPr>
          <w:spacing w:val="-9"/>
        </w:rPr>
        <w:t> </w:t>
      </w:r>
      <w:r>
        <w:rPr>
          <w:spacing w:val="-2"/>
        </w:rPr>
        <w:t>scenarios)</w:t>
      </w:r>
      <w:r>
        <w:rPr>
          <w:spacing w:val="-9"/>
        </w:rPr>
        <w:t> </w:t>
      </w:r>
      <w:r>
        <w:rPr>
          <w:spacing w:val="-2"/>
        </w:rPr>
        <w:t>suggests</w:t>
      </w:r>
      <w:r>
        <w:rPr>
          <w:spacing w:val="-9"/>
        </w:rPr>
        <w:t> </w:t>
      </w:r>
      <w:r>
        <w:rPr>
          <w:spacing w:val="-2"/>
        </w:rPr>
        <w:t>CarenR</w:t>
      </w:r>
      <w:r>
        <w:rPr>
          <w:spacing w:val="-9"/>
        </w:rPr>
        <w:t> </w:t>
      </w:r>
      <w:r>
        <w:rPr>
          <w:spacing w:val="-2"/>
        </w:rPr>
        <w:t>may</w:t>
      </w:r>
      <w:r>
        <w:rPr>
          <w:spacing w:val="-10"/>
        </w:rPr>
        <w:t> </w:t>
      </w:r>
      <w:r>
        <w:rPr>
          <w:spacing w:val="-2"/>
        </w:rPr>
        <w:t>be</w:t>
      </w:r>
      <w:r>
        <w:rPr>
          <w:spacing w:val="-9"/>
        </w:rPr>
        <w:t> </w:t>
      </w:r>
      <w:r>
        <w:rPr>
          <w:spacing w:val="-2"/>
        </w:rPr>
        <w:t>competitive</w:t>
      </w:r>
      <w:r>
        <w:rPr>
          <w:spacing w:val="-9"/>
        </w:rPr>
        <w:t> </w:t>
      </w:r>
      <w:r>
        <w:rPr>
          <w:spacing w:val="-2"/>
        </w:rPr>
        <w:t>in </w:t>
      </w:r>
      <w:r>
        <w:rPr/>
        <w:t>the</w:t>
      </w:r>
      <w:r>
        <w:rPr>
          <w:spacing w:val="-10"/>
        </w:rPr>
        <w:t> </w:t>
      </w:r>
      <w:r>
        <w:rPr/>
        <w:t>Douro</w:t>
      </w:r>
      <w:r>
        <w:rPr>
          <w:spacing w:val="-10"/>
        </w:rPr>
        <w:t> </w:t>
      </w:r>
      <w:r>
        <w:rPr/>
        <w:t>when</w:t>
      </w:r>
      <w:r>
        <w:rPr>
          <w:spacing w:val="-10"/>
        </w:rPr>
        <w:t> </w:t>
      </w:r>
      <w:r>
        <w:rPr/>
        <w:t>training</w:t>
      </w:r>
      <w:r>
        <w:rPr>
          <w:spacing w:val="-10"/>
        </w:rPr>
        <w:t> </w:t>
      </w:r>
      <w:r>
        <w:rPr/>
        <w:t>data</w:t>
      </w:r>
      <w:r>
        <w:rPr>
          <w:spacing w:val="-10"/>
        </w:rPr>
        <w:t> </w:t>
      </w:r>
      <w:r>
        <w:rPr/>
        <w:t>is</w:t>
      </w:r>
      <w:r>
        <w:rPr>
          <w:spacing w:val="-10"/>
        </w:rPr>
        <w:t> </w:t>
      </w:r>
      <w:r>
        <w:rPr/>
        <w:t>era-balanced,</w:t>
      </w:r>
      <w:r>
        <w:rPr>
          <w:spacing w:val="-10"/>
        </w:rPr>
        <w:t> </w:t>
      </w:r>
      <w:r>
        <w:rPr/>
        <w:t>but</w:t>
      </w:r>
      <w:r>
        <w:rPr>
          <w:spacing w:val="-10"/>
        </w:rPr>
        <w:t> </w:t>
      </w:r>
      <w:r>
        <w:rPr/>
        <w:t>this</w:t>
      </w:r>
      <w:r>
        <w:rPr>
          <w:spacing w:val="-10"/>
        </w:rPr>
        <w:t> </w:t>
      </w:r>
      <w:r>
        <w:rPr/>
        <w:t>observation</w:t>
      </w:r>
      <w:r>
        <w:rPr>
          <w:spacing w:val="-10"/>
        </w:rPr>
        <w:t> </w:t>
      </w:r>
      <w:r>
        <w:rPr/>
        <w:t>requires</w:t>
      </w:r>
      <w:r>
        <w:rPr>
          <w:spacing w:val="-10"/>
        </w:rPr>
        <w:t> </w:t>
      </w:r>
      <w:r>
        <w:rPr/>
        <w:t>independent</w:t>
      </w:r>
      <w:r>
        <w:rPr>
          <w:spacing w:val="-10"/>
        </w:rPr>
        <w:t> </w:t>
      </w:r>
      <w:r>
        <w:rPr/>
        <w:t>validation before</w:t>
      </w:r>
      <w:r>
        <w:rPr>
          <w:spacing w:val="26"/>
        </w:rPr>
        <w:t> </w:t>
      </w:r>
      <w:r>
        <w:rPr/>
        <w:t>it</w:t>
      </w:r>
      <w:r>
        <w:rPr>
          <w:spacing w:val="26"/>
        </w:rPr>
        <w:t> </w:t>
      </w:r>
      <w:r>
        <w:rPr/>
        <w:t>can be</w:t>
      </w:r>
      <w:r>
        <w:rPr>
          <w:spacing w:val="26"/>
        </w:rPr>
        <w:t> </w:t>
      </w:r>
      <w:r>
        <w:rPr/>
        <w:t>treated</w:t>
      </w:r>
      <w:r>
        <w:rPr>
          <w:spacing w:val="26"/>
        </w:rPr>
        <w:t> </w:t>
      </w:r>
      <w:r>
        <w:rPr/>
        <w:t>as</w:t>
      </w:r>
      <w:r>
        <w:rPr>
          <w:spacing w:val="26"/>
        </w:rPr>
        <w:t> </w:t>
      </w:r>
      <w:r>
        <w:rPr/>
        <w:t>a</w:t>
      </w:r>
      <w:r>
        <w:rPr>
          <w:spacing w:val="26"/>
        </w:rPr>
        <w:t> </w:t>
      </w:r>
      <w:r>
        <w:rPr/>
        <w:t>robust</w:t>
      </w:r>
      <w:r>
        <w:rPr>
          <w:spacing w:val="26"/>
        </w:rPr>
        <w:t> </w:t>
      </w:r>
      <w:r>
        <w:rPr/>
        <w:t>finding.</w:t>
      </w:r>
      <w:r>
        <w:rPr>
          <w:spacing w:val="80"/>
        </w:rPr>
        <w:t> </w:t>
      </w:r>
      <w:r>
        <w:rPr/>
        <w:t>Goal</w:t>
      </w:r>
      <w:r>
        <w:rPr>
          <w:spacing w:val="26"/>
        </w:rPr>
        <w:t> </w:t>
      </w:r>
      <w:r>
        <w:rPr/>
        <w:t>2</w:t>
      </w:r>
      <w:r>
        <w:rPr>
          <w:spacing w:val="26"/>
        </w:rPr>
        <w:t> </w:t>
      </w:r>
      <w:r>
        <w:rPr/>
        <w:t>is</w:t>
      </w:r>
      <w:r>
        <w:rPr>
          <w:spacing w:val="26"/>
        </w:rPr>
        <w:t> </w:t>
      </w:r>
      <w:r>
        <w:rPr/>
        <w:t>assessed</w:t>
      </w:r>
      <w:r>
        <w:rPr>
          <w:spacing w:val="26"/>
        </w:rPr>
        <w:t> </w:t>
      </w:r>
      <w:r>
        <w:rPr/>
        <w:t>as</w:t>
      </w:r>
      <w:r>
        <w:rPr>
          <w:spacing w:val="26"/>
        </w:rPr>
        <w:t> </w:t>
      </w:r>
      <w:r>
        <w:rPr/>
        <w:t>not</w:t>
      </w:r>
      <w:r>
        <w:rPr>
          <w:spacing w:val="26"/>
        </w:rPr>
        <w:t> </w:t>
      </w:r>
      <w:r>
        <w:rPr/>
        <w:t>achieved</w:t>
      </w:r>
      <w:r>
        <w:rPr>
          <w:spacing w:val="26"/>
        </w:rPr>
        <w:t> </w:t>
      </w:r>
      <w:r>
        <w:rPr/>
        <w:t>in aggregate, with</w:t>
      </w:r>
      <w:r>
        <w:rPr>
          <w:spacing w:val="-10"/>
        </w:rPr>
        <w:t> </w:t>
      </w:r>
      <w:r>
        <w:rPr/>
        <w:t>a</w:t>
      </w:r>
      <w:r>
        <w:rPr>
          <w:spacing w:val="-10"/>
        </w:rPr>
        <w:t> </w:t>
      </w:r>
      <w:r>
        <w:rPr/>
        <w:t>conditional</w:t>
      </w:r>
      <w:r>
        <w:rPr>
          <w:spacing w:val="-10"/>
        </w:rPr>
        <w:t> </w:t>
      </w:r>
      <w:r>
        <w:rPr/>
        <w:t>observation</w:t>
      </w:r>
      <w:r>
        <w:rPr>
          <w:spacing w:val="-10"/>
        </w:rPr>
        <w:t> </w:t>
      </w:r>
      <w:r>
        <w:rPr/>
        <w:t>in</w:t>
      </w:r>
      <w:r>
        <w:rPr>
          <w:spacing w:val="-10"/>
        </w:rPr>
        <w:t> </w:t>
      </w:r>
      <w:r>
        <w:rPr/>
        <w:t>the</w:t>
      </w:r>
      <w:r>
        <w:rPr>
          <w:spacing w:val="-10"/>
        </w:rPr>
        <w:t> </w:t>
      </w:r>
      <w:r>
        <w:rPr/>
        <w:t>RDD</w:t>
      </w:r>
      <w:r>
        <w:rPr>
          <w:spacing w:val="-10"/>
        </w:rPr>
        <w:t> </w:t>
      </w:r>
      <w:r>
        <w:rPr/>
        <w:t>era-balanced</w:t>
      </w:r>
      <w:r>
        <w:rPr>
          <w:spacing w:val="-10"/>
        </w:rPr>
        <w:t> </w:t>
      </w:r>
      <w:r>
        <w:rPr/>
        <w:t>window</w:t>
      </w:r>
      <w:r>
        <w:rPr>
          <w:spacing w:val="-10"/>
        </w:rPr>
        <w:t> </w:t>
      </w:r>
      <w:r>
        <w:rPr/>
        <w:t>that</w:t>
      </w:r>
      <w:r>
        <w:rPr>
          <w:spacing w:val="-10"/>
        </w:rPr>
        <w:t> </w:t>
      </w:r>
      <w:r>
        <w:rPr/>
        <w:t>motivates</w:t>
      </w:r>
      <w:r>
        <w:rPr>
          <w:spacing w:val="-10"/>
        </w:rPr>
        <w:t> </w:t>
      </w:r>
      <w:r>
        <w:rPr/>
        <w:t>future</w:t>
      </w:r>
      <w:r>
        <w:rPr>
          <w:spacing w:val="-10"/>
        </w:rPr>
        <w:t> </w:t>
      </w:r>
      <w:r>
        <w:rPr/>
        <w:t>prospective </w:t>
      </w:r>
      <w:r>
        <w:rPr>
          <w:spacing w:val="-2"/>
        </w:rPr>
        <w:t>investigation.</w:t>
      </w:r>
    </w:p>
    <w:p>
      <w:pPr>
        <w:pStyle w:val="BodyText"/>
        <w:spacing w:before="223"/>
      </w:pPr>
    </w:p>
    <w:p>
      <w:pPr>
        <w:pStyle w:val="Heading2"/>
        <w:numPr>
          <w:ilvl w:val="1"/>
          <w:numId w:val="34"/>
        </w:numPr>
        <w:tabs>
          <w:tab w:pos="787" w:val="left" w:leader="none"/>
        </w:tabs>
        <w:spacing w:line="240" w:lineRule="auto" w:before="0" w:after="0"/>
        <w:ind w:left="787" w:right="0" w:hanging="645"/>
        <w:jc w:val="left"/>
      </w:pPr>
      <w:bookmarkStart w:name="5.8 Per-Scenario MAE: Douro (RDD)" w:id="201"/>
      <w:bookmarkEnd w:id="201"/>
      <w:r>
        <w:rPr>
          <w:b w:val="0"/>
        </w:rPr>
      </w:r>
      <w:bookmarkStart w:name="_bookmark119" w:id="202"/>
      <w:bookmarkEnd w:id="202"/>
      <w:r>
        <w:rPr>
          <w:b w:val="0"/>
        </w:rPr>
      </w:r>
      <w:r>
        <w:rPr/>
        <w:t>Per-Scenario</w:t>
      </w:r>
      <w:r>
        <w:rPr>
          <w:spacing w:val="13"/>
        </w:rPr>
        <w:t> </w:t>
      </w:r>
      <w:r>
        <w:rPr/>
        <w:t>MAE:</w:t>
      </w:r>
      <w:r>
        <w:rPr>
          <w:spacing w:val="14"/>
        </w:rPr>
        <w:t> </w:t>
      </w:r>
      <w:r>
        <w:rPr/>
        <w:t>Douro</w:t>
      </w:r>
      <w:r>
        <w:rPr>
          <w:spacing w:val="14"/>
        </w:rPr>
        <w:t> </w:t>
      </w:r>
      <w:r>
        <w:rPr>
          <w:spacing w:val="-2"/>
        </w:rPr>
        <w:t>(RDD)</w:t>
      </w:r>
    </w:p>
    <w:p>
      <w:pPr>
        <w:pStyle w:val="BodyText"/>
        <w:spacing w:line="312" w:lineRule="auto" w:before="317"/>
        <w:ind w:left="142" w:right="1546" w:hanging="7"/>
        <w:jc w:val="both"/>
      </w:pPr>
      <w:r>
        <w:rPr/>
        <w:t>Table </w:t>
      </w:r>
      <w:hyperlink w:history="true" w:anchor="_bookmark120">
        <w:r>
          <w:rPr>
            <w:color w:val="8B2C18"/>
          </w:rPr>
          <w:t>5.8</w:t>
        </w:r>
      </w:hyperlink>
      <w:r>
        <w:rPr>
          <w:color w:val="8B2C18"/>
        </w:rPr>
        <w:t> </w:t>
      </w:r>
      <w:r>
        <w:rPr/>
        <w:t>presents the complete per-scenario MAE values for Naive_Median and CarenR_Dist_ Eta2</w:t>
      </w:r>
      <w:r>
        <w:rPr>
          <w:spacing w:val="-7"/>
        </w:rPr>
        <w:t> </w:t>
      </w:r>
      <w:r>
        <w:rPr/>
        <w:t>across</w:t>
      </w:r>
      <w:r>
        <w:rPr>
          <w:spacing w:val="-7"/>
        </w:rPr>
        <w:t> </w:t>
      </w:r>
      <w:r>
        <w:rPr/>
        <w:t>all</w:t>
      </w:r>
      <w:r>
        <w:rPr>
          <w:spacing w:val="-7"/>
        </w:rPr>
        <w:t> </w:t>
      </w:r>
      <w:r>
        <w:rPr/>
        <w:t>18</w:t>
      </w:r>
      <w:r>
        <w:rPr>
          <w:spacing w:val="-7"/>
        </w:rPr>
        <w:t> </w:t>
      </w:r>
      <w:r>
        <w:rPr/>
        <w:t>RDD</w:t>
      </w:r>
      <w:r>
        <w:rPr>
          <w:spacing w:val="-7"/>
        </w:rPr>
        <w:t> </w:t>
      </w:r>
      <w:r>
        <w:rPr/>
        <w:t>scenarios. The</w:t>
      </w:r>
      <w:r>
        <w:rPr>
          <w:spacing w:val="-7"/>
        </w:rPr>
        <w:t> </w:t>
      </w:r>
      <w:r>
        <w:rPr/>
        <w:t>gap</w:t>
      </w:r>
      <w:r>
        <w:rPr>
          <w:spacing w:val="-7"/>
        </w:rPr>
        <w:t> </w:t>
      </w:r>
      <w:r>
        <w:rPr/>
        <w:t>column</w:t>
      </w:r>
      <w:r>
        <w:rPr>
          <w:spacing w:val="-7"/>
        </w:rPr>
        <w:t> </w:t>
      </w:r>
      <w:r>
        <w:rPr/>
        <w:t>(positive</w:t>
      </w:r>
      <w:r>
        <w:rPr>
          <w:spacing w:val="-7"/>
        </w:rPr>
        <w:t> </w:t>
      </w:r>
      <w:r>
        <w:rPr/>
        <w:t>=</w:t>
      </w:r>
      <w:r>
        <w:rPr>
          <w:spacing w:val="-7"/>
        </w:rPr>
        <w:t> </w:t>
      </w:r>
      <w:r>
        <w:rPr/>
        <w:t>CarenR</w:t>
      </w:r>
      <w:r>
        <w:rPr>
          <w:spacing w:val="-7"/>
        </w:rPr>
        <w:t> </w:t>
      </w:r>
      <w:r>
        <w:rPr/>
        <w:t>worse,</w:t>
      </w:r>
      <w:r>
        <w:rPr>
          <w:spacing w:val="-7"/>
        </w:rPr>
        <w:t> </w:t>
      </w:r>
      <w:r>
        <w:rPr/>
        <w:t>negative</w:t>
      </w:r>
      <w:r>
        <w:rPr>
          <w:spacing w:val="-7"/>
        </w:rPr>
        <w:t> </w:t>
      </w:r>
      <w:r>
        <w:rPr/>
        <w:t>=</w:t>
      </w:r>
      <w:r>
        <w:rPr>
          <w:spacing w:val="-7"/>
        </w:rPr>
        <w:t> </w:t>
      </w:r>
      <w:r>
        <w:rPr/>
        <w:t>CarenR better)</w:t>
      </w:r>
      <w:r>
        <w:rPr>
          <w:spacing w:val="-9"/>
        </w:rPr>
        <w:t> </w:t>
      </w:r>
      <w:r>
        <w:rPr/>
        <w:t>reveals</w:t>
      </w:r>
      <w:r>
        <w:rPr>
          <w:spacing w:val="-8"/>
        </w:rPr>
        <w:t> </w:t>
      </w:r>
      <w:r>
        <w:rPr/>
        <w:t>the</w:t>
      </w:r>
      <w:r>
        <w:rPr>
          <w:spacing w:val="-8"/>
        </w:rPr>
        <w:t> </w:t>
      </w:r>
      <w:r>
        <w:rPr/>
        <w:t>era-composition</w:t>
      </w:r>
      <w:r>
        <w:rPr>
          <w:spacing w:val="-8"/>
        </w:rPr>
        <w:t> </w:t>
      </w:r>
      <w:r>
        <w:rPr/>
        <w:t>pattern</w:t>
      </w:r>
      <w:r>
        <w:rPr>
          <w:spacing w:val="-8"/>
        </w:rPr>
        <w:t> </w:t>
      </w:r>
      <w:r>
        <w:rPr/>
        <w:t>described</w:t>
      </w:r>
      <w:r>
        <w:rPr>
          <w:spacing w:val="-9"/>
        </w:rPr>
        <w:t> </w:t>
      </w:r>
      <w:r>
        <w:rPr/>
        <w:t>in</w:t>
      </w:r>
      <w:r>
        <w:rPr>
          <w:spacing w:val="-8"/>
        </w:rPr>
        <w:t> </w:t>
      </w:r>
      <w:r>
        <w:rPr/>
        <w:t>Section</w:t>
      </w:r>
      <w:r>
        <w:rPr>
          <w:spacing w:val="-8"/>
        </w:rPr>
        <w:t> </w:t>
      </w:r>
      <w:hyperlink w:history="true" w:anchor="_bookmark103">
        <w:r>
          <w:rPr>
            <w:color w:val="8B2C18"/>
          </w:rPr>
          <w:t>5.2</w:t>
        </w:r>
      </w:hyperlink>
      <w:r>
        <w:rPr/>
        <w:t>.</w:t>
      </w:r>
      <w:r>
        <w:rPr>
          <w:spacing w:val="3"/>
        </w:rPr>
        <w:t> </w:t>
      </w:r>
      <w:r>
        <w:rPr/>
        <w:t>Scenarios</w:t>
      </w:r>
      <w:r>
        <w:rPr>
          <w:spacing w:val="-8"/>
        </w:rPr>
        <w:t> </w:t>
      </w:r>
      <w:r>
        <w:rPr/>
        <w:t>10–14,</w:t>
      </w:r>
      <w:r>
        <w:rPr>
          <w:spacing w:val="-8"/>
        </w:rPr>
        <w:t> </w:t>
      </w:r>
      <w:r>
        <w:rPr>
          <w:spacing w:val="-2"/>
        </w:rPr>
        <w:t>highlighted</w:t>
      </w:r>
    </w:p>
    <w:p>
      <w:pPr>
        <w:pStyle w:val="BodyText"/>
        <w:spacing w:after="0" w:line="312" w:lineRule="auto"/>
        <w:jc w:val="both"/>
        <w:sectPr>
          <w:pgSz w:w="11910" w:h="16840"/>
          <w:pgMar w:header="1160" w:footer="0" w:top="1420" w:bottom="280" w:left="1275" w:right="425"/>
        </w:sectPr>
      </w:pPr>
    </w:p>
    <w:p>
      <w:pPr>
        <w:pStyle w:val="BodyText"/>
      </w:pPr>
    </w:p>
    <w:p>
      <w:pPr>
        <w:pStyle w:val="BodyText"/>
        <w:spacing w:before="25"/>
      </w:pPr>
    </w:p>
    <w:p>
      <w:pPr>
        <w:pStyle w:val="BodyText"/>
        <w:spacing w:line="312" w:lineRule="auto" w:before="1"/>
        <w:ind w:left="709" w:right="990"/>
        <w:jc w:val="both"/>
      </w:pPr>
      <w:r>
        <w:rPr/>
        <w:t>in green, are the five consecutive era-balanced scenarios where CarenR outperforms the naive baseline. The</w:t>
      </w:r>
      <w:r>
        <w:rPr>
          <w:spacing w:val="-4"/>
        </w:rPr>
        <w:t> </w:t>
      </w:r>
      <w:r>
        <w:rPr/>
        <w:t>training</w:t>
      </w:r>
      <w:r>
        <w:rPr>
          <w:spacing w:val="-4"/>
        </w:rPr>
        <w:t> </w:t>
      </w:r>
      <w:r>
        <w:rPr/>
        <w:t>period</w:t>
      </w:r>
      <w:r>
        <w:rPr>
          <w:spacing w:val="-4"/>
        </w:rPr>
        <w:t> </w:t>
      </w:r>
      <w:r>
        <w:rPr/>
        <w:t>for</w:t>
      </w:r>
      <w:r>
        <w:rPr>
          <w:spacing w:val="-4"/>
        </w:rPr>
        <w:t> </w:t>
      </w:r>
      <w:r>
        <w:rPr/>
        <w:t>each</w:t>
      </w:r>
      <w:r>
        <w:rPr>
          <w:spacing w:val="-4"/>
        </w:rPr>
        <w:t> </w:t>
      </w:r>
      <w:r>
        <w:rPr/>
        <w:t>scenario</w:t>
      </w:r>
      <w:r>
        <w:rPr>
          <w:spacing w:val="-4"/>
        </w:rPr>
        <w:t> </w:t>
      </w:r>
      <w:r>
        <w:rPr/>
        <w:t>is</w:t>
      </w:r>
      <w:r>
        <w:rPr>
          <w:spacing w:val="-4"/>
        </w:rPr>
        <w:t> </w:t>
      </w:r>
      <w:r>
        <w:rPr/>
        <w:t>1934</w:t>
      </w:r>
      <w:r>
        <w:rPr>
          <w:spacing w:val="-4"/>
        </w:rPr>
        <w:t> </w:t>
      </w:r>
      <w:r>
        <w:rPr/>
        <w:t>through</w:t>
      </w:r>
      <w:r>
        <w:rPr>
          <w:spacing w:val="-4"/>
        </w:rPr>
        <w:t> </w:t>
      </w:r>
      <w:r>
        <w:rPr/>
        <w:t>the</w:t>
      </w:r>
      <w:r>
        <w:rPr>
          <w:spacing w:val="-4"/>
        </w:rPr>
        <w:t> </w:t>
      </w:r>
      <w:r>
        <w:rPr/>
        <w:t>year</w:t>
      </w:r>
      <w:r>
        <w:rPr>
          <w:spacing w:val="-4"/>
        </w:rPr>
        <w:t> </w:t>
      </w:r>
      <w:r>
        <w:rPr/>
        <w:t>indicated;</w:t>
      </w:r>
      <w:r>
        <w:rPr>
          <w:spacing w:val="-4"/>
        </w:rPr>
        <w:t> </w:t>
      </w:r>
      <w:r>
        <w:rPr/>
        <w:t>the</w:t>
      </w:r>
      <w:r>
        <w:rPr>
          <w:spacing w:val="-4"/>
        </w:rPr>
        <w:t> </w:t>
      </w:r>
      <w:r>
        <w:rPr/>
        <w:t>test</w:t>
      </w:r>
      <w:r>
        <w:rPr>
          <w:spacing w:val="-4"/>
        </w:rPr>
        <w:t> </w:t>
      </w:r>
      <w:r>
        <w:rPr/>
        <w:t>period begins the year immediately following and extends to 2022.</w:t>
      </w:r>
    </w:p>
    <w:p>
      <w:pPr>
        <w:spacing w:before="184"/>
        <w:ind w:left="920" w:right="0" w:firstLine="0"/>
        <w:jc w:val="left"/>
        <w:rPr>
          <w:sz w:val="20"/>
        </w:rPr>
      </w:pPr>
      <w:bookmarkStart w:name="_bookmark120" w:id="203"/>
      <w:bookmarkEnd w:id="203"/>
      <w:r>
        <w:rPr/>
      </w:r>
      <w:r>
        <w:rPr>
          <w:b/>
          <w:sz w:val="20"/>
        </w:rPr>
        <w:t>Table</w:t>
      </w:r>
      <w:r>
        <w:rPr>
          <w:b/>
          <w:spacing w:val="-13"/>
          <w:sz w:val="20"/>
        </w:rPr>
        <w:t> </w:t>
      </w:r>
      <w:r>
        <w:rPr>
          <w:b/>
          <w:sz w:val="20"/>
        </w:rPr>
        <w:t>5.8:</w:t>
      </w:r>
      <w:r>
        <w:rPr>
          <w:b/>
          <w:spacing w:val="-6"/>
          <w:sz w:val="20"/>
        </w:rPr>
        <w:t> </w:t>
      </w:r>
      <w:r>
        <w:rPr>
          <w:sz w:val="20"/>
        </w:rPr>
        <w:t>Per-scenario</w:t>
      </w:r>
      <w:r>
        <w:rPr>
          <w:spacing w:val="-9"/>
          <w:sz w:val="20"/>
        </w:rPr>
        <w:t> </w:t>
      </w:r>
      <w:r>
        <w:rPr>
          <w:sz w:val="20"/>
        </w:rPr>
        <w:t>MAE</w:t>
      </w:r>
      <w:r>
        <w:rPr>
          <w:spacing w:val="-10"/>
          <w:sz w:val="20"/>
        </w:rPr>
        <w:t> </w:t>
      </w:r>
      <w:r>
        <w:rPr>
          <w:sz w:val="20"/>
        </w:rPr>
        <w:t>for</w:t>
      </w:r>
      <w:r>
        <w:rPr>
          <w:spacing w:val="-10"/>
          <w:sz w:val="20"/>
        </w:rPr>
        <w:t> </w:t>
      </w:r>
      <w:r>
        <w:rPr>
          <w:rFonts w:ascii="Courier New"/>
          <w:sz w:val="20"/>
        </w:rPr>
        <w:t>Naive_Median</w:t>
      </w:r>
      <w:r>
        <w:rPr>
          <w:rFonts w:ascii="Courier New"/>
          <w:spacing w:val="-71"/>
          <w:sz w:val="20"/>
        </w:rPr>
        <w:t> </w:t>
      </w:r>
      <w:r>
        <w:rPr>
          <w:sz w:val="20"/>
        </w:rPr>
        <w:t>and</w:t>
      </w:r>
      <w:r>
        <w:rPr>
          <w:spacing w:val="-9"/>
          <w:sz w:val="20"/>
        </w:rPr>
        <w:t> </w:t>
      </w:r>
      <w:r>
        <w:rPr>
          <w:rFonts w:ascii="Courier New"/>
          <w:sz w:val="20"/>
        </w:rPr>
        <w:t>CarenR_Dist_Eta2</w:t>
      </w:r>
      <w:r>
        <w:rPr>
          <w:sz w:val="20"/>
        </w:rPr>
        <w:t>: 18</w:t>
      </w:r>
      <w:r>
        <w:rPr>
          <w:spacing w:val="-10"/>
          <w:sz w:val="20"/>
        </w:rPr>
        <w:t> </w:t>
      </w:r>
      <w:r>
        <w:rPr>
          <w:sz w:val="20"/>
        </w:rPr>
        <w:t>RDD</w:t>
      </w:r>
      <w:r>
        <w:rPr>
          <w:spacing w:val="-10"/>
          <w:sz w:val="20"/>
        </w:rPr>
        <w:t> </w:t>
      </w:r>
      <w:r>
        <w:rPr>
          <w:spacing w:val="-2"/>
          <w:sz w:val="20"/>
        </w:rPr>
        <w:t>scenarios.</w:t>
      </w:r>
    </w:p>
    <w:p>
      <w:pPr>
        <w:pStyle w:val="BodyText"/>
        <w:rPr>
          <w:sz w:val="17"/>
        </w:rPr>
      </w:pPr>
      <w:r>
        <w:rPr>
          <w:sz w:val="17"/>
        </w:rPr>
        <mc:AlternateContent>
          <mc:Choice Requires="wps">
            <w:drawing>
              <wp:anchor distT="0" distB="0" distL="0" distR="0" allowOverlap="1" layoutInCell="1" locked="0" behindDoc="1" simplePos="0" relativeHeight="487628288">
                <wp:simplePos x="0" y="0"/>
                <wp:positionH relativeFrom="page">
                  <wp:posOffset>1260005</wp:posOffset>
                </wp:positionH>
                <wp:positionV relativeFrom="paragraph">
                  <wp:posOffset>139585</wp:posOffset>
                </wp:positionV>
                <wp:extent cx="5400040" cy="1270"/>
                <wp:effectExtent l="0" t="0" r="0" b="0"/>
                <wp:wrapTopAndBottom/>
                <wp:docPr id="215" name="Graphic 215"/>
                <wp:cNvGraphicFramePr>
                  <a:graphicFrameLocks/>
                </wp:cNvGraphicFramePr>
                <a:graphic>
                  <a:graphicData uri="http://schemas.microsoft.com/office/word/2010/wordprocessingShape">
                    <wps:wsp>
                      <wps:cNvPr id="215" name="Graphic 215"/>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0.991014pt;width:425.2pt;height:.1pt;mso-position-horizontal-relative:page;mso-position-vertical-relative:paragraph;z-index:-15688192;mso-wrap-distance-left:0;mso-wrap-distance-right:0" id="docshape181" coordorigin="1984,220" coordsize="8504,0" path="m1984,220l10488,220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7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0"/>
        <w:gridCol w:w="1154"/>
        <w:gridCol w:w="1154"/>
        <w:gridCol w:w="1097"/>
        <w:gridCol w:w="1097"/>
        <w:gridCol w:w="1154"/>
        <w:gridCol w:w="2206"/>
      </w:tblGrid>
      <w:tr>
        <w:trPr>
          <w:trHeight w:val="1063" w:hRule="atLeast"/>
        </w:trPr>
        <w:tc>
          <w:tcPr>
            <w:tcW w:w="640" w:type="dxa"/>
            <w:tcBorders>
              <w:top w:val="nil"/>
              <w:left w:val="nil"/>
              <w:right w:val="single" w:sz="4" w:space="0" w:color="000000"/>
            </w:tcBorders>
          </w:tcPr>
          <w:p>
            <w:pPr>
              <w:pStyle w:val="TableParagraph"/>
              <w:spacing w:before="31"/>
              <w:ind w:left="119"/>
              <w:rPr>
                <w:sz w:val="20"/>
              </w:rPr>
            </w:pPr>
            <w:r>
              <w:rPr>
                <w:spacing w:val="-2"/>
                <w:sz w:val="20"/>
              </w:rPr>
              <w:t>Scen.</w:t>
            </w:r>
          </w:p>
        </w:tc>
        <w:tc>
          <w:tcPr>
            <w:tcW w:w="1154" w:type="dxa"/>
            <w:tcBorders>
              <w:top w:val="nil"/>
              <w:left w:val="single" w:sz="4" w:space="0" w:color="000000"/>
              <w:right w:val="single" w:sz="4" w:space="0" w:color="000000"/>
            </w:tcBorders>
          </w:tcPr>
          <w:p>
            <w:pPr>
              <w:pStyle w:val="TableParagraph"/>
              <w:tabs>
                <w:tab w:pos="799" w:val="left" w:leader="none"/>
              </w:tabs>
              <w:spacing w:line="249" w:lineRule="auto" w:before="31"/>
              <w:ind w:left="118" w:right="83"/>
              <w:rPr>
                <w:sz w:val="20"/>
              </w:rPr>
            </w:pPr>
            <w:r>
              <w:rPr>
                <w:spacing w:val="-2"/>
                <w:sz w:val="20"/>
              </w:rPr>
              <w:t>Train</w:t>
            </w:r>
            <w:r>
              <w:rPr>
                <w:sz w:val="20"/>
              </w:rPr>
              <w:tab/>
            </w:r>
            <w:r>
              <w:rPr>
                <w:spacing w:val="-4"/>
                <w:sz w:val="20"/>
              </w:rPr>
              <w:t>pe-riod</w:t>
            </w:r>
          </w:p>
        </w:tc>
        <w:tc>
          <w:tcPr>
            <w:tcW w:w="1154" w:type="dxa"/>
            <w:tcBorders>
              <w:top w:val="nil"/>
              <w:left w:val="single" w:sz="4" w:space="0" w:color="000000"/>
              <w:right w:val="single" w:sz="4" w:space="0" w:color="000000"/>
            </w:tcBorders>
          </w:tcPr>
          <w:p>
            <w:pPr>
              <w:pStyle w:val="TableParagraph"/>
              <w:spacing w:before="31"/>
              <w:ind w:left="118"/>
              <w:rPr>
                <w:sz w:val="20"/>
              </w:rPr>
            </w:pPr>
            <w:r>
              <w:rPr>
                <w:spacing w:val="-2"/>
                <w:sz w:val="20"/>
              </w:rPr>
              <w:t>Test</w:t>
            </w:r>
            <w:r>
              <w:rPr>
                <w:spacing w:val="-11"/>
                <w:sz w:val="20"/>
              </w:rPr>
              <w:t> </w:t>
            </w:r>
            <w:r>
              <w:rPr>
                <w:spacing w:val="-2"/>
                <w:sz w:val="20"/>
              </w:rPr>
              <w:t>period</w:t>
            </w:r>
          </w:p>
        </w:tc>
        <w:tc>
          <w:tcPr>
            <w:tcW w:w="1097" w:type="dxa"/>
            <w:tcBorders>
              <w:top w:val="nil"/>
              <w:left w:val="single" w:sz="4" w:space="0" w:color="000000"/>
              <w:right w:val="single" w:sz="4" w:space="0" w:color="000000"/>
            </w:tcBorders>
          </w:tcPr>
          <w:p>
            <w:pPr>
              <w:pStyle w:val="TableParagraph"/>
              <w:spacing w:line="249" w:lineRule="auto" w:before="31"/>
              <w:ind w:left="118" w:right="345"/>
              <w:jc w:val="both"/>
              <w:rPr>
                <w:sz w:val="20"/>
              </w:rPr>
            </w:pPr>
            <w:r>
              <w:rPr>
                <w:spacing w:val="-2"/>
                <w:sz w:val="20"/>
              </w:rPr>
              <w:t>Naive_ Median </w:t>
            </w:r>
            <w:r>
              <w:rPr>
                <w:spacing w:val="-4"/>
                <w:sz w:val="20"/>
              </w:rPr>
              <w:t>MAE</w:t>
            </w:r>
          </w:p>
          <w:p>
            <w:pPr>
              <w:pStyle w:val="TableParagraph"/>
              <w:spacing w:line="230" w:lineRule="exact" w:before="0"/>
              <w:ind w:left="112"/>
              <w:rPr>
                <w:sz w:val="20"/>
              </w:rPr>
            </w:pPr>
            <w:r>
              <w:rPr>
                <w:spacing w:val="-2"/>
                <w:sz w:val="20"/>
              </w:rPr>
              <w:t>(mhl)</w:t>
            </w:r>
          </w:p>
        </w:tc>
        <w:tc>
          <w:tcPr>
            <w:tcW w:w="1097" w:type="dxa"/>
            <w:tcBorders>
              <w:top w:val="nil"/>
              <w:left w:val="single" w:sz="4" w:space="0" w:color="000000"/>
              <w:right w:val="single" w:sz="4" w:space="0" w:color="000000"/>
            </w:tcBorders>
          </w:tcPr>
          <w:p>
            <w:pPr>
              <w:pStyle w:val="TableParagraph"/>
              <w:spacing w:line="249" w:lineRule="auto" w:before="31"/>
              <w:ind w:left="119" w:right="112"/>
              <w:rPr>
                <w:sz w:val="20"/>
              </w:rPr>
            </w:pPr>
            <w:r>
              <w:rPr>
                <w:spacing w:val="-2"/>
                <w:sz w:val="20"/>
              </w:rPr>
              <w:t>CarenR_ Eta2</w:t>
            </w:r>
            <w:r>
              <w:rPr>
                <w:spacing w:val="-11"/>
                <w:sz w:val="20"/>
              </w:rPr>
              <w:t> </w:t>
            </w:r>
            <w:r>
              <w:rPr>
                <w:spacing w:val="-2"/>
                <w:sz w:val="20"/>
              </w:rPr>
              <w:t>MAE</w:t>
            </w:r>
          </w:p>
          <w:p>
            <w:pPr>
              <w:pStyle w:val="TableParagraph"/>
              <w:spacing w:before="0"/>
              <w:ind w:left="112"/>
              <w:rPr>
                <w:sz w:val="20"/>
              </w:rPr>
            </w:pPr>
            <w:r>
              <w:rPr>
                <w:spacing w:val="-2"/>
                <w:sz w:val="20"/>
              </w:rPr>
              <w:t>(mhl)</w:t>
            </w:r>
          </w:p>
        </w:tc>
        <w:tc>
          <w:tcPr>
            <w:tcW w:w="1154" w:type="dxa"/>
            <w:tcBorders>
              <w:top w:val="nil"/>
              <w:left w:val="single" w:sz="4" w:space="0" w:color="000000"/>
              <w:right w:val="single" w:sz="4" w:space="0" w:color="000000"/>
            </w:tcBorders>
          </w:tcPr>
          <w:p>
            <w:pPr>
              <w:pStyle w:val="TableParagraph"/>
              <w:spacing w:line="249" w:lineRule="auto" w:before="31"/>
              <w:ind w:left="112" w:firstLine="7"/>
              <w:rPr>
                <w:sz w:val="20"/>
              </w:rPr>
            </w:pPr>
            <w:r>
              <w:rPr>
                <w:sz w:val="20"/>
              </w:rPr>
              <w:t>Gap</w:t>
            </w:r>
            <w:r>
              <w:rPr>
                <w:spacing w:val="40"/>
                <w:sz w:val="20"/>
              </w:rPr>
              <w:t> </w:t>
            </w:r>
            <w:r>
              <w:rPr>
                <w:sz w:val="20"/>
              </w:rPr>
              <w:t>(+</w:t>
            </w:r>
            <w:r>
              <w:rPr>
                <w:spacing w:val="40"/>
                <w:sz w:val="20"/>
              </w:rPr>
              <w:t> </w:t>
            </w:r>
            <w:r>
              <w:rPr>
                <w:sz w:val="20"/>
              </w:rPr>
              <w:t>= </w:t>
            </w:r>
            <w:r>
              <w:rPr>
                <w:spacing w:val="-2"/>
                <w:sz w:val="20"/>
              </w:rPr>
              <w:t>CarenR worse)</w:t>
            </w:r>
          </w:p>
        </w:tc>
        <w:tc>
          <w:tcPr>
            <w:tcW w:w="2206" w:type="dxa"/>
            <w:tcBorders>
              <w:top w:val="nil"/>
              <w:left w:val="single" w:sz="4" w:space="0" w:color="000000"/>
              <w:right w:val="nil"/>
            </w:tcBorders>
          </w:tcPr>
          <w:p>
            <w:pPr>
              <w:pStyle w:val="TableParagraph"/>
              <w:spacing w:before="31"/>
              <w:ind w:left="119"/>
              <w:rPr>
                <w:sz w:val="20"/>
              </w:rPr>
            </w:pPr>
            <w:r>
              <w:rPr>
                <w:sz w:val="20"/>
              </w:rPr>
              <w:t>Era</w:t>
            </w:r>
            <w:r>
              <w:rPr>
                <w:spacing w:val="-4"/>
                <w:sz w:val="20"/>
              </w:rPr>
              <w:t> </w:t>
            </w:r>
            <w:r>
              <w:rPr>
                <w:spacing w:val="-2"/>
                <w:sz w:val="20"/>
              </w:rPr>
              <w:t>phase</w:t>
            </w:r>
          </w:p>
        </w:tc>
      </w:tr>
    </w:tbl>
    <w:p>
      <w:pPr>
        <w:pStyle w:val="BodyText"/>
        <w:spacing w:before="10"/>
        <w:rPr>
          <w:sz w:val="4"/>
        </w:rPr>
      </w:pPr>
    </w:p>
    <w:tbl>
      <w:tblPr>
        <w:tblW w:w="0" w:type="auto"/>
        <w:jc w:val="left"/>
        <w:tblInd w:w="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0"/>
        <w:gridCol w:w="1154"/>
        <w:gridCol w:w="1154"/>
        <w:gridCol w:w="1097"/>
        <w:gridCol w:w="1097"/>
        <w:gridCol w:w="1154"/>
        <w:gridCol w:w="2206"/>
      </w:tblGrid>
      <w:tr>
        <w:trPr>
          <w:trHeight w:val="308" w:hRule="atLeast"/>
        </w:trPr>
        <w:tc>
          <w:tcPr>
            <w:tcW w:w="640" w:type="dxa"/>
            <w:tcBorders>
              <w:right w:val="single" w:sz="4" w:space="0" w:color="000000"/>
            </w:tcBorders>
          </w:tcPr>
          <w:p>
            <w:pPr>
              <w:pStyle w:val="TableParagraph"/>
              <w:spacing w:before="31"/>
              <w:ind w:left="119"/>
              <w:rPr>
                <w:sz w:val="20"/>
              </w:rPr>
            </w:pPr>
            <w:r>
              <w:rPr>
                <w:spacing w:val="-10"/>
                <w:sz w:val="20"/>
              </w:rPr>
              <w:t>1</w:t>
            </w:r>
          </w:p>
        </w:tc>
        <w:tc>
          <w:tcPr>
            <w:tcW w:w="1154" w:type="dxa"/>
            <w:tcBorders>
              <w:left w:val="single" w:sz="4" w:space="0" w:color="000000"/>
              <w:right w:val="single" w:sz="4" w:space="0" w:color="000000"/>
            </w:tcBorders>
          </w:tcPr>
          <w:p>
            <w:pPr>
              <w:pStyle w:val="TableParagraph"/>
              <w:spacing w:before="31"/>
              <w:ind w:right="8"/>
              <w:jc w:val="center"/>
              <w:rPr>
                <w:sz w:val="20"/>
              </w:rPr>
            </w:pPr>
            <w:r>
              <w:rPr>
                <w:spacing w:val="-2"/>
                <w:sz w:val="20"/>
              </w:rPr>
              <w:t>1934–</w:t>
            </w:r>
            <w:r>
              <w:rPr>
                <w:spacing w:val="-4"/>
                <w:sz w:val="20"/>
              </w:rPr>
              <w:t>2004</w:t>
            </w:r>
          </w:p>
        </w:tc>
        <w:tc>
          <w:tcPr>
            <w:tcW w:w="1154" w:type="dxa"/>
            <w:tcBorders>
              <w:left w:val="single" w:sz="4" w:space="0" w:color="000000"/>
              <w:right w:val="single" w:sz="4" w:space="0" w:color="000000"/>
            </w:tcBorders>
          </w:tcPr>
          <w:p>
            <w:pPr>
              <w:pStyle w:val="TableParagraph"/>
              <w:spacing w:before="31"/>
              <w:ind w:left="118"/>
              <w:rPr>
                <w:sz w:val="20"/>
              </w:rPr>
            </w:pPr>
            <w:r>
              <w:rPr>
                <w:spacing w:val="-2"/>
                <w:sz w:val="20"/>
              </w:rPr>
              <w:t>2005–</w:t>
            </w:r>
            <w:r>
              <w:rPr>
                <w:spacing w:val="-4"/>
                <w:sz w:val="20"/>
              </w:rPr>
              <w:t>2022</w:t>
            </w:r>
          </w:p>
        </w:tc>
        <w:tc>
          <w:tcPr>
            <w:tcW w:w="1097" w:type="dxa"/>
            <w:tcBorders>
              <w:left w:val="single" w:sz="4" w:space="0" w:color="000000"/>
              <w:right w:val="single" w:sz="4" w:space="0" w:color="000000"/>
            </w:tcBorders>
          </w:tcPr>
          <w:p>
            <w:pPr>
              <w:pStyle w:val="TableParagraph"/>
              <w:spacing w:before="31"/>
              <w:ind w:left="118"/>
              <w:rPr>
                <w:sz w:val="20"/>
              </w:rPr>
            </w:pPr>
            <w:r>
              <w:rPr>
                <w:spacing w:val="-2"/>
                <w:sz w:val="20"/>
              </w:rPr>
              <w:t>183.5</w:t>
            </w:r>
          </w:p>
        </w:tc>
        <w:tc>
          <w:tcPr>
            <w:tcW w:w="1097" w:type="dxa"/>
            <w:tcBorders>
              <w:left w:val="single" w:sz="4" w:space="0" w:color="000000"/>
              <w:right w:val="single" w:sz="4" w:space="0" w:color="000000"/>
            </w:tcBorders>
          </w:tcPr>
          <w:p>
            <w:pPr>
              <w:pStyle w:val="TableParagraph"/>
              <w:spacing w:before="31"/>
              <w:ind w:left="119"/>
              <w:rPr>
                <w:sz w:val="20"/>
              </w:rPr>
            </w:pPr>
            <w:r>
              <w:rPr>
                <w:spacing w:val="-2"/>
                <w:sz w:val="20"/>
              </w:rPr>
              <w:t>199.5</w:t>
            </w:r>
          </w:p>
        </w:tc>
        <w:tc>
          <w:tcPr>
            <w:tcW w:w="1154" w:type="dxa"/>
            <w:tcBorders>
              <w:left w:val="single" w:sz="4" w:space="0" w:color="000000"/>
              <w:right w:val="single" w:sz="4" w:space="0" w:color="000000"/>
            </w:tcBorders>
          </w:tcPr>
          <w:p>
            <w:pPr>
              <w:pStyle w:val="TableParagraph"/>
              <w:spacing w:before="31"/>
              <w:ind w:left="119"/>
              <w:rPr>
                <w:sz w:val="20"/>
              </w:rPr>
            </w:pPr>
            <w:r>
              <w:rPr>
                <w:spacing w:val="-2"/>
                <w:sz w:val="20"/>
              </w:rPr>
              <w:t>+16.0</w:t>
            </w:r>
          </w:p>
        </w:tc>
        <w:tc>
          <w:tcPr>
            <w:tcW w:w="2206" w:type="dxa"/>
            <w:tcBorders>
              <w:left w:val="single" w:sz="4" w:space="0" w:color="000000"/>
            </w:tcBorders>
          </w:tcPr>
          <w:p>
            <w:pPr>
              <w:pStyle w:val="TableParagraph"/>
              <w:spacing w:before="31"/>
              <w:ind w:left="119"/>
              <w:rPr>
                <w:sz w:val="20"/>
              </w:rPr>
            </w:pPr>
            <w:r>
              <w:rPr>
                <w:spacing w:val="-2"/>
                <w:sz w:val="20"/>
              </w:rPr>
              <w:t>Early, era-confounded</w:t>
            </w:r>
          </w:p>
        </w:tc>
      </w:tr>
      <w:tr>
        <w:trPr>
          <w:trHeight w:val="310" w:hRule="atLeast"/>
        </w:trPr>
        <w:tc>
          <w:tcPr>
            <w:tcW w:w="640" w:type="dxa"/>
            <w:tcBorders>
              <w:right w:val="single" w:sz="4" w:space="0" w:color="000000"/>
            </w:tcBorders>
          </w:tcPr>
          <w:p>
            <w:pPr>
              <w:pStyle w:val="TableParagraph"/>
              <w:ind w:left="119"/>
              <w:rPr>
                <w:sz w:val="20"/>
              </w:rPr>
            </w:pPr>
            <w:r>
              <w:rPr>
                <w:spacing w:val="-10"/>
                <w:sz w:val="20"/>
              </w:rPr>
              <w:t>2</w:t>
            </w:r>
          </w:p>
        </w:tc>
        <w:tc>
          <w:tcPr>
            <w:tcW w:w="1154" w:type="dxa"/>
            <w:tcBorders>
              <w:left w:val="single" w:sz="4" w:space="0" w:color="000000"/>
              <w:right w:val="single" w:sz="4" w:space="0" w:color="000000"/>
            </w:tcBorders>
          </w:tcPr>
          <w:p>
            <w:pPr>
              <w:pStyle w:val="TableParagraph"/>
              <w:ind w:right="8"/>
              <w:jc w:val="center"/>
              <w:rPr>
                <w:sz w:val="20"/>
              </w:rPr>
            </w:pPr>
            <w:r>
              <w:rPr>
                <w:spacing w:val="-2"/>
                <w:sz w:val="20"/>
              </w:rPr>
              <w:t>1934–</w:t>
            </w:r>
            <w:r>
              <w:rPr>
                <w:spacing w:val="-4"/>
                <w:sz w:val="20"/>
              </w:rPr>
              <w:t>2005</w:t>
            </w:r>
          </w:p>
        </w:tc>
        <w:tc>
          <w:tcPr>
            <w:tcW w:w="1154" w:type="dxa"/>
            <w:tcBorders>
              <w:left w:val="single" w:sz="4" w:space="0" w:color="000000"/>
              <w:right w:val="single" w:sz="4" w:space="0" w:color="000000"/>
            </w:tcBorders>
          </w:tcPr>
          <w:p>
            <w:pPr>
              <w:pStyle w:val="TableParagraph"/>
              <w:ind w:left="118"/>
              <w:rPr>
                <w:sz w:val="20"/>
              </w:rPr>
            </w:pPr>
            <w:r>
              <w:rPr>
                <w:spacing w:val="-2"/>
                <w:sz w:val="20"/>
              </w:rPr>
              <w:t>2006–</w:t>
            </w:r>
            <w:r>
              <w:rPr>
                <w:spacing w:val="-4"/>
                <w:sz w:val="20"/>
              </w:rPr>
              <w:t>2022</w:t>
            </w:r>
          </w:p>
        </w:tc>
        <w:tc>
          <w:tcPr>
            <w:tcW w:w="1097" w:type="dxa"/>
            <w:tcBorders>
              <w:left w:val="single" w:sz="4" w:space="0" w:color="000000"/>
              <w:right w:val="single" w:sz="4" w:space="0" w:color="000000"/>
            </w:tcBorders>
          </w:tcPr>
          <w:p>
            <w:pPr>
              <w:pStyle w:val="TableParagraph"/>
              <w:ind w:left="118"/>
              <w:rPr>
                <w:sz w:val="20"/>
              </w:rPr>
            </w:pPr>
            <w:r>
              <w:rPr>
                <w:spacing w:val="-2"/>
                <w:sz w:val="20"/>
              </w:rPr>
              <w:t>199.7</w:t>
            </w:r>
          </w:p>
        </w:tc>
        <w:tc>
          <w:tcPr>
            <w:tcW w:w="1097" w:type="dxa"/>
            <w:tcBorders>
              <w:left w:val="single" w:sz="4" w:space="0" w:color="000000"/>
              <w:right w:val="single" w:sz="4" w:space="0" w:color="000000"/>
            </w:tcBorders>
          </w:tcPr>
          <w:p>
            <w:pPr>
              <w:pStyle w:val="TableParagraph"/>
              <w:ind w:left="119"/>
              <w:rPr>
                <w:sz w:val="20"/>
              </w:rPr>
            </w:pPr>
            <w:r>
              <w:rPr>
                <w:spacing w:val="-2"/>
                <w:sz w:val="20"/>
              </w:rPr>
              <w:t>204.8</w:t>
            </w:r>
          </w:p>
        </w:tc>
        <w:tc>
          <w:tcPr>
            <w:tcW w:w="1154" w:type="dxa"/>
            <w:tcBorders>
              <w:left w:val="single" w:sz="4" w:space="0" w:color="000000"/>
              <w:right w:val="single" w:sz="4" w:space="0" w:color="000000"/>
            </w:tcBorders>
          </w:tcPr>
          <w:p>
            <w:pPr>
              <w:pStyle w:val="TableParagraph"/>
              <w:ind w:left="119"/>
              <w:rPr>
                <w:sz w:val="20"/>
              </w:rPr>
            </w:pPr>
            <w:r>
              <w:rPr>
                <w:spacing w:val="-4"/>
                <w:sz w:val="20"/>
              </w:rPr>
              <w:t>+5.1</w:t>
            </w:r>
          </w:p>
        </w:tc>
        <w:tc>
          <w:tcPr>
            <w:tcW w:w="2206" w:type="dxa"/>
            <w:tcBorders>
              <w:left w:val="single" w:sz="4" w:space="0" w:color="000000"/>
            </w:tcBorders>
          </w:tcPr>
          <w:p>
            <w:pPr>
              <w:pStyle w:val="TableParagraph"/>
              <w:ind w:left="119"/>
              <w:rPr>
                <w:sz w:val="20"/>
              </w:rPr>
            </w:pPr>
            <w:r>
              <w:rPr>
                <w:spacing w:val="-2"/>
                <w:sz w:val="20"/>
              </w:rPr>
              <w:t>Early, era-confounded</w:t>
            </w:r>
          </w:p>
        </w:tc>
      </w:tr>
      <w:tr>
        <w:trPr>
          <w:trHeight w:val="549" w:hRule="atLeast"/>
        </w:trPr>
        <w:tc>
          <w:tcPr>
            <w:tcW w:w="640" w:type="dxa"/>
            <w:tcBorders>
              <w:right w:val="single" w:sz="4" w:space="0" w:color="000000"/>
            </w:tcBorders>
          </w:tcPr>
          <w:p>
            <w:pPr>
              <w:pStyle w:val="TableParagraph"/>
              <w:ind w:left="119"/>
              <w:rPr>
                <w:sz w:val="20"/>
              </w:rPr>
            </w:pPr>
            <w:r>
              <w:rPr>
                <w:spacing w:val="-10"/>
                <w:sz w:val="20"/>
              </w:rPr>
              <w:t>3</w:t>
            </w:r>
          </w:p>
        </w:tc>
        <w:tc>
          <w:tcPr>
            <w:tcW w:w="1154" w:type="dxa"/>
            <w:tcBorders>
              <w:left w:val="single" w:sz="4" w:space="0" w:color="000000"/>
              <w:right w:val="single" w:sz="4" w:space="0" w:color="000000"/>
            </w:tcBorders>
          </w:tcPr>
          <w:p>
            <w:pPr>
              <w:pStyle w:val="TableParagraph"/>
              <w:ind w:right="8"/>
              <w:jc w:val="center"/>
              <w:rPr>
                <w:sz w:val="20"/>
              </w:rPr>
            </w:pPr>
            <w:r>
              <w:rPr>
                <w:spacing w:val="-2"/>
                <w:sz w:val="20"/>
              </w:rPr>
              <w:t>1934–</w:t>
            </w:r>
            <w:r>
              <w:rPr>
                <w:spacing w:val="-4"/>
                <w:sz w:val="20"/>
              </w:rPr>
              <w:t>2006</w:t>
            </w:r>
          </w:p>
        </w:tc>
        <w:tc>
          <w:tcPr>
            <w:tcW w:w="1154" w:type="dxa"/>
            <w:tcBorders>
              <w:left w:val="single" w:sz="4" w:space="0" w:color="000000"/>
              <w:right w:val="single" w:sz="4" w:space="0" w:color="000000"/>
            </w:tcBorders>
          </w:tcPr>
          <w:p>
            <w:pPr>
              <w:pStyle w:val="TableParagraph"/>
              <w:ind w:left="118"/>
              <w:rPr>
                <w:sz w:val="20"/>
              </w:rPr>
            </w:pPr>
            <w:r>
              <w:rPr>
                <w:spacing w:val="-2"/>
                <w:sz w:val="20"/>
              </w:rPr>
              <w:t>2007–</w:t>
            </w:r>
            <w:r>
              <w:rPr>
                <w:spacing w:val="-4"/>
                <w:sz w:val="20"/>
              </w:rPr>
              <w:t>2022</w:t>
            </w:r>
          </w:p>
        </w:tc>
        <w:tc>
          <w:tcPr>
            <w:tcW w:w="1097" w:type="dxa"/>
            <w:tcBorders>
              <w:left w:val="single" w:sz="4" w:space="0" w:color="000000"/>
              <w:right w:val="single" w:sz="4" w:space="0" w:color="000000"/>
            </w:tcBorders>
          </w:tcPr>
          <w:p>
            <w:pPr>
              <w:pStyle w:val="TableParagraph"/>
              <w:ind w:left="118"/>
              <w:rPr>
                <w:sz w:val="20"/>
              </w:rPr>
            </w:pPr>
            <w:r>
              <w:rPr>
                <w:spacing w:val="-2"/>
                <w:sz w:val="20"/>
              </w:rPr>
              <w:t>223.3</w:t>
            </w:r>
          </w:p>
        </w:tc>
        <w:tc>
          <w:tcPr>
            <w:tcW w:w="1097" w:type="dxa"/>
            <w:tcBorders>
              <w:left w:val="single" w:sz="4" w:space="0" w:color="000000"/>
              <w:right w:val="single" w:sz="4" w:space="0" w:color="000000"/>
            </w:tcBorders>
          </w:tcPr>
          <w:p>
            <w:pPr>
              <w:pStyle w:val="TableParagraph"/>
              <w:ind w:left="119"/>
              <w:rPr>
                <w:sz w:val="20"/>
              </w:rPr>
            </w:pPr>
            <w:r>
              <w:rPr>
                <w:spacing w:val="-2"/>
                <w:sz w:val="20"/>
              </w:rPr>
              <w:t>216.0</w:t>
            </w:r>
          </w:p>
        </w:tc>
        <w:tc>
          <w:tcPr>
            <w:tcW w:w="1154" w:type="dxa"/>
            <w:tcBorders>
              <w:left w:val="single" w:sz="4" w:space="0" w:color="000000"/>
              <w:right w:val="single" w:sz="4" w:space="0" w:color="000000"/>
            </w:tcBorders>
          </w:tcPr>
          <w:p>
            <w:pPr>
              <w:pStyle w:val="TableParagraph"/>
              <w:ind w:left="119"/>
              <w:rPr>
                <w:sz w:val="20"/>
              </w:rPr>
            </w:pPr>
            <w:r>
              <w:rPr>
                <w:spacing w:val="-2"/>
                <w:sz w:val="20"/>
              </w:rPr>
              <w:t>-</w:t>
            </w:r>
            <w:r>
              <w:rPr>
                <w:spacing w:val="-5"/>
                <w:sz w:val="20"/>
              </w:rPr>
              <w:t>7.3</w:t>
            </w:r>
          </w:p>
        </w:tc>
        <w:tc>
          <w:tcPr>
            <w:tcW w:w="2206" w:type="dxa"/>
            <w:tcBorders>
              <w:left w:val="single" w:sz="4" w:space="0" w:color="000000"/>
            </w:tcBorders>
          </w:tcPr>
          <w:p>
            <w:pPr>
              <w:pStyle w:val="TableParagraph"/>
              <w:spacing w:line="249" w:lineRule="auto"/>
              <w:ind w:left="112" w:firstLine="7"/>
              <w:rPr>
                <w:sz w:val="20"/>
              </w:rPr>
            </w:pPr>
            <w:r>
              <w:rPr>
                <w:sz w:val="20"/>
              </w:rPr>
              <w:t>Early, marginal </w:t>
            </w:r>
            <w:r>
              <w:rPr>
                <w:sz w:val="20"/>
              </w:rPr>
              <w:t>CarenR </w:t>
            </w:r>
            <w:r>
              <w:rPr>
                <w:spacing w:val="-4"/>
                <w:sz w:val="20"/>
              </w:rPr>
              <w:t>win</w:t>
            </w:r>
          </w:p>
        </w:tc>
      </w:tr>
      <w:tr>
        <w:trPr>
          <w:trHeight w:val="310" w:hRule="atLeast"/>
        </w:trPr>
        <w:tc>
          <w:tcPr>
            <w:tcW w:w="640" w:type="dxa"/>
            <w:tcBorders>
              <w:right w:val="single" w:sz="4" w:space="0" w:color="000000"/>
            </w:tcBorders>
          </w:tcPr>
          <w:p>
            <w:pPr>
              <w:pStyle w:val="TableParagraph"/>
              <w:ind w:left="119"/>
              <w:rPr>
                <w:sz w:val="20"/>
              </w:rPr>
            </w:pPr>
            <w:r>
              <w:rPr>
                <w:spacing w:val="-10"/>
                <w:sz w:val="20"/>
              </w:rPr>
              <w:t>4</w:t>
            </w:r>
          </w:p>
        </w:tc>
        <w:tc>
          <w:tcPr>
            <w:tcW w:w="1154" w:type="dxa"/>
            <w:tcBorders>
              <w:left w:val="single" w:sz="4" w:space="0" w:color="000000"/>
              <w:right w:val="single" w:sz="4" w:space="0" w:color="000000"/>
            </w:tcBorders>
          </w:tcPr>
          <w:p>
            <w:pPr>
              <w:pStyle w:val="TableParagraph"/>
              <w:ind w:right="8"/>
              <w:jc w:val="center"/>
              <w:rPr>
                <w:sz w:val="20"/>
              </w:rPr>
            </w:pPr>
            <w:r>
              <w:rPr>
                <w:spacing w:val="-2"/>
                <w:sz w:val="20"/>
              </w:rPr>
              <w:t>1934–</w:t>
            </w:r>
            <w:r>
              <w:rPr>
                <w:spacing w:val="-4"/>
                <w:sz w:val="20"/>
              </w:rPr>
              <w:t>2007</w:t>
            </w:r>
          </w:p>
        </w:tc>
        <w:tc>
          <w:tcPr>
            <w:tcW w:w="1154" w:type="dxa"/>
            <w:tcBorders>
              <w:left w:val="single" w:sz="4" w:space="0" w:color="000000"/>
              <w:right w:val="single" w:sz="4" w:space="0" w:color="000000"/>
            </w:tcBorders>
          </w:tcPr>
          <w:p>
            <w:pPr>
              <w:pStyle w:val="TableParagraph"/>
              <w:ind w:left="118"/>
              <w:rPr>
                <w:sz w:val="20"/>
              </w:rPr>
            </w:pPr>
            <w:r>
              <w:rPr>
                <w:spacing w:val="-2"/>
                <w:sz w:val="20"/>
              </w:rPr>
              <w:t>2008–</w:t>
            </w:r>
            <w:r>
              <w:rPr>
                <w:spacing w:val="-4"/>
                <w:sz w:val="20"/>
              </w:rPr>
              <w:t>2022</w:t>
            </w:r>
          </w:p>
        </w:tc>
        <w:tc>
          <w:tcPr>
            <w:tcW w:w="1097" w:type="dxa"/>
            <w:tcBorders>
              <w:left w:val="single" w:sz="4" w:space="0" w:color="000000"/>
              <w:right w:val="single" w:sz="4" w:space="0" w:color="000000"/>
            </w:tcBorders>
          </w:tcPr>
          <w:p>
            <w:pPr>
              <w:pStyle w:val="TableParagraph"/>
              <w:ind w:left="118"/>
              <w:rPr>
                <w:sz w:val="20"/>
              </w:rPr>
            </w:pPr>
            <w:r>
              <w:rPr>
                <w:spacing w:val="-2"/>
                <w:sz w:val="20"/>
              </w:rPr>
              <w:t>203.9</w:t>
            </w:r>
          </w:p>
        </w:tc>
        <w:tc>
          <w:tcPr>
            <w:tcW w:w="1097" w:type="dxa"/>
            <w:tcBorders>
              <w:left w:val="single" w:sz="4" w:space="0" w:color="000000"/>
              <w:right w:val="single" w:sz="4" w:space="0" w:color="000000"/>
            </w:tcBorders>
          </w:tcPr>
          <w:p>
            <w:pPr>
              <w:pStyle w:val="TableParagraph"/>
              <w:ind w:left="119"/>
              <w:rPr>
                <w:sz w:val="20"/>
              </w:rPr>
            </w:pPr>
            <w:r>
              <w:rPr>
                <w:spacing w:val="-2"/>
                <w:sz w:val="20"/>
              </w:rPr>
              <w:t>203.7</w:t>
            </w:r>
          </w:p>
        </w:tc>
        <w:tc>
          <w:tcPr>
            <w:tcW w:w="1154" w:type="dxa"/>
            <w:tcBorders>
              <w:left w:val="single" w:sz="4" w:space="0" w:color="000000"/>
              <w:right w:val="single" w:sz="4" w:space="0" w:color="000000"/>
            </w:tcBorders>
          </w:tcPr>
          <w:p>
            <w:pPr>
              <w:pStyle w:val="TableParagraph"/>
              <w:ind w:left="119"/>
              <w:rPr>
                <w:sz w:val="20"/>
              </w:rPr>
            </w:pPr>
            <w:r>
              <w:rPr>
                <w:spacing w:val="-2"/>
                <w:sz w:val="20"/>
              </w:rPr>
              <w:t>-</w:t>
            </w:r>
            <w:r>
              <w:rPr>
                <w:spacing w:val="-5"/>
                <w:sz w:val="20"/>
              </w:rPr>
              <w:t>0.2</w:t>
            </w:r>
          </w:p>
        </w:tc>
        <w:tc>
          <w:tcPr>
            <w:tcW w:w="2206" w:type="dxa"/>
            <w:tcBorders>
              <w:left w:val="single" w:sz="4" w:space="0" w:color="000000"/>
            </w:tcBorders>
          </w:tcPr>
          <w:p>
            <w:pPr>
              <w:pStyle w:val="TableParagraph"/>
              <w:ind w:left="119"/>
              <w:rPr>
                <w:sz w:val="20"/>
              </w:rPr>
            </w:pPr>
            <w:r>
              <w:rPr>
                <w:spacing w:val="-2"/>
                <w:sz w:val="20"/>
              </w:rPr>
              <w:t>Early,</w:t>
            </w:r>
            <w:r>
              <w:rPr>
                <w:spacing w:val="-5"/>
                <w:sz w:val="20"/>
              </w:rPr>
              <w:t> </w:t>
            </w:r>
            <w:r>
              <w:rPr>
                <w:spacing w:val="-2"/>
                <w:sz w:val="20"/>
              </w:rPr>
              <w:t>near-</w:t>
            </w:r>
            <w:r>
              <w:rPr>
                <w:spacing w:val="-5"/>
                <w:sz w:val="20"/>
              </w:rPr>
              <w:t>tie</w:t>
            </w:r>
          </w:p>
        </w:tc>
      </w:tr>
      <w:tr>
        <w:trPr>
          <w:trHeight w:val="310" w:hRule="atLeast"/>
        </w:trPr>
        <w:tc>
          <w:tcPr>
            <w:tcW w:w="640" w:type="dxa"/>
            <w:tcBorders>
              <w:right w:val="single" w:sz="4" w:space="0" w:color="000000"/>
            </w:tcBorders>
          </w:tcPr>
          <w:p>
            <w:pPr>
              <w:pStyle w:val="TableParagraph"/>
              <w:ind w:left="119"/>
              <w:rPr>
                <w:sz w:val="20"/>
              </w:rPr>
            </w:pPr>
            <w:r>
              <w:rPr>
                <w:spacing w:val="-10"/>
                <w:sz w:val="20"/>
              </w:rPr>
              <w:t>5</w:t>
            </w:r>
          </w:p>
        </w:tc>
        <w:tc>
          <w:tcPr>
            <w:tcW w:w="1154" w:type="dxa"/>
            <w:tcBorders>
              <w:left w:val="single" w:sz="4" w:space="0" w:color="000000"/>
              <w:right w:val="single" w:sz="4" w:space="0" w:color="000000"/>
            </w:tcBorders>
          </w:tcPr>
          <w:p>
            <w:pPr>
              <w:pStyle w:val="TableParagraph"/>
              <w:ind w:right="8"/>
              <w:jc w:val="center"/>
              <w:rPr>
                <w:sz w:val="20"/>
              </w:rPr>
            </w:pPr>
            <w:r>
              <w:rPr>
                <w:spacing w:val="-2"/>
                <w:sz w:val="20"/>
              </w:rPr>
              <w:t>1934–</w:t>
            </w:r>
            <w:r>
              <w:rPr>
                <w:spacing w:val="-4"/>
                <w:sz w:val="20"/>
              </w:rPr>
              <w:t>2008</w:t>
            </w:r>
          </w:p>
        </w:tc>
        <w:tc>
          <w:tcPr>
            <w:tcW w:w="1154" w:type="dxa"/>
            <w:tcBorders>
              <w:left w:val="single" w:sz="4" w:space="0" w:color="000000"/>
              <w:right w:val="single" w:sz="4" w:space="0" w:color="000000"/>
            </w:tcBorders>
          </w:tcPr>
          <w:p>
            <w:pPr>
              <w:pStyle w:val="TableParagraph"/>
              <w:ind w:left="118"/>
              <w:rPr>
                <w:sz w:val="20"/>
              </w:rPr>
            </w:pPr>
            <w:r>
              <w:rPr>
                <w:spacing w:val="-2"/>
                <w:sz w:val="20"/>
              </w:rPr>
              <w:t>2009–</w:t>
            </w:r>
            <w:r>
              <w:rPr>
                <w:spacing w:val="-4"/>
                <w:sz w:val="20"/>
              </w:rPr>
              <w:t>2022</w:t>
            </w:r>
          </w:p>
        </w:tc>
        <w:tc>
          <w:tcPr>
            <w:tcW w:w="1097" w:type="dxa"/>
            <w:tcBorders>
              <w:left w:val="single" w:sz="4" w:space="0" w:color="000000"/>
              <w:right w:val="single" w:sz="4" w:space="0" w:color="000000"/>
            </w:tcBorders>
          </w:tcPr>
          <w:p>
            <w:pPr>
              <w:pStyle w:val="TableParagraph"/>
              <w:ind w:left="118"/>
              <w:rPr>
                <w:sz w:val="20"/>
              </w:rPr>
            </w:pPr>
            <w:r>
              <w:rPr>
                <w:spacing w:val="-2"/>
                <w:sz w:val="20"/>
              </w:rPr>
              <w:t>184.3</w:t>
            </w:r>
          </w:p>
        </w:tc>
        <w:tc>
          <w:tcPr>
            <w:tcW w:w="1097" w:type="dxa"/>
            <w:tcBorders>
              <w:left w:val="single" w:sz="4" w:space="0" w:color="000000"/>
              <w:right w:val="single" w:sz="4" w:space="0" w:color="000000"/>
            </w:tcBorders>
          </w:tcPr>
          <w:p>
            <w:pPr>
              <w:pStyle w:val="TableParagraph"/>
              <w:ind w:left="119"/>
              <w:rPr>
                <w:sz w:val="20"/>
              </w:rPr>
            </w:pPr>
            <w:r>
              <w:rPr>
                <w:spacing w:val="-2"/>
                <w:sz w:val="20"/>
              </w:rPr>
              <w:t>209.5</w:t>
            </w:r>
          </w:p>
        </w:tc>
        <w:tc>
          <w:tcPr>
            <w:tcW w:w="1154" w:type="dxa"/>
            <w:tcBorders>
              <w:left w:val="single" w:sz="4" w:space="0" w:color="000000"/>
              <w:right w:val="single" w:sz="4" w:space="0" w:color="000000"/>
            </w:tcBorders>
          </w:tcPr>
          <w:p>
            <w:pPr>
              <w:pStyle w:val="TableParagraph"/>
              <w:ind w:left="119"/>
              <w:rPr>
                <w:sz w:val="20"/>
              </w:rPr>
            </w:pPr>
            <w:r>
              <w:rPr>
                <w:spacing w:val="-2"/>
                <w:sz w:val="20"/>
              </w:rPr>
              <w:t>+25.1</w:t>
            </w:r>
          </w:p>
        </w:tc>
        <w:tc>
          <w:tcPr>
            <w:tcW w:w="2206" w:type="dxa"/>
            <w:tcBorders>
              <w:left w:val="single" w:sz="4" w:space="0" w:color="000000"/>
            </w:tcBorders>
          </w:tcPr>
          <w:p>
            <w:pPr>
              <w:pStyle w:val="TableParagraph"/>
              <w:ind w:left="119"/>
              <w:rPr>
                <w:sz w:val="20"/>
              </w:rPr>
            </w:pPr>
            <w:r>
              <w:rPr>
                <w:spacing w:val="-2"/>
                <w:sz w:val="20"/>
              </w:rPr>
              <w:t>Early, era-confounded</w:t>
            </w:r>
          </w:p>
        </w:tc>
      </w:tr>
      <w:tr>
        <w:trPr>
          <w:trHeight w:val="310" w:hRule="atLeast"/>
        </w:trPr>
        <w:tc>
          <w:tcPr>
            <w:tcW w:w="640" w:type="dxa"/>
            <w:tcBorders>
              <w:right w:val="single" w:sz="4" w:space="0" w:color="000000"/>
            </w:tcBorders>
          </w:tcPr>
          <w:p>
            <w:pPr>
              <w:pStyle w:val="TableParagraph"/>
              <w:ind w:left="119"/>
              <w:rPr>
                <w:sz w:val="20"/>
              </w:rPr>
            </w:pPr>
            <w:r>
              <w:rPr>
                <w:spacing w:val="-10"/>
                <w:sz w:val="20"/>
              </w:rPr>
              <w:t>6</w:t>
            </w:r>
          </w:p>
        </w:tc>
        <w:tc>
          <w:tcPr>
            <w:tcW w:w="1154" w:type="dxa"/>
            <w:tcBorders>
              <w:left w:val="single" w:sz="4" w:space="0" w:color="000000"/>
              <w:right w:val="single" w:sz="4" w:space="0" w:color="000000"/>
            </w:tcBorders>
          </w:tcPr>
          <w:p>
            <w:pPr>
              <w:pStyle w:val="TableParagraph"/>
              <w:ind w:right="8"/>
              <w:jc w:val="center"/>
              <w:rPr>
                <w:sz w:val="20"/>
              </w:rPr>
            </w:pPr>
            <w:r>
              <w:rPr>
                <w:spacing w:val="-2"/>
                <w:sz w:val="20"/>
              </w:rPr>
              <w:t>1934–</w:t>
            </w:r>
            <w:r>
              <w:rPr>
                <w:spacing w:val="-4"/>
                <w:sz w:val="20"/>
              </w:rPr>
              <w:t>2009</w:t>
            </w:r>
          </w:p>
        </w:tc>
        <w:tc>
          <w:tcPr>
            <w:tcW w:w="1154" w:type="dxa"/>
            <w:tcBorders>
              <w:left w:val="single" w:sz="4" w:space="0" w:color="000000"/>
              <w:right w:val="single" w:sz="4" w:space="0" w:color="000000"/>
            </w:tcBorders>
          </w:tcPr>
          <w:p>
            <w:pPr>
              <w:pStyle w:val="TableParagraph"/>
              <w:ind w:left="118"/>
              <w:rPr>
                <w:sz w:val="20"/>
              </w:rPr>
            </w:pPr>
            <w:r>
              <w:rPr>
                <w:spacing w:val="-2"/>
                <w:sz w:val="20"/>
              </w:rPr>
              <w:t>2010–</w:t>
            </w:r>
            <w:r>
              <w:rPr>
                <w:spacing w:val="-4"/>
                <w:sz w:val="20"/>
              </w:rPr>
              <w:t>2022</w:t>
            </w:r>
          </w:p>
        </w:tc>
        <w:tc>
          <w:tcPr>
            <w:tcW w:w="1097" w:type="dxa"/>
            <w:tcBorders>
              <w:left w:val="single" w:sz="4" w:space="0" w:color="000000"/>
              <w:right w:val="single" w:sz="4" w:space="0" w:color="000000"/>
            </w:tcBorders>
          </w:tcPr>
          <w:p>
            <w:pPr>
              <w:pStyle w:val="TableParagraph"/>
              <w:ind w:left="118"/>
              <w:rPr>
                <w:sz w:val="20"/>
              </w:rPr>
            </w:pPr>
            <w:r>
              <w:rPr>
                <w:spacing w:val="-2"/>
                <w:sz w:val="20"/>
              </w:rPr>
              <w:t>174.4</w:t>
            </w:r>
          </w:p>
        </w:tc>
        <w:tc>
          <w:tcPr>
            <w:tcW w:w="1097" w:type="dxa"/>
            <w:tcBorders>
              <w:left w:val="single" w:sz="4" w:space="0" w:color="000000"/>
              <w:right w:val="single" w:sz="4" w:space="0" w:color="000000"/>
            </w:tcBorders>
          </w:tcPr>
          <w:p>
            <w:pPr>
              <w:pStyle w:val="TableParagraph"/>
              <w:ind w:left="119"/>
              <w:rPr>
                <w:sz w:val="20"/>
              </w:rPr>
            </w:pPr>
            <w:r>
              <w:rPr>
                <w:spacing w:val="-2"/>
                <w:sz w:val="20"/>
              </w:rPr>
              <w:t>201.4</w:t>
            </w:r>
          </w:p>
        </w:tc>
        <w:tc>
          <w:tcPr>
            <w:tcW w:w="1154" w:type="dxa"/>
            <w:tcBorders>
              <w:left w:val="single" w:sz="4" w:space="0" w:color="000000"/>
              <w:right w:val="single" w:sz="4" w:space="0" w:color="000000"/>
            </w:tcBorders>
          </w:tcPr>
          <w:p>
            <w:pPr>
              <w:pStyle w:val="TableParagraph"/>
              <w:ind w:left="119"/>
              <w:rPr>
                <w:sz w:val="20"/>
              </w:rPr>
            </w:pPr>
            <w:r>
              <w:rPr>
                <w:spacing w:val="-2"/>
                <w:sz w:val="20"/>
              </w:rPr>
              <w:t>+27.0</w:t>
            </w:r>
          </w:p>
        </w:tc>
        <w:tc>
          <w:tcPr>
            <w:tcW w:w="2206" w:type="dxa"/>
            <w:tcBorders>
              <w:left w:val="single" w:sz="4" w:space="0" w:color="000000"/>
            </w:tcBorders>
          </w:tcPr>
          <w:p>
            <w:pPr>
              <w:pStyle w:val="TableParagraph"/>
              <w:ind w:left="119"/>
              <w:rPr>
                <w:sz w:val="20"/>
              </w:rPr>
            </w:pPr>
            <w:r>
              <w:rPr>
                <w:spacing w:val="-2"/>
                <w:sz w:val="20"/>
              </w:rPr>
              <w:t>Early, era-confounded</w:t>
            </w:r>
          </w:p>
        </w:tc>
      </w:tr>
      <w:tr>
        <w:trPr>
          <w:trHeight w:val="310" w:hRule="atLeast"/>
        </w:trPr>
        <w:tc>
          <w:tcPr>
            <w:tcW w:w="640" w:type="dxa"/>
            <w:tcBorders>
              <w:right w:val="single" w:sz="4" w:space="0" w:color="000000"/>
            </w:tcBorders>
          </w:tcPr>
          <w:p>
            <w:pPr>
              <w:pStyle w:val="TableParagraph"/>
              <w:ind w:left="119"/>
              <w:rPr>
                <w:sz w:val="20"/>
              </w:rPr>
            </w:pPr>
            <w:r>
              <w:rPr>
                <w:spacing w:val="-10"/>
                <w:sz w:val="20"/>
              </w:rPr>
              <w:t>7</w:t>
            </w:r>
          </w:p>
        </w:tc>
        <w:tc>
          <w:tcPr>
            <w:tcW w:w="1154" w:type="dxa"/>
            <w:tcBorders>
              <w:left w:val="single" w:sz="4" w:space="0" w:color="000000"/>
              <w:right w:val="single" w:sz="4" w:space="0" w:color="000000"/>
            </w:tcBorders>
          </w:tcPr>
          <w:p>
            <w:pPr>
              <w:pStyle w:val="TableParagraph"/>
              <w:ind w:right="8"/>
              <w:jc w:val="center"/>
              <w:rPr>
                <w:sz w:val="20"/>
              </w:rPr>
            </w:pPr>
            <w:r>
              <w:rPr>
                <w:spacing w:val="-2"/>
                <w:sz w:val="20"/>
              </w:rPr>
              <w:t>1934–</w:t>
            </w:r>
            <w:r>
              <w:rPr>
                <w:spacing w:val="-4"/>
                <w:sz w:val="20"/>
              </w:rPr>
              <w:t>2010</w:t>
            </w:r>
          </w:p>
        </w:tc>
        <w:tc>
          <w:tcPr>
            <w:tcW w:w="1154" w:type="dxa"/>
            <w:tcBorders>
              <w:left w:val="single" w:sz="4" w:space="0" w:color="000000"/>
              <w:right w:val="single" w:sz="4" w:space="0" w:color="000000"/>
            </w:tcBorders>
          </w:tcPr>
          <w:p>
            <w:pPr>
              <w:pStyle w:val="TableParagraph"/>
              <w:ind w:left="118"/>
              <w:rPr>
                <w:sz w:val="20"/>
              </w:rPr>
            </w:pPr>
            <w:r>
              <w:rPr>
                <w:spacing w:val="-2"/>
                <w:sz w:val="20"/>
              </w:rPr>
              <w:t>2011–</w:t>
            </w:r>
            <w:r>
              <w:rPr>
                <w:spacing w:val="-4"/>
                <w:sz w:val="20"/>
              </w:rPr>
              <w:t>2022</w:t>
            </w:r>
          </w:p>
        </w:tc>
        <w:tc>
          <w:tcPr>
            <w:tcW w:w="1097" w:type="dxa"/>
            <w:tcBorders>
              <w:left w:val="single" w:sz="4" w:space="0" w:color="000000"/>
              <w:right w:val="single" w:sz="4" w:space="0" w:color="000000"/>
            </w:tcBorders>
          </w:tcPr>
          <w:p>
            <w:pPr>
              <w:pStyle w:val="TableParagraph"/>
              <w:ind w:left="118"/>
              <w:rPr>
                <w:sz w:val="20"/>
              </w:rPr>
            </w:pPr>
            <w:r>
              <w:rPr>
                <w:spacing w:val="-2"/>
                <w:sz w:val="20"/>
              </w:rPr>
              <w:t>186.5</w:t>
            </w:r>
          </w:p>
        </w:tc>
        <w:tc>
          <w:tcPr>
            <w:tcW w:w="1097" w:type="dxa"/>
            <w:tcBorders>
              <w:left w:val="single" w:sz="4" w:space="0" w:color="000000"/>
              <w:right w:val="single" w:sz="4" w:space="0" w:color="000000"/>
            </w:tcBorders>
          </w:tcPr>
          <w:p>
            <w:pPr>
              <w:pStyle w:val="TableParagraph"/>
              <w:ind w:left="119"/>
              <w:rPr>
                <w:sz w:val="20"/>
              </w:rPr>
            </w:pPr>
            <w:r>
              <w:rPr>
                <w:spacing w:val="-2"/>
                <w:sz w:val="20"/>
              </w:rPr>
              <w:t>214.4</w:t>
            </w:r>
          </w:p>
        </w:tc>
        <w:tc>
          <w:tcPr>
            <w:tcW w:w="1154" w:type="dxa"/>
            <w:tcBorders>
              <w:left w:val="single" w:sz="4" w:space="0" w:color="000000"/>
              <w:right w:val="single" w:sz="4" w:space="0" w:color="000000"/>
            </w:tcBorders>
          </w:tcPr>
          <w:p>
            <w:pPr>
              <w:pStyle w:val="TableParagraph"/>
              <w:ind w:left="119"/>
              <w:rPr>
                <w:sz w:val="20"/>
              </w:rPr>
            </w:pPr>
            <w:r>
              <w:rPr>
                <w:spacing w:val="-2"/>
                <w:sz w:val="20"/>
              </w:rPr>
              <w:t>+27.9</w:t>
            </w:r>
          </w:p>
        </w:tc>
        <w:tc>
          <w:tcPr>
            <w:tcW w:w="2206" w:type="dxa"/>
            <w:tcBorders>
              <w:left w:val="single" w:sz="4" w:space="0" w:color="000000"/>
            </w:tcBorders>
          </w:tcPr>
          <w:p>
            <w:pPr>
              <w:pStyle w:val="TableParagraph"/>
              <w:ind w:left="119"/>
              <w:rPr>
                <w:sz w:val="20"/>
              </w:rPr>
            </w:pPr>
            <w:r>
              <w:rPr>
                <w:spacing w:val="-2"/>
                <w:sz w:val="20"/>
              </w:rPr>
              <w:t>Early, era-confounded</w:t>
            </w:r>
          </w:p>
        </w:tc>
      </w:tr>
      <w:tr>
        <w:trPr>
          <w:trHeight w:val="310" w:hRule="atLeast"/>
        </w:trPr>
        <w:tc>
          <w:tcPr>
            <w:tcW w:w="640" w:type="dxa"/>
            <w:tcBorders>
              <w:right w:val="single" w:sz="4" w:space="0" w:color="000000"/>
            </w:tcBorders>
          </w:tcPr>
          <w:p>
            <w:pPr>
              <w:pStyle w:val="TableParagraph"/>
              <w:ind w:left="119"/>
              <w:rPr>
                <w:sz w:val="20"/>
              </w:rPr>
            </w:pPr>
            <w:r>
              <w:rPr>
                <w:spacing w:val="-10"/>
                <w:sz w:val="20"/>
              </w:rPr>
              <w:t>8</w:t>
            </w:r>
          </w:p>
        </w:tc>
        <w:tc>
          <w:tcPr>
            <w:tcW w:w="1154" w:type="dxa"/>
            <w:tcBorders>
              <w:left w:val="single" w:sz="4" w:space="0" w:color="000000"/>
              <w:right w:val="single" w:sz="4" w:space="0" w:color="000000"/>
            </w:tcBorders>
          </w:tcPr>
          <w:p>
            <w:pPr>
              <w:pStyle w:val="TableParagraph"/>
              <w:ind w:right="8"/>
              <w:jc w:val="center"/>
              <w:rPr>
                <w:sz w:val="20"/>
              </w:rPr>
            </w:pPr>
            <w:r>
              <w:rPr>
                <w:spacing w:val="-2"/>
                <w:sz w:val="20"/>
              </w:rPr>
              <w:t>1934–</w:t>
            </w:r>
            <w:r>
              <w:rPr>
                <w:spacing w:val="-4"/>
                <w:sz w:val="20"/>
              </w:rPr>
              <w:t>2011</w:t>
            </w:r>
          </w:p>
        </w:tc>
        <w:tc>
          <w:tcPr>
            <w:tcW w:w="1154" w:type="dxa"/>
            <w:tcBorders>
              <w:left w:val="single" w:sz="4" w:space="0" w:color="000000"/>
              <w:right w:val="single" w:sz="4" w:space="0" w:color="000000"/>
            </w:tcBorders>
          </w:tcPr>
          <w:p>
            <w:pPr>
              <w:pStyle w:val="TableParagraph"/>
              <w:ind w:left="118"/>
              <w:rPr>
                <w:sz w:val="20"/>
              </w:rPr>
            </w:pPr>
            <w:r>
              <w:rPr>
                <w:spacing w:val="-2"/>
                <w:sz w:val="20"/>
              </w:rPr>
              <w:t>2012–</w:t>
            </w:r>
            <w:r>
              <w:rPr>
                <w:spacing w:val="-4"/>
                <w:sz w:val="20"/>
              </w:rPr>
              <w:t>2022</w:t>
            </w:r>
          </w:p>
        </w:tc>
        <w:tc>
          <w:tcPr>
            <w:tcW w:w="1097" w:type="dxa"/>
            <w:tcBorders>
              <w:left w:val="single" w:sz="4" w:space="0" w:color="000000"/>
              <w:right w:val="single" w:sz="4" w:space="0" w:color="000000"/>
            </w:tcBorders>
          </w:tcPr>
          <w:p>
            <w:pPr>
              <w:pStyle w:val="TableParagraph"/>
              <w:ind w:left="118"/>
              <w:rPr>
                <w:sz w:val="20"/>
              </w:rPr>
            </w:pPr>
            <w:r>
              <w:rPr>
                <w:spacing w:val="-2"/>
                <w:sz w:val="20"/>
              </w:rPr>
              <w:t>174.9</w:t>
            </w:r>
          </w:p>
        </w:tc>
        <w:tc>
          <w:tcPr>
            <w:tcW w:w="1097" w:type="dxa"/>
            <w:tcBorders>
              <w:left w:val="single" w:sz="4" w:space="0" w:color="000000"/>
              <w:right w:val="single" w:sz="4" w:space="0" w:color="000000"/>
            </w:tcBorders>
          </w:tcPr>
          <w:p>
            <w:pPr>
              <w:pStyle w:val="TableParagraph"/>
              <w:ind w:left="119"/>
              <w:rPr>
                <w:sz w:val="20"/>
              </w:rPr>
            </w:pPr>
            <w:r>
              <w:rPr>
                <w:spacing w:val="-2"/>
                <w:sz w:val="20"/>
              </w:rPr>
              <w:t>190.5</w:t>
            </w:r>
          </w:p>
        </w:tc>
        <w:tc>
          <w:tcPr>
            <w:tcW w:w="1154" w:type="dxa"/>
            <w:tcBorders>
              <w:left w:val="single" w:sz="4" w:space="0" w:color="000000"/>
              <w:right w:val="single" w:sz="4" w:space="0" w:color="000000"/>
            </w:tcBorders>
          </w:tcPr>
          <w:p>
            <w:pPr>
              <w:pStyle w:val="TableParagraph"/>
              <w:ind w:left="119"/>
              <w:rPr>
                <w:sz w:val="20"/>
              </w:rPr>
            </w:pPr>
            <w:r>
              <w:rPr>
                <w:spacing w:val="-2"/>
                <w:sz w:val="20"/>
              </w:rPr>
              <w:t>+15.6</w:t>
            </w:r>
          </w:p>
        </w:tc>
        <w:tc>
          <w:tcPr>
            <w:tcW w:w="2206" w:type="dxa"/>
            <w:tcBorders>
              <w:left w:val="single" w:sz="4" w:space="0" w:color="000000"/>
            </w:tcBorders>
          </w:tcPr>
          <w:p>
            <w:pPr>
              <w:pStyle w:val="TableParagraph"/>
              <w:ind w:left="119"/>
              <w:rPr>
                <w:sz w:val="20"/>
              </w:rPr>
            </w:pPr>
            <w:r>
              <w:rPr>
                <w:spacing w:val="-2"/>
                <w:sz w:val="20"/>
              </w:rPr>
              <w:t>Early, era-confounded</w:t>
            </w:r>
          </w:p>
        </w:tc>
      </w:tr>
      <w:tr>
        <w:trPr>
          <w:trHeight w:val="310" w:hRule="atLeast"/>
        </w:trPr>
        <w:tc>
          <w:tcPr>
            <w:tcW w:w="640" w:type="dxa"/>
            <w:tcBorders>
              <w:right w:val="single" w:sz="4" w:space="0" w:color="000000"/>
            </w:tcBorders>
          </w:tcPr>
          <w:p>
            <w:pPr>
              <w:pStyle w:val="TableParagraph"/>
              <w:ind w:left="119"/>
              <w:rPr>
                <w:sz w:val="20"/>
              </w:rPr>
            </w:pPr>
            <w:r>
              <w:rPr>
                <w:spacing w:val="-10"/>
                <w:sz w:val="20"/>
              </w:rPr>
              <w:t>9</w:t>
            </w:r>
          </w:p>
        </w:tc>
        <w:tc>
          <w:tcPr>
            <w:tcW w:w="1154" w:type="dxa"/>
            <w:tcBorders>
              <w:left w:val="single" w:sz="4" w:space="0" w:color="000000"/>
              <w:right w:val="single" w:sz="4" w:space="0" w:color="000000"/>
            </w:tcBorders>
          </w:tcPr>
          <w:p>
            <w:pPr>
              <w:pStyle w:val="TableParagraph"/>
              <w:ind w:right="8"/>
              <w:jc w:val="center"/>
              <w:rPr>
                <w:sz w:val="20"/>
              </w:rPr>
            </w:pPr>
            <w:r>
              <w:rPr>
                <w:spacing w:val="-2"/>
                <w:sz w:val="20"/>
              </w:rPr>
              <w:t>1934–</w:t>
            </w:r>
            <w:r>
              <w:rPr>
                <w:spacing w:val="-4"/>
                <w:sz w:val="20"/>
              </w:rPr>
              <w:t>2012</w:t>
            </w:r>
          </w:p>
        </w:tc>
        <w:tc>
          <w:tcPr>
            <w:tcW w:w="1154" w:type="dxa"/>
            <w:tcBorders>
              <w:left w:val="single" w:sz="4" w:space="0" w:color="000000"/>
              <w:right w:val="single" w:sz="4" w:space="0" w:color="000000"/>
            </w:tcBorders>
          </w:tcPr>
          <w:p>
            <w:pPr>
              <w:pStyle w:val="TableParagraph"/>
              <w:ind w:left="118"/>
              <w:rPr>
                <w:sz w:val="20"/>
              </w:rPr>
            </w:pPr>
            <w:r>
              <w:rPr>
                <w:spacing w:val="-2"/>
                <w:sz w:val="20"/>
              </w:rPr>
              <w:t>2013–</w:t>
            </w:r>
            <w:r>
              <w:rPr>
                <w:spacing w:val="-4"/>
                <w:sz w:val="20"/>
              </w:rPr>
              <w:t>2022</w:t>
            </w:r>
          </w:p>
        </w:tc>
        <w:tc>
          <w:tcPr>
            <w:tcW w:w="1097" w:type="dxa"/>
            <w:tcBorders>
              <w:left w:val="single" w:sz="4" w:space="0" w:color="000000"/>
              <w:right w:val="single" w:sz="4" w:space="0" w:color="000000"/>
            </w:tcBorders>
          </w:tcPr>
          <w:p>
            <w:pPr>
              <w:pStyle w:val="TableParagraph"/>
              <w:ind w:left="118"/>
              <w:rPr>
                <w:sz w:val="20"/>
              </w:rPr>
            </w:pPr>
            <w:r>
              <w:rPr>
                <w:spacing w:val="-2"/>
                <w:sz w:val="20"/>
              </w:rPr>
              <w:t>164.0</w:t>
            </w:r>
          </w:p>
        </w:tc>
        <w:tc>
          <w:tcPr>
            <w:tcW w:w="1097" w:type="dxa"/>
            <w:tcBorders>
              <w:left w:val="single" w:sz="4" w:space="0" w:color="000000"/>
              <w:right w:val="single" w:sz="4" w:space="0" w:color="000000"/>
            </w:tcBorders>
          </w:tcPr>
          <w:p>
            <w:pPr>
              <w:pStyle w:val="TableParagraph"/>
              <w:ind w:left="119"/>
              <w:rPr>
                <w:sz w:val="20"/>
              </w:rPr>
            </w:pPr>
            <w:r>
              <w:rPr>
                <w:spacing w:val="-2"/>
                <w:sz w:val="20"/>
              </w:rPr>
              <w:t>172.7</w:t>
            </w:r>
          </w:p>
        </w:tc>
        <w:tc>
          <w:tcPr>
            <w:tcW w:w="1154" w:type="dxa"/>
            <w:tcBorders>
              <w:left w:val="single" w:sz="4" w:space="0" w:color="000000"/>
              <w:right w:val="single" w:sz="4" w:space="0" w:color="000000"/>
            </w:tcBorders>
          </w:tcPr>
          <w:p>
            <w:pPr>
              <w:pStyle w:val="TableParagraph"/>
              <w:ind w:left="119"/>
              <w:rPr>
                <w:sz w:val="20"/>
              </w:rPr>
            </w:pPr>
            <w:r>
              <w:rPr>
                <w:spacing w:val="-4"/>
                <w:sz w:val="20"/>
              </w:rPr>
              <w:t>+8.7</w:t>
            </w:r>
          </w:p>
        </w:tc>
        <w:tc>
          <w:tcPr>
            <w:tcW w:w="2206" w:type="dxa"/>
            <w:tcBorders>
              <w:left w:val="single" w:sz="4" w:space="0" w:color="000000"/>
            </w:tcBorders>
          </w:tcPr>
          <w:p>
            <w:pPr>
              <w:pStyle w:val="TableParagraph"/>
              <w:ind w:left="119"/>
              <w:rPr>
                <w:sz w:val="20"/>
              </w:rPr>
            </w:pPr>
            <w:r>
              <w:rPr>
                <w:spacing w:val="-2"/>
                <w:sz w:val="20"/>
              </w:rPr>
              <w:t>Early, era-confounded</w:t>
            </w:r>
          </w:p>
        </w:tc>
      </w:tr>
      <w:tr>
        <w:trPr>
          <w:trHeight w:val="549" w:hRule="atLeast"/>
        </w:trPr>
        <w:tc>
          <w:tcPr>
            <w:tcW w:w="640" w:type="dxa"/>
            <w:tcBorders>
              <w:right w:val="single" w:sz="4" w:space="0" w:color="000000"/>
            </w:tcBorders>
          </w:tcPr>
          <w:p>
            <w:pPr>
              <w:pStyle w:val="TableParagraph"/>
              <w:ind w:left="119"/>
              <w:rPr>
                <w:sz w:val="20"/>
              </w:rPr>
            </w:pPr>
            <w:r>
              <w:rPr>
                <w:spacing w:val="-5"/>
                <w:sz w:val="20"/>
              </w:rPr>
              <w:t>10</w:t>
            </w:r>
          </w:p>
        </w:tc>
        <w:tc>
          <w:tcPr>
            <w:tcW w:w="1154" w:type="dxa"/>
            <w:tcBorders>
              <w:left w:val="single" w:sz="4" w:space="0" w:color="000000"/>
              <w:right w:val="single" w:sz="4" w:space="0" w:color="000000"/>
            </w:tcBorders>
          </w:tcPr>
          <w:p>
            <w:pPr>
              <w:pStyle w:val="TableParagraph"/>
              <w:ind w:right="8"/>
              <w:jc w:val="center"/>
              <w:rPr>
                <w:sz w:val="20"/>
              </w:rPr>
            </w:pPr>
            <w:r>
              <w:rPr>
                <w:spacing w:val="-2"/>
                <w:sz w:val="20"/>
              </w:rPr>
              <w:t>1934–</w:t>
            </w:r>
            <w:r>
              <w:rPr>
                <w:spacing w:val="-4"/>
                <w:sz w:val="20"/>
              </w:rPr>
              <w:t>2013</w:t>
            </w:r>
          </w:p>
        </w:tc>
        <w:tc>
          <w:tcPr>
            <w:tcW w:w="1154" w:type="dxa"/>
            <w:tcBorders>
              <w:left w:val="single" w:sz="4" w:space="0" w:color="000000"/>
              <w:right w:val="single" w:sz="4" w:space="0" w:color="000000"/>
            </w:tcBorders>
          </w:tcPr>
          <w:p>
            <w:pPr>
              <w:pStyle w:val="TableParagraph"/>
              <w:ind w:left="118"/>
              <w:rPr>
                <w:sz w:val="20"/>
              </w:rPr>
            </w:pPr>
            <w:r>
              <w:rPr>
                <w:spacing w:val="-2"/>
                <w:sz w:val="20"/>
              </w:rPr>
              <w:t>2014–</w:t>
            </w:r>
            <w:r>
              <w:rPr>
                <w:spacing w:val="-4"/>
                <w:sz w:val="20"/>
              </w:rPr>
              <w:t>2022</w:t>
            </w:r>
          </w:p>
        </w:tc>
        <w:tc>
          <w:tcPr>
            <w:tcW w:w="1097" w:type="dxa"/>
            <w:tcBorders>
              <w:left w:val="single" w:sz="4" w:space="0" w:color="000000"/>
              <w:right w:val="single" w:sz="4" w:space="0" w:color="000000"/>
            </w:tcBorders>
          </w:tcPr>
          <w:p>
            <w:pPr>
              <w:pStyle w:val="TableParagraph"/>
              <w:ind w:left="118"/>
              <w:rPr>
                <w:sz w:val="20"/>
              </w:rPr>
            </w:pPr>
            <w:r>
              <w:rPr>
                <w:spacing w:val="-2"/>
                <w:sz w:val="20"/>
              </w:rPr>
              <w:t>170.5</w:t>
            </w:r>
          </w:p>
        </w:tc>
        <w:tc>
          <w:tcPr>
            <w:tcW w:w="1097" w:type="dxa"/>
            <w:tcBorders>
              <w:left w:val="single" w:sz="4" w:space="0" w:color="000000"/>
              <w:right w:val="single" w:sz="4" w:space="0" w:color="000000"/>
            </w:tcBorders>
          </w:tcPr>
          <w:p>
            <w:pPr>
              <w:pStyle w:val="TableParagraph"/>
              <w:ind w:left="119"/>
              <w:rPr>
                <w:sz w:val="20"/>
              </w:rPr>
            </w:pPr>
            <w:r>
              <w:rPr>
                <w:spacing w:val="-2"/>
                <w:sz w:val="20"/>
              </w:rPr>
              <w:t>140.5</w:t>
            </w:r>
          </w:p>
        </w:tc>
        <w:tc>
          <w:tcPr>
            <w:tcW w:w="1154" w:type="dxa"/>
            <w:tcBorders>
              <w:left w:val="single" w:sz="4" w:space="0" w:color="000000"/>
              <w:right w:val="single" w:sz="4" w:space="0" w:color="000000"/>
            </w:tcBorders>
          </w:tcPr>
          <w:p>
            <w:pPr>
              <w:pStyle w:val="TableParagraph"/>
              <w:ind w:left="119"/>
              <w:rPr>
                <w:sz w:val="20"/>
              </w:rPr>
            </w:pPr>
            <w:r>
              <w:rPr>
                <w:spacing w:val="-2"/>
                <w:sz w:val="20"/>
              </w:rPr>
              <w:t>-</w:t>
            </w:r>
            <w:r>
              <w:rPr>
                <w:spacing w:val="-4"/>
                <w:sz w:val="20"/>
              </w:rPr>
              <w:t>30.0</w:t>
            </w:r>
          </w:p>
        </w:tc>
        <w:tc>
          <w:tcPr>
            <w:tcW w:w="2206" w:type="dxa"/>
            <w:tcBorders>
              <w:left w:val="single" w:sz="4" w:space="0" w:color="000000"/>
            </w:tcBorders>
          </w:tcPr>
          <w:p>
            <w:pPr>
              <w:pStyle w:val="TableParagraph"/>
              <w:spacing w:line="211" w:lineRule="auto" w:before="2"/>
              <w:ind w:left="112" w:firstLine="7"/>
              <w:rPr>
                <w:sz w:val="20"/>
              </w:rPr>
            </w:pPr>
            <w:r>
              <w:rPr>
                <w:sz w:val="20"/>
              </w:rPr>
              <w:t>Balanced</w:t>
            </w:r>
            <w:r>
              <w:rPr>
                <w:spacing w:val="5"/>
                <w:sz w:val="20"/>
              </w:rPr>
              <w:t> </w:t>
            </w:r>
            <w:r>
              <w:rPr>
                <w:sz w:val="20"/>
              </w:rPr>
              <w:t>era</w:t>
            </w:r>
            <w:r>
              <w:rPr>
                <w:spacing w:val="5"/>
                <w:sz w:val="20"/>
              </w:rPr>
              <w:t> </w:t>
            </w:r>
            <w:r>
              <w:rPr>
                <w:rFonts w:ascii="Meiryo UI" w:hAnsi="Meiryo UI"/>
                <w:i/>
                <w:sz w:val="20"/>
              </w:rPr>
              <w:t>⋆</w:t>
            </w:r>
            <w:r>
              <w:rPr>
                <w:rFonts w:ascii="Meiryo UI" w:hAnsi="Meiryo UI"/>
                <w:i/>
                <w:spacing w:val="-13"/>
                <w:sz w:val="20"/>
              </w:rPr>
              <w:t> </w:t>
            </w:r>
            <w:r>
              <w:rPr>
                <w:sz w:val="20"/>
              </w:rPr>
              <w:t>CarenR </w:t>
            </w:r>
            <w:r>
              <w:rPr>
                <w:spacing w:val="-4"/>
                <w:sz w:val="20"/>
              </w:rPr>
              <w:t>wins</w:t>
            </w:r>
          </w:p>
        </w:tc>
      </w:tr>
      <w:tr>
        <w:trPr>
          <w:trHeight w:val="549" w:hRule="atLeast"/>
        </w:trPr>
        <w:tc>
          <w:tcPr>
            <w:tcW w:w="640" w:type="dxa"/>
            <w:tcBorders>
              <w:right w:val="single" w:sz="4" w:space="0" w:color="000000"/>
            </w:tcBorders>
          </w:tcPr>
          <w:p>
            <w:pPr>
              <w:pStyle w:val="TableParagraph"/>
              <w:ind w:left="119"/>
              <w:rPr>
                <w:sz w:val="20"/>
              </w:rPr>
            </w:pPr>
            <w:r>
              <w:rPr>
                <w:spacing w:val="-5"/>
                <w:sz w:val="20"/>
              </w:rPr>
              <w:t>11</w:t>
            </w:r>
          </w:p>
        </w:tc>
        <w:tc>
          <w:tcPr>
            <w:tcW w:w="1154" w:type="dxa"/>
            <w:tcBorders>
              <w:left w:val="single" w:sz="4" w:space="0" w:color="000000"/>
              <w:right w:val="single" w:sz="4" w:space="0" w:color="000000"/>
            </w:tcBorders>
          </w:tcPr>
          <w:p>
            <w:pPr>
              <w:pStyle w:val="TableParagraph"/>
              <w:ind w:right="8"/>
              <w:jc w:val="center"/>
              <w:rPr>
                <w:sz w:val="20"/>
              </w:rPr>
            </w:pPr>
            <w:r>
              <w:rPr>
                <w:spacing w:val="-2"/>
                <w:sz w:val="20"/>
              </w:rPr>
              <w:t>1934–</w:t>
            </w:r>
            <w:r>
              <w:rPr>
                <w:spacing w:val="-4"/>
                <w:sz w:val="20"/>
              </w:rPr>
              <w:t>2014</w:t>
            </w:r>
          </w:p>
        </w:tc>
        <w:tc>
          <w:tcPr>
            <w:tcW w:w="1154" w:type="dxa"/>
            <w:tcBorders>
              <w:left w:val="single" w:sz="4" w:space="0" w:color="000000"/>
              <w:right w:val="single" w:sz="4" w:space="0" w:color="000000"/>
            </w:tcBorders>
          </w:tcPr>
          <w:p>
            <w:pPr>
              <w:pStyle w:val="TableParagraph"/>
              <w:ind w:left="118"/>
              <w:rPr>
                <w:sz w:val="20"/>
              </w:rPr>
            </w:pPr>
            <w:r>
              <w:rPr>
                <w:spacing w:val="-2"/>
                <w:sz w:val="20"/>
              </w:rPr>
              <w:t>2015–</w:t>
            </w:r>
            <w:r>
              <w:rPr>
                <w:spacing w:val="-4"/>
                <w:sz w:val="20"/>
              </w:rPr>
              <w:t>2022</w:t>
            </w:r>
          </w:p>
        </w:tc>
        <w:tc>
          <w:tcPr>
            <w:tcW w:w="1097" w:type="dxa"/>
            <w:tcBorders>
              <w:left w:val="single" w:sz="4" w:space="0" w:color="000000"/>
              <w:right w:val="single" w:sz="4" w:space="0" w:color="000000"/>
            </w:tcBorders>
          </w:tcPr>
          <w:p>
            <w:pPr>
              <w:pStyle w:val="TableParagraph"/>
              <w:ind w:left="118"/>
              <w:rPr>
                <w:sz w:val="20"/>
              </w:rPr>
            </w:pPr>
            <w:r>
              <w:rPr>
                <w:spacing w:val="-2"/>
                <w:sz w:val="20"/>
              </w:rPr>
              <w:t>165.4</w:t>
            </w:r>
          </w:p>
        </w:tc>
        <w:tc>
          <w:tcPr>
            <w:tcW w:w="1097" w:type="dxa"/>
            <w:tcBorders>
              <w:left w:val="single" w:sz="4" w:space="0" w:color="000000"/>
              <w:right w:val="single" w:sz="4" w:space="0" w:color="000000"/>
            </w:tcBorders>
          </w:tcPr>
          <w:p>
            <w:pPr>
              <w:pStyle w:val="TableParagraph"/>
              <w:ind w:left="119"/>
              <w:rPr>
                <w:sz w:val="20"/>
              </w:rPr>
            </w:pPr>
            <w:r>
              <w:rPr>
                <w:spacing w:val="-2"/>
                <w:sz w:val="20"/>
              </w:rPr>
              <w:t>148.3</w:t>
            </w:r>
          </w:p>
        </w:tc>
        <w:tc>
          <w:tcPr>
            <w:tcW w:w="1154" w:type="dxa"/>
            <w:tcBorders>
              <w:left w:val="single" w:sz="4" w:space="0" w:color="000000"/>
              <w:right w:val="single" w:sz="4" w:space="0" w:color="000000"/>
            </w:tcBorders>
          </w:tcPr>
          <w:p>
            <w:pPr>
              <w:pStyle w:val="TableParagraph"/>
              <w:ind w:left="119"/>
              <w:rPr>
                <w:sz w:val="20"/>
              </w:rPr>
            </w:pPr>
            <w:r>
              <w:rPr>
                <w:spacing w:val="-2"/>
                <w:sz w:val="20"/>
              </w:rPr>
              <w:t>-</w:t>
            </w:r>
            <w:r>
              <w:rPr>
                <w:spacing w:val="-4"/>
                <w:sz w:val="20"/>
              </w:rPr>
              <w:t>17.1</w:t>
            </w:r>
          </w:p>
        </w:tc>
        <w:tc>
          <w:tcPr>
            <w:tcW w:w="2206" w:type="dxa"/>
            <w:tcBorders>
              <w:left w:val="single" w:sz="4" w:space="0" w:color="000000"/>
            </w:tcBorders>
          </w:tcPr>
          <w:p>
            <w:pPr>
              <w:pStyle w:val="TableParagraph"/>
              <w:spacing w:line="211" w:lineRule="auto" w:before="3"/>
              <w:ind w:left="112" w:firstLine="7"/>
              <w:rPr>
                <w:sz w:val="20"/>
              </w:rPr>
            </w:pPr>
            <w:r>
              <w:rPr>
                <w:sz w:val="20"/>
              </w:rPr>
              <w:t>Balanced</w:t>
            </w:r>
            <w:r>
              <w:rPr>
                <w:spacing w:val="5"/>
                <w:sz w:val="20"/>
              </w:rPr>
              <w:t> </w:t>
            </w:r>
            <w:r>
              <w:rPr>
                <w:sz w:val="20"/>
              </w:rPr>
              <w:t>era</w:t>
            </w:r>
            <w:r>
              <w:rPr>
                <w:spacing w:val="5"/>
                <w:sz w:val="20"/>
              </w:rPr>
              <w:t> </w:t>
            </w:r>
            <w:r>
              <w:rPr>
                <w:rFonts w:ascii="Meiryo UI" w:hAnsi="Meiryo UI"/>
                <w:i/>
                <w:sz w:val="20"/>
              </w:rPr>
              <w:t>⋆</w:t>
            </w:r>
            <w:r>
              <w:rPr>
                <w:rFonts w:ascii="Meiryo UI" w:hAnsi="Meiryo UI"/>
                <w:i/>
                <w:spacing w:val="-13"/>
                <w:sz w:val="20"/>
              </w:rPr>
              <w:t> </w:t>
            </w:r>
            <w:r>
              <w:rPr>
                <w:sz w:val="20"/>
              </w:rPr>
              <w:t>CarenR </w:t>
            </w:r>
            <w:r>
              <w:rPr>
                <w:spacing w:val="-4"/>
                <w:sz w:val="20"/>
              </w:rPr>
              <w:t>wins</w:t>
            </w:r>
          </w:p>
        </w:tc>
      </w:tr>
      <w:tr>
        <w:trPr>
          <w:trHeight w:val="549" w:hRule="atLeast"/>
        </w:trPr>
        <w:tc>
          <w:tcPr>
            <w:tcW w:w="640" w:type="dxa"/>
            <w:tcBorders>
              <w:right w:val="single" w:sz="4" w:space="0" w:color="000000"/>
            </w:tcBorders>
          </w:tcPr>
          <w:p>
            <w:pPr>
              <w:pStyle w:val="TableParagraph"/>
              <w:ind w:left="119"/>
              <w:rPr>
                <w:sz w:val="20"/>
              </w:rPr>
            </w:pPr>
            <w:r>
              <w:rPr>
                <w:spacing w:val="-5"/>
                <w:sz w:val="20"/>
              </w:rPr>
              <w:t>12</w:t>
            </w:r>
          </w:p>
        </w:tc>
        <w:tc>
          <w:tcPr>
            <w:tcW w:w="1154" w:type="dxa"/>
            <w:tcBorders>
              <w:left w:val="single" w:sz="4" w:space="0" w:color="000000"/>
              <w:right w:val="single" w:sz="4" w:space="0" w:color="000000"/>
            </w:tcBorders>
          </w:tcPr>
          <w:p>
            <w:pPr>
              <w:pStyle w:val="TableParagraph"/>
              <w:ind w:right="8"/>
              <w:jc w:val="center"/>
              <w:rPr>
                <w:sz w:val="20"/>
              </w:rPr>
            </w:pPr>
            <w:r>
              <w:rPr>
                <w:spacing w:val="-2"/>
                <w:sz w:val="20"/>
              </w:rPr>
              <w:t>1934–</w:t>
            </w:r>
            <w:r>
              <w:rPr>
                <w:spacing w:val="-4"/>
                <w:sz w:val="20"/>
              </w:rPr>
              <w:t>2015</w:t>
            </w:r>
          </w:p>
        </w:tc>
        <w:tc>
          <w:tcPr>
            <w:tcW w:w="1154" w:type="dxa"/>
            <w:tcBorders>
              <w:left w:val="single" w:sz="4" w:space="0" w:color="000000"/>
              <w:right w:val="single" w:sz="4" w:space="0" w:color="000000"/>
            </w:tcBorders>
          </w:tcPr>
          <w:p>
            <w:pPr>
              <w:pStyle w:val="TableParagraph"/>
              <w:ind w:left="118"/>
              <w:rPr>
                <w:sz w:val="20"/>
              </w:rPr>
            </w:pPr>
            <w:r>
              <w:rPr>
                <w:spacing w:val="-2"/>
                <w:sz w:val="20"/>
              </w:rPr>
              <w:t>2016–</w:t>
            </w:r>
            <w:r>
              <w:rPr>
                <w:spacing w:val="-4"/>
                <w:sz w:val="20"/>
              </w:rPr>
              <w:t>2022</w:t>
            </w:r>
          </w:p>
        </w:tc>
        <w:tc>
          <w:tcPr>
            <w:tcW w:w="1097" w:type="dxa"/>
            <w:tcBorders>
              <w:left w:val="single" w:sz="4" w:space="0" w:color="000000"/>
              <w:right w:val="single" w:sz="4" w:space="0" w:color="000000"/>
            </w:tcBorders>
          </w:tcPr>
          <w:p>
            <w:pPr>
              <w:pStyle w:val="TableParagraph"/>
              <w:ind w:left="118"/>
              <w:rPr>
                <w:sz w:val="20"/>
              </w:rPr>
            </w:pPr>
            <w:r>
              <w:rPr>
                <w:spacing w:val="-2"/>
                <w:sz w:val="20"/>
              </w:rPr>
              <w:t>186.7</w:t>
            </w:r>
          </w:p>
        </w:tc>
        <w:tc>
          <w:tcPr>
            <w:tcW w:w="1097" w:type="dxa"/>
            <w:tcBorders>
              <w:left w:val="single" w:sz="4" w:space="0" w:color="000000"/>
              <w:right w:val="single" w:sz="4" w:space="0" w:color="000000"/>
            </w:tcBorders>
          </w:tcPr>
          <w:p>
            <w:pPr>
              <w:pStyle w:val="TableParagraph"/>
              <w:ind w:left="119"/>
              <w:rPr>
                <w:sz w:val="20"/>
              </w:rPr>
            </w:pPr>
            <w:r>
              <w:rPr>
                <w:spacing w:val="-2"/>
                <w:sz w:val="20"/>
              </w:rPr>
              <w:t>158.9</w:t>
            </w:r>
          </w:p>
        </w:tc>
        <w:tc>
          <w:tcPr>
            <w:tcW w:w="1154" w:type="dxa"/>
            <w:tcBorders>
              <w:left w:val="single" w:sz="4" w:space="0" w:color="000000"/>
              <w:right w:val="single" w:sz="4" w:space="0" w:color="000000"/>
            </w:tcBorders>
          </w:tcPr>
          <w:p>
            <w:pPr>
              <w:pStyle w:val="TableParagraph"/>
              <w:ind w:left="119"/>
              <w:rPr>
                <w:sz w:val="20"/>
              </w:rPr>
            </w:pPr>
            <w:r>
              <w:rPr>
                <w:spacing w:val="-2"/>
                <w:sz w:val="20"/>
              </w:rPr>
              <w:t>-</w:t>
            </w:r>
            <w:r>
              <w:rPr>
                <w:spacing w:val="-4"/>
                <w:sz w:val="20"/>
              </w:rPr>
              <w:t>27.9</w:t>
            </w:r>
          </w:p>
        </w:tc>
        <w:tc>
          <w:tcPr>
            <w:tcW w:w="2206" w:type="dxa"/>
            <w:tcBorders>
              <w:left w:val="single" w:sz="4" w:space="0" w:color="000000"/>
            </w:tcBorders>
          </w:tcPr>
          <w:p>
            <w:pPr>
              <w:pStyle w:val="TableParagraph"/>
              <w:spacing w:line="211" w:lineRule="auto" w:before="3"/>
              <w:ind w:left="112" w:firstLine="7"/>
              <w:rPr>
                <w:sz w:val="20"/>
              </w:rPr>
            </w:pPr>
            <w:r>
              <w:rPr>
                <w:sz w:val="20"/>
              </w:rPr>
              <w:t>Balanced</w:t>
            </w:r>
            <w:r>
              <w:rPr>
                <w:spacing w:val="5"/>
                <w:sz w:val="20"/>
              </w:rPr>
              <w:t> </w:t>
            </w:r>
            <w:r>
              <w:rPr>
                <w:sz w:val="20"/>
              </w:rPr>
              <w:t>era</w:t>
            </w:r>
            <w:r>
              <w:rPr>
                <w:spacing w:val="5"/>
                <w:sz w:val="20"/>
              </w:rPr>
              <w:t> </w:t>
            </w:r>
            <w:r>
              <w:rPr>
                <w:rFonts w:ascii="Meiryo UI" w:hAnsi="Meiryo UI"/>
                <w:i/>
                <w:sz w:val="20"/>
              </w:rPr>
              <w:t>⋆</w:t>
            </w:r>
            <w:r>
              <w:rPr>
                <w:rFonts w:ascii="Meiryo UI" w:hAnsi="Meiryo UI"/>
                <w:i/>
                <w:spacing w:val="-13"/>
                <w:sz w:val="20"/>
              </w:rPr>
              <w:t> </w:t>
            </w:r>
            <w:r>
              <w:rPr>
                <w:sz w:val="20"/>
              </w:rPr>
              <w:t>CarenR </w:t>
            </w:r>
            <w:r>
              <w:rPr>
                <w:spacing w:val="-4"/>
                <w:sz w:val="20"/>
              </w:rPr>
              <w:t>wins</w:t>
            </w:r>
          </w:p>
        </w:tc>
      </w:tr>
      <w:tr>
        <w:trPr>
          <w:trHeight w:val="549" w:hRule="atLeast"/>
        </w:trPr>
        <w:tc>
          <w:tcPr>
            <w:tcW w:w="640" w:type="dxa"/>
            <w:tcBorders>
              <w:right w:val="single" w:sz="4" w:space="0" w:color="000000"/>
            </w:tcBorders>
          </w:tcPr>
          <w:p>
            <w:pPr>
              <w:pStyle w:val="TableParagraph"/>
              <w:ind w:left="119"/>
              <w:rPr>
                <w:sz w:val="20"/>
              </w:rPr>
            </w:pPr>
            <w:r>
              <w:rPr>
                <w:spacing w:val="-5"/>
                <w:sz w:val="20"/>
              </w:rPr>
              <w:t>13</w:t>
            </w:r>
          </w:p>
        </w:tc>
        <w:tc>
          <w:tcPr>
            <w:tcW w:w="1154" w:type="dxa"/>
            <w:tcBorders>
              <w:left w:val="single" w:sz="4" w:space="0" w:color="000000"/>
              <w:right w:val="single" w:sz="4" w:space="0" w:color="000000"/>
            </w:tcBorders>
          </w:tcPr>
          <w:p>
            <w:pPr>
              <w:pStyle w:val="TableParagraph"/>
              <w:ind w:right="8"/>
              <w:jc w:val="center"/>
              <w:rPr>
                <w:sz w:val="20"/>
              </w:rPr>
            </w:pPr>
            <w:r>
              <w:rPr>
                <w:spacing w:val="-2"/>
                <w:sz w:val="20"/>
              </w:rPr>
              <w:t>1934–</w:t>
            </w:r>
            <w:r>
              <w:rPr>
                <w:spacing w:val="-4"/>
                <w:sz w:val="20"/>
              </w:rPr>
              <w:t>2016</w:t>
            </w:r>
          </w:p>
        </w:tc>
        <w:tc>
          <w:tcPr>
            <w:tcW w:w="1154" w:type="dxa"/>
            <w:tcBorders>
              <w:left w:val="single" w:sz="4" w:space="0" w:color="000000"/>
              <w:right w:val="single" w:sz="4" w:space="0" w:color="000000"/>
            </w:tcBorders>
          </w:tcPr>
          <w:p>
            <w:pPr>
              <w:pStyle w:val="TableParagraph"/>
              <w:ind w:left="118"/>
              <w:rPr>
                <w:sz w:val="20"/>
              </w:rPr>
            </w:pPr>
            <w:r>
              <w:rPr>
                <w:spacing w:val="-2"/>
                <w:sz w:val="20"/>
              </w:rPr>
              <w:t>2017–</w:t>
            </w:r>
            <w:r>
              <w:rPr>
                <w:spacing w:val="-4"/>
                <w:sz w:val="20"/>
              </w:rPr>
              <w:t>2022</w:t>
            </w:r>
          </w:p>
        </w:tc>
        <w:tc>
          <w:tcPr>
            <w:tcW w:w="1097" w:type="dxa"/>
            <w:tcBorders>
              <w:left w:val="single" w:sz="4" w:space="0" w:color="000000"/>
              <w:right w:val="single" w:sz="4" w:space="0" w:color="000000"/>
            </w:tcBorders>
          </w:tcPr>
          <w:p>
            <w:pPr>
              <w:pStyle w:val="TableParagraph"/>
              <w:ind w:left="118"/>
              <w:rPr>
                <w:sz w:val="20"/>
              </w:rPr>
            </w:pPr>
            <w:r>
              <w:rPr>
                <w:spacing w:val="-2"/>
                <w:sz w:val="20"/>
              </w:rPr>
              <w:t>170.1</w:t>
            </w:r>
          </w:p>
        </w:tc>
        <w:tc>
          <w:tcPr>
            <w:tcW w:w="1097" w:type="dxa"/>
            <w:tcBorders>
              <w:left w:val="single" w:sz="4" w:space="0" w:color="000000"/>
              <w:right w:val="single" w:sz="4" w:space="0" w:color="000000"/>
            </w:tcBorders>
          </w:tcPr>
          <w:p>
            <w:pPr>
              <w:pStyle w:val="TableParagraph"/>
              <w:ind w:left="119"/>
              <w:rPr>
                <w:sz w:val="20"/>
              </w:rPr>
            </w:pPr>
            <w:r>
              <w:rPr>
                <w:spacing w:val="-2"/>
                <w:sz w:val="20"/>
              </w:rPr>
              <w:t>138.6</w:t>
            </w:r>
          </w:p>
        </w:tc>
        <w:tc>
          <w:tcPr>
            <w:tcW w:w="1154" w:type="dxa"/>
            <w:tcBorders>
              <w:left w:val="single" w:sz="4" w:space="0" w:color="000000"/>
              <w:right w:val="single" w:sz="4" w:space="0" w:color="000000"/>
            </w:tcBorders>
          </w:tcPr>
          <w:p>
            <w:pPr>
              <w:pStyle w:val="TableParagraph"/>
              <w:ind w:left="119"/>
              <w:rPr>
                <w:sz w:val="20"/>
              </w:rPr>
            </w:pPr>
            <w:r>
              <w:rPr>
                <w:spacing w:val="-2"/>
                <w:sz w:val="20"/>
              </w:rPr>
              <w:t>-</w:t>
            </w:r>
            <w:r>
              <w:rPr>
                <w:spacing w:val="-4"/>
                <w:sz w:val="20"/>
              </w:rPr>
              <w:t>31.5</w:t>
            </w:r>
          </w:p>
        </w:tc>
        <w:tc>
          <w:tcPr>
            <w:tcW w:w="2206" w:type="dxa"/>
            <w:tcBorders>
              <w:left w:val="single" w:sz="4" w:space="0" w:color="000000"/>
            </w:tcBorders>
          </w:tcPr>
          <w:p>
            <w:pPr>
              <w:pStyle w:val="TableParagraph"/>
              <w:spacing w:line="211" w:lineRule="auto" w:before="3"/>
              <w:ind w:left="112" w:firstLine="7"/>
              <w:rPr>
                <w:sz w:val="20"/>
              </w:rPr>
            </w:pPr>
            <w:r>
              <w:rPr>
                <w:sz w:val="20"/>
              </w:rPr>
              <w:t>Balanced</w:t>
            </w:r>
            <w:r>
              <w:rPr>
                <w:spacing w:val="5"/>
                <w:sz w:val="20"/>
              </w:rPr>
              <w:t> </w:t>
            </w:r>
            <w:r>
              <w:rPr>
                <w:sz w:val="20"/>
              </w:rPr>
              <w:t>era</w:t>
            </w:r>
            <w:r>
              <w:rPr>
                <w:spacing w:val="5"/>
                <w:sz w:val="20"/>
              </w:rPr>
              <w:t> </w:t>
            </w:r>
            <w:r>
              <w:rPr>
                <w:rFonts w:ascii="Meiryo UI" w:hAnsi="Meiryo UI"/>
                <w:i/>
                <w:sz w:val="20"/>
              </w:rPr>
              <w:t>⋆</w:t>
            </w:r>
            <w:r>
              <w:rPr>
                <w:rFonts w:ascii="Meiryo UI" w:hAnsi="Meiryo UI"/>
                <w:i/>
                <w:spacing w:val="-13"/>
                <w:sz w:val="20"/>
              </w:rPr>
              <w:t> </w:t>
            </w:r>
            <w:r>
              <w:rPr>
                <w:sz w:val="20"/>
              </w:rPr>
              <w:t>CarenR </w:t>
            </w:r>
            <w:r>
              <w:rPr>
                <w:spacing w:val="-4"/>
                <w:sz w:val="20"/>
              </w:rPr>
              <w:t>wins</w:t>
            </w:r>
          </w:p>
        </w:tc>
      </w:tr>
      <w:tr>
        <w:trPr>
          <w:trHeight w:val="549" w:hRule="atLeast"/>
        </w:trPr>
        <w:tc>
          <w:tcPr>
            <w:tcW w:w="640" w:type="dxa"/>
            <w:tcBorders>
              <w:right w:val="single" w:sz="4" w:space="0" w:color="000000"/>
            </w:tcBorders>
          </w:tcPr>
          <w:p>
            <w:pPr>
              <w:pStyle w:val="TableParagraph"/>
              <w:ind w:left="119"/>
              <w:rPr>
                <w:sz w:val="20"/>
              </w:rPr>
            </w:pPr>
            <w:r>
              <w:rPr>
                <w:spacing w:val="-5"/>
                <w:sz w:val="20"/>
              </w:rPr>
              <w:t>14</w:t>
            </w:r>
          </w:p>
        </w:tc>
        <w:tc>
          <w:tcPr>
            <w:tcW w:w="1154" w:type="dxa"/>
            <w:tcBorders>
              <w:left w:val="single" w:sz="4" w:space="0" w:color="000000"/>
              <w:right w:val="single" w:sz="4" w:space="0" w:color="000000"/>
            </w:tcBorders>
          </w:tcPr>
          <w:p>
            <w:pPr>
              <w:pStyle w:val="TableParagraph"/>
              <w:ind w:right="8"/>
              <w:jc w:val="center"/>
              <w:rPr>
                <w:sz w:val="20"/>
              </w:rPr>
            </w:pPr>
            <w:r>
              <w:rPr>
                <w:spacing w:val="-2"/>
                <w:sz w:val="20"/>
              </w:rPr>
              <w:t>1934–</w:t>
            </w:r>
            <w:r>
              <w:rPr>
                <w:spacing w:val="-4"/>
                <w:sz w:val="20"/>
              </w:rPr>
              <w:t>2017</w:t>
            </w:r>
          </w:p>
        </w:tc>
        <w:tc>
          <w:tcPr>
            <w:tcW w:w="1154" w:type="dxa"/>
            <w:tcBorders>
              <w:left w:val="single" w:sz="4" w:space="0" w:color="000000"/>
              <w:right w:val="single" w:sz="4" w:space="0" w:color="000000"/>
            </w:tcBorders>
          </w:tcPr>
          <w:p>
            <w:pPr>
              <w:pStyle w:val="TableParagraph"/>
              <w:ind w:left="118"/>
              <w:rPr>
                <w:sz w:val="20"/>
              </w:rPr>
            </w:pPr>
            <w:r>
              <w:rPr>
                <w:spacing w:val="-2"/>
                <w:sz w:val="20"/>
              </w:rPr>
              <w:t>2018–</w:t>
            </w:r>
            <w:r>
              <w:rPr>
                <w:spacing w:val="-4"/>
                <w:sz w:val="20"/>
              </w:rPr>
              <w:t>2022</w:t>
            </w:r>
          </w:p>
        </w:tc>
        <w:tc>
          <w:tcPr>
            <w:tcW w:w="1097" w:type="dxa"/>
            <w:tcBorders>
              <w:left w:val="single" w:sz="4" w:space="0" w:color="000000"/>
              <w:right w:val="single" w:sz="4" w:space="0" w:color="000000"/>
            </w:tcBorders>
          </w:tcPr>
          <w:p>
            <w:pPr>
              <w:pStyle w:val="TableParagraph"/>
              <w:ind w:left="118"/>
              <w:rPr>
                <w:sz w:val="20"/>
              </w:rPr>
            </w:pPr>
            <w:r>
              <w:rPr>
                <w:spacing w:val="-2"/>
                <w:sz w:val="20"/>
              </w:rPr>
              <w:t>176.3</w:t>
            </w:r>
          </w:p>
        </w:tc>
        <w:tc>
          <w:tcPr>
            <w:tcW w:w="1097" w:type="dxa"/>
            <w:tcBorders>
              <w:left w:val="single" w:sz="4" w:space="0" w:color="000000"/>
              <w:right w:val="single" w:sz="4" w:space="0" w:color="000000"/>
            </w:tcBorders>
          </w:tcPr>
          <w:p>
            <w:pPr>
              <w:pStyle w:val="TableParagraph"/>
              <w:ind w:left="119"/>
              <w:rPr>
                <w:sz w:val="20"/>
              </w:rPr>
            </w:pPr>
            <w:r>
              <w:rPr>
                <w:spacing w:val="-2"/>
                <w:sz w:val="20"/>
              </w:rPr>
              <w:t>145.0</w:t>
            </w:r>
          </w:p>
        </w:tc>
        <w:tc>
          <w:tcPr>
            <w:tcW w:w="1154" w:type="dxa"/>
            <w:tcBorders>
              <w:left w:val="single" w:sz="4" w:space="0" w:color="000000"/>
              <w:right w:val="single" w:sz="4" w:space="0" w:color="000000"/>
            </w:tcBorders>
          </w:tcPr>
          <w:p>
            <w:pPr>
              <w:pStyle w:val="TableParagraph"/>
              <w:ind w:left="119"/>
              <w:rPr>
                <w:sz w:val="20"/>
              </w:rPr>
            </w:pPr>
            <w:r>
              <w:rPr>
                <w:spacing w:val="-2"/>
                <w:sz w:val="20"/>
              </w:rPr>
              <w:t>-</w:t>
            </w:r>
            <w:r>
              <w:rPr>
                <w:spacing w:val="-4"/>
                <w:sz w:val="20"/>
              </w:rPr>
              <w:t>31.3</w:t>
            </w:r>
          </w:p>
        </w:tc>
        <w:tc>
          <w:tcPr>
            <w:tcW w:w="2206" w:type="dxa"/>
            <w:tcBorders>
              <w:left w:val="single" w:sz="4" w:space="0" w:color="000000"/>
            </w:tcBorders>
          </w:tcPr>
          <w:p>
            <w:pPr>
              <w:pStyle w:val="TableParagraph"/>
              <w:spacing w:line="211" w:lineRule="auto" w:before="3"/>
              <w:ind w:left="112" w:firstLine="7"/>
              <w:rPr>
                <w:sz w:val="20"/>
              </w:rPr>
            </w:pPr>
            <w:r>
              <w:rPr>
                <w:sz w:val="20"/>
              </w:rPr>
              <w:t>Balanced</w:t>
            </w:r>
            <w:r>
              <w:rPr>
                <w:spacing w:val="5"/>
                <w:sz w:val="20"/>
              </w:rPr>
              <w:t> </w:t>
            </w:r>
            <w:r>
              <w:rPr>
                <w:sz w:val="20"/>
              </w:rPr>
              <w:t>era</w:t>
            </w:r>
            <w:r>
              <w:rPr>
                <w:spacing w:val="5"/>
                <w:sz w:val="20"/>
              </w:rPr>
              <w:t> </w:t>
            </w:r>
            <w:r>
              <w:rPr>
                <w:rFonts w:ascii="Meiryo UI" w:hAnsi="Meiryo UI"/>
                <w:i/>
                <w:sz w:val="20"/>
              </w:rPr>
              <w:t>⋆</w:t>
            </w:r>
            <w:r>
              <w:rPr>
                <w:rFonts w:ascii="Meiryo UI" w:hAnsi="Meiryo UI"/>
                <w:i/>
                <w:spacing w:val="-13"/>
                <w:sz w:val="20"/>
              </w:rPr>
              <w:t> </w:t>
            </w:r>
            <w:r>
              <w:rPr>
                <w:sz w:val="20"/>
              </w:rPr>
              <w:t>CarenR </w:t>
            </w:r>
            <w:r>
              <w:rPr>
                <w:spacing w:val="-4"/>
                <w:sz w:val="20"/>
              </w:rPr>
              <w:t>wins</w:t>
            </w:r>
          </w:p>
        </w:tc>
      </w:tr>
      <w:tr>
        <w:trPr>
          <w:trHeight w:val="310" w:hRule="atLeast"/>
        </w:trPr>
        <w:tc>
          <w:tcPr>
            <w:tcW w:w="640" w:type="dxa"/>
            <w:tcBorders>
              <w:right w:val="single" w:sz="4" w:space="0" w:color="000000"/>
            </w:tcBorders>
          </w:tcPr>
          <w:p>
            <w:pPr>
              <w:pStyle w:val="TableParagraph"/>
              <w:ind w:left="119"/>
              <w:rPr>
                <w:sz w:val="20"/>
              </w:rPr>
            </w:pPr>
            <w:r>
              <w:rPr>
                <w:spacing w:val="-5"/>
                <w:sz w:val="20"/>
              </w:rPr>
              <w:t>15</w:t>
            </w:r>
          </w:p>
        </w:tc>
        <w:tc>
          <w:tcPr>
            <w:tcW w:w="1154" w:type="dxa"/>
            <w:tcBorders>
              <w:left w:val="single" w:sz="4" w:space="0" w:color="000000"/>
              <w:right w:val="single" w:sz="4" w:space="0" w:color="000000"/>
            </w:tcBorders>
          </w:tcPr>
          <w:p>
            <w:pPr>
              <w:pStyle w:val="TableParagraph"/>
              <w:ind w:right="8"/>
              <w:jc w:val="center"/>
              <w:rPr>
                <w:sz w:val="20"/>
              </w:rPr>
            </w:pPr>
            <w:r>
              <w:rPr>
                <w:spacing w:val="-2"/>
                <w:sz w:val="20"/>
              </w:rPr>
              <w:t>1934–</w:t>
            </w:r>
            <w:r>
              <w:rPr>
                <w:spacing w:val="-4"/>
                <w:sz w:val="20"/>
              </w:rPr>
              <w:t>2018</w:t>
            </w:r>
          </w:p>
        </w:tc>
        <w:tc>
          <w:tcPr>
            <w:tcW w:w="1154" w:type="dxa"/>
            <w:tcBorders>
              <w:left w:val="single" w:sz="4" w:space="0" w:color="000000"/>
              <w:right w:val="single" w:sz="4" w:space="0" w:color="000000"/>
            </w:tcBorders>
          </w:tcPr>
          <w:p>
            <w:pPr>
              <w:pStyle w:val="TableParagraph"/>
              <w:ind w:left="118"/>
              <w:rPr>
                <w:sz w:val="20"/>
              </w:rPr>
            </w:pPr>
            <w:r>
              <w:rPr>
                <w:spacing w:val="-2"/>
                <w:sz w:val="20"/>
              </w:rPr>
              <w:t>2019–</w:t>
            </w:r>
            <w:r>
              <w:rPr>
                <w:spacing w:val="-4"/>
                <w:sz w:val="20"/>
              </w:rPr>
              <w:t>2022</w:t>
            </w:r>
          </w:p>
        </w:tc>
        <w:tc>
          <w:tcPr>
            <w:tcW w:w="1097" w:type="dxa"/>
            <w:tcBorders>
              <w:left w:val="single" w:sz="4" w:space="0" w:color="000000"/>
              <w:right w:val="single" w:sz="4" w:space="0" w:color="000000"/>
            </w:tcBorders>
          </w:tcPr>
          <w:p>
            <w:pPr>
              <w:pStyle w:val="TableParagraph"/>
              <w:ind w:left="118"/>
              <w:rPr>
                <w:sz w:val="20"/>
              </w:rPr>
            </w:pPr>
            <w:r>
              <w:rPr>
                <w:spacing w:val="-2"/>
                <w:sz w:val="20"/>
              </w:rPr>
              <w:t>157.6</w:t>
            </w:r>
          </w:p>
        </w:tc>
        <w:tc>
          <w:tcPr>
            <w:tcW w:w="1097" w:type="dxa"/>
            <w:tcBorders>
              <w:left w:val="single" w:sz="4" w:space="0" w:color="000000"/>
              <w:right w:val="single" w:sz="4" w:space="0" w:color="000000"/>
            </w:tcBorders>
          </w:tcPr>
          <w:p>
            <w:pPr>
              <w:pStyle w:val="TableParagraph"/>
              <w:ind w:left="119"/>
              <w:rPr>
                <w:sz w:val="20"/>
              </w:rPr>
            </w:pPr>
            <w:r>
              <w:rPr>
                <w:spacing w:val="-2"/>
                <w:sz w:val="20"/>
              </w:rPr>
              <w:t>177.0</w:t>
            </w:r>
          </w:p>
        </w:tc>
        <w:tc>
          <w:tcPr>
            <w:tcW w:w="1154" w:type="dxa"/>
            <w:tcBorders>
              <w:left w:val="single" w:sz="4" w:space="0" w:color="000000"/>
              <w:right w:val="single" w:sz="4" w:space="0" w:color="000000"/>
            </w:tcBorders>
          </w:tcPr>
          <w:p>
            <w:pPr>
              <w:pStyle w:val="TableParagraph"/>
              <w:ind w:left="119"/>
              <w:rPr>
                <w:sz w:val="20"/>
              </w:rPr>
            </w:pPr>
            <w:r>
              <w:rPr>
                <w:spacing w:val="-2"/>
                <w:sz w:val="20"/>
              </w:rPr>
              <w:t>+19.5</w:t>
            </w:r>
          </w:p>
        </w:tc>
        <w:tc>
          <w:tcPr>
            <w:tcW w:w="2206" w:type="dxa"/>
            <w:tcBorders>
              <w:left w:val="single" w:sz="4" w:space="0" w:color="000000"/>
            </w:tcBorders>
          </w:tcPr>
          <w:p>
            <w:pPr>
              <w:pStyle w:val="TableParagraph"/>
              <w:ind w:left="119"/>
              <w:rPr>
                <w:sz w:val="20"/>
              </w:rPr>
            </w:pPr>
            <w:r>
              <w:rPr>
                <w:sz w:val="20"/>
              </w:rPr>
              <w:t>Late,</w:t>
            </w:r>
            <w:r>
              <w:rPr>
                <w:spacing w:val="-5"/>
                <w:sz w:val="20"/>
              </w:rPr>
              <w:t> </w:t>
            </w:r>
            <w:r>
              <w:rPr>
                <w:sz w:val="20"/>
              </w:rPr>
              <w:t>small</w:t>
            </w:r>
            <w:r>
              <w:rPr>
                <w:spacing w:val="-5"/>
                <w:sz w:val="20"/>
              </w:rPr>
              <w:t> </w:t>
            </w:r>
            <w:r>
              <w:rPr>
                <w:sz w:val="20"/>
              </w:rPr>
              <w:t>test</w:t>
            </w:r>
            <w:r>
              <w:rPr>
                <w:spacing w:val="-5"/>
                <w:sz w:val="20"/>
              </w:rPr>
              <w:t> </w:t>
            </w:r>
            <w:r>
              <w:rPr>
                <w:spacing w:val="-4"/>
                <w:sz w:val="20"/>
              </w:rPr>
              <w:t>sets</w:t>
            </w:r>
          </w:p>
        </w:tc>
      </w:tr>
      <w:tr>
        <w:trPr>
          <w:trHeight w:val="310" w:hRule="atLeast"/>
        </w:trPr>
        <w:tc>
          <w:tcPr>
            <w:tcW w:w="640" w:type="dxa"/>
            <w:tcBorders>
              <w:right w:val="single" w:sz="4" w:space="0" w:color="000000"/>
            </w:tcBorders>
          </w:tcPr>
          <w:p>
            <w:pPr>
              <w:pStyle w:val="TableParagraph"/>
              <w:ind w:left="119"/>
              <w:rPr>
                <w:sz w:val="20"/>
              </w:rPr>
            </w:pPr>
            <w:r>
              <w:rPr>
                <w:spacing w:val="-5"/>
                <w:sz w:val="20"/>
              </w:rPr>
              <w:t>16</w:t>
            </w:r>
          </w:p>
        </w:tc>
        <w:tc>
          <w:tcPr>
            <w:tcW w:w="1154" w:type="dxa"/>
            <w:tcBorders>
              <w:left w:val="single" w:sz="4" w:space="0" w:color="000000"/>
              <w:right w:val="single" w:sz="4" w:space="0" w:color="000000"/>
            </w:tcBorders>
          </w:tcPr>
          <w:p>
            <w:pPr>
              <w:pStyle w:val="TableParagraph"/>
              <w:ind w:right="8"/>
              <w:jc w:val="center"/>
              <w:rPr>
                <w:sz w:val="20"/>
              </w:rPr>
            </w:pPr>
            <w:r>
              <w:rPr>
                <w:spacing w:val="-2"/>
                <w:sz w:val="20"/>
              </w:rPr>
              <w:t>1934–</w:t>
            </w:r>
            <w:r>
              <w:rPr>
                <w:spacing w:val="-4"/>
                <w:sz w:val="20"/>
              </w:rPr>
              <w:t>2019</w:t>
            </w:r>
          </w:p>
        </w:tc>
        <w:tc>
          <w:tcPr>
            <w:tcW w:w="1154" w:type="dxa"/>
            <w:tcBorders>
              <w:left w:val="single" w:sz="4" w:space="0" w:color="000000"/>
              <w:right w:val="single" w:sz="4" w:space="0" w:color="000000"/>
            </w:tcBorders>
          </w:tcPr>
          <w:p>
            <w:pPr>
              <w:pStyle w:val="TableParagraph"/>
              <w:ind w:left="118"/>
              <w:rPr>
                <w:sz w:val="20"/>
              </w:rPr>
            </w:pPr>
            <w:r>
              <w:rPr>
                <w:spacing w:val="-2"/>
                <w:sz w:val="20"/>
              </w:rPr>
              <w:t>2020–</w:t>
            </w:r>
            <w:r>
              <w:rPr>
                <w:spacing w:val="-4"/>
                <w:sz w:val="20"/>
              </w:rPr>
              <w:t>2022</w:t>
            </w:r>
          </w:p>
        </w:tc>
        <w:tc>
          <w:tcPr>
            <w:tcW w:w="1097" w:type="dxa"/>
            <w:tcBorders>
              <w:left w:val="single" w:sz="4" w:space="0" w:color="000000"/>
              <w:right w:val="single" w:sz="4" w:space="0" w:color="000000"/>
            </w:tcBorders>
          </w:tcPr>
          <w:p>
            <w:pPr>
              <w:pStyle w:val="TableParagraph"/>
              <w:ind w:left="118"/>
              <w:rPr>
                <w:sz w:val="20"/>
              </w:rPr>
            </w:pPr>
            <w:r>
              <w:rPr>
                <w:spacing w:val="-2"/>
                <w:sz w:val="20"/>
              </w:rPr>
              <w:t>158.1</w:t>
            </w:r>
          </w:p>
        </w:tc>
        <w:tc>
          <w:tcPr>
            <w:tcW w:w="1097" w:type="dxa"/>
            <w:tcBorders>
              <w:left w:val="single" w:sz="4" w:space="0" w:color="000000"/>
              <w:right w:val="single" w:sz="4" w:space="0" w:color="000000"/>
            </w:tcBorders>
          </w:tcPr>
          <w:p>
            <w:pPr>
              <w:pStyle w:val="TableParagraph"/>
              <w:ind w:left="119"/>
              <w:rPr>
                <w:sz w:val="20"/>
              </w:rPr>
            </w:pPr>
            <w:r>
              <w:rPr>
                <w:spacing w:val="-2"/>
                <w:sz w:val="20"/>
              </w:rPr>
              <w:t>180.1</w:t>
            </w:r>
          </w:p>
        </w:tc>
        <w:tc>
          <w:tcPr>
            <w:tcW w:w="1154" w:type="dxa"/>
            <w:tcBorders>
              <w:left w:val="single" w:sz="4" w:space="0" w:color="000000"/>
              <w:right w:val="single" w:sz="4" w:space="0" w:color="000000"/>
            </w:tcBorders>
          </w:tcPr>
          <w:p>
            <w:pPr>
              <w:pStyle w:val="TableParagraph"/>
              <w:ind w:left="119"/>
              <w:rPr>
                <w:sz w:val="20"/>
              </w:rPr>
            </w:pPr>
            <w:r>
              <w:rPr>
                <w:spacing w:val="-2"/>
                <w:sz w:val="20"/>
              </w:rPr>
              <w:t>+21.9</w:t>
            </w:r>
          </w:p>
        </w:tc>
        <w:tc>
          <w:tcPr>
            <w:tcW w:w="2206" w:type="dxa"/>
            <w:tcBorders>
              <w:left w:val="single" w:sz="4" w:space="0" w:color="000000"/>
            </w:tcBorders>
          </w:tcPr>
          <w:p>
            <w:pPr>
              <w:pStyle w:val="TableParagraph"/>
              <w:ind w:left="119"/>
              <w:rPr>
                <w:sz w:val="20"/>
              </w:rPr>
            </w:pPr>
            <w:r>
              <w:rPr>
                <w:sz w:val="20"/>
              </w:rPr>
              <w:t>Late,</w:t>
            </w:r>
            <w:r>
              <w:rPr>
                <w:spacing w:val="-5"/>
                <w:sz w:val="20"/>
              </w:rPr>
              <w:t> </w:t>
            </w:r>
            <w:r>
              <w:rPr>
                <w:sz w:val="20"/>
              </w:rPr>
              <w:t>small</w:t>
            </w:r>
            <w:r>
              <w:rPr>
                <w:spacing w:val="-5"/>
                <w:sz w:val="20"/>
              </w:rPr>
              <w:t> </w:t>
            </w:r>
            <w:r>
              <w:rPr>
                <w:sz w:val="20"/>
              </w:rPr>
              <w:t>test</w:t>
            </w:r>
            <w:r>
              <w:rPr>
                <w:spacing w:val="-5"/>
                <w:sz w:val="20"/>
              </w:rPr>
              <w:t> </w:t>
            </w:r>
            <w:r>
              <w:rPr>
                <w:spacing w:val="-4"/>
                <w:sz w:val="20"/>
              </w:rPr>
              <w:t>sets</w:t>
            </w:r>
          </w:p>
        </w:tc>
      </w:tr>
      <w:tr>
        <w:trPr>
          <w:trHeight w:val="310" w:hRule="atLeast"/>
        </w:trPr>
        <w:tc>
          <w:tcPr>
            <w:tcW w:w="640" w:type="dxa"/>
            <w:tcBorders>
              <w:right w:val="single" w:sz="4" w:space="0" w:color="000000"/>
            </w:tcBorders>
          </w:tcPr>
          <w:p>
            <w:pPr>
              <w:pStyle w:val="TableParagraph"/>
              <w:ind w:left="119"/>
              <w:rPr>
                <w:sz w:val="20"/>
              </w:rPr>
            </w:pPr>
            <w:r>
              <w:rPr>
                <w:spacing w:val="-5"/>
                <w:sz w:val="20"/>
              </w:rPr>
              <w:t>17</w:t>
            </w:r>
          </w:p>
        </w:tc>
        <w:tc>
          <w:tcPr>
            <w:tcW w:w="1154" w:type="dxa"/>
            <w:tcBorders>
              <w:left w:val="single" w:sz="4" w:space="0" w:color="000000"/>
              <w:right w:val="single" w:sz="4" w:space="0" w:color="000000"/>
            </w:tcBorders>
          </w:tcPr>
          <w:p>
            <w:pPr>
              <w:pStyle w:val="TableParagraph"/>
              <w:ind w:right="8"/>
              <w:jc w:val="center"/>
              <w:rPr>
                <w:sz w:val="20"/>
              </w:rPr>
            </w:pPr>
            <w:r>
              <w:rPr>
                <w:spacing w:val="-2"/>
                <w:sz w:val="20"/>
              </w:rPr>
              <w:t>1934–</w:t>
            </w:r>
            <w:r>
              <w:rPr>
                <w:spacing w:val="-4"/>
                <w:sz w:val="20"/>
              </w:rPr>
              <w:t>2020</w:t>
            </w:r>
          </w:p>
        </w:tc>
        <w:tc>
          <w:tcPr>
            <w:tcW w:w="1154" w:type="dxa"/>
            <w:tcBorders>
              <w:left w:val="single" w:sz="4" w:space="0" w:color="000000"/>
              <w:right w:val="single" w:sz="4" w:space="0" w:color="000000"/>
            </w:tcBorders>
          </w:tcPr>
          <w:p>
            <w:pPr>
              <w:pStyle w:val="TableParagraph"/>
              <w:ind w:left="118"/>
              <w:rPr>
                <w:sz w:val="20"/>
              </w:rPr>
            </w:pPr>
            <w:r>
              <w:rPr>
                <w:spacing w:val="-2"/>
                <w:sz w:val="20"/>
              </w:rPr>
              <w:t>2021–</w:t>
            </w:r>
            <w:r>
              <w:rPr>
                <w:spacing w:val="-4"/>
                <w:sz w:val="20"/>
              </w:rPr>
              <w:t>2022</w:t>
            </w:r>
          </w:p>
        </w:tc>
        <w:tc>
          <w:tcPr>
            <w:tcW w:w="1097" w:type="dxa"/>
            <w:tcBorders>
              <w:left w:val="single" w:sz="4" w:space="0" w:color="000000"/>
              <w:right w:val="single" w:sz="4" w:space="0" w:color="000000"/>
            </w:tcBorders>
          </w:tcPr>
          <w:p>
            <w:pPr>
              <w:pStyle w:val="TableParagraph"/>
              <w:ind w:left="118"/>
              <w:rPr>
                <w:sz w:val="20"/>
              </w:rPr>
            </w:pPr>
            <w:r>
              <w:rPr>
                <w:spacing w:val="-4"/>
                <w:sz w:val="20"/>
              </w:rPr>
              <w:t>86.7</w:t>
            </w:r>
          </w:p>
        </w:tc>
        <w:tc>
          <w:tcPr>
            <w:tcW w:w="1097" w:type="dxa"/>
            <w:tcBorders>
              <w:left w:val="single" w:sz="4" w:space="0" w:color="000000"/>
              <w:right w:val="single" w:sz="4" w:space="0" w:color="000000"/>
            </w:tcBorders>
          </w:tcPr>
          <w:p>
            <w:pPr>
              <w:pStyle w:val="TableParagraph"/>
              <w:ind w:left="119"/>
              <w:rPr>
                <w:sz w:val="20"/>
              </w:rPr>
            </w:pPr>
            <w:r>
              <w:rPr>
                <w:spacing w:val="-2"/>
                <w:sz w:val="20"/>
              </w:rPr>
              <w:t>120.2</w:t>
            </w:r>
          </w:p>
        </w:tc>
        <w:tc>
          <w:tcPr>
            <w:tcW w:w="1154" w:type="dxa"/>
            <w:tcBorders>
              <w:left w:val="single" w:sz="4" w:space="0" w:color="000000"/>
              <w:right w:val="single" w:sz="4" w:space="0" w:color="000000"/>
            </w:tcBorders>
          </w:tcPr>
          <w:p>
            <w:pPr>
              <w:pStyle w:val="TableParagraph"/>
              <w:ind w:left="119"/>
              <w:rPr>
                <w:sz w:val="20"/>
              </w:rPr>
            </w:pPr>
            <w:r>
              <w:rPr>
                <w:spacing w:val="-2"/>
                <w:sz w:val="20"/>
              </w:rPr>
              <w:t>+33.4</w:t>
            </w:r>
          </w:p>
        </w:tc>
        <w:tc>
          <w:tcPr>
            <w:tcW w:w="2206" w:type="dxa"/>
            <w:tcBorders>
              <w:left w:val="single" w:sz="4" w:space="0" w:color="000000"/>
            </w:tcBorders>
          </w:tcPr>
          <w:p>
            <w:pPr>
              <w:pStyle w:val="TableParagraph"/>
              <w:ind w:left="119"/>
              <w:rPr>
                <w:sz w:val="20"/>
              </w:rPr>
            </w:pPr>
            <w:r>
              <w:rPr>
                <w:sz w:val="20"/>
              </w:rPr>
              <w:t>Late:</w:t>
            </w:r>
            <w:r>
              <w:rPr>
                <w:spacing w:val="8"/>
                <w:sz w:val="20"/>
              </w:rPr>
              <w:t> </w:t>
            </w:r>
            <w:r>
              <w:rPr>
                <w:sz w:val="20"/>
              </w:rPr>
              <w:t>2</w:t>
            </w:r>
            <w:r>
              <w:rPr>
                <w:spacing w:val="-4"/>
                <w:sz w:val="20"/>
              </w:rPr>
              <w:t> </w:t>
            </w:r>
            <w:r>
              <w:rPr>
                <w:sz w:val="20"/>
              </w:rPr>
              <w:t>yr</w:t>
            </w:r>
            <w:r>
              <w:rPr>
                <w:spacing w:val="-3"/>
                <w:sz w:val="20"/>
              </w:rPr>
              <w:t> </w:t>
            </w:r>
            <w:r>
              <w:rPr>
                <w:sz w:val="20"/>
              </w:rPr>
              <w:t>test,</w:t>
            </w:r>
            <w:r>
              <w:rPr>
                <w:spacing w:val="-4"/>
                <w:sz w:val="20"/>
              </w:rPr>
              <w:t> </w:t>
            </w:r>
            <w:r>
              <w:rPr>
                <w:spacing w:val="-2"/>
                <w:sz w:val="20"/>
              </w:rPr>
              <w:t>noisy</w:t>
            </w:r>
          </w:p>
        </w:tc>
      </w:tr>
      <w:tr>
        <w:trPr>
          <w:trHeight w:val="348" w:hRule="atLeast"/>
        </w:trPr>
        <w:tc>
          <w:tcPr>
            <w:tcW w:w="640" w:type="dxa"/>
            <w:tcBorders>
              <w:bottom w:val="single" w:sz="8" w:space="0" w:color="000000"/>
              <w:right w:val="single" w:sz="4" w:space="0" w:color="000000"/>
            </w:tcBorders>
          </w:tcPr>
          <w:p>
            <w:pPr>
              <w:pStyle w:val="TableParagraph"/>
              <w:ind w:left="119"/>
              <w:rPr>
                <w:sz w:val="20"/>
              </w:rPr>
            </w:pPr>
            <w:r>
              <w:rPr>
                <w:spacing w:val="-5"/>
                <w:sz w:val="20"/>
              </w:rPr>
              <w:t>18</w:t>
            </w:r>
          </w:p>
        </w:tc>
        <w:tc>
          <w:tcPr>
            <w:tcW w:w="1154" w:type="dxa"/>
            <w:tcBorders>
              <w:left w:val="single" w:sz="4" w:space="0" w:color="000000"/>
              <w:bottom w:val="single" w:sz="8" w:space="0" w:color="000000"/>
              <w:right w:val="single" w:sz="4" w:space="0" w:color="000000"/>
            </w:tcBorders>
          </w:tcPr>
          <w:p>
            <w:pPr>
              <w:pStyle w:val="TableParagraph"/>
              <w:ind w:right="8"/>
              <w:jc w:val="center"/>
              <w:rPr>
                <w:sz w:val="20"/>
              </w:rPr>
            </w:pPr>
            <w:r>
              <w:rPr>
                <w:spacing w:val="-2"/>
                <w:sz w:val="20"/>
              </w:rPr>
              <w:t>1934–</w:t>
            </w:r>
            <w:r>
              <w:rPr>
                <w:spacing w:val="-4"/>
                <w:sz w:val="20"/>
              </w:rPr>
              <w:t>2021</w:t>
            </w:r>
          </w:p>
        </w:tc>
        <w:tc>
          <w:tcPr>
            <w:tcW w:w="1154" w:type="dxa"/>
            <w:tcBorders>
              <w:left w:val="single" w:sz="4" w:space="0" w:color="000000"/>
              <w:bottom w:val="single" w:sz="8" w:space="0" w:color="000000"/>
              <w:right w:val="single" w:sz="4" w:space="0" w:color="000000"/>
            </w:tcBorders>
          </w:tcPr>
          <w:p>
            <w:pPr>
              <w:pStyle w:val="TableParagraph"/>
              <w:ind w:left="118"/>
              <w:rPr>
                <w:sz w:val="20"/>
              </w:rPr>
            </w:pPr>
            <w:r>
              <w:rPr>
                <w:spacing w:val="-4"/>
                <w:sz w:val="20"/>
              </w:rPr>
              <w:t>2022</w:t>
            </w:r>
          </w:p>
        </w:tc>
        <w:tc>
          <w:tcPr>
            <w:tcW w:w="1097" w:type="dxa"/>
            <w:tcBorders>
              <w:left w:val="single" w:sz="4" w:space="0" w:color="000000"/>
              <w:bottom w:val="single" w:sz="8" w:space="0" w:color="000000"/>
              <w:right w:val="single" w:sz="4" w:space="0" w:color="000000"/>
            </w:tcBorders>
          </w:tcPr>
          <w:p>
            <w:pPr>
              <w:pStyle w:val="TableParagraph"/>
              <w:ind w:left="118"/>
              <w:rPr>
                <w:sz w:val="20"/>
              </w:rPr>
            </w:pPr>
            <w:r>
              <w:rPr>
                <w:spacing w:val="-2"/>
                <w:sz w:val="20"/>
              </w:rPr>
              <w:t>143.9</w:t>
            </w:r>
          </w:p>
        </w:tc>
        <w:tc>
          <w:tcPr>
            <w:tcW w:w="1097" w:type="dxa"/>
            <w:tcBorders>
              <w:left w:val="single" w:sz="4" w:space="0" w:color="000000"/>
              <w:bottom w:val="single" w:sz="8" w:space="0" w:color="000000"/>
              <w:right w:val="single" w:sz="4" w:space="0" w:color="000000"/>
            </w:tcBorders>
          </w:tcPr>
          <w:p>
            <w:pPr>
              <w:pStyle w:val="TableParagraph"/>
              <w:ind w:left="119"/>
              <w:rPr>
                <w:sz w:val="20"/>
              </w:rPr>
            </w:pPr>
            <w:r>
              <w:rPr>
                <w:spacing w:val="-2"/>
                <w:sz w:val="20"/>
              </w:rPr>
              <w:t>208.7</w:t>
            </w:r>
          </w:p>
        </w:tc>
        <w:tc>
          <w:tcPr>
            <w:tcW w:w="1154" w:type="dxa"/>
            <w:tcBorders>
              <w:left w:val="single" w:sz="4" w:space="0" w:color="000000"/>
              <w:bottom w:val="single" w:sz="8" w:space="0" w:color="000000"/>
              <w:right w:val="single" w:sz="4" w:space="0" w:color="000000"/>
            </w:tcBorders>
          </w:tcPr>
          <w:p>
            <w:pPr>
              <w:pStyle w:val="TableParagraph"/>
              <w:ind w:left="119"/>
              <w:rPr>
                <w:sz w:val="20"/>
              </w:rPr>
            </w:pPr>
            <w:r>
              <w:rPr>
                <w:spacing w:val="-2"/>
                <w:sz w:val="20"/>
              </w:rPr>
              <w:t>+64.8</w:t>
            </w:r>
          </w:p>
        </w:tc>
        <w:tc>
          <w:tcPr>
            <w:tcW w:w="2206" w:type="dxa"/>
            <w:tcBorders>
              <w:left w:val="single" w:sz="4" w:space="0" w:color="000000"/>
              <w:bottom w:val="single" w:sz="8" w:space="0" w:color="000000"/>
            </w:tcBorders>
          </w:tcPr>
          <w:p>
            <w:pPr>
              <w:pStyle w:val="TableParagraph"/>
              <w:ind w:left="119"/>
              <w:rPr>
                <w:sz w:val="20"/>
              </w:rPr>
            </w:pPr>
            <w:r>
              <w:rPr>
                <w:sz w:val="20"/>
              </w:rPr>
              <w:t>Late:</w:t>
            </w:r>
            <w:r>
              <w:rPr>
                <w:spacing w:val="8"/>
                <w:sz w:val="20"/>
              </w:rPr>
              <w:t> </w:t>
            </w:r>
            <w:r>
              <w:rPr>
                <w:sz w:val="20"/>
              </w:rPr>
              <w:t>1</w:t>
            </w:r>
            <w:r>
              <w:rPr>
                <w:spacing w:val="-4"/>
                <w:sz w:val="20"/>
              </w:rPr>
              <w:t> </w:t>
            </w:r>
            <w:r>
              <w:rPr>
                <w:sz w:val="20"/>
              </w:rPr>
              <w:t>yr</w:t>
            </w:r>
            <w:r>
              <w:rPr>
                <w:spacing w:val="-3"/>
                <w:sz w:val="20"/>
              </w:rPr>
              <w:t> </w:t>
            </w:r>
            <w:r>
              <w:rPr>
                <w:sz w:val="20"/>
              </w:rPr>
              <w:t>test,</w:t>
            </w:r>
            <w:r>
              <w:rPr>
                <w:spacing w:val="-4"/>
                <w:sz w:val="20"/>
              </w:rPr>
              <w:t> </w:t>
            </w:r>
            <w:r>
              <w:rPr>
                <w:spacing w:val="-2"/>
                <w:sz w:val="20"/>
              </w:rPr>
              <w:t>noisy</w:t>
            </w:r>
          </w:p>
        </w:tc>
      </w:tr>
    </w:tbl>
    <w:p>
      <w:pPr>
        <w:pStyle w:val="BodyText"/>
        <w:spacing w:before="150"/>
        <w:rPr>
          <w:sz w:val="20"/>
        </w:rPr>
      </w:pPr>
    </w:p>
    <w:p>
      <w:pPr>
        <w:pStyle w:val="BodyText"/>
        <w:spacing w:line="312" w:lineRule="auto"/>
        <w:ind w:left="709" w:right="990" w:firstLine="338"/>
        <w:jc w:val="both"/>
      </w:pPr>
      <w:r>
        <w:rPr>
          <w:spacing w:val="-2"/>
        </w:rPr>
        <w:t>Several</w:t>
      </w:r>
      <w:r>
        <w:rPr>
          <w:spacing w:val="-9"/>
        </w:rPr>
        <w:t> </w:t>
      </w:r>
      <w:r>
        <w:rPr>
          <w:spacing w:val="-2"/>
        </w:rPr>
        <w:t>observations</w:t>
      </w:r>
      <w:r>
        <w:rPr>
          <w:spacing w:val="-9"/>
        </w:rPr>
        <w:t> </w:t>
      </w:r>
      <w:r>
        <w:rPr>
          <w:spacing w:val="-2"/>
        </w:rPr>
        <w:t>from</w:t>
      </w:r>
      <w:r>
        <w:rPr>
          <w:spacing w:val="-9"/>
        </w:rPr>
        <w:t> </w:t>
      </w:r>
      <w:r>
        <w:rPr>
          <w:spacing w:val="-2"/>
        </w:rPr>
        <w:t>Table</w:t>
      </w:r>
      <w:r>
        <w:rPr>
          <w:spacing w:val="-9"/>
        </w:rPr>
        <w:t> </w:t>
      </w:r>
      <w:hyperlink w:history="true" w:anchor="_bookmark120">
        <w:r>
          <w:rPr>
            <w:color w:val="8B2C18"/>
            <w:spacing w:val="-2"/>
          </w:rPr>
          <w:t>5.8</w:t>
        </w:r>
      </w:hyperlink>
      <w:r>
        <w:rPr>
          <w:color w:val="8B2C18"/>
          <w:spacing w:val="-9"/>
        </w:rPr>
        <w:t> </w:t>
      </w:r>
      <w:r>
        <w:rPr>
          <w:spacing w:val="-2"/>
        </w:rPr>
        <w:t>are</w:t>
      </w:r>
      <w:r>
        <w:rPr>
          <w:spacing w:val="-9"/>
        </w:rPr>
        <w:t> </w:t>
      </w:r>
      <w:r>
        <w:rPr>
          <w:spacing w:val="-2"/>
        </w:rPr>
        <w:t>worth</w:t>
      </w:r>
      <w:r>
        <w:rPr>
          <w:spacing w:val="-9"/>
        </w:rPr>
        <w:t> </w:t>
      </w:r>
      <w:r>
        <w:rPr>
          <w:spacing w:val="-2"/>
        </w:rPr>
        <w:t>highlighting</w:t>
      </w:r>
      <w:r>
        <w:rPr>
          <w:spacing w:val="-9"/>
        </w:rPr>
        <w:t> </w:t>
      </w:r>
      <w:r>
        <w:rPr>
          <w:spacing w:val="-2"/>
        </w:rPr>
        <w:t>beyond</w:t>
      </w:r>
      <w:r>
        <w:rPr>
          <w:spacing w:val="-9"/>
        </w:rPr>
        <w:t> </w:t>
      </w:r>
      <w:r>
        <w:rPr>
          <w:spacing w:val="-2"/>
        </w:rPr>
        <w:t>the</w:t>
      </w:r>
      <w:r>
        <w:rPr>
          <w:spacing w:val="-9"/>
        </w:rPr>
        <w:t> </w:t>
      </w:r>
      <w:r>
        <w:rPr>
          <w:spacing w:val="-2"/>
        </w:rPr>
        <w:t>era-composition</w:t>
      </w:r>
      <w:r>
        <w:rPr>
          <w:spacing w:val="-9"/>
        </w:rPr>
        <w:t> </w:t>
      </w:r>
      <w:r>
        <w:rPr>
          <w:spacing w:val="-2"/>
        </w:rPr>
        <w:t>pattern </w:t>
      </w:r>
      <w:r>
        <w:rPr/>
        <w:t>already discussed in Section </w:t>
      </w:r>
      <w:hyperlink w:history="true" w:anchor="_bookmark103">
        <w:r>
          <w:rPr>
            <w:color w:val="8B2C18"/>
          </w:rPr>
          <w:t>5.2</w:t>
        </w:r>
      </w:hyperlink>
      <w:r>
        <w:rPr/>
        <w:t>.</w:t>
      </w:r>
    </w:p>
    <w:p>
      <w:pPr>
        <w:pStyle w:val="BodyText"/>
        <w:spacing w:line="312" w:lineRule="auto" w:before="20"/>
        <w:ind w:left="709" w:right="990" w:firstLine="338"/>
        <w:jc w:val="both"/>
      </w:pPr>
      <w:r>
        <w:rPr>
          <w:b/>
        </w:rPr>
        <w:t>Scenarios 3 and 4 (marginal CarenR wins, -7.3 and -0.2 mhl): </w:t>
      </w:r>
      <w:r>
        <w:rPr/>
        <w:t>These two early </w:t>
      </w:r>
      <w:r>
        <w:rPr/>
        <w:t>scenarios show CarenR marginally matching or beating the naive baseline, despite low post-1990 training </w:t>
      </w:r>
      <w:r>
        <w:rPr>
          <w:spacing w:val="-2"/>
        </w:rPr>
        <w:t>share</w:t>
      </w:r>
      <w:r>
        <w:rPr>
          <w:spacing w:val="-7"/>
        </w:rPr>
        <w:t> </w:t>
      </w:r>
      <w:r>
        <w:rPr>
          <w:spacing w:val="-2"/>
        </w:rPr>
        <w:t>(</w:t>
      </w:r>
      <w:r>
        <w:rPr>
          <w:spacing w:val="-7"/>
        </w:rPr>
        <w:t> </w:t>
      </w:r>
      <w:r>
        <w:rPr>
          <w:spacing w:val="-2"/>
        </w:rPr>
        <w:t>22%). They</w:t>
      </w:r>
      <w:r>
        <w:rPr>
          <w:spacing w:val="-7"/>
        </w:rPr>
        <w:t> </w:t>
      </w:r>
      <w:r>
        <w:rPr>
          <w:spacing w:val="-2"/>
        </w:rPr>
        <w:t>do</w:t>
      </w:r>
      <w:r>
        <w:rPr>
          <w:spacing w:val="-7"/>
        </w:rPr>
        <w:t> </w:t>
      </w:r>
      <w:r>
        <w:rPr>
          <w:spacing w:val="-2"/>
        </w:rPr>
        <w:t>not</w:t>
      </w:r>
      <w:r>
        <w:rPr>
          <w:spacing w:val="-7"/>
        </w:rPr>
        <w:t> </w:t>
      </w:r>
      <w:r>
        <w:rPr>
          <w:spacing w:val="-2"/>
        </w:rPr>
        <w:t>represent</w:t>
      </w:r>
      <w:r>
        <w:rPr>
          <w:spacing w:val="-7"/>
        </w:rPr>
        <w:t> </w:t>
      </w:r>
      <w:r>
        <w:rPr>
          <w:spacing w:val="-2"/>
        </w:rPr>
        <w:t>reliable</w:t>
      </w:r>
      <w:r>
        <w:rPr>
          <w:spacing w:val="-7"/>
        </w:rPr>
        <w:t> </w:t>
      </w:r>
      <w:r>
        <w:rPr>
          <w:spacing w:val="-2"/>
        </w:rPr>
        <w:t>era-balanced</w:t>
      </w:r>
      <w:r>
        <w:rPr>
          <w:spacing w:val="-7"/>
        </w:rPr>
        <w:t> </w:t>
      </w:r>
      <w:r>
        <w:rPr>
          <w:spacing w:val="-2"/>
        </w:rPr>
        <w:t>wins;</w:t>
      </w:r>
      <w:r>
        <w:rPr>
          <w:spacing w:val="-7"/>
        </w:rPr>
        <w:t> </w:t>
      </w:r>
      <w:r>
        <w:rPr>
          <w:spacing w:val="-2"/>
        </w:rPr>
        <w:t>their</w:t>
      </w:r>
      <w:r>
        <w:rPr>
          <w:spacing w:val="-7"/>
        </w:rPr>
        <w:t> </w:t>
      </w:r>
      <w:r>
        <w:rPr>
          <w:spacing w:val="-2"/>
        </w:rPr>
        <w:t>margins</w:t>
      </w:r>
      <w:r>
        <w:rPr>
          <w:spacing w:val="-7"/>
        </w:rPr>
        <w:t> </w:t>
      </w:r>
      <w:r>
        <w:rPr>
          <w:spacing w:val="-2"/>
        </w:rPr>
        <w:t>are</w:t>
      </w:r>
      <w:r>
        <w:rPr>
          <w:spacing w:val="-7"/>
        </w:rPr>
        <w:t> </w:t>
      </w:r>
      <w:r>
        <w:rPr>
          <w:spacing w:val="-2"/>
        </w:rPr>
        <w:t>near-zero</w:t>
      </w:r>
      <w:r>
        <w:rPr>
          <w:spacing w:val="-7"/>
        </w:rPr>
        <w:t> </w:t>
      </w:r>
      <w:r>
        <w:rPr>
          <w:spacing w:val="-2"/>
        </w:rPr>
        <w:t>and</w:t>
      </w:r>
      <w:r>
        <w:rPr>
          <w:spacing w:val="-7"/>
        </w:rPr>
        <w:t> </w:t>
      </w:r>
      <w:r>
        <w:rPr>
          <w:spacing w:val="-2"/>
        </w:rPr>
        <w:t>not </w:t>
      </w:r>
      <w:r>
        <w:rPr/>
        <w:t>consistent across the broader early window.</w:t>
      </w:r>
    </w:p>
    <w:p>
      <w:pPr>
        <w:spacing w:line="312" w:lineRule="auto" w:before="20"/>
        <w:ind w:left="702" w:right="990" w:firstLine="345"/>
        <w:jc w:val="both"/>
        <w:rPr>
          <w:sz w:val="22"/>
        </w:rPr>
      </w:pPr>
      <w:r>
        <w:rPr>
          <w:b/>
          <w:sz w:val="22"/>
        </w:rPr>
        <w:t>Scenarios 17 and 18 (large positive gaps, +33 and +65 mhl): </w:t>
      </w:r>
      <w:r>
        <w:rPr>
          <w:sz w:val="22"/>
        </w:rPr>
        <w:t>Scenario 17 tests two years (2021–2022) and Scenario 18 tests a single year (2022).</w:t>
      </w:r>
      <w:r>
        <w:rPr>
          <w:spacing w:val="38"/>
          <w:sz w:val="22"/>
        </w:rPr>
        <w:t> </w:t>
      </w:r>
      <w:r>
        <w:rPr>
          <w:sz w:val="22"/>
        </w:rPr>
        <w:t>With very small test sets, the scenario MAE</w:t>
      </w:r>
      <w:r>
        <w:rPr>
          <w:spacing w:val="-14"/>
          <w:sz w:val="22"/>
        </w:rPr>
        <w:t> </w:t>
      </w:r>
      <w:r>
        <w:rPr>
          <w:sz w:val="22"/>
        </w:rPr>
        <w:t>reflects</w:t>
      </w:r>
      <w:r>
        <w:rPr>
          <w:spacing w:val="-14"/>
          <w:sz w:val="22"/>
        </w:rPr>
        <w:t> </w:t>
      </w:r>
      <w:r>
        <w:rPr>
          <w:sz w:val="22"/>
        </w:rPr>
        <w:t>only</w:t>
      </w:r>
      <w:r>
        <w:rPr>
          <w:spacing w:val="-13"/>
          <w:sz w:val="22"/>
        </w:rPr>
        <w:t> </w:t>
      </w:r>
      <w:r>
        <w:rPr>
          <w:sz w:val="22"/>
        </w:rPr>
        <w:t>one</w:t>
      </w:r>
      <w:r>
        <w:rPr>
          <w:spacing w:val="-14"/>
          <w:sz w:val="22"/>
        </w:rPr>
        <w:t> </w:t>
      </w:r>
      <w:r>
        <w:rPr>
          <w:sz w:val="22"/>
        </w:rPr>
        <w:t>or</w:t>
      </w:r>
      <w:r>
        <w:rPr>
          <w:spacing w:val="-13"/>
          <w:sz w:val="22"/>
        </w:rPr>
        <w:t> </w:t>
      </w:r>
      <w:r>
        <w:rPr>
          <w:sz w:val="22"/>
        </w:rPr>
        <w:t>two</w:t>
      </w:r>
      <w:r>
        <w:rPr>
          <w:spacing w:val="-14"/>
          <w:sz w:val="22"/>
        </w:rPr>
        <w:t> </w:t>
      </w:r>
      <w:r>
        <w:rPr>
          <w:sz w:val="22"/>
        </w:rPr>
        <w:t>observations,</w:t>
      </w:r>
      <w:r>
        <w:rPr>
          <w:spacing w:val="-14"/>
          <w:sz w:val="22"/>
        </w:rPr>
        <w:t> </w:t>
      </w:r>
      <w:r>
        <w:rPr>
          <w:sz w:val="22"/>
        </w:rPr>
        <w:t>so</w:t>
      </w:r>
      <w:r>
        <w:rPr>
          <w:spacing w:val="-13"/>
          <w:sz w:val="22"/>
        </w:rPr>
        <w:t> </w:t>
      </w:r>
      <w:r>
        <w:rPr>
          <w:sz w:val="22"/>
        </w:rPr>
        <w:t>large</w:t>
      </w:r>
      <w:r>
        <w:rPr>
          <w:spacing w:val="-14"/>
          <w:sz w:val="22"/>
        </w:rPr>
        <w:t> </w:t>
      </w:r>
      <w:r>
        <w:rPr>
          <w:sz w:val="22"/>
        </w:rPr>
        <w:t>gaps</w:t>
      </w:r>
      <w:r>
        <w:rPr>
          <w:spacing w:val="-13"/>
          <w:sz w:val="22"/>
        </w:rPr>
        <w:t> </w:t>
      </w:r>
      <w:r>
        <w:rPr>
          <w:sz w:val="22"/>
        </w:rPr>
        <w:t>may</w:t>
      </w:r>
      <w:r>
        <w:rPr>
          <w:spacing w:val="-14"/>
          <w:sz w:val="22"/>
        </w:rPr>
        <w:t> </w:t>
      </w:r>
      <w:r>
        <w:rPr>
          <w:sz w:val="22"/>
        </w:rPr>
        <w:t>reflect</w:t>
      </w:r>
      <w:r>
        <w:rPr>
          <w:spacing w:val="-14"/>
          <w:sz w:val="22"/>
        </w:rPr>
        <w:t> </w:t>
      </w:r>
      <w:r>
        <w:rPr>
          <w:sz w:val="22"/>
        </w:rPr>
        <w:t>anomalous</w:t>
      </w:r>
      <w:r>
        <w:rPr>
          <w:spacing w:val="-13"/>
          <w:sz w:val="22"/>
        </w:rPr>
        <w:t> </w:t>
      </w:r>
      <w:r>
        <w:rPr>
          <w:sz w:val="22"/>
        </w:rPr>
        <w:t>years</w:t>
      </w:r>
      <w:r>
        <w:rPr>
          <w:spacing w:val="-14"/>
          <w:sz w:val="22"/>
        </w:rPr>
        <w:t> </w:t>
      </w:r>
      <w:r>
        <w:rPr>
          <w:sz w:val="22"/>
        </w:rPr>
        <w:t>rather</w:t>
      </w:r>
      <w:r>
        <w:rPr>
          <w:spacing w:val="-13"/>
          <w:sz w:val="22"/>
        </w:rPr>
        <w:t> </w:t>
      </w:r>
      <w:r>
        <w:rPr>
          <w:spacing w:val="-4"/>
          <w:sz w:val="22"/>
        </w:rPr>
        <w:t>than</w:t>
      </w:r>
    </w:p>
    <w:p>
      <w:pPr>
        <w:spacing w:after="0" w:line="312" w:lineRule="auto"/>
        <w:jc w:val="both"/>
        <w:rPr>
          <w:sz w:val="22"/>
        </w:rPr>
        <w:sectPr>
          <w:headerReference w:type="default" r:id="rId89"/>
          <w:headerReference w:type="even" r:id="rId90"/>
          <w:pgSz w:w="11910" w:h="16840"/>
          <w:pgMar w:header="1160" w:footer="0" w:top="1420" w:bottom="280" w:left="1275" w:right="425"/>
          <w:pgNumType w:start="61"/>
        </w:sectPr>
      </w:pPr>
    </w:p>
    <w:p>
      <w:pPr>
        <w:pStyle w:val="BodyText"/>
        <w:rPr>
          <w:sz w:val="20"/>
        </w:rPr>
      </w:pPr>
    </w:p>
    <w:p>
      <w:pPr>
        <w:pStyle w:val="BodyText"/>
        <w:spacing w:before="115"/>
        <w:rPr>
          <w:sz w:val="20"/>
        </w:rPr>
      </w:pPr>
    </w:p>
    <w:p>
      <w:pPr>
        <w:spacing w:line="240" w:lineRule="auto"/>
        <w:ind w:left="539" w:right="0" w:firstLine="0"/>
        <w:rPr>
          <w:sz w:val="20"/>
        </w:rPr>
      </w:pPr>
      <w:r>
        <w:rPr>
          <w:sz w:val="20"/>
        </w:rPr>
        <w:drawing>
          <wp:inline distT="0" distB="0" distL="0" distR="0">
            <wp:extent cx="4927282" cy="2857023"/>
            <wp:effectExtent l="0" t="0" r="0" b="0"/>
            <wp:docPr id="216" name="Image 216"/>
            <wp:cNvGraphicFramePr>
              <a:graphicFrameLocks/>
            </wp:cNvGraphicFramePr>
            <a:graphic>
              <a:graphicData uri="http://schemas.openxmlformats.org/drawingml/2006/picture">
                <pic:pic>
                  <pic:nvPicPr>
                    <pic:cNvPr id="216" name="Image 216"/>
                    <pic:cNvPicPr/>
                  </pic:nvPicPr>
                  <pic:blipFill>
                    <a:blip r:embed="rId91" cstate="print"/>
                    <a:stretch>
                      <a:fillRect/>
                    </a:stretch>
                  </pic:blipFill>
                  <pic:spPr>
                    <a:xfrm>
                      <a:off x="0" y="0"/>
                      <a:ext cx="4927282" cy="2857023"/>
                    </a:xfrm>
                    <a:prstGeom prst="rect">
                      <a:avLst/>
                    </a:prstGeom>
                  </pic:spPr>
                </pic:pic>
              </a:graphicData>
            </a:graphic>
          </wp:inline>
        </w:drawing>
      </w:r>
      <w:r>
        <w:rPr>
          <w:sz w:val="20"/>
        </w:rPr>
      </w:r>
    </w:p>
    <w:p>
      <w:pPr>
        <w:pStyle w:val="BodyText"/>
        <w:spacing w:before="86"/>
        <w:rPr>
          <w:sz w:val="20"/>
        </w:rPr>
      </w:pPr>
    </w:p>
    <w:p>
      <w:pPr>
        <w:spacing w:before="0"/>
        <w:ind w:left="201" w:right="0" w:firstLine="0"/>
        <w:jc w:val="both"/>
        <w:rPr>
          <w:sz w:val="20"/>
        </w:rPr>
      </w:pPr>
      <w:bookmarkStart w:name="_bookmark121" w:id="204"/>
      <w:bookmarkEnd w:id="204"/>
      <w:r>
        <w:rPr/>
      </w:r>
      <w:r>
        <w:rPr>
          <w:b/>
          <w:sz w:val="20"/>
        </w:rPr>
        <w:t>Figure</w:t>
      </w:r>
      <w:r>
        <w:rPr>
          <w:b/>
          <w:spacing w:val="-6"/>
          <w:sz w:val="20"/>
        </w:rPr>
        <w:t> </w:t>
      </w:r>
      <w:r>
        <w:rPr>
          <w:b/>
          <w:sz w:val="20"/>
        </w:rPr>
        <w:t>5.7:</w:t>
      </w:r>
      <w:r>
        <w:rPr>
          <w:b/>
          <w:spacing w:val="4"/>
          <w:sz w:val="20"/>
        </w:rPr>
        <w:t> </w:t>
      </w:r>
      <w:r>
        <w:rPr>
          <w:sz w:val="20"/>
        </w:rPr>
        <w:t>MAE</w:t>
      </w:r>
      <w:r>
        <w:rPr>
          <w:spacing w:val="-6"/>
          <w:sz w:val="20"/>
        </w:rPr>
        <w:t> </w:t>
      </w:r>
      <w:r>
        <w:rPr>
          <w:sz w:val="20"/>
        </w:rPr>
        <w:t>learning</w:t>
      </w:r>
      <w:r>
        <w:rPr>
          <w:spacing w:val="-6"/>
          <w:sz w:val="20"/>
        </w:rPr>
        <w:t> </w:t>
      </w:r>
      <w:r>
        <w:rPr>
          <w:sz w:val="20"/>
        </w:rPr>
        <w:t>curve</w:t>
      </w:r>
      <w:r>
        <w:rPr>
          <w:spacing w:val="-6"/>
          <w:sz w:val="20"/>
        </w:rPr>
        <w:t> </w:t>
      </w:r>
      <w:r>
        <w:rPr>
          <w:sz w:val="20"/>
        </w:rPr>
        <w:t>for</w:t>
      </w:r>
      <w:r>
        <w:rPr>
          <w:spacing w:val="-6"/>
          <w:sz w:val="20"/>
        </w:rPr>
        <w:t> </w:t>
      </w:r>
      <w:r>
        <w:rPr>
          <w:sz w:val="20"/>
        </w:rPr>
        <w:t>all</w:t>
      </w:r>
      <w:r>
        <w:rPr>
          <w:spacing w:val="-6"/>
          <w:sz w:val="20"/>
        </w:rPr>
        <w:t> </w:t>
      </w:r>
      <w:r>
        <w:rPr>
          <w:sz w:val="20"/>
        </w:rPr>
        <w:t>17</w:t>
      </w:r>
      <w:r>
        <w:rPr>
          <w:spacing w:val="-6"/>
          <w:sz w:val="20"/>
        </w:rPr>
        <w:t> </w:t>
      </w:r>
      <w:r>
        <w:rPr>
          <w:sz w:val="20"/>
        </w:rPr>
        <w:t>models</w:t>
      </w:r>
      <w:r>
        <w:rPr>
          <w:spacing w:val="-6"/>
          <w:sz w:val="20"/>
        </w:rPr>
        <w:t> </w:t>
      </w:r>
      <w:r>
        <w:rPr>
          <w:sz w:val="20"/>
        </w:rPr>
        <w:t>across</w:t>
      </w:r>
      <w:r>
        <w:rPr>
          <w:spacing w:val="-5"/>
          <w:sz w:val="20"/>
        </w:rPr>
        <w:t> </w:t>
      </w:r>
      <w:r>
        <w:rPr>
          <w:sz w:val="20"/>
        </w:rPr>
        <w:t>18</w:t>
      </w:r>
      <w:r>
        <w:rPr>
          <w:spacing w:val="-6"/>
          <w:sz w:val="20"/>
        </w:rPr>
        <w:t> </w:t>
      </w:r>
      <w:r>
        <w:rPr>
          <w:sz w:val="20"/>
        </w:rPr>
        <w:t>RDD</w:t>
      </w:r>
      <w:r>
        <w:rPr>
          <w:spacing w:val="-6"/>
          <w:sz w:val="20"/>
        </w:rPr>
        <w:t> </w:t>
      </w:r>
      <w:r>
        <w:rPr>
          <w:sz w:val="20"/>
        </w:rPr>
        <w:t>scenarios.</w:t>
      </w:r>
      <w:r>
        <w:rPr>
          <w:spacing w:val="4"/>
          <w:sz w:val="20"/>
        </w:rPr>
        <w:t> </w:t>
      </w:r>
      <w:r>
        <w:rPr>
          <w:sz w:val="20"/>
        </w:rPr>
        <w:t>LOESS</w:t>
      </w:r>
      <w:r>
        <w:rPr>
          <w:spacing w:val="-6"/>
          <w:sz w:val="20"/>
        </w:rPr>
        <w:t> </w:t>
      </w:r>
      <w:r>
        <w:rPr>
          <w:sz w:val="20"/>
        </w:rPr>
        <w:t>smoothing</w:t>
      </w:r>
      <w:r>
        <w:rPr>
          <w:spacing w:val="-6"/>
          <w:sz w:val="20"/>
        </w:rPr>
        <w:t> </w:t>
      </w:r>
      <w:r>
        <w:rPr>
          <w:spacing w:val="-2"/>
          <w:sz w:val="20"/>
        </w:rPr>
        <w:t>applied.</w:t>
      </w:r>
    </w:p>
    <w:p>
      <w:pPr>
        <w:pStyle w:val="BodyText"/>
        <w:rPr>
          <w:sz w:val="20"/>
        </w:rPr>
      </w:pPr>
    </w:p>
    <w:p>
      <w:pPr>
        <w:pStyle w:val="BodyText"/>
        <w:spacing w:before="8"/>
        <w:rPr>
          <w:sz w:val="20"/>
        </w:rPr>
      </w:pPr>
    </w:p>
    <w:p>
      <w:pPr>
        <w:pStyle w:val="BodyText"/>
        <w:spacing w:line="312" w:lineRule="auto"/>
        <w:ind w:left="142" w:right="1557"/>
        <w:jc w:val="both"/>
      </w:pPr>
      <w:r>
        <w:rPr/>
        <w:t>systematic model failure.</w:t>
      </w:r>
      <w:r>
        <w:rPr>
          <w:spacing w:val="40"/>
        </w:rPr>
        <w:t> </w:t>
      </w:r>
      <w:r>
        <w:rPr/>
        <w:t>These late scenarios were therefore excluded from the era-</w:t>
      </w:r>
      <w:r>
        <w:rPr/>
        <w:t>balanced binomial analysis (Section </w:t>
      </w:r>
      <w:hyperlink w:history="true" w:anchor="_bookmark110">
        <w:r>
          <w:rPr>
            <w:color w:val="8B2C18"/>
          </w:rPr>
          <w:t>5.4</w:t>
        </w:r>
      </w:hyperlink>
      <w:r>
        <w:rPr/>
        <w:t>).</w:t>
      </w:r>
    </w:p>
    <w:p>
      <w:pPr>
        <w:pStyle w:val="BodyText"/>
        <w:spacing w:line="312" w:lineRule="auto" w:before="14"/>
        <w:ind w:left="136" w:right="1529" w:firstLine="344"/>
        <w:jc w:val="both"/>
      </w:pPr>
      <w:r>
        <w:rPr>
          <w:b/>
          <w:spacing w:val="-4"/>
        </w:rPr>
        <w:t>Scenario Naive_Median MAE range (86.7–223.3 mhl):</w:t>
      </w:r>
      <w:r>
        <w:rPr>
          <w:b/>
          <w:spacing w:val="15"/>
        </w:rPr>
        <w:t> </w:t>
      </w:r>
      <w:r>
        <w:rPr>
          <w:spacing w:val="-4"/>
        </w:rPr>
        <w:t>The variation in Naive_Median MAE </w:t>
      </w:r>
      <w:r>
        <w:rPr/>
        <w:t>across scenarios reflects the inherent year-to-year production variability of the test year in each case.</w:t>
      </w:r>
      <w:r>
        <w:rPr>
          <w:spacing w:val="40"/>
        </w:rPr>
        <w:t> </w:t>
      </w:r>
      <w:r>
        <w:rPr/>
        <w:t>When the test year happens to be close to the trend (Scenario 17: 2021 was near-trend), Naive_Median performs very well. When the test year is a strong outlier (Scenario 3: 2007 was above-trend in Douro), Naive_Median has a high error regardless of what any model does. This variability</w:t>
      </w:r>
      <w:r>
        <w:rPr>
          <w:spacing w:val="-14"/>
        </w:rPr>
        <w:t> </w:t>
      </w:r>
      <w:r>
        <w:rPr/>
        <w:t>confirms</w:t>
      </w:r>
      <w:r>
        <w:rPr>
          <w:spacing w:val="-14"/>
        </w:rPr>
        <w:t> </w:t>
      </w:r>
      <w:r>
        <w:rPr/>
        <w:t>the</w:t>
      </w:r>
      <w:r>
        <w:rPr>
          <w:spacing w:val="-14"/>
        </w:rPr>
        <w:t> </w:t>
      </w:r>
      <w:r>
        <w:rPr/>
        <w:t>importance</w:t>
      </w:r>
      <w:r>
        <w:rPr>
          <w:spacing w:val="-13"/>
        </w:rPr>
        <w:t> </w:t>
      </w:r>
      <w:r>
        <w:rPr/>
        <w:t>of</w:t>
      </w:r>
      <w:r>
        <w:rPr>
          <w:spacing w:val="-14"/>
        </w:rPr>
        <w:t> </w:t>
      </w:r>
      <w:r>
        <w:rPr/>
        <w:t>using</w:t>
      </w:r>
      <w:r>
        <w:rPr>
          <w:spacing w:val="-14"/>
        </w:rPr>
        <w:t> </w:t>
      </w:r>
      <w:r>
        <w:rPr/>
        <w:t>weighted</w:t>
      </w:r>
      <w:r>
        <w:rPr>
          <w:spacing w:val="-14"/>
        </w:rPr>
        <w:t> </w:t>
      </w:r>
      <w:r>
        <w:rPr/>
        <w:t>aggregate</w:t>
      </w:r>
      <w:r>
        <w:rPr>
          <w:spacing w:val="-13"/>
        </w:rPr>
        <w:t> </w:t>
      </w:r>
      <w:r>
        <w:rPr/>
        <w:t>metrics</w:t>
      </w:r>
      <w:r>
        <w:rPr>
          <w:spacing w:val="-14"/>
        </w:rPr>
        <w:t> </w:t>
      </w:r>
      <w:r>
        <w:rPr/>
        <w:t>rather</w:t>
      </w:r>
      <w:r>
        <w:rPr>
          <w:spacing w:val="-14"/>
        </w:rPr>
        <w:t> </w:t>
      </w:r>
      <w:r>
        <w:rPr/>
        <w:t>than</w:t>
      </w:r>
      <w:r>
        <w:rPr>
          <w:spacing w:val="-14"/>
        </w:rPr>
        <w:t> </w:t>
      </w:r>
      <w:r>
        <w:rPr/>
        <w:t>relying</w:t>
      </w:r>
      <w:r>
        <w:rPr>
          <w:spacing w:val="-13"/>
        </w:rPr>
        <w:t> </w:t>
      </w:r>
      <w:r>
        <w:rPr/>
        <w:t>on</w:t>
      </w:r>
      <w:r>
        <w:rPr>
          <w:spacing w:val="-14"/>
        </w:rPr>
        <w:t> </w:t>
      </w:r>
      <w:r>
        <w:rPr/>
        <w:t>any single scenario.</w:t>
      </w:r>
    </w:p>
    <w:p>
      <w:pPr>
        <w:pStyle w:val="BodyText"/>
        <w:spacing w:before="220"/>
      </w:pPr>
    </w:p>
    <w:p>
      <w:pPr>
        <w:pStyle w:val="Heading2"/>
        <w:numPr>
          <w:ilvl w:val="1"/>
          <w:numId w:val="34"/>
        </w:numPr>
        <w:tabs>
          <w:tab w:pos="787" w:val="left" w:leader="none"/>
        </w:tabs>
        <w:spacing w:line="240" w:lineRule="auto" w:before="0" w:after="0"/>
        <w:ind w:left="787" w:right="0" w:hanging="645"/>
        <w:jc w:val="left"/>
      </w:pPr>
      <w:bookmarkStart w:name="5.9 Per-Scenario MAE: Vinho Verde (RVV)" w:id="205"/>
      <w:bookmarkEnd w:id="205"/>
      <w:r>
        <w:rPr>
          <w:b w:val="0"/>
        </w:rPr>
      </w:r>
      <w:bookmarkStart w:name="_bookmark122" w:id="206"/>
      <w:bookmarkEnd w:id="206"/>
      <w:r>
        <w:rPr>
          <w:b w:val="0"/>
        </w:rPr>
      </w:r>
      <w:r>
        <w:rPr/>
        <w:t>Per-Scenario</w:t>
      </w:r>
      <w:r>
        <w:rPr>
          <w:spacing w:val="5"/>
        </w:rPr>
        <w:t> </w:t>
      </w:r>
      <w:r>
        <w:rPr/>
        <w:t>MAE:</w:t>
      </w:r>
      <w:r>
        <w:rPr>
          <w:spacing w:val="6"/>
        </w:rPr>
        <w:t> </w:t>
      </w:r>
      <w:r>
        <w:rPr/>
        <w:t>Vinho</w:t>
      </w:r>
      <w:r>
        <w:rPr>
          <w:spacing w:val="5"/>
        </w:rPr>
        <w:t> </w:t>
      </w:r>
      <w:r>
        <w:rPr/>
        <w:t>Verde</w:t>
      </w:r>
      <w:r>
        <w:rPr>
          <w:spacing w:val="6"/>
        </w:rPr>
        <w:t> </w:t>
      </w:r>
      <w:r>
        <w:rPr>
          <w:spacing w:val="-2"/>
        </w:rPr>
        <w:t>(RVV)</w:t>
      </w:r>
    </w:p>
    <w:p>
      <w:pPr>
        <w:pStyle w:val="BodyText"/>
        <w:spacing w:line="312" w:lineRule="auto" w:before="315"/>
        <w:ind w:left="135" w:right="1553"/>
        <w:jc w:val="both"/>
      </w:pPr>
      <w:r>
        <w:rPr>
          <w:spacing w:val="-2"/>
        </w:rPr>
        <w:t>Table</w:t>
      </w:r>
      <w:r>
        <w:rPr>
          <w:spacing w:val="-8"/>
        </w:rPr>
        <w:t> </w:t>
      </w:r>
      <w:hyperlink w:history="true" w:anchor="_bookmark123">
        <w:r>
          <w:rPr>
            <w:color w:val="8B2C18"/>
            <w:spacing w:val="-2"/>
          </w:rPr>
          <w:t>5.9</w:t>
        </w:r>
      </w:hyperlink>
      <w:r>
        <w:rPr>
          <w:color w:val="8B2C18"/>
          <w:spacing w:val="-8"/>
        </w:rPr>
        <w:t> </w:t>
      </w:r>
      <w:r>
        <w:rPr>
          <w:spacing w:val="-2"/>
        </w:rPr>
        <w:t>presents</w:t>
      </w:r>
      <w:r>
        <w:rPr>
          <w:spacing w:val="-8"/>
        </w:rPr>
        <w:t> </w:t>
      </w:r>
      <w:r>
        <w:rPr>
          <w:spacing w:val="-2"/>
        </w:rPr>
        <w:t>the</w:t>
      </w:r>
      <w:r>
        <w:rPr>
          <w:spacing w:val="-8"/>
        </w:rPr>
        <w:t> </w:t>
      </w:r>
      <w:r>
        <w:rPr>
          <w:spacing w:val="-2"/>
        </w:rPr>
        <w:t>equivalent</w:t>
      </w:r>
      <w:r>
        <w:rPr>
          <w:spacing w:val="-8"/>
        </w:rPr>
        <w:t> </w:t>
      </w:r>
      <w:r>
        <w:rPr>
          <w:spacing w:val="-2"/>
        </w:rPr>
        <w:t>per-scenario</w:t>
      </w:r>
      <w:r>
        <w:rPr>
          <w:spacing w:val="-8"/>
        </w:rPr>
        <w:t> </w:t>
      </w:r>
      <w:r>
        <w:rPr>
          <w:spacing w:val="-2"/>
        </w:rPr>
        <w:t>analysis</w:t>
      </w:r>
      <w:r>
        <w:rPr>
          <w:spacing w:val="-8"/>
        </w:rPr>
        <w:t> </w:t>
      </w:r>
      <w:r>
        <w:rPr>
          <w:spacing w:val="-2"/>
        </w:rPr>
        <w:t>for</w:t>
      </w:r>
      <w:r>
        <w:rPr>
          <w:spacing w:val="-8"/>
        </w:rPr>
        <w:t> </w:t>
      </w:r>
      <w:r>
        <w:rPr>
          <w:spacing w:val="-2"/>
        </w:rPr>
        <w:t>RVV,</w:t>
      </w:r>
      <w:r>
        <w:rPr>
          <w:spacing w:val="-8"/>
        </w:rPr>
        <w:t> </w:t>
      </w:r>
      <w:r>
        <w:rPr>
          <w:spacing w:val="-2"/>
        </w:rPr>
        <w:t>comparing</w:t>
      </w:r>
      <w:r>
        <w:rPr>
          <w:spacing w:val="-8"/>
        </w:rPr>
        <w:t> </w:t>
      </w:r>
      <w:r>
        <w:rPr>
          <w:spacing w:val="-2"/>
        </w:rPr>
        <w:t>Naive_Median</w:t>
      </w:r>
      <w:r>
        <w:rPr>
          <w:spacing w:val="-8"/>
        </w:rPr>
        <w:t> </w:t>
      </w:r>
      <w:r>
        <w:rPr>
          <w:spacing w:val="-2"/>
        </w:rPr>
        <w:t>against </w:t>
      </w:r>
      <w:r>
        <w:rPr/>
        <w:t>CarenR_Dist_Sup_FS</w:t>
      </w:r>
      <w:r>
        <w:rPr>
          <w:spacing w:val="-6"/>
        </w:rPr>
        <w:t> </w:t>
      </w:r>
      <w:r>
        <w:rPr/>
        <w:t>(the</w:t>
      </w:r>
      <w:r>
        <w:rPr>
          <w:spacing w:val="-6"/>
        </w:rPr>
        <w:t> </w:t>
      </w:r>
      <w:r>
        <w:rPr/>
        <w:t>best</w:t>
      </w:r>
      <w:r>
        <w:rPr>
          <w:spacing w:val="-6"/>
        </w:rPr>
        <w:t> </w:t>
      </w:r>
      <w:r>
        <w:rPr/>
        <w:t>RVV</w:t>
      </w:r>
      <w:r>
        <w:rPr>
          <w:spacing w:val="-6"/>
        </w:rPr>
        <w:t> </w:t>
      </w:r>
      <w:r>
        <w:rPr/>
        <w:t>CarenR</w:t>
      </w:r>
      <w:r>
        <w:rPr>
          <w:spacing w:val="-6"/>
        </w:rPr>
        <w:t> </w:t>
      </w:r>
      <w:r>
        <w:rPr/>
        <w:t>variant). The</w:t>
      </w:r>
      <w:r>
        <w:rPr>
          <w:spacing w:val="-6"/>
        </w:rPr>
        <w:t> </w:t>
      </w:r>
      <w:r>
        <w:rPr/>
        <w:t>“outcome”</w:t>
      </w:r>
      <w:r>
        <w:rPr>
          <w:spacing w:val="-6"/>
        </w:rPr>
        <w:t> </w:t>
      </w:r>
      <w:r>
        <w:rPr/>
        <w:t>column</w:t>
      </w:r>
      <w:r>
        <w:rPr>
          <w:spacing w:val="-6"/>
        </w:rPr>
        <w:t> </w:t>
      </w:r>
      <w:r>
        <w:rPr/>
        <w:t>indicates</w:t>
      </w:r>
      <w:r>
        <w:rPr>
          <w:spacing w:val="-6"/>
        </w:rPr>
        <w:t> </w:t>
      </w:r>
      <w:r>
        <w:rPr/>
        <w:t>whether CarenR fell back to the median (identical prediction, zero gap) or fired rules that hurt prediction (positive gap).</w:t>
      </w:r>
    </w:p>
    <w:p>
      <w:pPr>
        <w:pStyle w:val="BodyText"/>
        <w:spacing w:line="312" w:lineRule="auto" w:before="13"/>
        <w:ind w:left="142" w:right="1557" w:firstLine="338"/>
        <w:jc w:val="both"/>
      </w:pPr>
      <w:r>
        <w:rPr>
          <w:spacing w:val="-4"/>
        </w:rPr>
        <w:t>The</w:t>
      </w:r>
      <w:r>
        <w:rPr>
          <w:spacing w:val="-5"/>
        </w:rPr>
        <w:t> </w:t>
      </w:r>
      <w:r>
        <w:rPr>
          <w:spacing w:val="-4"/>
        </w:rPr>
        <w:t>RVV per-scenario</w:t>
      </w:r>
      <w:r>
        <w:rPr>
          <w:spacing w:val="-5"/>
        </w:rPr>
        <w:t> </w:t>
      </w:r>
      <w:r>
        <w:rPr>
          <w:spacing w:val="-4"/>
        </w:rPr>
        <w:t>table</w:t>
      </w:r>
      <w:r>
        <w:rPr>
          <w:spacing w:val="-5"/>
        </w:rPr>
        <w:t> </w:t>
      </w:r>
      <w:r>
        <w:rPr>
          <w:spacing w:val="-4"/>
        </w:rPr>
        <w:t>reveals</w:t>
      </w:r>
      <w:r>
        <w:rPr>
          <w:spacing w:val="-5"/>
        </w:rPr>
        <w:t> </w:t>
      </w:r>
      <w:r>
        <w:rPr>
          <w:spacing w:val="-4"/>
        </w:rPr>
        <w:t>important structure that</w:t>
      </w:r>
      <w:r>
        <w:rPr>
          <w:spacing w:val="-5"/>
        </w:rPr>
        <w:t> </w:t>
      </w:r>
      <w:r>
        <w:rPr>
          <w:spacing w:val="-4"/>
        </w:rPr>
        <w:t>the</w:t>
      </w:r>
      <w:r>
        <w:rPr>
          <w:spacing w:val="-5"/>
        </w:rPr>
        <w:t> </w:t>
      </w:r>
      <w:r>
        <w:rPr>
          <w:spacing w:val="-4"/>
        </w:rPr>
        <w:t>aggregate</w:t>
      </w:r>
      <w:r>
        <w:rPr>
          <w:spacing w:val="-5"/>
        </w:rPr>
        <w:t> </w:t>
      </w:r>
      <w:r>
        <w:rPr>
          <w:spacing w:val="-4"/>
        </w:rPr>
        <w:t>weighted MAE figure </w:t>
      </w:r>
      <w:r>
        <w:rPr/>
        <w:t>of 172 mhl obscures.</w:t>
      </w:r>
    </w:p>
    <w:p>
      <w:pPr>
        <w:pStyle w:val="BodyText"/>
        <w:spacing w:line="312" w:lineRule="auto" w:before="13"/>
        <w:ind w:left="142" w:right="1557" w:firstLine="338"/>
        <w:jc w:val="both"/>
      </w:pPr>
      <w:r>
        <w:rPr>
          <w:b/>
          <w:spacing w:val="-4"/>
        </w:rPr>
        <w:t>The</w:t>
      </w:r>
      <w:r>
        <w:rPr>
          <w:b/>
          <w:spacing w:val="-8"/>
        </w:rPr>
        <w:t> </w:t>
      </w:r>
      <w:r>
        <w:rPr>
          <w:b/>
          <w:spacing w:val="-4"/>
        </w:rPr>
        <w:t>degradation</w:t>
      </w:r>
      <w:r>
        <w:rPr>
          <w:b/>
          <w:spacing w:val="-8"/>
        </w:rPr>
        <w:t> </w:t>
      </w:r>
      <w:r>
        <w:rPr>
          <w:b/>
          <w:spacing w:val="-4"/>
        </w:rPr>
        <w:t>trajectory</w:t>
      </w:r>
      <w:r>
        <w:rPr>
          <w:b/>
          <w:spacing w:val="-8"/>
        </w:rPr>
        <w:t> </w:t>
      </w:r>
      <w:r>
        <w:rPr>
          <w:b/>
          <w:spacing w:val="-4"/>
        </w:rPr>
        <w:t>(Scenarios</w:t>
      </w:r>
      <w:r>
        <w:rPr>
          <w:b/>
          <w:spacing w:val="-8"/>
        </w:rPr>
        <w:t> </w:t>
      </w:r>
      <w:r>
        <w:rPr>
          <w:b/>
          <w:spacing w:val="-4"/>
        </w:rPr>
        <w:t>4–11):</w:t>
      </w:r>
      <w:r>
        <w:rPr>
          <w:b/>
          <w:spacing w:val="12"/>
        </w:rPr>
        <w:t> </w:t>
      </w:r>
      <w:r>
        <w:rPr>
          <w:spacing w:val="-4"/>
        </w:rPr>
        <w:t>The</w:t>
      </w:r>
      <w:r>
        <w:rPr>
          <w:spacing w:val="-8"/>
        </w:rPr>
        <w:t> </w:t>
      </w:r>
      <w:r>
        <w:rPr>
          <w:spacing w:val="-4"/>
        </w:rPr>
        <w:t>gap</w:t>
      </w:r>
      <w:r>
        <w:rPr>
          <w:spacing w:val="-8"/>
        </w:rPr>
        <w:t> </w:t>
      </w:r>
      <w:r>
        <w:rPr>
          <w:spacing w:val="-4"/>
        </w:rPr>
        <w:t>between</w:t>
      </w:r>
      <w:r>
        <w:rPr>
          <w:spacing w:val="-8"/>
        </w:rPr>
        <w:t> </w:t>
      </w:r>
      <w:r>
        <w:rPr>
          <w:spacing w:val="-4"/>
        </w:rPr>
        <w:t>CarenR</w:t>
      </w:r>
      <w:r>
        <w:rPr>
          <w:spacing w:val="-8"/>
        </w:rPr>
        <w:t> </w:t>
      </w:r>
      <w:r>
        <w:rPr>
          <w:spacing w:val="-4"/>
        </w:rPr>
        <w:t>and</w:t>
      </w:r>
      <w:r>
        <w:rPr>
          <w:spacing w:val="-8"/>
        </w:rPr>
        <w:t> </w:t>
      </w:r>
      <w:r>
        <w:rPr>
          <w:spacing w:val="-4"/>
        </w:rPr>
        <w:t>the</w:t>
      </w:r>
      <w:r>
        <w:rPr>
          <w:spacing w:val="-8"/>
        </w:rPr>
        <w:t> </w:t>
      </w:r>
      <w:r>
        <w:rPr>
          <w:spacing w:val="-4"/>
        </w:rPr>
        <w:t>naive</w:t>
      </w:r>
      <w:r>
        <w:rPr>
          <w:spacing w:val="-8"/>
        </w:rPr>
        <w:t> </w:t>
      </w:r>
      <w:r>
        <w:rPr>
          <w:spacing w:val="-4"/>
        </w:rPr>
        <w:t>baseline </w:t>
      </w:r>
      <w:r>
        <w:rPr/>
        <w:t>grows monotonically from +33 mhl (Scenario 4) to +82 mhl (Scenario 11).</w:t>
      </w:r>
      <w:r>
        <w:rPr>
          <w:spacing w:val="37"/>
        </w:rPr>
        <w:t> </w:t>
      </w:r>
      <w:r>
        <w:rPr/>
        <w:t>This is the </w:t>
      </w:r>
      <w:r>
        <w:rPr/>
        <w:t>clearest evidence</w:t>
      </w:r>
      <w:r>
        <w:rPr>
          <w:spacing w:val="-13"/>
        </w:rPr>
        <w:t> </w:t>
      </w:r>
      <w:r>
        <w:rPr/>
        <w:t>of</w:t>
      </w:r>
      <w:r>
        <w:rPr>
          <w:spacing w:val="-13"/>
        </w:rPr>
        <w:t> </w:t>
      </w:r>
      <w:r>
        <w:rPr/>
        <w:t>the</w:t>
      </w:r>
      <w:r>
        <w:rPr>
          <w:spacing w:val="-13"/>
        </w:rPr>
        <w:t> </w:t>
      </w:r>
      <w:r>
        <w:rPr/>
        <w:t>era-composition</w:t>
      </w:r>
      <w:r>
        <w:rPr>
          <w:spacing w:val="-13"/>
        </w:rPr>
        <w:t> </w:t>
      </w:r>
      <w:r>
        <w:rPr/>
        <w:t>deterioration</w:t>
      </w:r>
      <w:r>
        <w:rPr>
          <w:spacing w:val="-13"/>
        </w:rPr>
        <w:t> </w:t>
      </w:r>
      <w:r>
        <w:rPr/>
        <w:t>described</w:t>
      </w:r>
      <w:r>
        <w:rPr>
          <w:spacing w:val="-13"/>
        </w:rPr>
        <w:t> </w:t>
      </w:r>
      <w:r>
        <w:rPr/>
        <w:t>in</w:t>
      </w:r>
      <w:r>
        <w:rPr>
          <w:spacing w:val="-13"/>
        </w:rPr>
        <w:t> </w:t>
      </w:r>
      <w:r>
        <w:rPr/>
        <w:t>Section</w:t>
      </w:r>
      <w:r>
        <w:rPr>
          <w:spacing w:val="-13"/>
        </w:rPr>
        <w:t> </w:t>
      </w:r>
      <w:hyperlink w:history="true" w:anchor="_bookmark107">
        <w:r>
          <w:rPr>
            <w:color w:val="8B2C18"/>
          </w:rPr>
          <w:t>5.3</w:t>
        </w:r>
      </w:hyperlink>
      <w:r>
        <w:rPr/>
        <w:t>:</w:t>
      </w:r>
      <w:r>
        <w:rPr>
          <w:spacing w:val="-2"/>
        </w:rPr>
        <w:t> </w:t>
      </w:r>
      <w:r>
        <w:rPr/>
        <w:t>as</w:t>
      </w:r>
      <w:r>
        <w:rPr>
          <w:spacing w:val="-13"/>
        </w:rPr>
        <w:t> </w:t>
      </w:r>
      <w:r>
        <w:rPr/>
        <w:t>the</w:t>
      </w:r>
      <w:r>
        <w:rPr>
          <w:spacing w:val="-13"/>
        </w:rPr>
        <w:t> </w:t>
      </w:r>
      <w:r>
        <w:rPr/>
        <w:t>training</w:t>
      </w:r>
      <w:r>
        <w:rPr>
          <w:spacing w:val="-13"/>
        </w:rPr>
        <w:t> </w:t>
      </w:r>
      <w:r>
        <w:rPr/>
        <w:t>set</w:t>
      </w:r>
      <w:r>
        <w:rPr>
          <w:spacing w:val="-13"/>
        </w:rPr>
        <w:t> </w:t>
      </w:r>
      <w:r>
        <w:rPr/>
        <w:t>includes more</w:t>
      </w:r>
      <w:r>
        <w:rPr>
          <w:spacing w:val="-14"/>
        </w:rPr>
        <w:t> </w:t>
      </w:r>
      <w:r>
        <w:rPr/>
        <w:t>post-1990</w:t>
      </w:r>
      <w:r>
        <w:rPr>
          <w:spacing w:val="-14"/>
        </w:rPr>
        <w:t> </w:t>
      </w:r>
      <w:r>
        <w:rPr/>
        <w:t>observations</w:t>
      </w:r>
      <w:r>
        <w:rPr>
          <w:spacing w:val="-14"/>
        </w:rPr>
        <w:t> </w:t>
      </w:r>
      <w:r>
        <w:rPr/>
        <w:t>(with</w:t>
      </w:r>
      <w:r>
        <w:rPr>
          <w:spacing w:val="-13"/>
        </w:rPr>
        <w:t> </w:t>
      </w:r>
      <w:r>
        <w:rPr/>
        <w:t>substantially</w:t>
      </w:r>
      <w:r>
        <w:rPr>
          <w:spacing w:val="-14"/>
        </w:rPr>
        <w:t> </w:t>
      </w:r>
      <w:r>
        <w:rPr/>
        <w:t>lower</w:t>
      </w:r>
      <w:r>
        <w:rPr>
          <w:spacing w:val="-14"/>
        </w:rPr>
        <w:t> </w:t>
      </w:r>
      <w:r>
        <w:rPr/>
        <w:t>production</w:t>
      </w:r>
      <w:r>
        <w:rPr>
          <w:spacing w:val="-14"/>
        </w:rPr>
        <w:t> </w:t>
      </w:r>
      <w:r>
        <w:rPr/>
        <w:t>than</w:t>
      </w:r>
      <w:r>
        <w:rPr>
          <w:spacing w:val="-13"/>
        </w:rPr>
        <w:t> </w:t>
      </w:r>
      <w:r>
        <w:rPr/>
        <w:t>the</w:t>
      </w:r>
      <w:r>
        <w:rPr>
          <w:spacing w:val="-14"/>
        </w:rPr>
        <w:t> </w:t>
      </w:r>
      <w:r>
        <w:rPr/>
        <w:t>historical</w:t>
      </w:r>
      <w:r>
        <w:rPr>
          <w:spacing w:val="-14"/>
        </w:rPr>
        <w:t> </w:t>
      </w:r>
      <w:r>
        <w:rPr/>
        <w:t>average),</w:t>
      </w:r>
      <w:r>
        <w:rPr>
          <w:spacing w:val="-14"/>
        </w:rPr>
        <w:t> </w:t>
      </w:r>
      <w:r>
        <w:rPr/>
        <w:t>the rules</w:t>
      </w:r>
      <w:r>
        <w:rPr>
          <w:spacing w:val="-5"/>
        </w:rPr>
        <w:t> </w:t>
      </w:r>
      <w:r>
        <w:rPr/>
        <w:t>CarenR</w:t>
      </w:r>
      <w:r>
        <w:rPr>
          <w:spacing w:val="-2"/>
        </w:rPr>
        <w:t> </w:t>
      </w:r>
      <w:r>
        <w:rPr/>
        <w:t>discovers</w:t>
      </w:r>
      <w:r>
        <w:rPr>
          <w:spacing w:val="-3"/>
        </w:rPr>
        <w:t> </w:t>
      </w:r>
      <w:r>
        <w:rPr/>
        <w:t>become</w:t>
      </w:r>
      <w:r>
        <w:rPr>
          <w:spacing w:val="-2"/>
        </w:rPr>
        <w:t> </w:t>
      </w:r>
      <w:r>
        <w:rPr/>
        <w:t>increasingly</w:t>
      </w:r>
      <w:r>
        <w:rPr>
          <w:spacing w:val="-3"/>
        </w:rPr>
        <w:t> </w:t>
      </w:r>
      <w:r>
        <w:rPr/>
        <w:t>calibrated</w:t>
      </w:r>
      <w:r>
        <w:rPr>
          <w:spacing w:val="-2"/>
        </w:rPr>
        <w:t> </w:t>
      </w:r>
      <w:r>
        <w:rPr/>
        <w:t>to</w:t>
      </w:r>
      <w:r>
        <w:rPr>
          <w:spacing w:val="-2"/>
        </w:rPr>
        <w:t> </w:t>
      </w:r>
      <w:r>
        <w:rPr/>
        <w:t>the</w:t>
      </w:r>
      <w:r>
        <w:rPr>
          <w:spacing w:val="-3"/>
        </w:rPr>
        <w:t> </w:t>
      </w:r>
      <w:r>
        <w:rPr/>
        <w:t>modern</w:t>
      </w:r>
      <w:r>
        <w:rPr>
          <w:spacing w:val="-2"/>
        </w:rPr>
        <w:t> </w:t>
      </w:r>
      <w:r>
        <w:rPr/>
        <w:t>low-production</w:t>
      </w:r>
      <w:r>
        <w:rPr>
          <w:spacing w:val="-3"/>
        </w:rPr>
        <w:t> </w:t>
      </w:r>
      <w:r>
        <w:rPr/>
        <w:t>era.</w:t>
      </w:r>
      <w:r>
        <w:rPr>
          <w:spacing w:val="11"/>
        </w:rPr>
        <w:t> </w:t>
      </w:r>
      <w:r>
        <w:rPr>
          <w:spacing w:val="-4"/>
        </w:rPr>
        <w:t>When</w:t>
      </w:r>
    </w:p>
    <w:p>
      <w:pPr>
        <w:pStyle w:val="BodyText"/>
        <w:spacing w:after="0" w:line="312" w:lineRule="auto"/>
        <w:jc w:val="both"/>
        <w:sectPr>
          <w:pgSz w:w="11910" w:h="16840"/>
          <w:pgMar w:header="1160" w:footer="0" w:top="1420" w:bottom="280" w:left="1275" w:right="425"/>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2"/>
        <w:rPr>
          <w:sz w:val="20"/>
        </w:rPr>
      </w:pPr>
    </w:p>
    <w:p>
      <w:pPr>
        <w:spacing w:before="0"/>
        <w:ind w:left="814" w:right="0" w:firstLine="0"/>
        <w:jc w:val="left"/>
        <w:rPr>
          <w:sz w:val="20"/>
        </w:rPr>
      </w:pPr>
      <w:bookmarkStart w:name="_bookmark123" w:id="207"/>
      <w:bookmarkEnd w:id="207"/>
      <w:r>
        <w:rPr/>
      </w:r>
      <w:r>
        <w:rPr>
          <w:b/>
          <w:sz w:val="20"/>
        </w:rPr>
        <w:t>Table</w:t>
      </w:r>
      <w:r>
        <w:rPr>
          <w:b/>
          <w:spacing w:val="-13"/>
          <w:sz w:val="20"/>
        </w:rPr>
        <w:t> </w:t>
      </w:r>
      <w:r>
        <w:rPr>
          <w:b/>
          <w:sz w:val="20"/>
        </w:rPr>
        <w:t>5.9:</w:t>
      </w:r>
      <w:r>
        <w:rPr>
          <w:b/>
          <w:spacing w:val="-10"/>
          <w:sz w:val="20"/>
        </w:rPr>
        <w:t> </w:t>
      </w:r>
      <w:r>
        <w:rPr>
          <w:sz w:val="20"/>
        </w:rPr>
        <w:t>Per-scenario</w:t>
      </w:r>
      <w:r>
        <w:rPr>
          <w:spacing w:val="-13"/>
          <w:sz w:val="20"/>
        </w:rPr>
        <w:t> </w:t>
      </w:r>
      <w:r>
        <w:rPr>
          <w:sz w:val="20"/>
        </w:rPr>
        <w:t>MAE</w:t>
      </w:r>
      <w:r>
        <w:rPr>
          <w:spacing w:val="-12"/>
          <w:sz w:val="20"/>
        </w:rPr>
        <w:t> </w:t>
      </w:r>
      <w:r>
        <w:rPr>
          <w:sz w:val="20"/>
        </w:rPr>
        <w:t>for</w:t>
      </w:r>
      <w:r>
        <w:rPr>
          <w:spacing w:val="-12"/>
          <w:sz w:val="20"/>
        </w:rPr>
        <w:t> </w:t>
      </w:r>
      <w:r>
        <w:rPr>
          <w:rFonts w:ascii="Courier New"/>
          <w:sz w:val="20"/>
        </w:rPr>
        <w:t>Naive_Median</w:t>
      </w:r>
      <w:r>
        <w:rPr>
          <w:rFonts w:ascii="Courier New"/>
          <w:spacing w:val="-71"/>
          <w:sz w:val="20"/>
        </w:rPr>
        <w:t> </w:t>
      </w:r>
      <w:r>
        <w:rPr>
          <w:sz w:val="20"/>
        </w:rPr>
        <w:t>and</w:t>
      </w:r>
      <w:r>
        <w:rPr>
          <w:spacing w:val="-12"/>
          <w:sz w:val="20"/>
        </w:rPr>
        <w:t> </w:t>
      </w:r>
      <w:r>
        <w:rPr>
          <w:rFonts w:ascii="Courier New"/>
          <w:sz w:val="20"/>
        </w:rPr>
        <w:t>CarenR_Dist_Sup_FS</w:t>
      </w:r>
      <w:r>
        <w:rPr>
          <w:sz w:val="20"/>
        </w:rPr>
        <w:t>:</w:t>
      </w:r>
      <w:r>
        <w:rPr>
          <w:spacing w:val="-12"/>
          <w:sz w:val="20"/>
        </w:rPr>
        <w:t> </w:t>
      </w:r>
      <w:r>
        <w:rPr>
          <w:sz w:val="20"/>
        </w:rPr>
        <w:t>16</w:t>
      </w:r>
      <w:r>
        <w:rPr>
          <w:spacing w:val="-11"/>
          <w:sz w:val="20"/>
        </w:rPr>
        <w:t> </w:t>
      </w:r>
      <w:r>
        <w:rPr>
          <w:sz w:val="20"/>
        </w:rPr>
        <w:t>RVV</w:t>
      </w:r>
      <w:r>
        <w:rPr>
          <w:spacing w:val="-12"/>
          <w:sz w:val="20"/>
        </w:rPr>
        <w:t> </w:t>
      </w:r>
      <w:r>
        <w:rPr>
          <w:spacing w:val="-2"/>
          <w:sz w:val="20"/>
        </w:rPr>
        <w:t>scenarios.</w:t>
      </w:r>
    </w:p>
    <w:p>
      <w:pPr>
        <w:pStyle w:val="BodyText"/>
        <w:rPr>
          <w:sz w:val="17"/>
        </w:rPr>
      </w:pPr>
      <w:r>
        <w:rPr>
          <w:sz w:val="17"/>
        </w:rPr>
        <mc:AlternateContent>
          <mc:Choice Requires="wps">
            <w:drawing>
              <wp:anchor distT="0" distB="0" distL="0" distR="0" allowOverlap="1" layoutInCell="1" locked="0" behindDoc="1" simplePos="0" relativeHeight="487628800">
                <wp:simplePos x="0" y="0"/>
                <wp:positionH relativeFrom="page">
                  <wp:posOffset>1260005</wp:posOffset>
                </wp:positionH>
                <wp:positionV relativeFrom="paragraph">
                  <wp:posOffset>139719</wp:posOffset>
                </wp:positionV>
                <wp:extent cx="5400040" cy="1270"/>
                <wp:effectExtent l="0" t="0" r="0" b="0"/>
                <wp:wrapTopAndBottom/>
                <wp:docPr id="221" name="Graphic 221"/>
                <wp:cNvGraphicFramePr>
                  <a:graphicFrameLocks/>
                </wp:cNvGraphicFramePr>
                <a:graphic>
                  <a:graphicData uri="http://schemas.microsoft.com/office/word/2010/wordprocessingShape">
                    <wps:wsp>
                      <wps:cNvPr id="221" name="Graphic 221"/>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1.001512pt;width:425.2pt;height:.1pt;mso-position-horizontal-relative:page;mso-position-vertical-relative:paragraph;z-index:-15687680;mso-wrap-distance-left:0;mso-wrap-distance-right:0" id="docshape186" coordorigin="1984,220" coordsize="8504,0" path="m1984,220l10488,220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7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0"/>
        <w:gridCol w:w="1154"/>
        <w:gridCol w:w="1154"/>
        <w:gridCol w:w="1097"/>
        <w:gridCol w:w="1097"/>
        <w:gridCol w:w="1154"/>
        <w:gridCol w:w="2206"/>
      </w:tblGrid>
      <w:tr>
        <w:trPr>
          <w:trHeight w:val="1063" w:hRule="atLeast"/>
        </w:trPr>
        <w:tc>
          <w:tcPr>
            <w:tcW w:w="640" w:type="dxa"/>
            <w:tcBorders>
              <w:top w:val="nil"/>
              <w:left w:val="nil"/>
              <w:right w:val="single" w:sz="4" w:space="0" w:color="000000"/>
            </w:tcBorders>
          </w:tcPr>
          <w:p>
            <w:pPr>
              <w:pStyle w:val="TableParagraph"/>
              <w:spacing w:before="31"/>
              <w:ind w:left="119"/>
              <w:rPr>
                <w:sz w:val="20"/>
              </w:rPr>
            </w:pPr>
            <w:r>
              <w:rPr>
                <w:spacing w:val="-2"/>
                <w:sz w:val="20"/>
              </w:rPr>
              <w:t>Scen.</w:t>
            </w:r>
          </w:p>
        </w:tc>
        <w:tc>
          <w:tcPr>
            <w:tcW w:w="1154" w:type="dxa"/>
            <w:tcBorders>
              <w:top w:val="nil"/>
              <w:left w:val="single" w:sz="4" w:space="0" w:color="000000"/>
              <w:right w:val="single" w:sz="4" w:space="0" w:color="000000"/>
            </w:tcBorders>
          </w:tcPr>
          <w:p>
            <w:pPr>
              <w:pStyle w:val="TableParagraph"/>
              <w:tabs>
                <w:tab w:pos="799" w:val="left" w:leader="none"/>
              </w:tabs>
              <w:spacing w:line="249" w:lineRule="auto" w:before="31"/>
              <w:ind w:left="118" w:right="83"/>
              <w:rPr>
                <w:sz w:val="20"/>
              </w:rPr>
            </w:pPr>
            <w:r>
              <w:rPr>
                <w:spacing w:val="-2"/>
                <w:sz w:val="20"/>
              </w:rPr>
              <w:t>Train</w:t>
            </w:r>
            <w:r>
              <w:rPr>
                <w:sz w:val="20"/>
              </w:rPr>
              <w:tab/>
            </w:r>
            <w:r>
              <w:rPr>
                <w:spacing w:val="-4"/>
                <w:sz w:val="20"/>
              </w:rPr>
              <w:t>pe-riod</w:t>
            </w:r>
          </w:p>
        </w:tc>
        <w:tc>
          <w:tcPr>
            <w:tcW w:w="1154" w:type="dxa"/>
            <w:tcBorders>
              <w:top w:val="nil"/>
              <w:left w:val="single" w:sz="4" w:space="0" w:color="000000"/>
              <w:right w:val="single" w:sz="4" w:space="0" w:color="000000"/>
            </w:tcBorders>
          </w:tcPr>
          <w:p>
            <w:pPr>
              <w:pStyle w:val="TableParagraph"/>
              <w:spacing w:before="31"/>
              <w:ind w:left="118"/>
              <w:rPr>
                <w:sz w:val="20"/>
              </w:rPr>
            </w:pPr>
            <w:r>
              <w:rPr>
                <w:spacing w:val="-2"/>
                <w:sz w:val="20"/>
              </w:rPr>
              <w:t>Test</w:t>
            </w:r>
            <w:r>
              <w:rPr>
                <w:spacing w:val="-11"/>
                <w:sz w:val="20"/>
              </w:rPr>
              <w:t> </w:t>
            </w:r>
            <w:r>
              <w:rPr>
                <w:spacing w:val="-2"/>
                <w:sz w:val="20"/>
              </w:rPr>
              <w:t>period</w:t>
            </w:r>
          </w:p>
        </w:tc>
        <w:tc>
          <w:tcPr>
            <w:tcW w:w="1097" w:type="dxa"/>
            <w:tcBorders>
              <w:top w:val="nil"/>
              <w:left w:val="single" w:sz="4" w:space="0" w:color="000000"/>
              <w:right w:val="single" w:sz="4" w:space="0" w:color="000000"/>
            </w:tcBorders>
          </w:tcPr>
          <w:p>
            <w:pPr>
              <w:pStyle w:val="TableParagraph"/>
              <w:spacing w:line="249" w:lineRule="auto" w:before="31"/>
              <w:ind w:left="118" w:right="345"/>
              <w:jc w:val="both"/>
              <w:rPr>
                <w:sz w:val="20"/>
              </w:rPr>
            </w:pPr>
            <w:r>
              <w:rPr>
                <w:spacing w:val="-2"/>
                <w:sz w:val="20"/>
              </w:rPr>
              <w:t>Naive_ Median </w:t>
            </w:r>
            <w:r>
              <w:rPr>
                <w:spacing w:val="-4"/>
                <w:sz w:val="20"/>
              </w:rPr>
              <w:t>MAE</w:t>
            </w:r>
          </w:p>
          <w:p>
            <w:pPr>
              <w:pStyle w:val="TableParagraph"/>
              <w:spacing w:line="230" w:lineRule="exact" w:before="0"/>
              <w:ind w:left="112"/>
              <w:rPr>
                <w:sz w:val="20"/>
              </w:rPr>
            </w:pPr>
            <w:r>
              <w:rPr>
                <w:spacing w:val="-2"/>
                <w:sz w:val="20"/>
              </w:rPr>
              <w:t>(mhl)</w:t>
            </w:r>
          </w:p>
        </w:tc>
        <w:tc>
          <w:tcPr>
            <w:tcW w:w="1097" w:type="dxa"/>
            <w:tcBorders>
              <w:top w:val="nil"/>
              <w:left w:val="single" w:sz="4" w:space="0" w:color="000000"/>
              <w:right w:val="single" w:sz="4" w:space="0" w:color="000000"/>
            </w:tcBorders>
          </w:tcPr>
          <w:p>
            <w:pPr>
              <w:pStyle w:val="TableParagraph"/>
              <w:spacing w:line="249" w:lineRule="auto" w:before="31"/>
              <w:ind w:left="119"/>
              <w:rPr>
                <w:sz w:val="20"/>
              </w:rPr>
            </w:pPr>
            <w:r>
              <w:rPr>
                <w:spacing w:val="-2"/>
                <w:sz w:val="20"/>
              </w:rPr>
              <w:t>CarenR_ Sup_FS </w:t>
            </w:r>
            <w:r>
              <w:rPr>
                <w:spacing w:val="-4"/>
                <w:sz w:val="20"/>
              </w:rPr>
              <w:t>MAE</w:t>
            </w:r>
          </w:p>
          <w:p>
            <w:pPr>
              <w:pStyle w:val="TableParagraph"/>
              <w:spacing w:line="230" w:lineRule="exact" w:before="0"/>
              <w:ind w:left="112"/>
              <w:rPr>
                <w:sz w:val="20"/>
              </w:rPr>
            </w:pPr>
            <w:r>
              <w:rPr>
                <w:spacing w:val="-2"/>
                <w:sz w:val="20"/>
              </w:rPr>
              <w:t>(mhl)</w:t>
            </w:r>
          </w:p>
        </w:tc>
        <w:tc>
          <w:tcPr>
            <w:tcW w:w="1154" w:type="dxa"/>
            <w:tcBorders>
              <w:top w:val="nil"/>
              <w:left w:val="single" w:sz="4" w:space="0" w:color="000000"/>
              <w:right w:val="single" w:sz="4" w:space="0" w:color="000000"/>
            </w:tcBorders>
          </w:tcPr>
          <w:p>
            <w:pPr>
              <w:pStyle w:val="TableParagraph"/>
              <w:spacing w:line="249" w:lineRule="auto" w:before="31"/>
              <w:ind w:left="112" w:firstLine="7"/>
              <w:rPr>
                <w:sz w:val="20"/>
              </w:rPr>
            </w:pPr>
            <w:r>
              <w:rPr>
                <w:sz w:val="20"/>
              </w:rPr>
              <w:t>Gap</w:t>
            </w:r>
            <w:r>
              <w:rPr>
                <w:spacing w:val="40"/>
                <w:sz w:val="20"/>
              </w:rPr>
              <w:t> </w:t>
            </w:r>
            <w:r>
              <w:rPr>
                <w:sz w:val="20"/>
              </w:rPr>
              <w:t>(+</w:t>
            </w:r>
            <w:r>
              <w:rPr>
                <w:spacing w:val="40"/>
                <w:sz w:val="20"/>
              </w:rPr>
              <w:t> </w:t>
            </w:r>
            <w:r>
              <w:rPr>
                <w:sz w:val="20"/>
              </w:rPr>
              <w:t>= </w:t>
            </w:r>
            <w:r>
              <w:rPr>
                <w:spacing w:val="-2"/>
                <w:sz w:val="20"/>
              </w:rPr>
              <w:t>CarenR worse)</w:t>
            </w:r>
          </w:p>
        </w:tc>
        <w:tc>
          <w:tcPr>
            <w:tcW w:w="2206" w:type="dxa"/>
            <w:tcBorders>
              <w:top w:val="nil"/>
              <w:left w:val="single" w:sz="4" w:space="0" w:color="000000"/>
              <w:right w:val="nil"/>
            </w:tcBorders>
          </w:tcPr>
          <w:p>
            <w:pPr>
              <w:pStyle w:val="TableParagraph"/>
              <w:spacing w:before="31"/>
              <w:ind w:left="119"/>
              <w:rPr>
                <w:sz w:val="20"/>
              </w:rPr>
            </w:pPr>
            <w:r>
              <w:rPr>
                <w:spacing w:val="-2"/>
                <w:sz w:val="20"/>
              </w:rPr>
              <w:t>Outcome</w:t>
            </w:r>
          </w:p>
        </w:tc>
      </w:tr>
    </w:tbl>
    <w:p>
      <w:pPr>
        <w:pStyle w:val="BodyText"/>
        <w:spacing w:before="10"/>
        <w:rPr>
          <w:sz w:val="4"/>
        </w:rPr>
      </w:pPr>
    </w:p>
    <w:tbl>
      <w:tblPr>
        <w:tblW w:w="0" w:type="auto"/>
        <w:jc w:val="left"/>
        <w:tblInd w:w="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0"/>
        <w:gridCol w:w="1154"/>
        <w:gridCol w:w="1154"/>
        <w:gridCol w:w="1097"/>
        <w:gridCol w:w="1097"/>
        <w:gridCol w:w="1154"/>
        <w:gridCol w:w="2206"/>
      </w:tblGrid>
      <w:tr>
        <w:trPr>
          <w:trHeight w:val="548" w:hRule="atLeast"/>
        </w:trPr>
        <w:tc>
          <w:tcPr>
            <w:tcW w:w="640" w:type="dxa"/>
            <w:tcBorders>
              <w:right w:val="single" w:sz="4" w:space="0" w:color="000000"/>
            </w:tcBorders>
          </w:tcPr>
          <w:p>
            <w:pPr>
              <w:pStyle w:val="TableParagraph"/>
              <w:spacing w:before="31"/>
              <w:ind w:left="119"/>
              <w:rPr>
                <w:sz w:val="20"/>
              </w:rPr>
            </w:pPr>
            <w:r>
              <w:rPr>
                <w:spacing w:val="-10"/>
                <w:sz w:val="20"/>
              </w:rPr>
              <w:t>1</w:t>
            </w:r>
          </w:p>
        </w:tc>
        <w:tc>
          <w:tcPr>
            <w:tcW w:w="1154" w:type="dxa"/>
            <w:tcBorders>
              <w:left w:val="single" w:sz="4" w:space="0" w:color="000000"/>
              <w:right w:val="single" w:sz="4" w:space="0" w:color="000000"/>
            </w:tcBorders>
          </w:tcPr>
          <w:p>
            <w:pPr>
              <w:pStyle w:val="TableParagraph"/>
              <w:spacing w:before="31"/>
              <w:ind w:right="8"/>
              <w:jc w:val="center"/>
              <w:rPr>
                <w:sz w:val="20"/>
              </w:rPr>
            </w:pPr>
            <w:r>
              <w:rPr>
                <w:spacing w:val="-2"/>
                <w:sz w:val="20"/>
              </w:rPr>
              <w:t>1942–</w:t>
            </w:r>
            <w:r>
              <w:rPr>
                <w:spacing w:val="-4"/>
                <w:sz w:val="20"/>
              </w:rPr>
              <w:t>2005</w:t>
            </w:r>
          </w:p>
        </w:tc>
        <w:tc>
          <w:tcPr>
            <w:tcW w:w="1154" w:type="dxa"/>
            <w:tcBorders>
              <w:left w:val="single" w:sz="4" w:space="0" w:color="000000"/>
              <w:right w:val="single" w:sz="4" w:space="0" w:color="000000"/>
            </w:tcBorders>
          </w:tcPr>
          <w:p>
            <w:pPr>
              <w:pStyle w:val="TableParagraph"/>
              <w:spacing w:before="31"/>
              <w:ind w:left="118"/>
              <w:rPr>
                <w:sz w:val="20"/>
              </w:rPr>
            </w:pPr>
            <w:r>
              <w:rPr>
                <w:spacing w:val="-2"/>
                <w:sz w:val="20"/>
              </w:rPr>
              <w:t>2006–</w:t>
            </w:r>
            <w:r>
              <w:rPr>
                <w:spacing w:val="-4"/>
                <w:sz w:val="20"/>
              </w:rPr>
              <w:t>2021</w:t>
            </w:r>
          </w:p>
        </w:tc>
        <w:tc>
          <w:tcPr>
            <w:tcW w:w="1097" w:type="dxa"/>
            <w:tcBorders>
              <w:left w:val="single" w:sz="4" w:space="0" w:color="000000"/>
              <w:right w:val="single" w:sz="4" w:space="0" w:color="000000"/>
            </w:tcBorders>
          </w:tcPr>
          <w:p>
            <w:pPr>
              <w:pStyle w:val="TableParagraph"/>
              <w:spacing w:before="31"/>
              <w:ind w:left="118"/>
              <w:rPr>
                <w:sz w:val="20"/>
              </w:rPr>
            </w:pPr>
            <w:r>
              <w:rPr>
                <w:spacing w:val="-2"/>
                <w:sz w:val="20"/>
              </w:rPr>
              <w:t>143.0</w:t>
            </w:r>
          </w:p>
        </w:tc>
        <w:tc>
          <w:tcPr>
            <w:tcW w:w="1097" w:type="dxa"/>
            <w:tcBorders>
              <w:left w:val="single" w:sz="4" w:space="0" w:color="000000"/>
              <w:right w:val="single" w:sz="4" w:space="0" w:color="000000"/>
            </w:tcBorders>
          </w:tcPr>
          <w:p>
            <w:pPr>
              <w:pStyle w:val="TableParagraph"/>
              <w:spacing w:before="31"/>
              <w:ind w:left="119"/>
              <w:rPr>
                <w:sz w:val="20"/>
              </w:rPr>
            </w:pPr>
            <w:r>
              <w:rPr>
                <w:spacing w:val="-2"/>
                <w:sz w:val="20"/>
              </w:rPr>
              <w:t>143.0</w:t>
            </w:r>
          </w:p>
        </w:tc>
        <w:tc>
          <w:tcPr>
            <w:tcW w:w="1154" w:type="dxa"/>
            <w:tcBorders>
              <w:left w:val="single" w:sz="4" w:space="0" w:color="000000"/>
              <w:right w:val="single" w:sz="4" w:space="0" w:color="000000"/>
            </w:tcBorders>
          </w:tcPr>
          <w:p>
            <w:pPr>
              <w:pStyle w:val="TableParagraph"/>
              <w:spacing w:before="31"/>
              <w:ind w:left="119"/>
              <w:rPr>
                <w:sz w:val="20"/>
              </w:rPr>
            </w:pPr>
            <w:r>
              <w:rPr>
                <w:spacing w:val="-4"/>
                <w:sz w:val="20"/>
              </w:rPr>
              <w:t>+0.0</w:t>
            </w:r>
          </w:p>
        </w:tc>
        <w:tc>
          <w:tcPr>
            <w:tcW w:w="2206" w:type="dxa"/>
            <w:tcBorders>
              <w:left w:val="single" w:sz="4" w:space="0" w:color="000000"/>
            </w:tcBorders>
          </w:tcPr>
          <w:p>
            <w:pPr>
              <w:pStyle w:val="TableParagraph"/>
              <w:spacing w:line="249" w:lineRule="auto" w:before="31"/>
              <w:ind w:left="119"/>
              <w:rPr>
                <w:sz w:val="20"/>
              </w:rPr>
            </w:pPr>
            <w:r>
              <w:rPr>
                <w:sz w:val="20"/>
              </w:rPr>
              <w:t>FALLBACK,</w:t>
            </w:r>
            <w:r>
              <w:rPr>
                <w:spacing w:val="40"/>
                <w:sz w:val="20"/>
              </w:rPr>
              <w:t> </w:t>
            </w:r>
            <w:r>
              <w:rPr>
                <w:sz w:val="20"/>
              </w:rPr>
              <w:t>no</w:t>
            </w:r>
            <w:r>
              <w:rPr>
                <w:spacing w:val="40"/>
                <w:sz w:val="20"/>
              </w:rPr>
              <w:t> </w:t>
            </w:r>
            <w:r>
              <w:rPr>
                <w:sz w:val="20"/>
              </w:rPr>
              <w:t>rules </w:t>
            </w:r>
            <w:r>
              <w:rPr>
                <w:spacing w:val="-2"/>
                <w:sz w:val="20"/>
              </w:rPr>
              <w:t>fired</w:t>
            </w:r>
          </w:p>
        </w:tc>
      </w:tr>
      <w:tr>
        <w:trPr>
          <w:trHeight w:val="549" w:hRule="atLeast"/>
        </w:trPr>
        <w:tc>
          <w:tcPr>
            <w:tcW w:w="640" w:type="dxa"/>
            <w:tcBorders>
              <w:right w:val="single" w:sz="4" w:space="0" w:color="000000"/>
            </w:tcBorders>
          </w:tcPr>
          <w:p>
            <w:pPr>
              <w:pStyle w:val="TableParagraph"/>
              <w:ind w:left="119"/>
              <w:rPr>
                <w:sz w:val="20"/>
              </w:rPr>
            </w:pPr>
            <w:r>
              <w:rPr>
                <w:spacing w:val="-10"/>
                <w:sz w:val="20"/>
              </w:rPr>
              <w:t>2</w:t>
            </w:r>
          </w:p>
        </w:tc>
        <w:tc>
          <w:tcPr>
            <w:tcW w:w="1154" w:type="dxa"/>
            <w:tcBorders>
              <w:left w:val="single" w:sz="4" w:space="0" w:color="000000"/>
              <w:right w:val="single" w:sz="4" w:space="0" w:color="000000"/>
            </w:tcBorders>
          </w:tcPr>
          <w:p>
            <w:pPr>
              <w:pStyle w:val="TableParagraph"/>
              <w:ind w:right="8"/>
              <w:jc w:val="center"/>
              <w:rPr>
                <w:sz w:val="20"/>
              </w:rPr>
            </w:pPr>
            <w:r>
              <w:rPr>
                <w:spacing w:val="-2"/>
                <w:sz w:val="20"/>
              </w:rPr>
              <w:t>1942–</w:t>
            </w:r>
            <w:r>
              <w:rPr>
                <w:spacing w:val="-4"/>
                <w:sz w:val="20"/>
              </w:rPr>
              <w:t>2006</w:t>
            </w:r>
          </w:p>
        </w:tc>
        <w:tc>
          <w:tcPr>
            <w:tcW w:w="1154" w:type="dxa"/>
            <w:tcBorders>
              <w:left w:val="single" w:sz="4" w:space="0" w:color="000000"/>
              <w:right w:val="single" w:sz="4" w:space="0" w:color="000000"/>
            </w:tcBorders>
          </w:tcPr>
          <w:p>
            <w:pPr>
              <w:pStyle w:val="TableParagraph"/>
              <w:ind w:left="118"/>
              <w:rPr>
                <w:sz w:val="20"/>
              </w:rPr>
            </w:pPr>
            <w:r>
              <w:rPr>
                <w:spacing w:val="-2"/>
                <w:sz w:val="20"/>
              </w:rPr>
              <w:t>2007–</w:t>
            </w:r>
            <w:r>
              <w:rPr>
                <w:spacing w:val="-4"/>
                <w:sz w:val="20"/>
              </w:rPr>
              <w:t>2021</w:t>
            </w:r>
          </w:p>
        </w:tc>
        <w:tc>
          <w:tcPr>
            <w:tcW w:w="1097" w:type="dxa"/>
            <w:tcBorders>
              <w:left w:val="single" w:sz="4" w:space="0" w:color="000000"/>
              <w:right w:val="single" w:sz="4" w:space="0" w:color="000000"/>
            </w:tcBorders>
          </w:tcPr>
          <w:p>
            <w:pPr>
              <w:pStyle w:val="TableParagraph"/>
              <w:ind w:left="118"/>
              <w:rPr>
                <w:sz w:val="20"/>
              </w:rPr>
            </w:pPr>
            <w:r>
              <w:rPr>
                <w:spacing w:val="-2"/>
                <w:sz w:val="20"/>
              </w:rPr>
              <w:t>137.3</w:t>
            </w:r>
          </w:p>
        </w:tc>
        <w:tc>
          <w:tcPr>
            <w:tcW w:w="1097" w:type="dxa"/>
            <w:tcBorders>
              <w:left w:val="single" w:sz="4" w:space="0" w:color="000000"/>
              <w:right w:val="single" w:sz="4" w:space="0" w:color="000000"/>
            </w:tcBorders>
          </w:tcPr>
          <w:p>
            <w:pPr>
              <w:pStyle w:val="TableParagraph"/>
              <w:ind w:left="119"/>
              <w:rPr>
                <w:sz w:val="20"/>
              </w:rPr>
            </w:pPr>
            <w:r>
              <w:rPr>
                <w:spacing w:val="-2"/>
                <w:sz w:val="20"/>
              </w:rPr>
              <w:t>151.4</w:t>
            </w:r>
          </w:p>
        </w:tc>
        <w:tc>
          <w:tcPr>
            <w:tcW w:w="1154" w:type="dxa"/>
            <w:tcBorders>
              <w:left w:val="single" w:sz="4" w:space="0" w:color="000000"/>
              <w:right w:val="single" w:sz="4" w:space="0" w:color="000000"/>
            </w:tcBorders>
          </w:tcPr>
          <w:p>
            <w:pPr>
              <w:pStyle w:val="TableParagraph"/>
              <w:ind w:left="119"/>
              <w:rPr>
                <w:sz w:val="20"/>
              </w:rPr>
            </w:pPr>
            <w:r>
              <w:rPr>
                <w:spacing w:val="-2"/>
                <w:sz w:val="20"/>
              </w:rPr>
              <w:t>+14.1</w:t>
            </w:r>
          </w:p>
        </w:tc>
        <w:tc>
          <w:tcPr>
            <w:tcW w:w="2206" w:type="dxa"/>
            <w:tcBorders>
              <w:left w:val="single" w:sz="4" w:space="0" w:color="000000"/>
            </w:tcBorders>
          </w:tcPr>
          <w:p>
            <w:pPr>
              <w:pStyle w:val="TableParagraph"/>
              <w:spacing w:line="249" w:lineRule="auto"/>
              <w:ind w:left="119"/>
              <w:rPr>
                <w:sz w:val="20"/>
              </w:rPr>
            </w:pPr>
            <w:r>
              <w:rPr>
                <w:sz w:val="20"/>
              </w:rPr>
              <w:t>HARMFUL, rules </w:t>
            </w:r>
            <w:r>
              <w:rPr>
                <w:sz w:val="20"/>
              </w:rPr>
              <w:t>fired, hurt prediction</w:t>
            </w:r>
          </w:p>
        </w:tc>
      </w:tr>
      <w:tr>
        <w:trPr>
          <w:trHeight w:val="549" w:hRule="atLeast"/>
        </w:trPr>
        <w:tc>
          <w:tcPr>
            <w:tcW w:w="640" w:type="dxa"/>
            <w:tcBorders>
              <w:right w:val="single" w:sz="4" w:space="0" w:color="000000"/>
            </w:tcBorders>
          </w:tcPr>
          <w:p>
            <w:pPr>
              <w:pStyle w:val="TableParagraph"/>
              <w:ind w:left="119"/>
              <w:rPr>
                <w:sz w:val="20"/>
              </w:rPr>
            </w:pPr>
            <w:r>
              <w:rPr>
                <w:spacing w:val="-10"/>
                <w:sz w:val="20"/>
              </w:rPr>
              <w:t>3</w:t>
            </w:r>
          </w:p>
        </w:tc>
        <w:tc>
          <w:tcPr>
            <w:tcW w:w="1154" w:type="dxa"/>
            <w:tcBorders>
              <w:left w:val="single" w:sz="4" w:space="0" w:color="000000"/>
              <w:right w:val="single" w:sz="4" w:space="0" w:color="000000"/>
            </w:tcBorders>
          </w:tcPr>
          <w:p>
            <w:pPr>
              <w:pStyle w:val="TableParagraph"/>
              <w:ind w:right="8"/>
              <w:jc w:val="center"/>
              <w:rPr>
                <w:sz w:val="20"/>
              </w:rPr>
            </w:pPr>
            <w:r>
              <w:rPr>
                <w:spacing w:val="-2"/>
                <w:sz w:val="20"/>
              </w:rPr>
              <w:t>1942–</w:t>
            </w:r>
            <w:r>
              <w:rPr>
                <w:spacing w:val="-4"/>
                <w:sz w:val="20"/>
              </w:rPr>
              <w:t>2007</w:t>
            </w:r>
          </w:p>
        </w:tc>
        <w:tc>
          <w:tcPr>
            <w:tcW w:w="1154" w:type="dxa"/>
            <w:tcBorders>
              <w:left w:val="single" w:sz="4" w:space="0" w:color="000000"/>
              <w:right w:val="single" w:sz="4" w:space="0" w:color="000000"/>
            </w:tcBorders>
          </w:tcPr>
          <w:p>
            <w:pPr>
              <w:pStyle w:val="TableParagraph"/>
              <w:ind w:left="118"/>
              <w:rPr>
                <w:sz w:val="20"/>
              </w:rPr>
            </w:pPr>
            <w:r>
              <w:rPr>
                <w:spacing w:val="-2"/>
                <w:sz w:val="20"/>
              </w:rPr>
              <w:t>2008–</w:t>
            </w:r>
            <w:r>
              <w:rPr>
                <w:spacing w:val="-4"/>
                <w:sz w:val="20"/>
              </w:rPr>
              <w:t>2021</w:t>
            </w:r>
          </w:p>
        </w:tc>
        <w:tc>
          <w:tcPr>
            <w:tcW w:w="1097" w:type="dxa"/>
            <w:tcBorders>
              <w:left w:val="single" w:sz="4" w:space="0" w:color="000000"/>
              <w:right w:val="single" w:sz="4" w:space="0" w:color="000000"/>
            </w:tcBorders>
          </w:tcPr>
          <w:p>
            <w:pPr>
              <w:pStyle w:val="TableParagraph"/>
              <w:ind w:left="118"/>
              <w:rPr>
                <w:sz w:val="20"/>
              </w:rPr>
            </w:pPr>
            <w:r>
              <w:rPr>
                <w:spacing w:val="-2"/>
                <w:sz w:val="20"/>
              </w:rPr>
              <w:t>115.7</w:t>
            </w:r>
          </w:p>
        </w:tc>
        <w:tc>
          <w:tcPr>
            <w:tcW w:w="1097" w:type="dxa"/>
            <w:tcBorders>
              <w:left w:val="single" w:sz="4" w:space="0" w:color="000000"/>
              <w:right w:val="single" w:sz="4" w:space="0" w:color="000000"/>
            </w:tcBorders>
          </w:tcPr>
          <w:p>
            <w:pPr>
              <w:pStyle w:val="TableParagraph"/>
              <w:ind w:left="119"/>
              <w:rPr>
                <w:sz w:val="20"/>
              </w:rPr>
            </w:pPr>
            <w:r>
              <w:rPr>
                <w:spacing w:val="-2"/>
                <w:sz w:val="20"/>
              </w:rPr>
              <w:t>115.7</w:t>
            </w:r>
          </w:p>
        </w:tc>
        <w:tc>
          <w:tcPr>
            <w:tcW w:w="1154" w:type="dxa"/>
            <w:tcBorders>
              <w:left w:val="single" w:sz="4" w:space="0" w:color="000000"/>
              <w:right w:val="single" w:sz="4" w:space="0" w:color="000000"/>
            </w:tcBorders>
          </w:tcPr>
          <w:p>
            <w:pPr>
              <w:pStyle w:val="TableParagraph"/>
              <w:ind w:left="119"/>
              <w:rPr>
                <w:sz w:val="20"/>
              </w:rPr>
            </w:pPr>
            <w:r>
              <w:rPr>
                <w:spacing w:val="-4"/>
                <w:sz w:val="20"/>
              </w:rPr>
              <w:t>+0.0</w:t>
            </w:r>
          </w:p>
        </w:tc>
        <w:tc>
          <w:tcPr>
            <w:tcW w:w="2206" w:type="dxa"/>
            <w:tcBorders>
              <w:left w:val="single" w:sz="4" w:space="0" w:color="000000"/>
            </w:tcBorders>
          </w:tcPr>
          <w:p>
            <w:pPr>
              <w:pStyle w:val="TableParagraph"/>
              <w:spacing w:line="249" w:lineRule="auto"/>
              <w:ind w:left="119"/>
              <w:rPr>
                <w:sz w:val="20"/>
              </w:rPr>
            </w:pPr>
            <w:r>
              <w:rPr>
                <w:sz w:val="20"/>
              </w:rPr>
              <w:t>FALLBACK,</w:t>
            </w:r>
            <w:r>
              <w:rPr>
                <w:spacing w:val="40"/>
                <w:sz w:val="20"/>
              </w:rPr>
              <w:t> </w:t>
            </w:r>
            <w:r>
              <w:rPr>
                <w:sz w:val="20"/>
              </w:rPr>
              <w:t>no</w:t>
            </w:r>
            <w:r>
              <w:rPr>
                <w:spacing w:val="40"/>
                <w:sz w:val="20"/>
              </w:rPr>
              <w:t> </w:t>
            </w:r>
            <w:r>
              <w:rPr>
                <w:sz w:val="20"/>
              </w:rPr>
              <w:t>rules </w:t>
            </w:r>
            <w:r>
              <w:rPr>
                <w:spacing w:val="-2"/>
                <w:sz w:val="20"/>
              </w:rPr>
              <w:t>fired</w:t>
            </w:r>
          </w:p>
        </w:tc>
      </w:tr>
      <w:tr>
        <w:trPr>
          <w:trHeight w:val="549" w:hRule="atLeast"/>
        </w:trPr>
        <w:tc>
          <w:tcPr>
            <w:tcW w:w="640" w:type="dxa"/>
            <w:tcBorders>
              <w:right w:val="single" w:sz="4" w:space="0" w:color="000000"/>
            </w:tcBorders>
          </w:tcPr>
          <w:p>
            <w:pPr>
              <w:pStyle w:val="TableParagraph"/>
              <w:ind w:left="119"/>
              <w:rPr>
                <w:sz w:val="20"/>
              </w:rPr>
            </w:pPr>
            <w:r>
              <w:rPr>
                <w:spacing w:val="-10"/>
                <w:sz w:val="20"/>
              </w:rPr>
              <w:t>4</w:t>
            </w:r>
          </w:p>
        </w:tc>
        <w:tc>
          <w:tcPr>
            <w:tcW w:w="1154" w:type="dxa"/>
            <w:tcBorders>
              <w:left w:val="single" w:sz="4" w:space="0" w:color="000000"/>
              <w:right w:val="single" w:sz="4" w:space="0" w:color="000000"/>
            </w:tcBorders>
          </w:tcPr>
          <w:p>
            <w:pPr>
              <w:pStyle w:val="TableParagraph"/>
              <w:ind w:right="8"/>
              <w:jc w:val="center"/>
              <w:rPr>
                <w:sz w:val="20"/>
              </w:rPr>
            </w:pPr>
            <w:r>
              <w:rPr>
                <w:spacing w:val="-2"/>
                <w:sz w:val="20"/>
              </w:rPr>
              <w:t>1942–</w:t>
            </w:r>
            <w:r>
              <w:rPr>
                <w:spacing w:val="-4"/>
                <w:sz w:val="20"/>
              </w:rPr>
              <w:t>2008</w:t>
            </w:r>
          </w:p>
        </w:tc>
        <w:tc>
          <w:tcPr>
            <w:tcW w:w="1154" w:type="dxa"/>
            <w:tcBorders>
              <w:left w:val="single" w:sz="4" w:space="0" w:color="000000"/>
              <w:right w:val="single" w:sz="4" w:space="0" w:color="000000"/>
            </w:tcBorders>
          </w:tcPr>
          <w:p>
            <w:pPr>
              <w:pStyle w:val="TableParagraph"/>
              <w:ind w:left="118"/>
              <w:rPr>
                <w:sz w:val="20"/>
              </w:rPr>
            </w:pPr>
            <w:r>
              <w:rPr>
                <w:spacing w:val="-2"/>
                <w:sz w:val="20"/>
              </w:rPr>
              <w:t>2009–</w:t>
            </w:r>
            <w:r>
              <w:rPr>
                <w:spacing w:val="-4"/>
                <w:sz w:val="20"/>
              </w:rPr>
              <w:t>2021</w:t>
            </w:r>
          </w:p>
        </w:tc>
        <w:tc>
          <w:tcPr>
            <w:tcW w:w="1097" w:type="dxa"/>
            <w:tcBorders>
              <w:left w:val="single" w:sz="4" w:space="0" w:color="000000"/>
              <w:right w:val="single" w:sz="4" w:space="0" w:color="000000"/>
            </w:tcBorders>
          </w:tcPr>
          <w:p>
            <w:pPr>
              <w:pStyle w:val="TableParagraph"/>
              <w:ind w:left="118"/>
              <w:rPr>
                <w:sz w:val="20"/>
              </w:rPr>
            </w:pPr>
            <w:r>
              <w:rPr>
                <w:spacing w:val="-2"/>
                <w:sz w:val="20"/>
              </w:rPr>
              <w:t>106.0</w:t>
            </w:r>
          </w:p>
        </w:tc>
        <w:tc>
          <w:tcPr>
            <w:tcW w:w="1097" w:type="dxa"/>
            <w:tcBorders>
              <w:left w:val="single" w:sz="4" w:space="0" w:color="000000"/>
              <w:right w:val="single" w:sz="4" w:space="0" w:color="000000"/>
            </w:tcBorders>
          </w:tcPr>
          <w:p>
            <w:pPr>
              <w:pStyle w:val="TableParagraph"/>
              <w:ind w:left="119"/>
              <w:rPr>
                <w:sz w:val="20"/>
              </w:rPr>
            </w:pPr>
            <w:r>
              <w:rPr>
                <w:spacing w:val="-2"/>
                <w:sz w:val="20"/>
              </w:rPr>
              <w:t>139.4</w:t>
            </w:r>
          </w:p>
        </w:tc>
        <w:tc>
          <w:tcPr>
            <w:tcW w:w="1154" w:type="dxa"/>
            <w:tcBorders>
              <w:left w:val="single" w:sz="4" w:space="0" w:color="000000"/>
              <w:right w:val="single" w:sz="4" w:space="0" w:color="000000"/>
            </w:tcBorders>
          </w:tcPr>
          <w:p>
            <w:pPr>
              <w:pStyle w:val="TableParagraph"/>
              <w:ind w:left="119"/>
              <w:rPr>
                <w:sz w:val="20"/>
              </w:rPr>
            </w:pPr>
            <w:r>
              <w:rPr>
                <w:spacing w:val="-2"/>
                <w:sz w:val="20"/>
              </w:rPr>
              <w:t>+33.4</w:t>
            </w:r>
          </w:p>
        </w:tc>
        <w:tc>
          <w:tcPr>
            <w:tcW w:w="2206" w:type="dxa"/>
            <w:tcBorders>
              <w:left w:val="single" w:sz="4" w:space="0" w:color="000000"/>
            </w:tcBorders>
          </w:tcPr>
          <w:p>
            <w:pPr>
              <w:pStyle w:val="TableParagraph"/>
              <w:spacing w:line="249" w:lineRule="auto"/>
              <w:ind w:left="119"/>
              <w:rPr>
                <w:sz w:val="20"/>
              </w:rPr>
            </w:pPr>
            <w:r>
              <w:rPr>
                <w:sz w:val="20"/>
              </w:rPr>
              <w:t>HARMFUL, rules </w:t>
            </w:r>
            <w:r>
              <w:rPr>
                <w:sz w:val="20"/>
              </w:rPr>
              <w:t>fired, hurt prediction</w:t>
            </w:r>
          </w:p>
        </w:tc>
      </w:tr>
      <w:tr>
        <w:trPr>
          <w:trHeight w:val="549" w:hRule="atLeast"/>
        </w:trPr>
        <w:tc>
          <w:tcPr>
            <w:tcW w:w="640" w:type="dxa"/>
            <w:tcBorders>
              <w:right w:val="single" w:sz="4" w:space="0" w:color="000000"/>
            </w:tcBorders>
          </w:tcPr>
          <w:p>
            <w:pPr>
              <w:pStyle w:val="TableParagraph"/>
              <w:ind w:left="119"/>
              <w:rPr>
                <w:sz w:val="20"/>
              </w:rPr>
            </w:pPr>
            <w:r>
              <w:rPr>
                <w:spacing w:val="-10"/>
                <w:sz w:val="20"/>
              </w:rPr>
              <w:t>5</w:t>
            </w:r>
          </w:p>
        </w:tc>
        <w:tc>
          <w:tcPr>
            <w:tcW w:w="1154" w:type="dxa"/>
            <w:tcBorders>
              <w:left w:val="single" w:sz="4" w:space="0" w:color="000000"/>
              <w:right w:val="single" w:sz="4" w:space="0" w:color="000000"/>
            </w:tcBorders>
          </w:tcPr>
          <w:p>
            <w:pPr>
              <w:pStyle w:val="TableParagraph"/>
              <w:ind w:right="8"/>
              <w:jc w:val="center"/>
              <w:rPr>
                <w:sz w:val="20"/>
              </w:rPr>
            </w:pPr>
            <w:r>
              <w:rPr>
                <w:spacing w:val="-2"/>
                <w:sz w:val="20"/>
              </w:rPr>
              <w:t>1942–</w:t>
            </w:r>
            <w:r>
              <w:rPr>
                <w:spacing w:val="-4"/>
                <w:sz w:val="20"/>
              </w:rPr>
              <w:t>2009</w:t>
            </w:r>
          </w:p>
        </w:tc>
        <w:tc>
          <w:tcPr>
            <w:tcW w:w="1154" w:type="dxa"/>
            <w:tcBorders>
              <w:left w:val="single" w:sz="4" w:space="0" w:color="000000"/>
              <w:right w:val="single" w:sz="4" w:space="0" w:color="000000"/>
            </w:tcBorders>
          </w:tcPr>
          <w:p>
            <w:pPr>
              <w:pStyle w:val="TableParagraph"/>
              <w:ind w:left="118"/>
              <w:rPr>
                <w:sz w:val="20"/>
              </w:rPr>
            </w:pPr>
            <w:r>
              <w:rPr>
                <w:spacing w:val="-2"/>
                <w:sz w:val="20"/>
              </w:rPr>
              <w:t>2010–</w:t>
            </w:r>
            <w:r>
              <w:rPr>
                <w:spacing w:val="-4"/>
                <w:sz w:val="20"/>
              </w:rPr>
              <w:t>2021</w:t>
            </w:r>
          </w:p>
        </w:tc>
        <w:tc>
          <w:tcPr>
            <w:tcW w:w="1097" w:type="dxa"/>
            <w:tcBorders>
              <w:left w:val="single" w:sz="4" w:space="0" w:color="000000"/>
              <w:right w:val="single" w:sz="4" w:space="0" w:color="000000"/>
            </w:tcBorders>
          </w:tcPr>
          <w:p>
            <w:pPr>
              <w:pStyle w:val="TableParagraph"/>
              <w:ind w:left="118"/>
              <w:rPr>
                <w:sz w:val="20"/>
              </w:rPr>
            </w:pPr>
            <w:r>
              <w:rPr>
                <w:spacing w:val="-2"/>
                <w:sz w:val="20"/>
              </w:rPr>
              <w:t>111.4</w:t>
            </w:r>
          </w:p>
        </w:tc>
        <w:tc>
          <w:tcPr>
            <w:tcW w:w="1097" w:type="dxa"/>
            <w:tcBorders>
              <w:left w:val="single" w:sz="4" w:space="0" w:color="000000"/>
              <w:right w:val="single" w:sz="4" w:space="0" w:color="000000"/>
            </w:tcBorders>
          </w:tcPr>
          <w:p>
            <w:pPr>
              <w:pStyle w:val="TableParagraph"/>
              <w:ind w:left="119"/>
              <w:rPr>
                <w:sz w:val="20"/>
              </w:rPr>
            </w:pPr>
            <w:r>
              <w:rPr>
                <w:spacing w:val="-2"/>
                <w:sz w:val="20"/>
              </w:rPr>
              <w:t>150.2</w:t>
            </w:r>
          </w:p>
        </w:tc>
        <w:tc>
          <w:tcPr>
            <w:tcW w:w="1154" w:type="dxa"/>
            <w:tcBorders>
              <w:left w:val="single" w:sz="4" w:space="0" w:color="000000"/>
              <w:right w:val="single" w:sz="4" w:space="0" w:color="000000"/>
            </w:tcBorders>
          </w:tcPr>
          <w:p>
            <w:pPr>
              <w:pStyle w:val="TableParagraph"/>
              <w:ind w:left="119"/>
              <w:rPr>
                <w:sz w:val="20"/>
              </w:rPr>
            </w:pPr>
            <w:r>
              <w:rPr>
                <w:spacing w:val="-2"/>
                <w:sz w:val="20"/>
              </w:rPr>
              <w:t>+38.8</w:t>
            </w:r>
          </w:p>
        </w:tc>
        <w:tc>
          <w:tcPr>
            <w:tcW w:w="2206" w:type="dxa"/>
            <w:tcBorders>
              <w:left w:val="single" w:sz="4" w:space="0" w:color="000000"/>
            </w:tcBorders>
          </w:tcPr>
          <w:p>
            <w:pPr>
              <w:pStyle w:val="TableParagraph"/>
              <w:spacing w:line="249" w:lineRule="auto"/>
              <w:ind w:left="119"/>
              <w:rPr>
                <w:sz w:val="20"/>
              </w:rPr>
            </w:pPr>
            <w:r>
              <w:rPr>
                <w:sz w:val="20"/>
              </w:rPr>
              <w:t>HARMFUL, rules </w:t>
            </w:r>
            <w:r>
              <w:rPr>
                <w:sz w:val="20"/>
              </w:rPr>
              <w:t>fired, hurt prediction</w:t>
            </w:r>
          </w:p>
        </w:tc>
      </w:tr>
      <w:tr>
        <w:trPr>
          <w:trHeight w:val="549" w:hRule="atLeast"/>
        </w:trPr>
        <w:tc>
          <w:tcPr>
            <w:tcW w:w="640" w:type="dxa"/>
            <w:tcBorders>
              <w:right w:val="single" w:sz="4" w:space="0" w:color="000000"/>
            </w:tcBorders>
          </w:tcPr>
          <w:p>
            <w:pPr>
              <w:pStyle w:val="TableParagraph"/>
              <w:ind w:left="119"/>
              <w:rPr>
                <w:sz w:val="20"/>
              </w:rPr>
            </w:pPr>
            <w:r>
              <w:rPr>
                <w:spacing w:val="-10"/>
                <w:sz w:val="20"/>
              </w:rPr>
              <w:t>6</w:t>
            </w:r>
          </w:p>
        </w:tc>
        <w:tc>
          <w:tcPr>
            <w:tcW w:w="1154" w:type="dxa"/>
            <w:tcBorders>
              <w:left w:val="single" w:sz="4" w:space="0" w:color="000000"/>
              <w:right w:val="single" w:sz="4" w:space="0" w:color="000000"/>
            </w:tcBorders>
          </w:tcPr>
          <w:p>
            <w:pPr>
              <w:pStyle w:val="TableParagraph"/>
              <w:ind w:right="8"/>
              <w:jc w:val="center"/>
              <w:rPr>
                <w:sz w:val="20"/>
              </w:rPr>
            </w:pPr>
            <w:r>
              <w:rPr>
                <w:spacing w:val="-2"/>
                <w:sz w:val="20"/>
              </w:rPr>
              <w:t>1942–</w:t>
            </w:r>
            <w:r>
              <w:rPr>
                <w:spacing w:val="-4"/>
                <w:sz w:val="20"/>
              </w:rPr>
              <w:t>2010</w:t>
            </w:r>
          </w:p>
        </w:tc>
        <w:tc>
          <w:tcPr>
            <w:tcW w:w="1154" w:type="dxa"/>
            <w:tcBorders>
              <w:left w:val="single" w:sz="4" w:space="0" w:color="000000"/>
              <w:right w:val="single" w:sz="4" w:space="0" w:color="000000"/>
            </w:tcBorders>
          </w:tcPr>
          <w:p>
            <w:pPr>
              <w:pStyle w:val="TableParagraph"/>
              <w:ind w:left="118"/>
              <w:rPr>
                <w:sz w:val="20"/>
              </w:rPr>
            </w:pPr>
            <w:r>
              <w:rPr>
                <w:spacing w:val="-2"/>
                <w:sz w:val="20"/>
              </w:rPr>
              <w:t>2011–</w:t>
            </w:r>
            <w:r>
              <w:rPr>
                <w:spacing w:val="-4"/>
                <w:sz w:val="20"/>
              </w:rPr>
              <w:t>2021</w:t>
            </w:r>
          </w:p>
        </w:tc>
        <w:tc>
          <w:tcPr>
            <w:tcW w:w="1097" w:type="dxa"/>
            <w:tcBorders>
              <w:left w:val="single" w:sz="4" w:space="0" w:color="000000"/>
              <w:right w:val="single" w:sz="4" w:space="0" w:color="000000"/>
            </w:tcBorders>
          </w:tcPr>
          <w:p>
            <w:pPr>
              <w:pStyle w:val="TableParagraph"/>
              <w:ind w:left="118"/>
              <w:rPr>
                <w:sz w:val="20"/>
              </w:rPr>
            </w:pPr>
            <w:r>
              <w:rPr>
                <w:spacing w:val="-2"/>
                <w:sz w:val="20"/>
              </w:rPr>
              <w:t>121.5</w:t>
            </w:r>
          </w:p>
        </w:tc>
        <w:tc>
          <w:tcPr>
            <w:tcW w:w="1097" w:type="dxa"/>
            <w:tcBorders>
              <w:left w:val="single" w:sz="4" w:space="0" w:color="000000"/>
              <w:right w:val="single" w:sz="4" w:space="0" w:color="000000"/>
            </w:tcBorders>
          </w:tcPr>
          <w:p>
            <w:pPr>
              <w:pStyle w:val="TableParagraph"/>
              <w:ind w:left="119"/>
              <w:rPr>
                <w:sz w:val="20"/>
              </w:rPr>
            </w:pPr>
            <w:r>
              <w:rPr>
                <w:spacing w:val="-2"/>
                <w:sz w:val="20"/>
              </w:rPr>
              <w:t>165.5</w:t>
            </w:r>
          </w:p>
        </w:tc>
        <w:tc>
          <w:tcPr>
            <w:tcW w:w="1154" w:type="dxa"/>
            <w:tcBorders>
              <w:left w:val="single" w:sz="4" w:space="0" w:color="000000"/>
              <w:right w:val="single" w:sz="4" w:space="0" w:color="000000"/>
            </w:tcBorders>
          </w:tcPr>
          <w:p>
            <w:pPr>
              <w:pStyle w:val="TableParagraph"/>
              <w:ind w:left="119"/>
              <w:rPr>
                <w:sz w:val="20"/>
              </w:rPr>
            </w:pPr>
            <w:r>
              <w:rPr>
                <w:spacing w:val="-2"/>
                <w:sz w:val="20"/>
              </w:rPr>
              <w:t>+44.0</w:t>
            </w:r>
          </w:p>
        </w:tc>
        <w:tc>
          <w:tcPr>
            <w:tcW w:w="2206" w:type="dxa"/>
            <w:tcBorders>
              <w:left w:val="single" w:sz="4" w:space="0" w:color="000000"/>
            </w:tcBorders>
          </w:tcPr>
          <w:p>
            <w:pPr>
              <w:pStyle w:val="TableParagraph"/>
              <w:spacing w:line="249" w:lineRule="auto"/>
              <w:ind w:left="119"/>
              <w:rPr>
                <w:sz w:val="20"/>
              </w:rPr>
            </w:pPr>
            <w:r>
              <w:rPr>
                <w:sz w:val="20"/>
              </w:rPr>
              <w:t>HARMFUL, rules </w:t>
            </w:r>
            <w:r>
              <w:rPr>
                <w:sz w:val="20"/>
              </w:rPr>
              <w:t>fired, hurt prediction</w:t>
            </w:r>
          </w:p>
        </w:tc>
      </w:tr>
      <w:tr>
        <w:trPr>
          <w:trHeight w:val="549" w:hRule="atLeast"/>
        </w:trPr>
        <w:tc>
          <w:tcPr>
            <w:tcW w:w="640" w:type="dxa"/>
            <w:tcBorders>
              <w:right w:val="single" w:sz="4" w:space="0" w:color="000000"/>
            </w:tcBorders>
          </w:tcPr>
          <w:p>
            <w:pPr>
              <w:pStyle w:val="TableParagraph"/>
              <w:ind w:left="119"/>
              <w:rPr>
                <w:sz w:val="20"/>
              </w:rPr>
            </w:pPr>
            <w:r>
              <w:rPr>
                <w:spacing w:val="-10"/>
                <w:sz w:val="20"/>
              </w:rPr>
              <w:t>7</w:t>
            </w:r>
          </w:p>
        </w:tc>
        <w:tc>
          <w:tcPr>
            <w:tcW w:w="1154" w:type="dxa"/>
            <w:tcBorders>
              <w:left w:val="single" w:sz="4" w:space="0" w:color="000000"/>
              <w:right w:val="single" w:sz="4" w:space="0" w:color="000000"/>
            </w:tcBorders>
          </w:tcPr>
          <w:p>
            <w:pPr>
              <w:pStyle w:val="TableParagraph"/>
              <w:ind w:right="8"/>
              <w:jc w:val="center"/>
              <w:rPr>
                <w:sz w:val="20"/>
              </w:rPr>
            </w:pPr>
            <w:r>
              <w:rPr>
                <w:spacing w:val="-2"/>
                <w:sz w:val="20"/>
              </w:rPr>
              <w:t>1942–</w:t>
            </w:r>
            <w:r>
              <w:rPr>
                <w:spacing w:val="-4"/>
                <w:sz w:val="20"/>
              </w:rPr>
              <w:t>2011</w:t>
            </w:r>
          </w:p>
        </w:tc>
        <w:tc>
          <w:tcPr>
            <w:tcW w:w="1154" w:type="dxa"/>
            <w:tcBorders>
              <w:left w:val="single" w:sz="4" w:space="0" w:color="000000"/>
              <w:right w:val="single" w:sz="4" w:space="0" w:color="000000"/>
            </w:tcBorders>
          </w:tcPr>
          <w:p>
            <w:pPr>
              <w:pStyle w:val="TableParagraph"/>
              <w:ind w:left="118"/>
              <w:rPr>
                <w:sz w:val="20"/>
              </w:rPr>
            </w:pPr>
            <w:r>
              <w:rPr>
                <w:spacing w:val="-2"/>
                <w:sz w:val="20"/>
              </w:rPr>
              <w:t>2012–</w:t>
            </w:r>
            <w:r>
              <w:rPr>
                <w:spacing w:val="-4"/>
                <w:sz w:val="20"/>
              </w:rPr>
              <w:t>2021</w:t>
            </w:r>
          </w:p>
        </w:tc>
        <w:tc>
          <w:tcPr>
            <w:tcW w:w="1097" w:type="dxa"/>
            <w:tcBorders>
              <w:left w:val="single" w:sz="4" w:space="0" w:color="000000"/>
              <w:right w:val="single" w:sz="4" w:space="0" w:color="000000"/>
            </w:tcBorders>
          </w:tcPr>
          <w:p>
            <w:pPr>
              <w:pStyle w:val="TableParagraph"/>
              <w:ind w:left="118"/>
              <w:rPr>
                <w:sz w:val="20"/>
              </w:rPr>
            </w:pPr>
            <w:r>
              <w:rPr>
                <w:spacing w:val="-2"/>
                <w:sz w:val="20"/>
              </w:rPr>
              <w:t>129.5</w:t>
            </w:r>
          </w:p>
        </w:tc>
        <w:tc>
          <w:tcPr>
            <w:tcW w:w="1097" w:type="dxa"/>
            <w:tcBorders>
              <w:left w:val="single" w:sz="4" w:space="0" w:color="000000"/>
              <w:right w:val="single" w:sz="4" w:space="0" w:color="000000"/>
            </w:tcBorders>
          </w:tcPr>
          <w:p>
            <w:pPr>
              <w:pStyle w:val="TableParagraph"/>
              <w:ind w:left="119"/>
              <w:rPr>
                <w:sz w:val="20"/>
              </w:rPr>
            </w:pPr>
            <w:r>
              <w:rPr>
                <w:spacing w:val="-2"/>
                <w:sz w:val="20"/>
              </w:rPr>
              <w:t>180.8</w:t>
            </w:r>
          </w:p>
        </w:tc>
        <w:tc>
          <w:tcPr>
            <w:tcW w:w="1154" w:type="dxa"/>
            <w:tcBorders>
              <w:left w:val="single" w:sz="4" w:space="0" w:color="000000"/>
              <w:right w:val="single" w:sz="4" w:space="0" w:color="000000"/>
            </w:tcBorders>
          </w:tcPr>
          <w:p>
            <w:pPr>
              <w:pStyle w:val="TableParagraph"/>
              <w:ind w:left="119"/>
              <w:rPr>
                <w:sz w:val="20"/>
              </w:rPr>
            </w:pPr>
            <w:r>
              <w:rPr>
                <w:spacing w:val="-2"/>
                <w:sz w:val="20"/>
              </w:rPr>
              <w:t>+51.3</w:t>
            </w:r>
          </w:p>
        </w:tc>
        <w:tc>
          <w:tcPr>
            <w:tcW w:w="2206" w:type="dxa"/>
            <w:tcBorders>
              <w:left w:val="single" w:sz="4" w:space="0" w:color="000000"/>
            </w:tcBorders>
          </w:tcPr>
          <w:p>
            <w:pPr>
              <w:pStyle w:val="TableParagraph"/>
              <w:spacing w:line="249" w:lineRule="auto"/>
              <w:ind w:left="119"/>
              <w:rPr>
                <w:sz w:val="20"/>
              </w:rPr>
            </w:pPr>
            <w:r>
              <w:rPr>
                <w:sz w:val="20"/>
              </w:rPr>
              <w:t>HARMFUL, rules </w:t>
            </w:r>
            <w:r>
              <w:rPr>
                <w:sz w:val="20"/>
              </w:rPr>
              <w:t>fired, hurt prediction</w:t>
            </w:r>
          </w:p>
        </w:tc>
      </w:tr>
      <w:tr>
        <w:trPr>
          <w:trHeight w:val="549" w:hRule="atLeast"/>
        </w:trPr>
        <w:tc>
          <w:tcPr>
            <w:tcW w:w="640" w:type="dxa"/>
            <w:tcBorders>
              <w:right w:val="single" w:sz="4" w:space="0" w:color="000000"/>
            </w:tcBorders>
          </w:tcPr>
          <w:p>
            <w:pPr>
              <w:pStyle w:val="TableParagraph"/>
              <w:ind w:left="119"/>
              <w:rPr>
                <w:sz w:val="20"/>
              </w:rPr>
            </w:pPr>
            <w:r>
              <w:rPr>
                <w:spacing w:val="-10"/>
                <w:sz w:val="20"/>
              </w:rPr>
              <w:t>8</w:t>
            </w:r>
          </w:p>
        </w:tc>
        <w:tc>
          <w:tcPr>
            <w:tcW w:w="1154" w:type="dxa"/>
            <w:tcBorders>
              <w:left w:val="single" w:sz="4" w:space="0" w:color="000000"/>
              <w:right w:val="single" w:sz="4" w:space="0" w:color="000000"/>
            </w:tcBorders>
          </w:tcPr>
          <w:p>
            <w:pPr>
              <w:pStyle w:val="TableParagraph"/>
              <w:ind w:right="8"/>
              <w:jc w:val="center"/>
              <w:rPr>
                <w:sz w:val="20"/>
              </w:rPr>
            </w:pPr>
            <w:r>
              <w:rPr>
                <w:spacing w:val="-2"/>
                <w:sz w:val="20"/>
              </w:rPr>
              <w:t>1942–</w:t>
            </w:r>
            <w:r>
              <w:rPr>
                <w:spacing w:val="-4"/>
                <w:sz w:val="20"/>
              </w:rPr>
              <w:t>2012</w:t>
            </w:r>
          </w:p>
        </w:tc>
        <w:tc>
          <w:tcPr>
            <w:tcW w:w="1154" w:type="dxa"/>
            <w:tcBorders>
              <w:left w:val="single" w:sz="4" w:space="0" w:color="000000"/>
              <w:right w:val="single" w:sz="4" w:space="0" w:color="000000"/>
            </w:tcBorders>
          </w:tcPr>
          <w:p>
            <w:pPr>
              <w:pStyle w:val="TableParagraph"/>
              <w:ind w:left="118"/>
              <w:rPr>
                <w:sz w:val="20"/>
              </w:rPr>
            </w:pPr>
            <w:r>
              <w:rPr>
                <w:spacing w:val="-2"/>
                <w:sz w:val="20"/>
              </w:rPr>
              <w:t>2013–</w:t>
            </w:r>
            <w:r>
              <w:rPr>
                <w:spacing w:val="-4"/>
                <w:sz w:val="20"/>
              </w:rPr>
              <w:t>2021</w:t>
            </w:r>
          </w:p>
        </w:tc>
        <w:tc>
          <w:tcPr>
            <w:tcW w:w="1097" w:type="dxa"/>
            <w:tcBorders>
              <w:left w:val="single" w:sz="4" w:space="0" w:color="000000"/>
              <w:right w:val="single" w:sz="4" w:space="0" w:color="000000"/>
            </w:tcBorders>
          </w:tcPr>
          <w:p>
            <w:pPr>
              <w:pStyle w:val="TableParagraph"/>
              <w:ind w:left="118"/>
              <w:rPr>
                <w:sz w:val="20"/>
              </w:rPr>
            </w:pPr>
            <w:r>
              <w:rPr>
                <w:spacing w:val="-2"/>
                <w:sz w:val="20"/>
              </w:rPr>
              <w:t>130.5</w:t>
            </w:r>
          </w:p>
        </w:tc>
        <w:tc>
          <w:tcPr>
            <w:tcW w:w="1097" w:type="dxa"/>
            <w:tcBorders>
              <w:left w:val="single" w:sz="4" w:space="0" w:color="000000"/>
              <w:right w:val="single" w:sz="4" w:space="0" w:color="000000"/>
            </w:tcBorders>
          </w:tcPr>
          <w:p>
            <w:pPr>
              <w:pStyle w:val="TableParagraph"/>
              <w:ind w:left="119"/>
              <w:rPr>
                <w:sz w:val="20"/>
              </w:rPr>
            </w:pPr>
            <w:r>
              <w:rPr>
                <w:spacing w:val="-2"/>
                <w:sz w:val="20"/>
              </w:rPr>
              <w:t>192.7</w:t>
            </w:r>
          </w:p>
        </w:tc>
        <w:tc>
          <w:tcPr>
            <w:tcW w:w="1154" w:type="dxa"/>
            <w:tcBorders>
              <w:left w:val="single" w:sz="4" w:space="0" w:color="000000"/>
              <w:right w:val="single" w:sz="4" w:space="0" w:color="000000"/>
            </w:tcBorders>
          </w:tcPr>
          <w:p>
            <w:pPr>
              <w:pStyle w:val="TableParagraph"/>
              <w:ind w:left="119"/>
              <w:rPr>
                <w:sz w:val="20"/>
              </w:rPr>
            </w:pPr>
            <w:r>
              <w:rPr>
                <w:spacing w:val="-2"/>
                <w:sz w:val="20"/>
              </w:rPr>
              <w:t>+62.2</w:t>
            </w:r>
          </w:p>
        </w:tc>
        <w:tc>
          <w:tcPr>
            <w:tcW w:w="2206" w:type="dxa"/>
            <w:tcBorders>
              <w:left w:val="single" w:sz="4" w:space="0" w:color="000000"/>
            </w:tcBorders>
          </w:tcPr>
          <w:p>
            <w:pPr>
              <w:pStyle w:val="TableParagraph"/>
              <w:spacing w:line="249" w:lineRule="auto"/>
              <w:ind w:left="119"/>
              <w:rPr>
                <w:sz w:val="20"/>
              </w:rPr>
            </w:pPr>
            <w:r>
              <w:rPr>
                <w:sz w:val="20"/>
              </w:rPr>
              <w:t>HARMFUL, rules </w:t>
            </w:r>
            <w:r>
              <w:rPr>
                <w:sz w:val="20"/>
              </w:rPr>
              <w:t>fired, hurt prediction</w:t>
            </w:r>
          </w:p>
        </w:tc>
      </w:tr>
      <w:tr>
        <w:trPr>
          <w:trHeight w:val="549" w:hRule="atLeast"/>
        </w:trPr>
        <w:tc>
          <w:tcPr>
            <w:tcW w:w="640" w:type="dxa"/>
            <w:tcBorders>
              <w:right w:val="single" w:sz="4" w:space="0" w:color="000000"/>
            </w:tcBorders>
          </w:tcPr>
          <w:p>
            <w:pPr>
              <w:pStyle w:val="TableParagraph"/>
              <w:ind w:left="119"/>
              <w:rPr>
                <w:sz w:val="20"/>
              </w:rPr>
            </w:pPr>
            <w:r>
              <w:rPr>
                <w:spacing w:val="-10"/>
                <w:sz w:val="20"/>
              </w:rPr>
              <w:t>9</w:t>
            </w:r>
          </w:p>
        </w:tc>
        <w:tc>
          <w:tcPr>
            <w:tcW w:w="1154" w:type="dxa"/>
            <w:tcBorders>
              <w:left w:val="single" w:sz="4" w:space="0" w:color="000000"/>
              <w:right w:val="single" w:sz="4" w:space="0" w:color="000000"/>
            </w:tcBorders>
          </w:tcPr>
          <w:p>
            <w:pPr>
              <w:pStyle w:val="TableParagraph"/>
              <w:ind w:right="8"/>
              <w:jc w:val="center"/>
              <w:rPr>
                <w:sz w:val="20"/>
              </w:rPr>
            </w:pPr>
            <w:r>
              <w:rPr>
                <w:spacing w:val="-2"/>
                <w:sz w:val="20"/>
              </w:rPr>
              <w:t>1942–</w:t>
            </w:r>
            <w:r>
              <w:rPr>
                <w:spacing w:val="-4"/>
                <w:sz w:val="20"/>
              </w:rPr>
              <w:t>2013</w:t>
            </w:r>
          </w:p>
        </w:tc>
        <w:tc>
          <w:tcPr>
            <w:tcW w:w="1154" w:type="dxa"/>
            <w:tcBorders>
              <w:left w:val="single" w:sz="4" w:space="0" w:color="000000"/>
              <w:right w:val="single" w:sz="4" w:space="0" w:color="000000"/>
            </w:tcBorders>
          </w:tcPr>
          <w:p>
            <w:pPr>
              <w:pStyle w:val="TableParagraph"/>
              <w:ind w:left="118"/>
              <w:rPr>
                <w:sz w:val="20"/>
              </w:rPr>
            </w:pPr>
            <w:r>
              <w:rPr>
                <w:spacing w:val="-2"/>
                <w:sz w:val="20"/>
              </w:rPr>
              <w:t>2014–</w:t>
            </w:r>
            <w:r>
              <w:rPr>
                <w:spacing w:val="-4"/>
                <w:sz w:val="20"/>
              </w:rPr>
              <w:t>2021</w:t>
            </w:r>
          </w:p>
        </w:tc>
        <w:tc>
          <w:tcPr>
            <w:tcW w:w="1097" w:type="dxa"/>
            <w:tcBorders>
              <w:left w:val="single" w:sz="4" w:space="0" w:color="000000"/>
              <w:right w:val="single" w:sz="4" w:space="0" w:color="000000"/>
            </w:tcBorders>
          </w:tcPr>
          <w:p>
            <w:pPr>
              <w:pStyle w:val="TableParagraph"/>
              <w:ind w:left="118"/>
              <w:rPr>
                <w:sz w:val="20"/>
              </w:rPr>
            </w:pPr>
            <w:r>
              <w:rPr>
                <w:spacing w:val="-2"/>
                <w:sz w:val="20"/>
              </w:rPr>
              <w:t>151.8</w:t>
            </w:r>
          </w:p>
        </w:tc>
        <w:tc>
          <w:tcPr>
            <w:tcW w:w="1097" w:type="dxa"/>
            <w:tcBorders>
              <w:left w:val="single" w:sz="4" w:space="0" w:color="000000"/>
              <w:right w:val="single" w:sz="4" w:space="0" w:color="000000"/>
            </w:tcBorders>
          </w:tcPr>
          <w:p>
            <w:pPr>
              <w:pStyle w:val="TableParagraph"/>
              <w:ind w:left="119"/>
              <w:rPr>
                <w:sz w:val="20"/>
              </w:rPr>
            </w:pPr>
            <w:r>
              <w:rPr>
                <w:spacing w:val="-2"/>
                <w:sz w:val="20"/>
              </w:rPr>
              <w:t>222.6</w:t>
            </w:r>
          </w:p>
        </w:tc>
        <w:tc>
          <w:tcPr>
            <w:tcW w:w="1154" w:type="dxa"/>
            <w:tcBorders>
              <w:left w:val="single" w:sz="4" w:space="0" w:color="000000"/>
              <w:right w:val="single" w:sz="4" w:space="0" w:color="000000"/>
            </w:tcBorders>
          </w:tcPr>
          <w:p>
            <w:pPr>
              <w:pStyle w:val="TableParagraph"/>
              <w:ind w:left="119"/>
              <w:rPr>
                <w:sz w:val="20"/>
              </w:rPr>
            </w:pPr>
            <w:r>
              <w:rPr>
                <w:spacing w:val="-2"/>
                <w:sz w:val="20"/>
              </w:rPr>
              <w:t>+70.8</w:t>
            </w:r>
          </w:p>
        </w:tc>
        <w:tc>
          <w:tcPr>
            <w:tcW w:w="2206" w:type="dxa"/>
            <w:tcBorders>
              <w:left w:val="single" w:sz="4" w:space="0" w:color="000000"/>
            </w:tcBorders>
          </w:tcPr>
          <w:p>
            <w:pPr>
              <w:pStyle w:val="TableParagraph"/>
              <w:spacing w:line="249" w:lineRule="auto"/>
              <w:ind w:left="112" w:firstLine="7"/>
              <w:rPr>
                <w:sz w:val="20"/>
              </w:rPr>
            </w:pPr>
            <w:r>
              <w:rPr>
                <w:sz w:val="20"/>
              </w:rPr>
              <w:t>HARMFUL, rules </w:t>
            </w:r>
            <w:r>
              <w:rPr>
                <w:sz w:val="20"/>
              </w:rPr>
              <w:t>fired, worst gap</w:t>
            </w:r>
          </w:p>
        </w:tc>
      </w:tr>
      <w:tr>
        <w:trPr>
          <w:trHeight w:val="549" w:hRule="atLeast"/>
        </w:trPr>
        <w:tc>
          <w:tcPr>
            <w:tcW w:w="640" w:type="dxa"/>
            <w:tcBorders>
              <w:right w:val="single" w:sz="4" w:space="0" w:color="000000"/>
            </w:tcBorders>
          </w:tcPr>
          <w:p>
            <w:pPr>
              <w:pStyle w:val="TableParagraph"/>
              <w:ind w:left="119"/>
              <w:rPr>
                <w:sz w:val="20"/>
              </w:rPr>
            </w:pPr>
            <w:r>
              <w:rPr>
                <w:spacing w:val="-5"/>
                <w:sz w:val="20"/>
              </w:rPr>
              <w:t>10</w:t>
            </w:r>
          </w:p>
        </w:tc>
        <w:tc>
          <w:tcPr>
            <w:tcW w:w="1154" w:type="dxa"/>
            <w:tcBorders>
              <w:left w:val="single" w:sz="4" w:space="0" w:color="000000"/>
              <w:right w:val="single" w:sz="4" w:space="0" w:color="000000"/>
            </w:tcBorders>
          </w:tcPr>
          <w:p>
            <w:pPr>
              <w:pStyle w:val="TableParagraph"/>
              <w:ind w:right="8"/>
              <w:jc w:val="center"/>
              <w:rPr>
                <w:sz w:val="20"/>
              </w:rPr>
            </w:pPr>
            <w:r>
              <w:rPr>
                <w:spacing w:val="-2"/>
                <w:sz w:val="20"/>
              </w:rPr>
              <w:t>1942–</w:t>
            </w:r>
            <w:r>
              <w:rPr>
                <w:spacing w:val="-4"/>
                <w:sz w:val="20"/>
              </w:rPr>
              <w:t>2014</w:t>
            </w:r>
          </w:p>
        </w:tc>
        <w:tc>
          <w:tcPr>
            <w:tcW w:w="1154" w:type="dxa"/>
            <w:tcBorders>
              <w:left w:val="single" w:sz="4" w:space="0" w:color="000000"/>
              <w:right w:val="single" w:sz="4" w:space="0" w:color="000000"/>
            </w:tcBorders>
          </w:tcPr>
          <w:p>
            <w:pPr>
              <w:pStyle w:val="TableParagraph"/>
              <w:ind w:left="118"/>
              <w:rPr>
                <w:sz w:val="20"/>
              </w:rPr>
            </w:pPr>
            <w:r>
              <w:rPr>
                <w:spacing w:val="-2"/>
                <w:sz w:val="20"/>
              </w:rPr>
              <w:t>2015–</w:t>
            </w:r>
            <w:r>
              <w:rPr>
                <w:spacing w:val="-4"/>
                <w:sz w:val="20"/>
              </w:rPr>
              <w:t>2021</w:t>
            </w:r>
          </w:p>
        </w:tc>
        <w:tc>
          <w:tcPr>
            <w:tcW w:w="1097" w:type="dxa"/>
            <w:tcBorders>
              <w:left w:val="single" w:sz="4" w:space="0" w:color="000000"/>
              <w:right w:val="single" w:sz="4" w:space="0" w:color="000000"/>
            </w:tcBorders>
          </w:tcPr>
          <w:p>
            <w:pPr>
              <w:pStyle w:val="TableParagraph"/>
              <w:ind w:left="118"/>
              <w:rPr>
                <w:sz w:val="20"/>
              </w:rPr>
            </w:pPr>
            <w:r>
              <w:rPr>
                <w:spacing w:val="-2"/>
                <w:sz w:val="20"/>
              </w:rPr>
              <w:t>171.0</w:t>
            </w:r>
          </w:p>
        </w:tc>
        <w:tc>
          <w:tcPr>
            <w:tcW w:w="1097" w:type="dxa"/>
            <w:tcBorders>
              <w:left w:val="single" w:sz="4" w:space="0" w:color="000000"/>
              <w:right w:val="single" w:sz="4" w:space="0" w:color="000000"/>
            </w:tcBorders>
          </w:tcPr>
          <w:p>
            <w:pPr>
              <w:pStyle w:val="TableParagraph"/>
              <w:ind w:left="119"/>
              <w:rPr>
                <w:sz w:val="20"/>
              </w:rPr>
            </w:pPr>
            <w:r>
              <w:rPr>
                <w:spacing w:val="-2"/>
                <w:sz w:val="20"/>
              </w:rPr>
              <w:t>244.8</w:t>
            </w:r>
          </w:p>
        </w:tc>
        <w:tc>
          <w:tcPr>
            <w:tcW w:w="1154" w:type="dxa"/>
            <w:tcBorders>
              <w:left w:val="single" w:sz="4" w:space="0" w:color="000000"/>
              <w:right w:val="single" w:sz="4" w:space="0" w:color="000000"/>
            </w:tcBorders>
          </w:tcPr>
          <w:p>
            <w:pPr>
              <w:pStyle w:val="TableParagraph"/>
              <w:ind w:left="119"/>
              <w:rPr>
                <w:sz w:val="20"/>
              </w:rPr>
            </w:pPr>
            <w:r>
              <w:rPr>
                <w:spacing w:val="-2"/>
                <w:sz w:val="20"/>
              </w:rPr>
              <w:t>+73.8</w:t>
            </w:r>
          </w:p>
        </w:tc>
        <w:tc>
          <w:tcPr>
            <w:tcW w:w="2206" w:type="dxa"/>
            <w:tcBorders>
              <w:left w:val="single" w:sz="4" w:space="0" w:color="000000"/>
            </w:tcBorders>
          </w:tcPr>
          <w:p>
            <w:pPr>
              <w:pStyle w:val="TableParagraph"/>
              <w:spacing w:line="249" w:lineRule="auto"/>
              <w:ind w:left="112" w:firstLine="7"/>
              <w:rPr>
                <w:sz w:val="20"/>
              </w:rPr>
            </w:pPr>
            <w:r>
              <w:rPr>
                <w:sz w:val="20"/>
              </w:rPr>
              <w:t>HARMFUL, rules </w:t>
            </w:r>
            <w:r>
              <w:rPr>
                <w:sz w:val="20"/>
              </w:rPr>
              <w:t>fired, worst gap</w:t>
            </w:r>
          </w:p>
        </w:tc>
      </w:tr>
      <w:tr>
        <w:trPr>
          <w:trHeight w:val="549" w:hRule="atLeast"/>
        </w:trPr>
        <w:tc>
          <w:tcPr>
            <w:tcW w:w="640" w:type="dxa"/>
            <w:tcBorders>
              <w:right w:val="single" w:sz="4" w:space="0" w:color="000000"/>
            </w:tcBorders>
          </w:tcPr>
          <w:p>
            <w:pPr>
              <w:pStyle w:val="TableParagraph"/>
              <w:ind w:left="119"/>
              <w:rPr>
                <w:sz w:val="20"/>
              </w:rPr>
            </w:pPr>
            <w:r>
              <w:rPr>
                <w:spacing w:val="-5"/>
                <w:sz w:val="20"/>
              </w:rPr>
              <w:t>11</w:t>
            </w:r>
          </w:p>
        </w:tc>
        <w:tc>
          <w:tcPr>
            <w:tcW w:w="1154" w:type="dxa"/>
            <w:tcBorders>
              <w:left w:val="single" w:sz="4" w:space="0" w:color="000000"/>
              <w:right w:val="single" w:sz="4" w:space="0" w:color="000000"/>
            </w:tcBorders>
          </w:tcPr>
          <w:p>
            <w:pPr>
              <w:pStyle w:val="TableParagraph"/>
              <w:ind w:right="8"/>
              <w:jc w:val="center"/>
              <w:rPr>
                <w:sz w:val="20"/>
              </w:rPr>
            </w:pPr>
            <w:r>
              <w:rPr>
                <w:spacing w:val="-2"/>
                <w:sz w:val="20"/>
              </w:rPr>
              <w:t>1942–</w:t>
            </w:r>
            <w:r>
              <w:rPr>
                <w:spacing w:val="-4"/>
                <w:sz w:val="20"/>
              </w:rPr>
              <w:t>2015</w:t>
            </w:r>
          </w:p>
        </w:tc>
        <w:tc>
          <w:tcPr>
            <w:tcW w:w="1154" w:type="dxa"/>
            <w:tcBorders>
              <w:left w:val="single" w:sz="4" w:space="0" w:color="000000"/>
              <w:right w:val="single" w:sz="4" w:space="0" w:color="000000"/>
            </w:tcBorders>
          </w:tcPr>
          <w:p>
            <w:pPr>
              <w:pStyle w:val="TableParagraph"/>
              <w:ind w:left="118"/>
              <w:rPr>
                <w:sz w:val="20"/>
              </w:rPr>
            </w:pPr>
            <w:r>
              <w:rPr>
                <w:spacing w:val="-2"/>
                <w:sz w:val="20"/>
              </w:rPr>
              <w:t>2016–</w:t>
            </w:r>
            <w:r>
              <w:rPr>
                <w:spacing w:val="-4"/>
                <w:sz w:val="20"/>
              </w:rPr>
              <w:t>2021</w:t>
            </w:r>
          </w:p>
        </w:tc>
        <w:tc>
          <w:tcPr>
            <w:tcW w:w="1097" w:type="dxa"/>
            <w:tcBorders>
              <w:left w:val="single" w:sz="4" w:space="0" w:color="000000"/>
              <w:right w:val="single" w:sz="4" w:space="0" w:color="000000"/>
            </w:tcBorders>
          </w:tcPr>
          <w:p>
            <w:pPr>
              <w:pStyle w:val="TableParagraph"/>
              <w:ind w:left="118"/>
              <w:rPr>
                <w:sz w:val="20"/>
              </w:rPr>
            </w:pPr>
            <w:r>
              <w:rPr>
                <w:spacing w:val="-2"/>
                <w:sz w:val="20"/>
              </w:rPr>
              <w:t>175.2</w:t>
            </w:r>
          </w:p>
        </w:tc>
        <w:tc>
          <w:tcPr>
            <w:tcW w:w="1097" w:type="dxa"/>
            <w:tcBorders>
              <w:left w:val="single" w:sz="4" w:space="0" w:color="000000"/>
              <w:right w:val="single" w:sz="4" w:space="0" w:color="000000"/>
            </w:tcBorders>
          </w:tcPr>
          <w:p>
            <w:pPr>
              <w:pStyle w:val="TableParagraph"/>
              <w:ind w:left="119"/>
              <w:rPr>
                <w:sz w:val="20"/>
              </w:rPr>
            </w:pPr>
            <w:r>
              <w:rPr>
                <w:spacing w:val="-2"/>
                <w:sz w:val="20"/>
              </w:rPr>
              <w:t>257.6</w:t>
            </w:r>
          </w:p>
        </w:tc>
        <w:tc>
          <w:tcPr>
            <w:tcW w:w="1154" w:type="dxa"/>
            <w:tcBorders>
              <w:left w:val="single" w:sz="4" w:space="0" w:color="000000"/>
              <w:right w:val="single" w:sz="4" w:space="0" w:color="000000"/>
            </w:tcBorders>
          </w:tcPr>
          <w:p>
            <w:pPr>
              <w:pStyle w:val="TableParagraph"/>
              <w:ind w:left="119"/>
              <w:rPr>
                <w:sz w:val="20"/>
              </w:rPr>
            </w:pPr>
            <w:r>
              <w:rPr>
                <w:spacing w:val="-2"/>
                <w:sz w:val="20"/>
              </w:rPr>
              <w:t>+82.4</w:t>
            </w:r>
          </w:p>
        </w:tc>
        <w:tc>
          <w:tcPr>
            <w:tcW w:w="2206" w:type="dxa"/>
            <w:tcBorders>
              <w:left w:val="single" w:sz="4" w:space="0" w:color="000000"/>
            </w:tcBorders>
          </w:tcPr>
          <w:p>
            <w:pPr>
              <w:pStyle w:val="TableParagraph"/>
              <w:spacing w:line="249" w:lineRule="auto"/>
              <w:ind w:left="119"/>
              <w:rPr>
                <w:sz w:val="20"/>
              </w:rPr>
            </w:pPr>
            <w:r>
              <w:rPr>
                <w:sz w:val="20"/>
              </w:rPr>
              <w:t>HARMFUL, rules </w:t>
            </w:r>
            <w:r>
              <w:rPr>
                <w:sz w:val="20"/>
              </w:rPr>
              <w:t>fired, largest gap</w:t>
            </w:r>
          </w:p>
        </w:tc>
      </w:tr>
      <w:tr>
        <w:trPr>
          <w:trHeight w:val="549" w:hRule="atLeast"/>
        </w:trPr>
        <w:tc>
          <w:tcPr>
            <w:tcW w:w="640" w:type="dxa"/>
            <w:tcBorders>
              <w:right w:val="single" w:sz="4" w:space="0" w:color="000000"/>
            </w:tcBorders>
          </w:tcPr>
          <w:p>
            <w:pPr>
              <w:pStyle w:val="TableParagraph"/>
              <w:ind w:left="119"/>
              <w:rPr>
                <w:sz w:val="20"/>
              </w:rPr>
            </w:pPr>
            <w:r>
              <w:rPr>
                <w:spacing w:val="-5"/>
                <w:sz w:val="20"/>
              </w:rPr>
              <w:t>12</w:t>
            </w:r>
          </w:p>
        </w:tc>
        <w:tc>
          <w:tcPr>
            <w:tcW w:w="1154" w:type="dxa"/>
            <w:tcBorders>
              <w:left w:val="single" w:sz="4" w:space="0" w:color="000000"/>
              <w:right w:val="single" w:sz="4" w:space="0" w:color="000000"/>
            </w:tcBorders>
          </w:tcPr>
          <w:p>
            <w:pPr>
              <w:pStyle w:val="TableParagraph"/>
              <w:ind w:right="8"/>
              <w:jc w:val="center"/>
              <w:rPr>
                <w:sz w:val="20"/>
              </w:rPr>
            </w:pPr>
            <w:r>
              <w:rPr>
                <w:spacing w:val="-2"/>
                <w:sz w:val="20"/>
              </w:rPr>
              <w:t>1942–</w:t>
            </w:r>
            <w:r>
              <w:rPr>
                <w:spacing w:val="-4"/>
                <w:sz w:val="20"/>
              </w:rPr>
              <w:t>2016</w:t>
            </w:r>
          </w:p>
        </w:tc>
        <w:tc>
          <w:tcPr>
            <w:tcW w:w="1154" w:type="dxa"/>
            <w:tcBorders>
              <w:left w:val="single" w:sz="4" w:space="0" w:color="000000"/>
              <w:right w:val="single" w:sz="4" w:space="0" w:color="000000"/>
            </w:tcBorders>
          </w:tcPr>
          <w:p>
            <w:pPr>
              <w:pStyle w:val="TableParagraph"/>
              <w:ind w:left="118"/>
              <w:rPr>
                <w:sz w:val="20"/>
              </w:rPr>
            </w:pPr>
            <w:r>
              <w:rPr>
                <w:spacing w:val="-2"/>
                <w:sz w:val="20"/>
              </w:rPr>
              <w:t>2017–</w:t>
            </w:r>
            <w:r>
              <w:rPr>
                <w:spacing w:val="-4"/>
                <w:sz w:val="20"/>
              </w:rPr>
              <w:t>2021</w:t>
            </w:r>
          </w:p>
        </w:tc>
        <w:tc>
          <w:tcPr>
            <w:tcW w:w="1097" w:type="dxa"/>
            <w:tcBorders>
              <w:left w:val="single" w:sz="4" w:space="0" w:color="000000"/>
              <w:right w:val="single" w:sz="4" w:space="0" w:color="000000"/>
            </w:tcBorders>
          </w:tcPr>
          <w:p>
            <w:pPr>
              <w:pStyle w:val="TableParagraph"/>
              <w:ind w:left="118"/>
              <w:rPr>
                <w:sz w:val="20"/>
              </w:rPr>
            </w:pPr>
            <w:r>
              <w:rPr>
                <w:spacing w:val="-2"/>
                <w:sz w:val="20"/>
              </w:rPr>
              <w:t>206.2</w:t>
            </w:r>
          </w:p>
        </w:tc>
        <w:tc>
          <w:tcPr>
            <w:tcW w:w="1097" w:type="dxa"/>
            <w:tcBorders>
              <w:left w:val="single" w:sz="4" w:space="0" w:color="000000"/>
              <w:right w:val="single" w:sz="4" w:space="0" w:color="000000"/>
            </w:tcBorders>
          </w:tcPr>
          <w:p>
            <w:pPr>
              <w:pStyle w:val="TableParagraph"/>
              <w:ind w:left="119"/>
              <w:rPr>
                <w:sz w:val="20"/>
              </w:rPr>
            </w:pPr>
            <w:r>
              <w:rPr>
                <w:spacing w:val="-2"/>
                <w:sz w:val="20"/>
              </w:rPr>
              <w:t>206.2</w:t>
            </w:r>
          </w:p>
        </w:tc>
        <w:tc>
          <w:tcPr>
            <w:tcW w:w="1154" w:type="dxa"/>
            <w:tcBorders>
              <w:left w:val="single" w:sz="4" w:space="0" w:color="000000"/>
              <w:right w:val="single" w:sz="4" w:space="0" w:color="000000"/>
            </w:tcBorders>
          </w:tcPr>
          <w:p>
            <w:pPr>
              <w:pStyle w:val="TableParagraph"/>
              <w:ind w:left="119"/>
              <w:rPr>
                <w:sz w:val="20"/>
              </w:rPr>
            </w:pPr>
            <w:r>
              <w:rPr>
                <w:spacing w:val="-4"/>
                <w:sz w:val="20"/>
              </w:rPr>
              <w:t>+0.0</w:t>
            </w:r>
          </w:p>
        </w:tc>
        <w:tc>
          <w:tcPr>
            <w:tcW w:w="2206" w:type="dxa"/>
            <w:tcBorders>
              <w:left w:val="single" w:sz="4" w:space="0" w:color="000000"/>
            </w:tcBorders>
          </w:tcPr>
          <w:p>
            <w:pPr>
              <w:pStyle w:val="TableParagraph"/>
              <w:spacing w:line="249" w:lineRule="auto"/>
              <w:ind w:left="119"/>
              <w:rPr>
                <w:sz w:val="20"/>
              </w:rPr>
            </w:pPr>
            <w:r>
              <w:rPr>
                <w:sz w:val="20"/>
              </w:rPr>
              <w:t>FALLBACK,</w:t>
            </w:r>
            <w:r>
              <w:rPr>
                <w:spacing w:val="40"/>
                <w:sz w:val="20"/>
              </w:rPr>
              <w:t> </w:t>
            </w:r>
            <w:r>
              <w:rPr>
                <w:sz w:val="20"/>
              </w:rPr>
              <w:t>no</w:t>
            </w:r>
            <w:r>
              <w:rPr>
                <w:spacing w:val="40"/>
                <w:sz w:val="20"/>
              </w:rPr>
              <w:t> </w:t>
            </w:r>
            <w:r>
              <w:rPr>
                <w:sz w:val="20"/>
              </w:rPr>
              <w:t>rules </w:t>
            </w:r>
            <w:r>
              <w:rPr>
                <w:spacing w:val="-2"/>
                <w:sz w:val="20"/>
              </w:rPr>
              <w:t>fired</w:t>
            </w:r>
          </w:p>
        </w:tc>
      </w:tr>
      <w:tr>
        <w:trPr>
          <w:trHeight w:val="549" w:hRule="atLeast"/>
        </w:trPr>
        <w:tc>
          <w:tcPr>
            <w:tcW w:w="640" w:type="dxa"/>
            <w:tcBorders>
              <w:right w:val="single" w:sz="4" w:space="0" w:color="000000"/>
            </w:tcBorders>
          </w:tcPr>
          <w:p>
            <w:pPr>
              <w:pStyle w:val="TableParagraph"/>
              <w:ind w:left="119"/>
              <w:rPr>
                <w:sz w:val="20"/>
              </w:rPr>
            </w:pPr>
            <w:r>
              <w:rPr>
                <w:spacing w:val="-5"/>
                <w:sz w:val="20"/>
              </w:rPr>
              <w:t>13</w:t>
            </w:r>
          </w:p>
        </w:tc>
        <w:tc>
          <w:tcPr>
            <w:tcW w:w="1154" w:type="dxa"/>
            <w:tcBorders>
              <w:left w:val="single" w:sz="4" w:space="0" w:color="000000"/>
              <w:right w:val="single" w:sz="4" w:space="0" w:color="000000"/>
            </w:tcBorders>
          </w:tcPr>
          <w:p>
            <w:pPr>
              <w:pStyle w:val="TableParagraph"/>
              <w:ind w:right="8"/>
              <w:jc w:val="center"/>
              <w:rPr>
                <w:sz w:val="20"/>
              </w:rPr>
            </w:pPr>
            <w:r>
              <w:rPr>
                <w:spacing w:val="-2"/>
                <w:sz w:val="20"/>
              </w:rPr>
              <w:t>1942–</w:t>
            </w:r>
            <w:r>
              <w:rPr>
                <w:spacing w:val="-4"/>
                <w:sz w:val="20"/>
              </w:rPr>
              <w:t>2017</w:t>
            </w:r>
          </w:p>
        </w:tc>
        <w:tc>
          <w:tcPr>
            <w:tcW w:w="1154" w:type="dxa"/>
            <w:tcBorders>
              <w:left w:val="single" w:sz="4" w:space="0" w:color="000000"/>
              <w:right w:val="single" w:sz="4" w:space="0" w:color="000000"/>
            </w:tcBorders>
          </w:tcPr>
          <w:p>
            <w:pPr>
              <w:pStyle w:val="TableParagraph"/>
              <w:ind w:left="118"/>
              <w:rPr>
                <w:sz w:val="20"/>
              </w:rPr>
            </w:pPr>
            <w:r>
              <w:rPr>
                <w:spacing w:val="-2"/>
                <w:sz w:val="20"/>
              </w:rPr>
              <w:t>2018–</w:t>
            </w:r>
            <w:r>
              <w:rPr>
                <w:spacing w:val="-4"/>
                <w:sz w:val="20"/>
              </w:rPr>
              <w:t>2021</w:t>
            </w:r>
          </w:p>
        </w:tc>
        <w:tc>
          <w:tcPr>
            <w:tcW w:w="1097" w:type="dxa"/>
            <w:tcBorders>
              <w:left w:val="single" w:sz="4" w:space="0" w:color="000000"/>
              <w:right w:val="single" w:sz="4" w:space="0" w:color="000000"/>
            </w:tcBorders>
          </w:tcPr>
          <w:p>
            <w:pPr>
              <w:pStyle w:val="TableParagraph"/>
              <w:ind w:left="118"/>
              <w:rPr>
                <w:sz w:val="20"/>
              </w:rPr>
            </w:pPr>
            <w:r>
              <w:rPr>
                <w:spacing w:val="-2"/>
                <w:sz w:val="20"/>
              </w:rPr>
              <w:t>184.0</w:t>
            </w:r>
          </w:p>
        </w:tc>
        <w:tc>
          <w:tcPr>
            <w:tcW w:w="1097" w:type="dxa"/>
            <w:tcBorders>
              <w:left w:val="single" w:sz="4" w:space="0" w:color="000000"/>
              <w:right w:val="single" w:sz="4" w:space="0" w:color="000000"/>
            </w:tcBorders>
          </w:tcPr>
          <w:p>
            <w:pPr>
              <w:pStyle w:val="TableParagraph"/>
              <w:ind w:left="119"/>
              <w:rPr>
                <w:sz w:val="20"/>
              </w:rPr>
            </w:pPr>
            <w:r>
              <w:rPr>
                <w:spacing w:val="-2"/>
                <w:sz w:val="20"/>
              </w:rPr>
              <w:t>184.0</w:t>
            </w:r>
          </w:p>
        </w:tc>
        <w:tc>
          <w:tcPr>
            <w:tcW w:w="1154" w:type="dxa"/>
            <w:tcBorders>
              <w:left w:val="single" w:sz="4" w:space="0" w:color="000000"/>
              <w:right w:val="single" w:sz="4" w:space="0" w:color="000000"/>
            </w:tcBorders>
          </w:tcPr>
          <w:p>
            <w:pPr>
              <w:pStyle w:val="TableParagraph"/>
              <w:ind w:left="119"/>
              <w:rPr>
                <w:sz w:val="20"/>
              </w:rPr>
            </w:pPr>
            <w:r>
              <w:rPr>
                <w:spacing w:val="-4"/>
                <w:sz w:val="20"/>
              </w:rPr>
              <w:t>+0.0</w:t>
            </w:r>
          </w:p>
        </w:tc>
        <w:tc>
          <w:tcPr>
            <w:tcW w:w="2206" w:type="dxa"/>
            <w:tcBorders>
              <w:left w:val="single" w:sz="4" w:space="0" w:color="000000"/>
            </w:tcBorders>
          </w:tcPr>
          <w:p>
            <w:pPr>
              <w:pStyle w:val="TableParagraph"/>
              <w:spacing w:line="249" w:lineRule="auto"/>
              <w:ind w:left="119"/>
              <w:rPr>
                <w:sz w:val="20"/>
              </w:rPr>
            </w:pPr>
            <w:r>
              <w:rPr>
                <w:sz w:val="20"/>
              </w:rPr>
              <w:t>FALLBACK,</w:t>
            </w:r>
            <w:r>
              <w:rPr>
                <w:spacing w:val="40"/>
                <w:sz w:val="20"/>
              </w:rPr>
              <w:t> </w:t>
            </w:r>
            <w:r>
              <w:rPr>
                <w:sz w:val="20"/>
              </w:rPr>
              <w:t>no</w:t>
            </w:r>
            <w:r>
              <w:rPr>
                <w:spacing w:val="40"/>
                <w:sz w:val="20"/>
              </w:rPr>
              <w:t> </w:t>
            </w:r>
            <w:r>
              <w:rPr>
                <w:sz w:val="20"/>
              </w:rPr>
              <w:t>rules </w:t>
            </w:r>
            <w:r>
              <w:rPr>
                <w:spacing w:val="-2"/>
                <w:sz w:val="20"/>
              </w:rPr>
              <w:t>fired</w:t>
            </w:r>
          </w:p>
        </w:tc>
      </w:tr>
      <w:tr>
        <w:trPr>
          <w:trHeight w:val="549" w:hRule="atLeast"/>
        </w:trPr>
        <w:tc>
          <w:tcPr>
            <w:tcW w:w="640" w:type="dxa"/>
            <w:tcBorders>
              <w:right w:val="single" w:sz="4" w:space="0" w:color="000000"/>
            </w:tcBorders>
          </w:tcPr>
          <w:p>
            <w:pPr>
              <w:pStyle w:val="TableParagraph"/>
              <w:ind w:left="119"/>
              <w:rPr>
                <w:sz w:val="20"/>
              </w:rPr>
            </w:pPr>
            <w:r>
              <w:rPr>
                <w:spacing w:val="-5"/>
                <w:sz w:val="20"/>
              </w:rPr>
              <w:t>14</w:t>
            </w:r>
          </w:p>
        </w:tc>
        <w:tc>
          <w:tcPr>
            <w:tcW w:w="1154" w:type="dxa"/>
            <w:tcBorders>
              <w:left w:val="single" w:sz="4" w:space="0" w:color="000000"/>
              <w:right w:val="single" w:sz="4" w:space="0" w:color="000000"/>
            </w:tcBorders>
          </w:tcPr>
          <w:p>
            <w:pPr>
              <w:pStyle w:val="TableParagraph"/>
              <w:ind w:right="8"/>
              <w:jc w:val="center"/>
              <w:rPr>
                <w:sz w:val="20"/>
              </w:rPr>
            </w:pPr>
            <w:r>
              <w:rPr>
                <w:spacing w:val="-2"/>
                <w:sz w:val="20"/>
              </w:rPr>
              <w:t>1942–</w:t>
            </w:r>
            <w:r>
              <w:rPr>
                <w:spacing w:val="-4"/>
                <w:sz w:val="20"/>
              </w:rPr>
              <w:t>2018</w:t>
            </w:r>
          </w:p>
        </w:tc>
        <w:tc>
          <w:tcPr>
            <w:tcW w:w="1154" w:type="dxa"/>
            <w:tcBorders>
              <w:left w:val="single" w:sz="4" w:space="0" w:color="000000"/>
              <w:right w:val="single" w:sz="4" w:space="0" w:color="000000"/>
            </w:tcBorders>
          </w:tcPr>
          <w:p>
            <w:pPr>
              <w:pStyle w:val="TableParagraph"/>
              <w:ind w:left="118"/>
              <w:rPr>
                <w:sz w:val="20"/>
              </w:rPr>
            </w:pPr>
            <w:r>
              <w:rPr>
                <w:spacing w:val="-2"/>
                <w:sz w:val="20"/>
              </w:rPr>
              <w:t>2019–</w:t>
            </w:r>
            <w:r>
              <w:rPr>
                <w:spacing w:val="-4"/>
                <w:sz w:val="20"/>
              </w:rPr>
              <w:t>2021</w:t>
            </w:r>
          </w:p>
        </w:tc>
        <w:tc>
          <w:tcPr>
            <w:tcW w:w="1097" w:type="dxa"/>
            <w:tcBorders>
              <w:left w:val="single" w:sz="4" w:space="0" w:color="000000"/>
              <w:right w:val="single" w:sz="4" w:space="0" w:color="000000"/>
            </w:tcBorders>
          </w:tcPr>
          <w:p>
            <w:pPr>
              <w:pStyle w:val="TableParagraph"/>
              <w:ind w:left="118"/>
              <w:rPr>
                <w:sz w:val="20"/>
              </w:rPr>
            </w:pPr>
            <w:r>
              <w:rPr>
                <w:spacing w:val="-2"/>
                <w:sz w:val="20"/>
              </w:rPr>
              <w:t>213.8</w:t>
            </w:r>
          </w:p>
        </w:tc>
        <w:tc>
          <w:tcPr>
            <w:tcW w:w="1097" w:type="dxa"/>
            <w:tcBorders>
              <w:left w:val="single" w:sz="4" w:space="0" w:color="000000"/>
              <w:right w:val="single" w:sz="4" w:space="0" w:color="000000"/>
            </w:tcBorders>
          </w:tcPr>
          <w:p>
            <w:pPr>
              <w:pStyle w:val="TableParagraph"/>
              <w:ind w:left="119"/>
              <w:rPr>
                <w:sz w:val="20"/>
              </w:rPr>
            </w:pPr>
            <w:r>
              <w:rPr>
                <w:spacing w:val="-2"/>
                <w:sz w:val="20"/>
              </w:rPr>
              <w:t>213.8</w:t>
            </w:r>
          </w:p>
        </w:tc>
        <w:tc>
          <w:tcPr>
            <w:tcW w:w="1154" w:type="dxa"/>
            <w:tcBorders>
              <w:left w:val="single" w:sz="4" w:space="0" w:color="000000"/>
              <w:right w:val="single" w:sz="4" w:space="0" w:color="000000"/>
            </w:tcBorders>
          </w:tcPr>
          <w:p>
            <w:pPr>
              <w:pStyle w:val="TableParagraph"/>
              <w:ind w:left="119"/>
              <w:rPr>
                <w:sz w:val="20"/>
              </w:rPr>
            </w:pPr>
            <w:r>
              <w:rPr>
                <w:spacing w:val="-4"/>
                <w:sz w:val="20"/>
              </w:rPr>
              <w:t>+0.0</w:t>
            </w:r>
          </w:p>
        </w:tc>
        <w:tc>
          <w:tcPr>
            <w:tcW w:w="2206" w:type="dxa"/>
            <w:tcBorders>
              <w:left w:val="single" w:sz="4" w:space="0" w:color="000000"/>
            </w:tcBorders>
          </w:tcPr>
          <w:p>
            <w:pPr>
              <w:pStyle w:val="TableParagraph"/>
              <w:spacing w:line="249" w:lineRule="auto"/>
              <w:ind w:left="119"/>
              <w:rPr>
                <w:sz w:val="20"/>
              </w:rPr>
            </w:pPr>
            <w:r>
              <w:rPr>
                <w:sz w:val="20"/>
              </w:rPr>
              <w:t>FALLBACK,</w:t>
            </w:r>
            <w:r>
              <w:rPr>
                <w:spacing w:val="40"/>
                <w:sz w:val="20"/>
              </w:rPr>
              <w:t> </w:t>
            </w:r>
            <w:r>
              <w:rPr>
                <w:sz w:val="20"/>
              </w:rPr>
              <w:t>no</w:t>
            </w:r>
            <w:r>
              <w:rPr>
                <w:spacing w:val="40"/>
                <w:sz w:val="20"/>
              </w:rPr>
              <w:t> </w:t>
            </w:r>
            <w:r>
              <w:rPr>
                <w:sz w:val="20"/>
              </w:rPr>
              <w:t>rules </w:t>
            </w:r>
            <w:r>
              <w:rPr>
                <w:spacing w:val="-2"/>
                <w:sz w:val="20"/>
              </w:rPr>
              <w:t>fired</w:t>
            </w:r>
          </w:p>
        </w:tc>
      </w:tr>
      <w:tr>
        <w:trPr>
          <w:trHeight w:val="549" w:hRule="atLeast"/>
        </w:trPr>
        <w:tc>
          <w:tcPr>
            <w:tcW w:w="640" w:type="dxa"/>
            <w:tcBorders>
              <w:right w:val="single" w:sz="4" w:space="0" w:color="000000"/>
            </w:tcBorders>
          </w:tcPr>
          <w:p>
            <w:pPr>
              <w:pStyle w:val="TableParagraph"/>
              <w:ind w:left="119"/>
              <w:rPr>
                <w:sz w:val="20"/>
              </w:rPr>
            </w:pPr>
            <w:r>
              <w:rPr>
                <w:spacing w:val="-5"/>
                <w:sz w:val="20"/>
              </w:rPr>
              <w:t>15</w:t>
            </w:r>
          </w:p>
        </w:tc>
        <w:tc>
          <w:tcPr>
            <w:tcW w:w="1154" w:type="dxa"/>
            <w:tcBorders>
              <w:left w:val="single" w:sz="4" w:space="0" w:color="000000"/>
              <w:right w:val="single" w:sz="4" w:space="0" w:color="000000"/>
            </w:tcBorders>
          </w:tcPr>
          <w:p>
            <w:pPr>
              <w:pStyle w:val="TableParagraph"/>
              <w:ind w:right="8"/>
              <w:jc w:val="center"/>
              <w:rPr>
                <w:sz w:val="20"/>
              </w:rPr>
            </w:pPr>
            <w:r>
              <w:rPr>
                <w:spacing w:val="-2"/>
                <w:sz w:val="20"/>
              </w:rPr>
              <w:t>1942–</w:t>
            </w:r>
            <w:r>
              <w:rPr>
                <w:spacing w:val="-4"/>
                <w:sz w:val="20"/>
              </w:rPr>
              <w:t>2019</w:t>
            </w:r>
          </w:p>
        </w:tc>
        <w:tc>
          <w:tcPr>
            <w:tcW w:w="1154" w:type="dxa"/>
            <w:tcBorders>
              <w:left w:val="single" w:sz="4" w:space="0" w:color="000000"/>
              <w:right w:val="single" w:sz="4" w:space="0" w:color="000000"/>
            </w:tcBorders>
          </w:tcPr>
          <w:p>
            <w:pPr>
              <w:pStyle w:val="TableParagraph"/>
              <w:ind w:left="118"/>
              <w:rPr>
                <w:sz w:val="20"/>
              </w:rPr>
            </w:pPr>
            <w:r>
              <w:rPr>
                <w:spacing w:val="-2"/>
                <w:sz w:val="20"/>
              </w:rPr>
              <w:t>2020–</w:t>
            </w:r>
            <w:r>
              <w:rPr>
                <w:spacing w:val="-4"/>
                <w:sz w:val="20"/>
              </w:rPr>
              <w:t>2021</w:t>
            </w:r>
          </w:p>
        </w:tc>
        <w:tc>
          <w:tcPr>
            <w:tcW w:w="1097" w:type="dxa"/>
            <w:tcBorders>
              <w:left w:val="single" w:sz="4" w:space="0" w:color="000000"/>
              <w:right w:val="single" w:sz="4" w:space="0" w:color="000000"/>
            </w:tcBorders>
          </w:tcPr>
          <w:p>
            <w:pPr>
              <w:pStyle w:val="TableParagraph"/>
              <w:ind w:left="118"/>
              <w:rPr>
                <w:sz w:val="20"/>
              </w:rPr>
            </w:pPr>
            <w:r>
              <w:rPr>
                <w:spacing w:val="-2"/>
                <w:sz w:val="20"/>
              </w:rPr>
              <w:t>235.9</w:t>
            </w:r>
          </w:p>
        </w:tc>
        <w:tc>
          <w:tcPr>
            <w:tcW w:w="1097" w:type="dxa"/>
            <w:tcBorders>
              <w:left w:val="single" w:sz="4" w:space="0" w:color="000000"/>
              <w:right w:val="single" w:sz="4" w:space="0" w:color="000000"/>
            </w:tcBorders>
          </w:tcPr>
          <w:p>
            <w:pPr>
              <w:pStyle w:val="TableParagraph"/>
              <w:ind w:left="119"/>
              <w:rPr>
                <w:sz w:val="20"/>
              </w:rPr>
            </w:pPr>
            <w:r>
              <w:rPr>
                <w:spacing w:val="-2"/>
                <w:sz w:val="20"/>
              </w:rPr>
              <w:t>235.9</w:t>
            </w:r>
          </w:p>
        </w:tc>
        <w:tc>
          <w:tcPr>
            <w:tcW w:w="1154" w:type="dxa"/>
            <w:tcBorders>
              <w:left w:val="single" w:sz="4" w:space="0" w:color="000000"/>
              <w:right w:val="single" w:sz="4" w:space="0" w:color="000000"/>
            </w:tcBorders>
          </w:tcPr>
          <w:p>
            <w:pPr>
              <w:pStyle w:val="TableParagraph"/>
              <w:ind w:left="119"/>
              <w:rPr>
                <w:sz w:val="20"/>
              </w:rPr>
            </w:pPr>
            <w:r>
              <w:rPr>
                <w:spacing w:val="-4"/>
                <w:sz w:val="20"/>
              </w:rPr>
              <w:t>+0.0</w:t>
            </w:r>
          </w:p>
        </w:tc>
        <w:tc>
          <w:tcPr>
            <w:tcW w:w="2206" w:type="dxa"/>
            <w:tcBorders>
              <w:left w:val="single" w:sz="4" w:space="0" w:color="000000"/>
            </w:tcBorders>
          </w:tcPr>
          <w:p>
            <w:pPr>
              <w:pStyle w:val="TableParagraph"/>
              <w:spacing w:line="249" w:lineRule="auto"/>
              <w:ind w:left="119"/>
              <w:rPr>
                <w:sz w:val="20"/>
              </w:rPr>
            </w:pPr>
            <w:r>
              <w:rPr>
                <w:sz w:val="20"/>
              </w:rPr>
              <w:t>FALLBACK,</w:t>
            </w:r>
            <w:r>
              <w:rPr>
                <w:spacing w:val="40"/>
                <w:sz w:val="20"/>
              </w:rPr>
              <w:t> </w:t>
            </w:r>
            <w:r>
              <w:rPr>
                <w:sz w:val="20"/>
              </w:rPr>
              <w:t>no</w:t>
            </w:r>
            <w:r>
              <w:rPr>
                <w:spacing w:val="40"/>
                <w:sz w:val="20"/>
              </w:rPr>
              <w:t> </w:t>
            </w:r>
            <w:r>
              <w:rPr>
                <w:sz w:val="20"/>
              </w:rPr>
              <w:t>rules </w:t>
            </w:r>
            <w:r>
              <w:rPr>
                <w:spacing w:val="-2"/>
                <w:sz w:val="20"/>
              </w:rPr>
              <w:t>fired</w:t>
            </w:r>
          </w:p>
        </w:tc>
      </w:tr>
      <w:tr>
        <w:trPr>
          <w:trHeight w:val="588" w:hRule="atLeast"/>
        </w:trPr>
        <w:tc>
          <w:tcPr>
            <w:tcW w:w="640" w:type="dxa"/>
            <w:tcBorders>
              <w:bottom w:val="single" w:sz="8" w:space="0" w:color="000000"/>
              <w:right w:val="single" w:sz="4" w:space="0" w:color="000000"/>
            </w:tcBorders>
          </w:tcPr>
          <w:p>
            <w:pPr>
              <w:pStyle w:val="TableParagraph"/>
              <w:ind w:left="119"/>
              <w:rPr>
                <w:sz w:val="20"/>
              </w:rPr>
            </w:pPr>
            <w:r>
              <w:rPr>
                <w:spacing w:val="-5"/>
                <w:sz w:val="20"/>
              </w:rPr>
              <w:t>16</w:t>
            </w:r>
          </w:p>
        </w:tc>
        <w:tc>
          <w:tcPr>
            <w:tcW w:w="1154" w:type="dxa"/>
            <w:tcBorders>
              <w:left w:val="single" w:sz="4" w:space="0" w:color="000000"/>
              <w:bottom w:val="single" w:sz="8" w:space="0" w:color="000000"/>
              <w:right w:val="single" w:sz="4" w:space="0" w:color="000000"/>
            </w:tcBorders>
          </w:tcPr>
          <w:p>
            <w:pPr>
              <w:pStyle w:val="TableParagraph"/>
              <w:ind w:right="8"/>
              <w:jc w:val="center"/>
              <w:rPr>
                <w:sz w:val="20"/>
              </w:rPr>
            </w:pPr>
            <w:r>
              <w:rPr>
                <w:spacing w:val="-2"/>
                <w:sz w:val="20"/>
              </w:rPr>
              <w:t>1942–</w:t>
            </w:r>
            <w:r>
              <w:rPr>
                <w:spacing w:val="-4"/>
                <w:sz w:val="20"/>
              </w:rPr>
              <w:t>2020</w:t>
            </w:r>
          </w:p>
        </w:tc>
        <w:tc>
          <w:tcPr>
            <w:tcW w:w="1154" w:type="dxa"/>
            <w:tcBorders>
              <w:left w:val="single" w:sz="4" w:space="0" w:color="000000"/>
              <w:bottom w:val="single" w:sz="8" w:space="0" w:color="000000"/>
              <w:right w:val="single" w:sz="4" w:space="0" w:color="000000"/>
            </w:tcBorders>
          </w:tcPr>
          <w:p>
            <w:pPr>
              <w:pStyle w:val="TableParagraph"/>
              <w:ind w:left="118"/>
              <w:rPr>
                <w:sz w:val="20"/>
              </w:rPr>
            </w:pPr>
            <w:r>
              <w:rPr>
                <w:spacing w:val="-4"/>
                <w:sz w:val="20"/>
              </w:rPr>
              <w:t>2021</w:t>
            </w:r>
          </w:p>
        </w:tc>
        <w:tc>
          <w:tcPr>
            <w:tcW w:w="1097" w:type="dxa"/>
            <w:tcBorders>
              <w:left w:val="single" w:sz="4" w:space="0" w:color="000000"/>
              <w:bottom w:val="single" w:sz="8" w:space="0" w:color="000000"/>
              <w:right w:val="single" w:sz="4" w:space="0" w:color="000000"/>
            </w:tcBorders>
          </w:tcPr>
          <w:p>
            <w:pPr>
              <w:pStyle w:val="TableParagraph"/>
              <w:ind w:left="118"/>
              <w:rPr>
                <w:sz w:val="20"/>
              </w:rPr>
            </w:pPr>
            <w:r>
              <w:rPr>
                <w:spacing w:val="-2"/>
                <w:sz w:val="20"/>
              </w:rPr>
              <w:t>260.3</w:t>
            </w:r>
          </w:p>
        </w:tc>
        <w:tc>
          <w:tcPr>
            <w:tcW w:w="1097" w:type="dxa"/>
            <w:tcBorders>
              <w:left w:val="single" w:sz="4" w:space="0" w:color="000000"/>
              <w:bottom w:val="single" w:sz="8" w:space="0" w:color="000000"/>
              <w:right w:val="single" w:sz="4" w:space="0" w:color="000000"/>
            </w:tcBorders>
          </w:tcPr>
          <w:p>
            <w:pPr>
              <w:pStyle w:val="TableParagraph"/>
              <w:ind w:left="119"/>
              <w:rPr>
                <w:sz w:val="20"/>
              </w:rPr>
            </w:pPr>
            <w:r>
              <w:rPr>
                <w:spacing w:val="-2"/>
                <w:sz w:val="20"/>
              </w:rPr>
              <w:t>260.3</w:t>
            </w:r>
          </w:p>
        </w:tc>
        <w:tc>
          <w:tcPr>
            <w:tcW w:w="1154" w:type="dxa"/>
            <w:tcBorders>
              <w:left w:val="single" w:sz="4" w:space="0" w:color="000000"/>
              <w:bottom w:val="single" w:sz="8" w:space="0" w:color="000000"/>
              <w:right w:val="single" w:sz="4" w:space="0" w:color="000000"/>
            </w:tcBorders>
          </w:tcPr>
          <w:p>
            <w:pPr>
              <w:pStyle w:val="TableParagraph"/>
              <w:ind w:left="119"/>
              <w:rPr>
                <w:sz w:val="20"/>
              </w:rPr>
            </w:pPr>
            <w:r>
              <w:rPr>
                <w:spacing w:val="-4"/>
                <w:sz w:val="20"/>
              </w:rPr>
              <w:t>+0.0</w:t>
            </w:r>
          </w:p>
        </w:tc>
        <w:tc>
          <w:tcPr>
            <w:tcW w:w="2206" w:type="dxa"/>
            <w:tcBorders>
              <w:left w:val="single" w:sz="4" w:space="0" w:color="000000"/>
              <w:bottom w:val="single" w:sz="8" w:space="0" w:color="000000"/>
            </w:tcBorders>
          </w:tcPr>
          <w:p>
            <w:pPr>
              <w:pStyle w:val="TableParagraph"/>
              <w:spacing w:line="249" w:lineRule="auto"/>
              <w:ind w:left="119"/>
              <w:rPr>
                <w:sz w:val="20"/>
              </w:rPr>
            </w:pPr>
            <w:r>
              <w:rPr>
                <w:sz w:val="20"/>
              </w:rPr>
              <w:t>FALLBACK,</w:t>
            </w:r>
            <w:r>
              <w:rPr>
                <w:spacing w:val="40"/>
                <w:sz w:val="20"/>
              </w:rPr>
              <w:t> </w:t>
            </w:r>
            <w:r>
              <w:rPr>
                <w:sz w:val="20"/>
              </w:rPr>
              <w:t>no</w:t>
            </w:r>
            <w:r>
              <w:rPr>
                <w:spacing w:val="40"/>
                <w:sz w:val="20"/>
              </w:rPr>
              <w:t> </w:t>
            </w:r>
            <w:r>
              <w:rPr>
                <w:sz w:val="20"/>
              </w:rPr>
              <w:t>rules </w:t>
            </w:r>
            <w:r>
              <w:rPr>
                <w:spacing w:val="-2"/>
                <w:sz w:val="20"/>
              </w:rPr>
              <w:t>fired</w:t>
            </w:r>
          </w:p>
        </w:tc>
      </w:tr>
    </w:tbl>
    <w:p>
      <w:pPr>
        <w:pStyle w:val="TableParagraph"/>
        <w:spacing w:after="0" w:line="249" w:lineRule="auto"/>
        <w:rPr>
          <w:sz w:val="20"/>
        </w:rPr>
        <w:sectPr>
          <w:headerReference w:type="default" r:id="rId92"/>
          <w:headerReference w:type="even" r:id="rId93"/>
          <w:pgSz w:w="11910" w:h="16840"/>
          <w:pgMar w:header="1160" w:footer="0" w:top="1420" w:bottom="280" w:left="1275" w:right="425"/>
          <w:pgNumType w:start="63"/>
        </w:sectPr>
      </w:pPr>
    </w:p>
    <w:p>
      <w:pPr>
        <w:pStyle w:val="BodyText"/>
        <w:rPr>
          <w:sz w:val="20"/>
        </w:rPr>
      </w:pPr>
    </w:p>
    <w:p>
      <w:pPr>
        <w:pStyle w:val="BodyText"/>
        <w:spacing w:before="115"/>
        <w:rPr>
          <w:sz w:val="20"/>
        </w:rPr>
      </w:pPr>
    </w:p>
    <w:p>
      <w:pPr>
        <w:spacing w:line="240" w:lineRule="auto"/>
        <w:ind w:left="539" w:right="0" w:firstLine="0"/>
        <w:rPr>
          <w:sz w:val="20"/>
        </w:rPr>
      </w:pPr>
      <w:r>
        <w:rPr>
          <w:sz w:val="20"/>
        </w:rPr>
        <w:drawing>
          <wp:inline distT="0" distB="0" distL="0" distR="0">
            <wp:extent cx="4927282" cy="2857023"/>
            <wp:effectExtent l="0" t="0" r="0" b="0"/>
            <wp:docPr id="222" name="Image 222"/>
            <wp:cNvGraphicFramePr>
              <a:graphicFrameLocks/>
            </wp:cNvGraphicFramePr>
            <a:graphic>
              <a:graphicData uri="http://schemas.openxmlformats.org/drawingml/2006/picture">
                <pic:pic>
                  <pic:nvPicPr>
                    <pic:cNvPr id="222" name="Image 222"/>
                    <pic:cNvPicPr/>
                  </pic:nvPicPr>
                  <pic:blipFill>
                    <a:blip r:embed="rId94" cstate="print"/>
                    <a:stretch>
                      <a:fillRect/>
                    </a:stretch>
                  </pic:blipFill>
                  <pic:spPr>
                    <a:xfrm>
                      <a:off x="0" y="0"/>
                      <a:ext cx="4927282" cy="2857023"/>
                    </a:xfrm>
                    <a:prstGeom prst="rect">
                      <a:avLst/>
                    </a:prstGeom>
                  </pic:spPr>
                </pic:pic>
              </a:graphicData>
            </a:graphic>
          </wp:inline>
        </w:drawing>
      </w:r>
      <w:r>
        <w:rPr>
          <w:sz w:val="20"/>
        </w:rPr>
      </w:r>
    </w:p>
    <w:p>
      <w:pPr>
        <w:pStyle w:val="BodyText"/>
        <w:spacing w:before="86"/>
        <w:rPr>
          <w:sz w:val="20"/>
        </w:rPr>
      </w:pPr>
    </w:p>
    <w:p>
      <w:pPr>
        <w:spacing w:before="0"/>
        <w:ind w:left="209" w:right="0" w:firstLine="0"/>
        <w:jc w:val="both"/>
        <w:rPr>
          <w:sz w:val="20"/>
        </w:rPr>
      </w:pPr>
      <w:bookmarkStart w:name="_bookmark124" w:id="208"/>
      <w:bookmarkEnd w:id="208"/>
      <w:r>
        <w:rPr/>
      </w:r>
      <w:r>
        <w:rPr>
          <w:b/>
          <w:sz w:val="20"/>
        </w:rPr>
        <w:t>Figure</w:t>
      </w:r>
      <w:r>
        <w:rPr>
          <w:b/>
          <w:spacing w:val="-8"/>
          <w:sz w:val="20"/>
        </w:rPr>
        <w:t> </w:t>
      </w:r>
      <w:r>
        <w:rPr>
          <w:b/>
          <w:sz w:val="20"/>
        </w:rPr>
        <w:t>5.8:</w:t>
      </w:r>
      <w:r>
        <w:rPr>
          <w:b/>
          <w:spacing w:val="4"/>
          <w:sz w:val="20"/>
        </w:rPr>
        <w:t> </w:t>
      </w:r>
      <w:r>
        <w:rPr>
          <w:sz w:val="20"/>
        </w:rPr>
        <w:t>MAE</w:t>
      </w:r>
      <w:r>
        <w:rPr>
          <w:spacing w:val="-7"/>
          <w:sz w:val="20"/>
        </w:rPr>
        <w:t> </w:t>
      </w:r>
      <w:r>
        <w:rPr>
          <w:sz w:val="20"/>
        </w:rPr>
        <w:t>learning</w:t>
      </w:r>
      <w:r>
        <w:rPr>
          <w:spacing w:val="-7"/>
          <w:sz w:val="20"/>
        </w:rPr>
        <w:t> </w:t>
      </w:r>
      <w:r>
        <w:rPr>
          <w:sz w:val="20"/>
        </w:rPr>
        <w:t>curve</w:t>
      </w:r>
      <w:r>
        <w:rPr>
          <w:spacing w:val="-7"/>
          <w:sz w:val="20"/>
        </w:rPr>
        <w:t> </w:t>
      </w:r>
      <w:r>
        <w:rPr>
          <w:sz w:val="20"/>
        </w:rPr>
        <w:t>for</w:t>
      </w:r>
      <w:r>
        <w:rPr>
          <w:spacing w:val="-7"/>
          <w:sz w:val="20"/>
        </w:rPr>
        <w:t> </w:t>
      </w:r>
      <w:r>
        <w:rPr>
          <w:sz w:val="20"/>
        </w:rPr>
        <w:t>all</w:t>
      </w:r>
      <w:r>
        <w:rPr>
          <w:spacing w:val="-7"/>
          <w:sz w:val="20"/>
        </w:rPr>
        <w:t> </w:t>
      </w:r>
      <w:r>
        <w:rPr>
          <w:sz w:val="20"/>
        </w:rPr>
        <w:t>17</w:t>
      </w:r>
      <w:r>
        <w:rPr>
          <w:spacing w:val="-7"/>
          <w:sz w:val="20"/>
        </w:rPr>
        <w:t> </w:t>
      </w:r>
      <w:r>
        <w:rPr>
          <w:sz w:val="20"/>
        </w:rPr>
        <w:t>models</w:t>
      </w:r>
      <w:r>
        <w:rPr>
          <w:spacing w:val="-7"/>
          <w:sz w:val="20"/>
        </w:rPr>
        <w:t> </w:t>
      </w:r>
      <w:r>
        <w:rPr>
          <w:sz w:val="20"/>
        </w:rPr>
        <w:t>across</w:t>
      </w:r>
      <w:r>
        <w:rPr>
          <w:spacing w:val="-7"/>
          <w:sz w:val="20"/>
        </w:rPr>
        <w:t> </w:t>
      </w:r>
      <w:r>
        <w:rPr>
          <w:sz w:val="20"/>
        </w:rPr>
        <w:t>16</w:t>
      </w:r>
      <w:r>
        <w:rPr>
          <w:spacing w:val="-7"/>
          <w:sz w:val="20"/>
        </w:rPr>
        <w:t> </w:t>
      </w:r>
      <w:r>
        <w:rPr>
          <w:sz w:val="20"/>
        </w:rPr>
        <w:t>RVV</w:t>
      </w:r>
      <w:r>
        <w:rPr>
          <w:spacing w:val="-7"/>
          <w:sz w:val="20"/>
        </w:rPr>
        <w:t> </w:t>
      </w:r>
      <w:r>
        <w:rPr>
          <w:sz w:val="20"/>
        </w:rPr>
        <w:t>scenarios.</w:t>
      </w:r>
      <w:r>
        <w:rPr>
          <w:spacing w:val="3"/>
          <w:sz w:val="20"/>
        </w:rPr>
        <w:t> </w:t>
      </w:r>
      <w:r>
        <w:rPr>
          <w:sz w:val="20"/>
        </w:rPr>
        <w:t>LOESS</w:t>
      </w:r>
      <w:r>
        <w:rPr>
          <w:spacing w:val="-7"/>
          <w:sz w:val="20"/>
        </w:rPr>
        <w:t> </w:t>
      </w:r>
      <w:r>
        <w:rPr>
          <w:sz w:val="20"/>
        </w:rPr>
        <w:t>smoothing</w:t>
      </w:r>
      <w:r>
        <w:rPr>
          <w:spacing w:val="-7"/>
          <w:sz w:val="20"/>
        </w:rPr>
        <w:t> </w:t>
      </w:r>
      <w:r>
        <w:rPr>
          <w:spacing w:val="-2"/>
          <w:sz w:val="20"/>
        </w:rPr>
        <w:t>applied.</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5"/>
        <w:rPr>
          <w:sz w:val="20"/>
        </w:rPr>
      </w:pPr>
    </w:p>
    <w:p>
      <w:pPr>
        <w:pStyle w:val="BodyText"/>
        <w:spacing w:line="312" w:lineRule="auto"/>
        <w:ind w:left="142" w:right="1549"/>
        <w:jc w:val="both"/>
      </w:pPr>
      <w:r>
        <w:rPr/>
        <w:t>those rules are applied to test years that are also in the modern era, they fire conditions that, by coincidence, match the training set’s era characteristics rather than genuine inter-annual climate signals, and predict in the wrong direction.</w:t>
      </w:r>
    </w:p>
    <w:p>
      <w:pPr>
        <w:pStyle w:val="BodyText"/>
        <w:spacing w:before="67"/>
      </w:pPr>
    </w:p>
    <w:p>
      <w:pPr>
        <w:pStyle w:val="BodyText"/>
        <w:spacing w:line="328" w:lineRule="exact"/>
        <w:ind w:left="142" w:right="1557" w:firstLine="338"/>
        <w:jc w:val="both"/>
      </w:pPr>
      <w:r>
        <w:rPr>
          <w:b/>
          <w:spacing w:val="-2"/>
        </w:rPr>
        <w:t>The</w:t>
      </w:r>
      <w:r>
        <w:rPr>
          <w:b/>
          <w:spacing w:val="-9"/>
        </w:rPr>
        <w:t> </w:t>
      </w:r>
      <w:r>
        <w:rPr>
          <w:b/>
          <w:spacing w:val="-2"/>
        </w:rPr>
        <w:t>fallback</w:t>
      </w:r>
      <w:r>
        <w:rPr>
          <w:b/>
          <w:spacing w:val="-9"/>
        </w:rPr>
        <w:t> </w:t>
      </w:r>
      <w:r>
        <w:rPr>
          <w:b/>
          <w:spacing w:val="-2"/>
        </w:rPr>
        <w:t>pattern</w:t>
      </w:r>
      <w:r>
        <w:rPr>
          <w:b/>
          <w:spacing w:val="-9"/>
        </w:rPr>
        <w:t> </w:t>
      </w:r>
      <w:r>
        <w:rPr>
          <w:b/>
          <w:spacing w:val="-2"/>
        </w:rPr>
        <w:t>(Scenarios</w:t>
      </w:r>
      <w:r>
        <w:rPr>
          <w:b/>
          <w:spacing w:val="-9"/>
        </w:rPr>
        <w:t> </w:t>
      </w:r>
      <w:r>
        <w:rPr>
          <w:b/>
          <w:spacing w:val="-2"/>
        </w:rPr>
        <w:t>1,</w:t>
      </w:r>
      <w:r>
        <w:rPr>
          <w:b/>
          <w:spacing w:val="-9"/>
        </w:rPr>
        <w:t> </w:t>
      </w:r>
      <w:r>
        <w:rPr>
          <w:b/>
          <w:spacing w:val="-2"/>
        </w:rPr>
        <w:t>3,</w:t>
      </w:r>
      <w:r>
        <w:rPr>
          <w:b/>
          <w:spacing w:val="-9"/>
        </w:rPr>
        <w:t> </w:t>
      </w:r>
      <w:r>
        <w:rPr>
          <w:b/>
          <w:spacing w:val="-2"/>
        </w:rPr>
        <w:t>12–16): </w:t>
      </w:r>
      <w:r>
        <w:rPr>
          <w:spacing w:val="-2"/>
        </w:rPr>
        <w:t>Seven</w:t>
      </w:r>
      <w:r>
        <w:rPr>
          <w:spacing w:val="-9"/>
        </w:rPr>
        <w:t> </w:t>
      </w:r>
      <w:r>
        <w:rPr>
          <w:spacing w:val="-2"/>
        </w:rPr>
        <w:t>of</w:t>
      </w:r>
      <w:r>
        <w:rPr>
          <w:spacing w:val="-9"/>
        </w:rPr>
        <w:t> </w:t>
      </w:r>
      <w:r>
        <w:rPr>
          <w:spacing w:val="-2"/>
        </w:rPr>
        <w:t>16</w:t>
      </w:r>
      <w:r>
        <w:rPr>
          <w:spacing w:val="-9"/>
        </w:rPr>
        <w:t> </w:t>
      </w:r>
      <w:r>
        <w:rPr>
          <w:spacing w:val="-2"/>
        </w:rPr>
        <w:t>scenarios</w:t>
      </w:r>
      <w:r>
        <w:rPr>
          <w:spacing w:val="-9"/>
        </w:rPr>
        <w:t> </w:t>
      </w:r>
      <w:r>
        <w:rPr>
          <w:spacing w:val="-2"/>
        </w:rPr>
        <w:t>show</w:t>
      </w:r>
      <w:r>
        <w:rPr>
          <w:spacing w:val="-9"/>
        </w:rPr>
        <w:t> </w:t>
      </w:r>
      <w:r>
        <w:rPr>
          <w:spacing w:val="-2"/>
        </w:rPr>
        <w:t>a</w:t>
      </w:r>
      <w:r>
        <w:rPr>
          <w:spacing w:val="-9"/>
        </w:rPr>
        <w:t> </w:t>
      </w:r>
      <w:r>
        <w:rPr>
          <w:spacing w:val="-2"/>
        </w:rPr>
        <w:t>zero</w:t>
      </w:r>
      <w:r>
        <w:rPr>
          <w:spacing w:val="-9"/>
        </w:rPr>
        <w:t> </w:t>
      </w:r>
      <w:r>
        <w:rPr>
          <w:spacing w:val="-2"/>
        </w:rPr>
        <w:t>gap,</w:t>
      </w:r>
      <w:r>
        <w:rPr>
          <w:spacing w:val="-9"/>
        </w:rPr>
        <w:t> </w:t>
      </w:r>
      <w:r>
        <w:rPr>
          <w:spacing w:val="-2"/>
        </w:rPr>
        <w:t>CarenR </w:t>
      </w:r>
      <w:r>
        <w:rPr/>
        <w:t>fired</w:t>
      </w:r>
      <w:r>
        <w:rPr>
          <w:spacing w:val="21"/>
        </w:rPr>
        <w:t> </w:t>
      </w:r>
      <w:r>
        <w:rPr/>
        <w:t>no</w:t>
      </w:r>
      <w:r>
        <w:rPr>
          <w:spacing w:val="21"/>
        </w:rPr>
        <w:t> </w:t>
      </w:r>
      <w:r>
        <w:rPr/>
        <w:t>rules</w:t>
      </w:r>
      <w:r>
        <w:rPr>
          <w:spacing w:val="21"/>
        </w:rPr>
        <w:t> </w:t>
      </w:r>
      <w:r>
        <w:rPr/>
        <w:t>and</w:t>
      </w:r>
      <w:r>
        <w:rPr>
          <w:spacing w:val="21"/>
        </w:rPr>
        <w:t> </w:t>
      </w:r>
      <w:r>
        <w:rPr/>
        <w:t>fell</w:t>
      </w:r>
      <w:r>
        <w:rPr>
          <w:spacing w:val="21"/>
        </w:rPr>
        <w:t> </w:t>
      </w:r>
      <w:r>
        <w:rPr/>
        <w:t>back</w:t>
      </w:r>
      <w:r>
        <w:rPr>
          <w:spacing w:val="21"/>
        </w:rPr>
        <w:t> </w:t>
      </w:r>
      <w:r>
        <w:rPr/>
        <w:t>to</w:t>
      </w:r>
      <w:r>
        <w:rPr>
          <w:spacing w:val="20"/>
        </w:rPr>
        <w:t> </w:t>
      </w:r>
      <w:r>
        <w:rPr/>
        <w:t>the</w:t>
      </w:r>
      <w:r>
        <w:rPr>
          <w:spacing w:val="21"/>
        </w:rPr>
        <w:t> </w:t>
      </w:r>
      <w:r>
        <w:rPr/>
        <w:t>training</w:t>
      </w:r>
      <w:r>
        <w:rPr>
          <w:spacing w:val="21"/>
        </w:rPr>
        <w:t> </w:t>
      </w:r>
      <w:r>
        <w:rPr/>
        <w:t>median.</w:t>
      </w:r>
      <w:r>
        <w:rPr>
          <w:spacing w:val="77"/>
        </w:rPr>
        <w:t> </w:t>
      </w:r>
      <w:r>
        <w:rPr/>
        <w:t>This</w:t>
      </w:r>
      <w:r>
        <w:rPr>
          <w:spacing w:val="21"/>
        </w:rPr>
        <w:t> </w:t>
      </w:r>
      <w:r>
        <w:rPr/>
        <w:t>is</w:t>
      </w:r>
      <w:r>
        <w:rPr>
          <w:spacing w:val="21"/>
        </w:rPr>
        <w:t> </w:t>
      </w:r>
      <w:r>
        <w:rPr/>
        <w:t>not</w:t>
      </w:r>
      <w:r>
        <w:rPr>
          <w:spacing w:val="20"/>
        </w:rPr>
        <w:t> </w:t>
      </w:r>
      <w:r>
        <w:rPr/>
        <w:t>a</w:t>
      </w:r>
      <w:r>
        <w:rPr>
          <w:spacing w:val="21"/>
        </w:rPr>
        <w:t> </w:t>
      </w:r>
      <w:r>
        <w:rPr/>
        <w:t>failure</w:t>
      </w:r>
      <w:r>
        <w:rPr>
          <w:spacing w:val="21"/>
        </w:rPr>
        <w:t> </w:t>
      </w:r>
      <w:r>
        <w:rPr/>
        <w:t>in</w:t>
      </w:r>
      <w:r>
        <w:rPr>
          <w:spacing w:val="21"/>
        </w:rPr>
        <w:t> </w:t>
      </w:r>
      <w:r>
        <w:rPr/>
        <w:t>the</w:t>
      </w:r>
      <w:r>
        <w:rPr>
          <w:spacing w:val="21"/>
        </w:rPr>
        <w:t> </w:t>
      </w:r>
      <w:r>
        <w:rPr/>
        <w:t>same</w:t>
      </w:r>
      <w:r>
        <w:rPr>
          <w:spacing w:val="21"/>
        </w:rPr>
        <w:t> </w:t>
      </w:r>
      <w:r>
        <w:rPr/>
        <w:t>sense</w:t>
      </w:r>
      <w:r>
        <w:rPr>
          <w:spacing w:val="21"/>
        </w:rPr>
        <w:t> </w:t>
      </w:r>
      <w:r>
        <w:rPr/>
        <w:t>as the harmful-rules scenarios: it means no CarenR rule achieved sufficient support to fire, and the prediction framework fell back to the training median as the safe default. The fallback scenarios are concentrated in early scenarios (1, 3) and late scenarios (12–16). The late fallback pattern is interesting: in</w:t>
      </w:r>
      <w:r>
        <w:rPr>
          <w:spacing w:val="-5"/>
        </w:rPr>
        <w:t> </w:t>
      </w:r>
      <w:r>
        <w:rPr/>
        <w:t>scenarios</w:t>
      </w:r>
      <w:r>
        <w:rPr>
          <w:spacing w:val="-5"/>
        </w:rPr>
        <w:t> </w:t>
      </w:r>
      <w:r>
        <w:rPr/>
        <w:t>12–16,</w:t>
      </w:r>
      <w:r>
        <w:rPr>
          <w:spacing w:val="-5"/>
        </w:rPr>
        <w:t> </w:t>
      </w:r>
      <w:r>
        <w:rPr/>
        <w:t>the</w:t>
      </w:r>
      <w:r>
        <w:rPr>
          <w:spacing w:val="-5"/>
        </w:rPr>
        <w:t> </w:t>
      </w:r>
      <w:r>
        <w:rPr/>
        <w:t>training</w:t>
      </w:r>
      <w:r>
        <w:rPr>
          <w:spacing w:val="-5"/>
        </w:rPr>
        <w:t> </w:t>
      </w:r>
      <w:r>
        <w:rPr/>
        <w:t>set</w:t>
      </w:r>
      <w:r>
        <w:rPr>
          <w:spacing w:val="-5"/>
        </w:rPr>
        <w:t> </w:t>
      </w:r>
      <w:r>
        <w:rPr/>
        <w:t>is</w:t>
      </w:r>
      <w:r>
        <w:rPr>
          <w:spacing w:val="-5"/>
        </w:rPr>
        <w:t> </w:t>
      </w:r>
      <w:r>
        <w:rPr/>
        <w:t>very</w:t>
      </w:r>
      <w:r>
        <w:rPr>
          <w:spacing w:val="-5"/>
        </w:rPr>
        <w:t> </w:t>
      </w:r>
      <w:r>
        <w:rPr/>
        <w:t>era-balanced</w:t>
      </w:r>
      <w:r>
        <w:rPr>
          <w:spacing w:val="-5"/>
        </w:rPr>
        <w:t> </w:t>
      </w:r>
      <w:r>
        <w:rPr/>
        <w:t>(all</w:t>
      </w:r>
      <w:r>
        <w:rPr>
          <w:spacing w:val="-5"/>
        </w:rPr>
        <w:t> </w:t>
      </w:r>
      <w:r>
        <w:rPr/>
        <w:t>modern</w:t>
      </w:r>
      <w:r>
        <w:rPr>
          <w:spacing w:val="-5"/>
        </w:rPr>
        <w:t> </w:t>
      </w:r>
      <w:r>
        <w:rPr/>
        <w:t>era),</w:t>
      </w:r>
      <w:r>
        <w:rPr>
          <w:spacing w:val="-5"/>
        </w:rPr>
        <w:t> </w:t>
      </w:r>
      <w:r>
        <w:rPr/>
        <w:t>but</w:t>
      </w:r>
      <w:r>
        <w:rPr>
          <w:spacing w:val="-5"/>
        </w:rPr>
        <w:t> </w:t>
      </w:r>
      <w:r>
        <w:rPr/>
        <w:t>CarenR apparently</w:t>
      </w:r>
      <w:r>
        <w:rPr>
          <w:spacing w:val="-5"/>
        </w:rPr>
        <w:t> </w:t>
      </w:r>
      <w:r>
        <w:rPr/>
        <w:t>finds</w:t>
      </w:r>
      <w:r>
        <w:rPr>
          <w:spacing w:val="-5"/>
        </w:rPr>
        <w:t> </w:t>
      </w:r>
      <w:r>
        <w:rPr/>
        <w:t>no</w:t>
      </w:r>
      <w:r>
        <w:rPr>
          <w:spacing w:val="-5"/>
        </w:rPr>
        <w:t> </w:t>
      </w:r>
      <w:r>
        <w:rPr/>
        <w:t>applicable</w:t>
      </w:r>
      <w:r>
        <w:rPr>
          <w:spacing w:val="-5"/>
        </w:rPr>
        <w:t> </w:t>
      </w:r>
      <w:r>
        <w:rPr/>
        <w:t>rules. This</w:t>
      </w:r>
      <w:r>
        <w:rPr>
          <w:spacing w:val="-5"/>
        </w:rPr>
        <w:t> </w:t>
      </w:r>
      <w:r>
        <w:rPr/>
        <w:t>suggests</w:t>
      </w:r>
      <w:r>
        <w:rPr>
          <w:spacing w:val="-5"/>
        </w:rPr>
        <w:t> </w:t>
      </w:r>
      <w:r>
        <w:rPr/>
        <w:t>that</w:t>
      </w:r>
      <w:r>
        <w:rPr>
          <w:spacing w:val="-5"/>
        </w:rPr>
        <w:t> </w:t>
      </w:r>
      <w:r>
        <w:rPr/>
        <w:t>with</w:t>
      </w:r>
      <w:r>
        <w:rPr>
          <w:spacing w:val="-5"/>
        </w:rPr>
        <w:t> </w:t>
      </w:r>
      <w:r>
        <w:rPr/>
        <w:t>a</w:t>
      </w:r>
      <w:r>
        <w:rPr>
          <w:spacing w:val="-5"/>
        </w:rPr>
        <w:t> </w:t>
      </w:r>
      <w:r>
        <w:rPr/>
        <w:t>homogeneous</w:t>
      </w:r>
      <w:r>
        <w:rPr>
          <w:spacing w:val="-5"/>
        </w:rPr>
        <w:t> </w:t>
      </w:r>
      <w:r>
        <w:rPr/>
        <w:t>modern-era</w:t>
      </w:r>
      <w:r>
        <w:rPr>
          <w:spacing w:val="-5"/>
        </w:rPr>
        <w:t> </w:t>
      </w:r>
      <w:r>
        <w:rPr/>
        <w:t>training </w:t>
      </w:r>
      <w:r>
        <w:rPr>
          <w:spacing w:val="-2"/>
        </w:rPr>
        <w:t>set,</w:t>
      </w:r>
      <w:r>
        <w:rPr>
          <w:spacing w:val="-10"/>
        </w:rPr>
        <w:t> </w:t>
      </w:r>
      <w:r>
        <w:rPr>
          <w:spacing w:val="-2"/>
        </w:rPr>
        <w:t>the</w:t>
      </w:r>
      <w:r>
        <w:rPr>
          <w:spacing w:val="-11"/>
        </w:rPr>
        <w:t> </w:t>
      </w:r>
      <w:r>
        <w:rPr>
          <w:spacing w:val="-2"/>
        </w:rPr>
        <w:t>wine</w:t>
      </w:r>
      <w:r>
        <w:rPr>
          <w:spacing w:val="-11"/>
        </w:rPr>
        <w:t> </w:t>
      </w:r>
      <w:r>
        <w:rPr>
          <w:spacing w:val="-2"/>
        </w:rPr>
        <w:t>production</w:t>
      </w:r>
      <w:r>
        <w:rPr>
          <w:spacing w:val="-11"/>
        </w:rPr>
        <w:t> </w:t>
      </w:r>
      <w:r>
        <w:rPr>
          <w:spacing w:val="-2"/>
        </w:rPr>
        <w:t>signal</w:t>
      </w:r>
      <w:r>
        <w:rPr>
          <w:spacing w:val="-11"/>
        </w:rPr>
        <w:t> </w:t>
      </w:r>
      <w:r>
        <w:rPr>
          <w:spacing w:val="-2"/>
        </w:rPr>
        <w:t>becomes</w:t>
      </w:r>
      <w:r>
        <w:rPr>
          <w:spacing w:val="-11"/>
        </w:rPr>
        <w:t> </w:t>
      </w:r>
      <w:r>
        <w:rPr>
          <w:spacing w:val="-2"/>
        </w:rPr>
        <w:t>too</w:t>
      </w:r>
      <w:r>
        <w:rPr>
          <w:spacing w:val="-11"/>
        </w:rPr>
        <w:t> </w:t>
      </w:r>
      <w:r>
        <w:rPr>
          <w:spacing w:val="-2"/>
        </w:rPr>
        <w:t>noisy</w:t>
      </w:r>
      <w:r>
        <w:rPr>
          <w:spacing w:val="-11"/>
        </w:rPr>
        <w:t> </w:t>
      </w:r>
      <w:r>
        <w:rPr>
          <w:spacing w:val="-2"/>
        </w:rPr>
        <w:t>for</w:t>
      </w:r>
      <w:r>
        <w:rPr>
          <w:spacing w:val="-11"/>
        </w:rPr>
        <w:t> </w:t>
      </w:r>
      <w:r>
        <w:rPr>
          <w:spacing w:val="-2"/>
        </w:rPr>
        <w:t>any</w:t>
      </w:r>
      <w:r>
        <w:rPr>
          <w:spacing w:val="-11"/>
        </w:rPr>
        <w:t> </w:t>
      </w:r>
      <w:r>
        <w:rPr>
          <w:spacing w:val="-2"/>
        </w:rPr>
        <w:t>subgroup</w:t>
      </w:r>
      <w:r>
        <w:rPr>
          <w:spacing w:val="-11"/>
        </w:rPr>
        <w:t> </w:t>
      </w:r>
      <w:r>
        <w:rPr>
          <w:spacing w:val="-2"/>
        </w:rPr>
        <w:t>to</w:t>
      </w:r>
      <w:r>
        <w:rPr>
          <w:spacing w:val="-11"/>
        </w:rPr>
        <w:t> </w:t>
      </w:r>
      <w:r>
        <w:rPr>
          <w:spacing w:val="-2"/>
        </w:rPr>
        <w:t>achieve</w:t>
      </w:r>
      <w:r>
        <w:rPr>
          <w:spacing w:val="-11"/>
        </w:rPr>
        <w:t> </w:t>
      </w:r>
      <w:r>
        <w:rPr>
          <w:spacing w:val="-2"/>
        </w:rPr>
        <w:t>both</w:t>
      </w:r>
      <w:r>
        <w:rPr>
          <w:spacing w:val="-11"/>
        </w:rPr>
        <w:t> </w:t>
      </w:r>
      <w:r>
        <w:rPr>
          <w:spacing w:val="-2"/>
        </w:rPr>
        <w:t>KS</w:t>
      </w:r>
      <w:r>
        <w:rPr>
          <w:spacing w:val="-11"/>
        </w:rPr>
        <w:t> </w:t>
      </w:r>
      <w:r>
        <w:rPr>
          <w:spacing w:val="-2"/>
        </w:rPr>
        <w:t>significance </w:t>
      </w:r>
      <w:r>
        <w:rPr/>
        <w:t>and</w:t>
      </w:r>
      <w:r>
        <w:rPr>
          <w:spacing w:val="-6"/>
        </w:rPr>
        <w:t> </w:t>
      </w:r>
      <w:r>
        <w:rPr>
          <w:rFonts w:ascii="Meiryo UI" w:hAnsi="Meiryo UI"/>
          <w:i/>
        </w:rPr>
        <w:t>≥</w:t>
      </w:r>
      <w:r>
        <w:rPr/>
        <w:t>20%</w:t>
      </w:r>
      <w:r>
        <w:rPr>
          <w:spacing w:val="-6"/>
        </w:rPr>
        <w:t> </w:t>
      </w:r>
      <w:r>
        <w:rPr/>
        <w:t>support,</w:t>
      </w:r>
      <w:r>
        <w:rPr>
          <w:spacing w:val="-6"/>
        </w:rPr>
        <w:t> </w:t>
      </w:r>
      <w:r>
        <w:rPr/>
        <w:t>confirming</w:t>
      </w:r>
      <w:r>
        <w:rPr>
          <w:spacing w:val="-6"/>
        </w:rPr>
        <w:t> </w:t>
      </w:r>
      <w:r>
        <w:rPr/>
        <w:t>that</w:t>
      </w:r>
      <w:r>
        <w:rPr>
          <w:spacing w:val="-6"/>
        </w:rPr>
        <w:t> </w:t>
      </w:r>
      <w:r>
        <w:rPr/>
        <w:t>the</w:t>
      </w:r>
      <w:r>
        <w:rPr>
          <w:spacing w:val="-6"/>
        </w:rPr>
        <w:t> </w:t>
      </w:r>
      <w:r>
        <w:rPr/>
        <w:t>era</w:t>
      </w:r>
      <w:r>
        <w:rPr>
          <w:spacing w:val="-6"/>
        </w:rPr>
        <w:t> </w:t>
      </w:r>
      <w:r>
        <w:rPr/>
        <w:t>structure</w:t>
      </w:r>
      <w:r>
        <w:rPr>
          <w:spacing w:val="-6"/>
        </w:rPr>
        <w:t> </w:t>
      </w:r>
      <w:r>
        <w:rPr/>
        <w:t>is</w:t>
      </w:r>
      <w:r>
        <w:rPr>
          <w:spacing w:val="-6"/>
        </w:rPr>
        <w:t> </w:t>
      </w:r>
      <w:r>
        <w:rPr/>
        <w:t>what</w:t>
      </w:r>
      <w:r>
        <w:rPr>
          <w:spacing w:val="-6"/>
        </w:rPr>
        <w:t> </w:t>
      </w:r>
      <w:r>
        <w:rPr/>
        <w:t>created</w:t>
      </w:r>
      <w:r>
        <w:rPr>
          <w:spacing w:val="-6"/>
        </w:rPr>
        <w:t> </w:t>
      </w:r>
      <w:r>
        <w:rPr/>
        <w:t>the</w:t>
      </w:r>
      <w:r>
        <w:rPr>
          <w:spacing w:val="-6"/>
        </w:rPr>
        <w:t> </w:t>
      </w:r>
      <w:r>
        <w:rPr/>
        <w:t>spurious</w:t>
      </w:r>
      <w:r>
        <w:rPr>
          <w:spacing w:val="-6"/>
        </w:rPr>
        <w:t> </w:t>
      </w:r>
      <w:r>
        <w:rPr/>
        <w:t>rules</w:t>
      </w:r>
      <w:r>
        <w:rPr>
          <w:spacing w:val="-6"/>
        </w:rPr>
        <w:t> </w:t>
      </w:r>
      <w:r>
        <w:rPr/>
        <w:t>in</w:t>
      </w:r>
      <w:r>
        <w:rPr>
          <w:spacing w:val="-6"/>
        </w:rPr>
        <w:t> </w:t>
      </w:r>
      <w:r>
        <w:rPr/>
        <w:t>the</w:t>
      </w:r>
      <w:r>
        <w:rPr>
          <w:spacing w:val="-6"/>
        </w:rPr>
        <w:t> </w:t>
      </w:r>
      <w:r>
        <w:rPr/>
        <w:t>first </w:t>
      </w:r>
      <w:r>
        <w:rPr>
          <w:spacing w:val="-2"/>
        </w:rPr>
        <w:t>place.</w:t>
      </w:r>
    </w:p>
    <w:p>
      <w:pPr>
        <w:pStyle w:val="BodyText"/>
        <w:spacing w:before="188"/>
      </w:pPr>
    </w:p>
    <w:p>
      <w:pPr>
        <w:pStyle w:val="BodyText"/>
        <w:spacing w:line="312" w:lineRule="auto"/>
        <w:ind w:left="132" w:right="1551" w:firstLine="349"/>
        <w:jc w:val="both"/>
      </w:pPr>
      <w:r>
        <w:rPr>
          <w:b/>
        </w:rPr>
        <w:t>Weighted MAE decomposition: </w:t>
      </w:r>
      <w:r>
        <w:rPr/>
        <w:t>The weighted aggregate of 172 mhl is dominated by the 9 harmful scenarios (weighted by test-set sizes of 20–80 years in early scenarios). The 7 fallback </w:t>
      </w:r>
      <w:r>
        <w:rPr>
          <w:spacing w:val="-2"/>
        </w:rPr>
        <w:t>scenarios</w:t>
      </w:r>
      <w:r>
        <w:rPr>
          <w:spacing w:val="-10"/>
        </w:rPr>
        <w:t> </w:t>
      </w:r>
      <w:r>
        <w:rPr>
          <w:spacing w:val="-2"/>
        </w:rPr>
        <w:t>contribute</w:t>
      </w:r>
      <w:r>
        <w:rPr>
          <w:spacing w:val="-10"/>
        </w:rPr>
        <w:t> </w:t>
      </w:r>
      <w:r>
        <w:rPr>
          <w:spacing w:val="-2"/>
        </w:rPr>
        <w:t>0</w:t>
      </w:r>
      <w:r>
        <w:rPr>
          <w:spacing w:val="-10"/>
        </w:rPr>
        <w:t> </w:t>
      </w:r>
      <w:r>
        <w:rPr>
          <w:spacing w:val="-2"/>
        </w:rPr>
        <w:t>mhl</w:t>
      </w:r>
      <w:r>
        <w:rPr>
          <w:spacing w:val="-10"/>
        </w:rPr>
        <w:t> </w:t>
      </w:r>
      <w:r>
        <w:rPr>
          <w:spacing w:val="-2"/>
        </w:rPr>
        <w:t>to</w:t>
      </w:r>
      <w:r>
        <w:rPr>
          <w:spacing w:val="-10"/>
        </w:rPr>
        <w:t> </w:t>
      </w:r>
      <w:r>
        <w:rPr>
          <w:spacing w:val="-2"/>
        </w:rPr>
        <w:t>the</w:t>
      </w:r>
      <w:r>
        <w:rPr>
          <w:spacing w:val="-10"/>
        </w:rPr>
        <w:t> </w:t>
      </w:r>
      <w:r>
        <w:rPr>
          <w:spacing w:val="-2"/>
        </w:rPr>
        <w:t>gap.</w:t>
      </w:r>
      <w:r>
        <w:rPr/>
        <w:t> </w:t>
      </w:r>
      <w:r>
        <w:rPr>
          <w:spacing w:val="-2"/>
        </w:rPr>
        <w:t>This</w:t>
      </w:r>
      <w:r>
        <w:rPr>
          <w:spacing w:val="-10"/>
        </w:rPr>
        <w:t> </w:t>
      </w:r>
      <w:r>
        <w:rPr>
          <w:spacing w:val="-2"/>
        </w:rPr>
        <w:t>means</w:t>
      </w:r>
      <w:r>
        <w:rPr>
          <w:spacing w:val="-10"/>
        </w:rPr>
        <w:t> </w:t>
      </w:r>
      <w:r>
        <w:rPr>
          <w:spacing w:val="-2"/>
        </w:rPr>
        <w:t>the</w:t>
      </w:r>
      <w:r>
        <w:rPr>
          <w:spacing w:val="-10"/>
        </w:rPr>
        <w:t> </w:t>
      </w:r>
      <w:r>
        <w:rPr>
          <w:spacing w:val="-2"/>
        </w:rPr>
        <w:t>22%</w:t>
      </w:r>
      <w:r>
        <w:rPr>
          <w:spacing w:val="-10"/>
        </w:rPr>
        <w:t> </w:t>
      </w:r>
      <w:r>
        <w:rPr>
          <w:spacing w:val="-2"/>
        </w:rPr>
        <w:t>gap</w:t>
      </w:r>
      <w:r>
        <w:rPr>
          <w:spacing w:val="-10"/>
        </w:rPr>
        <w:t> </w:t>
      </w:r>
      <w:r>
        <w:rPr>
          <w:spacing w:val="-2"/>
        </w:rPr>
        <w:t>between</w:t>
      </w:r>
      <w:r>
        <w:rPr>
          <w:spacing w:val="-10"/>
        </w:rPr>
        <w:t> </w:t>
      </w:r>
      <w:r>
        <w:rPr>
          <w:spacing w:val="-2"/>
        </w:rPr>
        <w:t>CarenR</w:t>
      </w:r>
      <w:r>
        <w:rPr>
          <w:spacing w:val="-10"/>
        </w:rPr>
        <w:t> </w:t>
      </w:r>
      <w:r>
        <w:rPr>
          <w:spacing w:val="-2"/>
        </w:rPr>
        <w:t>and</w:t>
      </w:r>
      <w:r>
        <w:rPr>
          <w:spacing w:val="-10"/>
        </w:rPr>
        <w:t> </w:t>
      </w:r>
      <w:r>
        <w:rPr>
          <w:spacing w:val="-2"/>
        </w:rPr>
        <w:t>Naive_Median </w:t>
      </w:r>
      <w:r>
        <w:rPr/>
        <w:t>in RVV is entirely attributable to the harmful-rules scenarios, not to the fallback scenarios. The Wilcoxon</w:t>
      </w:r>
      <w:r>
        <w:rPr>
          <w:spacing w:val="-5"/>
        </w:rPr>
        <w:t> </w:t>
      </w:r>
      <w:r>
        <w:rPr/>
        <w:t>test</w:t>
      </w:r>
      <w:r>
        <w:rPr>
          <w:spacing w:val="-5"/>
        </w:rPr>
        <w:t> </w:t>
      </w:r>
      <w:r>
        <w:rPr/>
        <w:t>on</w:t>
      </w:r>
      <w:r>
        <w:rPr>
          <w:spacing w:val="-5"/>
        </w:rPr>
        <w:t> </w:t>
      </w:r>
      <w:r>
        <w:rPr/>
        <w:t>harmful-rules</w:t>
      </w:r>
      <w:r>
        <w:rPr>
          <w:spacing w:val="-5"/>
        </w:rPr>
        <w:t> </w:t>
      </w:r>
      <w:r>
        <w:rPr/>
        <w:t>scenarios</w:t>
      </w:r>
      <w:r>
        <w:rPr>
          <w:spacing w:val="-5"/>
        </w:rPr>
        <w:t> </w:t>
      </w:r>
      <w:r>
        <w:rPr/>
        <w:t>(p</w:t>
      </w:r>
      <w:r>
        <w:rPr>
          <w:spacing w:val="-5"/>
        </w:rPr>
        <w:t> </w:t>
      </w:r>
      <w:r>
        <w:rPr/>
        <w:t>=</w:t>
      </w:r>
      <w:r>
        <w:rPr>
          <w:spacing w:val="-5"/>
        </w:rPr>
        <w:t> </w:t>
      </w:r>
      <w:r>
        <w:rPr/>
        <w:t>0.004,</w:t>
      </w:r>
      <w:r>
        <w:rPr>
          <w:spacing w:val="-5"/>
        </w:rPr>
        <w:t> </w:t>
      </w:r>
      <w:r>
        <w:rPr/>
        <w:t>Section</w:t>
      </w:r>
      <w:r>
        <w:rPr>
          <w:spacing w:val="-5"/>
        </w:rPr>
        <w:t> </w:t>
      </w:r>
      <w:hyperlink w:history="true" w:anchor="_bookmark110">
        <w:r>
          <w:rPr>
            <w:color w:val="8B2C18"/>
          </w:rPr>
          <w:t>5.4</w:t>
        </w:r>
      </w:hyperlink>
      <w:r>
        <w:rPr/>
        <w:t>)</w:t>
      </w:r>
      <w:r>
        <w:rPr>
          <w:spacing w:val="-5"/>
        </w:rPr>
        <w:t> </w:t>
      </w:r>
      <w:r>
        <w:rPr/>
        <w:t>correctly</w:t>
      </w:r>
      <w:r>
        <w:rPr>
          <w:spacing w:val="-5"/>
        </w:rPr>
        <w:t> </w:t>
      </w:r>
      <w:r>
        <w:rPr/>
        <w:t>identifies</w:t>
      </w:r>
      <w:r>
        <w:rPr>
          <w:spacing w:val="-5"/>
        </w:rPr>
        <w:t> </w:t>
      </w:r>
      <w:r>
        <w:rPr/>
        <w:t>these</w:t>
      </w:r>
      <w:r>
        <w:rPr>
          <w:spacing w:val="-5"/>
        </w:rPr>
        <w:t> </w:t>
      </w:r>
      <w:r>
        <w:rPr/>
        <w:t>as</w:t>
      </w:r>
      <w:r>
        <w:rPr>
          <w:spacing w:val="-5"/>
        </w:rPr>
        <w:t> </w:t>
      </w:r>
      <w:r>
        <w:rPr/>
        <w:t>the source of the problem.</w:t>
      </w:r>
    </w:p>
    <w:p>
      <w:pPr>
        <w:pStyle w:val="BodyText"/>
        <w:spacing w:after="0" w:line="312" w:lineRule="auto"/>
        <w:jc w:val="both"/>
        <w:sectPr>
          <w:pgSz w:w="11910" w:h="16840"/>
          <w:pgMar w:header="1160" w:footer="0" w:top="1420" w:bottom="280" w:left="1275" w:right="425"/>
        </w:sectPr>
      </w:pPr>
    </w:p>
    <w:p>
      <w:pPr>
        <w:pStyle w:val="BodyText"/>
        <w:spacing w:before="153"/>
        <w:rPr>
          <w:sz w:val="28"/>
        </w:rPr>
      </w:pPr>
    </w:p>
    <w:p>
      <w:pPr>
        <w:pStyle w:val="Heading2"/>
        <w:numPr>
          <w:ilvl w:val="1"/>
          <w:numId w:val="35"/>
        </w:numPr>
        <w:tabs>
          <w:tab w:pos="1498" w:val="left" w:leader="none"/>
        </w:tabs>
        <w:spacing w:line="324" w:lineRule="auto" w:before="1" w:after="0"/>
        <w:ind w:left="1498" w:right="977" w:hanging="790"/>
        <w:jc w:val="left"/>
      </w:pPr>
      <w:bookmarkStart w:name="5.10 Feature Selector Comparison: Why Et" w:id="209"/>
      <w:bookmarkEnd w:id="209"/>
      <w:r>
        <w:rPr>
          <w:b w:val="0"/>
        </w:rPr>
      </w:r>
      <w:bookmarkStart w:name="_bookmark125" w:id="210"/>
      <w:bookmarkEnd w:id="210"/>
      <w:r>
        <w:rPr>
          <w:b w:val="0"/>
        </w:rPr>
      </w:r>
      <w:r>
        <w:rPr/>
        <w:t>Feature</w:t>
      </w:r>
      <w:r>
        <w:rPr>
          <w:spacing w:val="-10"/>
        </w:rPr>
        <w:t> </w:t>
      </w:r>
      <w:r>
        <w:rPr/>
        <w:t>Selector</w:t>
      </w:r>
      <w:r>
        <w:rPr>
          <w:spacing w:val="-9"/>
        </w:rPr>
        <w:t> </w:t>
      </w:r>
      <w:r>
        <w:rPr/>
        <w:t>Comparison: Why</w:t>
      </w:r>
      <w:r>
        <w:rPr>
          <w:spacing w:val="-10"/>
        </w:rPr>
        <w:t> </w:t>
      </w:r>
      <w:r>
        <w:rPr/>
        <w:t>Eta2</w:t>
      </w:r>
      <w:r>
        <w:rPr>
          <w:spacing w:val="-10"/>
        </w:rPr>
        <w:t> </w:t>
      </w:r>
      <w:r>
        <w:rPr/>
        <w:t>Wins</w:t>
      </w:r>
      <w:r>
        <w:rPr>
          <w:spacing w:val="-10"/>
        </w:rPr>
        <w:t> </w:t>
      </w:r>
      <w:r>
        <w:rPr/>
        <w:t>in</w:t>
      </w:r>
      <w:r>
        <w:rPr>
          <w:spacing w:val="-10"/>
        </w:rPr>
        <w:t> </w:t>
      </w:r>
      <w:r>
        <w:rPr/>
        <w:t>RDD</w:t>
      </w:r>
      <w:r>
        <w:rPr>
          <w:spacing w:val="-9"/>
        </w:rPr>
        <w:t> </w:t>
      </w:r>
      <w:r>
        <w:rPr/>
        <w:t>and</w:t>
      </w:r>
      <w:r>
        <w:rPr>
          <w:spacing w:val="-10"/>
        </w:rPr>
        <w:t> </w:t>
      </w:r>
      <w:r>
        <w:rPr/>
        <w:t>Sup_ FS in RVV</w:t>
      </w:r>
    </w:p>
    <w:p>
      <w:pPr>
        <w:pStyle w:val="BodyText"/>
        <w:spacing w:line="312" w:lineRule="auto" w:before="285"/>
        <w:ind w:left="701" w:right="963" w:firstLine="1"/>
        <w:jc w:val="both"/>
      </w:pPr>
      <w:r>
        <w:rPr/>
        <w:t>The</w:t>
      </w:r>
      <w:r>
        <w:rPr>
          <w:spacing w:val="-3"/>
        </w:rPr>
        <w:t> </w:t>
      </w:r>
      <w:r>
        <w:rPr/>
        <w:t>11</w:t>
      </w:r>
      <w:r>
        <w:rPr>
          <w:spacing w:val="-3"/>
        </w:rPr>
        <w:t> </w:t>
      </w:r>
      <w:r>
        <w:rPr/>
        <w:t>CarenR</w:t>
      </w:r>
      <w:r>
        <w:rPr>
          <w:spacing w:val="-3"/>
        </w:rPr>
        <w:t> </w:t>
      </w:r>
      <w:r>
        <w:rPr/>
        <w:t>variants</w:t>
      </w:r>
      <w:r>
        <w:rPr>
          <w:spacing w:val="-3"/>
        </w:rPr>
        <w:t> </w:t>
      </w:r>
      <w:r>
        <w:rPr/>
        <w:t>evaluated</w:t>
      </w:r>
      <w:r>
        <w:rPr>
          <w:spacing w:val="-3"/>
        </w:rPr>
        <w:t> </w:t>
      </w:r>
      <w:r>
        <w:rPr/>
        <w:t>in</w:t>
      </w:r>
      <w:r>
        <w:rPr>
          <w:spacing w:val="-3"/>
        </w:rPr>
        <w:t> </w:t>
      </w:r>
      <w:r>
        <w:rPr/>
        <w:t>this</w:t>
      </w:r>
      <w:r>
        <w:rPr>
          <w:spacing w:val="-3"/>
        </w:rPr>
        <w:t> </w:t>
      </w:r>
      <w:r>
        <w:rPr/>
        <w:t>study</w:t>
      </w:r>
      <w:r>
        <w:rPr>
          <w:spacing w:val="-3"/>
        </w:rPr>
        <w:t> </w:t>
      </w:r>
      <w:r>
        <w:rPr/>
        <w:t>differ</w:t>
      </w:r>
      <w:r>
        <w:rPr>
          <w:spacing w:val="-3"/>
        </w:rPr>
        <w:t> </w:t>
      </w:r>
      <w:r>
        <w:rPr/>
        <w:t>primarily</w:t>
      </w:r>
      <w:r>
        <w:rPr>
          <w:spacing w:val="-3"/>
        </w:rPr>
        <w:t> </w:t>
      </w:r>
      <w:r>
        <w:rPr/>
        <w:t>in</w:t>
      </w:r>
      <w:r>
        <w:rPr>
          <w:spacing w:val="-3"/>
        </w:rPr>
        <w:t> </w:t>
      </w:r>
      <w:r>
        <w:rPr/>
        <w:t>their</w:t>
      </w:r>
      <w:r>
        <w:rPr>
          <w:spacing w:val="-3"/>
        </w:rPr>
        <w:t> </w:t>
      </w:r>
      <w:r>
        <w:rPr/>
        <w:t>feature</w:t>
      </w:r>
      <w:r>
        <w:rPr>
          <w:spacing w:val="-3"/>
        </w:rPr>
        <w:t> </w:t>
      </w:r>
      <w:r>
        <w:rPr/>
        <w:t>selection</w:t>
      </w:r>
      <w:r>
        <w:rPr>
          <w:spacing w:val="-3"/>
        </w:rPr>
        <w:t> </w:t>
      </w:r>
      <w:r>
        <w:rPr/>
        <w:t>strategy, the step that reduces the 59-feature input space before CarenR searches for rules.</w:t>
      </w:r>
      <w:r>
        <w:rPr>
          <w:spacing w:val="40"/>
        </w:rPr>
        <w:t> </w:t>
      </w:r>
      <w:r>
        <w:rPr/>
        <w:t>This section analyses</w:t>
      </w:r>
      <w:r>
        <w:rPr>
          <w:spacing w:val="-11"/>
        </w:rPr>
        <w:t> </w:t>
      </w:r>
      <w:r>
        <w:rPr/>
        <w:t>why</w:t>
      </w:r>
      <w:r>
        <w:rPr>
          <w:spacing w:val="-11"/>
        </w:rPr>
        <w:t> </w:t>
      </w:r>
      <w:r>
        <w:rPr/>
        <w:t>different</w:t>
      </w:r>
      <w:r>
        <w:rPr>
          <w:spacing w:val="-11"/>
        </w:rPr>
        <w:t> </w:t>
      </w:r>
      <w:r>
        <w:rPr/>
        <w:t>selection</w:t>
      </w:r>
      <w:r>
        <w:rPr>
          <w:spacing w:val="-11"/>
        </w:rPr>
        <w:t> </w:t>
      </w:r>
      <w:r>
        <w:rPr/>
        <w:t>strategies</w:t>
      </w:r>
      <w:r>
        <w:rPr>
          <w:spacing w:val="-11"/>
        </w:rPr>
        <w:t> </w:t>
      </w:r>
      <w:r>
        <w:rPr/>
        <w:t>produce</w:t>
      </w:r>
      <w:r>
        <w:rPr>
          <w:spacing w:val="-11"/>
        </w:rPr>
        <w:t> </w:t>
      </w:r>
      <w:r>
        <w:rPr/>
        <w:t>different</w:t>
      </w:r>
      <w:r>
        <w:rPr>
          <w:spacing w:val="-11"/>
        </w:rPr>
        <w:t> </w:t>
      </w:r>
      <w:r>
        <w:rPr/>
        <w:t>outcomes</w:t>
      </w:r>
      <w:r>
        <w:rPr>
          <w:spacing w:val="-11"/>
        </w:rPr>
        <w:t> </w:t>
      </w:r>
      <w:r>
        <w:rPr/>
        <w:t>across</w:t>
      </w:r>
      <w:r>
        <w:rPr>
          <w:spacing w:val="-11"/>
        </w:rPr>
        <w:t> </w:t>
      </w:r>
      <w:r>
        <w:rPr/>
        <w:t>the</w:t>
      </w:r>
      <w:r>
        <w:rPr>
          <w:spacing w:val="-11"/>
        </w:rPr>
        <w:t> </w:t>
      </w:r>
      <w:r>
        <w:rPr/>
        <w:t>two</w:t>
      </w:r>
      <w:r>
        <w:rPr>
          <w:spacing w:val="-11"/>
        </w:rPr>
        <w:t> </w:t>
      </w:r>
      <w:r>
        <w:rPr/>
        <w:t>regions,</w:t>
      </w:r>
      <w:r>
        <w:rPr>
          <w:spacing w:val="-11"/>
        </w:rPr>
        <w:t> </w:t>
      </w:r>
      <w:r>
        <w:rPr/>
        <w:t>and what that tells us about the underlying agroclimatic signal.</w:t>
      </w:r>
    </w:p>
    <w:p>
      <w:pPr>
        <w:spacing w:before="253"/>
        <w:ind w:left="601" w:right="888" w:firstLine="0"/>
        <w:jc w:val="center"/>
        <w:rPr>
          <w:sz w:val="20"/>
        </w:rPr>
      </w:pPr>
      <w:bookmarkStart w:name="_bookmark126" w:id="211"/>
      <w:bookmarkEnd w:id="211"/>
      <w:r>
        <w:rPr/>
      </w:r>
      <w:r>
        <w:rPr>
          <w:b/>
          <w:sz w:val="20"/>
        </w:rPr>
        <w:t>Table</w:t>
      </w:r>
      <w:r>
        <w:rPr>
          <w:b/>
          <w:spacing w:val="-10"/>
          <w:sz w:val="20"/>
        </w:rPr>
        <w:t> </w:t>
      </w:r>
      <w:r>
        <w:rPr>
          <w:b/>
          <w:sz w:val="20"/>
        </w:rPr>
        <w:t>5.10: </w:t>
      </w:r>
      <w:r>
        <w:rPr>
          <w:sz w:val="20"/>
        </w:rPr>
        <w:t>CarenR</w:t>
      </w:r>
      <w:r>
        <w:rPr>
          <w:spacing w:val="-9"/>
          <w:sz w:val="20"/>
        </w:rPr>
        <w:t> </w:t>
      </w:r>
      <w:r>
        <w:rPr>
          <w:sz w:val="20"/>
        </w:rPr>
        <w:t>variant</w:t>
      </w:r>
      <w:r>
        <w:rPr>
          <w:spacing w:val="-10"/>
          <w:sz w:val="20"/>
        </w:rPr>
        <w:t> </w:t>
      </w:r>
      <w:r>
        <w:rPr>
          <w:sz w:val="20"/>
        </w:rPr>
        <w:t>sensitivity</w:t>
      </w:r>
      <w:r>
        <w:rPr>
          <w:spacing w:val="-9"/>
          <w:sz w:val="20"/>
        </w:rPr>
        <w:t> </w:t>
      </w:r>
      <w:r>
        <w:rPr>
          <w:sz w:val="20"/>
        </w:rPr>
        <w:t>analysis</w:t>
      </w:r>
      <w:r>
        <w:rPr>
          <w:spacing w:val="-10"/>
          <w:sz w:val="20"/>
        </w:rPr>
        <w:t> </w:t>
      </w:r>
      <w:r>
        <w:rPr>
          <w:sz w:val="20"/>
        </w:rPr>
        <w:t>by</w:t>
      </w:r>
      <w:r>
        <w:rPr>
          <w:spacing w:val="-9"/>
          <w:sz w:val="20"/>
        </w:rPr>
        <w:t> </w:t>
      </w:r>
      <w:r>
        <w:rPr>
          <w:sz w:val="20"/>
        </w:rPr>
        <w:t>feature</w:t>
      </w:r>
      <w:r>
        <w:rPr>
          <w:spacing w:val="-10"/>
          <w:sz w:val="20"/>
        </w:rPr>
        <w:t> </w:t>
      </w:r>
      <w:r>
        <w:rPr>
          <w:sz w:val="20"/>
        </w:rPr>
        <w:t>selection</w:t>
      </w:r>
      <w:r>
        <w:rPr>
          <w:spacing w:val="-10"/>
          <w:sz w:val="20"/>
        </w:rPr>
        <w:t> </w:t>
      </w:r>
      <w:r>
        <w:rPr>
          <w:spacing w:val="-2"/>
          <w:sz w:val="20"/>
        </w:rPr>
        <w:t>strategy.</w:t>
      </w:r>
    </w:p>
    <w:p>
      <w:pPr>
        <w:pStyle w:val="BodyText"/>
        <w:spacing w:before="5"/>
        <w:rPr>
          <w:sz w:val="18"/>
        </w:rPr>
      </w:pPr>
      <w:r>
        <w:rPr>
          <w:sz w:val="18"/>
        </w:rPr>
        <mc:AlternateContent>
          <mc:Choice Requires="wps">
            <w:drawing>
              <wp:anchor distT="0" distB="0" distL="0" distR="0" allowOverlap="1" layoutInCell="1" locked="0" behindDoc="1" simplePos="0" relativeHeight="487629312">
                <wp:simplePos x="0" y="0"/>
                <wp:positionH relativeFrom="page">
                  <wp:posOffset>1260005</wp:posOffset>
                </wp:positionH>
                <wp:positionV relativeFrom="paragraph">
                  <wp:posOffset>150052</wp:posOffset>
                </wp:positionV>
                <wp:extent cx="5400040" cy="1270"/>
                <wp:effectExtent l="0" t="0" r="0" b="0"/>
                <wp:wrapTopAndBottom/>
                <wp:docPr id="227" name="Graphic 227"/>
                <wp:cNvGraphicFramePr>
                  <a:graphicFrameLocks/>
                </wp:cNvGraphicFramePr>
                <a:graphic>
                  <a:graphicData uri="http://schemas.microsoft.com/office/word/2010/wordprocessingShape">
                    <wps:wsp>
                      <wps:cNvPr id="227" name="Graphic 227"/>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1.815164pt;width:425.2pt;height:.1pt;mso-position-horizontal-relative:page;mso-position-vertical-relative:paragraph;z-index:-15687168;mso-wrap-distance-left:0;mso-wrap-distance-right:0" id="docshape191" coordorigin="1984,236" coordsize="8504,0" path="m1984,236l10488,236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7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57"/>
        <w:gridCol w:w="2288"/>
        <w:gridCol w:w="1211"/>
        <w:gridCol w:w="1098"/>
        <w:gridCol w:w="1211"/>
        <w:gridCol w:w="640"/>
      </w:tblGrid>
      <w:tr>
        <w:trPr>
          <w:trHeight w:val="824" w:hRule="atLeast"/>
        </w:trPr>
        <w:tc>
          <w:tcPr>
            <w:tcW w:w="2057" w:type="dxa"/>
            <w:tcBorders>
              <w:top w:val="nil"/>
              <w:left w:val="nil"/>
              <w:right w:val="single" w:sz="4" w:space="0" w:color="000000"/>
            </w:tcBorders>
          </w:tcPr>
          <w:p>
            <w:pPr>
              <w:pStyle w:val="TableParagraph"/>
              <w:spacing w:before="31"/>
              <w:ind w:left="119"/>
              <w:rPr>
                <w:sz w:val="20"/>
              </w:rPr>
            </w:pPr>
            <w:r>
              <w:rPr>
                <w:spacing w:val="-2"/>
                <w:sz w:val="20"/>
              </w:rPr>
              <w:t>Variant</w:t>
            </w:r>
          </w:p>
        </w:tc>
        <w:tc>
          <w:tcPr>
            <w:tcW w:w="2288" w:type="dxa"/>
            <w:tcBorders>
              <w:top w:val="nil"/>
              <w:left w:val="single" w:sz="4" w:space="0" w:color="000000"/>
              <w:right w:val="single" w:sz="4" w:space="0" w:color="000000"/>
            </w:tcBorders>
          </w:tcPr>
          <w:p>
            <w:pPr>
              <w:pStyle w:val="TableParagraph"/>
              <w:spacing w:before="31"/>
              <w:ind w:left="118"/>
              <w:rPr>
                <w:sz w:val="20"/>
              </w:rPr>
            </w:pPr>
            <w:r>
              <w:rPr>
                <w:sz w:val="20"/>
              </w:rPr>
              <w:t>Selection</w:t>
            </w:r>
            <w:r>
              <w:rPr>
                <w:spacing w:val="-9"/>
                <w:sz w:val="20"/>
              </w:rPr>
              <w:t> </w:t>
            </w:r>
            <w:r>
              <w:rPr>
                <w:spacing w:val="-2"/>
                <w:sz w:val="20"/>
              </w:rPr>
              <w:t>method</w:t>
            </w:r>
          </w:p>
        </w:tc>
        <w:tc>
          <w:tcPr>
            <w:tcW w:w="1211" w:type="dxa"/>
            <w:tcBorders>
              <w:top w:val="nil"/>
              <w:left w:val="single" w:sz="4" w:space="0" w:color="000000"/>
              <w:right w:val="single" w:sz="4" w:space="0" w:color="000000"/>
            </w:tcBorders>
          </w:tcPr>
          <w:p>
            <w:pPr>
              <w:pStyle w:val="TableParagraph"/>
              <w:spacing w:line="249" w:lineRule="auto" w:before="31"/>
              <w:ind w:left="112" w:firstLine="6"/>
              <w:rPr>
                <w:sz w:val="20"/>
              </w:rPr>
            </w:pPr>
            <w:r>
              <w:rPr>
                <w:sz w:val="20"/>
              </w:rPr>
              <w:t>RDD</w:t>
            </w:r>
            <w:r>
              <w:rPr>
                <w:spacing w:val="80"/>
                <w:sz w:val="20"/>
              </w:rPr>
              <w:t> </w:t>
            </w:r>
            <w:r>
              <w:rPr>
                <w:sz w:val="20"/>
              </w:rPr>
              <w:t>rank </w:t>
            </w:r>
            <w:r>
              <w:rPr>
                <w:spacing w:val="-2"/>
                <w:sz w:val="20"/>
              </w:rPr>
              <w:t>(among CarenR)</w:t>
            </w:r>
          </w:p>
        </w:tc>
        <w:tc>
          <w:tcPr>
            <w:tcW w:w="1098" w:type="dxa"/>
            <w:tcBorders>
              <w:top w:val="nil"/>
              <w:left w:val="single" w:sz="4" w:space="0" w:color="000000"/>
              <w:right w:val="single" w:sz="4" w:space="0" w:color="000000"/>
            </w:tcBorders>
          </w:tcPr>
          <w:p>
            <w:pPr>
              <w:pStyle w:val="TableParagraph"/>
              <w:spacing w:line="249" w:lineRule="auto" w:before="31"/>
              <w:ind w:left="118"/>
              <w:rPr>
                <w:sz w:val="20"/>
              </w:rPr>
            </w:pPr>
            <w:r>
              <w:rPr>
                <w:sz w:val="20"/>
              </w:rPr>
              <w:t>RDD</w:t>
            </w:r>
            <w:r>
              <w:rPr>
                <w:spacing w:val="39"/>
                <w:sz w:val="20"/>
              </w:rPr>
              <w:t> </w:t>
            </w:r>
            <w:r>
              <w:rPr>
                <w:sz w:val="20"/>
              </w:rPr>
              <w:t>wtd </w:t>
            </w:r>
            <w:r>
              <w:rPr>
                <w:spacing w:val="-4"/>
                <w:sz w:val="20"/>
              </w:rPr>
              <w:t>MAE</w:t>
            </w:r>
          </w:p>
        </w:tc>
        <w:tc>
          <w:tcPr>
            <w:tcW w:w="1211" w:type="dxa"/>
            <w:tcBorders>
              <w:top w:val="nil"/>
              <w:left w:val="single" w:sz="4" w:space="0" w:color="000000"/>
              <w:right w:val="single" w:sz="4" w:space="0" w:color="000000"/>
            </w:tcBorders>
          </w:tcPr>
          <w:p>
            <w:pPr>
              <w:pStyle w:val="TableParagraph"/>
              <w:spacing w:line="249" w:lineRule="auto" w:before="31"/>
              <w:ind w:left="111" w:firstLine="6"/>
              <w:rPr>
                <w:sz w:val="20"/>
              </w:rPr>
            </w:pPr>
            <w:r>
              <w:rPr>
                <w:sz w:val="20"/>
              </w:rPr>
              <w:t>RVV</w:t>
            </w:r>
            <w:r>
              <w:rPr>
                <w:spacing w:val="80"/>
                <w:sz w:val="20"/>
              </w:rPr>
              <w:t> </w:t>
            </w:r>
            <w:r>
              <w:rPr>
                <w:sz w:val="20"/>
              </w:rPr>
              <w:t>rank </w:t>
            </w:r>
            <w:r>
              <w:rPr>
                <w:spacing w:val="-2"/>
                <w:sz w:val="20"/>
              </w:rPr>
              <w:t>(among CarenR)</w:t>
            </w:r>
          </w:p>
        </w:tc>
        <w:tc>
          <w:tcPr>
            <w:tcW w:w="640" w:type="dxa"/>
            <w:tcBorders>
              <w:top w:val="nil"/>
              <w:left w:val="single" w:sz="4" w:space="0" w:color="000000"/>
              <w:right w:val="nil"/>
            </w:tcBorders>
          </w:tcPr>
          <w:p>
            <w:pPr>
              <w:pStyle w:val="TableParagraph"/>
              <w:spacing w:before="31"/>
              <w:ind w:left="117"/>
              <w:rPr>
                <w:sz w:val="20"/>
              </w:rPr>
            </w:pPr>
            <w:r>
              <w:rPr>
                <w:spacing w:val="-5"/>
                <w:sz w:val="20"/>
              </w:rPr>
              <w:t>RVV</w:t>
            </w:r>
          </w:p>
          <w:p>
            <w:pPr>
              <w:pStyle w:val="TableParagraph"/>
              <w:spacing w:line="249" w:lineRule="auto" w:before="9"/>
              <w:ind w:left="117" w:right="71" w:hanging="8"/>
              <w:rPr>
                <w:sz w:val="20"/>
              </w:rPr>
            </w:pPr>
            <w:r>
              <w:rPr>
                <w:spacing w:val="-4"/>
                <w:sz w:val="20"/>
              </w:rPr>
              <w:t>wtd </w:t>
            </w:r>
            <w:r>
              <w:rPr>
                <w:spacing w:val="-6"/>
                <w:sz w:val="20"/>
              </w:rPr>
              <w:t>MAE</w:t>
            </w:r>
          </w:p>
        </w:tc>
      </w:tr>
    </w:tbl>
    <w:p>
      <w:pPr>
        <w:pStyle w:val="BodyText"/>
        <w:spacing w:before="10"/>
        <w:rPr>
          <w:sz w:val="4"/>
        </w:rPr>
      </w:pPr>
    </w:p>
    <w:tbl>
      <w:tblPr>
        <w:tblW w:w="0" w:type="auto"/>
        <w:jc w:val="left"/>
        <w:tblInd w:w="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57"/>
        <w:gridCol w:w="2288"/>
        <w:gridCol w:w="1211"/>
        <w:gridCol w:w="1098"/>
        <w:gridCol w:w="1211"/>
        <w:gridCol w:w="640"/>
      </w:tblGrid>
      <w:tr>
        <w:trPr>
          <w:trHeight w:val="310" w:hRule="atLeast"/>
        </w:trPr>
        <w:tc>
          <w:tcPr>
            <w:tcW w:w="2057" w:type="dxa"/>
            <w:tcBorders>
              <w:right w:val="single" w:sz="4" w:space="0" w:color="000000"/>
            </w:tcBorders>
          </w:tcPr>
          <w:p>
            <w:pPr>
              <w:pStyle w:val="TableParagraph"/>
              <w:spacing w:before="31"/>
              <w:ind w:left="119"/>
              <w:rPr>
                <w:sz w:val="20"/>
              </w:rPr>
            </w:pPr>
            <w:r>
              <w:rPr>
                <w:spacing w:val="-2"/>
                <w:sz w:val="20"/>
              </w:rPr>
              <w:t>CarenR_Dist_Eta2</w:t>
            </w:r>
          </w:p>
        </w:tc>
        <w:tc>
          <w:tcPr>
            <w:tcW w:w="2288" w:type="dxa"/>
            <w:tcBorders>
              <w:left w:val="single" w:sz="4" w:space="0" w:color="000000"/>
              <w:right w:val="single" w:sz="4" w:space="0" w:color="000000"/>
            </w:tcBorders>
          </w:tcPr>
          <w:p>
            <w:pPr>
              <w:pStyle w:val="TableParagraph"/>
              <w:spacing w:before="17"/>
              <w:ind w:left="118"/>
              <w:rPr>
                <w:sz w:val="20"/>
              </w:rPr>
            </w:pPr>
            <w:r>
              <w:rPr>
                <w:i/>
                <w:sz w:val="20"/>
              </w:rPr>
              <w:t>η</w:t>
            </w:r>
            <w:r>
              <w:rPr>
                <w:position w:val="7"/>
                <w:sz w:val="14"/>
              </w:rPr>
              <w:t>2</w:t>
            </w:r>
            <w:r>
              <w:rPr>
                <w:spacing w:val="18"/>
                <w:position w:val="7"/>
                <w:sz w:val="14"/>
              </w:rPr>
              <w:t> </w:t>
            </w:r>
            <w:r>
              <w:rPr>
                <w:sz w:val="20"/>
              </w:rPr>
              <w:t>ANOVA</w:t>
            </w:r>
            <w:r>
              <w:rPr>
                <w:spacing w:val="-5"/>
                <w:sz w:val="20"/>
              </w:rPr>
              <w:t> </w:t>
            </w:r>
            <w:r>
              <w:rPr>
                <w:sz w:val="20"/>
              </w:rPr>
              <w:t>effect</w:t>
            </w:r>
            <w:r>
              <w:rPr>
                <w:spacing w:val="-5"/>
                <w:sz w:val="20"/>
              </w:rPr>
              <w:t> </w:t>
            </w:r>
            <w:r>
              <w:rPr>
                <w:spacing w:val="-4"/>
                <w:sz w:val="20"/>
              </w:rPr>
              <w:t>size</w:t>
            </w:r>
          </w:p>
        </w:tc>
        <w:tc>
          <w:tcPr>
            <w:tcW w:w="1211" w:type="dxa"/>
            <w:tcBorders>
              <w:left w:val="single" w:sz="4" w:space="0" w:color="000000"/>
              <w:right w:val="single" w:sz="4" w:space="0" w:color="000000"/>
            </w:tcBorders>
          </w:tcPr>
          <w:p>
            <w:pPr>
              <w:pStyle w:val="TableParagraph"/>
              <w:spacing w:before="31"/>
              <w:ind w:left="118"/>
              <w:rPr>
                <w:sz w:val="20"/>
              </w:rPr>
            </w:pPr>
            <w:r>
              <w:rPr>
                <w:spacing w:val="-5"/>
                <w:sz w:val="20"/>
              </w:rPr>
              <w:t>1st</w:t>
            </w:r>
          </w:p>
        </w:tc>
        <w:tc>
          <w:tcPr>
            <w:tcW w:w="1098" w:type="dxa"/>
            <w:tcBorders>
              <w:left w:val="single" w:sz="4" w:space="0" w:color="000000"/>
              <w:right w:val="single" w:sz="4" w:space="0" w:color="000000"/>
            </w:tcBorders>
          </w:tcPr>
          <w:p>
            <w:pPr>
              <w:pStyle w:val="TableParagraph"/>
              <w:spacing w:before="31"/>
              <w:ind w:left="118"/>
              <w:rPr>
                <w:sz w:val="20"/>
              </w:rPr>
            </w:pPr>
            <w:r>
              <w:rPr>
                <w:spacing w:val="-2"/>
                <w:sz w:val="20"/>
              </w:rPr>
              <w:t>189.2</w:t>
            </w:r>
          </w:p>
        </w:tc>
        <w:tc>
          <w:tcPr>
            <w:tcW w:w="1211" w:type="dxa"/>
            <w:tcBorders>
              <w:left w:val="single" w:sz="4" w:space="0" w:color="000000"/>
              <w:right w:val="single" w:sz="4" w:space="0" w:color="000000"/>
            </w:tcBorders>
          </w:tcPr>
          <w:p>
            <w:pPr>
              <w:pStyle w:val="TableParagraph"/>
              <w:spacing w:before="31"/>
              <w:ind w:left="118"/>
              <w:rPr>
                <w:sz w:val="20"/>
              </w:rPr>
            </w:pPr>
            <w:r>
              <w:rPr>
                <w:spacing w:val="-5"/>
                <w:sz w:val="20"/>
              </w:rPr>
              <w:t>9th</w:t>
            </w:r>
          </w:p>
        </w:tc>
        <w:tc>
          <w:tcPr>
            <w:tcW w:w="640" w:type="dxa"/>
            <w:tcBorders>
              <w:left w:val="single" w:sz="4" w:space="0" w:color="000000"/>
            </w:tcBorders>
          </w:tcPr>
          <w:p>
            <w:pPr>
              <w:pStyle w:val="TableParagraph"/>
              <w:spacing w:before="31"/>
              <w:ind w:left="40"/>
              <w:jc w:val="center"/>
              <w:rPr>
                <w:sz w:val="20"/>
              </w:rPr>
            </w:pPr>
            <w:r>
              <w:rPr>
                <w:spacing w:val="-2"/>
                <w:sz w:val="20"/>
              </w:rPr>
              <w:t>225.7</w:t>
            </w:r>
          </w:p>
        </w:tc>
      </w:tr>
      <w:tr>
        <w:trPr>
          <w:trHeight w:val="309" w:hRule="atLeast"/>
        </w:trPr>
        <w:tc>
          <w:tcPr>
            <w:tcW w:w="2057" w:type="dxa"/>
            <w:tcBorders>
              <w:right w:val="single" w:sz="4" w:space="0" w:color="000000"/>
            </w:tcBorders>
          </w:tcPr>
          <w:p>
            <w:pPr>
              <w:pStyle w:val="TableParagraph"/>
              <w:spacing w:before="31"/>
              <w:ind w:left="119"/>
              <w:rPr>
                <w:sz w:val="20"/>
              </w:rPr>
            </w:pPr>
            <w:r>
              <w:rPr>
                <w:spacing w:val="-2"/>
                <w:sz w:val="20"/>
              </w:rPr>
              <w:t>CarenR_Dist_FS</w:t>
            </w:r>
          </w:p>
        </w:tc>
        <w:tc>
          <w:tcPr>
            <w:tcW w:w="2288" w:type="dxa"/>
            <w:tcBorders>
              <w:left w:val="single" w:sz="4" w:space="0" w:color="000000"/>
              <w:right w:val="single" w:sz="4" w:space="0" w:color="000000"/>
            </w:tcBorders>
          </w:tcPr>
          <w:p>
            <w:pPr>
              <w:pStyle w:val="TableParagraph"/>
              <w:spacing w:before="31"/>
              <w:ind w:left="118"/>
              <w:rPr>
                <w:sz w:val="20"/>
              </w:rPr>
            </w:pPr>
            <w:r>
              <w:rPr>
                <w:sz w:val="20"/>
              </w:rPr>
              <w:t>Pearson</w:t>
            </w:r>
            <w:r>
              <w:rPr>
                <w:spacing w:val="-7"/>
                <w:sz w:val="20"/>
              </w:rPr>
              <w:t> </w:t>
            </w:r>
            <w:r>
              <w:rPr>
                <w:sz w:val="20"/>
              </w:rPr>
              <w:t>|r|,</w:t>
            </w:r>
            <w:r>
              <w:rPr>
                <w:spacing w:val="-7"/>
                <w:sz w:val="20"/>
              </w:rPr>
              <w:t> </w:t>
            </w:r>
            <w:r>
              <w:rPr>
                <w:sz w:val="20"/>
              </w:rPr>
              <w:t>top-</w:t>
            </w:r>
            <w:r>
              <w:rPr>
                <w:spacing w:val="-10"/>
                <w:sz w:val="20"/>
              </w:rPr>
              <w:t>N</w:t>
            </w:r>
          </w:p>
        </w:tc>
        <w:tc>
          <w:tcPr>
            <w:tcW w:w="1211" w:type="dxa"/>
            <w:tcBorders>
              <w:left w:val="single" w:sz="4" w:space="0" w:color="000000"/>
              <w:right w:val="single" w:sz="4" w:space="0" w:color="000000"/>
            </w:tcBorders>
          </w:tcPr>
          <w:p>
            <w:pPr>
              <w:pStyle w:val="TableParagraph"/>
              <w:spacing w:before="31"/>
              <w:ind w:left="118"/>
              <w:rPr>
                <w:sz w:val="20"/>
              </w:rPr>
            </w:pPr>
            <w:r>
              <w:rPr>
                <w:spacing w:val="-5"/>
                <w:sz w:val="20"/>
              </w:rPr>
              <w:t>2nd</w:t>
            </w:r>
          </w:p>
        </w:tc>
        <w:tc>
          <w:tcPr>
            <w:tcW w:w="1098" w:type="dxa"/>
            <w:tcBorders>
              <w:left w:val="single" w:sz="4" w:space="0" w:color="000000"/>
              <w:right w:val="single" w:sz="4" w:space="0" w:color="000000"/>
            </w:tcBorders>
          </w:tcPr>
          <w:p>
            <w:pPr>
              <w:pStyle w:val="TableParagraph"/>
              <w:spacing w:before="31"/>
              <w:ind w:left="118"/>
              <w:rPr>
                <w:sz w:val="20"/>
              </w:rPr>
            </w:pPr>
            <w:r>
              <w:rPr>
                <w:spacing w:val="-2"/>
                <w:sz w:val="20"/>
              </w:rPr>
              <w:t>193.5</w:t>
            </w:r>
          </w:p>
        </w:tc>
        <w:tc>
          <w:tcPr>
            <w:tcW w:w="1211" w:type="dxa"/>
            <w:tcBorders>
              <w:left w:val="single" w:sz="4" w:space="0" w:color="000000"/>
              <w:right w:val="single" w:sz="4" w:space="0" w:color="000000"/>
            </w:tcBorders>
          </w:tcPr>
          <w:p>
            <w:pPr>
              <w:pStyle w:val="TableParagraph"/>
              <w:spacing w:before="31"/>
              <w:ind w:left="118"/>
              <w:rPr>
                <w:sz w:val="20"/>
              </w:rPr>
            </w:pPr>
            <w:r>
              <w:rPr>
                <w:spacing w:val="-5"/>
                <w:sz w:val="20"/>
              </w:rPr>
              <w:t>7th</w:t>
            </w:r>
          </w:p>
        </w:tc>
        <w:tc>
          <w:tcPr>
            <w:tcW w:w="640" w:type="dxa"/>
            <w:tcBorders>
              <w:left w:val="single" w:sz="4" w:space="0" w:color="000000"/>
            </w:tcBorders>
          </w:tcPr>
          <w:p>
            <w:pPr>
              <w:pStyle w:val="TableParagraph"/>
              <w:spacing w:before="31"/>
              <w:ind w:left="40"/>
              <w:jc w:val="center"/>
              <w:rPr>
                <w:sz w:val="20"/>
              </w:rPr>
            </w:pPr>
            <w:r>
              <w:rPr>
                <w:spacing w:val="-2"/>
                <w:sz w:val="20"/>
              </w:rPr>
              <w:t>222.4</w:t>
            </w:r>
          </w:p>
        </w:tc>
      </w:tr>
      <w:tr>
        <w:trPr>
          <w:trHeight w:val="274" w:hRule="atLeast"/>
        </w:trPr>
        <w:tc>
          <w:tcPr>
            <w:tcW w:w="2057" w:type="dxa"/>
            <w:tcBorders>
              <w:right w:val="single" w:sz="4" w:space="0" w:color="000000"/>
            </w:tcBorders>
          </w:tcPr>
          <w:p>
            <w:pPr>
              <w:pStyle w:val="TableParagraph"/>
              <w:spacing w:line="222" w:lineRule="exact"/>
              <w:ind w:left="119"/>
              <w:rPr>
                <w:sz w:val="20"/>
              </w:rPr>
            </w:pPr>
            <w:r>
              <w:rPr>
                <w:spacing w:val="-2"/>
                <w:sz w:val="20"/>
              </w:rPr>
              <w:t>CarenR_Dist_Sup_FS</w:t>
            </w:r>
          </w:p>
        </w:tc>
        <w:tc>
          <w:tcPr>
            <w:tcW w:w="2288" w:type="dxa"/>
            <w:tcBorders>
              <w:left w:val="single" w:sz="4" w:space="0" w:color="000000"/>
              <w:right w:val="single" w:sz="4" w:space="0" w:color="000000"/>
            </w:tcBorders>
          </w:tcPr>
          <w:p>
            <w:pPr>
              <w:pStyle w:val="TableParagraph"/>
              <w:spacing w:line="222" w:lineRule="exact"/>
              <w:ind w:left="118"/>
              <w:rPr>
                <w:sz w:val="20"/>
              </w:rPr>
            </w:pPr>
            <w:r>
              <w:rPr>
                <w:sz w:val="20"/>
              </w:rPr>
              <w:t>Pearson</w:t>
            </w:r>
            <w:r>
              <w:rPr>
                <w:spacing w:val="38"/>
                <w:sz w:val="20"/>
              </w:rPr>
              <w:t>  </w:t>
            </w:r>
            <w:r>
              <w:rPr>
                <w:sz w:val="20"/>
              </w:rPr>
              <w:t>|r|</w:t>
            </w:r>
            <w:r>
              <w:rPr>
                <w:spacing w:val="38"/>
                <w:sz w:val="20"/>
              </w:rPr>
              <w:t>  </w:t>
            </w:r>
            <w:r>
              <w:rPr>
                <w:sz w:val="20"/>
              </w:rPr>
              <w:t>+</w:t>
            </w:r>
            <w:r>
              <w:rPr>
                <w:spacing w:val="39"/>
                <w:sz w:val="20"/>
              </w:rPr>
              <w:t>  </w:t>
            </w:r>
            <w:r>
              <w:rPr>
                <w:spacing w:val="-2"/>
                <w:sz w:val="20"/>
              </w:rPr>
              <w:t>support</w:t>
            </w:r>
          </w:p>
        </w:tc>
        <w:tc>
          <w:tcPr>
            <w:tcW w:w="1211" w:type="dxa"/>
            <w:tcBorders>
              <w:left w:val="single" w:sz="4" w:space="0" w:color="000000"/>
              <w:right w:val="single" w:sz="4" w:space="0" w:color="000000"/>
            </w:tcBorders>
          </w:tcPr>
          <w:p>
            <w:pPr>
              <w:pStyle w:val="TableParagraph"/>
              <w:spacing w:line="222" w:lineRule="exact"/>
              <w:ind w:left="118"/>
              <w:rPr>
                <w:sz w:val="20"/>
              </w:rPr>
            </w:pPr>
            <w:r>
              <w:rPr>
                <w:spacing w:val="-5"/>
                <w:sz w:val="20"/>
              </w:rPr>
              <w:t>3rd</w:t>
            </w:r>
          </w:p>
        </w:tc>
        <w:tc>
          <w:tcPr>
            <w:tcW w:w="1098" w:type="dxa"/>
            <w:tcBorders>
              <w:left w:val="single" w:sz="4" w:space="0" w:color="000000"/>
              <w:right w:val="single" w:sz="4" w:space="0" w:color="000000"/>
            </w:tcBorders>
          </w:tcPr>
          <w:p>
            <w:pPr>
              <w:pStyle w:val="TableParagraph"/>
              <w:spacing w:line="222" w:lineRule="exact"/>
              <w:ind w:left="118"/>
              <w:rPr>
                <w:sz w:val="20"/>
              </w:rPr>
            </w:pPr>
            <w:r>
              <w:rPr>
                <w:spacing w:val="-2"/>
                <w:sz w:val="20"/>
              </w:rPr>
              <w:t>196.9</w:t>
            </w:r>
          </w:p>
        </w:tc>
        <w:tc>
          <w:tcPr>
            <w:tcW w:w="1211" w:type="dxa"/>
            <w:tcBorders>
              <w:left w:val="single" w:sz="4" w:space="0" w:color="000000"/>
              <w:right w:val="single" w:sz="4" w:space="0" w:color="000000"/>
            </w:tcBorders>
          </w:tcPr>
          <w:p>
            <w:pPr>
              <w:pStyle w:val="TableParagraph"/>
              <w:spacing w:line="222" w:lineRule="exact"/>
              <w:ind w:left="118"/>
              <w:rPr>
                <w:sz w:val="20"/>
              </w:rPr>
            </w:pPr>
            <w:r>
              <w:rPr>
                <w:spacing w:val="-5"/>
                <w:sz w:val="20"/>
              </w:rPr>
              <w:t>1st</w:t>
            </w:r>
          </w:p>
        </w:tc>
        <w:tc>
          <w:tcPr>
            <w:tcW w:w="640" w:type="dxa"/>
            <w:tcBorders>
              <w:left w:val="single" w:sz="4" w:space="0" w:color="000000"/>
            </w:tcBorders>
          </w:tcPr>
          <w:p>
            <w:pPr>
              <w:pStyle w:val="TableParagraph"/>
              <w:spacing w:line="222" w:lineRule="exact"/>
              <w:ind w:left="40"/>
              <w:jc w:val="center"/>
              <w:rPr>
                <w:sz w:val="20"/>
              </w:rPr>
            </w:pPr>
            <w:r>
              <w:rPr>
                <w:spacing w:val="-2"/>
                <w:sz w:val="20"/>
              </w:rPr>
              <w:t>171.6</w:t>
            </w:r>
          </w:p>
        </w:tc>
      </w:tr>
      <w:tr>
        <w:trPr>
          <w:trHeight w:val="585" w:hRule="atLeast"/>
        </w:trPr>
        <w:tc>
          <w:tcPr>
            <w:tcW w:w="2057" w:type="dxa"/>
            <w:tcBorders>
              <w:right w:val="single" w:sz="4" w:space="0" w:color="000000"/>
            </w:tcBorders>
          </w:tcPr>
          <w:p>
            <w:pPr>
              <w:pStyle w:val="TableParagraph"/>
              <w:spacing w:before="77"/>
              <w:rPr>
                <w:sz w:val="20"/>
              </w:rPr>
            </w:pPr>
          </w:p>
          <w:p>
            <w:pPr>
              <w:pStyle w:val="TableParagraph"/>
              <w:spacing w:before="0"/>
              <w:ind w:left="119"/>
              <w:rPr>
                <w:sz w:val="20"/>
              </w:rPr>
            </w:pPr>
            <w:r>
              <w:rPr>
                <w:spacing w:val="-2"/>
                <w:sz w:val="20"/>
              </w:rPr>
              <w:t>CarenR_Dist_Sup</w:t>
            </w:r>
          </w:p>
        </w:tc>
        <w:tc>
          <w:tcPr>
            <w:tcW w:w="2288" w:type="dxa"/>
            <w:tcBorders>
              <w:left w:val="single" w:sz="4" w:space="0" w:color="000000"/>
              <w:right w:val="single" w:sz="4" w:space="0" w:color="000000"/>
            </w:tcBorders>
          </w:tcPr>
          <w:p>
            <w:pPr>
              <w:pStyle w:val="TableParagraph"/>
              <w:spacing w:line="268" w:lineRule="exact" w:before="0"/>
              <w:ind w:left="118"/>
              <w:rPr>
                <w:sz w:val="20"/>
              </w:rPr>
            </w:pPr>
            <w:r>
              <w:rPr>
                <w:rFonts w:ascii="Meiryo UI" w:hAnsi="Meiryo UI"/>
                <w:i/>
                <w:spacing w:val="-4"/>
                <w:sz w:val="20"/>
              </w:rPr>
              <w:t>≥</w:t>
            </w:r>
            <w:r>
              <w:rPr>
                <w:spacing w:val="-4"/>
                <w:sz w:val="20"/>
              </w:rPr>
              <w:t>20%</w:t>
            </w:r>
          </w:p>
          <w:p>
            <w:pPr>
              <w:pStyle w:val="TableParagraph"/>
              <w:spacing w:before="40"/>
              <w:ind w:left="118"/>
              <w:rPr>
                <w:sz w:val="20"/>
              </w:rPr>
            </w:pPr>
            <w:r>
              <w:rPr>
                <w:sz w:val="20"/>
              </w:rPr>
              <w:t>Pearson</w:t>
            </w:r>
            <w:r>
              <w:rPr>
                <w:spacing w:val="-6"/>
                <w:sz w:val="20"/>
              </w:rPr>
              <w:t> </w:t>
            </w:r>
            <w:r>
              <w:rPr>
                <w:sz w:val="20"/>
              </w:rPr>
              <w:t>+</w:t>
            </w:r>
            <w:r>
              <w:rPr>
                <w:spacing w:val="-5"/>
                <w:sz w:val="20"/>
              </w:rPr>
              <w:t> </w:t>
            </w:r>
            <w:r>
              <w:rPr>
                <w:sz w:val="20"/>
              </w:rPr>
              <w:t>support</w:t>
            </w:r>
            <w:r>
              <w:rPr>
                <w:spacing w:val="-6"/>
                <w:sz w:val="20"/>
              </w:rPr>
              <w:t> </w:t>
            </w:r>
            <w:r>
              <w:rPr>
                <w:spacing w:val="-2"/>
                <w:sz w:val="20"/>
              </w:rPr>
              <w:t>filter</w:t>
            </w:r>
          </w:p>
        </w:tc>
        <w:tc>
          <w:tcPr>
            <w:tcW w:w="1211" w:type="dxa"/>
            <w:tcBorders>
              <w:left w:val="single" w:sz="4" w:space="0" w:color="000000"/>
              <w:right w:val="single" w:sz="4" w:space="0" w:color="000000"/>
            </w:tcBorders>
          </w:tcPr>
          <w:p>
            <w:pPr>
              <w:pStyle w:val="TableParagraph"/>
              <w:spacing w:before="77"/>
              <w:rPr>
                <w:sz w:val="20"/>
              </w:rPr>
            </w:pPr>
          </w:p>
          <w:p>
            <w:pPr>
              <w:pStyle w:val="TableParagraph"/>
              <w:spacing w:before="0"/>
              <w:ind w:left="118"/>
              <w:rPr>
                <w:sz w:val="20"/>
              </w:rPr>
            </w:pPr>
            <w:r>
              <w:rPr>
                <w:spacing w:val="-5"/>
                <w:sz w:val="20"/>
              </w:rPr>
              <w:t>4th</w:t>
            </w:r>
          </w:p>
        </w:tc>
        <w:tc>
          <w:tcPr>
            <w:tcW w:w="1098" w:type="dxa"/>
            <w:tcBorders>
              <w:left w:val="single" w:sz="4" w:space="0" w:color="000000"/>
              <w:right w:val="single" w:sz="4" w:space="0" w:color="000000"/>
            </w:tcBorders>
          </w:tcPr>
          <w:p>
            <w:pPr>
              <w:pStyle w:val="TableParagraph"/>
              <w:spacing w:before="77"/>
              <w:rPr>
                <w:sz w:val="20"/>
              </w:rPr>
            </w:pPr>
          </w:p>
          <w:p>
            <w:pPr>
              <w:pStyle w:val="TableParagraph"/>
              <w:spacing w:before="0"/>
              <w:ind w:left="118"/>
              <w:rPr>
                <w:sz w:val="20"/>
              </w:rPr>
            </w:pPr>
            <w:r>
              <w:rPr>
                <w:spacing w:val="-2"/>
                <w:sz w:val="20"/>
              </w:rPr>
              <w:t>197.0</w:t>
            </w:r>
          </w:p>
        </w:tc>
        <w:tc>
          <w:tcPr>
            <w:tcW w:w="1211" w:type="dxa"/>
            <w:tcBorders>
              <w:left w:val="single" w:sz="4" w:space="0" w:color="000000"/>
              <w:right w:val="single" w:sz="4" w:space="0" w:color="000000"/>
            </w:tcBorders>
          </w:tcPr>
          <w:p>
            <w:pPr>
              <w:pStyle w:val="TableParagraph"/>
              <w:spacing w:before="77"/>
              <w:rPr>
                <w:sz w:val="20"/>
              </w:rPr>
            </w:pPr>
          </w:p>
          <w:p>
            <w:pPr>
              <w:pStyle w:val="TableParagraph"/>
              <w:spacing w:before="0"/>
              <w:ind w:left="118"/>
              <w:rPr>
                <w:sz w:val="20"/>
              </w:rPr>
            </w:pPr>
            <w:r>
              <w:rPr>
                <w:spacing w:val="-5"/>
                <w:sz w:val="20"/>
              </w:rPr>
              <w:t>4th</w:t>
            </w:r>
          </w:p>
        </w:tc>
        <w:tc>
          <w:tcPr>
            <w:tcW w:w="640" w:type="dxa"/>
            <w:tcBorders>
              <w:left w:val="single" w:sz="4" w:space="0" w:color="000000"/>
            </w:tcBorders>
          </w:tcPr>
          <w:p>
            <w:pPr>
              <w:pStyle w:val="TableParagraph"/>
              <w:spacing w:before="77"/>
              <w:rPr>
                <w:sz w:val="20"/>
              </w:rPr>
            </w:pPr>
          </w:p>
          <w:p>
            <w:pPr>
              <w:pStyle w:val="TableParagraph"/>
              <w:spacing w:before="0"/>
              <w:ind w:left="40"/>
              <w:jc w:val="center"/>
              <w:rPr>
                <w:sz w:val="20"/>
              </w:rPr>
            </w:pPr>
            <w:r>
              <w:rPr>
                <w:spacing w:val="-2"/>
                <w:sz w:val="20"/>
              </w:rPr>
              <w:t>185.2</w:t>
            </w:r>
          </w:p>
        </w:tc>
      </w:tr>
      <w:tr>
        <w:trPr>
          <w:trHeight w:val="310" w:hRule="atLeast"/>
        </w:trPr>
        <w:tc>
          <w:tcPr>
            <w:tcW w:w="2057" w:type="dxa"/>
            <w:tcBorders>
              <w:right w:val="single" w:sz="4" w:space="0" w:color="000000"/>
            </w:tcBorders>
          </w:tcPr>
          <w:p>
            <w:pPr>
              <w:pStyle w:val="TableParagraph"/>
              <w:ind w:left="119"/>
              <w:rPr>
                <w:sz w:val="20"/>
              </w:rPr>
            </w:pPr>
            <w:r>
              <w:rPr>
                <w:spacing w:val="-2"/>
                <w:sz w:val="20"/>
              </w:rPr>
              <w:t>CarenR_Dist_Lag</w:t>
            </w:r>
          </w:p>
        </w:tc>
        <w:tc>
          <w:tcPr>
            <w:tcW w:w="2288" w:type="dxa"/>
            <w:tcBorders>
              <w:left w:val="single" w:sz="4" w:space="0" w:color="000000"/>
              <w:right w:val="single" w:sz="4" w:space="0" w:color="000000"/>
            </w:tcBorders>
          </w:tcPr>
          <w:p>
            <w:pPr>
              <w:pStyle w:val="TableParagraph"/>
              <w:ind w:left="118"/>
              <w:rPr>
                <w:sz w:val="20"/>
              </w:rPr>
            </w:pPr>
            <w:r>
              <w:rPr>
                <w:sz w:val="20"/>
              </w:rPr>
              <w:t>ACF-based</w:t>
            </w:r>
            <w:r>
              <w:rPr>
                <w:spacing w:val="-11"/>
                <w:sz w:val="20"/>
              </w:rPr>
              <w:t> </w:t>
            </w:r>
            <w:r>
              <w:rPr>
                <w:sz w:val="20"/>
              </w:rPr>
              <w:t>lag</w:t>
            </w:r>
            <w:r>
              <w:rPr>
                <w:spacing w:val="-11"/>
                <w:sz w:val="20"/>
              </w:rPr>
              <w:t> </w:t>
            </w:r>
            <w:r>
              <w:rPr>
                <w:spacing w:val="-2"/>
                <w:sz w:val="20"/>
              </w:rPr>
              <w:t>features</w:t>
            </w:r>
          </w:p>
        </w:tc>
        <w:tc>
          <w:tcPr>
            <w:tcW w:w="1211" w:type="dxa"/>
            <w:tcBorders>
              <w:left w:val="single" w:sz="4" w:space="0" w:color="000000"/>
              <w:right w:val="single" w:sz="4" w:space="0" w:color="000000"/>
            </w:tcBorders>
          </w:tcPr>
          <w:p>
            <w:pPr>
              <w:pStyle w:val="TableParagraph"/>
              <w:ind w:left="118"/>
              <w:rPr>
                <w:sz w:val="20"/>
              </w:rPr>
            </w:pPr>
            <w:r>
              <w:rPr>
                <w:spacing w:val="-5"/>
                <w:sz w:val="20"/>
              </w:rPr>
              <w:t>5th</w:t>
            </w:r>
          </w:p>
        </w:tc>
        <w:tc>
          <w:tcPr>
            <w:tcW w:w="1098" w:type="dxa"/>
            <w:tcBorders>
              <w:left w:val="single" w:sz="4" w:space="0" w:color="000000"/>
              <w:right w:val="single" w:sz="4" w:space="0" w:color="000000"/>
            </w:tcBorders>
          </w:tcPr>
          <w:p>
            <w:pPr>
              <w:pStyle w:val="TableParagraph"/>
              <w:ind w:left="118"/>
              <w:rPr>
                <w:sz w:val="20"/>
              </w:rPr>
            </w:pPr>
            <w:r>
              <w:rPr>
                <w:spacing w:val="-2"/>
                <w:sz w:val="20"/>
              </w:rPr>
              <w:t>200.9</w:t>
            </w:r>
          </w:p>
        </w:tc>
        <w:tc>
          <w:tcPr>
            <w:tcW w:w="1211" w:type="dxa"/>
            <w:tcBorders>
              <w:left w:val="single" w:sz="4" w:space="0" w:color="000000"/>
              <w:right w:val="single" w:sz="4" w:space="0" w:color="000000"/>
            </w:tcBorders>
          </w:tcPr>
          <w:p>
            <w:pPr>
              <w:pStyle w:val="TableParagraph"/>
              <w:ind w:left="118"/>
              <w:rPr>
                <w:sz w:val="20"/>
              </w:rPr>
            </w:pPr>
            <w:r>
              <w:rPr>
                <w:spacing w:val="-5"/>
                <w:sz w:val="20"/>
              </w:rPr>
              <w:t>8th</w:t>
            </w:r>
          </w:p>
        </w:tc>
        <w:tc>
          <w:tcPr>
            <w:tcW w:w="640" w:type="dxa"/>
            <w:tcBorders>
              <w:left w:val="single" w:sz="4" w:space="0" w:color="000000"/>
            </w:tcBorders>
          </w:tcPr>
          <w:p>
            <w:pPr>
              <w:pStyle w:val="TableParagraph"/>
              <w:ind w:left="40"/>
              <w:jc w:val="center"/>
              <w:rPr>
                <w:sz w:val="20"/>
              </w:rPr>
            </w:pPr>
            <w:r>
              <w:rPr>
                <w:spacing w:val="-2"/>
                <w:sz w:val="20"/>
              </w:rPr>
              <w:t>225.0</w:t>
            </w:r>
          </w:p>
        </w:tc>
      </w:tr>
      <w:tr>
        <w:trPr>
          <w:trHeight w:val="549" w:hRule="atLeast"/>
        </w:trPr>
        <w:tc>
          <w:tcPr>
            <w:tcW w:w="2057" w:type="dxa"/>
            <w:tcBorders>
              <w:right w:val="single" w:sz="4" w:space="0" w:color="000000"/>
            </w:tcBorders>
          </w:tcPr>
          <w:p>
            <w:pPr>
              <w:pStyle w:val="TableParagraph"/>
              <w:ind w:left="119"/>
              <w:rPr>
                <w:sz w:val="20"/>
              </w:rPr>
            </w:pPr>
            <w:r>
              <w:rPr>
                <w:spacing w:val="-2"/>
                <w:sz w:val="20"/>
              </w:rPr>
              <w:t>CarenR_Dist_Conf</w:t>
            </w:r>
          </w:p>
        </w:tc>
        <w:tc>
          <w:tcPr>
            <w:tcW w:w="2288" w:type="dxa"/>
            <w:tcBorders>
              <w:left w:val="single" w:sz="4" w:space="0" w:color="000000"/>
              <w:right w:val="single" w:sz="4" w:space="0" w:color="000000"/>
            </w:tcBorders>
          </w:tcPr>
          <w:p>
            <w:pPr>
              <w:pStyle w:val="TableParagraph"/>
              <w:spacing w:line="249" w:lineRule="auto"/>
              <w:ind w:left="118" w:right="117"/>
              <w:rPr>
                <w:sz w:val="20"/>
              </w:rPr>
            </w:pPr>
            <w:r>
              <w:rPr>
                <w:spacing w:val="-2"/>
                <w:sz w:val="20"/>
              </w:rPr>
              <w:t>Confidence-</w:t>
            </w:r>
            <w:r>
              <w:rPr>
                <w:spacing w:val="-2"/>
                <w:sz w:val="20"/>
              </w:rPr>
              <w:t>weighted rules</w:t>
            </w:r>
          </w:p>
        </w:tc>
        <w:tc>
          <w:tcPr>
            <w:tcW w:w="1211" w:type="dxa"/>
            <w:tcBorders>
              <w:left w:val="single" w:sz="4" w:space="0" w:color="000000"/>
              <w:right w:val="single" w:sz="4" w:space="0" w:color="000000"/>
            </w:tcBorders>
          </w:tcPr>
          <w:p>
            <w:pPr>
              <w:pStyle w:val="TableParagraph"/>
              <w:ind w:left="118"/>
              <w:rPr>
                <w:sz w:val="20"/>
              </w:rPr>
            </w:pPr>
            <w:r>
              <w:rPr>
                <w:spacing w:val="-5"/>
                <w:sz w:val="20"/>
              </w:rPr>
              <w:t>6th</w:t>
            </w:r>
          </w:p>
        </w:tc>
        <w:tc>
          <w:tcPr>
            <w:tcW w:w="1098" w:type="dxa"/>
            <w:tcBorders>
              <w:left w:val="single" w:sz="4" w:space="0" w:color="000000"/>
              <w:right w:val="single" w:sz="4" w:space="0" w:color="000000"/>
            </w:tcBorders>
          </w:tcPr>
          <w:p>
            <w:pPr>
              <w:pStyle w:val="TableParagraph"/>
              <w:ind w:left="118"/>
              <w:rPr>
                <w:sz w:val="20"/>
              </w:rPr>
            </w:pPr>
            <w:r>
              <w:rPr>
                <w:spacing w:val="-2"/>
                <w:sz w:val="20"/>
              </w:rPr>
              <w:t>203.1</w:t>
            </w:r>
          </w:p>
        </w:tc>
        <w:tc>
          <w:tcPr>
            <w:tcW w:w="1211" w:type="dxa"/>
            <w:tcBorders>
              <w:left w:val="single" w:sz="4" w:space="0" w:color="000000"/>
              <w:right w:val="single" w:sz="4" w:space="0" w:color="000000"/>
            </w:tcBorders>
          </w:tcPr>
          <w:p>
            <w:pPr>
              <w:pStyle w:val="TableParagraph"/>
              <w:ind w:left="118"/>
              <w:rPr>
                <w:sz w:val="20"/>
              </w:rPr>
            </w:pPr>
            <w:r>
              <w:rPr>
                <w:spacing w:val="-5"/>
                <w:sz w:val="20"/>
              </w:rPr>
              <w:t>3rd</w:t>
            </w:r>
          </w:p>
        </w:tc>
        <w:tc>
          <w:tcPr>
            <w:tcW w:w="640" w:type="dxa"/>
            <w:tcBorders>
              <w:left w:val="single" w:sz="4" w:space="0" w:color="000000"/>
            </w:tcBorders>
          </w:tcPr>
          <w:p>
            <w:pPr>
              <w:pStyle w:val="TableParagraph"/>
              <w:ind w:left="40"/>
              <w:jc w:val="center"/>
              <w:rPr>
                <w:sz w:val="20"/>
              </w:rPr>
            </w:pPr>
            <w:r>
              <w:rPr>
                <w:spacing w:val="-2"/>
                <w:sz w:val="20"/>
              </w:rPr>
              <w:t>171.6</w:t>
            </w:r>
          </w:p>
        </w:tc>
      </w:tr>
      <w:tr>
        <w:trPr>
          <w:trHeight w:val="549" w:hRule="atLeast"/>
        </w:trPr>
        <w:tc>
          <w:tcPr>
            <w:tcW w:w="2057" w:type="dxa"/>
            <w:tcBorders>
              <w:right w:val="single" w:sz="4" w:space="0" w:color="000000"/>
            </w:tcBorders>
          </w:tcPr>
          <w:p>
            <w:pPr>
              <w:pStyle w:val="TableParagraph"/>
              <w:spacing w:line="249" w:lineRule="auto"/>
              <w:ind w:left="113" w:firstLine="6"/>
              <w:rPr>
                <w:sz w:val="20"/>
              </w:rPr>
            </w:pPr>
            <w:r>
              <w:rPr>
                <w:spacing w:val="-2"/>
                <w:sz w:val="20"/>
              </w:rPr>
              <w:t>CarenR_Dist_Sup_ Thresh</w:t>
            </w:r>
          </w:p>
        </w:tc>
        <w:tc>
          <w:tcPr>
            <w:tcW w:w="2288" w:type="dxa"/>
            <w:tcBorders>
              <w:left w:val="single" w:sz="4" w:space="0" w:color="000000"/>
              <w:right w:val="single" w:sz="4" w:space="0" w:color="000000"/>
            </w:tcBorders>
          </w:tcPr>
          <w:p>
            <w:pPr>
              <w:pStyle w:val="TableParagraph"/>
              <w:spacing w:line="249" w:lineRule="auto"/>
              <w:ind w:left="118"/>
              <w:rPr>
                <w:sz w:val="20"/>
              </w:rPr>
            </w:pPr>
            <w:r>
              <w:rPr>
                <w:sz w:val="20"/>
              </w:rPr>
              <w:t>Pearson</w:t>
            </w:r>
            <w:r>
              <w:rPr>
                <w:spacing w:val="80"/>
                <w:sz w:val="20"/>
              </w:rPr>
              <w:t> </w:t>
            </w:r>
            <w:r>
              <w:rPr>
                <w:sz w:val="20"/>
              </w:rPr>
              <w:t>+</w:t>
            </w:r>
            <w:r>
              <w:rPr>
                <w:spacing w:val="80"/>
                <w:sz w:val="20"/>
              </w:rPr>
              <w:t> </w:t>
            </w:r>
            <w:r>
              <w:rPr>
                <w:sz w:val="20"/>
              </w:rPr>
              <w:t>support</w:t>
            </w:r>
            <w:r>
              <w:rPr>
                <w:spacing w:val="80"/>
                <w:sz w:val="20"/>
              </w:rPr>
              <w:t> </w:t>
            </w:r>
            <w:r>
              <w:rPr>
                <w:sz w:val="20"/>
              </w:rPr>
              <w:t>+ </w:t>
            </w:r>
            <w:r>
              <w:rPr>
                <w:spacing w:val="-2"/>
                <w:sz w:val="20"/>
              </w:rPr>
              <w:t>threshold</w:t>
            </w:r>
          </w:p>
        </w:tc>
        <w:tc>
          <w:tcPr>
            <w:tcW w:w="1211" w:type="dxa"/>
            <w:tcBorders>
              <w:left w:val="single" w:sz="4" w:space="0" w:color="000000"/>
              <w:right w:val="single" w:sz="4" w:space="0" w:color="000000"/>
            </w:tcBorders>
          </w:tcPr>
          <w:p>
            <w:pPr>
              <w:pStyle w:val="TableParagraph"/>
              <w:ind w:left="118"/>
              <w:rPr>
                <w:sz w:val="20"/>
              </w:rPr>
            </w:pPr>
            <w:r>
              <w:rPr>
                <w:spacing w:val="-5"/>
                <w:sz w:val="20"/>
              </w:rPr>
              <w:t>7th</w:t>
            </w:r>
          </w:p>
        </w:tc>
        <w:tc>
          <w:tcPr>
            <w:tcW w:w="1098" w:type="dxa"/>
            <w:tcBorders>
              <w:left w:val="single" w:sz="4" w:space="0" w:color="000000"/>
              <w:right w:val="single" w:sz="4" w:space="0" w:color="000000"/>
            </w:tcBorders>
          </w:tcPr>
          <w:p>
            <w:pPr>
              <w:pStyle w:val="TableParagraph"/>
              <w:ind w:left="118"/>
              <w:rPr>
                <w:sz w:val="20"/>
              </w:rPr>
            </w:pPr>
            <w:r>
              <w:rPr>
                <w:spacing w:val="-2"/>
                <w:sz w:val="20"/>
              </w:rPr>
              <w:t>203.1</w:t>
            </w:r>
          </w:p>
        </w:tc>
        <w:tc>
          <w:tcPr>
            <w:tcW w:w="1211" w:type="dxa"/>
            <w:tcBorders>
              <w:left w:val="single" w:sz="4" w:space="0" w:color="000000"/>
              <w:right w:val="single" w:sz="4" w:space="0" w:color="000000"/>
            </w:tcBorders>
          </w:tcPr>
          <w:p>
            <w:pPr>
              <w:pStyle w:val="TableParagraph"/>
              <w:ind w:left="118"/>
              <w:rPr>
                <w:sz w:val="20"/>
              </w:rPr>
            </w:pPr>
            <w:r>
              <w:rPr>
                <w:spacing w:val="-5"/>
                <w:sz w:val="20"/>
              </w:rPr>
              <w:t>2nd</w:t>
            </w:r>
          </w:p>
        </w:tc>
        <w:tc>
          <w:tcPr>
            <w:tcW w:w="640" w:type="dxa"/>
            <w:tcBorders>
              <w:left w:val="single" w:sz="4" w:space="0" w:color="000000"/>
            </w:tcBorders>
          </w:tcPr>
          <w:p>
            <w:pPr>
              <w:pStyle w:val="TableParagraph"/>
              <w:ind w:left="40"/>
              <w:jc w:val="center"/>
              <w:rPr>
                <w:sz w:val="20"/>
              </w:rPr>
            </w:pPr>
            <w:r>
              <w:rPr>
                <w:spacing w:val="-2"/>
                <w:sz w:val="20"/>
              </w:rPr>
              <w:t>171.6</w:t>
            </w:r>
          </w:p>
        </w:tc>
      </w:tr>
      <w:tr>
        <w:trPr>
          <w:trHeight w:val="274" w:hRule="atLeast"/>
        </w:trPr>
        <w:tc>
          <w:tcPr>
            <w:tcW w:w="2057" w:type="dxa"/>
            <w:tcBorders>
              <w:right w:val="single" w:sz="4" w:space="0" w:color="000000"/>
            </w:tcBorders>
          </w:tcPr>
          <w:p>
            <w:pPr>
              <w:pStyle w:val="TableParagraph"/>
              <w:spacing w:line="222" w:lineRule="exact"/>
              <w:ind w:left="119"/>
              <w:rPr>
                <w:sz w:val="20"/>
              </w:rPr>
            </w:pPr>
            <w:r>
              <w:rPr>
                <w:spacing w:val="-2"/>
                <w:sz w:val="20"/>
              </w:rPr>
              <w:t>CarenR_Dist_Thresh</w:t>
            </w:r>
          </w:p>
        </w:tc>
        <w:tc>
          <w:tcPr>
            <w:tcW w:w="2288" w:type="dxa"/>
            <w:tcBorders>
              <w:left w:val="single" w:sz="4" w:space="0" w:color="000000"/>
              <w:right w:val="single" w:sz="4" w:space="0" w:color="000000"/>
            </w:tcBorders>
          </w:tcPr>
          <w:p>
            <w:pPr>
              <w:pStyle w:val="TableParagraph"/>
              <w:spacing w:line="222" w:lineRule="exact"/>
              <w:ind w:left="118"/>
              <w:rPr>
                <w:sz w:val="20"/>
              </w:rPr>
            </w:pPr>
            <w:r>
              <w:rPr>
                <w:sz w:val="20"/>
              </w:rPr>
              <w:t>Pearson</w:t>
            </w:r>
            <w:r>
              <w:rPr>
                <w:spacing w:val="69"/>
                <w:w w:val="150"/>
                <w:sz w:val="20"/>
              </w:rPr>
              <w:t> </w:t>
            </w:r>
            <w:r>
              <w:rPr>
                <w:sz w:val="20"/>
              </w:rPr>
              <w:t>hard</w:t>
            </w:r>
            <w:r>
              <w:rPr>
                <w:spacing w:val="69"/>
                <w:w w:val="150"/>
                <w:sz w:val="20"/>
              </w:rPr>
              <w:t> </w:t>
            </w:r>
            <w:r>
              <w:rPr>
                <w:spacing w:val="-2"/>
                <w:sz w:val="20"/>
              </w:rPr>
              <w:t>threshold</w:t>
            </w:r>
          </w:p>
        </w:tc>
        <w:tc>
          <w:tcPr>
            <w:tcW w:w="1211" w:type="dxa"/>
            <w:tcBorders>
              <w:left w:val="single" w:sz="4" w:space="0" w:color="000000"/>
              <w:right w:val="single" w:sz="4" w:space="0" w:color="000000"/>
            </w:tcBorders>
          </w:tcPr>
          <w:p>
            <w:pPr>
              <w:pStyle w:val="TableParagraph"/>
              <w:spacing w:line="222" w:lineRule="exact"/>
              <w:ind w:left="118"/>
              <w:rPr>
                <w:sz w:val="20"/>
              </w:rPr>
            </w:pPr>
            <w:r>
              <w:rPr>
                <w:spacing w:val="-5"/>
                <w:sz w:val="20"/>
              </w:rPr>
              <w:t>8th</w:t>
            </w:r>
          </w:p>
        </w:tc>
        <w:tc>
          <w:tcPr>
            <w:tcW w:w="1098" w:type="dxa"/>
            <w:tcBorders>
              <w:left w:val="single" w:sz="4" w:space="0" w:color="000000"/>
              <w:right w:val="single" w:sz="4" w:space="0" w:color="000000"/>
            </w:tcBorders>
          </w:tcPr>
          <w:p>
            <w:pPr>
              <w:pStyle w:val="TableParagraph"/>
              <w:spacing w:line="222" w:lineRule="exact"/>
              <w:ind w:left="118"/>
              <w:rPr>
                <w:sz w:val="20"/>
              </w:rPr>
            </w:pPr>
            <w:r>
              <w:rPr>
                <w:spacing w:val="-2"/>
                <w:sz w:val="20"/>
              </w:rPr>
              <w:t>203.1</w:t>
            </w:r>
          </w:p>
        </w:tc>
        <w:tc>
          <w:tcPr>
            <w:tcW w:w="1211" w:type="dxa"/>
            <w:tcBorders>
              <w:left w:val="single" w:sz="4" w:space="0" w:color="000000"/>
              <w:right w:val="single" w:sz="4" w:space="0" w:color="000000"/>
            </w:tcBorders>
          </w:tcPr>
          <w:p>
            <w:pPr>
              <w:pStyle w:val="TableParagraph"/>
              <w:spacing w:line="222" w:lineRule="exact"/>
              <w:ind w:left="118"/>
              <w:rPr>
                <w:sz w:val="20"/>
              </w:rPr>
            </w:pPr>
            <w:r>
              <w:rPr>
                <w:spacing w:val="-5"/>
                <w:sz w:val="20"/>
              </w:rPr>
              <w:t>6th</w:t>
            </w:r>
          </w:p>
        </w:tc>
        <w:tc>
          <w:tcPr>
            <w:tcW w:w="640" w:type="dxa"/>
            <w:tcBorders>
              <w:left w:val="single" w:sz="4" w:space="0" w:color="000000"/>
            </w:tcBorders>
          </w:tcPr>
          <w:p>
            <w:pPr>
              <w:pStyle w:val="TableParagraph"/>
              <w:spacing w:line="222" w:lineRule="exact"/>
              <w:ind w:left="40"/>
              <w:jc w:val="center"/>
              <w:rPr>
                <w:sz w:val="20"/>
              </w:rPr>
            </w:pPr>
            <w:r>
              <w:rPr>
                <w:spacing w:val="-2"/>
                <w:sz w:val="20"/>
              </w:rPr>
              <w:t>209.4</w:t>
            </w:r>
          </w:p>
        </w:tc>
      </w:tr>
      <w:tr>
        <w:trPr>
          <w:trHeight w:val="585" w:hRule="atLeast"/>
        </w:trPr>
        <w:tc>
          <w:tcPr>
            <w:tcW w:w="2057" w:type="dxa"/>
            <w:tcBorders>
              <w:right w:val="single" w:sz="4" w:space="0" w:color="000000"/>
            </w:tcBorders>
          </w:tcPr>
          <w:p>
            <w:pPr>
              <w:pStyle w:val="TableParagraph"/>
              <w:spacing w:before="77"/>
              <w:rPr>
                <w:sz w:val="20"/>
              </w:rPr>
            </w:pPr>
          </w:p>
          <w:p>
            <w:pPr>
              <w:pStyle w:val="TableParagraph"/>
              <w:spacing w:before="0"/>
              <w:ind w:left="119"/>
              <w:rPr>
                <w:sz w:val="20"/>
              </w:rPr>
            </w:pPr>
            <w:r>
              <w:rPr>
                <w:spacing w:val="-2"/>
                <w:sz w:val="20"/>
              </w:rPr>
              <w:t>CarenR_Dist</w:t>
            </w:r>
          </w:p>
        </w:tc>
        <w:tc>
          <w:tcPr>
            <w:tcW w:w="2288" w:type="dxa"/>
            <w:tcBorders>
              <w:left w:val="single" w:sz="4" w:space="0" w:color="000000"/>
              <w:right w:val="single" w:sz="4" w:space="0" w:color="000000"/>
            </w:tcBorders>
          </w:tcPr>
          <w:p>
            <w:pPr>
              <w:pStyle w:val="TableParagraph"/>
              <w:spacing w:line="268" w:lineRule="exact" w:before="0"/>
              <w:ind w:left="118"/>
              <w:rPr>
                <w:sz w:val="20"/>
              </w:rPr>
            </w:pPr>
            <w:r>
              <w:rPr>
                <w:spacing w:val="-2"/>
                <w:sz w:val="20"/>
              </w:rPr>
              <w:t>|r|</w:t>
            </w:r>
            <w:r>
              <w:rPr>
                <w:rFonts w:ascii="Meiryo UI" w:hAnsi="Meiryo UI"/>
                <w:i/>
                <w:spacing w:val="-2"/>
                <w:sz w:val="20"/>
              </w:rPr>
              <w:t>≥</w:t>
            </w:r>
            <w:r>
              <w:rPr>
                <w:spacing w:val="-2"/>
                <w:sz w:val="20"/>
              </w:rPr>
              <w:t>0.30</w:t>
            </w:r>
          </w:p>
          <w:p>
            <w:pPr>
              <w:pStyle w:val="TableParagraph"/>
              <w:spacing w:before="40"/>
              <w:ind w:left="118"/>
              <w:rPr>
                <w:sz w:val="20"/>
              </w:rPr>
            </w:pPr>
            <w:r>
              <w:rPr>
                <w:sz w:val="20"/>
              </w:rPr>
              <w:t>No</w:t>
            </w:r>
            <w:r>
              <w:rPr>
                <w:spacing w:val="-10"/>
                <w:sz w:val="20"/>
              </w:rPr>
              <w:t> </w:t>
            </w:r>
            <w:r>
              <w:rPr>
                <w:sz w:val="20"/>
              </w:rPr>
              <w:t>selection</w:t>
            </w:r>
            <w:r>
              <w:rPr>
                <w:spacing w:val="-9"/>
                <w:sz w:val="20"/>
              </w:rPr>
              <w:t> </w:t>
            </w:r>
            <w:r>
              <w:rPr>
                <w:sz w:val="20"/>
              </w:rPr>
              <w:t>(all</w:t>
            </w:r>
            <w:r>
              <w:rPr>
                <w:spacing w:val="-9"/>
                <w:sz w:val="20"/>
              </w:rPr>
              <w:t> </w:t>
            </w:r>
            <w:r>
              <w:rPr>
                <w:spacing w:val="-2"/>
                <w:sz w:val="20"/>
              </w:rPr>
              <w:t>features)</w:t>
            </w:r>
          </w:p>
        </w:tc>
        <w:tc>
          <w:tcPr>
            <w:tcW w:w="1211" w:type="dxa"/>
            <w:tcBorders>
              <w:left w:val="single" w:sz="4" w:space="0" w:color="000000"/>
              <w:right w:val="single" w:sz="4" w:space="0" w:color="000000"/>
            </w:tcBorders>
          </w:tcPr>
          <w:p>
            <w:pPr>
              <w:pStyle w:val="TableParagraph"/>
              <w:spacing w:before="77"/>
              <w:rPr>
                <w:sz w:val="20"/>
              </w:rPr>
            </w:pPr>
          </w:p>
          <w:p>
            <w:pPr>
              <w:pStyle w:val="TableParagraph"/>
              <w:spacing w:before="0"/>
              <w:ind w:left="118"/>
              <w:rPr>
                <w:sz w:val="20"/>
              </w:rPr>
            </w:pPr>
            <w:r>
              <w:rPr>
                <w:spacing w:val="-5"/>
                <w:sz w:val="20"/>
              </w:rPr>
              <w:t>9th</w:t>
            </w:r>
          </w:p>
        </w:tc>
        <w:tc>
          <w:tcPr>
            <w:tcW w:w="1098" w:type="dxa"/>
            <w:tcBorders>
              <w:left w:val="single" w:sz="4" w:space="0" w:color="000000"/>
              <w:right w:val="single" w:sz="4" w:space="0" w:color="000000"/>
            </w:tcBorders>
          </w:tcPr>
          <w:p>
            <w:pPr>
              <w:pStyle w:val="TableParagraph"/>
              <w:spacing w:before="77"/>
              <w:rPr>
                <w:sz w:val="20"/>
              </w:rPr>
            </w:pPr>
          </w:p>
          <w:p>
            <w:pPr>
              <w:pStyle w:val="TableParagraph"/>
              <w:spacing w:before="0"/>
              <w:ind w:left="118"/>
              <w:rPr>
                <w:sz w:val="20"/>
              </w:rPr>
            </w:pPr>
            <w:r>
              <w:rPr>
                <w:spacing w:val="-2"/>
                <w:sz w:val="20"/>
              </w:rPr>
              <w:t>215.3</w:t>
            </w:r>
          </w:p>
        </w:tc>
        <w:tc>
          <w:tcPr>
            <w:tcW w:w="1211" w:type="dxa"/>
            <w:tcBorders>
              <w:left w:val="single" w:sz="4" w:space="0" w:color="000000"/>
              <w:right w:val="single" w:sz="4" w:space="0" w:color="000000"/>
            </w:tcBorders>
          </w:tcPr>
          <w:p>
            <w:pPr>
              <w:pStyle w:val="TableParagraph"/>
              <w:spacing w:before="77"/>
              <w:rPr>
                <w:sz w:val="20"/>
              </w:rPr>
            </w:pPr>
          </w:p>
          <w:p>
            <w:pPr>
              <w:pStyle w:val="TableParagraph"/>
              <w:spacing w:before="0"/>
              <w:ind w:left="118"/>
              <w:rPr>
                <w:sz w:val="20"/>
              </w:rPr>
            </w:pPr>
            <w:r>
              <w:rPr>
                <w:spacing w:val="-4"/>
                <w:sz w:val="20"/>
              </w:rPr>
              <w:t>10th</w:t>
            </w:r>
          </w:p>
        </w:tc>
        <w:tc>
          <w:tcPr>
            <w:tcW w:w="640" w:type="dxa"/>
            <w:tcBorders>
              <w:left w:val="single" w:sz="4" w:space="0" w:color="000000"/>
            </w:tcBorders>
          </w:tcPr>
          <w:p>
            <w:pPr>
              <w:pStyle w:val="TableParagraph"/>
              <w:spacing w:before="77"/>
              <w:rPr>
                <w:sz w:val="20"/>
              </w:rPr>
            </w:pPr>
          </w:p>
          <w:p>
            <w:pPr>
              <w:pStyle w:val="TableParagraph"/>
              <w:spacing w:before="0"/>
              <w:ind w:left="40"/>
              <w:jc w:val="center"/>
              <w:rPr>
                <w:sz w:val="20"/>
              </w:rPr>
            </w:pPr>
            <w:r>
              <w:rPr>
                <w:spacing w:val="-2"/>
                <w:sz w:val="20"/>
              </w:rPr>
              <w:t>274.6</w:t>
            </w:r>
          </w:p>
        </w:tc>
      </w:tr>
      <w:tr>
        <w:trPr>
          <w:trHeight w:val="310" w:hRule="atLeast"/>
        </w:trPr>
        <w:tc>
          <w:tcPr>
            <w:tcW w:w="2057" w:type="dxa"/>
            <w:tcBorders>
              <w:right w:val="single" w:sz="4" w:space="0" w:color="000000"/>
            </w:tcBorders>
          </w:tcPr>
          <w:p>
            <w:pPr>
              <w:pStyle w:val="TableParagraph"/>
              <w:ind w:left="119"/>
              <w:rPr>
                <w:sz w:val="20"/>
              </w:rPr>
            </w:pPr>
            <w:r>
              <w:rPr>
                <w:spacing w:val="-2"/>
                <w:sz w:val="20"/>
              </w:rPr>
              <w:t>CarenR_Dist_Stack</w:t>
            </w:r>
          </w:p>
        </w:tc>
        <w:tc>
          <w:tcPr>
            <w:tcW w:w="2288" w:type="dxa"/>
            <w:tcBorders>
              <w:left w:val="single" w:sz="4" w:space="0" w:color="000000"/>
              <w:right w:val="single" w:sz="4" w:space="0" w:color="000000"/>
            </w:tcBorders>
          </w:tcPr>
          <w:p>
            <w:pPr>
              <w:pStyle w:val="TableParagraph"/>
              <w:ind w:left="118"/>
              <w:rPr>
                <w:sz w:val="20"/>
              </w:rPr>
            </w:pPr>
            <w:r>
              <w:rPr>
                <w:spacing w:val="-2"/>
                <w:sz w:val="20"/>
              </w:rPr>
              <w:t>Two-stage</w:t>
            </w:r>
            <w:r>
              <w:rPr>
                <w:spacing w:val="-10"/>
                <w:sz w:val="20"/>
              </w:rPr>
              <w:t> </w:t>
            </w:r>
            <w:r>
              <w:rPr>
                <w:spacing w:val="-2"/>
                <w:sz w:val="20"/>
              </w:rPr>
              <w:t>stacking</w:t>
            </w:r>
          </w:p>
        </w:tc>
        <w:tc>
          <w:tcPr>
            <w:tcW w:w="1211" w:type="dxa"/>
            <w:tcBorders>
              <w:left w:val="single" w:sz="4" w:space="0" w:color="000000"/>
              <w:right w:val="single" w:sz="4" w:space="0" w:color="000000"/>
            </w:tcBorders>
          </w:tcPr>
          <w:p>
            <w:pPr>
              <w:pStyle w:val="TableParagraph"/>
              <w:ind w:left="118"/>
              <w:rPr>
                <w:sz w:val="20"/>
              </w:rPr>
            </w:pPr>
            <w:r>
              <w:rPr>
                <w:spacing w:val="-4"/>
                <w:sz w:val="20"/>
              </w:rPr>
              <w:t>10th</w:t>
            </w:r>
          </w:p>
        </w:tc>
        <w:tc>
          <w:tcPr>
            <w:tcW w:w="1098" w:type="dxa"/>
            <w:tcBorders>
              <w:left w:val="single" w:sz="4" w:space="0" w:color="000000"/>
              <w:right w:val="single" w:sz="4" w:space="0" w:color="000000"/>
            </w:tcBorders>
          </w:tcPr>
          <w:p>
            <w:pPr>
              <w:pStyle w:val="TableParagraph"/>
              <w:ind w:left="118"/>
              <w:rPr>
                <w:sz w:val="20"/>
              </w:rPr>
            </w:pPr>
            <w:r>
              <w:rPr>
                <w:spacing w:val="-2"/>
                <w:sz w:val="20"/>
              </w:rPr>
              <w:t>229.0</w:t>
            </w:r>
          </w:p>
        </w:tc>
        <w:tc>
          <w:tcPr>
            <w:tcW w:w="1211" w:type="dxa"/>
            <w:tcBorders>
              <w:left w:val="single" w:sz="4" w:space="0" w:color="000000"/>
              <w:right w:val="single" w:sz="4" w:space="0" w:color="000000"/>
            </w:tcBorders>
          </w:tcPr>
          <w:p>
            <w:pPr>
              <w:pStyle w:val="TableParagraph"/>
              <w:ind w:left="118"/>
              <w:rPr>
                <w:sz w:val="20"/>
              </w:rPr>
            </w:pPr>
            <w:r>
              <w:rPr>
                <w:spacing w:val="-5"/>
                <w:sz w:val="20"/>
              </w:rPr>
              <w:t>5th</w:t>
            </w:r>
          </w:p>
        </w:tc>
        <w:tc>
          <w:tcPr>
            <w:tcW w:w="640" w:type="dxa"/>
            <w:tcBorders>
              <w:left w:val="single" w:sz="4" w:space="0" w:color="000000"/>
            </w:tcBorders>
          </w:tcPr>
          <w:p>
            <w:pPr>
              <w:pStyle w:val="TableParagraph"/>
              <w:ind w:left="40"/>
              <w:jc w:val="center"/>
              <w:rPr>
                <w:sz w:val="20"/>
              </w:rPr>
            </w:pPr>
            <w:r>
              <w:rPr>
                <w:spacing w:val="-2"/>
                <w:sz w:val="20"/>
              </w:rPr>
              <w:t>196.2</w:t>
            </w:r>
          </w:p>
        </w:tc>
      </w:tr>
      <w:tr>
        <w:trPr>
          <w:trHeight w:val="348" w:hRule="atLeast"/>
        </w:trPr>
        <w:tc>
          <w:tcPr>
            <w:tcW w:w="2057" w:type="dxa"/>
            <w:tcBorders>
              <w:bottom w:val="single" w:sz="8" w:space="0" w:color="000000"/>
              <w:right w:val="single" w:sz="4" w:space="0" w:color="000000"/>
            </w:tcBorders>
          </w:tcPr>
          <w:p>
            <w:pPr>
              <w:pStyle w:val="TableParagraph"/>
              <w:ind w:left="119"/>
              <w:rPr>
                <w:sz w:val="20"/>
              </w:rPr>
            </w:pPr>
            <w:r>
              <w:rPr>
                <w:spacing w:val="-2"/>
                <w:sz w:val="20"/>
              </w:rPr>
              <w:t>CarenR_Supervised</w:t>
            </w:r>
          </w:p>
        </w:tc>
        <w:tc>
          <w:tcPr>
            <w:tcW w:w="2288" w:type="dxa"/>
            <w:tcBorders>
              <w:left w:val="single" w:sz="4" w:space="0" w:color="000000"/>
              <w:bottom w:val="single" w:sz="8" w:space="0" w:color="000000"/>
              <w:right w:val="single" w:sz="4" w:space="0" w:color="000000"/>
            </w:tcBorders>
          </w:tcPr>
          <w:p>
            <w:pPr>
              <w:pStyle w:val="TableParagraph"/>
              <w:ind w:left="118"/>
              <w:rPr>
                <w:sz w:val="20"/>
              </w:rPr>
            </w:pPr>
            <w:r>
              <w:rPr>
                <w:sz w:val="20"/>
              </w:rPr>
              <w:t>Per-fold</w:t>
            </w:r>
            <w:r>
              <w:rPr>
                <w:spacing w:val="-11"/>
                <w:sz w:val="20"/>
              </w:rPr>
              <w:t> </w:t>
            </w:r>
            <w:r>
              <w:rPr>
                <w:sz w:val="20"/>
              </w:rPr>
              <w:t>supervised</w:t>
            </w:r>
            <w:r>
              <w:rPr>
                <w:spacing w:val="-11"/>
                <w:sz w:val="20"/>
              </w:rPr>
              <w:t> </w:t>
            </w:r>
            <w:r>
              <w:rPr>
                <w:spacing w:val="-4"/>
                <w:sz w:val="20"/>
              </w:rPr>
              <w:t>bins</w:t>
            </w:r>
          </w:p>
        </w:tc>
        <w:tc>
          <w:tcPr>
            <w:tcW w:w="1211" w:type="dxa"/>
            <w:tcBorders>
              <w:left w:val="single" w:sz="4" w:space="0" w:color="000000"/>
              <w:bottom w:val="single" w:sz="8" w:space="0" w:color="000000"/>
              <w:right w:val="single" w:sz="4" w:space="0" w:color="000000"/>
            </w:tcBorders>
          </w:tcPr>
          <w:p>
            <w:pPr>
              <w:pStyle w:val="TableParagraph"/>
              <w:ind w:left="118"/>
              <w:rPr>
                <w:sz w:val="20"/>
              </w:rPr>
            </w:pPr>
            <w:r>
              <w:rPr>
                <w:spacing w:val="-4"/>
                <w:sz w:val="20"/>
              </w:rPr>
              <w:t>11th</w:t>
            </w:r>
          </w:p>
        </w:tc>
        <w:tc>
          <w:tcPr>
            <w:tcW w:w="1098" w:type="dxa"/>
            <w:tcBorders>
              <w:left w:val="single" w:sz="4" w:space="0" w:color="000000"/>
              <w:bottom w:val="single" w:sz="8" w:space="0" w:color="000000"/>
              <w:right w:val="single" w:sz="4" w:space="0" w:color="000000"/>
            </w:tcBorders>
          </w:tcPr>
          <w:p>
            <w:pPr>
              <w:pStyle w:val="TableParagraph"/>
              <w:ind w:left="118"/>
              <w:rPr>
                <w:sz w:val="20"/>
              </w:rPr>
            </w:pPr>
            <w:r>
              <w:rPr>
                <w:spacing w:val="-2"/>
                <w:sz w:val="20"/>
              </w:rPr>
              <w:t>239.5</w:t>
            </w:r>
          </w:p>
        </w:tc>
        <w:tc>
          <w:tcPr>
            <w:tcW w:w="1211" w:type="dxa"/>
            <w:tcBorders>
              <w:left w:val="single" w:sz="4" w:space="0" w:color="000000"/>
              <w:bottom w:val="single" w:sz="8" w:space="0" w:color="000000"/>
              <w:right w:val="single" w:sz="4" w:space="0" w:color="000000"/>
            </w:tcBorders>
          </w:tcPr>
          <w:p>
            <w:pPr>
              <w:pStyle w:val="TableParagraph"/>
              <w:ind w:left="118"/>
              <w:rPr>
                <w:sz w:val="20"/>
              </w:rPr>
            </w:pPr>
            <w:r>
              <w:rPr>
                <w:spacing w:val="-4"/>
                <w:sz w:val="20"/>
              </w:rPr>
              <w:t>11th</w:t>
            </w:r>
          </w:p>
        </w:tc>
        <w:tc>
          <w:tcPr>
            <w:tcW w:w="640" w:type="dxa"/>
            <w:tcBorders>
              <w:left w:val="single" w:sz="4" w:space="0" w:color="000000"/>
              <w:bottom w:val="single" w:sz="8" w:space="0" w:color="000000"/>
            </w:tcBorders>
          </w:tcPr>
          <w:p>
            <w:pPr>
              <w:pStyle w:val="TableParagraph"/>
              <w:ind w:left="40"/>
              <w:jc w:val="center"/>
              <w:rPr>
                <w:sz w:val="20"/>
              </w:rPr>
            </w:pPr>
            <w:r>
              <w:rPr>
                <w:spacing w:val="-2"/>
                <w:sz w:val="20"/>
              </w:rPr>
              <w:t>347.3</w:t>
            </w:r>
          </w:p>
        </w:tc>
      </w:tr>
    </w:tbl>
    <w:p>
      <w:pPr>
        <w:pStyle w:val="BodyText"/>
        <w:spacing w:before="212"/>
        <w:rPr>
          <w:sz w:val="20"/>
        </w:rPr>
      </w:pPr>
    </w:p>
    <w:p>
      <w:pPr>
        <w:pStyle w:val="BodyText"/>
        <w:spacing w:line="312" w:lineRule="auto"/>
        <w:ind w:left="709" w:right="979" w:firstLine="338"/>
        <w:jc w:val="both"/>
      </w:pPr>
      <w:r>
        <w:rPr/>
        <w:t>The</w:t>
      </w:r>
      <w:r>
        <w:rPr>
          <w:spacing w:val="-14"/>
        </w:rPr>
        <w:t> </w:t>
      </w:r>
      <w:r>
        <w:rPr/>
        <w:t>rank</w:t>
      </w:r>
      <w:r>
        <w:rPr>
          <w:spacing w:val="-14"/>
        </w:rPr>
        <w:t> </w:t>
      </w:r>
      <w:r>
        <w:rPr/>
        <w:t>reversals</w:t>
      </w:r>
      <w:r>
        <w:rPr>
          <w:spacing w:val="-14"/>
        </w:rPr>
        <w:t> </w:t>
      </w:r>
      <w:r>
        <w:rPr/>
        <w:t>are</w:t>
      </w:r>
      <w:r>
        <w:rPr>
          <w:spacing w:val="-13"/>
        </w:rPr>
        <w:t> </w:t>
      </w:r>
      <w:r>
        <w:rPr/>
        <w:t>striking:</w:t>
      </w:r>
      <w:r>
        <w:rPr>
          <w:spacing w:val="-14"/>
        </w:rPr>
        <w:t> </w:t>
      </w:r>
      <w:r>
        <w:rPr/>
        <w:t>CarenR_Dist_Eta2</w:t>
      </w:r>
      <w:r>
        <w:rPr>
          <w:spacing w:val="-14"/>
        </w:rPr>
        <w:t> </w:t>
      </w:r>
      <w:r>
        <w:rPr/>
        <w:t>ranks</w:t>
      </w:r>
      <w:r>
        <w:rPr>
          <w:spacing w:val="-14"/>
        </w:rPr>
        <w:t> </w:t>
      </w:r>
      <w:r>
        <w:rPr/>
        <w:t>1st</w:t>
      </w:r>
      <w:r>
        <w:rPr>
          <w:spacing w:val="-13"/>
        </w:rPr>
        <w:t> </w:t>
      </w:r>
      <w:r>
        <w:rPr/>
        <w:t>in</w:t>
      </w:r>
      <w:r>
        <w:rPr>
          <w:spacing w:val="-14"/>
        </w:rPr>
        <w:t> </w:t>
      </w:r>
      <w:r>
        <w:rPr/>
        <w:t>RDD</w:t>
      </w:r>
      <w:r>
        <w:rPr>
          <w:spacing w:val="-14"/>
        </w:rPr>
        <w:t> </w:t>
      </w:r>
      <w:r>
        <w:rPr/>
        <w:t>but</w:t>
      </w:r>
      <w:r>
        <w:rPr>
          <w:spacing w:val="-14"/>
        </w:rPr>
        <w:t> </w:t>
      </w:r>
      <w:r>
        <w:rPr/>
        <w:t>9th</w:t>
      </w:r>
      <w:r>
        <w:rPr>
          <w:spacing w:val="-13"/>
        </w:rPr>
        <w:t> </w:t>
      </w:r>
      <w:r>
        <w:rPr/>
        <w:t>in</w:t>
      </w:r>
      <w:r>
        <w:rPr>
          <w:spacing w:val="-14"/>
        </w:rPr>
        <w:t> </w:t>
      </w:r>
      <w:r>
        <w:rPr/>
        <w:t>RVV;</w:t>
      </w:r>
      <w:r>
        <w:rPr>
          <w:spacing w:val="-14"/>
        </w:rPr>
        <w:t> </w:t>
      </w:r>
      <w:r>
        <w:rPr/>
        <w:t>CarenR_ </w:t>
      </w:r>
      <w:r>
        <w:rPr>
          <w:spacing w:val="-2"/>
        </w:rPr>
        <w:t>Dist_Sup_FS</w:t>
      </w:r>
      <w:r>
        <w:rPr>
          <w:spacing w:val="-9"/>
        </w:rPr>
        <w:t> </w:t>
      </w:r>
      <w:r>
        <w:rPr>
          <w:spacing w:val="-2"/>
        </w:rPr>
        <w:t>ranks</w:t>
      </w:r>
      <w:r>
        <w:rPr>
          <w:spacing w:val="-9"/>
        </w:rPr>
        <w:t> </w:t>
      </w:r>
      <w:r>
        <w:rPr>
          <w:spacing w:val="-2"/>
        </w:rPr>
        <w:t>3rd</w:t>
      </w:r>
      <w:r>
        <w:rPr>
          <w:spacing w:val="-9"/>
        </w:rPr>
        <w:t> </w:t>
      </w:r>
      <w:r>
        <w:rPr>
          <w:spacing w:val="-2"/>
        </w:rPr>
        <w:t>in</w:t>
      </w:r>
      <w:r>
        <w:rPr>
          <w:spacing w:val="-9"/>
        </w:rPr>
        <w:t> </w:t>
      </w:r>
      <w:r>
        <w:rPr>
          <w:spacing w:val="-2"/>
        </w:rPr>
        <w:t>RDD</w:t>
      </w:r>
      <w:r>
        <w:rPr>
          <w:spacing w:val="-9"/>
        </w:rPr>
        <w:t> </w:t>
      </w:r>
      <w:r>
        <w:rPr>
          <w:spacing w:val="-2"/>
        </w:rPr>
        <w:t>and</w:t>
      </w:r>
      <w:r>
        <w:rPr>
          <w:spacing w:val="-9"/>
        </w:rPr>
        <w:t> </w:t>
      </w:r>
      <w:r>
        <w:rPr>
          <w:spacing w:val="-2"/>
        </w:rPr>
        <w:t>1st</w:t>
      </w:r>
      <w:r>
        <w:rPr>
          <w:spacing w:val="-9"/>
        </w:rPr>
        <w:t> </w:t>
      </w:r>
      <w:r>
        <w:rPr>
          <w:spacing w:val="-2"/>
        </w:rPr>
        <w:t>in</w:t>
      </w:r>
      <w:r>
        <w:rPr>
          <w:spacing w:val="-9"/>
        </w:rPr>
        <w:t> </w:t>
      </w:r>
      <w:r>
        <w:rPr>
          <w:spacing w:val="-2"/>
        </w:rPr>
        <w:t>RVV.</w:t>
      </w:r>
      <w:r>
        <w:rPr>
          <w:spacing w:val="-9"/>
        </w:rPr>
        <w:t> </w:t>
      </w:r>
      <w:r>
        <w:rPr>
          <w:spacing w:val="-2"/>
        </w:rPr>
        <w:t>Understanding</w:t>
      </w:r>
      <w:r>
        <w:rPr>
          <w:spacing w:val="-9"/>
        </w:rPr>
        <w:t> </w:t>
      </w:r>
      <w:r>
        <w:rPr>
          <w:spacing w:val="-2"/>
        </w:rPr>
        <w:t>why</w:t>
      </w:r>
      <w:r>
        <w:rPr>
          <w:spacing w:val="-9"/>
        </w:rPr>
        <w:t> </w:t>
      </w:r>
      <w:r>
        <w:rPr>
          <w:spacing w:val="-2"/>
        </w:rPr>
        <w:t>requires</w:t>
      </w:r>
      <w:r>
        <w:rPr>
          <w:spacing w:val="-9"/>
        </w:rPr>
        <w:t> </w:t>
      </w:r>
      <w:r>
        <w:rPr>
          <w:spacing w:val="-2"/>
        </w:rPr>
        <w:t>examining</w:t>
      </w:r>
      <w:r>
        <w:rPr>
          <w:spacing w:val="-9"/>
        </w:rPr>
        <w:t> </w:t>
      </w:r>
      <w:r>
        <w:rPr>
          <w:spacing w:val="-2"/>
        </w:rPr>
        <w:t>what</w:t>
      </w:r>
      <w:r>
        <w:rPr>
          <w:spacing w:val="-9"/>
        </w:rPr>
        <w:t> </w:t>
      </w:r>
      <w:r>
        <w:rPr>
          <w:spacing w:val="-2"/>
        </w:rPr>
        <w:t>each </w:t>
      </w:r>
      <w:r>
        <w:rPr/>
        <w:t>selector does and why that matters differently in each region.</w:t>
      </w:r>
    </w:p>
    <w:p>
      <w:pPr>
        <w:pStyle w:val="BodyText"/>
        <w:spacing w:line="309" w:lineRule="auto" w:before="30"/>
        <w:ind w:left="709" w:right="962" w:firstLine="338"/>
        <w:jc w:val="both"/>
      </w:pPr>
      <w:r>
        <w:rPr>
          <w:b/>
        </w:rPr>
        <w:t>Why </w:t>
      </w:r>
      <w:r>
        <w:rPr>
          <w:i/>
        </w:rPr>
        <w:t>η</w:t>
      </w:r>
      <w:r>
        <w:rPr>
          <w:position w:val="8"/>
          <w:sz w:val="16"/>
        </w:rPr>
        <w:t>2</w:t>
      </w:r>
      <w:r>
        <w:rPr>
          <w:spacing w:val="30"/>
          <w:position w:val="8"/>
          <w:sz w:val="16"/>
        </w:rPr>
        <w:t> </w:t>
      </w:r>
      <w:r>
        <w:rPr>
          <w:b/>
        </w:rPr>
        <w:t>wins in RDD. </w:t>
      </w:r>
      <w:r>
        <w:rPr/>
        <w:t>The </w:t>
      </w:r>
      <w:r>
        <w:rPr>
          <w:i/>
        </w:rPr>
        <w:t>η</w:t>
      </w:r>
      <w:r>
        <w:rPr>
          <w:position w:val="8"/>
          <w:sz w:val="16"/>
        </w:rPr>
        <w:t>2</w:t>
      </w:r>
      <w:r>
        <w:rPr>
          <w:spacing w:val="30"/>
          <w:position w:val="8"/>
          <w:sz w:val="16"/>
        </w:rPr>
        <w:t> </w:t>
      </w:r>
      <w:r>
        <w:rPr/>
        <w:t>(eta-squared) selector measures the association between each discretised</w:t>
      </w:r>
      <w:r>
        <w:rPr>
          <w:spacing w:val="-14"/>
        </w:rPr>
        <w:t> </w:t>
      </w:r>
      <w:r>
        <w:rPr/>
        <w:t>feature</w:t>
      </w:r>
      <w:r>
        <w:rPr>
          <w:spacing w:val="-14"/>
        </w:rPr>
        <w:t> </w:t>
      </w:r>
      <w:r>
        <w:rPr/>
        <w:t>and</w:t>
      </w:r>
      <w:r>
        <w:rPr>
          <w:spacing w:val="-14"/>
        </w:rPr>
        <w:t> </w:t>
      </w:r>
      <w:r>
        <w:rPr/>
        <w:t>the</w:t>
      </w:r>
      <w:r>
        <w:rPr>
          <w:spacing w:val="-13"/>
        </w:rPr>
        <w:t> </w:t>
      </w:r>
      <w:r>
        <w:rPr/>
        <w:t>discretised</w:t>
      </w:r>
      <w:r>
        <w:rPr>
          <w:spacing w:val="-14"/>
        </w:rPr>
        <w:t> </w:t>
      </w:r>
      <w:r>
        <w:rPr/>
        <w:t>response</w:t>
      </w:r>
      <w:r>
        <w:rPr>
          <w:spacing w:val="-14"/>
        </w:rPr>
        <w:t> </w:t>
      </w:r>
      <w:r>
        <w:rPr/>
        <w:t>using</w:t>
      </w:r>
      <w:r>
        <w:rPr>
          <w:spacing w:val="-14"/>
        </w:rPr>
        <w:t> </w:t>
      </w:r>
      <w:r>
        <w:rPr/>
        <w:t>an</w:t>
      </w:r>
      <w:r>
        <w:rPr>
          <w:spacing w:val="-13"/>
        </w:rPr>
        <w:t> </w:t>
      </w:r>
      <w:r>
        <w:rPr/>
        <w:t>ANOVA</w:t>
      </w:r>
      <w:r>
        <w:rPr>
          <w:spacing w:val="-14"/>
        </w:rPr>
        <w:t> </w:t>
      </w:r>
      <w:r>
        <w:rPr/>
        <w:t>effect</w:t>
      </w:r>
      <w:r>
        <w:rPr>
          <w:spacing w:val="-14"/>
        </w:rPr>
        <w:t> </w:t>
      </w:r>
      <w:r>
        <w:rPr/>
        <w:t>size;</w:t>
      </w:r>
      <w:r>
        <w:rPr>
          <w:spacing w:val="-14"/>
        </w:rPr>
        <w:t> </w:t>
      </w:r>
      <w:r>
        <w:rPr/>
        <w:t>it</w:t>
      </w:r>
      <w:r>
        <w:rPr>
          <w:spacing w:val="-13"/>
        </w:rPr>
        <w:t> </w:t>
      </w:r>
      <w:r>
        <w:rPr/>
        <w:t>detects</w:t>
      </w:r>
      <w:r>
        <w:rPr>
          <w:spacing w:val="-14"/>
        </w:rPr>
        <w:t> </w:t>
      </w:r>
      <w:r>
        <w:rPr/>
        <w:t>whether</w:t>
      </w:r>
      <w:r>
        <w:rPr>
          <w:spacing w:val="-14"/>
        </w:rPr>
        <w:t> </w:t>
      </w:r>
      <w:r>
        <w:rPr/>
        <w:t>the production distribution differs meaningfully across the four quartile bins of each feature. In the Douro, where genuine climate signal exists and CarenR actually fires rules in several scenarios, the</w:t>
      </w:r>
      <w:r>
        <w:rPr>
          <w:spacing w:val="-4"/>
        </w:rPr>
        <w:t> </w:t>
      </w:r>
      <w:r>
        <w:rPr/>
        <w:t>quality</w:t>
      </w:r>
      <w:r>
        <w:rPr>
          <w:spacing w:val="-4"/>
        </w:rPr>
        <w:t> </w:t>
      </w:r>
      <w:r>
        <w:rPr/>
        <w:t>of</w:t>
      </w:r>
      <w:r>
        <w:rPr>
          <w:spacing w:val="-4"/>
        </w:rPr>
        <w:t> </w:t>
      </w:r>
      <w:r>
        <w:rPr/>
        <w:t>the</w:t>
      </w:r>
      <w:r>
        <w:rPr>
          <w:spacing w:val="-4"/>
        </w:rPr>
        <w:t> </w:t>
      </w:r>
      <w:r>
        <w:rPr/>
        <w:t>feature</w:t>
      </w:r>
      <w:r>
        <w:rPr>
          <w:spacing w:val="-4"/>
        </w:rPr>
        <w:t> </w:t>
      </w:r>
      <w:r>
        <w:rPr/>
        <w:t>selection</w:t>
      </w:r>
      <w:r>
        <w:rPr>
          <w:spacing w:val="-4"/>
        </w:rPr>
        <w:t> </w:t>
      </w:r>
      <w:r>
        <w:rPr/>
        <w:t>matters: </w:t>
      </w:r>
      <w:r>
        <w:rPr>
          <w:i/>
        </w:rPr>
        <w:t>η</w:t>
      </w:r>
      <w:r>
        <w:rPr>
          <w:position w:val="8"/>
          <w:sz w:val="16"/>
        </w:rPr>
        <w:t>2</w:t>
      </w:r>
      <w:r>
        <w:rPr>
          <w:spacing w:val="20"/>
          <w:position w:val="8"/>
          <w:sz w:val="16"/>
        </w:rPr>
        <w:t> </w:t>
      </w:r>
      <w:r>
        <w:rPr/>
        <w:t>identifies</w:t>
      </w:r>
      <w:r>
        <w:rPr>
          <w:spacing w:val="-4"/>
        </w:rPr>
        <w:t> </w:t>
      </w:r>
      <w:r>
        <w:rPr/>
        <w:t>the</w:t>
      </w:r>
      <w:r>
        <w:rPr>
          <w:spacing w:val="-4"/>
        </w:rPr>
        <w:t> </w:t>
      </w:r>
      <w:r>
        <w:rPr/>
        <w:t>specific</w:t>
      </w:r>
      <w:r>
        <w:rPr>
          <w:spacing w:val="-4"/>
        </w:rPr>
        <w:t> </w:t>
      </w:r>
      <w:r>
        <w:rPr/>
        <w:t>variables</w:t>
      </w:r>
      <w:r>
        <w:rPr>
          <w:spacing w:val="-4"/>
        </w:rPr>
        <w:t> </w:t>
      </w:r>
      <w:r>
        <w:rPr/>
        <w:t>(harvest</w:t>
      </w:r>
      <w:r>
        <w:rPr>
          <w:spacing w:val="-4"/>
        </w:rPr>
        <w:t> </w:t>
      </w:r>
      <w:r>
        <w:rPr/>
        <w:t>soil</w:t>
      </w:r>
      <w:r>
        <w:rPr>
          <w:spacing w:val="-4"/>
        </w:rPr>
        <w:t> </w:t>
      </w:r>
      <w:r>
        <w:rPr/>
        <w:t>water, post-flowering</w:t>
      </w:r>
      <w:r>
        <w:rPr>
          <w:spacing w:val="-8"/>
        </w:rPr>
        <w:t> </w:t>
      </w:r>
      <w:r>
        <w:rPr/>
        <w:t>wet</w:t>
      </w:r>
      <w:r>
        <w:rPr>
          <w:spacing w:val="-8"/>
        </w:rPr>
        <w:t> </w:t>
      </w:r>
      <w:r>
        <w:rPr/>
        <w:t>days)</w:t>
      </w:r>
      <w:r>
        <w:rPr>
          <w:spacing w:val="-8"/>
        </w:rPr>
        <w:t> </w:t>
      </w:r>
      <w:r>
        <w:rPr/>
        <w:t>whose</w:t>
      </w:r>
      <w:r>
        <w:rPr>
          <w:spacing w:val="-8"/>
        </w:rPr>
        <w:t> </w:t>
      </w:r>
      <w:r>
        <w:rPr/>
        <w:t>distributional</w:t>
      </w:r>
      <w:r>
        <w:rPr>
          <w:spacing w:val="-8"/>
        </w:rPr>
        <w:t> </w:t>
      </w:r>
      <w:r>
        <w:rPr/>
        <w:t>relationship</w:t>
      </w:r>
      <w:r>
        <w:rPr>
          <w:spacing w:val="-8"/>
        </w:rPr>
        <w:t> </w:t>
      </w:r>
      <w:r>
        <w:rPr/>
        <w:t>with</w:t>
      </w:r>
      <w:r>
        <w:rPr>
          <w:spacing w:val="-8"/>
        </w:rPr>
        <w:t> </w:t>
      </w:r>
      <w:r>
        <w:rPr/>
        <w:t>production</w:t>
      </w:r>
      <w:r>
        <w:rPr>
          <w:spacing w:val="-8"/>
        </w:rPr>
        <w:t> </w:t>
      </w:r>
      <w:r>
        <w:rPr/>
        <w:t>is</w:t>
      </w:r>
      <w:r>
        <w:rPr>
          <w:spacing w:val="-8"/>
        </w:rPr>
        <w:t> </w:t>
      </w:r>
      <w:r>
        <w:rPr/>
        <w:t>strongest</w:t>
      </w:r>
      <w:r>
        <w:rPr>
          <w:spacing w:val="-8"/>
        </w:rPr>
        <w:t> </w:t>
      </w:r>
      <w:r>
        <w:rPr/>
        <w:t>within</w:t>
      </w:r>
      <w:r>
        <w:rPr>
          <w:spacing w:val="-8"/>
        </w:rPr>
        <w:t> </w:t>
      </w:r>
      <w:r>
        <w:rPr/>
        <w:t>the training period.</w:t>
      </w:r>
      <w:r>
        <w:rPr>
          <w:spacing w:val="40"/>
        </w:rPr>
        <w:t> </w:t>
      </w:r>
      <w:r>
        <w:rPr/>
        <w:t>This results in rules that fire on genuinely informative conditions and improve </w:t>
      </w:r>
      <w:r>
        <w:rPr>
          <w:spacing w:val="-2"/>
        </w:rPr>
        <w:t>prediction</w:t>
      </w:r>
      <w:r>
        <w:rPr>
          <w:spacing w:val="-6"/>
        </w:rPr>
        <w:t> </w:t>
      </w:r>
      <w:r>
        <w:rPr>
          <w:spacing w:val="-2"/>
        </w:rPr>
        <w:t>in</w:t>
      </w:r>
      <w:r>
        <w:rPr>
          <w:spacing w:val="-6"/>
        </w:rPr>
        <w:t> </w:t>
      </w:r>
      <w:r>
        <w:rPr>
          <w:spacing w:val="-2"/>
        </w:rPr>
        <w:t>the</w:t>
      </w:r>
      <w:r>
        <w:rPr>
          <w:spacing w:val="-6"/>
        </w:rPr>
        <w:t> </w:t>
      </w:r>
      <w:r>
        <w:rPr>
          <w:spacing w:val="-2"/>
        </w:rPr>
        <w:t>era-balanced</w:t>
      </w:r>
      <w:r>
        <w:rPr>
          <w:spacing w:val="-6"/>
        </w:rPr>
        <w:t> </w:t>
      </w:r>
      <w:r>
        <w:rPr>
          <w:spacing w:val="-2"/>
        </w:rPr>
        <w:t>scenarios. In</w:t>
      </w:r>
      <w:r>
        <w:rPr>
          <w:spacing w:val="-6"/>
        </w:rPr>
        <w:t> </w:t>
      </w:r>
      <w:r>
        <w:rPr>
          <w:spacing w:val="-2"/>
        </w:rPr>
        <w:t>Vinho</w:t>
      </w:r>
      <w:r>
        <w:rPr>
          <w:spacing w:val="-6"/>
        </w:rPr>
        <w:t> </w:t>
      </w:r>
      <w:r>
        <w:rPr>
          <w:spacing w:val="-2"/>
        </w:rPr>
        <w:t>Verde,</w:t>
      </w:r>
      <w:r>
        <w:rPr>
          <w:spacing w:val="-6"/>
        </w:rPr>
        <w:t> </w:t>
      </w:r>
      <w:r>
        <w:rPr>
          <w:spacing w:val="-2"/>
        </w:rPr>
        <w:t>where</w:t>
      </w:r>
      <w:r>
        <w:rPr>
          <w:spacing w:val="-6"/>
        </w:rPr>
        <w:t> </w:t>
      </w:r>
      <w:r>
        <w:rPr>
          <w:spacing w:val="-2"/>
        </w:rPr>
        <w:t>CarenR</w:t>
      </w:r>
      <w:r>
        <w:rPr>
          <w:spacing w:val="-6"/>
        </w:rPr>
        <w:t> </w:t>
      </w:r>
      <w:r>
        <w:rPr>
          <w:spacing w:val="-2"/>
        </w:rPr>
        <w:t>falls</w:t>
      </w:r>
      <w:r>
        <w:rPr>
          <w:spacing w:val="-6"/>
        </w:rPr>
        <w:t> </w:t>
      </w:r>
      <w:r>
        <w:rPr>
          <w:spacing w:val="-2"/>
        </w:rPr>
        <w:t>back</w:t>
      </w:r>
      <w:r>
        <w:rPr>
          <w:spacing w:val="-6"/>
        </w:rPr>
        <w:t> </w:t>
      </w:r>
      <w:r>
        <w:rPr>
          <w:spacing w:val="-2"/>
        </w:rPr>
        <w:t>to</w:t>
      </w:r>
      <w:r>
        <w:rPr>
          <w:spacing w:val="-6"/>
        </w:rPr>
        <w:t> </w:t>
      </w:r>
      <w:r>
        <w:rPr>
          <w:spacing w:val="-2"/>
        </w:rPr>
        <w:t>the</w:t>
      </w:r>
      <w:r>
        <w:rPr>
          <w:spacing w:val="-6"/>
        </w:rPr>
        <w:t> </w:t>
      </w:r>
      <w:r>
        <w:rPr>
          <w:spacing w:val="-2"/>
        </w:rPr>
        <w:t>median</w:t>
      </w:r>
      <w:r>
        <w:rPr>
          <w:spacing w:val="-6"/>
        </w:rPr>
        <w:t> </w:t>
      </w:r>
      <w:r>
        <w:rPr>
          <w:spacing w:val="-2"/>
        </w:rPr>
        <w:t>in </w:t>
      </w:r>
      <w:r>
        <w:rPr/>
        <w:t>most scenarios (rules do not fire, or fire harmfully), the quality of the feature selection is largely irrelevant,</w:t>
      </w:r>
      <w:r>
        <w:rPr>
          <w:spacing w:val="34"/>
        </w:rPr>
        <w:t> </w:t>
      </w:r>
      <w:r>
        <w:rPr/>
        <w:t>the</w:t>
      </w:r>
      <w:r>
        <w:rPr>
          <w:spacing w:val="28"/>
        </w:rPr>
        <w:t> </w:t>
      </w:r>
      <w:r>
        <w:rPr/>
        <w:t>prediction</w:t>
      </w:r>
      <w:r>
        <w:rPr>
          <w:spacing w:val="28"/>
        </w:rPr>
        <w:t> </w:t>
      </w:r>
      <w:r>
        <w:rPr/>
        <w:t>is</w:t>
      </w:r>
      <w:r>
        <w:rPr>
          <w:spacing w:val="28"/>
        </w:rPr>
        <w:t> </w:t>
      </w:r>
      <w:r>
        <w:rPr/>
        <w:t>dominated</w:t>
      </w:r>
      <w:r>
        <w:rPr>
          <w:spacing w:val="28"/>
        </w:rPr>
        <w:t> </w:t>
      </w:r>
      <w:r>
        <w:rPr/>
        <w:t>by</w:t>
      </w:r>
      <w:r>
        <w:rPr>
          <w:spacing w:val="28"/>
        </w:rPr>
        <w:t> </w:t>
      </w:r>
      <w:r>
        <w:rPr/>
        <w:t>the</w:t>
      </w:r>
      <w:r>
        <w:rPr>
          <w:spacing w:val="28"/>
        </w:rPr>
        <w:t> </w:t>
      </w:r>
      <w:r>
        <w:rPr/>
        <w:t>fallback</w:t>
      </w:r>
      <w:r>
        <w:rPr>
          <w:spacing w:val="28"/>
        </w:rPr>
        <w:t> </w:t>
      </w:r>
      <w:r>
        <w:rPr/>
        <w:t>mechanism</w:t>
      </w:r>
      <w:r>
        <w:rPr>
          <w:spacing w:val="28"/>
        </w:rPr>
        <w:t> </w:t>
      </w:r>
      <w:r>
        <w:rPr/>
        <w:t>regardless</w:t>
      </w:r>
      <w:r>
        <w:rPr>
          <w:spacing w:val="28"/>
        </w:rPr>
        <w:t> </w:t>
      </w:r>
      <w:r>
        <w:rPr/>
        <w:t>of</w:t>
      </w:r>
      <w:r>
        <w:rPr>
          <w:spacing w:val="28"/>
        </w:rPr>
        <w:t> </w:t>
      </w:r>
      <w:r>
        <w:rPr/>
        <w:t>which</w:t>
      </w:r>
      <w:r>
        <w:rPr>
          <w:spacing w:val="28"/>
        </w:rPr>
        <w:t> </w:t>
      </w:r>
      <w:r>
        <w:rPr/>
        <w:t>10–15</w:t>
      </w:r>
    </w:p>
    <w:p>
      <w:pPr>
        <w:pStyle w:val="BodyText"/>
        <w:spacing w:after="0" w:line="309" w:lineRule="auto"/>
        <w:jc w:val="both"/>
        <w:sectPr>
          <w:headerReference w:type="default" r:id="rId95"/>
          <w:headerReference w:type="even" r:id="rId96"/>
          <w:pgSz w:w="11910" w:h="16840"/>
          <w:pgMar w:header="1160" w:footer="0" w:top="1420" w:bottom="280" w:left="1275" w:right="425"/>
          <w:pgNumType w:start="65"/>
        </w:sectPr>
      </w:pPr>
    </w:p>
    <w:p>
      <w:pPr>
        <w:pStyle w:val="BodyText"/>
      </w:pPr>
    </w:p>
    <w:p>
      <w:pPr>
        <w:pStyle w:val="BodyText"/>
        <w:spacing w:before="1"/>
      </w:pPr>
    </w:p>
    <w:p>
      <w:pPr>
        <w:pStyle w:val="BodyText"/>
        <w:spacing w:line="312" w:lineRule="auto" w:before="1"/>
        <w:ind w:left="142" w:right="1557"/>
        <w:jc w:val="both"/>
      </w:pPr>
      <w:r>
        <w:rPr/>
        <w:t>features</w:t>
      </w:r>
      <w:r>
        <w:rPr>
          <w:spacing w:val="-14"/>
        </w:rPr>
        <w:t> </w:t>
      </w:r>
      <w:r>
        <w:rPr/>
        <w:t>were</w:t>
      </w:r>
      <w:r>
        <w:rPr>
          <w:spacing w:val="-14"/>
        </w:rPr>
        <w:t> </w:t>
      </w:r>
      <w:r>
        <w:rPr/>
        <w:t>retained.</w:t>
      </w:r>
      <w:r>
        <w:rPr>
          <w:spacing w:val="-3"/>
        </w:rPr>
        <w:t> </w:t>
      </w:r>
      <w:r>
        <w:rPr/>
        <w:t>The</w:t>
      </w:r>
      <w:r>
        <w:rPr>
          <w:spacing w:val="-14"/>
        </w:rPr>
        <w:t> </w:t>
      </w:r>
      <w:r>
        <w:rPr>
          <w:i/>
        </w:rPr>
        <w:t>η</w:t>
      </w:r>
      <w:r>
        <w:rPr>
          <w:position w:val="8"/>
          <w:sz w:val="16"/>
        </w:rPr>
        <w:t>2</w:t>
      </w:r>
      <w:r>
        <w:rPr>
          <w:spacing w:val="9"/>
          <w:position w:val="8"/>
          <w:sz w:val="16"/>
        </w:rPr>
        <w:t> </w:t>
      </w:r>
      <w:r>
        <w:rPr/>
        <w:t>variant’s</w:t>
      </w:r>
      <w:r>
        <w:rPr>
          <w:spacing w:val="-14"/>
        </w:rPr>
        <w:t> </w:t>
      </w:r>
      <w:r>
        <w:rPr/>
        <w:t>aggressive</w:t>
      </w:r>
      <w:r>
        <w:rPr>
          <w:spacing w:val="-14"/>
        </w:rPr>
        <w:t> </w:t>
      </w:r>
      <w:r>
        <w:rPr/>
        <w:t>selection</w:t>
      </w:r>
      <w:r>
        <w:rPr>
          <w:spacing w:val="-14"/>
        </w:rPr>
        <w:t> </w:t>
      </w:r>
      <w:r>
        <w:rPr/>
        <w:t>produces</w:t>
      </w:r>
      <w:r>
        <w:rPr>
          <w:spacing w:val="-13"/>
        </w:rPr>
        <w:t> </w:t>
      </w:r>
      <w:r>
        <w:rPr/>
        <w:t>slightly</w:t>
      </w:r>
      <w:r>
        <w:rPr>
          <w:spacing w:val="-14"/>
        </w:rPr>
        <w:t> </w:t>
      </w:r>
      <w:r>
        <w:rPr/>
        <w:t>harmful</w:t>
      </w:r>
      <w:r>
        <w:rPr>
          <w:spacing w:val="-14"/>
        </w:rPr>
        <w:t> </w:t>
      </w:r>
      <w:r>
        <w:rPr/>
        <w:t>rules</w:t>
      </w:r>
      <w:r>
        <w:rPr>
          <w:spacing w:val="-14"/>
        </w:rPr>
        <w:t> </w:t>
      </w:r>
      <w:r>
        <w:rPr/>
        <w:t>in</w:t>
      </w:r>
      <w:r>
        <w:rPr>
          <w:spacing w:val="-13"/>
        </w:rPr>
        <w:t> </w:t>
      </w:r>
      <w:r>
        <w:rPr/>
        <w:t>the few RVV scenarios where it does fire, explaining its poor RVV rank.</w:t>
      </w:r>
    </w:p>
    <w:p>
      <w:pPr>
        <w:pStyle w:val="BodyText"/>
        <w:spacing w:line="312" w:lineRule="auto" w:before="37"/>
        <w:ind w:left="113" w:right="1553" w:firstLine="367"/>
        <w:jc w:val="both"/>
      </w:pPr>
      <w:r>
        <w:rPr>
          <w:b/>
        </w:rPr>
        <w:t>Why</w:t>
      </w:r>
      <w:r>
        <w:rPr>
          <w:b/>
          <w:spacing w:val="-5"/>
        </w:rPr>
        <w:t> </w:t>
      </w:r>
      <w:r>
        <w:rPr>
          <w:b/>
        </w:rPr>
        <w:t>Sup_FS</w:t>
      </w:r>
      <w:r>
        <w:rPr>
          <w:b/>
          <w:spacing w:val="-5"/>
        </w:rPr>
        <w:t> </w:t>
      </w:r>
      <w:r>
        <w:rPr>
          <w:b/>
        </w:rPr>
        <w:t>wins</w:t>
      </w:r>
      <w:r>
        <w:rPr>
          <w:b/>
          <w:spacing w:val="-5"/>
        </w:rPr>
        <w:t> </w:t>
      </w:r>
      <w:r>
        <w:rPr>
          <w:b/>
        </w:rPr>
        <w:t>in</w:t>
      </w:r>
      <w:r>
        <w:rPr>
          <w:b/>
          <w:spacing w:val="-5"/>
        </w:rPr>
        <w:t> </w:t>
      </w:r>
      <w:r>
        <w:rPr>
          <w:b/>
        </w:rPr>
        <w:t>RVV.</w:t>
      </w:r>
      <w:r>
        <w:rPr>
          <w:b/>
          <w:spacing w:val="-5"/>
        </w:rPr>
        <w:t> </w:t>
      </w:r>
      <w:r>
        <w:rPr/>
        <w:t>CarenR_Dist_Sup_FS</w:t>
      </w:r>
      <w:r>
        <w:rPr>
          <w:spacing w:val="-5"/>
        </w:rPr>
        <w:t> </w:t>
      </w:r>
      <w:r>
        <w:rPr/>
        <w:t>applies</w:t>
      </w:r>
      <w:r>
        <w:rPr>
          <w:spacing w:val="-5"/>
        </w:rPr>
        <w:t> </w:t>
      </w:r>
      <w:r>
        <w:rPr/>
        <w:t>a</w:t>
      </w:r>
      <w:r>
        <w:rPr>
          <w:spacing w:val="-5"/>
        </w:rPr>
        <w:t> </w:t>
      </w:r>
      <w:r>
        <w:rPr/>
        <w:t>support</w:t>
      </w:r>
      <w:r>
        <w:rPr>
          <w:spacing w:val="-5"/>
        </w:rPr>
        <w:t> </w:t>
      </w:r>
      <w:r>
        <w:rPr/>
        <w:t>filter</w:t>
      </w:r>
      <w:r>
        <w:rPr>
          <w:spacing w:val="-5"/>
        </w:rPr>
        <w:t> </w:t>
      </w:r>
      <w:r>
        <w:rPr/>
        <w:t>on</w:t>
      </w:r>
      <w:r>
        <w:rPr>
          <w:spacing w:val="-5"/>
        </w:rPr>
        <w:t> </w:t>
      </w:r>
      <w:r>
        <w:rPr/>
        <w:t>top</w:t>
      </w:r>
      <w:r>
        <w:rPr>
          <w:spacing w:val="-5"/>
        </w:rPr>
        <w:t> </w:t>
      </w:r>
      <w:r>
        <w:rPr/>
        <w:t>of</w:t>
      </w:r>
      <w:r>
        <w:rPr>
          <w:spacing w:val="-5"/>
        </w:rPr>
        <w:t> </w:t>
      </w:r>
      <w:r>
        <w:rPr/>
        <w:t>Pearson correlation selection: it retains only features where each bin contains at least 20% of the training observations, ensuring that the feature’s relationship with production is robust across the entire distribution</w:t>
      </w:r>
      <w:r>
        <w:rPr>
          <w:spacing w:val="-11"/>
        </w:rPr>
        <w:t> </w:t>
      </w:r>
      <w:r>
        <w:rPr/>
        <w:t>rather</w:t>
      </w:r>
      <w:r>
        <w:rPr>
          <w:spacing w:val="-11"/>
        </w:rPr>
        <w:t> </w:t>
      </w:r>
      <w:r>
        <w:rPr/>
        <w:t>than</w:t>
      </w:r>
      <w:r>
        <w:rPr>
          <w:spacing w:val="-11"/>
        </w:rPr>
        <w:t> </w:t>
      </w:r>
      <w:r>
        <w:rPr/>
        <w:t>driven</w:t>
      </w:r>
      <w:r>
        <w:rPr>
          <w:spacing w:val="-11"/>
        </w:rPr>
        <w:t> </w:t>
      </w:r>
      <w:r>
        <w:rPr/>
        <w:t>by</w:t>
      </w:r>
      <w:r>
        <w:rPr>
          <w:spacing w:val="-11"/>
        </w:rPr>
        <w:t> </w:t>
      </w:r>
      <w:r>
        <w:rPr/>
        <w:t>a</w:t>
      </w:r>
      <w:r>
        <w:rPr>
          <w:spacing w:val="-11"/>
        </w:rPr>
        <w:t> </w:t>
      </w:r>
      <w:r>
        <w:rPr/>
        <w:t>handful</w:t>
      </w:r>
      <w:r>
        <w:rPr>
          <w:spacing w:val="-11"/>
        </w:rPr>
        <w:t> </w:t>
      </w:r>
      <w:r>
        <w:rPr/>
        <w:t>of</w:t>
      </w:r>
      <w:r>
        <w:rPr>
          <w:spacing w:val="-11"/>
        </w:rPr>
        <w:t> </w:t>
      </w:r>
      <w:r>
        <w:rPr/>
        <w:t>extreme</w:t>
      </w:r>
      <w:r>
        <w:rPr>
          <w:spacing w:val="-11"/>
        </w:rPr>
        <w:t> </w:t>
      </w:r>
      <w:r>
        <w:rPr/>
        <w:t>years.</w:t>
      </w:r>
      <w:r>
        <w:rPr>
          <w:spacing w:val="-1"/>
        </w:rPr>
        <w:t> </w:t>
      </w:r>
      <w:r>
        <w:rPr/>
        <w:t>In</w:t>
      </w:r>
      <w:r>
        <w:rPr>
          <w:spacing w:val="-11"/>
        </w:rPr>
        <w:t> </w:t>
      </w:r>
      <w:r>
        <w:rPr/>
        <w:t>Vinho</w:t>
      </w:r>
      <w:r>
        <w:rPr>
          <w:spacing w:val="-11"/>
        </w:rPr>
        <w:t> </w:t>
      </w:r>
      <w:r>
        <w:rPr/>
        <w:t>Verde,</w:t>
      </w:r>
      <w:r>
        <w:rPr>
          <w:spacing w:val="-11"/>
        </w:rPr>
        <w:t> </w:t>
      </w:r>
      <w:r>
        <w:rPr/>
        <w:t>where</w:t>
      </w:r>
      <w:r>
        <w:rPr>
          <w:spacing w:val="-11"/>
        </w:rPr>
        <w:t> </w:t>
      </w:r>
      <w:r>
        <w:rPr/>
        <w:t>the</w:t>
      </w:r>
      <w:r>
        <w:rPr>
          <w:spacing w:val="-11"/>
        </w:rPr>
        <w:t> </w:t>
      </w:r>
      <w:r>
        <w:rPr/>
        <w:t>dominant “below-trend”</w:t>
      </w:r>
      <w:r>
        <w:rPr>
          <w:spacing w:val="15"/>
        </w:rPr>
        <w:t> </w:t>
      </w:r>
      <w:r>
        <w:rPr/>
        <w:t>signal</w:t>
      </w:r>
      <w:r>
        <w:rPr>
          <w:spacing w:val="15"/>
        </w:rPr>
        <w:t> </w:t>
      </w:r>
      <w:r>
        <w:rPr/>
        <w:t>arises</w:t>
      </w:r>
      <w:r>
        <w:rPr>
          <w:spacing w:val="15"/>
        </w:rPr>
        <w:t> </w:t>
      </w:r>
      <w:r>
        <w:rPr/>
        <w:t>from</w:t>
      </w:r>
      <w:r>
        <w:rPr>
          <w:spacing w:val="15"/>
        </w:rPr>
        <w:t> </w:t>
      </w:r>
      <w:r>
        <w:rPr/>
        <w:t>a</w:t>
      </w:r>
      <w:r>
        <w:rPr>
          <w:spacing w:val="15"/>
        </w:rPr>
        <w:t> </w:t>
      </w:r>
      <w:r>
        <w:rPr/>
        <w:t>combination</w:t>
      </w:r>
      <w:r>
        <w:rPr>
          <w:spacing w:val="15"/>
        </w:rPr>
        <w:t> </w:t>
      </w:r>
      <w:r>
        <w:rPr/>
        <w:t>of</w:t>
      </w:r>
      <w:r>
        <w:rPr>
          <w:spacing w:val="15"/>
        </w:rPr>
        <w:t> </w:t>
      </w:r>
      <w:r>
        <w:rPr/>
        <w:t>multiple</w:t>
      </w:r>
      <w:r>
        <w:rPr>
          <w:spacing w:val="15"/>
        </w:rPr>
        <w:t> </w:t>
      </w:r>
      <w:r>
        <w:rPr/>
        <w:t>co-occurring</w:t>
      </w:r>
      <w:r>
        <w:rPr>
          <w:spacing w:val="15"/>
        </w:rPr>
        <w:t> </w:t>
      </w:r>
      <w:r>
        <w:rPr/>
        <w:t>conditions</w:t>
      </w:r>
      <w:r>
        <w:rPr>
          <w:spacing w:val="15"/>
        </w:rPr>
        <w:t> </w:t>
      </w:r>
      <w:r>
        <w:rPr/>
        <w:t>(soil</w:t>
      </w:r>
      <w:r>
        <w:rPr>
          <w:spacing w:val="15"/>
        </w:rPr>
        <w:t> </w:t>
      </w:r>
      <w:r>
        <w:rPr>
          <w:spacing w:val="-2"/>
        </w:rPr>
        <w:t>water</w:t>
      </w:r>
    </w:p>
    <w:p>
      <w:pPr>
        <w:pStyle w:val="BodyText"/>
        <w:spacing w:line="312" w:lineRule="auto"/>
        <w:ind w:left="135" w:right="1557" w:hanging="24"/>
        <w:jc w:val="both"/>
      </w:pPr>
      <w:r>
        <w:rPr/>
        <w:t>+ heat stress + LAI), aggressive selection tends to produce overfit rules that fire on era-specific patterns rather than genuine climate signals. The conservative Sup_FS selection retains only the </w:t>
      </w:r>
      <w:r>
        <w:rPr>
          <w:spacing w:val="-2"/>
        </w:rPr>
        <w:t>most</w:t>
      </w:r>
      <w:r>
        <w:rPr>
          <w:spacing w:val="-9"/>
        </w:rPr>
        <w:t> </w:t>
      </w:r>
      <w:r>
        <w:rPr>
          <w:spacing w:val="-2"/>
        </w:rPr>
        <w:t>broadly</w:t>
      </w:r>
      <w:r>
        <w:rPr>
          <w:spacing w:val="-9"/>
        </w:rPr>
        <w:t> </w:t>
      </w:r>
      <w:r>
        <w:rPr>
          <w:spacing w:val="-2"/>
        </w:rPr>
        <w:t>applicable</w:t>
      </w:r>
      <w:r>
        <w:rPr>
          <w:spacing w:val="-9"/>
        </w:rPr>
        <w:t> </w:t>
      </w:r>
      <w:r>
        <w:rPr>
          <w:spacing w:val="-2"/>
        </w:rPr>
        <w:t>features,</w:t>
      </w:r>
      <w:r>
        <w:rPr>
          <w:spacing w:val="-9"/>
        </w:rPr>
        <w:t> </w:t>
      </w:r>
      <w:r>
        <w:rPr>
          <w:spacing w:val="-2"/>
        </w:rPr>
        <w:t>which</w:t>
      </w:r>
      <w:r>
        <w:rPr>
          <w:spacing w:val="-9"/>
        </w:rPr>
        <w:t> </w:t>
      </w:r>
      <w:r>
        <w:rPr>
          <w:spacing w:val="-2"/>
        </w:rPr>
        <w:t>produces</w:t>
      </w:r>
      <w:r>
        <w:rPr>
          <w:spacing w:val="-9"/>
        </w:rPr>
        <w:t> </w:t>
      </w:r>
      <w:r>
        <w:rPr>
          <w:spacing w:val="-2"/>
        </w:rPr>
        <w:t>rules</w:t>
      </w:r>
      <w:r>
        <w:rPr>
          <w:spacing w:val="-9"/>
        </w:rPr>
        <w:t> </w:t>
      </w:r>
      <w:r>
        <w:rPr>
          <w:spacing w:val="-2"/>
        </w:rPr>
        <w:t>that</w:t>
      </w:r>
      <w:r>
        <w:rPr>
          <w:spacing w:val="-9"/>
        </w:rPr>
        <w:t> </w:t>
      </w:r>
      <w:r>
        <w:rPr>
          <w:spacing w:val="-2"/>
        </w:rPr>
        <w:t>either</w:t>
      </w:r>
      <w:r>
        <w:rPr>
          <w:spacing w:val="-9"/>
        </w:rPr>
        <w:t> </w:t>
      </w:r>
      <w:r>
        <w:rPr>
          <w:spacing w:val="-2"/>
        </w:rPr>
        <w:t>fire</w:t>
      </w:r>
      <w:r>
        <w:rPr>
          <w:spacing w:val="-9"/>
        </w:rPr>
        <w:t> </w:t>
      </w:r>
      <w:r>
        <w:rPr>
          <w:spacing w:val="-2"/>
        </w:rPr>
        <w:t>correctly</w:t>
      </w:r>
      <w:r>
        <w:rPr>
          <w:spacing w:val="-9"/>
        </w:rPr>
        <w:t> </w:t>
      </w:r>
      <w:r>
        <w:rPr>
          <w:spacing w:val="-2"/>
        </w:rPr>
        <w:t>on</w:t>
      </w:r>
      <w:r>
        <w:rPr>
          <w:spacing w:val="-9"/>
        </w:rPr>
        <w:t> </w:t>
      </w:r>
      <w:r>
        <w:rPr>
          <w:spacing w:val="-2"/>
        </w:rPr>
        <w:t>obvious</w:t>
      </w:r>
      <w:r>
        <w:rPr>
          <w:spacing w:val="-9"/>
        </w:rPr>
        <w:t> </w:t>
      </w:r>
      <w:r>
        <w:rPr>
          <w:spacing w:val="-2"/>
        </w:rPr>
        <w:t>patterns </w:t>
      </w:r>
      <w:r>
        <w:rPr/>
        <w:t>or, most importantly, recognise that no confident rule applies and fall back to the median.</w:t>
      </w:r>
      <w:r>
        <w:rPr>
          <w:spacing w:val="40"/>
        </w:rPr>
        <w:t> </w:t>
      </w:r>
      <w:r>
        <w:rPr/>
        <w:t>The fallback behaviour is the key: in 7 of 16 RVV scenarios, Sup_FS correctly predicts the median (zero gap vs Naive_Median), whereas a more aggressive selector would fire a spurious rule and accumulate error.</w:t>
      </w:r>
    </w:p>
    <w:p>
      <w:pPr>
        <w:pStyle w:val="BodyText"/>
        <w:spacing w:line="312" w:lineRule="auto" w:before="35"/>
        <w:ind w:left="142" w:right="1529" w:firstLine="338"/>
        <w:jc w:val="both"/>
      </w:pPr>
      <w:r>
        <w:rPr/>
        <w:t>The</w:t>
      </w:r>
      <w:r>
        <w:rPr>
          <w:spacing w:val="-12"/>
        </w:rPr>
        <w:t> </w:t>
      </w:r>
      <w:r>
        <w:rPr/>
        <w:t>practical</w:t>
      </w:r>
      <w:r>
        <w:rPr>
          <w:spacing w:val="-12"/>
        </w:rPr>
        <w:t> </w:t>
      </w:r>
      <w:r>
        <w:rPr/>
        <w:t>implication</w:t>
      </w:r>
      <w:r>
        <w:rPr>
          <w:spacing w:val="-12"/>
        </w:rPr>
        <w:t> </w:t>
      </w:r>
      <w:r>
        <w:rPr/>
        <w:t>is</w:t>
      </w:r>
      <w:r>
        <w:rPr>
          <w:spacing w:val="-12"/>
        </w:rPr>
        <w:t> </w:t>
      </w:r>
      <w:r>
        <w:rPr/>
        <w:t>clear:</w:t>
      </w:r>
      <w:r>
        <w:rPr>
          <w:spacing w:val="-1"/>
        </w:rPr>
        <w:t> </w:t>
      </w:r>
      <w:r>
        <w:rPr/>
        <w:t>in</w:t>
      </w:r>
      <w:r>
        <w:rPr>
          <w:spacing w:val="-12"/>
        </w:rPr>
        <w:t> </w:t>
      </w:r>
      <w:r>
        <w:rPr/>
        <w:t>regimes</w:t>
      </w:r>
      <w:r>
        <w:rPr>
          <w:spacing w:val="-12"/>
        </w:rPr>
        <w:t> </w:t>
      </w:r>
      <w:r>
        <w:rPr/>
        <w:t>with</w:t>
      </w:r>
      <w:r>
        <w:rPr>
          <w:spacing w:val="-12"/>
        </w:rPr>
        <w:t> </w:t>
      </w:r>
      <w:r>
        <w:rPr/>
        <w:t>strong</w:t>
      </w:r>
      <w:r>
        <w:rPr>
          <w:spacing w:val="-12"/>
        </w:rPr>
        <w:t> </w:t>
      </w:r>
      <w:r>
        <w:rPr/>
        <w:t>and</w:t>
      </w:r>
      <w:r>
        <w:rPr>
          <w:spacing w:val="-12"/>
        </w:rPr>
        <w:t> </w:t>
      </w:r>
      <w:r>
        <w:rPr/>
        <w:t>consistent</w:t>
      </w:r>
      <w:r>
        <w:rPr>
          <w:spacing w:val="-12"/>
        </w:rPr>
        <w:t> </w:t>
      </w:r>
      <w:r>
        <w:rPr/>
        <w:t>climate</w:t>
      </w:r>
      <w:r>
        <w:rPr>
          <w:spacing w:val="-12"/>
        </w:rPr>
        <w:t> </w:t>
      </w:r>
      <w:r>
        <w:rPr/>
        <w:t>signal</w:t>
      </w:r>
      <w:r>
        <w:rPr>
          <w:spacing w:val="-12"/>
        </w:rPr>
        <w:t> </w:t>
      </w:r>
      <w:r>
        <w:rPr/>
        <w:t>(RDD), </w:t>
      </w:r>
      <w:r>
        <w:rPr>
          <w:spacing w:val="-2"/>
        </w:rPr>
        <w:t>aggressive feature selection that identifies the most discriminating features improves prediction. In regimes</w:t>
      </w:r>
      <w:r>
        <w:rPr>
          <w:spacing w:val="-7"/>
        </w:rPr>
        <w:t> </w:t>
      </w:r>
      <w:r>
        <w:rPr>
          <w:spacing w:val="-2"/>
        </w:rPr>
        <w:t>with</w:t>
      </w:r>
      <w:r>
        <w:rPr>
          <w:spacing w:val="-7"/>
        </w:rPr>
        <w:t> </w:t>
      </w:r>
      <w:r>
        <w:rPr>
          <w:spacing w:val="-2"/>
        </w:rPr>
        <w:t>weaker</w:t>
      </w:r>
      <w:r>
        <w:rPr>
          <w:spacing w:val="-7"/>
        </w:rPr>
        <w:t> </w:t>
      </w:r>
      <w:r>
        <w:rPr>
          <w:spacing w:val="-2"/>
        </w:rPr>
        <w:t>or</w:t>
      </w:r>
      <w:r>
        <w:rPr>
          <w:spacing w:val="-7"/>
        </w:rPr>
        <w:t> </w:t>
      </w:r>
      <w:r>
        <w:rPr>
          <w:spacing w:val="-2"/>
        </w:rPr>
        <w:t>more</w:t>
      </w:r>
      <w:r>
        <w:rPr>
          <w:spacing w:val="-7"/>
        </w:rPr>
        <w:t> </w:t>
      </w:r>
      <w:r>
        <w:rPr>
          <w:spacing w:val="-2"/>
        </w:rPr>
        <w:t>era-contaminated</w:t>
      </w:r>
      <w:r>
        <w:rPr>
          <w:spacing w:val="-7"/>
        </w:rPr>
        <w:t> </w:t>
      </w:r>
      <w:r>
        <w:rPr>
          <w:spacing w:val="-2"/>
        </w:rPr>
        <w:t>signal</w:t>
      </w:r>
      <w:r>
        <w:rPr>
          <w:spacing w:val="-7"/>
        </w:rPr>
        <w:t> </w:t>
      </w:r>
      <w:r>
        <w:rPr>
          <w:spacing w:val="-2"/>
        </w:rPr>
        <w:t>(RVV),</w:t>
      </w:r>
      <w:r>
        <w:rPr>
          <w:spacing w:val="-7"/>
        </w:rPr>
        <w:t> </w:t>
      </w:r>
      <w:r>
        <w:rPr>
          <w:spacing w:val="-2"/>
        </w:rPr>
        <w:t>conservative</w:t>
      </w:r>
      <w:r>
        <w:rPr>
          <w:spacing w:val="-7"/>
        </w:rPr>
        <w:t> </w:t>
      </w:r>
      <w:r>
        <w:rPr>
          <w:spacing w:val="-2"/>
        </w:rPr>
        <w:t>selection</w:t>
      </w:r>
      <w:r>
        <w:rPr>
          <w:spacing w:val="-7"/>
        </w:rPr>
        <w:t> </w:t>
      </w:r>
      <w:r>
        <w:rPr>
          <w:spacing w:val="-2"/>
        </w:rPr>
        <w:t>that</w:t>
      </w:r>
      <w:r>
        <w:rPr>
          <w:spacing w:val="-7"/>
        </w:rPr>
        <w:t> </w:t>
      </w:r>
      <w:r>
        <w:rPr>
          <w:spacing w:val="-2"/>
        </w:rPr>
        <w:t>preserves </w:t>
      </w:r>
      <w:r>
        <w:rPr/>
        <w:t>the fallback mechanism is preferable. The optimal strategy is therefore problem-specific, which argues for the kind of structured sensitivity analysis, evaluating all 11 variants, that this thesis undertakes, rather than committing to a single variant a priori.</w:t>
      </w:r>
    </w:p>
    <w:p>
      <w:pPr>
        <w:pStyle w:val="BodyText"/>
      </w:pPr>
    </w:p>
    <w:p>
      <w:pPr>
        <w:pStyle w:val="BodyText"/>
        <w:spacing w:before="110"/>
      </w:pPr>
    </w:p>
    <w:p>
      <w:pPr>
        <w:pStyle w:val="Heading2"/>
        <w:numPr>
          <w:ilvl w:val="1"/>
          <w:numId w:val="35"/>
        </w:numPr>
        <w:tabs>
          <w:tab w:pos="931" w:val="left" w:leader="none"/>
        </w:tabs>
        <w:spacing w:line="240" w:lineRule="auto" w:before="0" w:after="0"/>
        <w:ind w:left="931" w:right="0" w:hanging="789"/>
        <w:jc w:val="left"/>
      </w:pPr>
      <w:bookmarkStart w:name="5.11 What Happened in the Era-Balanced W" w:id="212"/>
      <w:bookmarkEnd w:id="212"/>
      <w:r>
        <w:rPr>
          <w:b w:val="0"/>
        </w:rPr>
      </w:r>
      <w:bookmarkStart w:name="_bookmark127" w:id="213"/>
      <w:bookmarkEnd w:id="213"/>
      <w:r>
        <w:rPr>
          <w:b w:val="0"/>
        </w:rPr>
      </w:r>
      <w:r>
        <w:rPr/>
        <w:t>What</w:t>
      </w:r>
      <w:r>
        <w:rPr>
          <w:spacing w:val="17"/>
        </w:rPr>
        <w:t> </w:t>
      </w:r>
      <w:r>
        <w:rPr/>
        <w:t>Happened</w:t>
      </w:r>
      <w:r>
        <w:rPr>
          <w:spacing w:val="17"/>
        </w:rPr>
        <w:t> </w:t>
      </w:r>
      <w:r>
        <w:rPr/>
        <w:t>in</w:t>
      </w:r>
      <w:r>
        <w:rPr>
          <w:spacing w:val="17"/>
        </w:rPr>
        <w:t> </w:t>
      </w:r>
      <w:r>
        <w:rPr/>
        <w:t>the</w:t>
      </w:r>
      <w:r>
        <w:rPr>
          <w:spacing w:val="18"/>
        </w:rPr>
        <w:t> </w:t>
      </w:r>
      <w:r>
        <w:rPr/>
        <w:t>Era-Balanced</w:t>
      </w:r>
      <w:r>
        <w:rPr>
          <w:spacing w:val="17"/>
        </w:rPr>
        <w:t> </w:t>
      </w:r>
      <w:r>
        <w:rPr/>
        <w:t>Winning</w:t>
      </w:r>
      <w:r>
        <w:rPr>
          <w:spacing w:val="17"/>
        </w:rPr>
        <w:t> </w:t>
      </w:r>
      <w:r>
        <w:rPr>
          <w:spacing w:val="-2"/>
        </w:rPr>
        <w:t>Years?</w:t>
      </w:r>
    </w:p>
    <w:p>
      <w:pPr>
        <w:pStyle w:val="BodyText"/>
        <w:spacing w:before="41"/>
        <w:rPr>
          <w:b/>
          <w:sz w:val="28"/>
        </w:rPr>
      </w:pPr>
    </w:p>
    <w:p>
      <w:pPr>
        <w:pStyle w:val="BodyText"/>
        <w:spacing w:line="312" w:lineRule="auto"/>
        <w:ind w:left="142" w:right="1521" w:hanging="7"/>
        <w:jc w:val="both"/>
      </w:pPr>
      <w:r>
        <w:rPr/>
        <w:t>The five scenarios where CarenR_Dist_Eta2 beats the naive baseline in RDD correspond to test-start years 2014–2018 (each test period extends to 2022). Understanding what made these years predictable</w:t>
      </w:r>
      <w:r>
        <w:rPr>
          <w:spacing w:val="-2"/>
        </w:rPr>
        <w:t> </w:t>
      </w:r>
      <w:r>
        <w:rPr/>
        <w:t>from</w:t>
      </w:r>
      <w:r>
        <w:rPr>
          <w:spacing w:val="-1"/>
        </w:rPr>
        <w:t> </w:t>
      </w:r>
      <w:r>
        <w:rPr/>
        <w:t>climate</w:t>
      </w:r>
      <w:r>
        <w:rPr>
          <w:spacing w:val="-1"/>
        </w:rPr>
        <w:t> </w:t>
      </w:r>
      <w:r>
        <w:rPr/>
        <w:t>rules,</w:t>
      </w:r>
      <w:r>
        <w:rPr>
          <w:spacing w:val="-1"/>
        </w:rPr>
        <w:t> </w:t>
      </w:r>
      <w:r>
        <w:rPr/>
        <w:t>and</w:t>
      </w:r>
      <w:r>
        <w:rPr>
          <w:spacing w:val="-1"/>
        </w:rPr>
        <w:t> </w:t>
      </w:r>
      <w:r>
        <w:rPr/>
        <w:t>why</w:t>
      </w:r>
      <w:r>
        <w:rPr>
          <w:spacing w:val="-1"/>
        </w:rPr>
        <w:t> </w:t>
      </w:r>
      <w:r>
        <w:rPr/>
        <w:t>CarenR</w:t>
      </w:r>
      <w:r>
        <w:rPr>
          <w:spacing w:val="-1"/>
        </w:rPr>
        <w:t> </w:t>
      </w:r>
      <w:r>
        <w:rPr/>
        <w:t>succeeded</w:t>
      </w:r>
      <w:r>
        <w:rPr>
          <w:spacing w:val="-1"/>
        </w:rPr>
        <w:t> </w:t>
      </w:r>
      <w:r>
        <w:rPr/>
        <w:t>where</w:t>
      </w:r>
      <w:r>
        <w:rPr>
          <w:spacing w:val="-1"/>
        </w:rPr>
        <w:t> </w:t>
      </w:r>
      <w:r>
        <w:rPr/>
        <w:t>it</w:t>
      </w:r>
      <w:r>
        <w:rPr>
          <w:spacing w:val="-1"/>
        </w:rPr>
        <w:t> </w:t>
      </w:r>
      <w:r>
        <w:rPr/>
        <w:t>fails</w:t>
      </w:r>
      <w:r>
        <w:rPr>
          <w:spacing w:val="-2"/>
        </w:rPr>
        <w:t> </w:t>
      </w:r>
      <w:r>
        <w:rPr/>
        <w:t>in</w:t>
      </w:r>
      <w:r>
        <w:rPr>
          <w:spacing w:val="-2"/>
        </w:rPr>
        <w:t> </w:t>
      </w:r>
      <w:r>
        <w:rPr/>
        <w:t>other</w:t>
      </w:r>
      <w:r>
        <w:rPr>
          <w:spacing w:val="-2"/>
        </w:rPr>
        <w:t> </w:t>
      </w:r>
      <w:r>
        <w:rPr/>
        <w:t>years,</w:t>
      </w:r>
      <w:r>
        <w:rPr>
          <w:spacing w:val="-1"/>
        </w:rPr>
        <w:t> </w:t>
      </w:r>
      <w:r>
        <w:rPr/>
        <w:t>provides important context for the post-hoc finding (p = 0.031).</w:t>
      </w:r>
    </w:p>
    <w:p>
      <w:pPr>
        <w:pStyle w:val="BodyText"/>
        <w:spacing w:line="312" w:lineRule="auto" w:before="37"/>
        <w:ind w:left="135" w:right="1529" w:firstLine="345"/>
        <w:jc w:val="both"/>
      </w:pPr>
      <w:r>
        <w:rPr>
          <w:spacing w:val="-2"/>
        </w:rPr>
        <w:t>In</w:t>
      </w:r>
      <w:r>
        <w:rPr>
          <w:spacing w:val="-10"/>
        </w:rPr>
        <w:t> </w:t>
      </w:r>
      <w:r>
        <w:rPr>
          <w:spacing w:val="-2"/>
        </w:rPr>
        <w:t>each</w:t>
      </w:r>
      <w:r>
        <w:rPr>
          <w:spacing w:val="-10"/>
        </w:rPr>
        <w:t> </w:t>
      </w:r>
      <w:r>
        <w:rPr>
          <w:spacing w:val="-2"/>
        </w:rPr>
        <w:t>of</w:t>
      </w:r>
      <w:r>
        <w:rPr>
          <w:spacing w:val="-10"/>
        </w:rPr>
        <w:t> </w:t>
      </w:r>
      <w:r>
        <w:rPr>
          <w:spacing w:val="-2"/>
        </w:rPr>
        <w:t>these</w:t>
      </w:r>
      <w:r>
        <w:rPr>
          <w:spacing w:val="-10"/>
        </w:rPr>
        <w:t> </w:t>
      </w:r>
      <w:r>
        <w:rPr>
          <w:spacing w:val="-2"/>
        </w:rPr>
        <w:t>five</w:t>
      </w:r>
      <w:r>
        <w:rPr>
          <w:spacing w:val="-10"/>
        </w:rPr>
        <w:t> </w:t>
      </w:r>
      <w:r>
        <w:rPr>
          <w:spacing w:val="-2"/>
        </w:rPr>
        <w:t>years,</w:t>
      </w:r>
      <w:r>
        <w:rPr>
          <w:spacing w:val="-10"/>
        </w:rPr>
        <w:t> </w:t>
      </w:r>
      <w:r>
        <w:rPr>
          <w:spacing w:val="-2"/>
        </w:rPr>
        <w:t>CarenR</w:t>
      </w:r>
      <w:r>
        <w:rPr>
          <w:spacing w:val="-10"/>
        </w:rPr>
        <w:t> </w:t>
      </w:r>
      <w:r>
        <w:rPr>
          <w:spacing w:val="-2"/>
        </w:rPr>
        <w:t>fired</w:t>
      </w:r>
      <w:r>
        <w:rPr>
          <w:spacing w:val="-10"/>
        </w:rPr>
        <w:t> </w:t>
      </w:r>
      <w:r>
        <w:rPr>
          <w:spacing w:val="-2"/>
        </w:rPr>
        <w:t>rules</w:t>
      </w:r>
      <w:r>
        <w:rPr>
          <w:spacing w:val="-10"/>
        </w:rPr>
        <w:t> </w:t>
      </w:r>
      <w:r>
        <w:rPr>
          <w:spacing w:val="-2"/>
        </w:rPr>
        <w:t>based</w:t>
      </w:r>
      <w:r>
        <w:rPr>
          <w:spacing w:val="-10"/>
        </w:rPr>
        <w:t> </w:t>
      </w:r>
      <w:r>
        <w:rPr>
          <w:spacing w:val="-2"/>
        </w:rPr>
        <w:t>on</w:t>
      </w:r>
      <w:r>
        <w:rPr>
          <w:spacing w:val="-10"/>
        </w:rPr>
        <w:t> </w:t>
      </w:r>
      <w:r>
        <w:rPr>
          <w:spacing w:val="-2"/>
        </w:rPr>
        <w:t>the</w:t>
      </w:r>
      <w:r>
        <w:rPr>
          <w:spacing w:val="-10"/>
        </w:rPr>
        <w:t> </w:t>
      </w:r>
      <w:r>
        <w:rPr>
          <w:spacing w:val="-2"/>
        </w:rPr>
        <w:t>top</w:t>
      </w:r>
      <w:r>
        <w:rPr>
          <w:spacing w:val="-10"/>
        </w:rPr>
        <w:t> </w:t>
      </w:r>
      <w:r>
        <w:rPr>
          <w:spacing w:val="-2"/>
        </w:rPr>
        <w:t>RDD</w:t>
      </w:r>
      <w:r>
        <w:rPr>
          <w:spacing w:val="-10"/>
        </w:rPr>
        <w:t> </w:t>
      </w:r>
      <w:r>
        <w:rPr>
          <w:spacing w:val="-2"/>
        </w:rPr>
        <w:t>signals,</w:t>
      </w:r>
      <w:r>
        <w:rPr>
          <w:spacing w:val="-10"/>
        </w:rPr>
        <w:t> </w:t>
      </w:r>
      <w:r>
        <w:rPr>
          <w:spacing w:val="-2"/>
        </w:rPr>
        <w:t>dry</w:t>
      </w:r>
      <w:r>
        <w:rPr>
          <w:spacing w:val="-10"/>
        </w:rPr>
        <w:t> </w:t>
      </w:r>
      <w:r>
        <w:rPr>
          <w:spacing w:val="-2"/>
        </w:rPr>
        <w:t>post-flowering </w:t>
      </w:r>
      <w:r>
        <w:rPr/>
        <w:t>conditions and moderate soil water stress at harvest, and its predicted above-trend residual was closer to the actual production than the training median.</w:t>
      </w:r>
      <w:r>
        <w:rPr>
          <w:spacing w:val="40"/>
        </w:rPr>
        <w:t> </w:t>
      </w:r>
      <w:r>
        <w:rPr/>
        <w:t>The training sets for scenarios 10–14 </w:t>
      </w:r>
      <w:r>
        <w:rPr>
          <w:spacing w:val="-2"/>
        </w:rPr>
        <w:t>(covering</w:t>
      </w:r>
      <w:r>
        <w:rPr>
          <w:spacing w:val="-5"/>
        </w:rPr>
        <w:t> </w:t>
      </w:r>
      <w:r>
        <w:rPr>
          <w:spacing w:val="-2"/>
        </w:rPr>
        <w:t>1934</w:t>
      </w:r>
      <w:r>
        <w:rPr>
          <w:spacing w:val="-5"/>
        </w:rPr>
        <w:t> </w:t>
      </w:r>
      <w:r>
        <w:rPr>
          <w:spacing w:val="-2"/>
        </w:rPr>
        <w:t>through</w:t>
      </w:r>
      <w:r>
        <w:rPr>
          <w:spacing w:val="-5"/>
        </w:rPr>
        <w:t> </w:t>
      </w:r>
      <w:r>
        <w:rPr>
          <w:spacing w:val="-2"/>
        </w:rPr>
        <w:t>2013–2017)</w:t>
      </w:r>
      <w:r>
        <w:rPr>
          <w:spacing w:val="-5"/>
        </w:rPr>
        <w:t> </w:t>
      </w:r>
      <w:r>
        <w:rPr>
          <w:spacing w:val="-2"/>
        </w:rPr>
        <w:t>had</w:t>
      </w:r>
      <w:r>
        <w:rPr>
          <w:spacing w:val="-5"/>
        </w:rPr>
        <w:t> </w:t>
      </w:r>
      <w:r>
        <w:rPr>
          <w:spacing w:val="-2"/>
        </w:rPr>
        <w:t>reached</w:t>
      </w:r>
      <w:r>
        <w:rPr>
          <w:spacing w:val="-5"/>
        </w:rPr>
        <w:t> </w:t>
      </w:r>
      <w:r>
        <w:rPr>
          <w:spacing w:val="-2"/>
        </w:rPr>
        <w:t>approximately</w:t>
      </w:r>
      <w:r>
        <w:rPr>
          <w:spacing w:val="-5"/>
        </w:rPr>
        <w:t> </w:t>
      </w:r>
      <w:r>
        <w:rPr>
          <w:spacing w:val="-2"/>
        </w:rPr>
        <w:t>29–32%</w:t>
      </w:r>
      <w:r>
        <w:rPr>
          <w:spacing w:val="-5"/>
        </w:rPr>
        <w:t> </w:t>
      </w:r>
      <w:r>
        <w:rPr>
          <w:spacing w:val="-2"/>
        </w:rPr>
        <w:t>post-1990</w:t>
      </w:r>
      <w:r>
        <w:rPr>
          <w:spacing w:val="-5"/>
        </w:rPr>
        <w:t> </w:t>
      </w:r>
      <w:r>
        <w:rPr>
          <w:spacing w:val="-2"/>
        </w:rPr>
        <w:t>representation, </w:t>
      </w:r>
      <w:r>
        <w:rPr/>
        <w:t>meaning</w:t>
      </w:r>
      <w:r>
        <w:rPr>
          <w:spacing w:val="-12"/>
        </w:rPr>
        <w:t> </w:t>
      </w:r>
      <w:r>
        <w:rPr/>
        <w:t>the</w:t>
      </w:r>
      <w:r>
        <w:rPr>
          <w:spacing w:val="-12"/>
        </w:rPr>
        <w:t> </w:t>
      </w:r>
      <w:r>
        <w:rPr/>
        <w:t>discovered</w:t>
      </w:r>
      <w:r>
        <w:rPr>
          <w:spacing w:val="-12"/>
        </w:rPr>
        <w:t> </w:t>
      </w:r>
      <w:r>
        <w:rPr/>
        <w:t>rules</w:t>
      </w:r>
      <w:r>
        <w:rPr>
          <w:spacing w:val="-12"/>
        </w:rPr>
        <w:t> </w:t>
      </w:r>
      <w:r>
        <w:rPr/>
        <w:t>were</w:t>
      </w:r>
      <w:r>
        <w:rPr>
          <w:spacing w:val="-12"/>
        </w:rPr>
        <w:t> </w:t>
      </w:r>
      <w:r>
        <w:rPr/>
        <w:t>calibrated</w:t>
      </w:r>
      <w:r>
        <w:rPr>
          <w:spacing w:val="-12"/>
        </w:rPr>
        <w:t> </w:t>
      </w:r>
      <w:r>
        <w:rPr/>
        <w:t>on</w:t>
      </w:r>
      <w:r>
        <w:rPr>
          <w:spacing w:val="-12"/>
        </w:rPr>
        <w:t> </w:t>
      </w:r>
      <w:r>
        <w:rPr/>
        <w:t>a</w:t>
      </w:r>
      <w:r>
        <w:rPr>
          <w:spacing w:val="-12"/>
        </w:rPr>
        <w:t> </w:t>
      </w:r>
      <w:r>
        <w:rPr/>
        <w:t>training</w:t>
      </w:r>
      <w:r>
        <w:rPr>
          <w:spacing w:val="-12"/>
        </w:rPr>
        <w:t> </w:t>
      </w:r>
      <w:r>
        <w:rPr/>
        <w:t>distribution</w:t>
      </w:r>
      <w:r>
        <w:rPr>
          <w:spacing w:val="-12"/>
        </w:rPr>
        <w:t> </w:t>
      </w:r>
      <w:r>
        <w:rPr/>
        <w:t>that</w:t>
      </w:r>
      <w:r>
        <w:rPr>
          <w:spacing w:val="-12"/>
        </w:rPr>
        <w:t> </w:t>
      </w:r>
      <w:r>
        <w:rPr/>
        <w:t>meaningfully</w:t>
      </w:r>
      <w:r>
        <w:rPr>
          <w:spacing w:val="-12"/>
        </w:rPr>
        <w:t> </w:t>
      </w:r>
      <w:r>
        <w:rPr/>
        <w:t>included </w:t>
      </w:r>
      <w:r>
        <w:rPr>
          <w:spacing w:val="-4"/>
        </w:rPr>
        <w:t>the modern (post-1990) production era rather than being dominated by the high-production pre-1976 era.</w:t>
      </w:r>
    </w:p>
    <w:p>
      <w:pPr>
        <w:pStyle w:val="BodyText"/>
        <w:spacing w:line="312" w:lineRule="auto" w:before="36"/>
        <w:ind w:left="142" w:right="1521" w:firstLine="338"/>
        <w:jc w:val="both"/>
      </w:pPr>
      <w:r>
        <w:rPr/>
        <w:t>Agronomically, 2014–2018 were years characterised by the Douro’s increasingly hot, dry summers, a pattern that has intensified under recent climate trends.</w:t>
      </w:r>
      <w:r>
        <w:rPr>
          <w:spacing w:val="35"/>
        </w:rPr>
        <w:t> </w:t>
      </w:r>
      <w:r>
        <w:rPr/>
        <w:t>The dry post-flowering and moderate</w:t>
      </w:r>
      <w:r>
        <w:rPr>
          <w:spacing w:val="-12"/>
        </w:rPr>
        <w:t> </w:t>
      </w:r>
      <w:r>
        <w:rPr/>
        <w:t>pre-harvest</w:t>
      </w:r>
      <w:r>
        <w:rPr>
          <w:spacing w:val="-12"/>
        </w:rPr>
        <w:t> </w:t>
      </w:r>
      <w:r>
        <w:rPr/>
        <w:t>soil</w:t>
      </w:r>
      <w:r>
        <w:rPr>
          <w:spacing w:val="-12"/>
        </w:rPr>
        <w:t> </w:t>
      </w:r>
      <w:r>
        <w:rPr/>
        <w:t>water</w:t>
      </w:r>
      <w:r>
        <w:rPr>
          <w:spacing w:val="-12"/>
        </w:rPr>
        <w:t> </w:t>
      </w:r>
      <w:r>
        <w:rPr/>
        <w:t>conditions</w:t>
      </w:r>
      <w:r>
        <w:rPr>
          <w:spacing w:val="-12"/>
        </w:rPr>
        <w:t> </w:t>
      </w:r>
      <w:r>
        <w:rPr/>
        <w:t>that</w:t>
      </w:r>
      <w:r>
        <w:rPr>
          <w:spacing w:val="-12"/>
        </w:rPr>
        <w:t> </w:t>
      </w:r>
      <w:r>
        <w:rPr/>
        <w:t>define</w:t>
      </w:r>
      <w:r>
        <w:rPr>
          <w:spacing w:val="-12"/>
        </w:rPr>
        <w:t> </w:t>
      </w:r>
      <w:r>
        <w:rPr/>
        <w:t>the</w:t>
      </w:r>
      <w:r>
        <w:rPr>
          <w:spacing w:val="-12"/>
        </w:rPr>
        <w:t> </w:t>
      </w:r>
      <w:r>
        <w:rPr/>
        <w:t>top</w:t>
      </w:r>
      <w:r>
        <w:rPr>
          <w:spacing w:val="-12"/>
        </w:rPr>
        <w:t> </w:t>
      </w:r>
      <w:r>
        <w:rPr/>
        <w:t>CarenR</w:t>
      </w:r>
      <w:r>
        <w:rPr>
          <w:spacing w:val="-12"/>
        </w:rPr>
        <w:t> </w:t>
      </w:r>
      <w:r>
        <w:rPr/>
        <w:t>rules</w:t>
      </w:r>
      <w:r>
        <w:rPr>
          <w:spacing w:val="-12"/>
        </w:rPr>
        <w:t> </w:t>
      </w:r>
      <w:r>
        <w:rPr/>
        <w:t>were</w:t>
      </w:r>
      <w:r>
        <w:rPr>
          <w:spacing w:val="-12"/>
        </w:rPr>
        <w:t> </w:t>
      </w:r>
      <w:r>
        <w:rPr/>
        <w:t>clearly</w:t>
      </w:r>
      <w:r>
        <w:rPr>
          <w:spacing w:val="-12"/>
        </w:rPr>
        <w:t> </w:t>
      </w:r>
      <w:r>
        <w:rPr/>
        <w:t>present</w:t>
      </w:r>
      <w:r>
        <w:rPr>
          <w:spacing w:val="-12"/>
        </w:rPr>
        <w:t> </w:t>
      </w:r>
      <w:r>
        <w:rPr/>
        <w:t>in multiple years of this window, creating genuine rule-fireable conditions that translated to above-trend production. The fact that CarenR could detect and predict this correctly, rather than falling</w:t>
      </w:r>
    </w:p>
    <w:p>
      <w:pPr>
        <w:pStyle w:val="BodyText"/>
        <w:spacing w:after="0" w:line="312" w:lineRule="auto"/>
        <w:jc w:val="both"/>
        <w:sectPr>
          <w:pgSz w:w="11910" w:h="16840"/>
          <w:pgMar w:header="1160" w:footer="0" w:top="1420" w:bottom="280" w:left="1275" w:right="425"/>
        </w:sectPr>
      </w:pPr>
    </w:p>
    <w:p>
      <w:pPr>
        <w:pStyle w:val="BodyText"/>
      </w:pPr>
    </w:p>
    <w:p>
      <w:pPr>
        <w:pStyle w:val="BodyText"/>
        <w:spacing w:before="25"/>
      </w:pPr>
    </w:p>
    <w:p>
      <w:pPr>
        <w:pStyle w:val="BodyText"/>
        <w:spacing w:line="312" w:lineRule="auto" w:before="1"/>
        <w:ind w:left="709" w:right="960"/>
        <w:jc w:val="both"/>
      </w:pPr>
      <w:r>
        <w:rPr/>
        <w:t>back to the median, is precisely what the distributional rule framework is designed to </w:t>
      </w:r>
      <w:r>
        <w:rPr/>
        <w:t>achieve: identifying years where the climate signal is strong enough to be actionable.</w:t>
      </w:r>
    </w:p>
    <w:p>
      <w:pPr>
        <w:pStyle w:val="BodyText"/>
        <w:spacing w:line="312" w:lineRule="auto" w:before="57"/>
        <w:ind w:left="701" w:right="954" w:firstLine="346"/>
        <w:jc w:val="both"/>
      </w:pPr>
      <w:r>
        <w:rPr/>
        <w:t>The reason CarenR then fails again in scenarios 15–18 (test years 2019–2022) is equally informative.</w:t>
      </w:r>
      <w:r>
        <w:rPr>
          <w:spacing w:val="-2"/>
        </w:rPr>
        <w:t> </w:t>
      </w:r>
      <w:r>
        <w:rPr/>
        <w:t>The</w:t>
      </w:r>
      <w:r>
        <w:rPr>
          <w:spacing w:val="-12"/>
        </w:rPr>
        <w:t> </w:t>
      </w:r>
      <w:r>
        <w:rPr/>
        <w:t>2019–2022</w:t>
      </w:r>
      <w:r>
        <w:rPr>
          <w:spacing w:val="-12"/>
        </w:rPr>
        <w:t> </w:t>
      </w:r>
      <w:r>
        <w:rPr/>
        <w:t>window</w:t>
      </w:r>
      <w:r>
        <w:rPr>
          <w:spacing w:val="-12"/>
        </w:rPr>
        <w:t> </w:t>
      </w:r>
      <w:r>
        <w:rPr/>
        <w:t>was</w:t>
      </w:r>
      <w:r>
        <w:rPr>
          <w:spacing w:val="-12"/>
        </w:rPr>
        <w:t> </w:t>
      </w:r>
      <w:r>
        <w:rPr/>
        <w:t>characterised</w:t>
      </w:r>
      <w:r>
        <w:rPr>
          <w:spacing w:val="-12"/>
        </w:rPr>
        <w:t> </w:t>
      </w:r>
      <w:r>
        <w:rPr/>
        <w:t>by</w:t>
      </w:r>
      <w:r>
        <w:rPr>
          <w:spacing w:val="-12"/>
        </w:rPr>
        <w:t> </w:t>
      </w:r>
      <w:r>
        <w:rPr/>
        <w:t>unusual</w:t>
      </w:r>
      <w:r>
        <w:rPr>
          <w:spacing w:val="-12"/>
        </w:rPr>
        <w:t> </w:t>
      </w:r>
      <w:r>
        <w:rPr/>
        <w:t>year-to-year</w:t>
      </w:r>
      <w:r>
        <w:rPr>
          <w:spacing w:val="-12"/>
        </w:rPr>
        <w:t> </w:t>
      </w:r>
      <w:r>
        <w:rPr/>
        <w:t>variability</w:t>
      </w:r>
      <w:r>
        <w:rPr>
          <w:spacing w:val="-12"/>
        </w:rPr>
        <w:t> </w:t>
      </w:r>
      <w:r>
        <w:rPr/>
        <w:t>driven by the combined effects of climate extremes (severe drought years interspersed with unusually wet seasons).</w:t>
      </w:r>
      <w:r>
        <w:rPr>
          <w:spacing w:val="40"/>
        </w:rPr>
        <w:t> </w:t>
      </w:r>
      <w:r>
        <w:rPr/>
        <w:t>The rules learned from 1934–2018 training data were calibrated to the historical distributional structure, which was disrupted by the post-2018 volatility. This is a reminder that </w:t>
      </w:r>
      <w:r>
        <w:rPr>
          <w:spacing w:val="-2"/>
        </w:rPr>
        <w:t>distributional</w:t>
      </w:r>
      <w:r>
        <w:rPr>
          <w:spacing w:val="-9"/>
        </w:rPr>
        <w:t> </w:t>
      </w:r>
      <w:r>
        <w:rPr>
          <w:spacing w:val="-2"/>
        </w:rPr>
        <w:t>rules</w:t>
      </w:r>
      <w:r>
        <w:rPr>
          <w:spacing w:val="-9"/>
        </w:rPr>
        <w:t> </w:t>
      </w:r>
      <w:r>
        <w:rPr>
          <w:spacing w:val="-2"/>
        </w:rPr>
        <w:t>are</w:t>
      </w:r>
      <w:r>
        <w:rPr>
          <w:spacing w:val="-9"/>
        </w:rPr>
        <w:t> </w:t>
      </w:r>
      <w:r>
        <w:rPr>
          <w:spacing w:val="-2"/>
        </w:rPr>
        <w:t>inherently</w:t>
      </w:r>
      <w:r>
        <w:rPr>
          <w:spacing w:val="-9"/>
        </w:rPr>
        <w:t> </w:t>
      </w:r>
      <w:r>
        <w:rPr>
          <w:spacing w:val="-2"/>
        </w:rPr>
        <w:t>backward-looking:</w:t>
      </w:r>
      <w:r>
        <w:rPr/>
        <w:t> </w:t>
      </w:r>
      <w:r>
        <w:rPr>
          <w:spacing w:val="-2"/>
        </w:rPr>
        <w:t>they</w:t>
      </w:r>
      <w:r>
        <w:rPr>
          <w:spacing w:val="-9"/>
        </w:rPr>
        <w:t> </w:t>
      </w:r>
      <w:r>
        <w:rPr>
          <w:spacing w:val="-2"/>
        </w:rPr>
        <w:t>identify</w:t>
      </w:r>
      <w:r>
        <w:rPr>
          <w:spacing w:val="-9"/>
        </w:rPr>
        <w:t> </w:t>
      </w:r>
      <w:r>
        <w:rPr>
          <w:spacing w:val="-2"/>
        </w:rPr>
        <w:t>patterns</w:t>
      </w:r>
      <w:r>
        <w:rPr>
          <w:spacing w:val="-9"/>
        </w:rPr>
        <w:t> </w:t>
      </w:r>
      <w:r>
        <w:rPr>
          <w:spacing w:val="-2"/>
        </w:rPr>
        <w:t>from</w:t>
      </w:r>
      <w:r>
        <w:rPr>
          <w:spacing w:val="-9"/>
        </w:rPr>
        <w:t> </w:t>
      </w:r>
      <w:r>
        <w:rPr>
          <w:spacing w:val="-2"/>
        </w:rPr>
        <w:t>historical</w:t>
      </w:r>
      <w:r>
        <w:rPr>
          <w:spacing w:val="-9"/>
        </w:rPr>
        <w:t> </w:t>
      </w:r>
      <w:r>
        <w:rPr>
          <w:spacing w:val="-2"/>
        </w:rPr>
        <w:t>data,</w:t>
      </w:r>
      <w:r>
        <w:rPr>
          <w:spacing w:val="-8"/>
        </w:rPr>
        <w:t> </w:t>
      </w:r>
      <w:r>
        <w:rPr>
          <w:spacing w:val="-2"/>
        </w:rPr>
        <w:t>and their</w:t>
      </w:r>
      <w:r>
        <w:rPr>
          <w:spacing w:val="-8"/>
        </w:rPr>
        <w:t> </w:t>
      </w:r>
      <w:r>
        <w:rPr>
          <w:spacing w:val="-2"/>
        </w:rPr>
        <w:t>predictive</w:t>
      </w:r>
      <w:r>
        <w:rPr>
          <w:spacing w:val="-8"/>
        </w:rPr>
        <w:t> </w:t>
      </w:r>
      <w:r>
        <w:rPr>
          <w:spacing w:val="-2"/>
        </w:rPr>
        <w:t>value</w:t>
      </w:r>
      <w:r>
        <w:rPr>
          <w:spacing w:val="-7"/>
        </w:rPr>
        <w:t> </w:t>
      </w:r>
      <w:r>
        <w:rPr>
          <w:spacing w:val="-2"/>
        </w:rPr>
        <w:t>diminishes</w:t>
      </w:r>
      <w:r>
        <w:rPr>
          <w:spacing w:val="-8"/>
        </w:rPr>
        <w:t> </w:t>
      </w:r>
      <w:r>
        <w:rPr>
          <w:spacing w:val="-2"/>
        </w:rPr>
        <w:t>when</w:t>
      </w:r>
      <w:r>
        <w:rPr>
          <w:spacing w:val="-7"/>
        </w:rPr>
        <w:t> </w:t>
      </w:r>
      <w:r>
        <w:rPr>
          <w:spacing w:val="-2"/>
        </w:rPr>
        <w:t>the</w:t>
      </w:r>
      <w:r>
        <w:rPr>
          <w:spacing w:val="-8"/>
        </w:rPr>
        <w:t> </w:t>
      </w:r>
      <w:r>
        <w:rPr>
          <w:spacing w:val="-2"/>
        </w:rPr>
        <w:t>future</w:t>
      </w:r>
      <w:r>
        <w:rPr>
          <w:spacing w:val="-7"/>
        </w:rPr>
        <w:t> </w:t>
      </w:r>
      <w:r>
        <w:rPr>
          <w:spacing w:val="-2"/>
        </w:rPr>
        <w:t>departs</w:t>
      </w:r>
      <w:r>
        <w:rPr>
          <w:spacing w:val="-8"/>
        </w:rPr>
        <w:t> </w:t>
      </w:r>
      <w:r>
        <w:rPr>
          <w:spacing w:val="-2"/>
        </w:rPr>
        <w:t>from</w:t>
      </w:r>
      <w:r>
        <w:rPr>
          <w:spacing w:val="-7"/>
        </w:rPr>
        <w:t> </w:t>
      </w:r>
      <w:r>
        <w:rPr>
          <w:spacing w:val="-2"/>
        </w:rPr>
        <w:t>the</w:t>
      </w:r>
      <w:r>
        <w:rPr>
          <w:spacing w:val="-8"/>
        </w:rPr>
        <w:t> </w:t>
      </w:r>
      <w:r>
        <w:rPr>
          <w:spacing w:val="-2"/>
        </w:rPr>
        <w:t>historical</w:t>
      </w:r>
      <w:r>
        <w:rPr>
          <w:spacing w:val="-7"/>
        </w:rPr>
        <w:t> </w:t>
      </w:r>
      <w:r>
        <w:rPr>
          <w:spacing w:val="-2"/>
        </w:rPr>
        <w:t>distributional</w:t>
      </w:r>
      <w:r>
        <w:rPr>
          <w:spacing w:val="-8"/>
        </w:rPr>
        <w:t> </w:t>
      </w:r>
      <w:r>
        <w:rPr>
          <w:spacing w:val="-2"/>
        </w:rPr>
        <w:t>structure.</w:t>
      </w:r>
    </w:p>
    <w:p>
      <w:pPr>
        <w:pStyle w:val="BodyText"/>
      </w:pPr>
    </w:p>
    <w:p>
      <w:pPr>
        <w:pStyle w:val="BodyText"/>
        <w:spacing w:before="229"/>
      </w:pPr>
    </w:p>
    <w:p>
      <w:pPr>
        <w:pStyle w:val="Heading2"/>
        <w:numPr>
          <w:ilvl w:val="1"/>
          <w:numId w:val="35"/>
        </w:numPr>
        <w:tabs>
          <w:tab w:pos="1498" w:val="left" w:leader="none"/>
        </w:tabs>
        <w:spacing w:line="240" w:lineRule="auto" w:before="0" w:after="0"/>
        <w:ind w:left="1498" w:right="0" w:hanging="789"/>
        <w:jc w:val="left"/>
      </w:pPr>
      <w:bookmarkStart w:name="5.12 The Fallback Mechanism: When CarenR" w:id="214"/>
      <w:bookmarkEnd w:id="214"/>
      <w:r>
        <w:rPr>
          <w:b w:val="0"/>
        </w:rPr>
      </w:r>
      <w:bookmarkStart w:name="_bookmark128" w:id="215"/>
      <w:bookmarkEnd w:id="215"/>
      <w:r>
        <w:rPr>
          <w:b w:val="0"/>
        </w:rPr>
      </w:r>
      <w:r>
        <w:rPr/>
        <w:t>The</w:t>
      </w:r>
      <w:r>
        <w:rPr>
          <w:spacing w:val="14"/>
        </w:rPr>
        <w:t> </w:t>
      </w:r>
      <w:r>
        <w:rPr/>
        <w:t>Fallback</w:t>
      </w:r>
      <w:r>
        <w:rPr>
          <w:spacing w:val="14"/>
        </w:rPr>
        <w:t> </w:t>
      </w:r>
      <w:r>
        <w:rPr/>
        <w:t>Mechanism:</w:t>
      </w:r>
      <w:r>
        <w:rPr>
          <w:spacing w:val="34"/>
        </w:rPr>
        <w:t> </w:t>
      </w:r>
      <w:r>
        <w:rPr/>
        <w:t>When</w:t>
      </w:r>
      <w:r>
        <w:rPr>
          <w:spacing w:val="14"/>
        </w:rPr>
        <w:t> </w:t>
      </w:r>
      <w:r>
        <w:rPr/>
        <w:t>CarenR</w:t>
      </w:r>
      <w:r>
        <w:rPr>
          <w:spacing w:val="15"/>
        </w:rPr>
        <w:t> </w:t>
      </w:r>
      <w:r>
        <w:rPr/>
        <w:t>Says</w:t>
      </w:r>
      <w:r>
        <w:rPr>
          <w:spacing w:val="14"/>
        </w:rPr>
        <w:t> </w:t>
      </w:r>
      <w:r>
        <w:rPr/>
        <w:t>“I</w:t>
      </w:r>
      <w:r>
        <w:rPr>
          <w:spacing w:val="14"/>
        </w:rPr>
        <w:t> </w:t>
      </w:r>
      <w:r>
        <w:rPr/>
        <w:t>Don’t</w:t>
      </w:r>
      <w:r>
        <w:rPr>
          <w:spacing w:val="14"/>
        </w:rPr>
        <w:t> </w:t>
      </w:r>
      <w:r>
        <w:rPr>
          <w:spacing w:val="-2"/>
        </w:rPr>
        <w:t>Know”</w:t>
      </w:r>
    </w:p>
    <w:p>
      <w:pPr>
        <w:pStyle w:val="BodyText"/>
        <w:spacing w:before="81"/>
        <w:rPr>
          <w:b/>
          <w:sz w:val="28"/>
        </w:rPr>
      </w:pPr>
    </w:p>
    <w:p>
      <w:pPr>
        <w:pStyle w:val="BodyText"/>
        <w:spacing w:line="312" w:lineRule="auto" w:before="1"/>
        <w:ind w:left="709" w:right="990" w:hanging="8"/>
        <w:jc w:val="both"/>
      </w:pPr>
      <w:r>
        <w:rPr/>
        <w:t>A distinctive and underappreciated feature of the CarenR prediction framework is its explicit </w:t>
      </w:r>
      <w:r>
        <w:rPr>
          <w:spacing w:val="-2"/>
        </w:rPr>
        <w:t>fallback</w:t>
      </w:r>
      <w:r>
        <w:rPr>
          <w:spacing w:val="-10"/>
        </w:rPr>
        <w:t> </w:t>
      </w:r>
      <w:r>
        <w:rPr>
          <w:spacing w:val="-2"/>
        </w:rPr>
        <w:t>mechanism:</w:t>
      </w:r>
      <w:r>
        <w:rPr/>
        <w:t> </w:t>
      </w:r>
      <w:r>
        <w:rPr>
          <w:spacing w:val="-2"/>
        </w:rPr>
        <w:t>when</w:t>
      </w:r>
      <w:r>
        <w:rPr>
          <w:spacing w:val="-10"/>
        </w:rPr>
        <w:t> </w:t>
      </w:r>
      <w:r>
        <w:rPr>
          <w:spacing w:val="-2"/>
        </w:rPr>
        <w:t>no</w:t>
      </w:r>
      <w:r>
        <w:rPr>
          <w:spacing w:val="-10"/>
        </w:rPr>
        <w:t> </w:t>
      </w:r>
      <w:r>
        <w:rPr>
          <w:spacing w:val="-2"/>
        </w:rPr>
        <w:t>rule</w:t>
      </w:r>
      <w:r>
        <w:rPr>
          <w:spacing w:val="-10"/>
        </w:rPr>
        <w:t> </w:t>
      </w:r>
      <w:r>
        <w:rPr>
          <w:spacing w:val="-2"/>
        </w:rPr>
        <w:t>fires</w:t>
      </w:r>
      <w:r>
        <w:rPr>
          <w:spacing w:val="-10"/>
        </w:rPr>
        <w:t> </w:t>
      </w:r>
      <w:r>
        <w:rPr>
          <w:spacing w:val="-2"/>
        </w:rPr>
        <w:t>for</w:t>
      </w:r>
      <w:r>
        <w:rPr>
          <w:spacing w:val="-10"/>
        </w:rPr>
        <w:t> </w:t>
      </w:r>
      <w:r>
        <w:rPr>
          <w:spacing w:val="-2"/>
        </w:rPr>
        <w:t>a</w:t>
      </w:r>
      <w:r>
        <w:rPr>
          <w:spacing w:val="-10"/>
        </w:rPr>
        <w:t> </w:t>
      </w:r>
      <w:r>
        <w:rPr>
          <w:spacing w:val="-2"/>
        </w:rPr>
        <w:t>given</w:t>
      </w:r>
      <w:r>
        <w:rPr>
          <w:spacing w:val="-10"/>
        </w:rPr>
        <w:t> </w:t>
      </w:r>
      <w:r>
        <w:rPr>
          <w:spacing w:val="-2"/>
        </w:rPr>
        <w:t>test</w:t>
      </w:r>
      <w:r>
        <w:rPr>
          <w:spacing w:val="-10"/>
        </w:rPr>
        <w:t> </w:t>
      </w:r>
      <w:r>
        <w:rPr>
          <w:spacing w:val="-2"/>
        </w:rPr>
        <w:t>year,</w:t>
      </w:r>
      <w:r>
        <w:rPr>
          <w:spacing w:val="-9"/>
        </w:rPr>
        <w:t> </w:t>
      </w:r>
      <w:r>
        <w:rPr>
          <w:spacing w:val="-2"/>
        </w:rPr>
        <w:t>the</w:t>
      </w:r>
      <w:r>
        <w:rPr>
          <w:spacing w:val="-10"/>
        </w:rPr>
        <w:t> </w:t>
      </w:r>
      <w:r>
        <w:rPr>
          <w:spacing w:val="-2"/>
        </w:rPr>
        <w:t>model</w:t>
      </w:r>
      <w:r>
        <w:rPr>
          <w:spacing w:val="-10"/>
        </w:rPr>
        <w:t> </w:t>
      </w:r>
      <w:r>
        <w:rPr>
          <w:spacing w:val="-2"/>
        </w:rPr>
        <w:t>predicts</w:t>
      </w:r>
      <w:r>
        <w:rPr>
          <w:spacing w:val="-10"/>
        </w:rPr>
        <w:t> </w:t>
      </w:r>
      <w:r>
        <w:rPr>
          <w:spacing w:val="-2"/>
        </w:rPr>
        <w:t>the</w:t>
      </w:r>
      <w:r>
        <w:rPr>
          <w:spacing w:val="-10"/>
        </w:rPr>
        <w:t> </w:t>
      </w:r>
      <w:r>
        <w:rPr>
          <w:spacing w:val="-2"/>
        </w:rPr>
        <w:t>training</w:t>
      </w:r>
      <w:r>
        <w:rPr>
          <w:spacing w:val="-10"/>
        </w:rPr>
        <w:t> </w:t>
      </w:r>
      <w:r>
        <w:rPr>
          <w:spacing w:val="-2"/>
        </w:rPr>
        <w:t>median </w:t>
      </w:r>
      <w:r>
        <w:rPr/>
        <w:t>residual, the same prediction as the Naive_Median baseline.</w:t>
      </w:r>
      <w:r>
        <w:rPr>
          <w:spacing w:val="35"/>
        </w:rPr>
        <w:t> </w:t>
      </w:r>
      <w:r>
        <w:rPr/>
        <w:t>This produces a zero gap between CarenR and Naive_Median in those scenarios.</w:t>
      </w:r>
    </w:p>
    <w:p>
      <w:pPr>
        <w:pStyle w:val="BodyText"/>
        <w:spacing w:line="312" w:lineRule="auto" w:before="57"/>
        <w:ind w:left="709" w:right="952" w:firstLine="338"/>
        <w:jc w:val="both"/>
      </w:pPr>
      <w:r>
        <w:rPr/>
        <w:t>This</w:t>
      </w:r>
      <w:r>
        <w:rPr>
          <w:spacing w:val="-12"/>
        </w:rPr>
        <w:t> </w:t>
      </w:r>
      <w:r>
        <w:rPr/>
        <w:t>behaviour</w:t>
      </w:r>
      <w:r>
        <w:rPr>
          <w:spacing w:val="-12"/>
        </w:rPr>
        <w:t> </w:t>
      </w:r>
      <w:r>
        <w:rPr/>
        <w:t>is</w:t>
      </w:r>
      <w:r>
        <w:rPr>
          <w:spacing w:val="-12"/>
        </w:rPr>
        <w:t> </w:t>
      </w:r>
      <w:r>
        <w:rPr/>
        <w:t>not</w:t>
      </w:r>
      <w:r>
        <w:rPr>
          <w:spacing w:val="-12"/>
        </w:rPr>
        <w:t> </w:t>
      </w:r>
      <w:r>
        <w:rPr/>
        <w:t>a</w:t>
      </w:r>
      <w:r>
        <w:rPr>
          <w:spacing w:val="-12"/>
        </w:rPr>
        <w:t> </w:t>
      </w:r>
      <w:r>
        <w:rPr/>
        <w:t>failure;</w:t>
      </w:r>
      <w:r>
        <w:rPr>
          <w:spacing w:val="-12"/>
        </w:rPr>
        <w:t> </w:t>
      </w:r>
      <w:r>
        <w:rPr/>
        <w:t>it</w:t>
      </w:r>
      <w:r>
        <w:rPr>
          <w:spacing w:val="-12"/>
        </w:rPr>
        <w:t> </w:t>
      </w:r>
      <w:r>
        <w:rPr/>
        <w:t>is</w:t>
      </w:r>
      <w:r>
        <w:rPr>
          <w:spacing w:val="-12"/>
        </w:rPr>
        <w:t> </w:t>
      </w:r>
      <w:r>
        <w:rPr/>
        <w:t>the</w:t>
      </w:r>
      <w:r>
        <w:rPr>
          <w:spacing w:val="-12"/>
        </w:rPr>
        <w:t> </w:t>
      </w:r>
      <w:r>
        <w:rPr/>
        <w:t>model</w:t>
      </w:r>
      <w:r>
        <w:rPr>
          <w:spacing w:val="-12"/>
        </w:rPr>
        <w:t> </w:t>
      </w:r>
      <w:r>
        <w:rPr/>
        <w:t>correctly</w:t>
      </w:r>
      <w:r>
        <w:rPr>
          <w:spacing w:val="-12"/>
        </w:rPr>
        <w:t> </w:t>
      </w:r>
      <w:r>
        <w:rPr/>
        <w:t>communicating</w:t>
      </w:r>
      <w:r>
        <w:rPr>
          <w:spacing w:val="-12"/>
        </w:rPr>
        <w:t> </w:t>
      </w:r>
      <w:r>
        <w:rPr/>
        <w:t>uncertainty.</w:t>
      </w:r>
      <w:r>
        <w:rPr>
          <w:spacing w:val="-1"/>
        </w:rPr>
        <w:t> </w:t>
      </w:r>
      <w:r>
        <w:rPr/>
        <w:t>A</w:t>
      </w:r>
      <w:r>
        <w:rPr>
          <w:spacing w:val="-12"/>
        </w:rPr>
        <w:t> </w:t>
      </w:r>
      <w:r>
        <w:rPr/>
        <w:t>CarenR fallback</w:t>
      </w:r>
      <w:r>
        <w:rPr>
          <w:spacing w:val="-12"/>
        </w:rPr>
        <w:t> </w:t>
      </w:r>
      <w:r>
        <w:rPr/>
        <w:t>is</w:t>
      </w:r>
      <w:r>
        <w:rPr>
          <w:spacing w:val="-12"/>
        </w:rPr>
        <w:t> </w:t>
      </w:r>
      <w:r>
        <w:rPr/>
        <w:t>semantically</w:t>
      </w:r>
      <w:r>
        <w:rPr>
          <w:spacing w:val="-12"/>
        </w:rPr>
        <w:t> </w:t>
      </w:r>
      <w:r>
        <w:rPr/>
        <w:t>equivalent</w:t>
      </w:r>
      <w:r>
        <w:rPr>
          <w:spacing w:val="-12"/>
        </w:rPr>
        <w:t> </w:t>
      </w:r>
      <w:r>
        <w:rPr/>
        <w:t>to</w:t>
      </w:r>
      <w:r>
        <w:rPr>
          <w:spacing w:val="-12"/>
        </w:rPr>
        <w:t> </w:t>
      </w:r>
      <w:r>
        <w:rPr/>
        <w:t>saying:</w:t>
      </w:r>
      <w:r>
        <w:rPr>
          <w:spacing w:val="-1"/>
        </w:rPr>
        <w:t> </w:t>
      </w:r>
      <w:r>
        <w:rPr/>
        <w:t>“the</w:t>
      </w:r>
      <w:r>
        <w:rPr>
          <w:spacing w:val="-12"/>
        </w:rPr>
        <w:t> </w:t>
      </w:r>
      <w:r>
        <w:rPr/>
        <w:t>climate</w:t>
      </w:r>
      <w:r>
        <w:rPr>
          <w:spacing w:val="-12"/>
        </w:rPr>
        <w:t> </w:t>
      </w:r>
      <w:r>
        <w:rPr/>
        <w:t>conditions</w:t>
      </w:r>
      <w:r>
        <w:rPr>
          <w:spacing w:val="-12"/>
        </w:rPr>
        <w:t> </w:t>
      </w:r>
      <w:r>
        <w:rPr/>
        <w:t>of</w:t>
      </w:r>
      <w:r>
        <w:rPr>
          <w:spacing w:val="-12"/>
        </w:rPr>
        <w:t> </w:t>
      </w:r>
      <w:r>
        <w:rPr/>
        <w:t>this</w:t>
      </w:r>
      <w:r>
        <w:rPr>
          <w:spacing w:val="-12"/>
        </w:rPr>
        <w:t> </w:t>
      </w:r>
      <w:r>
        <w:rPr/>
        <w:t>test</w:t>
      </w:r>
      <w:r>
        <w:rPr>
          <w:spacing w:val="-12"/>
        </w:rPr>
        <w:t> </w:t>
      </w:r>
      <w:r>
        <w:rPr/>
        <w:t>year</w:t>
      </w:r>
      <w:r>
        <w:rPr>
          <w:spacing w:val="-12"/>
        </w:rPr>
        <w:t> </w:t>
      </w:r>
      <w:r>
        <w:rPr/>
        <w:t>do</w:t>
      </w:r>
      <w:r>
        <w:rPr>
          <w:spacing w:val="-12"/>
        </w:rPr>
        <w:t> </w:t>
      </w:r>
      <w:r>
        <w:rPr/>
        <w:t>not</w:t>
      </w:r>
      <w:r>
        <w:rPr>
          <w:spacing w:val="-12"/>
        </w:rPr>
        <w:t> </w:t>
      </w:r>
      <w:r>
        <w:rPr/>
        <w:t>match any</w:t>
      </w:r>
      <w:r>
        <w:rPr>
          <w:spacing w:val="-5"/>
        </w:rPr>
        <w:t> </w:t>
      </w:r>
      <w:r>
        <w:rPr/>
        <w:t>of</w:t>
      </w:r>
      <w:r>
        <w:rPr>
          <w:spacing w:val="-5"/>
        </w:rPr>
        <w:t> </w:t>
      </w:r>
      <w:r>
        <w:rPr/>
        <w:t>the</w:t>
      </w:r>
      <w:r>
        <w:rPr>
          <w:spacing w:val="-5"/>
        </w:rPr>
        <w:t> </w:t>
      </w:r>
      <w:r>
        <w:rPr/>
        <w:t>patterns</w:t>
      </w:r>
      <w:r>
        <w:rPr>
          <w:spacing w:val="-5"/>
        </w:rPr>
        <w:t> </w:t>
      </w:r>
      <w:r>
        <w:rPr/>
        <w:t>I</w:t>
      </w:r>
      <w:r>
        <w:rPr>
          <w:spacing w:val="-5"/>
        </w:rPr>
        <w:t> </w:t>
      </w:r>
      <w:r>
        <w:rPr/>
        <w:t>learned</w:t>
      </w:r>
      <w:r>
        <w:rPr>
          <w:spacing w:val="-5"/>
        </w:rPr>
        <w:t> </w:t>
      </w:r>
      <w:r>
        <w:rPr/>
        <w:t>from</w:t>
      </w:r>
      <w:r>
        <w:rPr>
          <w:spacing w:val="-5"/>
        </w:rPr>
        <w:t> </w:t>
      </w:r>
      <w:r>
        <w:rPr/>
        <w:t>historical</w:t>
      </w:r>
      <w:r>
        <w:rPr>
          <w:spacing w:val="-5"/>
        </w:rPr>
        <w:t> </w:t>
      </w:r>
      <w:r>
        <w:rPr/>
        <w:t>data</w:t>
      </w:r>
      <w:r>
        <w:rPr>
          <w:spacing w:val="-5"/>
        </w:rPr>
        <w:t> </w:t>
      </w:r>
      <w:r>
        <w:rPr/>
        <w:t>with</w:t>
      </w:r>
      <w:r>
        <w:rPr>
          <w:spacing w:val="-5"/>
        </w:rPr>
        <w:t> </w:t>
      </w:r>
      <w:r>
        <w:rPr/>
        <w:t>sufficient</w:t>
      </w:r>
      <w:r>
        <w:rPr>
          <w:spacing w:val="-5"/>
        </w:rPr>
        <w:t> </w:t>
      </w:r>
      <w:r>
        <w:rPr/>
        <w:t>confidence. My</w:t>
      </w:r>
      <w:r>
        <w:rPr>
          <w:spacing w:val="-5"/>
        </w:rPr>
        <w:t> </w:t>
      </w:r>
      <w:r>
        <w:rPr/>
        <w:t>best</w:t>
      </w:r>
      <w:r>
        <w:rPr>
          <w:spacing w:val="-5"/>
        </w:rPr>
        <w:t> </w:t>
      </w:r>
      <w:r>
        <w:rPr/>
        <w:t>prediction</w:t>
      </w:r>
      <w:r>
        <w:rPr>
          <w:spacing w:val="-5"/>
        </w:rPr>
        <w:t> </w:t>
      </w:r>
      <w:r>
        <w:rPr/>
        <w:t>is therefore the training median — equivalent to the Naive_Median baseline.” This is a principled, </w:t>
      </w:r>
      <w:r>
        <w:rPr>
          <w:spacing w:val="-2"/>
        </w:rPr>
        <w:t>conservative</w:t>
      </w:r>
      <w:r>
        <w:rPr>
          <w:spacing w:val="-9"/>
        </w:rPr>
        <w:t> </w:t>
      </w:r>
      <w:r>
        <w:rPr>
          <w:spacing w:val="-2"/>
        </w:rPr>
        <w:t>position</w:t>
      </w:r>
      <w:r>
        <w:rPr>
          <w:spacing w:val="-8"/>
        </w:rPr>
        <w:t> </w:t>
      </w:r>
      <w:r>
        <w:rPr>
          <w:spacing w:val="-2"/>
        </w:rPr>
        <w:t>that</w:t>
      </w:r>
      <w:r>
        <w:rPr>
          <w:spacing w:val="-9"/>
        </w:rPr>
        <w:t> </w:t>
      </w:r>
      <w:r>
        <w:rPr>
          <w:spacing w:val="-2"/>
        </w:rPr>
        <w:t>avoids</w:t>
      </w:r>
      <w:r>
        <w:rPr>
          <w:spacing w:val="-8"/>
        </w:rPr>
        <w:t> </w:t>
      </w:r>
      <w:r>
        <w:rPr>
          <w:spacing w:val="-2"/>
        </w:rPr>
        <w:t>compounding</w:t>
      </w:r>
      <w:r>
        <w:rPr>
          <w:spacing w:val="-9"/>
        </w:rPr>
        <w:t> </w:t>
      </w:r>
      <w:r>
        <w:rPr>
          <w:spacing w:val="-2"/>
        </w:rPr>
        <w:t>error</w:t>
      </w:r>
      <w:r>
        <w:rPr>
          <w:spacing w:val="-8"/>
        </w:rPr>
        <w:t> </w:t>
      </w:r>
      <w:r>
        <w:rPr>
          <w:spacing w:val="-2"/>
        </w:rPr>
        <w:t>by</w:t>
      </w:r>
      <w:r>
        <w:rPr>
          <w:spacing w:val="-8"/>
        </w:rPr>
        <w:t> </w:t>
      </w:r>
      <w:r>
        <w:rPr>
          <w:spacing w:val="-2"/>
        </w:rPr>
        <w:t>applying</w:t>
      </w:r>
      <w:r>
        <w:rPr>
          <w:spacing w:val="-9"/>
        </w:rPr>
        <w:t> </w:t>
      </w:r>
      <w:r>
        <w:rPr>
          <w:spacing w:val="-2"/>
        </w:rPr>
        <w:t>a</w:t>
      </w:r>
      <w:r>
        <w:rPr>
          <w:spacing w:val="-8"/>
        </w:rPr>
        <w:t> </w:t>
      </w:r>
      <w:r>
        <w:rPr>
          <w:spacing w:val="-2"/>
        </w:rPr>
        <w:t>rule</w:t>
      </w:r>
      <w:r>
        <w:rPr>
          <w:spacing w:val="-9"/>
        </w:rPr>
        <w:t> </w:t>
      </w:r>
      <w:r>
        <w:rPr>
          <w:spacing w:val="-2"/>
        </w:rPr>
        <w:t>that</w:t>
      </w:r>
      <w:r>
        <w:rPr>
          <w:spacing w:val="-8"/>
        </w:rPr>
        <w:t> </w:t>
      </w:r>
      <w:r>
        <w:rPr>
          <w:spacing w:val="-2"/>
        </w:rPr>
        <w:t>may</w:t>
      </w:r>
      <w:r>
        <w:rPr>
          <w:spacing w:val="-8"/>
        </w:rPr>
        <w:t> </w:t>
      </w:r>
      <w:r>
        <w:rPr>
          <w:spacing w:val="-2"/>
        </w:rPr>
        <w:t>not</w:t>
      </w:r>
      <w:r>
        <w:rPr>
          <w:spacing w:val="-9"/>
        </w:rPr>
        <w:t> </w:t>
      </w:r>
      <w:r>
        <w:rPr>
          <w:spacing w:val="-2"/>
        </w:rPr>
        <w:t>be</w:t>
      </w:r>
      <w:r>
        <w:rPr>
          <w:spacing w:val="-8"/>
        </w:rPr>
        <w:t> </w:t>
      </w:r>
      <w:r>
        <w:rPr>
          <w:spacing w:val="-2"/>
        </w:rPr>
        <w:t>appropriate.</w:t>
      </w:r>
    </w:p>
    <w:p>
      <w:pPr>
        <w:pStyle w:val="BodyText"/>
        <w:spacing w:line="312" w:lineRule="auto" w:before="57"/>
        <w:ind w:left="703" w:right="990" w:firstLine="344"/>
        <w:jc w:val="both"/>
      </w:pPr>
      <w:r>
        <w:rPr/>
        <w:t>The</w:t>
      </w:r>
      <w:r>
        <w:rPr>
          <w:spacing w:val="-4"/>
        </w:rPr>
        <w:t> </w:t>
      </w:r>
      <w:r>
        <w:rPr/>
        <w:t>contrast</w:t>
      </w:r>
      <w:r>
        <w:rPr>
          <w:spacing w:val="-4"/>
        </w:rPr>
        <w:t> </w:t>
      </w:r>
      <w:r>
        <w:rPr/>
        <w:t>with</w:t>
      </w:r>
      <w:r>
        <w:rPr>
          <w:spacing w:val="-4"/>
        </w:rPr>
        <w:t> </w:t>
      </w:r>
      <w:r>
        <w:rPr/>
        <w:t>RIPPER</w:t>
      </w:r>
      <w:r>
        <w:rPr>
          <w:spacing w:val="-4"/>
        </w:rPr>
        <w:t> </w:t>
      </w:r>
      <w:r>
        <w:rPr/>
        <w:t>is</w:t>
      </w:r>
      <w:r>
        <w:rPr>
          <w:spacing w:val="-4"/>
        </w:rPr>
        <w:t> </w:t>
      </w:r>
      <w:r>
        <w:rPr/>
        <w:t>instructive. RIPPER</w:t>
      </w:r>
      <w:r>
        <w:rPr>
          <w:spacing w:val="-4"/>
        </w:rPr>
        <w:t> </w:t>
      </w:r>
      <w:r>
        <w:rPr/>
        <w:t>always</w:t>
      </w:r>
      <w:r>
        <w:rPr>
          <w:spacing w:val="-4"/>
        </w:rPr>
        <w:t> </w:t>
      </w:r>
      <w:r>
        <w:rPr/>
        <w:t>assigns</w:t>
      </w:r>
      <w:r>
        <w:rPr>
          <w:spacing w:val="-4"/>
        </w:rPr>
        <w:t> </w:t>
      </w:r>
      <w:r>
        <w:rPr/>
        <w:t>a</w:t>
      </w:r>
      <w:r>
        <w:rPr>
          <w:spacing w:val="-4"/>
        </w:rPr>
        <w:t> </w:t>
      </w:r>
      <w:r>
        <w:rPr/>
        <w:t>class;</w:t>
      </w:r>
      <w:r>
        <w:rPr>
          <w:spacing w:val="-4"/>
        </w:rPr>
        <w:t> </w:t>
      </w:r>
      <w:r>
        <w:rPr/>
        <w:t>it</w:t>
      </w:r>
      <w:r>
        <w:rPr>
          <w:spacing w:val="-4"/>
        </w:rPr>
        <w:t> </w:t>
      </w:r>
      <w:r>
        <w:rPr/>
        <w:t>has</w:t>
      </w:r>
      <w:r>
        <w:rPr>
          <w:spacing w:val="-4"/>
        </w:rPr>
        <w:t> </w:t>
      </w:r>
      <w:r>
        <w:rPr/>
        <w:t>a</w:t>
      </w:r>
      <w:r>
        <w:rPr>
          <w:spacing w:val="-4"/>
        </w:rPr>
        <w:t> </w:t>
      </w:r>
      <w:r>
        <w:rPr/>
        <w:t>default</w:t>
      </w:r>
      <w:r>
        <w:rPr>
          <w:spacing w:val="-4"/>
        </w:rPr>
        <w:t> </w:t>
      </w:r>
      <w:r>
        <w:rPr/>
        <w:t>rule that catches all unmatched observations, and it will always produce a prediction.</w:t>
      </w:r>
      <w:r>
        <w:rPr>
          <w:spacing w:val="40"/>
        </w:rPr>
        <w:t> </w:t>
      </w:r>
      <w:r>
        <w:rPr/>
        <w:t>This means RIPPER never explicitly signals uncertainty; every test year gets a confident class assignment </w:t>
      </w:r>
      <w:r>
        <w:rPr>
          <w:spacing w:val="-2"/>
        </w:rPr>
        <w:t>regardless</w:t>
      </w:r>
      <w:r>
        <w:rPr>
          <w:spacing w:val="-12"/>
        </w:rPr>
        <w:t> </w:t>
      </w:r>
      <w:r>
        <w:rPr>
          <w:spacing w:val="-2"/>
        </w:rPr>
        <w:t>of</w:t>
      </w:r>
      <w:r>
        <w:rPr>
          <w:spacing w:val="-12"/>
        </w:rPr>
        <w:t> </w:t>
      </w:r>
      <w:r>
        <w:rPr>
          <w:spacing w:val="-2"/>
        </w:rPr>
        <w:t>how</w:t>
      </w:r>
      <w:r>
        <w:rPr>
          <w:spacing w:val="-12"/>
        </w:rPr>
        <w:t> </w:t>
      </w:r>
      <w:r>
        <w:rPr>
          <w:spacing w:val="-2"/>
        </w:rPr>
        <w:t>well</w:t>
      </w:r>
      <w:r>
        <w:rPr>
          <w:spacing w:val="-11"/>
        </w:rPr>
        <w:t> </w:t>
      </w:r>
      <w:r>
        <w:rPr>
          <w:spacing w:val="-2"/>
        </w:rPr>
        <w:t>it</w:t>
      </w:r>
      <w:r>
        <w:rPr>
          <w:spacing w:val="-12"/>
        </w:rPr>
        <w:t> </w:t>
      </w:r>
      <w:r>
        <w:rPr>
          <w:spacing w:val="-2"/>
        </w:rPr>
        <w:t>matches</w:t>
      </w:r>
      <w:r>
        <w:rPr>
          <w:spacing w:val="-12"/>
        </w:rPr>
        <w:t> </w:t>
      </w:r>
      <w:r>
        <w:rPr>
          <w:spacing w:val="-2"/>
        </w:rPr>
        <w:t>the</w:t>
      </w:r>
      <w:r>
        <w:rPr>
          <w:spacing w:val="-12"/>
        </w:rPr>
        <w:t> </w:t>
      </w:r>
      <w:r>
        <w:rPr>
          <w:spacing w:val="-2"/>
        </w:rPr>
        <w:t>training</w:t>
      </w:r>
      <w:r>
        <w:rPr>
          <w:spacing w:val="-11"/>
        </w:rPr>
        <w:t> </w:t>
      </w:r>
      <w:r>
        <w:rPr>
          <w:spacing w:val="-2"/>
        </w:rPr>
        <w:t>patterns.</w:t>
      </w:r>
      <w:r>
        <w:rPr>
          <w:spacing w:val="-12"/>
        </w:rPr>
        <w:t> </w:t>
      </w:r>
      <w:r>
        <w:rPr>
          <w:spacing w:val="-2"/>
        </w:rPr>
        <w:t>The</w:t>
      </w:r>
      <w:r>
        <w:rPr>
          <w:spacing w:val="-12"/>
        </w:rPr>
        <w:t> </w:t>
      </w:r>
      <w:r>
        <w:rPr>
          <w:spacing w:val="-2"/>
        </w:rPr>
        <w:t>result</w:t>
      </w:r>
      <w:r>
        <w:rPr>
          <w:spacing w:val="-12"/>
        </w:rPr>
        <w:t> </w:t>
      </w:r>
      <w:r>
        <w:rPr>
          <w:spacing w:val="-2"/>
        </w:rPr>
        <w:t>is</w:t>
      </w:r>
      <w:r>
        <w:rPr>
          <w:spacing w:val="-11"/>
        </w:rPr>
        <w:t> </w:t>
      </w:r>
      <w:r>
        <w:rPr>
          <w:spacing w:val="-2"/>
        </w:rPr>
        <w:t>that</w:t>
      </w:r>
      <w:r>
        <w:rPr>
          <w:spacing w:val="-12"/>
        </w:rPr>
        <w:t> </w:t>
      </w:r>
      <w:r>
        <w:rPr>
          <w:spacing w:val="-2"/>
        </w:rPr>
        <w:t>RIPPER’s</w:t>
      </w:r>
      <w:r>
        <w:rPr>
          <w:spacing w:val="-12"/>
        </w:rPr>
        <w:t> </w:t>
      </w:r>
      <w:r>
        <w:rPr>
          <w:spacing w:val="-2"/>
        </w:rPr>
        <w:t>errors</w:t>
      </w:r>
      <w:r>
        <w:rPr>
          <w:spacing w:val="-12"/>
        </w:rPr>
        <w:t> </w:t>
      </w:r>
      <w:r>
        <w:rPr>
          <w:spacing w:val="-2"/>
        </w:rPr>
        <w:t>in</w:t>
      </w:r>
      <w:r>
        <w:rPr>
          <w:spacing w:val="-11"/>
        </w:rPr>
        <w:t> </w:t>
      </w:r>
      <w:r>
        <w:rPr>
          <w:spacing w:val="-2"/>
        </w:rPr>
        <w:t>difficult </w:t>
      </w:r>
      <w:r>
        <w:rPr/>
        <w:t>years are often larger than CarenR’s, because CarenR defaults to the safe median while RIPPER applies its default (most-common-class) rule.</w:t>
      </w:r>
    </w:p>
    <w:p>
      <w:pPr>
        <w:pStyle w:val="BodyText"/>
        <w:spacing w:before="5"/>
      </w:pPr>
    </w:p>
    <w:p>
      <w:pPr>
        <w:spacing w:before="0"/>
        <w:ind w:left="601" w:right="888" w:firstLine="0"/>
        <w:jc w:val="center"/>
        <w:rPr>
          <w:sz w:val="20"/>
        </w:rPr>
      </w:pPr>
      <w:bookmarkStart w:name="_bookmark129" w:id="216"/>
      <w:bookmarkEnd w:id="216"/>
      <w:r>
        <w:rPr/>
      </w:r>
      <w:r>
        <w:rPr>
          <w:b/>
          <w:sz w:val="20"/>
        </w:rPr>
        <w:t>Table</w:t>
      </w:r>
      <w:r>
        <w:rPr>
          <w:b/>
          <w:spacing w:val="-8"/>
          <w:sz w:val="20"/>
        </w:rPr>
        <w:t> </w:t>
      </w:r>
      <w:r>
        <w:rPr>
          <w:b/>
          <w:sz w:val="20"/>
        </w:rPr>
        <w:t>5.11:</w:t>
      </w:r>
      <w:r>
        <w:rPr>
          <w:b/>
          <w:spacing w:val="3"/>
          <w:sz w:val="20"/>
        </w:rPr>
        <w:t> </w:t>
      </w:r>
      <w:r>
        <w:rPr>
          <w:sz w:val="20"/>
        </w:rPr>
        <w:t>The</w:t>
      </w:r>
      <w:r>
        <w:rPr>
          <w:spacing w:val="-7"/>
          <w:sz w:val="20"/>
        </w:rPr>
        <w:t> </w:t>
      </w:r>
      <w:r>
        <w:rPr>
          <w:sz w:val="20"/>
        </w:rPr>
        <w:t>three</w:t>
      </w:r>
      <w:r>
        <w:rPr>
          <w:spacing w:val="-8"/>
          <w:sz w:val="20"/>
        </w:rPr>
        <w:t> </w:t>
      </w:r>
      <w:r>
        <w:rPr>
          <w:sz w:val="20"/>
        </w:rPr>
        <w:t>possible</w:t>
      </w:r>
      <w:r>
        <w:rPr>
          <w:spacing w:val="-7"/>
          <w:sz w:val="20"/>
        </w:rPr>
        <w:t> </w:t>
      </w:r>
      <w:r>
        <w:rPr>
          <w:sz w:val="20"/>
        </w:rPr>
        <w:t>outcomes</w:t>
      </w:r>
      <w:r>
        <w:rPr>
          <w:spacing w:val="-7"/>
          <w:sz w:val="20"/>
        </w:rPr>
        <w:t> </w:t>
      </w:r>
      <w:r>
        <w:rPr>
          <w:sz w:val="20"/>
        </w:rPr>
        <w:t>of</w:t>
      </w:r>
      <w:r>
        <w:rPr>
          <w:spacing w:val="-8"/>
          <w:sz w:val="20"/>
        </w:rPr>
        <w:t> </w:t>
      </w:r>
      <w:r>
        <w:rPr>
          <w:sz w:val="20"/>
        </w:rPr>
        <w:t>CarenR</w:t>
      </w:r>
      <w:r>
        <w:rPr>
          <w:spacing w:val="-7"/>
          <w:sz w:val="20"/>
        </w:rPr>
        <w:t> </w:t>
      </w:r>
      <w:r>
        <w:rPr>
          <w:sz w:val="20"/>
        </w:rPr>
        <w:t>prediction</w:t>
      </w:r>
      <w:r>
        <w:rPr>
          <w:spacing w:val="-8"/>
          <w:sz w:val="20"/>
        </w:rPr>
        <w:t> </w:t>
      </w:r>
      <w:r>
        <w:rPr>
          <w:sz w:val="20"/>
        </w:rPr>
        <w:t>and</w:t>
      </w:r>
      <w:r>
        <w:rPr>
          <w:spacing w:val="-7"/>
          <w:sz w:val="20"/>
        </w:rPr>
        <w:t> </w:t>
      </w:r>
      <w:r>
        <w:rPr>
          <w:sz w:val="20"/>
        </w:rPr>
        <w:t>their</w:t>
      </w:r>
      <w:r>
        <w:rPr>
          <w:spacing w:val="-7"/>
          <w:sz w:val="20"/>
        </w:rPr>
        <w:t> </w:t>
      </w:r>
      <w:r>
        <w:rPr>
          <w:spacing w:val="-2"/>
          <w:sz w:val="20"/>
        </w:rPr>
        <w:t>interpretation.</w:t>
      </w:r>
    </w:p>
    <w:p>
      <w:pPr>
        <w:pStyle w:val="BodyText"/>
        <w:spacing w:before="5"/>
        <w:rPr>
          <w:sz w:val="18"/>
        </w:rPr>
      </w:pPr>
      <w:r>
        <w:rPr>
          <w:sz w:val="18"/>
        </w:rPr>
        <mc:AlternateContent>
          <mc:Choice Requires="wps">
            <w:drawing>
              <wp:anchor distT="0" distB="0" distL="0" distR="0" allowOverlap="1" layoutInCell="1" locked="0" behindDoc="1" simplePos="0" relativeHeight="487629824">
                <wp:simplePos x="0" y="0"/>
                <wp:positionH relativeFrom="page">
                  <wp:posOffset>1260005</wp:posOffset>
                </wp:positionH>
                <wp:positionV relativeFrom="paragraph">
                  <wp:posOffset>150255</wp:posOffset>
                </wp:positionV>
                <wp:extent cx="5400040" cy="1270"/>
                <wp:effectExtent l="0" t="0" r="0" b="0"/>
                <wp:wrapTopAndBottom/>
                <wp:docPr id="232" name="Graphic 232"/>
                <wp:cNvGraphicFramePr>
                  <a:graphicFrameLocks/>
                </wp:cNvGraphicFramePr>
                <a:graphic>
                  <a:graphicData uri="http://schemas.microsoft.com/office/word/2010/wordprocessingShape">
                    <wps:wsp>
                      <wps:cNvPr id="232" name="Graphic 232"/>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1.831141pt;width:425.2pt;height:.1pt;mso-position-horizontal-relative:page;mso-position-vertical-relative:paragraph;z-index:-15686656;mso-wrap-distance-left:0;mso-wrap-distance-right:0" id="docshape196" coordorigin="1984,237" coordsize="8504,0" path="m1984,237l10488,237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7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04"/>
        <w:gridCol w:w="1835"/>
        <w:gridCol w:w="1495"/>
        <w:gridCol w:w="1382"/>
        <w:gridCol w:w="2192"/>
      </w:tblGrid>
      <w:tr>
        <w:trPr>
          <w:trHeight w:val="585" w:hRule="atLeast"/>
        </w:trPr>
        <w:tc>
          <w:tcPr>
            <w:tcW w:w="1604" w:type="dxa"/>
            <w:tcBorders>
              <w:top w:val="nil"/>
              <w:left w:val="nil"/>
              <w:right w:val="single" w:sz="4" w:space="0" w:color="000000"/>
            </w:tcBorders>
          </w:tcPr>
          <w:p>
            <w:pPr>
              <w:pStyle w:val="TableParagraph"/>
              <w:spacing w:before="31"/>
              <w:ind w:left="119"/>
              <w:rPr>
                <w:sz w:val="20"/>
              </w:rPr>
            </w:pPr>
            <w:r>
              <w:rPr>
                <w:sz w:val="20"/>
              </w:rPr>
              <w:t>Scenario</w:t>
            </w:r>
            <w:r>
              <w:rPr>
                <w:spacing w:val="-8"/>
                <w:sz w:val="20"/>
              </w:rPr>
              <w:t> </w:t>
            </w:r>
            <w:r>
              <w:rPr>
                <w:spacing w:val="-4"/>
                <w:sz w:val="20"/>
              </w:rPr>
              <w:t>type</w:t>
            </w:r>
          </w:p>
        </w:tc>
        <w:tc>
          <w:tcPr>
            <w:tcW w:w="1835" w:type="dxa"/>
            <w:tcBorders>
              <w:top w:val="nil"/>
              <w:left w:val="single" w:sz="4" w:space="0" w:color="000000"/>
              <w:right w:val="single" w:sz="4" w:space="0" w:color="000000"/>
            </w:tcBorders>
          </w:tcPr>
          <w:p>
            <w:pPr>
              <w:pStyle w:val="TableParagraph"/>
              <w:spacing w:before="31"/>
              <w:ind w:left="118"/>
              <w:rPr>
                <w:sz w:val="20"/>
              </w:rPr>
            </w:pPr>
            <w:r>
              <w:rPr>
                <w:sz w:val="20"/>
              </w:rPr>
              <w:t>CarenR</w:t>
            </w:r>
            <w:r>
              <w:rPr>
                <w:spacing w:val="-8"/>
                <w:sz w:val="20"/>
              </w:rPr>
              <w:t> </w:t>
            </w:r>
            <w:r>
              <w:rPr>
                <w:spacing w:val="-2"/>
                <w:sz w:val="20"/>
              </w:rPr>
              <w:t>behaviour</w:t>
            </w:r>
          </w:p>
        </w:tc>
        <w:tc>
          <w:tcPr>
            <w:tcW w:w="1495" w:type="dxa"/>
            <w:tcBorders>
              <w:top w:val="nil"/>
              <w:left w:val="single" w:sz="4" w:space="0" w:color="000000"/>
              <w:right w:val="single" w:sz="4" w:space="0" w:color="000000"/>
            </w:tcBorders>
          </w:tcPr>
          <w:p>
            <w:pPr>
              <w:pStyle w:val="TableParagraph"/>
              <w:spacing w:before="31"/>
              <w:ind w:left="117"/>
              <w:rPr>
                <w:sz w:val="20"/>
              </w:rPr>
            </w:pPr>
            <w:r>
              <w:rPr>
                <w:spacing w:val="-2"/>
                <w:sz w:val="20"/>
              </w:rPr>
              <w:t>Prediction</w:t>
            </w:r>
          </w:p>
        </w:tc>
        <w:tc>
          <w:tcPr>
            <w:tcW w:w="1382" w:type="dxa"/>
            <w:tcBorders>
              <w:top w:val="nil"/>
              <w:left w:val="single" w:sz="4" w:space="0" w:color="000000"/>
              <w:right w:val="single" w:sz="4" w:space="0" w:color="000000"/>
            </w:tcBorders>
          </w:tcPr>
          <w:p>
            <w:pPr>
              <w:pStyle w:val="TableParagraph"/>
              <w:spacing w:line="249" w:lineRule="auto" w:before="31"/>
              <w:ind w:left="117"/>
              <w:rPr>
                <w:sz w:val="20"/>
              </w:rPr>
            </w:pPr>
            <w:r>
              <w:rPr>
                <w:sz w:val="20"/>
              </w:rPr>
              <w:t>Gap</w:t>
            </w:r>
            <w:r>
              <w:rPr>
                <w:spacing w:val="40"/>
                <w:sz w:val="20"/>
              </w:rPr>
              <w:t> </w:t>
            </w:r>
            <w:r>
              <w:rPr>
                <w:sz w:val="20"/>
              </w:rPr>
              <w:t>vs</w:t>
            </w:r>
            <w:r>
              <w:rPr>
                <w:spacing w:val="40"/>
                <w:sz w:val="20"/>
              </w:rPr>
              <w:t> </w:t>
            </w:r>
            <w:r>
              <w:rPr>
                <w:sz w:val="20"/>
              </w:rPr>
              <w:t>base-</w:t>
            </w:r>
            <w:r>
              <w:rPr>
                <w:spacing w:val="-4"/>
                <w:sz w:val="20"/>
              </w:rPr>
              <w:t>line</w:t>
            </w:r>
          </w:p>
        </w:tc>
        <w:tc>
          <w:tcPr>
            <w:tcW w:w="2192" w:type="dxa"/>
            <w:tcBorders>
              <w:top w:val="nil"/>
              <w:left w:val="single" w:sz="4" w:space="0" w:color="000000"/>
              <w:right w:val="nil"/>
            </w:tcBorders>
          </w:tcPr>
          <w:p>
            <w:pPr>
              <w:pStyle w:val="TableParagraph"/>
              <w:spacing w:before="31"/>
              <w:ind w:left="115"/>
              <w:rPr>
                <w:sz w:val="20"/>
              </w:rPr>
            </w:pPr>
            <w:r>
              <w:rPr>
                <w:spacing w:val="-2"/>
                <w:sz w:val="20"/>
              </w:rPr>
              <w:t>Interpretation</w:t>
            </w:r>
          </w:p>
        </w:tc>
      </w:tr>
    </w:tbl>
    <w:p>
      <w:pPr>
        <w:pStyle w:val="BodyText"/>
        <w:spacing w:before="10"/>
        <w:rPr>
          <w:sz w:val="4"/>
        </w:rPr>
      </w:pPr>
    </w:p>
    <w:tbl>
      <w:tblPr>
        <w:tblW w:w="0" w:type="auto"/>
        <w:jc w:val="left"/>
        <w:tblInd w:w="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04"/>
        <w:gridCol w:w="1835"/>
        <w:gridCol w:w="977"/>
        <w:gridCol w:w="519"/>
        <w:gridCol w:w="1382"/>
        <w:gridCol w:w="2192"/>
      </w:tblGrid>
      <w:tr>
        <w:trPr>
          <w:trHeight w:val="548" w:hRule="atLeast"/>
        </w:trPr>
        <w:tc>
          <w:tcPr>
            <w:tcW w:w="1604" w:type="dxa"/>
            <w:tcBorders>
              <w:right w:val="single" w:sz="4" w:space="0" w:color="000000"/>
            </w:tcBorders>
          </w:tcPr>
          <w:p>
            <w:pPr>
              <w:pStyle w:val="TableParagraph"/>
              <w:spacing w:line="249" w:lineRule="auto" w:before="31"/>
              <w:ind w:left="119"/>
              <w:rPr>
                <w:sz w:val="20"/>
              </w:rPr>
            </w:pPr>
            <w:r>
              <w:rPr>
                <w:sz w:val="20"/>
              </w:rPr>
              <w:t>Rules</w:t>
            </w:r>
            <w:r>
              <w:rPr>
                <w:spacing w:val="40"/>
                <w:sz w:val="20"/>
              </w:rPr>
              <w:t> </w:t>
            </w:r>
            <w:r>
              <w:rPr>
                <w:sz w:val="20"/>
              </w:rPr>
              <w:t>fire,</w:t>
            </w:r>
            <w:r>
              <w:rPr>
                <w:spacing w:val="80"/>
                <w:sz w:val="20"/>
              </w:rPr>
              <w:t> </w:t>
            </w:r>
            <w:r>
              <w:rPr>
                <w:sz w:val="20"/>
              </w:rPr>
              <w:t>cor-rect direction</w:t>
            </w:r>
          </w:p>
        </w:tc>
        <w:tc>
          <w:tcPr>
            <w:tcW w:w="1835" w:type="dxa"/>
            <w:tcBorders>
              <w:left w:val="single" w:sz="4" w:space="0" w:color="000000"/>
              <w:right w:val="single" w:sz="4" w:space="0" w:color="000000"/>
            </w:tcBorders>
          </w:tcPr>
          <w:p>
            <w:pPr>
              <w:pStyle w:val="TableParagraph"/>
              <w:spacing w:line="249" w:lineRule="auto" w:before="31"/>
              <w:ind w:left="118" w:right="116"/>
              <w:rPr>
                <w:sz w:val="20"/>
              </w:rPr>
            </w:pPr>
            <w:r>
              <w:rPr>
                <w:sz w:val="20"/>
              </w:rPr>
              <w:t>Applies</w:t>
            </w:r>
            <w:r>
              <w:rPr>
                <w:spacing w:val="80"/>
                <w:sz w:val="20"/>
              </w:rPr>
              <w:t> </w:t>
            </w:r>
            <w:r>
              <w:rPr>
                <w:sz w:val="20"/>
              </w:rPr>
              <w:t>matching </w:t>
            </w:r>
            <w:r>
              <w:rPr>
                <w:spacing w:val="-2"/>
                <w:sz w:val="20"/>
              </w:rPr>
              <w:t>rule(s)</w:t>
            </w:r>
          </w:p>
        </w:tc>
        <w:tc>
          <w:tcPr>
            <w:tcW w:w="977" w:type="dxa"/>
            <w:tcBorders>
              <w:left w:val="single" w:sz="4" w:space="0" w:color="000000"/>
            </w:tcBorders>
          </w:tcPr>
          <w:p>
            <w:pPr>
              <w:pStyle w:val="TableParagraph"/>
              <w:spacing w:line="249" w:lineRule="auto" w:before="31"/>
              <w:ind w:left="117" w:right="73"/>
              <w:rPr>
                <w:sz w:val="20"/>
              </w:rPr>
            </w:pPr>
            <w:r>
              <w:rPr>
                <w:spacing w:val="-2"/>
                <w:sz w:val="20"/>
              </w:rPr>
              <w:t>Weighted </w:t>
            </w:r>
            <w:r>
              <w:rPr>
                <w:spacing w:val="-4"/>
                <w:sz w:val="20"/>
              </w:rPr>
              <w:t>mean</w:t>
            </w:r>
          </w:p>
        </w:tc>
        <w:tc>
          <w:tcPr>
            <w:tcW w:w="519" w:type="dxa"/>
            <w:tcBorders>
              <w:right w:val="single" w:sz="4" w:space="0" w:color="000000"/>
            </w:tcBorders>
          </w:tcPr>
          <w:p>
            <w:pPr>
              <w:pStyle w:val="TableParagraph"/>
              <w:spacing w:before="31"/>
              <w:ind w:left="22" w:right="64"/>
              <w:jc w:val="center"/>
              <w:rPr>
                <w:sz w:val="20"/>
              </w:rPr>
            </w:pPr>
            <w:r>
              <w:rPr>
                <w:spacing w:val="-4"/>
                <w:sz w:val="20"/>
              </w:rPr>
              <w:t>rule</w:t>
            </w:r>
          </w:p>
        </w:tc>
        <w:tc>
          <w:tcPr>
            <w:tcW w:w="1382" w:type="dxa"/>
            <w:tcBorders>
              <w:left w:val="single" w:sz="4" w:space="0" w:color="000000"/>
              <w:right w:val="single" w:sz="4" w:space="0" w:color="000000"/>
            </w:tcBorders>
          </w:tcPr>
          <w:p>
            <w:pPr>
              <w:pStyle w:val="TableParagraph"/>
              <w:spacing w:line="249" w:lineRule="auto" w:before="31"/>
              <w:ind w:left="109" w:firstLine="6"/>
              <w:rPr>
                <w:sz w:val="20"/>
              </w:rPr>
            </w:pPr>
            <w:r>
              <w:rPr>
                <w:spacing w:val="-2"/>
                <w:sz w:val="20"/>
              </w:rPr>
              <w:t>Negative </w:t>
            </w:r>
            <w:r>
              <w:rPr>
                <w:spacing w:val="-4"/>
                <w:sz w:val="20"/>
              </w:rPr>
              <w:t>(CarenR</w:t>
            </w:r>
            <w:r>
              <w:rPr>
                <w:spacing w:val="-9"/>
                <w:sz w:val="20"/>
              </w:rPr>
              <w:t> </w:t>
            </w:r>
            <w:r>
              <w:rPr>
                <w:spacing w:val="-4"/>
                <w:sz w:val="20"/>
              </w:rPr>
              <w:t>wins)</w:t>
            </w:r>
          </w:p>
        </w:tc>
        <w:tc>
          <w:tcPr>
            <w:tcW w:w="2192" w:type="dxa"/>
            <w:tcBorders>
              <w:left w:val="single" w:sz="4" w:space="0" w:color="000000"/>
            </w:tcBorders>
          </w:tcPr>
          <w:p>
            <w:pPr>
              <w:pStyle w:val="TableParagraph"/>
              <w:spacing w:line="249" w:lineRule="auto" w:before="31"/>
              <w:ind w:left="114"/>
              <w:rPr>
                <w:sz w:val="20"/>
              </w:rPr>
            </w:pPr>
            <w:r>
              <w:rPr>
                <w:sz w:val="20"/>
              </w:rPr>
              <w:t>Genuine</w:t>
            </w:r>
            <w:r>
              <w:rPr>
                <w:spacing w:val="33"/>
                <w:sz w:val="20"/>
              </w:rPr>
              <w:t> </w:t>
            </w:r>
            <w:r>
              <w:rPr>
                <w:sz w:val="20"/>
              </w:rPr>
              <w:t>climate</w:t>
            </w:r>
            <w:r>
              <w:rPr>
                <w:spacing w:val="33"/>
                <w:sz w:val="20"/>
              </w:rPr>
              <w:t> </w:t>
            </w:r>
            <w:r>
              <w:rPr>
                <w:sz w:val="20"/>
              </w:rPr>
              <w:t>signal detected and used</w:t>
            </w:r>
          </w:p>
        </w:tc>
      </w:tr>
      <w:tr>
        <w:trPr>
          <w:trHeight w:val="789" w:hRule="atLeast"/>
        </w:trPr>
        <w:tc>
          <w:tcPr>
            <w:tcW w:w="1604" w:type="dxa"/>
            <w:tcBorders>
              <w:right w:val="single" w:sz="4" w:space="0" w:color="000000"/>
            </w:tcBorders>
          </w:tcPr>
          <w:p>
            <w:pPr>
              <w:pStyle w:val="TableParagraph"/>
              <w:spacing w:line="249" w:lineRule="auto"/>
              <w:ind w:left="119"/>
              <w:rPr>
                <w:sz w:val="20"/>
              </w:rPr>
            </w:pPr>
            <w:r>
              <w:rPr>
                <w:spacing w:val="-2"/>
                <w:sz w:val="20"/>
              </w:rPr>
              <w:t>Rules</w:t>
            </w:r>
            <w:r>
              <w:rPr>
                <w:spacing w:val="-11"/>
                <w:sz w:val="20"/>
              </w:rPr>
              <w:t> </w:t>
            </w:r>
            <w:r>
              <w:rPr>
                <w:spacing w:val="-2"/>
                <w:sz w:val="20"/>
              </w:rPr>
              <w:t>fire,</w:t>
            </w:r>
            <w:r>
              <w:rPr>
                <w:spacing w:val="-10"/>
                <w:sz w:val="20"/>
              </w:rPr>
              <w:t> </w:t>
            </w:r>
            <w:r>
              <w:rPr>
                <w:spacing w:val="-2"/>
                <w:sz w:val="20"/>
              </w:rPr>
              <w:t>wrong direction</w:t>
            </w:r>
          </w:p>
        </w:tc>
        <w:tc>
          <w:tcPr>
            <w:tcW w:w="1835" w:type="dxa"/>
            <w:tcBorders>
              <w:left w:val="single" w:sz="4" w:space="0" w:color="000000"/>
              <w:right w:val="single" w:sz="4" w:space="0" w:color="000000"/>
            </w:tcBorders>
          </w:tcPr>
          <w:p>
            <w:pPr>
              <w:pStyle w:val="TableParagraph"/>
              <w:spacing w:line="249" w:lineRule="auto"/>
              <w:ind w:left="118" w:right="116"/>
              <w:rPr>
                <w:sz w:val="20"/>
              </w:rPr>
            </w:pPr>
            <w:r>
              <w:rPr>
                <w:sz w:val="20"/>
              </w:rPr>
              <w:t>Applies</w:t>
            </w:r>
            <w:r>
              <w:rPr>
                <w:spacing w:val="80"/>
                <w:sz w:val="20"/>
              </w:rPr>
              <w:t> </w:t>
            </w:r>
            <w:r>
              <w:rPr>
                <w:sz w:val="20"/>
              </w:rPr>
              <w:t>matching </w:t>
            </w:r>
            <w:r>
              <w:rPr>
                <w:spacing w:val="-2"/>
                <w:sz w:val="20"/>
              </w:rPr>
              <w:t>rule(s)</w:t>
            </w:r>
          </w:p>
        </w:tc>
        <w:tc>
          <w:tcPr>
            <w:tcW w:w="977" w:type="dxa"/>
            <w:tcBorders>
              <w:left w:val="single" w:sz="4" w:space="0" w:color="000000"/>
            </w:tcBorders>
          </w:tcPr>
          <w:p>
            <w:pPr>
              <w:pStyle w:val="TableParagraph"/>
              <w:spacing w:line="249" w:lineRule="auto"/>
              <w:ind w:left="117" w:right="73"/>
              <w:rPr>
                <w:sz w:val="20"/>
              </w:rPr>
            </w:pPr>
            <w:r>
              <w:rPr>
                <w:spacing w:val="-2"/>
                <w:sz w:val="20"/>
              </w:rPr>
              <w:t>Weighted </w:t>
            </w:r>
            <w:r>
              <w:rPr>
                <w:spacing w:val="-4"/>
                <w:sz w:val="20"/>
              </w:rPr>
              <w:t>mean</w:t>
            </w:r>
          </w:p>
        </w:tc>
        <w:tc>
          <w:tcPr>
            <w:tcW w:w="519" w:type="dxa"/>
            <w:tcBorders>
              <w:right w:val="single" w:sz="4" w:space="0" w:color="000000"/>
            </w:tcBorders>
          </w:tcPr>
          <w:p>
            <w:pPr>
              <w:pStyle w:val="TableParagraph"/>
              <w:ind w:left="22" w:right="64"/>
              <w:jc w:val="center"/>
              <w:rPr>
                <w:sz w:val="20"/>
              </w:rPr>
            </w:pPr>
            <w:r>
              <w:rPr>
                <w:spacing w:val="-4"/>
                <w:sz w:val="20"/>
              </w:rPr>
              <w:t>rule</w:t>
            </w:r>
          </w:p>
        </w:tc>
        <w:tc>
          <w:tcPr>
            <w:tcW w:w="1382" w:type="dxa"/>
            <w:tcBorders>
              <w:left w:val="single" w:sz="4" w:space="0" w:color="000000"/>
              <w:right w:val="single" w:sz="4" w:space="0" w:color="000000"/>
            </w:tcBorders>
          </w:tcPr>
          <w:p>
            <w:pPr>
              <w:pStyle w:val="TableParagraph"/>
              <w:spacing w:line="249" w:lineRule="auto"/>
              <w:ind w:left="109" w:right="571" w:firstLine="6"/>
              <w:jc w:val="both"/>
              <w:rPr>
                <w:sz w:val="20"/>
              </w:rPr>
            </w:pPr>
            <w:r>
              <w:rPr>
                <w:spacing w:val="-2"/>
                <w:sz w:val="20"/>
              </w:rPr>
              <w:t>Positive (CarenR loses)</w:t>
            </w:r>
          </w:p>
        </w:tc>
        <w:tc>
          <w:tcPr>
            <w:tcW w:w="2192" w:type="dxa"/>
            <w:tcBorders>
              <w:left w:val="single" w:sz="4" w:space="0" w:color="000000"/>
            </w:tcBorders>
          </w:tcPr>
          <w:p>
            <w:pPr>
              <w:pStyle w:val="TableParagraph"/>
              <w:spacing w:line="249" w:lineRule="auto"/>
              <w:ind w:left="114"/>
              <w:rPr>
                <w:sz w:val="20"/>
              </w:rPr>
            </w:pPr>
            <w:r>
              <w:rPr>
                <w:spacing w:val="-4"/>
                <w:sz w:val="20"/>
              </w:rPr>
              <w:t>Era-specific</w:t>
            </w:r>
            <w:r>
              <w:rPr>
                <w:spacing w:val="-8"/>
                <w:sz w:val="20"/>
              </w:rPr>
              <w:t> </w:t>
            </w:r>
            <w:r>
              <w:rPr>
                <w:spacing w:val="-4"/>
                <w:sz w:val="20"/>
              </w:rPr>
              <w:t>rule</w:t>
            </w:r>
            <w:r>
              <w:rPr>
                <w:spacing w:val="-8"/>
                <w:sz w:val="20"/>
              </w:rPr>
              <w:t> </w:t>
            </w:r>
            <w:r>
              <w:rPr>
                <w:spacing w:val="-4"/>
                <w:sz w:val="20"/>
              </w:rPr>
              <w:t>misfires </w:t>
            </w:r>
            <w:r>
              <w:rPr>
                <w:sz w:val="20"/>
              </w:rPr>
              <w:t>on test year</w:t>
            </w:r>
          </w:p>
        </w:tc>
      </w:tr>
      <w:tr>
        <w:trPr>
          <w:trHeight w:val="827" w:hRule="atLeast"/>
        </w:trPr>
        <w:tc>
          <w:tcPr>
            <w:tcW w:w="1604" w:type="dxa"/>
            <w:tcBorders>
              <w:bottom w:val="single" w:sz="8" w:space="0" w:color="000000"/>
              <w:right w:val="single" w:sz="4" w:space="0" w:color="000000"/>
            </w:tcBorders>
          </w:tcPr>
          <w:p>
            <w:pPr>
              <w:pStyle w:val="TableParagraph"/>
              <w:spacing w:line="249" w:lineRule="auto"/>
              <w:ind w:left="119"/>
              <w:rPr>
                <w:sz w:val="20"/>
              </w:rPr>
            </w:pPr>
            <w:r>
              <w:rPr>
                <w:spacing w:val="-4"/>
                <w:sz w:val="20"/>
              </w:rPr>
              <w:t>No</w:t>
            </w:r>
            <w:r>
              <w:rPr>
                <w:spacing w:val="-9"/>
                <w:sz w:val="20"/>
              </w:rPr>
              <w:t> </w:t>
            </w:r>
            <w:r>
              <w:rPr>
                <w:spacing w:val="-4"/>
                <w:sz w:val="20"/>
              </w:rPr>
              <w:t>rules</w:t>
            </w:r>
            <w:r>
              <w:rPr>
                <w:spacing w:val="-8"/>
                <w:sz w:val="20"/>
              </w:rPr>
              <w:t> </w:t>
            </w:r>
            <w:r>
              <w:rPr>
                <w:spacing w:val="-4"/>
                <w:sz w:val="20"/>
              </w:rPr>
              <w:t>fire</w:t>
            </w:r>
            <w:r>
              <w:rPr>
                <w:spacing w:val="-9"/>
                <w:sz w:val="20"/>
              </w:rPr>
              <w:t> </w:t>
            </w:r>
            <w:r>
              <w:rPr>
                <w:spacing w:val="-4"/>
                <w:sz w:val="20"/>
              </w:rPr>
              <w:t>(fall-</w:t>
            </w:r>
            <w:r>
              <w:rPr>
                <w:spacing w:val="-2"/>
                <w:sz w:val="20"/>
              </w:rPr>
              <w:t>back)</w:t>
            </w:r>
          </w:p>
        </w:tc>
        <w:tc>
          <w:tcPr>
            <w:tcW w:w="1835" w:type="dxa"/>
            <w:tcBorders>
              <w:left w:val="single" w:sz="4" w:space="0" w:color="000000"/>
              <w:bottom w:val="single" w:sz="8" w:space="0" w:color="000000"/>
              <w:right w:val="single" w:sz="4" w:space="0" w:color="000000"/>
            </w:tcBorders>
          </w:tcPr>
          <w:p>
            <w:pPr>
              <w:pStyle w:val="TableParagraph"/>
              <w:spacing w:line="249" w:lineRule="auto"/>
              <w:ind w:left="118"/>
              <w:rPr>
                <w:sz w:val="20"/>
              </w:rPr>
            </w:pPr>
            <w:r>
              <w:rPr>
                <w:spacing w:val="-2"/>
                <w:sz w:val="20"/>
              </w:rPr>
              <w:t>Returns</w:t>
            </w:r>
            <w:r>
              <w:rPr>
                <w:spacing w:val="-11"/>
                <w:sz w:val="20"/>
              </w:rPr>
              <w:t> </w:t>
            </w:r>
            <w:r>
              <w:rPr>
                <w:spacing w:val="-2"/>
                <w:sz w:val="20"/>
              </w:rPr>
              <w:t>training</w:t>
            </w:r>
            <w:r>
              <w:rPr>
                <w:spacing w:val="-10"/>
                <w:sz w:val="20"/>
              </w:rPr>
              <w:t> </w:t>
            </w:r>
            <w:r>
              <w:rPr>
                <w:spacing w:val="-2"/>
                <w:sz w:val="20"/>
              </w:rPr>
              <w:t>me-</w:t>
            </w:r>
            <w:r>
              <w:rPr>
                <w:spacing w:val="-4"/>
                <w:sz w:val="20"/>
              </w:rPr>
              <w:t>dian</w:t>
            </w:r>
          </w:p>
        </w:tc>
        <w:tc>
          <w:tcPr>
            <w:tcW w:w="977" w:type="dxa"/>
            <w:tcBorders>
              <w:left w:val="single" w:sz="4" w:space="0" w:color="000000"/>
              <w:bottom w:val="single" w:sz="8" w:space="0" w:color="000000"/>
            </w:tcBorders>
          </w:tcPr>
          <w:p>
            <w:pPr>
              <w:pStyle w:val="TableParagraph"/>
              <w:spacing w:line="199" w:lineRule="auto" w:before="64"/>
              <w:ind w:left="117" w:right="151"/>
              <w:rPr>
                <w:sz w:val="20"/>
              </w:rPr>
            </w:pPr>
            <w:r>
              <w:rPr>
                <w:spacing w:val="-2"/>
                <w:sz w:val="20"/>
              </w:rPr>
              <w:t>Training </w:t>
            </w:r>
            <w:r>
              <w:rPr>
                <w:sz w:val="20"/>
              </w:rPr>
              <w:t>dian</w:t>
            </w:r>
            <w:r>
              <w:rPr>
                <w:spacing w:val="-11"/>
                <w:sz w:val="20"/>
              </w:rPr>
              <w:t> </w:t>
            </w:r>
            <w:r>
              <w:rPr>
                <w:rFonts w:ascii="Meiryo UI" w:hAnsi="Meiryo UI"/>
                <w:i/>
                <w:sz w:val="20"/>
              </w:rPr>
              <w:t>≈</w:t>
            </w:r>
            <w:r>
              <w:rPr>
                <w:rFonts w:ascii="Meiryo UI" w:hAnsi="Meiryo UI"/>
                <w:i/>
                <w:spacing w:val="-19"/>
                <w:sz w:val="20"/>
              </w:rPr>
              <w:t> </w:t>
            </w:r>
            <w:r>
              <w:rPr>
                <w:spacing w:val="-10"/>
                <w:sz w:val="20"/>
              </w:rPr>
              <w:t>0</w:t>
            </w:r>
          </w:p>
        </w:tc>
        <w:tc>
          <w:tcPr>
            <w:tcW w:w="519" w:type="dxa"/>
            <w:tcBorders>
              <w:bottom w:val="single" w:sz="8" w:space="0" w:color="000000"/>
              <w:right w:val="single" w:sz="4" w:space="0" w:color="000000"/>
            </w:tcBorders>
          </w:tcPr>
          <w:p>
            <w:pPr>
              <w:pStyle w:val="TableParagraph"/>
              <w:ind w:left="22"/>
              <w:jc w:val="center"/>
              <w:rPr>
                <w:sz w:val="20"/>
              </w:rPr>
            </w:pPr>
            <w:r>
              <w:rPr>
                <w:spacing w:val="-5"/>
                <w:sz w:val="20"/>
              </w:rPr>
              <w:t>me-</w:t>
            </w:r>
          </w:p>
        </w:tc>
        <w:tc>
          <w:tcPr>
            <w:tcW w:w="1382" w:type="dxa"/>
            <w:tcBorders>
              <w:left w:val="single" w:sz="4" w:space="0" w:color="000000"/>
              <w:bottom w:val="single" w:sz="8" w:space="0" w:color="000000"/>
              <w:right w:val="single" w:sz="4" w:space="0" w:color="000000"/>
            </w:tcBorders>
          </w:tcPr>
          <w:p>
            <w:pPr>
              <w:pStyle w:val="TableParagraph"/>
              <w:spacing w:line="249" w:lineRule="auto"/>
              <w:ind w:left="116"/>
              <w:rPr>
                <w:sz w:val="20"/>
              </w:rPr>
            </w:pPr>
            <w:r>
              <w:rPr>
                <w:sz w:val="20"/>
              </w:rPr>
              <w:t>Zero</w:t>
            </w:r>
            <w:r>
              <w:rPr>
                <w:spacing w:val="-2"/>
                <w:sz w:val="20"/>
              </w:rPr>
              <w:t> </w:t>
            </w:r>
            <w:r>
              <w:rPr>
                <w:sz w:val="20"/>
              </w:rPr>
              <w:t>(tie</w:t>
            </w:r>
            <w:r>
              <w:rPr>
                <w:spacing w:val="-2"/>
                <w:sz w:val="20"/>
              </w:rPr>
              <w:t> </w:t>
            </w:r>
            <w:r>
              <w:rPr>
                <w:sz w:val="20"/>
              </w:rPr>
              <w:t>with </w:t>
            </w:r>
            <w:r>
              <w:rPr>
                <w:spacing w:val="-2"/>
                <w:sz w:val="20"/>
              </w:rPr>
              <w:t>baseline)</w:t>
            </w:r>
          </w:p>
        </w:tc>
        <w:tc>
          <w:tcPr>
            <w:tcW w:w="2192" w:type="dxa"/>
            <w:tcBorders>
              <w:left w:val="single" w:sz="4" w:space="0" w:color="000000"/>
              <w:bottom w:val="single" w:sz="8" w:space="0" w:color="000000"/>
            </w:tcBorders>
          </w:tcPr>
          <w:p>
            <w:pPr>
              <w:pStyle w:val="TableParagraph"/>
              <w:spacing w:line="249" w:lineRule="auto"/>
              <w:ind w:left="114" w:right="89"/>
              <w:jc w:val="both"/>
              <w:rPr>
                <w:sz w:val="20"/>
              </w:rPr>
            </w:pPr>
            <w:r>
              <w:rPr>
                <w:sz w:val="20"/>
              </w:rPr>
              <w:t>Model correctly </w:t>
            </w:r>
            <w:r>
              <w:rPr>
                <w:sz w:val="20"/>
              </w:rPr>
              <w:t>recog-nises no applicable pat-</w:t>
            </w:r>
            <w:r>
              <w:rPr>
                <w:spacing w:val="-4"/>
                <w:sz w:val="20"/>
              </w:rPr>
              <w:t>tern</w:t>
            </w:r>
          </w:p>
        </w:tc>
      </w:tr>
    </w:tbl>
    <w:p>
      <w:pPr>
        <w:pStyle w:val="TableParagraph"/>
        <w:spacing w:after="0" w:line="249" w:lineRule="auto"/>
        <w:jc w:val="both"/>
        <w:rPr>
          <w:sz w:val="20"/>
        </w:rPr>
        <w:sectPr>
          <w:headerReference w:type="default" r:id="rId97"/>
          <w:headerReference w:type="even" r:id="rId98"/>
          <w:pgSz w:w="11910" w:h="16840"/>
          <w:pgMar w:header="1160" w:footer="0" w:top="1420" w:bottom="280" w:left="1275" w:right="425"/>
          <w:pgNumType w:start="67"/>
        </w:sectPr>
      </w:pPr>
    </w:p>
    <w:p>
      <w:pPr>
        <w:pStyle w:val="BodyText"/>
      </w:pPr>
    </w:p>
    <w:p>
      <w:pPr>
        <w:pStyle w:val="BodyText"/>
        <w:spacing w:before="25"/>
      </w:pPr>
    </w:p>
    <w:p>
      <w:pPr>
        <w:pStyle w:val="BodyText"/>
        <w:spacing w:line="312" w:lineRule="auto" w:before="1"/>
        <w:ind w:left="142" w:right="1519" w:firstLine="338"/>
        <w:jc w:val="both"/>
      </w:pPr>
      <w:r>
        <w:rPr>
          <w:spacing w:val="-2"/>
        </w:rPr>
        <w:t>In</w:t>
      </w:r>
      <w:r>
        <w:rPr>
          <w:spacing w:val="-10"/>
        </w:rPr>
        <w:t> </w:t>
      </w:r>
      <w:r>
        <w:rPr>
          <w:spacing w:val="-2"/>
        </w:rPr>
        <w:t>RDD,</w:t>
      </w:r>
      <w:r>
        <w:rPr>
          <w:spacing w:val="-10"/>
        </w:rPr>
        <w:t> </w:t>
      </w:r>
      <w:r>
        <w:rPr>
          <w:spacing w:val="-2"/>
        </w:rPr>
        <w:t>fallback</w:t>
      </w:r>
      <w:r>
        <w:rPr>
          <w:spacing w:val="-10"/>
        </w:rPr>
        <w:t> </w:t>
      </w:r>
      <w:r>
        <w:rPr>
          <w:spacing w:val="-2"/>
        </w:rPr>
        <w:t>scenarios</w:t>
      </w:r>
      <w:r>
        <w:rPr>
          <w:spacing w:val="-10"/>
        </w:rPr>
        <w:t> </w:t>
      </w:r>
      <w:r>
        <w:rPr>
          <w:spacing w:val="-2"/>
        </w:rPr>
        <w:t>are</w:t>
      </w:r>
      <w:r>
        <w:rPr>
          <w:spacing w:val="-10"/>
        </w:rPr>
        <w:t> </w:t>
      </w:r>
      <w:r>
        <w:rPr>
          <w:spacing w:val="-2"/>
        </w:rPr>
        <w:t>rare</w:t>
      </w:r>
      <w:r>
        <w:rPr>
          <w:spacing w:val="-10"/>
        </w:rPr>
        <w:t> </w:t>
      </w:r>
      <w:r>
        <w:rPr>
          <w:spacing w:val="-2"/>
        </w:rPr>
        <w:t>because</w:t>
      </w:r>
      <w:r>
        <w:rPr>
          <w:spacing w:val="-10"/>
        </w:rPr>
        <w:t> </w:t>
      </w:r>
      <w:r>
        <w:rPr>
          <w:spacing w:val="-2"/>
        </w:rPr>
        <w:t>CarenR</w:t>
      </w:r>
      <w:r>
        <w:rPr>
          <w:spacing w:val="-10"/>
        </w:rPr>
        <w:t> </w:t>
      </w:r>
      <w:r>
        <w:rPr>
          <w:spacing w:val="-2"/>
        </w:rPr>
        <w:t>tends</w:t>
      </w:r>
      <w:r>
        <w:rPr>
          <w:spacing w:val="-10"/>
        </w:rPr>
        <w:t> </w:t>
      </w:r>
      <w:r>
        <w:rPr>
          <w:spacing w:val="-2"/>
        </w:rPr>
        <w:t>to</w:t>
      </w:r>
      <w:r>
        <w:rPr>
          <w:spacing w:val="-10"/>
        </w:rPr>
        <w:t> </w:t>
      </w:r>
      <w:r>
        <w:rPr>
          <w:spacing w:val="-2"/>
        </w:rPr>
        <w:t>find</w:t>
      </w:r>
      <w:r>
        <w:rPr>
          <w:spacing w:val="-10"/>
        </w:rPr>
        <w:t> </w:t>
      </w:r>
      <w:r>
        <w:rPr>
          <w:spacing w:val="-2"/>
        </w:rPr>
        <w:t>applicable</w:t>
      </w:r>
      <w:r>
        <w:rPr>
          <w:spacing w:val="-10"/>
        </w:rPr>
        <w:t> </w:t>
      </w:r>
      <w:r>
        <w:rPr>
          <w:spacing w:val="-2"/>
        </w:rPr>
        <w:t>rules</w:t>
      </w:r>
      <w:r>
        <w:rPr>
          <w:spacing w:val="-10"/>
        </w:rPr>
        <w:t> </w:t>
      </w:r>
      <w:r>
        <w:rPr>
          <w:spacing w:val="-2"/>
        </w:rPr>
        <w:t>in</w:t>
      </w:r>
      <w:r>
        <w:rPr>
          <w:spacing w:val="-10"/>
        </w:rPr>
        <w:t> </w:t>
      </w:r>
      <w:r>
        <w:rPr>
          <w:spacing w:val="-2"/>
        </w:rPr>
        <w:t>most</w:t>
      </w:r>
      <w:r>
        <w:rPr>
          <w:spacing w:val="-10"/>
        </w:rPr>
        <w:t> </w:t>
      </w:r>
      <w:r>
        <w:rPr>
          <w:spacing w:val="-2"/>
        </w:rPr>
        <w:t>years, </w:t>
      </w:r>
      <w:r>
        <w:rPr/>
        <w:t>the Douro climate signal is strong enough that at least one condition-set matches most test years. In</w:t>
      </w:r>
      <w:r>
        <w:rPr>
          <w:spacing w:val="-9"/>
        </w:rPr>
        <w:t> </w:t>
      </w:r>
      <w:r>
        <w:rPr/>
        <w:t>RVV,</w:t>
      </w:r>
      <w:r>
        <w:rPr>
          <w:spacing w:val="-9"/>
        </w:rPr>
        <w:t> </w:t>
      </w:r>
      <w:r>
        <w:rPr/>
        <w:t>fallback</w:t>
      </w:r>
      <w:r>
        <w:rPr>
          <w:spacing w:val="-9"/>
        </w:rPr>
        <w:t> </w:t>
      </w:r>
      <w:r>
        <w:rPr/>
        <w:t>is</w:t>
      </w:r>
      <w:r>
        <w:rPr>
          <w:spacing w:val="-9"/>
        </w:rPr>
        <w:t> </w:t>
      </w:r>
      <w:r>
        <w:rPr/>
        <w:t>the</w:t>
      </w:r>
      <w:r>
        <w:rPr>
          <w:spacing w:val="-9"/>
        </w:rPr>
        <w:t> </w:t>
      </w:r>
      <w:r>
        <w:rPr/>
        <w:t>dominant</w:t>
      </w:r>
      <w:r>
        <w:rPr>
          <w:spacing w:val="-9"/>
        </w:rPr>
        <w:t> </w:t>
      </w:r>
      <w:r>
        <w:rPr/>
        <w:t>outcome</w:t>
      </w:r>
      <w:r>
        <w:rPr>
          <w:spacing w:val="-9"/>
        </w:rPr>
        <w:t> </w:t>
      </w:r>
      <w:r>
        <w:rPr/>
        <w:t>in</w:t>
      </w:r>
      <w:r>
        <w:rPr>
          <w:spacing w:val="-9"/>
        </w:rPr>
        <w:t> </w:t>
      </w:r>
      <w:r>
        <w:rPr/>
        <w:t>later</w:t>
      </w:r>
      <w:r>
        <w:rPr>
          <w:spacing w:val="-9"/>
        </w:rPr>
        <w:t> </w:t>
      </w:r>
      <w:r>
        <w:rPr/>
        <w:t>scenarios</w:t>
      </w:r>
      <w:r>
        <w:rPr>
          <w:spacing w:val="-9"/>
        </w:rPr>
        <w:t> </w:t>
      </w:r>
      <w:r>
        <w:rPr/>
        <w:t>(scenarios</w:t>
      </w:r>
      <w:r>
        <w:rPr>
          <w:spacing w:val="-9"/>
        </w:rPr>
        <w:t> </w:t>
      </w:r>
      <w:r>
        <w:rPr/>
        <w:t>12–16),</w:t>
      </w:r>
      <w:r>
        <w:rPr>
          <w:spacing w:val="-9"/>
        </w:rPr>
        <w:t> </w:t>
      </w:r>
      <w:r>
        <w:rPr/>
        <w:t>where</w:t>
      </w:r>
      <w:r>
        <w:rPr>
          <w:spacing w:val="-9"/>
        </w:rPr>
        <w:t> </w:t>
      </w:r>
      <w:r>
        <w:rPr/>
        <w:t>the</w:t>
      </w:r>
      <w:r>
        <w:rPr>
          <w:spacing w:val="-9"/>
        </w:rPr>
        <w:t> </w:t>
      </w:r>
      <w:r>
        <w:rPr/>
        <w:t>training distribution has stabilised into the modern low-production era and CarenR correctly identifies that</w:t>
      </w:r>
      <w:r>
        <w:rPr>
          <w:spacing w:val="-5"/>
        </w:rPr>
        <w:t> </w:t>
      </w:r>
      <w:r>
        <w:rPr/>
        <w:t>the</w:t>
      </w:r>
      <w:r>
        <w:rPr>
          <w:spacing w:val="-5"/>
        </w:rPr>
        <w:t> </w:t>
      </w:r>
      <w:r>
        <w:rPr/>
        <w:t>historical</w:t>
      </w:r>
      <w:r>
        <w:rPr>
          <w:spacing w:val="-5"/>
        </w:rPr>
        <w:t> </w:t>
      </w:r>
      <w:r>
        <w:rPr/>
        <w:t>rules,</w:t>
      </w:r>
      <w:r>
        <w:rPr>
          <w:spacing w:val="-5"/>
        </w:rPr>
        <w:t> </w:t>
      </w:r>
      <w:r>
        <w:rPr/>
        <w:t>calibrated</w:t>
      </w:r>
      <w:r>
        <w:rPr>
          <w:spacing w:val="-5"/>
        </w:rPr>
        <w:t> </w:t>
      </w:r>
      <w:r>
        <w:rPr/>
        <w:t>partly</w:t>
      </w:r>
      <w:r>
        <w:rPr>
          <w:spacing w:val="-5"/>
        </w:rPr>
        <w:t> </w:t>
      </w:r>
      <w:r>
        <w:rPr/>
        <w:t>on</w:t>
      </w:r>
      <w:r>
        <w:rPr>
          <w:spacing w:val="-5"/>
        </w:rPr>
        <w:t> </w:t>
      </w:r>
      <w:r>
        <w:rPr/>
        <w:t>high-production</w:t>
      </w:r>
      <w:r>
        <w:rPr>
          <w:spacing w:val="-5"/>
        </w:rPr>
        <w:t> </w:t>
      </w:r>
      <w:r>
        <w:rPr/>
        <w:t>pre-1980</w:t>
      </w:r>
      <w:r>
        <w:rPr>
          <w:spacing w:val="-5"/>
        </w:rPr>
        <w:t> </w:t>
      </w:r>
      <w:r>
        <w:rPr/>
        <w:t>data,</w:t>
      </w:r>
      <w:r>
        <w:rPr>
          <w:spacing w:val="-5"/>
        </w:rPr>
        <w:t> </w:t>
      </w:r>
      <w:r>
        <w:rPr/>
        <w:t>are</w:t>
      </w:r>
      <w:r>
        <w:rPr>
          <w:spacing w:val="-5"/>
        </w:rPr>
        <w:t> </w:t>
      </w:r>
      <w:r>
        <w:rPr/>
        <w:t>no</w:t>
      </w:r>
      <w:r>
        <w:rPr>
          <w:spacing w:val="-5"/>
        </w:rPr>
        <w:t> </w:t>
      </w:r>
      <w:r>
        <w:rPr/>
        <w:t>longer</w:t>
      </w:r>
      <w:r>
        <w:rPr>
          <w:spacing w:val="-5"/>
        </w:rPr>
        <w:t> </w:t>
      </w:r>
      <w:r>
        <w:rPr/>
        <w:t>reliably applicable.</w:t>
      </w:r>
      <w:r>
        <w:rPr>
          <w:spacing w:val="-3"/>
        </w:rPr>
        <w:t> </w:t>
      </w:r>
      <w:r>
        <w:rPr/>
        <w:t>The</w:t>
      </w:r>
      <w:r>
        <w:rPr>
          <w:spacing w:val="-13"/>
        </w:rPr>
        <w:t> </w:t>
      </w:r>
      <w:r>
        <w:rPr/>
        <w:t>increase</w:t>
      </w:r>
      <w:r>
        <w:rPr>
          <w:spacing w:val="-14"/>
        </w:rPr>
        <w:t> </w:t>
      </w:r>
      <w:r>
        <w:rPr/>
        <w:t>in</w:t>
      </w:r>
      <w:r>
        <w:rPr>
          <w:spacing w:val="-13"/>
        </w:rPr>
        <w:t> </w:t>
      </w:r>
      <w:r>
        <w:rPr/>
        <w:t>fallback</w:t>
      </w:r>
      <w:r>
        <w:rPr>
          <w:spacing w:val="-13"/>
        </w:rPr>
        <w:t> </w:t>
      </w:r>
      <w:r>
        <w:rPr/>
        <w:t>frequency</w:t>
      </w:r>
      <w:r>
        <w:rPr>
          <w:spacing w:val="-14"/>
        </w:rPr>
        <w:t> </w:t>
      </w:r>
      <w:r>
        <w:rPr/>
        <w:t>in</w:t>
      </w:r>
      <w:r>
        <w:rPr>
          <w:spacing w:val="-13"/>
        </w:rPr>
        <w:t> </w:t>
      </w:r>
      <w:r>
        <w:rPr/>
        <w:t>later</w:t>
      </w:r>
      <w:r>
        <w:rPr>
          <w:spacing w:val="-13"/>
        </w:rPr>
        <w:t> </w:t>
      </w:r>
      <w:r>
        <w:rPr/>
        <w:t>RVV</w:t>
      </w:r>
      <w:r>
        <w:rPr>
          <w:spacing w:val="-14"/>
        </w:rPr>
        <w:t> </w:t>
      </w:r>
      <w:r>
        <w:rPr/>
        <w:t>scenarios</w:t>
      </w:r>
      <w:r>
        <w:rPr>
          <w:spacing w:val="-13"/>
        </w:rPr>
        <w:t> </w:t>
      </w:r>
      <w:r>
        <w:rPr/>
        <w:t>is</w:t>
      </w:r>
      <w:r>
        <w:rPr>
          <w:spacing w:val="-13"/>
        </w:rPr>
        <w:t> </w:t>
      </w:r>
      <w:r>
        <w:rPr/>
        <w:t>itself</w:t>
      </w:r>
      <w:r>
        <w:rPr>
          <w:spacing w:val="-14"/>
        </w:rPr>
        <w:t> </w:t>
      </w:r>
      <w:r>
        <w:rPr/>
        <w:t>a</w:t>
      </w:r>
      <w:r>
        <w:rPr>
          <w:spacing w:val="-13"/>
        </w:rPr>
        <w:t> </w:t>
      </w:r>
      <w:r>
        <w:rPr/>
        <w:t>diagnostic</w:t>
      </w:r>
      <w:r>
        <w:rPr>
          <w:spacing w:val="-13"/>
        </w:rPr>
        <w:t> </w:t>
      </w:r>
      <w:r>
        <w:rPr/>
        <w:t>finding: it</w:t>
      </w:r>
      <w:r>
        <w:rPr>
          <w:spacing w:val="-12"/>
        </w:rPr>
        <w:t> </w:t>
      </w:r>
      <w:r>
        <w:rPr/>
        <w:t>shows</w:t>
      </w:r>
      <w:r>
        <w:rPr>
          <w:spacing w:val="-12"/>
        </w:rPr>
        <w:t> </w:t>
      </w:r>
      <w:r>
        <w:rPr/>
        <w:t>that</w:t>
      </w:r>
      <w:r>
        <w:rPr>
          <w:spacing w:val="-12"/>
        </w:rPr>
        <w:t> </w:t>
      </w:r>
      <w:r>
        <w:rPr/>
        <w:t>CarenR</w:t>
      </w:r>
      <w:r>
        <w:rPr>
          <w:spacing w:val="-12"/>
        </w:rPr>
        <w:t> </w:t>
      </w:r>
      <w:r>
        <w:rPr/>
        <w:t>is</w:t>
      </w:r>
      <w:r>
        <w:rPr>
          <w:spacing w:val="-12"/>
        </w:rPr>
        <w:t> </w:t>
      </w:r>
      <w:r>
        <w:rPr/>
        <w:t>becoming</w:t>
      </w:r>
      <w:r>
        <w:rPr>
          <w:spacing w:val="-12"/>
        </w:rPr>
        <w:t> </w:t>
      </w:r>
      <w:r>
        <w:rPr/>
        <w:t>progressively</w:t>
      </w:r>
      <w:r>
        <w:rPr>
          <w:spacing w:val="-12"/>
        </w:rPr>
        <w:t> </w:t>
      </w:r>
      <w:r>
        <w:rPr/>
        <w:t>more</w:t>
      </w:r>
      <w:r>
        <w:rPr>
          <w:spacing w:val="-12"/>
        </w:rPr>
        <w:t> </w:t>
      </w:r>
      <w:r>
        <w:rPr/>
        <w:t>conservative</w:t>
      </w:r>
      <w:r>
        <w:rPr>
          <w:spacing w:val="-12"/>
        </w:rPr>
        <w:t> </w:t>
      </w:r>
      <w:r>
        <w:rPr/>
        <w:t>as</w:t>
      </w:r>
      <w:r>
        <w:rPr>
          <w:spacing w:val="-12"/>
        </w:rPr>
        <w:t> </w:t>
      </w:r>
      <w:r>
        <w:rPr/>
        <w:t>the</w:t>
      </w:r>
      <w:r>
        <w:rPr>
          <w:spacing w:val="-12"/>
        </w:rPr>
        <w:t> </w:t>
      </w:r>
      <w:r>
        <w:rPr/>
        <w:t>era</w:t>
      </w:r>
      <w:r>
        <w:rPr>
          <w:spacing w:val="-12"/>
        </w:rPr>
        <w:t> </w:t>
      </w:r>
      <w:r>
        <w:rPr/>
        <w:t>gap</w:t>
      </w:r>
      <w:r>
        <w:rPr>
          <w:spacing w:val="-12"/>
        </w:rPr>
        <w:t> </w:t>
      </w:r>
      <w:r>
        <w:rPr/>
        <w:t>between</w:t>
      </w:r>
      <w:r>
        <w:rPr>
          <w:spacing w:val="-12"/>
        </w:rPr>
        <w:t> </w:t>
      </w:r>
      <w:r>
        <w:rPr/>
        <w:t>training history</w:t>
      </w:r>
      <w:r>
        <w:rPr>
          <w:spacing w:val="-8"/>
        </w:rPr>
        <w:t> </w:t>
      </w:r>
      <w:r>
        <w:rPr/>
        <w:t>and</w:t>
      </w:r>
      <w:r>
        <w:rPr>
          <w:spacing w:val="-7"/>
        </w:rPr>
        <w:t> </w:t>
      </w:r>
      <w:r>
        <w:rPr/>
        <w:t>test</w:t>
      </w:r>
      <w:r>
        <w:rPr>
          <w:spacing w:val="-7"/>
        </w:rPr>
        <w:t> </w:t>
      </w:r>
      <w:r>
        <w:rPr/>
        <w:t>years</w:t>
      </w:r>
      <w:r>
        <w:rPr>
          <w:spacing w:val="-7"/>
        </w:rPr>
        <w:t> </w:t>
      </w:r>
      <w:r>
        <w:rPr/>
        <w:t>widens,</w:t>
      </w:r>
      <w:r>
        <w:rPr>
          <w:spacing w:val="-7"/>
        </w:rPr>
        <w:t> </w:t>
      </w:r>
      <w:r>
        <w:rPr/>
        <w:t>which</w:t>
      </w:r>
      <w:r>
        <w:rPr>
          <w:spacing w:val="-7"/>
        </w:rPr>
        <w:t> </w:t>
      </w:r>
      <w:r>
        <w:rPr/>
        <w:t>is</w:t>
      </w:r>
      <w:r>
        <w:rPr>
          <w:spacing w:val="-7"/>
        </w:rPr>
        <w:t> </w:t>
      </w:r>
      <w:r>
        <w:rPr/>
        <w:t>the</w:t>
      </w:r>
      <w:r>
        <w:rPr>
          <w:spacing w:val="-7"/>
        </w:rPr>
        <w:t> </w:t>
      </w:r>
      <w:r>
        <w:rPr/>
        <w:t>correct</w:t>
      </w:r>
      <w:r>
        <w:rPr>
          <w:spacing w:val="-7"/>
        </w:rPr>
        <w:t> </w:t>
      </w:r>
      <w:r>
        <w:rPr/>
        <w:t>adaptive</w:t>
      </w:r>
      <w:r>
        <w:rPr>
          <w:spacing w:val="-7"/>
        </w:rPr>
        <w:t> </w:t>
      </w:r>
      <w:r>
        <w:rPr/>
        <w:t>response</w:t>
      </w:r>
      <w:r>
        <w:rPr>
          <w:spacing w:val="-7"/>
        </w:rPr>
        <w:t> </w:t>
      </w:r>
      <w:r>
        <w:rPr/>
        <w:t>to</w:t>
      </w:r>
      <w:r>
        <w:rPr>
          <w:spacing w:val="-7"/>
        </w:rPr>
        <w:t> </w:t>
      </w:r>
      <w:r>
        <w:rPr/>
        <w:t>structural</w:t>
      </w:r>
      <w:r>
        <w:rPr>
          <w:spacing w:val="-7"/>
        </w:rPr>
        <w:t> </w:t>
      </w:r>
      <w:r>
        <w:rPr/>
        <w:t>non-</w:t>
      </w:r>
      <w:r>
        <w:rPr>
          <w:spacing w:val="-2"/>
        </w:rPr>
        <w:t>stationarity.</w:t>
      </w:r>
    </w:p>
    <w:p>
      <w:pPr>
        <w:pStyle w:val="BodyText"/>
        <w:spacing w:after="0" w:line="312" w:lineRule="auto"/>
        <w:jc w:val="both"/>
        <w:sectPr>
          <w:pgSz w:w="11910" w:h="16840"/>
          <w:pgMar w:header="1160" w:footer="0" w:top="1420" w:bottom="280" w:left="1275" w:right="425"/>
        </w:sectPr>
      </w:pPr>
    </w:p>
    <w:p>
      <w:pPr>
        <w:pStyle w:val="BodyText"/>
        <w:rPr>
          <w:sz w:val="41"/>
        </w:rPr>
      </w:pPr>
    </w:p>
    <w:p>
      <w:pPr>
        <w:pStyle w:val="BodyText"/>
        <w:rPr>
          <w:sz w:val="41"/>
        </w:rPr>
      </w:pPr>
    </w:p>
    <w:p>
      <w:pPr>
        <w:pStyle w:val="BodyText"/>
        <w:spacing w:before="42"/>
        <w:rPr>
          <w:sz w:val="41"/>
        </w:rPr>
      </w:pPr>
    </w:p>
    <w:p>
      <w:pPr>
        <w:spacing w:before="0"/>
        <w:ind w:left="709" w:right="0" w:firstLine="0"/>
        <w:jc w:val="left"/>
        <w:rPr>
          <w:b/>
          <w:sz w:val="41"/>
        </w:rPr>
      </w:pPr>
      <w:bookmarkStart w:name="6 Discussion" w:id="217"/>
      <w:bookmarkEnd w:id="217"/>
      <w:r>
        <w:rPr/>
      </w:r>
      <w:bookmarkStart w:name="_bookmark130" w:id="218"/>
      <w:bookmarkEnd w:id="218"/>
      <w:r>
        <w:rPr/>
      </w:r>
      <w:r>
        <w:rPr>
          <w:b/>
          <w:sz w:val="41"/>
        </w:rPr>
        <w:t>Chapter </w:t>
      </w:r>
      <w:r>
        <w:rPr>
          <w:b/>
          <w:spacing w:val="-10"/>
          <w:sz w:val="41"/>
        </w:rPr>
        <w:t>6</w:t>
      </w:r>
    </w:p>
    <w:p>
      <w:pPr>
        <w:pStyle w:val="BodyText"/>
        <w:spacing w:before="122"/>
        <w:rPr>
          <w:b/>
          <w:sz w:val="41"/>
        </w:rPr>
      </w:pPr>
    </w:p>
    <w:p>
      <w:pPr>
        <w:pStyle w:val="Heading1"/>
      </w:pPr>
      <w:r>
        <w:rPr>
          <w:spacing w:val="-2"/>
        </w:rPr>
        <w:t>Discussion</w:t>
      </w:r>
    </w:p>
    <w:p>
      <w:pPr>
        <w:pStyle w:val="BodyText"/>
        <w:spacing w:before="267"/>
        <w:rPr>
          <w:b/>
          <w:sz w:val="49"/>
        </w:rPr>
      </w:pPr>
    </w:p>
    <w:p>
      <w:pPr>
        <w:pStyle w:val="BodyText"/>
        <w:spacing w:line="312" w:lineRule="auto" w:before="1"/>
        <w:ind w:left="709" w:right="972" w:hanging="7"/>
        <w:jc w:val="both"/>
      </w:pPr>
      <w:r>
        <w:rPr/>
        <w:t>This</w:t>
      </w:r>
      <w:r>
        <w:rPr>
          <w:spacing w:val="-14"/>
        </w:rPr>
        <w:t> </w:t>
      </w:r>
      <w:r>
        <w:rPr/>
        <w:t>chapter</w:t>
      </w:r>
      <w:r>
        <w:rPr>
          <w:spacing w:val="-14"/>
        </w:rPr>
        <w:t> </w:t>
      </w:r>
      <w:r>
        <w:rPr/>
        <w:t>draws</w:t>
      </w:r>
      <w:r>
        <w:rPr>
          <w:spacing w:val="-14"/>
        </w:rPr>
        <w:t> </w:t>
      </w:r>
      <w:r>
        <w:rPr/>
        <w:t>together</w:t>
      </w:r>
      <w:r>
        <w:rPr>
          <w:spacing w:val="-13"/>
        </w:rPr>
        <w:t> </w:t>
      </w:r>
      <w:r>
        <w:rPr/>
        <w:t>the</w:t>
      </w:r>
      <w:r>
        <w:rPr>
          <w:spacing w:val="-14"/>
        </w:rPr>
        <w:t> </w:t>
      </w:r>
      <w:r>
        <w:rPr/>
        <w:t>findings</w:t>
      </w:r>
      <w:r>
        <w:rPr>
          <w:spacing w:val="-14"/>
        </w:rPr>
        <w:t> </w:t>
      </w:r>
      <w:r>
        <w:rPr/>
        <w:t>from</w:t>
      </w:r>
      <w:r>
        <w:rPr>
          <w:spacing w:val="-14"/>
        </w:rPr>
        <w:t> </w:t>
      </w:r>
      <w:r>
        <w:rPr/>
        <w:t>Chapters</w:t>
      </w:r>
      <w:r>
        <w:rPr>
          <w:spacing w:val="-13"/>
        </w:rPr>
        <w:t> </w:t>
      </w:r>
      <w:hyperlink w:history="true" w:anchor="_bookmark68">
        <w:r>
          <w:rPr>
            <w:color w:val="8B2C18"/>
          </w:rPr>
          <w:t>4</w:t>
        </w:r>
      </w:hyperlink>
      <w:r>
        <w:rPr>
          <w:color w:val="8B2C18"/>
          <w:spacing w:val="-14"/>
        </w:rPr>
        <w:t> </w:t>
      </w:r>
      <w:r>
        <w:rPr/>
        <w:t>and</w:t>
      </w:r>
      <w:r>
        <w:rPr>
          <w:spacing w:val="-14"/>
        </w:rPr>
        <w:t> </w:t>
      </w:r>
      <w:hyperlink w:history="true" w:anchor="_bookmark96">
        <w:r>
          <w:rPr>
            <w:color w:val="8B2C18"/>
          </w:rPr>
          <w:t>5</w:t>
        </w:r>
      </w:hyperlink>
      <w:r>
        <w:rPr>
          <w:color w:val="8B2C18"/>
          <w:spacing w:val="-14"/>
        </w:rPr>
        <w:t> </w:t>
      </w:r>
      <w:r>
        <w:rPr/>
        <w:t>to</w:t>
      </w:r>
      <w:r>
        <w:rPr>
          <w:spacing w:val="-13"/>
        </w:rPr>
        <w:t> </w:t>
      </w:r>
      <w:r>
        <w:rPr/>
        <w:t>explain</w:t>
      </w:r>
      <w:r>
        <w:rPr>
          <w:spacing w:val="-14"/>
        </w:rPr>
        <w:t> </w:t>
      </w:r>
      <w:r>
        <w:rPr/>
        <w:t>why</w:t>
      </w:r>
      <w:r>
        <w:rPr>
          <w:spacing w:val="-14"/>
        </w:rPr>
        <w:t> </w:t>
      </w:r>
      <w:r>
        <w:rPr/>
        <w:t>rule-based</w:t>
      </w:r>
      <w:r>
        <w:rPr>
          <w:spacing w:val="-14"/>
        </w:rPr>
        <w:t> </w:t>
      </w:r>
      <w:r>
        <w:rPr/>
        <w:t>machine learning succeeds at pattern discovery but falls short of reliable prediction in this domain.</w:t>
      </w:r>
      <w:r>
        <w:rPr>
          <w:spacing w:val="31"/>
        </w:rPr>
        <w:t> </w:t>
      </w:r>
      <w:r>
        <w:rPr/>
        <w:t>Four questions</w:t>
      </w:r>
      <w:r>
        <w:rPr>
          <w:spacing w:val="-5"/>
        </w:rPr>
        <w:t> </w:t>
      </w:r>
      <w:r>
        <w:rPr/>
        <w:t>are</w:t>
      </w:r>
      <w:r>
        <w:rPr>
          <w:spacing w:val="-5"/>
        </w:rPr>
        <w:t> </w:t>
      </w:r>
      <w:r>
        <w:rPr/>
        <w:t>addressed: (1)</w:t>
      </w:r>
      <w:r>
        <w:rPr>
          <w:spacing w:val="-5"/>
        </w:rPr>
        <w:t> </w:t>
      </w:r>
      <w:r>
        <w:rPr/>
        <w:t>why</w:t>
      </w:r>
      <w:r>
        <w:rPr>
          <w:spacing w:val="-5"/>
        </w:rPr>
        <w:t> </w:t>
      </w:r>
      <w:r>
        <w:rPr/>
        <w:t>the</w:t>
      </w:r>
      <w:r>
        <w:rPr>
          <w:spacing w:val="-5"/>
        </w:rPr>
        <w:t> </w:t>
      </w:r>
      <w:r>
        <w:rPr/>
        <w:t>same</w:t>
      </w:r>
      <w:r>
        <w:rPr>
          <w:spacing w:val="-5"/>
        </w:rPr>
        <w:t> </w:t>
      </w:r>
      <w:r>
        <w:rPr/>
        <w:t>rules</w:t>
      </w:r>
      <w:r>
        <w:rPr>
          <w:spacing w:val="-5"/>
        </w:rPr>
        <w:t> </w:t>
      </w:r>
      <w:r>
        <w:rPr/>
        <w:t>that</w:t>
      </w:r>
      <w:r>
        <w:rPr>
          <w:spacing w:val="-5"/>
        </w:rPr>
        <w:t> </w:t>
      </w:r>
      <w:r>
        <w:rPr/>
        <w:t>explain</w:t>
      </w:r>
      <w:r>
        <w:rPr>
          <w:spacing w:val="-5"/>
        </w:rPr>
        <w:t> </w:t>
      </w:r>
      <w:r>
        <w:rPr/>
        <w:t>historical</w:t>
      </w:r>
      <w:r>
        <w:rPr>
          <w:spacing w:val="-5"/>
        </w:rPr>
        <w:t> </w:t>
      </w:r>
      <w:r>
        <w:rPr/>
        <w:t>production</w:t>
      </w:r>
      <w:r>
        <w:rPr>
          <w:spacing w:val="-5"/>
        </w:rPr>
        <w:t> </w:t>
      </w:r>
      <w:r>
        <w:rPr/>
        <w:t>cannot</w:t>
      </w:r>
      <w:r>
        <w:rPr>
          <w:spacing w:val="-5"/>
        </w:rPr>
        <w:t> </w:t>
      </w:r>
      <w:r>
        <w:rPr/>
        <w:t>reliably predict future production; (2) why the two technical decisions embedded in the pipeline are in fundamental</w:t>
      </w:r>
      <w:r>
        <w:rPr>
          <w:spacing w:val="-1"/>
        </w:rPr>
        <w:t> </w:t>
      </w:r>
      <w:r>
        <w:rPr/>
        <w:t>tension;</w:t>
      </w:r>
      <w:r>
        <w:rPr>
          <w:spacing w:val="-1"/>
        </w:rPr>
        <w:t> </w:t>
      </w:r>
      <w:r>
        <w:rPr/>
        <w:t>(3)</w:t>
      </w:r>
      <w:r>
        <w:rPr>
          <w:spacing w:val="-1"/>
        </w:rPr>
        <w:t> </w:t>
      </w:r>
      <w:r>
        <w:rPr/>
        <w:t>why</w:t>
      </w:r>
      <w:r>
        <w:rPr>
          <w:spacing w:val="-1"/>
        </w:rPr>
        <w:t> </w:t>
      </w:r>
      <w:r>
        <w:rPr/>
        <w:t>the</w:t>
      </w:r>
      <w:r>
        <w:rPr>
          <w:spacing w:val="-1"/>
        </w:rPr>
        <w:t> </w:t>
      </w:r>
      <w:r>
        <w:rPr/>
        <w:t>two</w:t>
      </w:r>
      <w:r>
        <w:rPr>
          <w:spacing w:val="-1"/>
        </w:rPr>
        <w:t> </w:t>
      </w:r>
      <w:r>
        <w:rPr/>
        <w:t>regions</w:t>
      </w:r>
      <w:r>
        <w:rPr>
          <w:spacing w:val="-1"/>
        </w:rPr>
        <w:t> </w:t>
      </w:r>
      <w:r>
        <w:rPr/>
        <w:t>diverge</w:t>
      </w:r>
      <w:r>
        <w:rPr>
          <w:spacing w:val="-1"/>
        </w:rPr>
        <w:t> </w:t>
      </w:r>
      <w:r>
        <w:rPr/>
        <w:t>so</w:t>
      </w:r>
      <w:r>
        <w:rPr>
          <w:spacing w:val="-1"/>
        </w:rPr>
        <w:t> </w:t>
      </w:r>
      <w:r>
        <w:rPr/>
        <w:t>markedly</w:t>
      </w:r>
      <w:r>
        <w:rPr>
          <w:spacing w:val="-1"/>
        </w:rPr>
        <w:t> </w:t>
      </w:r>
      <w:r>
        <w:rPr/>
        <w:t>in</w:t>
      </w:r>
      <w:r>
        <w:rPr>
          <w:spacing w:val="-1"/>
        </w:rPr>
        <w:t> </w:t>
      </w:r>
      <w:r>
        <w:rPr/>
        <w:t>their</w:t>
      </w:r>
      <w:r>
        <w:rPr>
          <w:spacing w:val="-1"/>
        </w:rPr>
        <w:t> </w:t>
      </w:r>
      <w:r>
        <w:rPr/>
        <w:t>CarenR</w:t>
      </w:r>
      <w:r>
        <w:rPr>
          <w:spacing w:val="-1"/>
        </w:rPr>
        <w:t> </w:t>
      </w:r>
      <w:r>
        <w:rPr/>
        <w:t>performance; and (4) what structural properties of the data would need to change for rule-based prediction to </w:t>
      </w:r>
      <w:r>
        <w:rPr>
          <w:spacing w:val="-2"/>
        </w:rPr>
        <w:t>succeed.</w:t>
      </w:r>
    </w:p>
    <w:p>
      <w:pPr>
        <w:pStyle w:val="BodyText"/>
        <w:spacing w:before="237"/>
      </w:pPr>
    </w:p>
    <w:p>
      <w:pPr>
        <w:pStyle w:val="Heading2"/>
        <w:numPr>
          <w:ilvl w:val="1"/>
          <w:numId w:val="36"/>
        </w:numPr>
        <w:tabs>
          <w:tab w:pos="1354" w:val="left" w:leader="none"/>
        </w:tabs>
        <w:spacing w:line="240" w:lineRule="auto" w:before="0" w:after="0"/>
        <w:ind w:left="1354" w:right="0" w:hanging="645"/>
        <w:jc w:val="left"/>
      </w:pPr>
      <w:bookmarkStart w:name="6.1 The Asymmetry Between Discovery and " w:id="219"/>
      <w:bookmarkEnd w:id="219"/>
      <w:r>
        <w:rPr>
          <w:b w:val="0"/>
        </w:rPr>
      </w:r>
      <w:bookmarkStart w:name="_bookmark131" w:id="220"/>
      <w:bookmarkEnd w:id="220"/>
      <w:r>
        <w:rPr>
          <w:b w:val="0"/>
        </w:rPr>
      </w:r>
      <w:r>
        <w:rPr/>
        <w:t>The</w:t>
      </w:r>
      <w:r>
        <w:rPr>
          <w:spacing w:val="17"/>
        </w:rPr>
        <w:t> </w:t>
      </w:r>
      <w:r>
        <w:rPr/>
        <w:t>Asymmetry</w:t>
      </w:r>
      <w:r>
        <w:rPr>
          <w:spacing w:val="18"/>
        </w:rPr>
        <w:t> </w:t>
      </w:r>
      <w:r>
        <w:rPr/>
        <w:t>Between</w:t>
      </w:r>
      <w:r>
        <w:rPr>
          <w:spacing w:val="18"/>
        </w:rPr>
        <w:t> </w:t>
      </w:r>
      <w:r>
        <w:rPr/>
        <w:t>Discovery</w:t>
      </w:r>
      <w:r>
        <w:rPr>
          <w:spacing w:val="18"/>
        </w:rPr>
        <w:t> </w:t>
      </w:r>
      <w:r>
        <w:rPr/>
        <w:t>and</w:t>
      </w:r>
      <w:r>
        <w:rPr>
          <w:spacing w:val="18"/>
        </w:rPr>
        <w:t> </w:t>
      </w:r>
      <w:r>
        <w:rPr>
          <w:spacing w:val="-2"/>
        </w:rPr>
        <w:t>Prediction</w:t>
      </w:r>
    </w:p>
    <w:p>
      <w:pPr>
        <w:pStyle w:val="BodyText"/>
        <w:spacing w:line="312" w:lineRule="auto" w:before="321"/>
        <w:ind w:left="709" w:right="952" w:hanging="7"/>
        <w:jc w:val="both"/>
      </w:pPr>
      <w:r>
        <w:rPr/>
        <w:t>The</w:t>
      </w:r>
      <w:r>
        <w:rPr>
          <w:spacing w:val="-9"/>
        </w:rPr>
        <w:t> </w:t>
      </w:r>
      <w:r>
        <w:rPr/>
        <w:t>core</w:t>
      </w:r>
      <w:r>
        <w:rPr>
          <w:spacing w:val="-9"/>
        </w:rPr>
        <w:t> </w:t>
      </w:r>
      <w:r>
        <w:rPr/>
        <w:t>finding</w:t>
      </w:r>
      <w:r>
        <w:rPr>
          <w:spacing w:val="-9"/>
        </w:rPr>
        <w:t> </w:t>
      </w:r>
      <w:r>
        <w:rPr/>
        <w:t>of</w:t>
      </w:r>
      <w:r>
        <w:rPr>
          <w:spacing w:val="-9"/>
        </w:rPr>
        <w:t> </w:t>
      </w:r>
      <w:r>
        <w:rPr/>
        <w:t>this</w:t>
      </w:r>
      <w:r>
        <w:rPr>
          <w:spacing w:val="-9"/>
        </w:rPr>
        <w:t> </w:t>
      </w:r>
      <w:r>
        <w:rPr/>
        <w:t>thesis</w:t>
      </w:r>
      <w:r>
        <w:rPr>
          <w:spacing w:val="-9"/>
        </w:rPr>
        <w:t> </w:t>
      </w:r>
      <w:r>
        <w:rPr/>
        <w:t>is</w:t>
      </w:r>
      <w:r>
        <w:rPr>
          <w:spacing w:val="-9"/>
        </w:rPr>
        <w:t> </w:t>
      </w:r>
      <w:r>
        <w:rPr/>
        <w:t>an</w:t>
      </w:r>
      <w:r>
        <w:rPr>
          <w:spacing w:val="-9"/>
        </w:rPr>
        <w:t> </w:t>
      </w:r>
      <w:r>
        <w:rPr/>
        <w:t>asymmetry</w:t>
      </w:r>
      <w:r>
        <w:rPr>
          <w:spacing w:val="-9"/>
        </w:rPr>
        <w:t> </w:t>
      </w:r>
      <w:r>
        <w:rPr/>
        <w:t>between</w:t>
      </w:r>
      <w:r>
        <w:rPr>
          <w:spacing w:val="-9"/>
        </w:rPr>
        <w:t> </w:t>
      </w:r>
      <w:r>
        <w:rPr/>
        <w:t>two</w:t>
      </w:r>
      <w:r>
        <w:rPr>
          <w:spacing w:val="-9"/>
        </w:rPr>
        <w:t> </w:t>
      </w:r>
      <w:r>
        <w:rPr/>
        <w:t>related</w:t>
      </w:r>
      <w:r>
        <w:rPr>
          <w:spacing w:val="-9"/>
        </w:rPr>
        <w:t> </w:t>
      </w:r>
      <w:r>
        <w:rPr/>
        <w:t>but</w:t>
      </w:r>
      <w:r>
        <w:rPr>
          <w:spacing w:val="-9"/>
        </w:rPr>
        <w:t> </w:t>
      </w:r>
      <w:r>
        <w:rPr/>
        <w:t>distinct</w:t>
      </w:r>
      <w:r>
        <w:rPr>
          <w:spacing w:val="-9"/>
        </w:rPr>
        <w:t> </w:t>
      </w:r>
      <w:r>
        <w:rPr/>
        <w:t>tasks: discovering patterns that explain historical production, and predicting future production from those </w:t>
      </w:r>
      <w:r>
        <w:rPr/>
        <w:t>patterns. Goal 1 succeeds:</w:t>
      </w:r>
      <w:r>
        <w:rPr>
          <w:spacing w:val="40"/>
        </w:rPr>
        <w:t> </w:t>
      </w:r>
      <w:r>
        <w:rPr/>
        <w:t>48 rules for RDD and 20 for RVV, pointing to harvest-period soil water and </w:t>
      </w:r>
      <w:r>
        <w:rPr>
          <w:spacing w:val="-2"/>
        </w:rPr>
        <w:t>flowering-phase</w:t>
      </w:r>
      <w:r>
        <w:rPr>
          <w:spacing w:val="-7"/>
        </w:rPr>
        <w:t> </w:t>
      </w:r>
      <w:r>
        <w:rPr>
          <w:spacing w:val="-2"/>
        </w:rPr>
        <w:t>moisture</w:t>
      </w:r>
      <w:r>
        <w:rPr>
          <w:spacing w:val="-7"/>
        </w:rPr>
        <w:t> </w:t>
      </w:r>
      <w:r>
        <w:rPr>
          <w:spacing w:val="-2"/>
        </w:rPr>
        <w:t>as</w:t>
      </w:r>
      <w:r>
        <w:rPr>
          <w:spacing w:val="-7"/>
        </w:rPr>
        <w:t> </w:t>
      </w:r>
      <w:r>
        <w:rPr>
          <w:spacing w:val="-2"/>
        </w:rPr>
        <w:t>primary</w:t>
      </w:r>
      <w:r>
        <w:rPr>
          <w:spacing w:val="-7"/>
        </w:rPr>
        <w:t> </w:t>
      </w:r>
      <w:r>
        <w:rPr>
          <w:spacing w:val="-2"/>
        </w:rPr>
        <w:t>drivers,</w:t>
      </w:r>
      <w:r>
        <w:rPr>
          <w:spacing w:val="-7"/>
        </w:rPr>
        <w:t> </w:t>
      </w:r>
      <w:r>
        <w:rPr>
          <w:spacing w:val="-2"/>
        </w:rPr>
        <w:t>validated</w:t>
      </w:r>
      <w:r>
        <w:rPr>
          <w:spacing w:val="-7"/>
        </w:rPr>
        <w:t> </w:t>
      </w:r>
      <w:r>
        <w:rPr>
          <w:spacing w:val="-2"/>
        </w:rPr>
        <w:t>by</w:t>
      </w:r>
      <w:r>
        <w:rPr>
          <w:spacing w:val="-7"/>
        </w:rPr>
        <w:t> </w:t>
      </w:r>
      <w:r>
        <w:rPr>
          <w:spacing w:val="-2"/>
        </w:rPr>
        <w:t>LOESS</w:t>
      </w:r>
      <w:r>
        <w:rPr>
          <w:spacing w:val="-7"/>
        </w:rPr>
        <w:t> </w:t>
      </w:r>
      <w:r>
        <w:rPr>
          <w:spacing w:val="-2"/>
        </w:rPr>
        <w:t>detrending</w:t>
      </w:r>
      <w:r>
        <w:rPr>
          <w:spacing w:val="-7"/>
        </w:rPr>
        <w:t> </w:t>
      </w:r>
      <w:r>
        <w:rPr>
          <w:spacing w:val="-2"/>
        </w:rPr>
        <w:t>to</w:t>
      </w:r>
      <w:r>
        <w:rPr>
          <w:spacing w:val="-7"/>
        </w:rPr>
        <w:t> </w:t>
      </w:r>
      <w:r>
        <w:rPr>
          <w:spacing w:val="-2"/>
        </w:rPr>
        <w:t>be</w:t>
      </w:r>
      <w:r>
        <w:rPr>
          <w:spacing w:val="-7"/>
        </w:rPr>
        <w:t> </w:t>
      </w:r>
      <w:r>
        <w:rPr>
          <w:spacing w:val="-2"/>
        </w:rPr>
        <w:t>genuine</w:t>
      </w:r>
      <w:r>
        <w:rPr>
          <w:spacing w:val="-7"/>
        </w:rPr>
        <w:t> </w:t>
      </w:r>
      <w:r>
        <w:rPr>
          <w:spacing w:val="-2"/>
        </w:rPr>
        <w:t>within-</w:t>
      </w:r>
      <w:r>
        <w:rPr/>
        <w:t>era effects.</w:t>
      </w:r>
      <w:r>
        <w:rPr>
          <w:spacing w:val="40"/>
        </w:rPr>
        <w:t> </w:t>
      </w:r>
      <w:r>
        <w:rPr/>
        <w:t>Goal 2 does not succeed in aggregate.</w:t>
      </w:r>
      <w:r>
        <w:rPr>
          <w:spacing w:val="40"/>
        </w:rPr>
        <w:t> </w:t>
      </w:r>
      <w:r>
        <w:rPr/>
        <w:t>Understanding why requires examining the different requirements of the two tasks.</w:t>
      </w:r>
    </w:p>
    <w:p>
      <w:pPr>
        <w:pStyle w:val="BodyText"/>
        <w:spacing w:line="312" w:lineRule="auto" w:before="16"/>
        <w:ind w:left="709" w:right="990" w:firstLine="338"/>
        <w:jc w:val="both"/>
      </w:pPr>
      <w:r>
        <w:rPr/>
        <w:t>Pattern</w:t>
      </w:r>
      <w:r>
        <w:rPr>
          <w:spacing w:val="-14"/>
        </w:rPr>
        <w:t> </w:t>
      </w:r>
      <w:r>
        <w:rPr/>
        <w:t>discovery</w:t>
      </w:r>
      <w:r>
        <w:rPr>
          <w:spacing w:val="-14"/>
        </w:rPr>
        <w:t> </w:t>
      </w:r>
      <w:r>
        <w:rPr/>
        <w:t>requires</w:t>
      </w:r>
      <w:r>
        <w:rPr>
          <w:spacing w:val="-14"/>
        </w:rPr>
        <w:t> </w:t>
      </w:r>
      <w:r>
        <w:rPr/>
        <w:t>only</w:t>
      </w:r>
      <w:r>
        <w:rPr>
          <w:spacing w:val="-13"/>
        </w:rPr>
        <w:t> </w:t>
      </w:r>
      <w:r>
        <w:rPr/>
        <w:t>that</w:t>
      </w:r>
      <w:r>
        <w:rPr>
          <w:spacing w:val="-14"/>
        </w:rPr>
        <w:t> </w:t>
      </w:r>
      <w:r>
        <w:rPr/>
        <w:t>a</w:t>
      </w:r>
      <w:r>
        <w:rPr>
          <w:spacing w:val="-14"/>
        </w:rPr>
        <w:t> </w:t>
      </w:r>
      <w:r>
        <w:rPr/>
        <w:t>statistical</w:t>
      </w:r>
      <w:r>
        <w:rPr>
          <w:spacing w:val="-14"/>
        </w:rPr>
        <w:t> </w:t>
      </w:r>
      <w:r>
        <w:rPr/>
        <w:t>association</w:t>
      </w:r>
      <w:r>
        <w:rPr>
          <w:spacing w:val="-13"/>
        </w:rPr>
        <w:t> </w:t>
      </w:r>
      <w:r>
        <w:rPr/>
        <w:t>exists,</w:t>
      </w:r>
      <w:r>
        <w:rPr>
          <w:spacing w:val="-14"/>
        </w:rPr>
        <w:t> </w:t>
      </w:r>
      <w:r>
        <w:rPr/>
        <w:t>that</w:t>
      </w:r>
      <w:r>
        <w:rPr>
          <w:spacing w:val="-14"/>
        </w:rPr>
        <w:t> </w:t>
      </w:r>
      <w:r>
        <w:rPr/>
        <w:t>years</w:t>
      </w:r>
      <w:r>
        <w:rPr>
          <w:spacing w:val="-14"/>
        </w:rPr>
        <w:t> </w:t>
      </w:r>
      <w:r>
        <w:rPr/>
        <w:t>satisfying</w:t>
      </w:r>
      <w:r>
        <w:rPr>
          <w:spacing w:val="-13"/>
        </w:rPr>
        <w:t> </w:t>
      </w:r>
      <w:r>
        <w:rPr/>
        <w:t>a</w:t>
      </w:r>
      <w:r>
        <w:rPr>
          <w:spacing w:val="-14"/>
        </w:rPr>
        <w:t> </w:t>
      </w:r>
      <w:r>
        <w:rPr/>
        <w:t>given condition</w:t>
      </w:r>
      <w:r>
        <w:rPr>
          <w:spacing w:val="7"/>
        </w:rPr>
        <w:t> </w:t>
      </w:r>
      <w:r>
        <w:rPr/>
        <w:t>have</w:t>
      </w:r>
      <w:r>
        <w:rPr>
          <w:spacing w:val="8"/>
        </w:rPr>
        <w:t> </w:t>
      </w:r>
      <w:r>
        <w:rPr/>
        <w:t>a</w:t>
      </w:r>
      <w:r>
        <w:rPr>
          <w:spacing w:val="7"/>
        </w:rPr>
        <w:t> </w:t>
      </w:r>
      <w:r>
        <w:rPr/>
        <w:t>systematically</w:t>
      </w:r>
      <w:r>
        <w:rPr>
          <w:spacing w:val="8"/>
        </w:rPr>
        <w:t> </w:t>
      </w:r>
      <w:r>
        <w:rPr/>
        <w:t>different</w:t>
      </w:r>
      <w:r>
        <w:rPr>
          <w:spacing w:val="7"/>
        </w:rPr>
        <w:t> </w:t>
      </w:r>
      <w:r>
        <w:rPr/>
        <w:t>distribution</w:t>
      </w:r>
      <w:r>
        <w:rPr>
          <w:spacing w:val="7"/>
        </w:rPr>
        <w:t> </w:t>
      </w:r>
      <w:r>
        <w:rPr/>
        <w:t>of</w:t>
      </w:r>
      <w:r>
        <w:rPr>
          <w:spacing w:val="7"/>
        </w:rPr>
        <w:t> </w:t>
      </w:r>
      <w:r>
        <w:rPr/>
        <w:t>production</w:t>
      </w:r>
      <w:r>
        <w:rPr>
          <w:spacing w:val="7"/>
        </w:rPr>
        <w:t> </w:t>
      </w:r>
      <w:r>
        <w:rPr/>
        <w:t>residuals</w:t>
      </w:r>
      <w:r>
        <w:rPr>
          <w:spacing w:val="8"/>
        </w:rPr>
        <w:t> </w:t>
      </w:r>
      <w:r>
        <w:rPr/>
        <w:t>from</w:t>
      </w:r>
      <w:r>
        <w:rPr>
          <w:spacing w:val="8"/>
        </w:rPr>
        <w:t> </w:t>
      </w:r>
      <w:r>
        <w:rPr/>
        <w:t>years</w:t>
      </w:r>
      <w:r>
        <w:rPr>
          <w:spacing w:val="6"/>
        </w:rPr>
        <w:t> </w:t>
      </w:r>
      <w:r>
        <w:rPr/>
        <w:t>that</w:t>
      </w:r>
      <w:r>
        <w:rPr>
          <w:spacing w:val="8"/>
        </w:rPr>
        <w:t> </w:t>
      </w:r>
      <w:r>
        <w:rPr>
          <w:spacing w:val="-5"/>
        </w:rPr>
        <w:t>do</w:t>
      </w:r>
    </w:p>
    <w:p>
      <w:pPr>
        <w:pStyle w:val="BodyText"/>
        <w:spacing w:line="297" w:lineRule="exact"/>
        <w:ind w:left="709"/>
        <w:jc w:val="both"/>
      </w:pPr>
      <w:r>
        <w:rPr/>
        <w:t>not.</w:t>
      </w:r>
      <w:r>
        <w:rPr>
          <w:spacing w:val="-12"/>
        </w:rPr>
        <w:t> </w:t>
      </w:r>
      <w:r>
        <w:rPr/>
        <w:t>With</w:t>
      </w:r>
      <w:r>
        <w:rPr>
          <w:spacing w:val="-13"/>
        </w:rPr>
        <w:t> </w:t>
      </w:r>
      <w:r>
        <w:rPr/>
        <w:t>|r|</w:t>
      </w:r>
      <w:r>
        <w:rPr>
          <w:spacing w:val="-12"/>
        </w:rPr>
        <w:t> </w:t>
      </w:r>
      <w:r>
        <w:rPr>
          <w:rFonts w:ascii="Meiryo UI" w:hAnsi="Meiryo UI"/>
          <w:i/>
        </w:rPr>
        <w:t>≈</w:t>
      </w:r>
      <w:r>
        <w:rPr>
          <w:rFonts w:ascii="Meiryo UI" w:hAnsi="Meiryo UI"/>
          <w:i/>
          <w:spacing w:val="-21"/>
        </w:rPr>
        <w:t> </w:t>
      </w:r>
      <w:r>
        <w:rPr/>
        <w:t>0.47</w:t>
      </w:r>
      <w:r>
        <w:rPr>
          <w:spacing w:val="-12"/>
        </w:rPr>
        <w:t> </w:t>
      </w:r>
      <w:r>
        <w:rPr/>
        <w:t>between</w:t>
      </w:r>
      <w:r>
        <w:rPr>
          <w:spacing w:val="-12"/>
        </w:rPr>
        <w:t> </w:t>
      </w:r>
      <w:r>
        <w:rPr/>
        <w:t>the</w:t>
      </w:r>
      <w:r>
        <w:rPr>
          <w:spacing w:val="-12"/>
        </w:rPr>
        <w:t> </w:t>
      </w:r>
      <w:r>
        <w:rPr/>
        <w:t>top</w:t>
      </w:r>
      <w:r>
        <w:rPr>
          <w:spacing w:val="-12"/>
        </w:rPr>
        <w:t> </w:t>
      </w:r>
      <w:r>
        <w:rPr/>
        <w:t>climate</w:t>
      </w:r>
      <w:r>
        <w:rPr>
          <w:spacing w:val="-12"/>
        </w:rPr>
        <w:t> </w:t>
      </w:r>
      <w:r>
        <w:rPr/>
        <w:t>features</w:t>
      </w:r>
      <w:r>
        <w:rPr>
          <w:spacing w:val="-12"/>
        </w:rPr>
        <w:t> </w:t>
      </w:r>
      <w:r>
        <w:rPr/>
        <w:t>and</w:t>
      </w:r>
      <w:r>
        <w:rPr>
          <w:spacing w:val="-12"/>
        </w:rPr>
        <w:t> </w:t>
      </w:r>
      <w:r>
        <w:rPr/>
        <w:t>production</w:t>
      </w:r>
      <w:r>
        <w:rPr>
          <w:spacing w:val="-12"/>
        </w:rPr>
        <w:t> </w:t>
      </w:r>
      <w:r>
        <w:rPr/>
        <w:t>residuals,</w:t>
      </w:r>
      <w:r>
        <w:rPr>
          <w:spacing w:val="-12"/>
        </w:rPr>
        <w:t> </w:t>
      </w:r>
      <w:r>
        <w:rPr/>
        <w:t>even</w:t>
      </w:r>
      <w:r>
        <w:rPr>
          <w:spacing w:val="-12"/>
        </w:rPr>
        <w:t> </w:t>
      </w:r>
      <w:r>
        <w:rPr/>
        <w:t>under</w:t>
      </w:r>
      <w:r>
        <w:rPr>
          <w:spacing w:val="-12"/>
        </w:rPr>
        <w:t> </w:t>
      </w:r>
      <w:r>
        <w:rPr>
          <w:spacing w:val="-2"/>
        </w:rPr>
        <w:t>LOESS</w:t>
      </w:r>
    </w:p>
    <w:p>
      <w:pPr>
        <w:pStyle w:val="BodyText"/>
        <w:spacing w:line="312" w:lineRule="auto" w:before="31"/>
        <w:ind w:left="709" w:right="982"/>
        <w:jc w:val="both"/>
      </w:pPr>
      <w:r>
        <w:rPr/>
        <w:t>detrending that removes era confounds, such an association clearly exists.</w:t>
      </w:r>
      <w:r>
        <w:rPr>
          <w:spacing w:val="40"/>
        </w:rPr>
        <w:t> </w:t>
      </w:r>
      <w:r>
        <w:rPr/>
        <w:t>CarenR’s KS-test framework is well suited to detecting distributional differences at this signal strength: subgroup </w:t>
      </w:r>
      <w:r>
        <w:rPr>
          <w:spacing w:val="-2"/>
        </w:rPr>
        <w:t>induction</w:t>
      </w:r>
      <w:r>
        <w:rPr>
          <w:spacing w:val="-8"/>
        </w:rPr>
        <w:t> </w:t>
      </w:r>
      <w:r>
        <w:rPr>
          <w:spacing w:val="-2"/>
        </w:rPr>
        <w:t>on</w:t>
      </w:r>
      <w:r>
        <w:rPr>
          <w:spacing w:val="-8"/>
        </w:rPr>
        <w:t> </w:t>
      </w:r>
      <w:r>
        <w:rPr>
          <w:spacing w:val="-2"/>
        </w:rPr>
        <w:t>80–89</w:t>
      </w:r>
      <w:r>
        <w:rPr>
          <w:spacing w:val="-8"/>
        </w:rPr>
        <w:t> </w:t>
      </w:r>
      <w:r>
        <w:rPr>
          <w:spacing w:val="-2"/>
        </w:rPr>
        <w:t>years</w:t>
      </w:r>
      <w:r>
        <w:rPr>
          <w:spacing w:val="-8"/>
        </w:rPr>
        <w:t> </w:t>
      </w:r>
      <w:r>
        <w:rPr>
          <w:spacing w:val="-2"/>
        </w:rPr>
        <w:t>of</w:t>
      </w:r>
      <w:r>
        <w:rPr>
          <w:spacing w:val="-8"/>
        </w:rPr>
        <w:t> </w:t>
      </w:r>
      <w:r>
        <w:rPr>
          <w:spacing w:val="-2"/>
        </w:rPr>
        <w:t>data</w:t>
      </w:r>
      <w:r>
        <w:rPr>
          <w:spacing w:val="-8"/>
        </w:rPr>
        <w:t> </w:t>
      </w:r>
      <w:r>
        <w:rPr>
          <w:spacing w:val="-2"/>
        </w:rPr>
        <w:t>with</w:t>
      </w:r>
      <w:r>
        <w:rPr>
          <w:spacing w:val="-8"/>
        </w:rPr>
        <w:t> </w:t>
      </w:r>
      <w:r>
        <w:rPr>
          <w:spacing w:val="-2"/>
        </w:rPr>
        <w:t>a</w:t>
      </w:r>
      <w:r>
        <w:rPr>
          <w:spacing w:val="-8"/>
        </w:rPr>
        <w:t> </w:t>
      </w:r>
      <w:r>
        <w:rPr>
          <w:spacing w:val="-2"/>
        </w:rPr>
        <w:t>20%</w:t>
      </w:r>
      <w:r>
        <w:rPr>
          <w:spacing w:val="-8"/>
        </w:rPr>
        <w:t> </w:t>
      </w:r>
      <w:r>
        <w:rPr>
          <w:spacing w:val="-2"/>
        </w:rPr>
        <w:t>support</w:t>
      </w:r>
      <w:r>
        <w:rPr>
          <w:spacing w:val="-8"/>
        </w:rPr>
        <w:t> </w:t>
      </w:r>
      <w:r>
        <w:rPr>
          <w:spacing w:val="-2"/>
        </w:rPr>
        <w:t>threshold</w:t>
      </w:r>
      <w:r>
        <w:rPr>
          <w:spacing w:val="-8"/>
        </w:rPr>
        <w:t> </w:t>
      </w:r>
      <w:r>
        <w:rPr>
          <w:spacing w:val="-2"/>
        </w:rPr>
        <w:t>provides</w:t>
      </w:r>
      <w:r>
        <w:rPr>
          <w:spacing w:val="-8"/>
        </w:rPr>
        <w:t> </w:t>
      </w:r>
      <w:r>
        <w:rPr>
          <w:spacing w:val="-2"/>
        </w:rPr>
        <w:t>adequate</w:t>
      </w:r>
      <w:r>
        <w:rPr>
          <w:spacing w:val="-8"/>
        </w:rPr>
        <w:t> </w:t>
      </w:r>
      <w:r>
        <w:rPr>
          <w:spacing w:val="-2"/>
        </w:rPr>
        <w:t>power</w:t>
      </w:r>
      <w:r>
        <w:rPr>
          <w:spacing w:val="-8"/>
        </w:rPr>
        <w:t> </w:t>
      </w:r>
      <w:r>
        <w:rPr>
          <w:spacing w:val="-2"/>
        </w:rPr>
        <w:t>to</w:t>
      </w:r>
      <w:r>
        <w:rPr>
          <w:spacing w:val="-8"/>
        </w:rPr>
        <w:t> </w:t>
      </w:r>
      <w:r>
        <w:rPr>
          <w:spacing w:val="-2"/>
        </w:rPr>
        <w:t>identify </w:t>
      </w:r>
      <w:r>
        <w:rPr/>
        <w:t>the most prominent associations.</w:t>
      </w:r>
    </w:p>
    <w:p>
      <w:pPr>
        <w:pStyle w:val="BodyText"/>
        <w:spacing w:line="312" w:lineRule="auto" w:before="16"/>
        <w:ind w:left="709" w:right="982" w:firstLine="338"/>
        <w:jc w:val="both"/>
      </w:pPr>
      <w:r>
        <w:rPr/>
        <w:t>Prediction</w:t>
      </w:r>
      <w:r>
        <w:rPr>
          <w:spacing w:val="16"/>
        </w:rPr>
        <w:t> </w:t>
      </w:r>
      <w:r>
        <w:rPr/>
        <w:t>requires</w:t>
      </w:r>
      <w:r>
        <w:rPr>
          <w:spacing w:val="16"/>
        </w:rPr>
        <w:t> </w:t>
      </w:r>
      <w:r>
        <w:rPr/>
        <w:t>something</w:t>
      </w:r>
      <w:r>
        <w:rPr>
          <w:spacing w:val="16"/>
        </w:rPr>
        <w:t> </w:t>
      </w:r>
      <w:r>
        <w:rPr/>
        <w:t>harder:</w:t>
      </w:r>
      <w:r>
        <w:rPr>
          <w:spacing w:val="40"/>
        </w:rPr>
        <w:t> </w:t>
      </w:r>
      <w:r>
        <w:rPr/>
        <w:t>the</w:t>
      </w:r>
      <w:r>
        <w:rPr>
          <w:spacing w:val="16"/>
        </w:rPr>
        <w:t> </w:t>
      </w:r>
      <w:r>
        <w:rPr/>
        <w:t>association</w:t>
      </w:r>
      <w:r>
        <w:rPr>
          <w:spacing w:val="16"/>
        </w:rPr>
        <w:t> </w:t>
      </w:r>
      <w:r>
        <w:rPr/>
        <w:t>must</w:t>
      </w:r>
      <w:r>
        <w:rPr>
          <w:spacing w:val="16"/>
        </w:rPr>
        <w:t> </w:t>
      </w:r>
      <w:r>
        <w:rPr/>
        <w:t>be</w:t>
      </w:r>
      <w:r>
        <w:rPr>
          <w:spacing w:val="16"/>
        </w:rPr>
        <w:t> </w:t>
      </w:r>
      <w:r>
        <w:rPr/>
        <w:t>strong</w:t>
      </w:r>
      <w:r>
        <w:rPr>
          <w:spacing w:val="16"/>
        </w:rPr>
        <w:t> </w:t>
      </w:r>
      <w:r>
        <w:rPr/>
        <w:t>enough</w:t>
      </w:r>
      <w:r>
        <w:rPr>
          <w:spacing w:val="16"/>
        </w:rPr>
        <w:t> </w:t>
      </w:r>
      <w:r>
        <w:rPr/>
        <w:t>that</w:t>
      </w:r>
      <w:r>
        <w:rPr>
          <w:spacing w:val="16"/>
        </w:rPr>
        <w:t> </w:t>
      </w:r>
      <w:r>
        <w:rPr/>
        <w:t>knowing a</w:t>
      </w:r>
      <w:r>
        <w:rPr>
          <w:spacing w:val="4"/>
        </w:rPr>
        <w:t> </w:t>
      </w:r>
      <w:r>
        <w:rPr/>
        <w:t>year’s</w:t>
      </w:r>
      <w:r>
        <w:rPr>
          <w:spacing w:val="4"/>
        </w:rPr>
        <w:t> </w:t>
      </w:r>
      <w:r>
        <w:rPr/>
        <w:t>climate</w:t>
      </w:r>
      <w:r>
        <w:rPr>
          <w:spacing w:val="4"/>
        </w:rPr>
        <w:t> </w:t>
      </w:r>
      <w:r>
        <w:rPr/>
        <w:t>conditions</w:t>
      </w:r>
      <w:r>
        <w:rPr>
          <w:spacing w:val="4"/>
        </w:rPr>
        <w:t> </w:t>
      </w:r>
      <w:r>
        <w:rPr/>
        <w:t>reduces</w:t>
      </w:r>
      <w:r>
        <w:rPr>
          <w:spacing w:val="4"/>
        </w:rPr>
        <w:t> </w:t>
      </w:r>
      <w:r>
        <w:rPr/>
        <w:t>the</w:t>
      </w:r>
      <w:r>
        <w:rPr>
          <w:spacing w:val="5"/>
        </w:rPr>
        <w:t> </w:t>
      </w:r>
      <w:r>
        <w:rPr/>
        <w:t>expected</w:t>
      </w:r>
      <w:r>
        <w:rPr>
          <w:spacing w:val="4"/>
        </w:rPr>
        <w:t> </w:t>
      </w:r>
      <w:r>
        <w:rPr/>
        <w:t>error</w:t>
      </w:r>
      <w:r>
        <w:rPr>
          <w:spacing w:val="4"/>
        </w:rPr>
        <w:t> </w:t>
      </w:r>
      <w:r>
        <w:rPr/>
        <w:t>below</w:t>
      </w:r>
      <w:r>
        <w:rPr>
          <w:spacing w:val="4"/>
        </w:rPr>
        <w:t> </w:t>
      </w:r>
      <w:r>
        <w:rPr/>
        <w:t>what</w:t>
      </w:r>
      <w:r>
        <w:rPr>
          <w:spacing w:val="4"/>
        </w:rPr>
        <w:t> </w:t>
      </w:r>
      <w:r>
        <w:rPr/>
        <w:t>would</w:t>
      </w:r>
      <w:r>
        <w:rPr>
          <w:spacing w:val="4"/>
        </w:rPr>
        <w:t> </w:t>
      </w:r>
      <w:r>
        <w:rPr/>
        <w:t>be</w:t>
      </w:r>
      <w:r>
        <w:rPr>
          <w:spacing w:val="5"/>
        </w:rPr>
        <w:t> </w:t>
      </w:r>
      <w:r>
        <w:rPr/>
        <w:t>obtained</w:t>
      </w:r>
      <w:r>
        <w:rPr>
          <w:spacing w:val="4"/>
        </w:rPr>
        <w:t> </w:t>
      </w:r>
      <w:r>
        <w:rPr/>
        <w:t>by</w:t>
      </w:r>
      <w:r>
        <w:rPr>
          <w:spacing w:val="4"/>
        </w:rPr>
        <w:t> </w:t>
      </w:r>
      <w:r>
        <w:rPr>
          <w:spacing w:val="-2"/>
        </w:rPr>
        <w:t>simply</w:t>
      </w:r>
    </w:p>
    <w:p>
      <w:pPr>
        <w:pStyle w:val="BodyText"/>
        <w:spacing w:line="297" w:lineRule="exact"/>
        <w:ind w:left="709"/>
        <w:jc w:val="both"/>
      </w:pPr>
      <w:r>
        <w:rPr/>
        <w:t>predicting</w:t>
      </w:r>
      <w:r>
        <w:rPr>
          <w:spacing w:val="27"/>
        </w:rPr>
        <w:t> </w:t>
      </w:r>
      <w:r>
        <w:rPr/>
        <w:t>the</w:t>
      </w:r>
      <w:r>
        <w:rPr>
          <w:spacing w:val="28"/>
        </w:rPr>
        <w:t> </w:t>
      </w:r>
      <w:r>
        <w:rPr/>
        <w:t>training</w:t>
      </w:r>
      <w:r>
        <w:rPr>
          <w:spacing w:val="27"/>
        </w:rPr>
        <w:t> </w:t>
      </w:r>
      <w:r>
        <w:rPr/>
        <w:t>median.</w:t>
      </w:r>
      <w:r>
        <w:rPr>
          <w:spacing w:val="66"/>
          <w:w w:val="150"/>
        </w:rPr>
        <w:t> </w:t>
      </w:r>
      <w:r>
        <w:rPr/>
        <w:t>With</w:t>
      </w:r>
      <w:r>
        <w:rPr>
          <w:spacing w:val="28"/>
        </w:rPr>
        <w:t> </w:t>
      </w:r>
      <w:r>
        <w:rPr/>
        <w:t>|r|</w:t>
      </w:r>
      <w:r>
        <w:rPr>
          <w:spacing w:val="28"/>
        </w:rPr>
        <w:t> </w:t>
      </w:r>
      <w:r>
        <w:rPr>
          <w:rFonts w:ascii="Meiryo UI" w:hAnsi="Meiryo UI"/>
          <w:i/>
        </w:rPr>
        <w:t>≈</w:t>
      </w:r>
      <w:r>
        <w:rPr>
          <w:rFonts w:ascii="Meiryo UI" w:hAnsi="Meiryo UI"/>
          <w:i/>
          <w:spacing w:val="7"/>
        </w:rPr>
        <w:t> </w:t>
      </w:r>
      <w:r>
        <w:rPr/>
        <w:t>0.47,</w:t>
      </w:r>
      <w:r>
        <w:rPr>
          <w:spacing w:val="34"/>
        </w:rPr>
        <w:t> </w:t>
      </w:r>
      <w:r>
        <w:rPr/>
        <w:t>climate</w:t>
      </w:r>
      <w:r>
        <w:rPr>
          <w:spacing w:val="28"/>
        </w:rPr>
        <w:t> </w:t>
      </w:r>
      <w:r>
        <w:rPr/>
        <w:t>features</w:t>
      </w:r>
      <w:r>
        <w:rPr>
          <w:spacing w:val="27"/>
        </w:rPr>
        <w:t> </w:t>
      </w:r>
      <w:r>
        <w:rPr/>
        <w:t>explain</w:t>
      </w:r>
      <w:r>
        <w:rPr>
          <w:spacing w:val="28"/>
        </w:rPr>
        <w:t> </w:t>
      </w:r>
      <w:r>
        <w:rPr/>
        <w:t>approximately</w:t>
      </w:r>
      <w:r>
        <w:rPr>
          <w:spacing w:val="28"/>
        </w:rPr>
        <w:t> </w:t>
      </w:r>
      <w:r>
        <w:rPr>
          <w:spacing w:val="-5"/>
        </w:rPr>
        <w:t>22%</w:t>
      </w:r>
    </w:p>
    <w:p>
      <w:pPr>
        <w:pStyle w:val="BodyText"/>
        <w:spacing w:line="312" w:lineRule="auto" w:before="31"/>
        <w:ind w:left="709" w:right="990"/>
        <w:jc w:val="both"/>
      </w:pPr>
      <w:r>
        <w:rPr/>
        <w:t>of</w:t>
      </w:r>
      <w:r>
        <w:rPr>
          <w:spacing w:val="29"/>
        </w:rPr>
        <w:t> </w:t>
      </w:r>
      <w:r>
        <w:rPr/>
        <w:t>the</w:t>
      </w:r>
      <w:r>
        <w:rPr>
          <w:spacing w:val="29"/>
        </w:rPr>
        <w:t> </w:t>
      </w:r>
      <w:r>
        <w:rPr/>
        <w:t>variance</w:t>
      </w:r>
      <w:r>
        <w:rPr>
          <w:spacing w:val="29"/>
        </w:rPr>
        <w:t> </w:t>
      </w:r>
      <w:r>
        <w:rPr/>
        <w:t>in</w:t>
      </w:r>
      <w:r>
        <w:rPr>
          <w:spacing w:val="29"/>
        </w:rPr>
        <w:t> </w:t>
      </w:r>
      <w:r>
        <w:rPr/>
        <w:t>production</w:t>
      </w:r>
      <w:r>
        <w:rPr>
          <w:spacing w:val="29"/>
        </w:rPr>
        <w:t> </w:t>
      </w:r>
      <w:r>
        <w:rPr/>
        <w:t>residuals.</w:t>
      </w:r>
      <w:r>
        <w:rPr>
          <w:spacing w:val="80"/>
        </w:rPr>
        <w:t> </w:t>
      </w:r>
      <w:r>
        <w:rPr/>
        <w:t>The</w:t>
      </w:r>
      <w:r>
        <w:rPr>
          <w:spacing w:val="29"/>
        </w:rPr>
        <w:t> </w:t>
      </w:r>
      <w:r>
        <w:rPr/>
        <w:t>remaining</w:t>
      </w:r>
      <w:r>
        <w:rPr>
          <w:spacing w:val="29"/>
        </w:rPr>
        <w:t> </w:t>
      </w:r>
      <w:r>
        <w:rPr/>
        <w:t>78%</w:t>
      </w:r>
      <w:r>
        <w:rPr>
          <w:spacing w:val="29"/>
        </w:rPr>
        <w:t> </w:t>
      </w:r>
      <w:r>
        <w:rPr/>
        <w:t>is</w:t>
      </w:r>
      <w:r>
        <w:rPr>
          <w:spacing w:val="29"/>
        </w:rPr>
        <w:t> </w:t>
      </w:r>
      <w:r>
        <w:rPr/>
        <w:t>unexplained</w:t>
      </w:r>
      <w:r>
        <w:rPr>
          <w:spacing w:val="29"/>
        </w:rPr>
        <w:t> </w:t>
      </w:r>
      <w:r>
        <w:rPr/>
        <w:t>variance,</w:t>
      </w:r>
      <w:r>
        <w:rPr>
          <w:spacing w:val="36"/>
        </w:rPr>
        <w:t> </w:t>
      </w:r>
      <w:r>
        <w:rPr/>
        <w:t>driven by</w:t>
      </w:r>
      <w:r>
        <w:rPr>
          <w:spacing w:val="9"/>
        </w:rPr>
        <w:t> </w:t>
      </w:r>
      <w:r>
        <w:rPr/>
        <w:t>factors</w:t>
      </w:r>
      <w:r>
        <w:rPr>
          <w:spacing w:val="10"/>
        </w:rPr>
        <w:t> </w:t>
      </w:r>
      <w:r>
        <w:rPr/>
        <w:t>not</w:t>
      </w:r>
      <w:r>
        <w:rPr>
          <w:spacing w:val="9"/>
        </w:rPr>
        <w:t> </w:t>
      </w:r>
      <w:r>
        <w:rPr/>
        <w:t>in</w:t>
      </w:r>
      <w:r>
        <w:rPr>
          <w:spacing w:val="10"/>
        </w:rPr>
        <w:t> </w:t>
      </w:r>
      <w:r>
        <w:rPr/>
        <w:t>the</w:t>
      </w:r>
      <w:r>
        <w:rPr>
          <w:spacing w:val="10"/>
        </w:rPr>
        <w:t> </w:t>
      </w:r>
      <w:r>
        <w:rPr/>
        <w:t>feature</w:t>
      </w:r>
      <w:r>
        <w:rPr>
          <w:spacing w:val="9"/>
        </w:rPr>
        <w:t> </w:t>
      </w:r>
      <w:r>
        <w:rPr/>
        <w:t>set</w:t>
      </w:r>
      <w:r>
        <w:rPr>
          <w:spacing w:val="10"/>
        </w:rPr>
        <w:t> </w:t>
      </w:r>
      <w:r>
        <w:rPr/>
        <w:t>(severe</w:t>
      </w:r>
      <w:r>
        <w:rPr>
          <w:spacing w:val="10"/>
        </w:rPr>
        <w:t> </w:t>
      </w:r>
      <w:r>
        <w:rPr/>
        <w:t>weather</w:t>
      </w:r>
      <w:r>
        <w:rPr>
          <w:spacing w:val="9"/>
        </w:rPr>
        <w:t> </w:t>
      </w:r>
      <w:r>
        <w:rPr/>
        <w:t>events</w:t>
      </w:r>
      <w:r>
        <w:rPr>
          <w:spacing w:val="10"/>
        </w:rPr>
        <w:t> </w:t>
      </w:r>
      <w:r>
        <w:rPr/>
        <w:t>within</w:t>
      </w:r>
      <w:r>
        <w:rPr>
          <w:spacing w:val="10"/>
        </w:rPr>
        <w:t> </w:t>
      </w:r>
      <w:r>
        <w:rPr/>
        <w:t>the</w:t>
      </w:r>
      <w:r>
        <w:rPr>
          <w:spacing w:val="9"/>
        </w:rPr>
        <w:t> </w:t>
      </w:r>
      <w:r>
        <w:rPr/>
        <w:t>growing</w:t>
      </w:r>
      <w:r>
        <w:rPr>
          <w:spacing w:val="10"/>
        </w:rPr>
        <w:t> </w:t>
      </w:r>
      <w:r>
        <w:rPr/>
        <w:t>season,</w:t>
      </w:r>
      <w:r>
        <w:rPr>
          <w:spacing w:val="12"/>
        </w:rPr>
        <w:t> </w:t>
      </w:r>
      <w:r>
        <w:rPr/>
        <w:t>vine</w:t>
      </w:r>
      <w:r>
        <w:rPr>
          <w:spacing w:val="9"/>
        </w:rPr>
        <w:t> </w:t>
      </w:r>
      <w:r>
        <w:rPr>
          <w:spacing w:val="-2"/>
        </w:rPr>
        <w:t>disease</w:t>
      </w:r>
    </w:p>
    <w:p>
      <w:pPr>
        <w:pStyle w:val="BodyText"/>
        <w:spacing w:before="15"/>
      </w:pPr>
    </w:p>
    <w:p>
      <w:pPr>
        <w:pStyle w:val="BodyText"/>
        <w:ind w:left="601" w:right="882"/>
        <w:jc w:val="center"/>
      </w:pPr>
      <w:r>
        <w:rPr>
          <w:spacing w:val="-5"/>
        </w:rPr>
        <w:t>69</w:t>
      </w:r>
    </w:p>
    <w:p>
      <w:pPr>
        <w:pStyle w:val="BodyText"/>
        <w:spacing w:after="0"/>
        <w:jc w:val="center"/>
        <w:sectPr>
          <w:headerReference w:type="default" r:id="rId99"/>
          <w:pgSz w:w="11910" w:h="16840"/>
          <w:pgMar w:header="0" w:footer="0" w:top="1920" w:bottom="280" w:left="1275" w:right="425"/>
        </w:sectPr>
      </w:pPr>
    </w:p>
    <w:p>
      <w:pPr>
        <w:pStyle w:val="BodyText"/>
      </w:pPr>
    </w:p>
    <w:p>
      <w:pPr>
        <w:pStyle w:val="BodyText"/>
        <w:spacing w:before="25"/>
      </w:pPr>
    </w:p>
    <w:p>
      <w:pPr>
        <w:pStyle w:val="BodyText"/>
        <w:spacing w:line="254" w:lineRule="auto" w:before="1"/>
        <w:ind w:left="134" w:right="1557" w:firstLine="7"/>
        <w:jc w:val="both"/>
      </w:pPr>
      <w:r>
        <w:rPr/>
        <w:t>outbreaks, localised frost, logistical constraints on harvest) or by measurement noise. In a series </w:t>
      </w:r>
      <w:r>
        <w:rPr>
          <w:spacing w:val="-2"/>
        </w:rPr>
        <w:t>with</w:t>
      </w:r>
      <w:r>
        <w:rPr>
          <w:spacing w:val="-12"/>
        </w:rPr>
        <w:t> </w:t>
      </w:r>
      <w:r>
        <w:rPr>
          <w:spacing w:val="-2"/>
        </w:rPr>
        <w:t>coefficient</w:t>
      </w:r>
      <w:r>
        <w:rPr>
          <w:spacing w:val="-12"/>
        </w:rPr>
        <w:t> </w:t>
      </w:r>
      <w:r>
        <w:rPr>
          <w:spacing w:val="-2"/>
        </w:rPr>
        <w:t>of</w:t>
      </w:r>
      <w:r>
        <w:rPr>
          <w:spacing w:val="-12"/>
        </w:rPr>
        <w:t> </w:t>
      </w:r>
      <w:r>
        <w:rPr>
          <w:spacing w:val="-2"/>
        </w:rPr>
        <w:t>variation</w:t>
      </w:r>
      <w:r>
        <w:rPr>
          <w:spacing w:val="-8"/>
        </w:rPr>
        <w:t> </w:t>
      </w:r>
      <w:r>
        <w:rPr>
          <w:rFonts w:ascii="Meiryo UI" w:hAnsi="Meiryo UI"/>
          <w:i/>
          <w:spacing w:val="-2"/>
        </w:rPr>
        <w:t>≈</w:t>
      </w:r>
      <w:r>
        <w:rPr>
          <w:rFonts w:ascii="Meiryo UI" w:hAnsi="Meiryo UI"/>
          <w:i/>
          <w:spacing w:val="-17"/>
        </w:rPr>
        <w:t> </w:t>
      </w:r>
      <w:r>
        <w:rPr>
          <w:spacing w:val="-2"/>
        </w:rPr>
        <w:t>47%,</w:t>
      </w:r>
      <w:r>
        <w:rPr>
          <w:spacing w:val="-8"/>
        </w:rPr>
        <w:t> </w:t>
      </w:r>
      <w:r>
        <w:rPr>
          <w:spacing w:val="-2"/>
        </w:rPr>
        <w:t>the</w:t>
      </w:r>
      <w:r>
        <w:rPr>
          <w:spacing w:val="-9"/>
        </w:rPr>
        <w:t> </w:t>
      </w:r>
      <w:r>
        <w:rPr>
          <w:spacing w:val="-2"/>
        </w:rPr>
        <w:t>signal-to-noise</w:t>
      </w:r>
      <w:r>
        <w:rPr>
          <w:spacing w:val="-9"/>
        </w:rPr>
        <w:t> </w:t>
      </w:r>
      <w:r>
        <w:rPr>
          <w:spacing w:val="-2"/>
        </w:rPr>
        <w:t>ratio</w:t>
      </w:r>
      <w:r>
        <w:rPr>
          <w:spacing w:val="-9"/>
        </w:rPr>
        <w:t> </w:t>
      </w:r>
      <w:r>
        <w:rPr>
          <w:spacing w:val="-2"/>
        </w:rPr>
        <w:t>is</w:t>
      </w:r>
      <w:r>
        <w:rPr>
          <w:spacing w:val="-9"/>
        </w:rPr>
        <w:t> </w:t>
      </w:r>
      <w:r>
        <w:rPr>
          <w:spacing w:val="-2"/>
        </w:rPr>
        <w:t>too</w:t>
      </w:r>
      <w:r>
        <w:rPr>
          <w:spacing w:val="-9"/>
        </w:rPr>
        <w:t> </w:t>
      </w:r>
      <w:r>
        <w:rPr>
          <w:spacing w:val="-2"/>
        </w:rPr>
        <w:t>low</w:t>
      </w:r>
      <w:r>
        <w:rPr>
          <w:spacing w:val="-9"/>
        </w:rPr>
        <w:t> </w:t>
      </w:r>
      <w:r>
        <w:rPr>
          <w:spacing w:val="-2"/>
        </w:rPr>
        <w:t>for</w:t>
      </w:r>
      <w:r>
        <w:rPr>
          <w:spacing w:val="-9"/>
        </w:rPr>
        <w:t> </w:t>
      </w:r>
      <w:r>
        <w:rPr>
          <w:spacing w:val="-2"/>
        </w:rPr>
        <w:t>a</w:t>
      </w:r>
      <w:r>
        <w:rPr>
          <w:spacing w:val="-9"/>
        </w:rPr>
        <w:t> </w:t>
      </w:r>
      <w:r>
        <w:rPr>
          <w:spacing w:val="-2"/>
        </w:rPr>
        <w:t>rule-based</w:t>
      </w:r>
      <w:r>
        <w:rPr>
          <w:spacing w:val="-9"/>
        </w:rPr>
        <w:t> </w:t>
      </w:r>
      <w:r>
        <w:rPr>
          <w:spacing w:val="-2"/>
        </w:rPr>
        <w:t>classifier</w:t>
      </w:r>
      <w:r>
        <w:rPr>
          <w:spacing w:val="-9"/>
        </w:rPr>
        <w:t> </w:t>
      </w:r>
      <w:r>
        <w:rPr>
          <w:spacing w:val="-2"/>
        </w:rPr>
        <w:t>to </w:t>
      </w:r>
      <w:r>
        <w:rPr/>
        <w:t>overcome year-to-year noise in held-out prediction, even though the identified patterns are real.</w:t>
      </w:r>
    </w:p>
    <w:p>
      <w:pPr>
        <w:pStyle w:val="BodyText"/>
        <w:spacing w:line="312" w:lineRule="auto" w:before="69"/>
        <w:ind w:left="142" w:right="1513" w:firstLine="338"/>
        <w:jc w:val="both"/>
      </w:pPr>
      <w:r>
        <w:rPr>
          <w:spacing w:val="-2"/>
        </w:rPr>
        <w:t>This</w:t>
      </w:r>
      <w:r>
        <w:rPr>
          <w:spacing w:val="-10"/>
        </w:rPr>
        <w:t> </w:t>
      </w:r>
      <w:r>
        <w:rPr>
          <w:spacing w:val="-2"/>
        </w:rPr>
        <w:t>asymmetry</w:t>
      </w:r>
      <w:r>
        <w:rPr>
          <w:spacing w:val="-11"/>
        </w:rPr>
        <w:t> </w:t>
      </w:r>
      <w:r>
        <w:rPr>
          <w:spacing w:val="-2"/>
        </w:rPr>
        <w:t>—</w:t>
      </w:r>
      <w:r>
        <w:rPr>
          <w:spacing w:val="-10"/>
        </w:rPr>
        <w:t> </w:t>
      </w:r>
      <w:r>
        <w:rPr>
          <w:spacing w:val="-2"/>
        </w:rPr>
        <w:t>a</w:t>
      </w:r>
      <w:r>
        <w:rPr>
          <w:spacing w:val="-10"/>
        </w:rPr>
        <w:t> </w:t>
      </w:r>
      <w:r>
        <w:rPr>
          <w:spacing w:val="-2"/>
        </w:rPr>
        <w:t>genuine</w:t>
      </w:r>
      <w:r>
        <w:rPr>
          <w:spacing w:val="-11"/>
        </w:rPr>
        <w:t> </w:t>
      </w:r>
      <w:r>
        <w:rPr>
          <w:spacing w:val="-2"/>
        </w:rPr>
        <w:t>agroclimatic</w:t>
      </w:r>
      <w:r>
        <w:rPr>
          <w:spacing w:val="-10"/>
        </w:rPr>
        <w:t> </w:t>
      </w:r>
      <w:r>
        <w:rPr>
          <w:spacing w:val="-2"/>
        </w:rPr>
        <w:t>association</w:t>
      </w:r>
      <w:r>
        <w:rPr>
          <w:spacing w:val="-10"/>
        </w:rPr>
        <w:t> </w:t>
      </w:r>
      <w:r>
        <w:rPr>
          <w:spacing w:val="-2"/>
        </w:rPr>
        <w:t>that</w:t>
      </w:r>
      <w:r>
        <w:rPr>
          <w:spacing w:val="-11"/>
        </w:rPr>
        <w:t> </w:t>
      </w:r>
      <w:r>
        <w:rPr>
          <w:spacing w:val="-2"/>
        </w:rPr>
        <w:t>is</w:t>
      </w:r>
      <w:r>
        <w:rPr>
          <w:spacing w:val="-10"/>
        </w:rPr>
        <w:t> </w:t>
      </w:r>
      <w:r>
        <w:rPr>
          <w:spacing w:val="-2"/>
        </w:rPr>
        <w:t>too</w:t>
      </w:r>
      <w:r>
        <w:rPr>
          <w:spacing w:val="-10"/>
        </w:rPr>
        <w:t> </w:t>
      </w:r>
      <w:r>
        <w:rPr>
          <w:spacing w:val="-2"/>
        </w:rPr>
        <w:t>weak</w:t>
      </w:r>
      <w:r>
        <w:rPr>
          <w:spacing w:val="-10"/>
        </w:rPr>
        <w:t> </w:t>
      </w:r>
      <w:r>
        <w:rPr>
          <w:spacing w:val="-2"/>
        </w:rPr>
        <w:t>for</w:t>
      </w:r>
      <w:r>
        <w:rPr>
          <w:spacing w:val="-11"/>
        </w:rPr>
        <w:t> </w:t>
      </w:r>
      <w:r>
        <w:rPr>
          <w:spacing w:val="-2"/>
        </w:rPr>
        <w:t>reliable</w:t>
      </w:r>
      <w:r>
        <w:rPr>
          <w:spacing w:val="-10"/>
        </w:rPr>
        <w:t> </w:t>
      </w:r>
      <w:r>
        <w:rPr>
          <w:spacing w:val="-2"/>
        </w:rPr>
        <w:t>prediction</w:t>
      </w:r>
      <w:r>
        <w:rPr>
          <w:spacing w:val="-10"/>
        </w:rPr>
        <w:t> </w:t>
      </w:r>
      <w:r>
        <w:rPr>
          <w:spacing w:val="-2"/>
        </w:rPr>
        <w:t>— </w:t>
      </w:r>
      <w:r>
        <w:rPr/>
        <w:t>is not a failure of the methodology. It is a property of the system being studied.</w:t>
      </w:r>
    </w:p>
    <w:p>
      <w:pPr>
        <w:pStyle w:val="BodyText"/>
        <w:spacing w:before="169"/>
      </w:pPr>
    </w:p>
    <w:p>
      <w:pPr>
        <w:pStyle w:val="Heading2"/>
        <w:numPr>
          <w:ilvl w:val="1"/>
          <w:numId w:val="36"/>
        </w:numPr>
        <w:tabs>
          <w:tab w:pos="786" w:val="left" w:leader="none"/>
        </w:tabs>
        <w:spacing w:line="240" w:lineRule="auto" w:before="0" w:after="0"/>
        <w:ind w:left="786" w:right="0" w:hanging="644"/>
        <w:jc w:val="both"/>
      </w:pPr>
      <w:bookmarkStart w:name="6.2 The Two-Decision Trade-off" w:id="221"/>
      <w:bookmarkEnd w:id="221"/>
      <w:r>
        <w:rPr>
          <w:b w:val="0"/>
        </w:rPr>
      </w:r>
      <w:bookmarkStart w:name="_bookmark132" w:id="222"/>
      <w:bookmarkEnd w:id="222"/>
      <w:r>
        <w:rPr>
          <w:b w:val="0"/>
        </w:rPr>
      </w:r>
      <w:r>
        <w:rPr/>
        <w:t>The</w:t>
      </w:r>
      <w:r>
        <w:rPr>
          <w:spacing w:val="6"/>
        </w:rPr>
        <w:t> </w:t>
      </w:r>
      <w:r>
        <w:rPr/>
        <w:t>Two-Decision</w:t>
      </w:r>
      <w:r>
        <w:rPr>
          <w:spacing w:val="7"/>
        </w:rPr>
        <w:t> </w:t>
      </w:r>
      <w:r>
        <w:rPr/>
        <w:t>Trade-</w:t>
      </w:r>
      <w:r>
        <w:rPr>
          <w:spacing w:val="-5"/>
        </w:rPr>
        <w:t>off</w:t>
      </w:r>
    </w:p>
    <w:p>
      <w:pPr>
        <w:pStyle w:val="BodyText"/>
        <w:spacing w:line="312" w:lineRule="auto" w:before="298"/>
        <w:ind w:left="135" w:right="1526"/>
        <w:jc w:val="both"/>
      </w:pPr>
      <w:r>
        <w:rPr/>
        <w:t>The</w:t>
      </w:r>
      <w:r>
        <w:rPr>
          <w:spacing w:val="-13"/>
        </w:rPr>
        <w:t> </w:t>
      </w:r>
      <w:r>
        <w:rPr/>
        <w:t>prediction</w:t>
      </w:r>
      <w:r>
        <w:rPr>
          <w:spacing w:val="-13"/>
        </w:rPr>
        <w:t> </w:t>
      </w:r>
      <w:r>
        <w:rPr/>
        <w:t>pipeline</w:t>
      </w:r>
      <w:r>
        <w:rPr>
          <w:spacing w:val="-13"/>
        </w:rPr>
        <w:t> </w:t>
      </w:r>
      <w:r>
        <w:rPr/>
        <w:t>decomposes</w:t>
      </w:r>
      <w:r>
        <w:rPr>
          <w:spacing w:val="-13"/>
        </w:rPr>
        <w:t> </w:t>
      </w:r>
      <w:r>
        <w:rPr/>
        <w:t>into</w:t>
      </w:r>
      <w:r>
        <w:rPr>
          <w:spacing w:val="-13"/>
        </w:rPr>
        <w:t> </w:t>
      </w:r>
      <w:r>
        <w:rPr/>
        <w:t>two</w:t>
      </w:r>
      <w:r>
        <w:rPr>
          <w:spacing w:val="-13"/>
        </w:rPr>
        <w:t> </w:t>
      </w:r>
      <w:r>
        <w:rPr/>
        <w:t>sequential</w:t>
      </w:r>
      <w:r>
        <w:rPr>
          <w:spacing w:val="-13"/>
        </w:rPr>
        <w:t> </w:t>
      </w:r>
      <w:r>
        <w:rPr/>
        <w:t>decisions</w:t>
      </w:r>
      <w:r>
        <w:rPr>
          <w:spacing w:val="-13"/>
        </w:rPr>
        <w:t> </w:t>
      </w:r>
      <w:r>
        <w:rPr/>
        <w:t>whose</w:t>
      </w:r>
      <w:r>
        <w:rPr>
          <w:spacing w:val="-13"/>
        </w:rPr>
        <w:t> </w:t>
      </w:r>
      <w:r>
        <w:rPr/>
        <w:t>demands</w:t>
      </w:r>
      <w:r>
        <w:rPr>
          <w:spacing w:val="-13"/>
        </w:rPr>
        <w:t> </w:t>
      </w:r>
      <w:r>
        <w:rPr/>
        <w:t>pull</w:t>
      </w:r>
      <w:r>
        <w:rPr>
          <w:spacing w:val="-13"/>
        </w:rPr>
        <w:t> </w:t>
      </w:r>
      <w:r>
        <w:rPr/>
        <w:t>in</w:t>
      </w:r>
      <w:r>
        <w:rPr>
          <w:spacing w:val="-13"/>
        </w:rPr>
        <w:t> </w:t>
      </w:r>
      <w:r>
        <w:rPr/>
        <w:t>opposite </w:t>
      </w:r>
      <w:r>
        <w:rPr>
          <w:spacing w:val="-2"/>
        </w:rPr>
        <w:t>directions</w:t>
      </w:r>
      <w:r>
        <w:rPr>
          <w:spacing w:val="-12"/>
        </w:rPr>
        <w:t> </w:t>
      </w:r>
      <w:r>
        <w:rPr>
          <w:spacing w:val="-2"/>
        </w:rPr>
        <w:t>(Section</w:t>
      </w:r>
      <w:r>
        <w:rPr>
          <w:spacing w:val="-12"/>
        </w:rPr>
        <w:t> </w:t>
      </w:r>
      <w:hyperlink w:history="true" w:anchor="_bookmark35">
        <w:r>
          <w:rPr>
            <w:color w:val="8B2C18"/>
            <w:spacing w:val="-2"/>
          </w:rPr>
          <w:t>3.3</w:t>
        </w:r>
      </w:hyperlink>
      <w:r>
        <w:rPr>
          <w:spacing w:val="-2"/>
        </w:rPr>
        <w:t>).</w:t>
      </w:r>
      <w:r>
        <w:rPr>
          <w:spacing w:val="-6"/>
        </w:rPr>
        <w:t> </w:t>
      </w:r>
      <w:r>
        <w:rPr>
          <w:spacing w:val="-2"/>
        </w:rPr>
        <w:t>Decision</w:t>
      </w:r>
      <w:r>
        <w:rPr>
          <w:spacing w:val="-12"/>
        </w:rPr>
        <w:t> </w:t>
      </w:r>
      <w:r>
        <w:rPr>
          <w:spacing w:val="-2"/>
        </w:rPr>
        <w:t>1</w:t>
      </w:r>
      <w:r>
        <w:rPr>
          <w:spacing w:val="-11"/>
        </w:rPr>
        <w:t> </w:t>
      </w:r>
      <w:r>
        <w:rPr>
          <w:spacing w:val="-2"/>
        </w:rPr>
        <w:t>(trend</w:t>
      </w:r>
      <w:r>
        <w:rPr>
          <w:spacing w:val="-12"/>
        </w:rPr>
        <w:t> </w:t>
      </w:r>
      <w:r>
        <w:rPr>
          <w:spacing w:val="-2"/>
        </w:rPr>
        <w:t>modelling)</w:t>
      </w:r>
      <w:r>
        <w:rPr>
          <w:spacing w:val="-12"/>
        </w:rPr>
        <w:t> </w:t>
      </w:r>
      <w:r>
        <w:rPr>
          <w:spacing w:val="-2"/>
        </w:rPr>
        <w:t>determines</w:t>
      </w:r>
      <w:r>
        <w:rPr>
          <w:spacing w:val="-12"/>
        </w:rPr>
        <w:t> </w:t>
      </w:r>
      <w:r>
        <w:rPr>
          <w:spacing w:val="-2"/>
        </w:rPr>
        <w:t>how</w:t>
      </w:r>
      <w:r>
        <w:rPr>
          <w:spacing w:val="-11"/>
        </w:rPr>
        <w:t> </w:t>
      </w:r>
      <w:r>
        <w:rPr>
          <w:spacing w:val="-2"/>
        </w:rPr>
        <w:t>large</w:t>
      </w:r>
      <w:r>
        <w:rPr>
          <w:spacing w:val="-12"/>
        </w:rPr>
        <w:t> </w:t>
      </w:r>
      <w:r>
        <w:rPr>
          <w:spacing w:val="-2"/>
        </w:rPr>
        <w:t>the</w:t>
      </w:r>
      <w:r>
        <w:rPr>
          <w:spacing w:val="-12"/>
        </w:rPr>
        <w:t> </w:t>
      </w:r>
      <w:r>
        <w:rPr>
          <w:spacing w:val="-2"/>
        </w:rPr>
        <w:t>test-period</w:t>
      </w:r>
      <w:r>
        <w:rPr>
          <w:spacing w:val="-12"/>
        </w:rPr>
        <w:t> </w:t>
      </w:r>
      <w:r>
        <w:rPr>
          <w:spacing w:val="-2"/>
        </w:rPr>
        <w:t>residuals </w:t>
      </w:r>
      <w:r>
        <w:rPr/>
        <w:t>are: a</w:t>
      </w:r>
      <w:r>
        <w:rPr>
          <w:spacing w:val="-7"/>
        </w:rPr>
        <w:t> </w:t>
      </w:r>
      <w:r>
        <w:rPr/>
        <w:t>better-fitting</w:t>
      </w:r>
      <w:r>
        <w:rPr>
          <w:spacing w:val="-8"/>
        </w:rPr>
        <w:t> </w:t>
      </w:r>
      <w:r>
        <w:rPr/>
        <w:t>trend</w:t>
      </w:r>
      <w:r>
        <w:rPr>
          <w:spacing w:val="-7"/>
        </w:rPr>
        <w:t> </w:t>
      </w:r>
      <w:r>
        <w:rPr/>
        <w:t>leaves</w:t>
      </w:r>
      <w:r>
        <w:rPr>
          <w:spacing w:val="-8"/>
        </w:rPr>
        <w:t> </w:t>
      </w:r>
      <w:r>
        <w:rPr/>
        <w:t>smaller</w:t>
      </w:r>
      <w:r>
        <w:rPr>
          <w:spacing w:val="-7"/>
        </w:rPr>
        <w:t> </w:t>
      </w:r>
      <w:r>
        <w:rPr/>
        <w:t>residuals</w:t>
      </w:r>
      <w:r>
        <w:rPr>
          <w:spacing w:val="-8"/>
        </w:rPr>
        <w:t> </w:t>
      </w:r>
      <w:r>
        <w:rPr/>
        <w:t>and</w:t>
      </w:r>
      <w:r>
        <w:rPr>
          <w:spacing w:val="-7"/>
        </w:rPr>
        <w:t> </w:t>
      </w:r>
      <w:r>
        <w:rPr/>
        <w:t>a</w:t>
      </w:r>
      <w:r>
        <w:rPr>
          <w:spacing w:val="-8"/>
        </w:rPr>
        <w:t> </w:t>
      </w:r>
      <w:r>
        <w:rPr/>
        <w:t>lower</w:t>
      </w:r>
      <w:r>
        <w:rPr>
          <w:spacing w:val="-7"/>
        </w:rPr>
        <w:t> </w:t>
      </w:r>
      <w:r>
        <w:rPr/>
        <w:t>Naive_Median</w:t>
      </w:r>
      <w:r>
        <w:rPr>
          <w:spacing w:val="-8"/>
        </w:rPr>
        <w:t> </w:t>
      </w:r>
      <w:r>
        <w:rPr/>
        <w:t>baseline. Decision</w:t>
      </w:r>
      <w:r>
        <w:rPr>
          <w:spacing w:val="-7"/>
        </w:rPr>
        <w:t> </w:t>
      </w:r>
      <w:r>
        <w:rPr/>
        <w:t>2 (climate</w:t>
      </w:r>
      <w:r>
        <w:rPr>
          <w:spacing w:val="-14"/>
        </w:rPr>
        <w:t> </w:t>
      </w:r>
      <w:r>
        <w:rPr/>
        <w:t>signal</w:t>
      </w:r>
      <w:r>
        <w:rPr>
          <w:spacing w:val="-14"/>
        </w:rPr>
        <w:t> </w:t>
      </w:r>
      <w:r>
        <w:rPr/>
        <w:t>extraction)</w:t>
      </w:r>
      <w:r>
        <w:rPr>
          <w:spacing w:val="-14"/>
        </w:rPr>
        <w:t> </w:t>
      </w:r>
      <w:r>
        <w:rPr/>
        <w:t>determines</w:t>
      </w:r>
      <w:r>
        <w:rPr>
          <w:spacing w:val="-13"/>
        </w:rPr>
        <w:t> </w:t>
      </w:r>
      <w:r>
        <w:rPr/>
        <w:t>whether</w:t>
      </w:r>
      <w:r>
        <w:rPr>
          <w:spacing w:val="-14"/>
        </w:rPr>
        <w:t> </w:t>
      </w:r>
      <w:r>
        <w:rPr/>
        <w:t>a</w:t>
      </w:r>
      <w:r>
        <w:rPr>
          <w:spacing w:val="-14"/>
        </w:rPr>
        <w:t> </w:t>
      </w:r>
      <w:r>
        <w:rPr/>
        <w:t>model</w:t>
      </w:r>
      <w:r>
        <w:rPr>
          <w:spacing w:val="-14"/>
        </w:rPr>
        <w:t> </w:t>
      </w:r>
      <w:r>
        <w:rPr/>
        <w:t>can</w:t>
      </w:r>
      <w:r>
        <w:rPr>
          <w:spacing w:val="-13"/>
        </w:rPr>
        <w:t> </w:t>
      </w:r>
      <w:r>
        <w:rPr/>
        <w:t>predict</w:t>
      </w:r>
      <w:r>
        <w:rPr>
          <w:spacing w:val="-14"/>
        </w:rPr>
        <w:t> </w:t>
      </w:r>
      <w:r>
        <w:rPr/>
        <w:t>those</w:t>
      </w:r>
      <w:r>
        <w:rPr>
          <w:spacing w:val="-14"/>
        </w:rPr>
        <w:t> </w:t>
      </w:r>
      <w:r>
        <w:rPr/>
        <w:t>residuals</w:t>
      </w:r>
      <w:r>
        <w:rPr>
          <w:spacing w:val="-14"/>
        </w:rPr>
        <w:t> </w:t>
      </w:r>
      <w:r>
        <w:rPr/>
        <w:t>better</w:t>
      </w:r>
      <w:r>
        <w:rPr>
          <w:spacing w:val="-13"/>
        </w:rPr>
        <w:t> </w:t>
      </w:r>
      <w:r>
        <w:rPr/>
        <w:t>than</w:t>
      </w:r>
      <w:r>
        <w:rPr>
          <w:spacing w:val="-14"/>
        </w:rPr>
        <w:t> </w:t>
      </w:r>
      <w:r>
        <w:rPr/>
        <w:t>zero: it requires structured, non-trivial residuals to exploit.</w:t>
      </w:r>
    </w:p>
    <w:p>
      <w:pPr>
        <w:pStyle w:val="BodyText"/>
        <w:spacing w:line="312" w:lineRule="auto" w:before="4"/>
        <w:ind w:left="142" w:right="1557" w:firstLine="338"/>
        <w:jc w:val="both"/>
      </w:pPr>
      <w:r>
        <w:rPr>
          <w:spacing w:val="-2"/>
        </w:rPr>
        <w:t>The</w:t>
      </w:r>
      <w:r>
        <w:rPr>
          <w:spacing w:val="-9"/>
        </w:rPr>
        <w:t> </w:t>
      </w:r>
      <w:r>
        <w:rPr>
          <w:spacing w:val="-2"/>
        </w:rPr>
        <w:t>LOESS</w:t>
      </w:r>
      <w:r>
        <w:rPr>
          <w:spacing w:val="-9"/>
        </w:rPr>
        <w:t> </w:t>
      </w:r>
      <w:r>
        <w:rPr>
          <w:spacing w:val="-2"/>
        </w:rPr>
        <w:t>detrending</w:t>
      </w:r>
      <w:r>
        <w:rPr>
          <w:spacing w:val="-9"/>
        </w:rPr>
        <w:t> </w:t>
      </w:r>
      <w:r>
        <w:rPr>
          <w:spacing w:val="-2"/>
        </w:rPr>
        <w:t>experiment</w:t>
      </w:r>
      <w:r>
        <w:rPr>
          <w:spacing w:val="-9"/>
        </w:rPr>
        <w:t> </w:t>
      </w:r>
      <w:r>
        <w:rPr>
          <w:spacing w:val="-2"/>
        </w:rPr>
        <w:t>makes</w:t>
      </w:r>
      <w:r>
        <w:rPr>
          <w:spacing w:val="-9"/>
        </w:rPr>
        <w:t> </w:t>
      </w:r>
      <w:r>
        <w:rPr>
          <w:spacing w:val="-2"/>
        </w:rPr>
        <w:t>this</w:t>
      </w:r>
      <w:r>
        <w:rPr>
          <w:spacing w:val="-9"/>
        </w:rPr>
        <w:t> </w:t>
      </w:r>
      <w:r>
        <w:rPr>
          <w:spacing w:val="-2"/>
        </w:rPr>
        <w:t>trade-off</w:t>
      </w:r>
      <w:r>
        <w:rPr>
          <w:spacing w:val="-9"/>
        </w:rPr>
        <w:t> </w:t>
      </w:r>
      <w:r>
        <w:rPr>
          <w:spacing w:val="-2"/>
        </w:rPr>
        <w:t>concrete. In</w:t>
      </w:r>
      <w:r>
        <w:rPr>
          <w:spacing w:val="-9"/>
        </w:rPr>
        <w:t> </w:t>
      </w:r>
      <w:r>
        <w:rPr>
          <w:spacing w:val="-2"/>
        </w:rPr>
        <w:t>the</w:t>
      </w:r>
      <w:r>
        <w:rPr>
          <w:spacing w:val="-9"/>
        </w:rPr>
        <w:t> </w:t>
      </w:r>
      <w:r>
        <w:rPr>
          <w:spacing w:val="-2"/>
        </w:rPr>
        <w:t>RVV,</w:t>
      </w:r>
      <w:r>
        <w:rPr>
          <w:spacing w:val="-9"/>
        </w:rPr>
        <w:t> </w:t>
      </w:r>
      <w:r>
        <w:rPr>
          <w:spacing w:val="-2"/>
        </w:rPr>
        <w:t>LOESS</w:t>
      </w:r>
      <w:r>
        <w:rPr>
          <w:spacing w:val="-9"/>
        </w:rPr>
        <w:t> </w:t>
      </w:r>
      <w:r>
        <w:rPr>
          <w:spacing w:val="-2"/>
        </w:rPr>
        <w:t>reduces </w:t>
      </w:r>
      <w:r>
        <w:rPr/>
        <w:t>the</w:t>
      </w:r>
      <w:r>
        <w:rPr>
          <w:spacing w:val="-5"/>
        </w:rPr>
        <w:t> </w:t>
      </w:r>
      <w:r>
        <w:rPr/>
        <w:t>Naive_Median</w:t>
      </w:r>
      <w:r>
        <w:rPr>
          <w:spacing w:val="-2"/>
        </w:rPr>
        <w:t> </w:t>
      </w:r>
      <w:r>
        <w:rPr/>
        <w:t>baseline</w:t>
      </w:r>
      <w:r>
        <w:rPr>
          <w:spacing w:val="-3"/>
        </w:rPr>
        <w:t> </w:t>
      </w:r>
      <w:r>
        <w:rPr/>
        <w:t>from</w:t>
      </w:r>
      <w:r>
        <w:rPr>
          <w:spacing w:val="-2"/>
        </w:rPr>
        <w:t> </w:t>
      </w:r>
      <w:r>
        <w:rPr/>
        <w:t>140</w:t>
      </w:r>
      <w:r>
        <w:rPr>
          <w:spacing w:val="-3"/>
        </w:rPr>
        <w:t> </w:t>
      </w:r>
      <w:r>
        <w:rPr/>
        <w:t>to</w:t>
      </w:r>
      <w:r>
        <w:rPr>
          <w:spacing w:val="-2"/>
        </w:rPr>
        <w:t> </w:t>
      </w:r>
      <w:r>
        <w:rPr/>
        <w:t>approximately</w:t>
      </w:r>
      <w:r>
        <w:rPr>
          <w:spacing w:val="-3"/>
        </w:rPr>
        <w:t> </w:t>
      </w:r>
      <w:r>
        <w:rPr/>
        <w:t>90</w:t>
      </w:r>
      <w:r>
        <w:rPr>
          <w:spacing w:val="-2"/>
        </w:rPr>
        <w:t> </w:t>
      </w:r>
      <w:r>
        <w:rPr/>
        <w:t>mhl,</w:t>
      </w:r>
      <w:r>
        <w:rPr>
          <w:spacing w:val="-3"/>
        </w:rPr>
        <w:t> </w:t>
      </w:r>
      <w:r>
        <w:rPr/>
        <w:t>a</w:t>
      </w:r>
      <w:r>
        <w:rPr>
          <w:spacing w:val="-2"/>
        </w:rPr>
        <w:t> </w:t>
      </w:r>
      <w:r>
        <w:rPr/>
        <w:t>36%</w:t>
      </w:r>
      <w:r>
        <w:rPr>
          <w:spacing w:val="-3"/>
        </w:rPr>
        <w:t> </w:t>
      </w:r>
      <w:r>
        <w:rPr/>
        <w:t>improvement</w:t>
      </w:r>
      <w:r>
        <w:rPr>
          <w:spacing w:val="-2"/>
        </w:rPr>
        <w:t> </w:t>
      </w:r>
      <w:r>
        <w:rPr/>
        <w:t>in</w:t>
      </w:r>
      <w:r>
        <w:rPr>
          <w:spacing w:val="-2"/>
        </w:rPr>
        <w:t> Decision</w:t>
      </w:r>
    </w:p>
    <w:p>
      <w:pPr>
        <w:pStyle w:val="BodyText"/>
        <w:spacing w:line="312" w:lineRule="auto"/>
        <w:ind w:left="142" w:right="1557" w:hanging="17"/>
        <w:jc w:val="both"/>
      </w:pPr>
      <w:r>
        <w:rPr/>
        <w:t>1. But</w:t>
      </w:r>
      <w:r>
        <w:rPr>
          <w:spacing w:val="-1"/>
        </w:rPr>
        <w:t> </w:t>
      </w:r>
      <w:r>
        <w:rPr/>
        <w:t>LOESS</w:t>
      </w:r>
      <w:r>
        <w:rPr>
          <w:spacing w:val="-1"/>
        </w:rPr>
        <w:t> </w:t>
      </w:r>
      <w:r>
        <w:rPr/>
        <w:t>simultaneously</w:t>
      </w:r>
      <w:r>
        <w:rPr>
          <w:spacing w:val="-1"/>
        </w:rPr>
        <w:t> </w:t>
      </w:r>
      <w:r>
        <w:rPr/>
        <w:t>reduces</w:t>
      </w:r>
      <w:r>
        <w:rPr>
          <w:spacing w:val="-1"/>
        </w:rPr>
        <w:t> </w:t>
      </w:r>
      <w:r>
        <w:rPr/>
        <w:t>test</w:t>
      </w:r>
      <w:r>
        <w:rPr>
          <w:spacing w:val="-1"/>
        </w:rPr>
        <w:t> </w:t>
      </w:r>
      <w:r>
        <w:rPr/>
        <w:t>residuals</w:t>
      </w:r>
      <w:r>
        <w:rPr>
          <w:spacing w:val="-1"/>
        </w:rPr>
        <w:t> </w:t>
      </w:r>
      <w:r>
        <w:rPr/>
        <w:t>to</w:t>
      </w:r>
      <w:r>
        <w:rPr>
          <w:spacing w:val="-1"/>
        </w:rPr>
        <w:t> </w:t>
      </w:r>
      <w:r>
        <w:rPr/>
        <w:t>magnitudes</w:t>
      </w:r>
      <w:r>
        <w:rPr>
          <w:spacing w:val="-1"/>
        </w:rPr>
        <w:t> </w:t>
      </w:r>
      <w:r>
        <w:rPr/>
        <w:t>too</w:t>
      </w:r>
      <w:r>
        <w:rPr>
          <w:spacing w:val="-1"/>
        </w:rPr>
        <w:t> </w:t>
      </w:r>
      <w:r>
        <w:rPr/>
        <w:t>small</w:t>
      </w:r>
      <w:r>
        <w:rPr>
          <w:spacing w:val="-1"/>
        </w:rPr>
        <w:t> </w:t>
      </w:r>
      <w:r>
        <w:rPr/>
        <w:t>for</w:t>
      </w:r>
      <w:r>
        <w:rPr>
          <w:spacing w:val="-1"/>
        </w:rPr>
        <w:t> </w:t>
      </w:r>
      <w:r>
        <w:rPr/>
        <w:t>CarenR</w:t>
      </w:r>
      <w:r>
        <w:rPr>
          <w:spacing w:val="-1"/>
        </w:rPr>
        <w:t> </w:t>
      </w:r>
      <w:r>
        <w:rPr/>
        <w:t>to</w:t>
      </w:r>
      <w:r>
        <w:rPr>
          <w:spacing w:val="-1"/>
        </w:rPr>
        <w:t> </w:t>
      </w:r>
      <w:r>
        <w:rPr/>
        <w:t>form </w:t>
      </w:r>
      <w:r>
        <w:rPr>
          <w:spacing w:val="-2"/>
        </w:rPr>
        <w:t>stable</w:t>
      </w:r>
      <w:r>
        <w:rPr>
          <w:spacing w:val="-6"/>
        </w:rPr>
        <w:t> </w:t>
      </w:r>
      <w:r>
        <w:rPr>
          <w:spacing w:val="-2"/>
        </w:rPr>
        <w:t>rules,</w:t>
      </w:r>
      <w:r>
        <w:rPr>
          <w:spacing w:val="-6"/>
        </w:rPr>
        <w:t> </w:t>
      </w:r>
      <w:r>
        <w:rPr>
          <w:spacing w:val="-2"/>
        </w:rPr>
        <w:t>suppressing</w:t>
      </w:r>
      <w:r>
        <w:rPr>
          <w:spacing w:val="-6"/>
        </w:rPr>
        <w:t> </w:t>
      </w:r>
      <w:r>
        <w:rPr>
          <w:spacing w:val="-2"/>
        </w:rPr>
        <w:t>rule</w:t>
      </w:r>
      <w:r>
        <w:rPr>
          <w:spacing w:val="-6"/>
        </w:rPr>
        <w:t> </w:t>
      </w:r>
      <w:r>
        <w:rPr>
          <w:spacing w:val="-2"/>
        </w:rPr>
        <w:t>induction</w:t>
      </w:r>
      <w:r>
        <w:rPr>
          <w:spacing w:val="-6"/>
        </w:rPr>
        <w:t> </w:t>
      </w:r>
      <w:r>
        <w:rPr>
          <w:spacing w:val="-2"/>
        </w:rPr>
        <w:t>to</w:t>
      </w:r>
      <w:r>
        <w:rPr>
          <w:spacing w:val="-6"/>
        </w:rPr>
        <w:t> </w:t>
      </w:r>
      <w:r>
        <w:rPr>
          <w:spacing w:val="-2"/>
        </w:rPr>
        <w:t>zero.</w:t>
      </w:r>
      <w:r>
        <w:rPr/>
        <w:t> </w:t>
      </w:r>
      <w:r>
        <w:rPr>
          <w:spacing w:val="-2"/>
        </w:rPr>
        <w:t>The</w:t>
      </w:r>
      <w:r>
        <w:rPr>
          <w:spacing w:val="-6"/>
        </w:rPr>
        <w:t> </w:t>
      </w:r>
      <w:r>
        <w:rPr>
          <w:spacing w:val="-2"/>
        </w:rPr>
        <w:t>improvement</w:t>
      </w:r>
      <w:r>
        <w:rPr>
          <w:spacing w:val="-6"/>
        </w:rPr>
        <w:t> </w:t>
      </w:r>
      <w:r>
        <w:rPr>
          <w:spacing w:val="-2"/>
        </w:rPr>
        <w:t>in</w:t>
      </w:r>
      <w:r>
        <w:rPr>
          <w:spacing w:val="-6"/>
        </w:rPr>
        <w:t> </w:t>
      </w:r>
      <w:r>
        <w:rPr>
          <w:spacing w:val="-2"/>
        </w:rPr>
        <w:t>Decision</w:t>
      </w:r>
      <w:r>
        <w:rPr>
          <w:spacing w:val="-6"/>
        </w:rPr>
        <w:t> </w:t>
      </w:r>
      <w:r>
        <w:rPr>
          <w:spacing w:val="-2"/>
        </w:rPr>
        <w:t>1</w:t>
      </w:r>
      <w:r>
        <w:rPr>
          <w:spacing w:val="-6"/>
        </w:rPr>
        <w:t> </w:t>
      </w:r>
      <w:r>
        <w:rPr>
          <w:spacing w:val="-2"/>
        </w:rPr>
        <w:t>quality</w:t>
      </w:r>
      <w:r>
        <w:rPr>
          <w:spacing w:val="-6"/>
        </w:rPr>
        <w:t> </w:t>
      </w:r>
      <w:r>
        <w:rPr>
          <w:spacing w:val="-2"/>
        </w:rPr>
        <w:t>is</w:t>
      </w:r>
      <w:r>
        <w:rPr>
          <w:spacing w:val="-6"/>
        </w:rPr>
        <w:t> </w:t>
      </w:r>
      <w:r>
        <w:rPr>
          <w:spacing w:val="-2"/>
        </w:rPr>
        <w:t>achieved </w:t>
      </w:r>
      <w:r>
        <w:rPr/>
        <w:t>by removing the very signal that Decision 2 depends on.</w:t>
      </w:r>
    </w:p>
    <w:p>
      <w:pPr>
        <w:pStyle w:val="BodyText"/>
        <w:spacing w:line="312" w:lineRule="auto" w:before="4"/>
        <w:ind w:left="142" w:right="1520" w:firstLine="338"/>
        <w:jc w:val="both"/>
      </w:pPr>
      <w:r>
        <w:rPr/>
        <w:t>For the RDD, the linear trend is already better calibrated to the Douro’s plateau-shaped pro-duction trajectory than LOESS, which would overfit the training tail and inflate test residuals to 290</w:t>
      </w:r>
      <w:r>
        <w:rPr>
          <w:spacing w:val="-11"/>
        </w:rPr>
        <w:t> </w:t>
      </w:r>
      <w:r>
        <w:rPr/>
        <w:t>mhl. Here,</w:t>
      </w:r>
      <w:r>
        <w:rPr>
          <w:spacing w:val="-11"/>
        </w:rPr>
        <w:t> </w:t>
      </w:r>
      <w:r>
        <w:rPr/>
        <w:t>linear</w:t>
      </w:r>
      <w:r>
        <w:rPr>
          <w:spacing w:val="-11"/>
        </w:rPr>
        <w:t> </w:t>
      </w:r>
      <w:r>
        <w:rPr/>
        <w:t>detrending</w:t>
      </w:r>
      <w:r>
        <w:rPr>
          <w:spacing w:val="-11"/>
        </w:rPr>
        <w:t> </w:t>
      </w:r>
      <w:r>
        <w:rPr/>
        <w:t>both</w:t>
      </w:r>
      <w:r>
        <w:rPr>
          <w:spacing w:val="-11"/>
        </w:rPr>
        <w:t> </w:t>
      </w:r>
      <w:r>
        <w:rPr/>
        <w:t>provides</w:t>
      </w:r>
      <w:r>
        <w:rPr>
          <w:spacing w:val="-11"/>
        </w:rPr>
        <w:t> </w:t>
      </w:r>
      <w:r>
        <w:rPr/>
        <w:t>the</w:t>
      </w:r>
      <w:r>
        <w:rPr>
          <w:spacing w:val="-11"/>
        </w:rPr>
        <w:t> </w:t>
      </w:r>
      <w:r>
        <w:rPr/>
        <w:t>better</w:t>
      </w:r>
      <w:r>
        <w:rPr>
          <w:spacing w:val="-11"/>
        </w:rPr>
        <w:t> </w:t>
      </w:r>
      <w:r>
        <w:rPr/>
        <w:t>Decision</w:t>
      </w:r>
      <w:r>
        <w:rPr>
          <w:spacing w:val="-11"/>
        </w:rPr>
        <w:t> </w:t>
      </w:r>
      <w:r>
        <w:rPr/>
        <w:t>1</w:t>
      </w:r>
      <w:r>
        <w:rPr>
          <w:spacing w:val="-11"/>
        </w:rPr>
        <w:t> </w:t>
      </w:r>
      <w:r>
        <w:rPr/>
        <w:t>floor</w:t>
      </w:r>
      <w:r>
        <w:rPr>
          <w:spacing w:val="-11"/>
        </w:rPr>
        <w:t> </w:t>
      </w:r>
      <w:r>
        <w:rPr/>
        <w:t>and</w:t>
      </w:r>
      <w:r>
        <w:rPr>
          <w:spacing w:val="-11"/>
        </w:rPr>
        <w:t> </w:t>
      </w:r>
      <w:r>
        <w:rPr/>
        <w:t>preserves</w:t>
      </w:r>
      <w:r>
        <w:rPr>
          <w:spacing w:val="-11"/>
        </w:rPr>
        <w:t> </w:t>
      </w:r>
      <w:r>
        <w:rPr/>
        <w:t>sufficient structured</w:t>
      </w:r>
      <w:r>
        <w:rPr>
          <w:spacing w:val="-5"/>
        </w:rPr>
        <w:t> </w:t>
      </w:r>
      <w:r>
        <w:rPr/>
        <w:t>residual</w:t>
      </w:r>
      <w:r>
        <w:rPr>
          <w:spacing w:val="-5"/>
        </w:rPr>
        <w:t> </w:t>
      </w:r>
      <w:r>
        <w:rPr/>
        <w:t>for</w:t>
      </w:r>
      <w:r>
        <w:rPr>
          <w:spacing w:val="-5"/>
        </w:rPr>
        <w:t> </w:t>
      </w:r>
      <w:r>
        <w:rPr/>
        <w:t>Decision</w:t>
      </w:r>
      <w:r>
        <w:rPr>
          <w:spacing w:val="-5"/>
        </w:rPr>
        <w:t> </w:t>
      </w:r>
      <w:r>
        <w:rPr/>
        <w:t>2. The</w:t>
      </w:r>
      <w:r>
        <w:rPr>
          <w:spacing w:val="-5"/>
        </w:rPr>
        <w:t> </w:t>
      </w:r>
      <w:r>
        <w:rPr/>
        <w:t>result</w:t>
      </w:r>
      <w:r>
        <w:rPr>
          <w:spacing w:val="-5"/>
        </w:rPr>
        <w:t> </w:t>
      </w:r>
      <w:r>
        <w:rPr/>
        <w:t>is</w:t>
      </w:r>
      <w:r>
        <w:rPr>
          <w:spacing w:val="-5"/>
        </w:rPr>
        <w:t> </w:t>
      </w:r>
      <w:r>
        <w:rPr/>
        <w:t>the</w:t>
      </w:r>
      <w:r>
        <w:rPr>
          <w:spacing w:val="-5"/>
        </w:rPr>
        <w:t> </w:t>
      </w:r>
      <w:r>
        <w:rPr/>
        <w:t>closest</w:t>
      </w:r>
      <w:r>
        <w:rPr>
          <w:spacing w:val="-5"/>
        </w:rPr>
        <w:t> </w:t>
      </w:r>
      <w:r>
        <w:rPr/>
        <w:t>CarenR</w:t>
      </w:r>
      <w:r>
        <w:rPr>
          <w:spacing w:val="-5"/>
        </w:rPr>
        <w:t> </w:t>
      </w:r>
      <w:r>
        <w:rPr/>
        <w:t>approach</w:t>
      </w:r>
      <w:r>
        <w:rPr>
          <w:spacing w:val="-5"/>
        </w:rPr>
        <w:t> </w:t>
      </w:r>
      <w:r>
        <w:rPr/>
        <w:t>to</w:t>
      </w:r>
      <w:r>
        <w:rPr>
          <w:spacing w:val="-5"/>
        </w:rPr>
        <w:t> </w:t>
      </w:r>
      <w:r>
        <w:rPr/>
        <w:t>the</w:t>
      </w:r>
      <w:r>
        <w:rPr>
          <w:spacing w:val="-5"/>
        </w:rPr>
        <w:t> </w:t>
      </w:r>
      <w:r>
        <w:rPr/>
        <w:t>naive</w:t>
      </w:r>
      <w:r>
        <w:rPr>
          <w:spacing w:val="-5"/>
        </w:rPr>
        <w:t> </w:t>
      </w:r>
      <w:r>
        <w:rPr/>
        <w:t>baseline observed in this study (189 vs 184 mhl).</w:t>
      </w:r>
    </w:p>
    <w:p>
      <w:pPr>
        <w:pStyle w:val="BodyText"/>
        <w:spacing w:line="312" w:lineRule="auto" w:before="4"/>
        <w:ind w:left="142" w:right="1519" w:firstLine="338"/>
        <w:jc w:val="both"/>
      </w:pPr>
      <w:r>
        <w:rPr/>
        <w:t>The trade-off cannot be resolved within the current methodology because both decisions are parameterised by a single covariate (time) and a single hyperparameter (linear vs. LOESS span). Decoupling them would require separate covariates for structural trend (industry restructuring, policy, demographics) and climate signal.</w:t>
      </w:r>
      <w:r>
        <w:rPr>
          <w:spacing w:val="33"/>
        </w:rPr>
        <w:t> </w:t>
      </w:r>
      <w:r>
        <w:rPr/>
        <w:t>As long as time is the only detrending covariate, any increase in trend flexibility competes directly with residual signal availability.</w:t>
      </w:r>
    </w:p>
    <w:p>
      <w:pPr>
        <w:pStyle w:val="BodyText"/>
        <w:spacing w:before="169"/>
      </w:pPr>
    </w:p>
    <w:p>
      <w:pPr>
        <w:pStyle w:val="Heading2"/>
        <w:numPr>
          <w:ilvl w:val="1"/>
          <w:numId w:val="36"/>
        </w:numPr>
        <w:tabs>
          <w:tab w:pos="786" w:val="left" w:leader="none"/>
        </w:tabs>
        <w:spacing w:line="240" w:lineRule="auto" w:before="0" w:after="0"/>
        <w:ind w:left="786" w:right="0" w:hanging="644"/>
        <w:jc w:val="both"/>
      </w:pPr>
      <w:bookmarkStart w:name="6.3 Why the Two Regions Diverge" w:id="223"/>
      <w:bookmarkEnd w:id="223"/>
      <w:r>
        <w:rPr>
          <w:b w:val="0"/>
        </w:rPr>
      </w:r>
      <w:bookmarkStart w:name="_bookmark133" w:id="224"/>
      <w:bookmarkEnd w:id="224"/>
      <w:r>
        <w:rPr>
          <w:b w:val="0"/>
        </w:rPr>
      </w:r>
      <w:r>
        <w:rPr/>
        <w:t>Why</w:t>
      </w:r>
      <w:r>
        <w:rPr>
          <w:spacing w:val="5"/>
        </w:rPr>
        <w:t> </w:t>
      </w:r>
      <w:r>
        <w:rPr/>
        <w:t>the</w:t>
      </w:r>
      <w:r>
        <w:rPr>
          <w:spacing w:val="6"/>
        </w:rPr>
        <w:t> </w:t>
      </w:r>
      <w:r>
        <w:rPr/>
        <w:t>Two</w:t>
      </w:r>
      <w:r>
        <w:rPr>
          <w:spacing w:val="5"/>
        </w:rPr>
        <w:t> </w:t>
      </w:r>
      <w:r>
        <w:rPr/>
        <w:t>Regions</w:t>
      </w:r>
      <w:r>
        <w:rPr>
          <w:spacing w:val="6"/>
        </w:rPr>
        <w:t> </w:t>
      </w:r>
      <w:r>
        <w:rPr>
          <w:spacing w:val="-2"/>
        </w:rPr>
        <w:t>Diverge</w:t>
      </w:r>
    </w:p>
    <w:p>
      <w:pPr>
        <w:pStyle w:val="BodyText"/>
        <w:spacing w:line="312" w:lineRule="auto" w:before="298"/>
        <w:ind w:left="142" w:right="1557" w:hanging="7"/>
        <w:jc w:val="both"/>
      </w:pPr>
      <w:r>
        <w:rPr/>
        <w:t>The</w:t>
      </w:r>
      <w:r>
        <w:rPr>
          <w:spacing w:val="-13"/>
        </w:rPr>
        <w:t> </w:t>
      </w:r>
      <w:r>
        <w:rPr/>
        <w:t>3%</w:t>
      </w:r>
      <w:r>
        <w:rPr>
          <w:spacing w:val="-13"/>
        </w:rPr>
        <w:t> </w:t>
      </w:r>
      <w:r>
        <w:rPr/>
        <w:t>gap</w:t>
      </w:r>
      <w:r>
        <w:rPr>
          <w:spacing w:val="-13"/>
        </w:rPr>
        <w:t> </w:t>
      </w:r>
      <w:r>
        <w:rPr/>
        <w:t>between</w:t>
      </w:r>
      <w:r>
        <w:rPr>
          <w:spacing w:val="-13"/>
        </w:rPr>
        <w:t> </w:t>
      </w:r>
      <w:r>
        <w:rPr/>
        <w:t>CarenR</w:t>
      </w:r>
      <w:r>
        <w:rPr>
          <w:spacing w:val="-13"/>
        </w:rPr>
        <w:t> </w:t>
      </w:r>
      <w:r>
        <w:rPr/>
        <w:t>and</w:t>
      </w:r>
      <w:r>
        <w:rPr>
          <w:spacing w:val="-13"/>
        </w:rPr>
        <w:t> </w:t>
      </w:r>
      <w:r>
        <w:rPr/>
        <w:t>the</w:t>
      </w:r>
      <w:r>
        <w:rPr>
          <w:spacing w:val="-13"/>
        </w:rPr>
        <w:t> </w:t>
      </w:r>
      <w:r>
        <w:rPr/>
        <w:t>naive</w:t>
      </w:r>
      <w:r>
        <w:rPr>
          <w:spacing w:val="-13"/>
        </w:rPr>
        <w:t> </w:t>
      </w:r>
      <w:r>
        <w:rPr/>
        <w:t>baseline</w:t>
      </w:r>
      <w:r>
        <w:rPr>
          <w:spacing w:val="-13"/>
        </w:rPr>
        <w:t> </w:t>
      </w:r>
      <w:r>
        <w:rPr/>
        <w:t>in</w:t>
      </w:r>
      <w:r>
        <w:rPr>
          <w:spacing w:val="-13"/>
        </w:rPr>
        <w:t> </w:t>
      </w:r>
      <w:r>
        <w:rPr/>
        <w:t>RDD</w:t>
      </w:r>
      <w:r>
        <w:rPr>
          <w:spacing w:val="-13"/>
        </w:rPr>
        <w:t> </w:t>
      </w:r>
      <w:r>
        <w:rPr/>
        <w:t>versus</w:t>
      </w:r>
      <w:r>
        <w:rPr>
          <w:spacing w:val="-13"/>
        </w:rPr>
        <w:t> </w:t>
      </w:r>
      <w:r>
        <w:rPr/>
        <w:t>the</w:t>
      </w:r>
      <w:r>
        <w:rPr>
          <w:spacing w:val="-13"/>
        </w:rPr>
        <w:t> </w:t>
      </w:r>
      <w:r>
        <w:rPr/>
        <w:t>22%</w:t>
      </w:r>
      <w:r>
        <w:rPr>
          <w:spacing w:val="-13"/>
        </w:rPr>
        <w:t> </w:t>
      </w:r>
      <w:r>
        <w:rPr/>
        <w:t>gap</w:t>
      </w:r>
      <w:r>
        <w:rPr>
          <w:spacing w:val="-13"/>
        </w:rPr>
        <w:t> </w:t>
      </w:r>
      <w:r>
        <w:rPr/>
        <w:t>in</w:t>
      </w:r>
      <w:r>
        <w:rPr>
          <w:spacing w:val="-13"/>
        </w:rPr>
        <w:t> </w:t>
      </w:r>
      <w:r>
        <w:rPr/>
        <w:t>RVV</w:t>
      </w:r>
      <w:r>
        <w:rPr>
          <w:spacing w:val="-13"/>
        </w:rPr>
        <w:t> </w:t>
      </w:r>
      <w:r>
        <w:rPr/>
        <w:t>reflects</w:t>
      </w:r>
      <w:r>
        <w:rPr>
          <w:spacing w:val="-13"/>
        </w:rPr>
        <w:t> </w:t>
      </w:r>
      <w:r>
        <w:rPr/>
        <w:t>a structural difference in the underlying data, not just a difference in degree.</w:t>
      </w:r>
    </w:p>
    <w:p>
      <w:pPr>
        <w:pStyle w:val="BodyText"/>
        <w:spacing w:line="312" w:lineRule="auto" w:before="4"/>
        <w:ind w:left="134" w:right="1519" w:firstLine="346"/>
        <w:jc w:val="both"/>
      </w:pPr>
      <w:r>
        <w:rPr/>
        <w:t>The Douro’s production history is structurally less confounded.</w:t>
      </w:r>
      <w:r>
        <w:rPr>
          <w:spacing w:val="40"/>
        </w:rPr>
        <w:t> </w:t>
      </w:r>
      <w:r>
        <w:rPr/>
        <w:t>The Douro DOC for table wines</w:t>
      </w:r>
      <w:r>
        <w:rPr>
          <w:spacing w:val="-9"/>
        </w:rPr>
        <w:t> </w:t>
      </w:r>
      <w:r>
        <w:rPr/>
        <w:t>was</w:t>
      </w:r>
      <w:r>
        <w:rPr>
          <w:spacing w:val="-9"/>
        </w:rPr>
        <w:t> </w:t>
      </w:r>
      <w:r>
        <w:rPr/>
        <w:t>established</w:t>
      </w:r>
      <w:r>
        <w:rPr>
          <w:spacing w:val="-9"/>
        </w:rPr>
        <w:t> </w:t>
      </w:r>
      <w:r>
        <w:rPr/>
        <w:t>in</w:t>
      </w:r>
      <w:r>
        <w:rPr>
          <w:spacing w:val="-9"/>
        </w:rPr>
        <w:t> </w:t>
      </w:r>
      <w:r>
        <w:rPr/>
        <w:t>1979,</w:t>
      </w:r>
      <w:r>
        <w:rPr>
          <w:spacing w:val="-9"/>
        </w:rPr>
        <w:t> </w:t>
      </w:r>
      <w:r>
        <w:rPr/>
        <w:t>and</w:t>
      </w:r>
      <w:r>
        <w:rPr>
          <w:spacing w:val="-9"/>
        </w:rPr>
        <w:t> </w:t>
      </w:r>
      <w:r>
        <w:rPr/>
        <w:t>Port</w:t>
      </w:r>
      <w:r>
        <w:rPr>
          <w:spacing w:val="-9"/>
        </w:rPr>
        <w:t> </w:t>
      </w:r>
      <w:r>
        <w:rPr/>
        <w:t>production</w:t>
      </w:r>
      <w:r>
        <w:rPr>
          <w:spacing w:val="-9"/>
        </w:rPr>
        <w:t> </w:t>
      </w:r>
      <w:r>
        <w:rPr/>
        <w:t>is</w:t>
      </w:r>
      <w:r>
        <w:rPr>
          <w:spacing w:val="-9"/>
        </w:rPr>
        <w:t> </w:t>
      </w:r>
      <w:r>
        <w:rPr/>
        <w:t>regulated</w:t>
      </w:r>
      <w:r>
        <w:rPr>
          <w:spacing w:val="-9"/>
        </w:rPr>
        <w:t> </w:t>
      </w:r>
      <w:r>
        <w:rPr/>
        <w:t>by</w:t>
      </w:r>
      <w:r>
        <w:rPr>
          <w:spacing w:val="-9"/>
        </w:rPr>
        <w:t> </w:t>
      </w:r>
      <w:r>
        <w:rPr/>
        <w:t>an</w:t>
      </w:r>
      <w:r>
        <w:rPr>
          <w:spacing w:val="-9"/>
        </w:rPr>
        <w:t> </w:t>
      </w:r>
      <w:r>
        <w:rPr/>
        <w:t>annual</w:t>
      </w:r>
      <w:r>
        <w:rPr>
          <w:spacing w:val="-9"/>
        </w:rPr>
        <w:t> </w:t>
      </w:r>
      <w:r>
        <w:rPr/>
        <w:t>administrative</w:t>
      </w:r>
      <w:r>
        <w:rPr>
          <w:spacing w:val="-9"/>
        </w:rPr>
        <w:t> </w:t>
      </w:r>
      <w:r>
        <w:rPr/>
        <w:t>quota </w:t>
      </w:r>
      <w:r>
        <w:rPr>
          <w:spacing w:val="-2"/>
        </w:rPr>
        <w:t>(the benefício system), which partially decouples observed production from pure climate variation. </w:t>
      </w:r>
      <w:r>
        <w:rPr/>
        <w:t>The</w:t>
      </w:r>
      <w:r>
        <w:rPr>
          <w:spacing w:val="-3"/>
        </w:rPr>
        <w:t> </w:t>
      </w:r>
      <w:r>
        <w:rPr/>
        <w:t>region’s</w:t>
      </w:r>
      <w:r>
        <w:rPr>
          <w:spacing w:val="-3"/>
        </w:rPr>
        <w:t> </w:t>
      </w:r>
      <w:r>
        <w:rPr/>
        <w:t>production</w:t>
      </w:r>
      <w:r>
        <w:rPr>
          <w:spacing w:val="-3"/>
        </w:rPr>
        <w:t> </w:t>
      </w:r>
      <w:r>
        <w:rPr/>
        <w:t>increased</w:t>
      </w:r>
      <w:r>
        <w:rPr>
          <w:spacing w:val="-3"/>
        </w:rPr>
        <w:t> </w:t>
      </w:r>
      <w:r>
        <w:rPr/>
        <w:t>gradually</w:t>
      </w:r>
      <w:r>
        <w:rPr>
          <w:spacing w:val="-3"/>
        </w:rPr>
        <w:t> </w:t>
      </w:r>
      <w:r>
        <w:rPr/>
        <w:t>across</w:t>
      </w:r>
      <w:r>
        <w:rPr>
          <w:spacing w:val="-3"/>
        </w:rPr>
        <w:t> </w:t>
      </w:r>
      <w:r>
        <w:rPr/>
        <w:t>the</w:t>
      </w:r>
      <w:r>
        <w:rPr>
          <w:spacing w:val="-3"/>
        </w:rPr>
        <w:t> </w:t>
      </w:r>
      <w:r>
        <w:rPr/>
        <w:t>study</w:t>
      </w:r>
      <w:r>
        <w:rPr>
          <w:spacing w:val="-3"/>
        </w:rPr>
        <w:t> </w:t>
      </w:r>
      <w:r>
        <w:rPr/>
        <w:t>period</w:t>
      </w:r>
      <w:r>
        <w:rPr>
          <w:spacing w:val="-3"/>
        </w:rPr>
        <w:t> </w:t>
      </w:r>
      <w:r>
        <w:rPr/>
        <w:t>(+80%),</w:t>
      </w:r>
      <w:r>
        <w:rPr>
          <w:spacing w:val="-3"/>
        </w:rPr>
        <w:t> </w:t>
      </w:r>
      <w:r>
        <w:rPr/>
        <w:t>creating</w:t>
      </w:r>
      <w:r>
        <w:rPr>
          <w:spacing w:val="-3"/>
        </w:rPr>
        <w:t> </w:t>
      </w:r>
      <w:r>
        <w:rPr/>
        <w:t>a</w:t>
      </w:r>
      <w:r>
        <w:rPr>
          <w:spacing w:val="-3"/>
        </w:rPr>
        <w:t> </w:t>
      </w:r>
      <w:r>
        <w:rPr/>
        <w:t>smoother structural</w:t>
      </w:r>
      <w:r>
        <w:rPr>
          <w:spacing w:val="-1"/>
        </w:rPr>
        <w:t> </w:t>
      </w:r>
      <w:r>
        <w:rPr/>
        <w:t>trend</w:t>
      </w:r>
      <w:r>
        <w:rPr>
          <w:spacing w:val="-1"/>
        </w:rPr>
        <w:t> </w:t>
      </w:r>
      <w:r>
        <w:rPr/>
        <w:t>that</w:t>
      </w:r>
      <w:r>
        <w:rPr>
          <w:spacing w:val="-1"/>
        </w:rPr>
        <w:t> </w:t>
      </w:r>
      <w:r>
        <w:rPr/>
        <w:t>linear</w:t>
      </w:r>
      <w:r>
        <w:rPr>
          <w:spacing w:val="-1"/>
        </w:rPr>
        <w:t> </w:t>
      </w:r>
      <w:r>
        <w:rPr/>
        <w:t>detrending</w:t>
      </w:r>
      <w:r>
        <w:rPr>
          <w:spacing w:val="-1"/>
        </w:rPr>
        <w:t> </w:t>
      </w:r>
      <w:r>
        <w:rPr/>
        <w:t>captures</w:t>
      </w:r>
      <w:r>
        <w:rPr>
          <w:spacing w:val="-1"/>
        </w:rPr>
        <w:t> </w:t>
      </w:r>
      <w:r>
        <w:rPr/>
        <w:t>adequately. As</w:t>
      </w:r>
      <w:r>
        <w:rPr>
          <w:spacing w:val="-1"/>
        </w:rPr>
        <w:t> </w:t>
      </w:r>
      <w:r>
        <w:rPr/>
        <w:t>a</w:t>
      </w:r>
      <w:r>
        <w:rPr>
          <w:spacing w:val="-1"/>
        </w:rPr>
        <w:t> </w:t>
      </w:r>
      <w:r>
        <w:rPr/>
        <w:t>result,</w:t>
      </w:r>
      <w:r>
        <w:rPr>
          <w:spacing w:val="-1"/>
        </w:rPr>
        <w:t> </w:t>
      </w:r>
      <w:r>
        <w:rPr/>
        <w:t>linear</w:t>
      </w:r>
      <w:r>
        <w:rPr>
          <w:spacing w:val="-1"/>
        </w:rPr>
        <w:t> </w:t>
      </w:r>
      <w:r>
        <w:rPr/>
        <w:t>detrend</w:t>
      </w:r>
      <w:r>
        <w:rPr>
          <w:spacing w:val="-1"/>
        </w:rPr>
        <w:t> </w:t>
      </w:r>
      <w:r>
        <w:rPr/>
        <w:t>residuals</w:t>
      </w:r>
      <w:r>
        <w:rPr>
          <w:spacing w:val="-1"/>
        </w:rPr>
        <w:t> </w:t>
      </w:r>
      <w:r>
        <w:rPr/>
        <w:t>in RDD</w:t>
      </w:r>
      <w:r>
        <w:rPr>
          <w:spacing w:val="-4"/>
        </w:rPr>
        <w:t> </w:t>
      </w:r>
      <w:r>
        <w:rPr/>
        <w:t>contain</w:t>
      </w:r>
      <w:r>
        <w:rPr>
          <w:spacing w:val="-4"/>
        </w:rPr>
        <w:t> </w:t>
      </w:r>
      <w:r>
        <w:rPr/>
        <w:t>a</w:t>
      </w:r>
      <w:r>
        <w:rPr>
          <w:spacing w:val="-4"/>
        </w:rPr>
        <w:t> </w:t>
      </w:r>
      <w:r>
        <w:rPr/>
        <w:t>mixture</w:t>
      </w:r>
      <w:r>
        <w:rPr>
          <w:spacing w:val="-4"/>
        </w:rPr>
        <w:t> </w:t>
      </w:r>
      <w:r>
        <w:rPr/>
        <w:t>of</w:t>
      </w:r>
      <w:r>
        <w:rPr>
          <w:spacing w:val="-4"/>
        </w:rPr>
        <w:t> </w:t>
      </w:r>
      <w:r>
        <w:rPr/>
        <w:t>genuine</w:t>
      </w:r>
      <w:r>
        <w:rPr>
          <w:spacing w:val="-4"/>
        </w:rPr>
        <w:t> </w:t>
      </w:r>
      <w:r>
        <w:rPr/>
        <w:t>climate</w:t>
      </w:r>
      <w:r>
        <w:rPr>
          <w:spacing w:val="-4"/>
        </w:rPr>
        <w:t> </w:t>
      </w:r>
      <w:r>
        <w:rPr/>
        <w:t>signal</w:t>
      </w:r>
      <w:r>
        <w:rPr>
          <w:spacing w:val="-4"/>
        </w:rPr>
        <w:t> </w:t>
      </w:r>
      <w:r>
        <w:rPr/>
        <w:t>and</w:t>
      </w:r>
      <w:r>
        <w:rPr>
          <w:spacing w:val="-4"/>
        </w:rPr>
        <w:t> </w:t>
      </w:r>
      <w:r>
        <w:rPr/>
        <w:t>modest</w:t>
      </w:r>
      <w:r>
        <w:rPr>
          <w:spacing w:val="-4"/>
        </w:rPr>
        <w:t> </w:t>
      </w:r>
      <w:r>
        <w:rPr/>
        <w:t>structural</w:t>
      </w:r>
      <w:r>
        <w:rPr>
          <w:spacing w:val="-4"/>
        </w:rPr>
        <w:t> </w:t>
      </w:r>
      <w:r>
        <w:rPr/>
        <w:t>residual,</w:t>
      </w:r>
      <w:r>
        <w:rPr>
          <w:spacing w:val="-4"/>
        </w:rPr>
        <w:t> </w:t>
      </w:r>
      <w:r>
        <w:rPr/>
        <w:t>with</w:t>
      </w:r>
      <w:r>
        <w:rPr>
          <w:spacing w:val="-4"/>
        </w:rPr>
        <w:t> </w:t>
      </w:r>
      <w:r>
        <w:rPr/>
        <w:t>the</w:t>
      </w:r>
      <w:r>
        <w:rPr>
          <w:spacing w:val="-4"/>
        </w:rPr>
        <w:t> </w:t>
      </w:r>
      <w:r>
        <w:rPr/>
        <w:t>climate component sufficiently prominent for CarenR to exploit in era-balanced scenarios.</w:t>
      </w:r>
    </w:p>
    <w:p>
      <w:pPr>
        <w:pStyle w:val="BodyText"/>
        <w:spacing w:after="0" w:line="312" w:lineRule="auto"/>
        <w:jc w:val="both"/>
        <w:sectPr>
          <w:headerReference w:type="even" r:id="rId100"/>
          <w:pgSz w:w="11910" w:h="16840"/>
          <w:pgMar w:header="1160" w:footer="0" w:top="1420" w:bottom="280" w:left="1275" w:right="425"/>
          <w:pgNumType w:start="70"/>
        </w:sectPr>
      </w:pPr>
    </w:p>
    <w:p>
      <w:pPr>
        <w:pStyle w:val="ListParagraph"/>
        <w:numPr>
          <w:ilvl w:val="1"/>
          <w:numId w:val="36"/>
        </w:numPr>
        <w:tabs>
          <w:tab w:pos="1036" w:val="left" w:leader="none"/>
          <w:tab w:pos="8994" w:val="left" w:leader="none"/>
        </w:tabs>
        <w:spacing w:line="240" w:lineRule="auto" w:before="74" w:after="0"/>
        <w:ind w:left="1036" w:right="0" w:hanging="327"/>
        <w:jc w:val="left"/>
        <w:rPr>
          <w:rFonts w:ascii="Cambria"/>
          <w:i/>
          <w:sz w:val="22"/>
        </w:rPr>
      </w:pPr>
      <w:r>
        <w:rPr>
          <w:rFonts w:ascii="Cambria"/>
          <w:i/>
          <w:spacing w:val="-4"/>
          <w:sz w:val="22"/>
        </w:rPr>
        <w:t>Why</w:t>
      </w:r>
      <w:r>
        <w:rPr>
          <w:rFonts w:ascii="Cambria"/>
          <w:i/>
          <w:spacing w:val="-3"/>
          <w:sz w:val="22"/>
        </w:rPr>
        <w:t> </w:t>
      </w:r>
      <w:r>
        <w:rPr>
          <w:rFonts w:ascii="Cambria"/>
          <w:i/>
          <w:spacing w:val="-4"/>
          <w:sz w:val="22"/>
        </w:rPr>
        <w:t>the</w:t>
      </w:r>
      <w:r>
        <w:rPr>
          <w:rFonts w:ascii="Cambria"/>
          <w:i/>
          <w:spacing w:val="-2"/>
          <w:sz w:val="22"/>
        </w:rPr>
        <w:t> </w:t>
      </w:r>
      <w:r>
        <w:rPr>
          <w:rFonts w:ascii="Cambria"/>
          <w:i/>
          <w:spacing w:val="-4"/>
          <w:sz w:val="22"/>
        </w:rPr>
        <w:t>Walk-Forward</w:t>
      </w:r>
      <w:r>
        <w:rPr>
          <w:rFonts w:ascii="Cambria"/>
          <w:i/>
          <w:spacing w:val="-2"/>
          <w:sz w:val="22"/>
        </w:rPr>
        <w:t> </w:t>
      </w:r>
      <w:r>
        <w:rPr>
          <w:rFonts w:ascii="Cambria"/>
          <w:i/>
          <w:spacing w:val="-4"/>
          <w:sz w:val="22"/>
        </w:rPr>
        <w:t>Metric</w:t>
      </w:r>
      <w:r>
        <w:rPr>
          <w:rFonts w:ascii="Cambria"/>
          <w:i/>
          <w:spacing w:val="-2"/>
          <w:sz w:val="22"/>
        </w:rPr>
        <w:t> </w:t>
      </w:r>
      <w:r>
        <w:rPr>
          <w:rFonts w:ascii="Cambria"/>
          <w:i/>
          <w:spacing w:val="-4"/>
          <w:sz w:val="22"/>
        </w:rPr>
        <w:t>Penalises</w:t>
      </w:r>
      <w:r>
        <w:rPr>
          <w:rFonts w:ascii="Cambria"/>
          <w:i/>
          <w:spacing w:val="-2"/>
          <w:sz w:val="22"/>
        </w:rPr>
        <w:t> </w:t>
      </w:r>
      <w:r>
        <w:rPr>
          <w:rFonts w:ascii="Cambria"/>
          <w:i/>
          <w:spacing w:val="-4"/>
          <w:sz w:val="22"/>
        </w:rPr>
        <w:t>CarenR</w:t>
      </w:r>
      <w:r>
        <w:rPr>
          <w:sz w:val="22"/>
        </w:rPr>
        <w:tab/>
      </w:r>
      <w:r>
        <w:rPr>
          <w:spacing w:val="-5"/>
          <w:sz w:val="22"/>
        </w:rPr>
        <w:t>71</w:t>
      </w:r>
    </w:p>
    <w:p>
      <w:pPr>
        <w:pStyle w:val="BodyText"/>
      </w:pPr>
    </w:p>
    <w:p>
      <w:pPr>
        <w:pStyle w:val="BodyText"/>
        <w:spacing w:before="38"/>
      </w:pPr>
    </w:p>
    <w:p>
      <w:pPr>
        <w:pStyle w:val="BodyText"/>
        <w:spacing w:line="312" w:lineRule="auto" w:before="1"/>
        <w:ind w:left="709" w:right="972" w:firstLine="338"/>
        <w:jc w:val="both"/>
      </w:pPr>
      <w:r>
        <w:rPr/>
        <w:t>Vinho Verde’s production decline of 65% over the study period was driven primarily by structural</w:t>
      </w:r>
      <w:r>
        <w:rPr>
          <w:spacing w:val="-14"/>
        </w:rPr>
        <w:t> </w:t>
      </w:r>
      <w:r>
        <w:rPr/>
        <w:t>factors:</w:t>
      </w:r>
      <w:r>
        <w:rPr>
          <w:spacing w:val="-7"/>
        </w:rPr>
        <w:t> </w:t>
      </w:r>
      <w:r>
        <w:rPr/>
        <w:t>EU</w:t>
      </w:r>
      <w:r>
        <w:rPr>
          <w:spacing w:val="-14"/>
        </w:rPr>
        <w:t> </w:t>
      </w:r>
      <w:r>
        <w:rPr/>
        <w:t>accession</w:t>
      </w:r>
      <w:r>
        <w:rPr>
          <w:spacing w:val="-14"/>
        </w:rPr>
        <w:t> </w:t>
      </w:r>
      <w:r>
        <w:rPr/>
        <w:t>(1986)</w:t>
      </w:r>
      <w:r>
        <w:rPr>
          <w:spacing w:val="-13"/>
        </w:rPr>
        <w:t> </w:t>
      </w:r>
      <w:r>
        <w:rPr/>
        <w:t>and</w:t>
      </w:r>
      <w:r>
        <w:rPr>
          <w:spacing w:val="-14"/>
        </w:rPr>
        <w:t> </w:t>
      </w:r>
      <w:r>
        <w:rPr/>
        <w:t>the</w:t>
      </w:r>
      <w:r>
        <w:rPr>
          <w:spacing w:val="-14"/>
        </w:rPr>
        <w:t> </w:t>
      </w:r>
      <w:r>
        <w:rPr/>
        <w:t>Common</w:t>
      </w:r>
      <w:r>
        <w:rPr>
          <w:spacing w:val="-14"/>
        </w:rPr>
        <w:t> </w:t>
      </w:r>
      <w:r>
        <w:rPr/>
        <w:t>Agricultural</w:t>
      </w:r>
      <w:r>
        <w:rPr>
          <w:spacing w:val="-13"/>
        </w:rPr>
        <w:t> </w:t>
      </w:r>
      <w:r>
        <w:rPr/>
        <w:t>Policy</w:t>
      </w:r>
      <w:r>
        <w:rPr>
          <w:spacing w:val="-14"/>
        </w:rPr>
        <w:t> </w:t>
      </w:r>
      <w:r>
        <w:rPr/>
        <w:t>brought</w:t>
      </w:r>
      <w:r>
        <w:rPr>
          <w:spacing w:val="-14"/>
        </w:rPr>
        <w:t> </w:t>
      </w:r>
      <w:r>
        <w:rPr/>
        <w:t>grubbing-up subsidies</w:t>
      </w:r>
      <w:r>
        <w:rPr>
          <w:spacing w:val="-6"/>
        </w:rPr>
        <w:t> </w:t>
      </w:r>
      <w:r>
        <w:rPr/>
        <w:t>and</w:t>
      </w:r>
      <w:r>
        <w:rPr>
          <w:spacing w:val="-6"/>
        </w:rPr>
        <w:t> </w:t>
      </w:r>
      <w:r>
        <w:rPr/>
        <w:t>quality</w:t>
      </w:r>
      <w:r>
        <w:rPr>
          <w:spacing w:val="-6"/>
        </w:rPr>
        <w:t> </w:t>
      </w:r>
      <w:r>
        <w:rPr/>
        <w:t>standards</w:t>
      </w:r>
      <w:r>
        <w:rPr>
          <w:spacing w:val="-6"/>
        </w:rPr>
        <w:t> </w:t>
      </w:r>
      <w:r>
        <w:rPr/>
        <w:t>that</w:t>
      </w:r>
      <w:r>
        <w:rPr>
          <w:spacing w:val="-6"/>
        </w:rPr>
        <w:t> </w:t>
      </w:r>
      <w:r>
        <w:rPr/>
        <w:t>penalised</w:t>
      </w:r>
      <w:r>
        <w:rPr>
          <w:spacing w:val="-6"/>
        </w:rPr>
        <w:t> </w:t>
      </w:r>
      <w:r>
        <w:rPr/>
        <w:t>the</w:t>
      </w:r>
      <w:r>
        <w:rPr>
          <w:spacing w:val="-6"/>
        </w:rPr>
        <w:t> </w:t>
      </w:r>
      <w:r>
        <w:rPr/>
        <w:t>region’s</w:t>
      </w:r>
      <w:r>
        <w:rPr>
          <w:spacing w:val="-6"/>
        </w:rPr>
        <w:t> </w:t>
      </w:r>
      <w:r>
        <w:rPr/>
        <w:t>traditional</w:t>
      </w:r>
      <w:r>
        <w:rPr>
          <w:spacing w:val="-6"/>
        </w:rPr>
        <w:t> </w:t>
      </w:r>
      <w:r>
        <w:rPr/>
        <w:t>high-yield</w:t>
      </w:r>
      <w:r>
        <w:rPr>
          <w:spacing w:val="-6"/>
        </w:rPr>
        <w:t> </w:t>
      </w:r>
      <w:r>
        <w:rPr/>
        <w:t>pergola</w:t>
      </w:r>
      <w:r>
        <w:rPr>
          <w:spacing w:val="-6"/>
        </w:rPr>
        <w:t> </w:t>
      </w:r>
      <w:r>
        <w:rPr/>
        <w:t>systems; rural</w:t>
      </w:r>
      <w:r>
        <w:rPr>
          <w:spacing w:val="-13"/>
        </w:rPr>
        <w:t> </w:t>
      </w:r>
      <w:r>
        <w:rPr/>
        <w:t>exodus</w:t>
      </w:r>
      <w:r>
        <w:rPr>
          <w:spacing w:val="-13"/>
        </w:rPr>
        <w:t> </w:t>
      </w:r>
      <w:r>
        <w:rPr/>
        <w:t>reduced</w:t>
      </w:r>
      <w:r>
        <w:rPr>
          <w:spacing w:val="-13"/>
        </w:rPr>
        <w:t> </w:t>
      </w:r>
      <w:r>
        <w:rPr/>
        <w:t>the</w:t>
      </w:r>
      <w:r>
        <w:rPr>
          <w:spacing w:val="-13"/>
        </w:rPr>
        <w:t> </w:t>
      </w:r>
      <w:r>
        <w:rPr/>
        <w:t>number</w:t>
      </w:r>
      <w:r>
        <w:rPr>
          <w:spacing w:val="-13"/>
        </w:rPr>
        <w:t> </w:t>
      </w:r>
      <w:r>
        <w:rPr/>
        <w:t>of</w:t>
      </w:r>
      <w:r>
        <w:rPr>
          <w:spacing w:val="-13"/>
        </w:rPr>
        <w:t> </w:t>
      </w:r>
      <w:r>
        <w:rPr/>
        <w:t>active</w:t>
      </w:r>
      <w:r>
        <w:rPr>
          <w:spacing w:val="-13"/>
        </w:rPr>
        <w:t> </w:t>
      </w:r>
      <w:r>
        <w:rPr/>
        <w:t>small</w:t>
      </w:r>
      <w:r>
        <w:rPr>
          <w:spacing w:val="-13"/>
        </w:rPr>
        <w:t> </w:t>
      </w:r>
      <w:r>
        <w:rPr/>
        <w:t>producers;</w:t>
      </w:r>
      <w:r>
        <w:rPr>
          <w:spacing w:val="-13"/>
        </w:rPr>
        <w:t> </w:t>
      </w:r>
      <w:r>
        <w:rPr/>
        <w:t>and</w:t>
      </w:r>
      <w:r>
        <w:rPr>
          <w:spacing w:val="-13"/>
        </w:rPr>
        <w:t> </w:t>
      </w:r>
      <w:r>
        <w:rPr/>
        <w:t>conversion</w:t>
      </w:r>
      <w:r>
        <w:rPr>
          <w:spacing w:val="-13"/>
        </w:rPr>
        <w:t> </w:t>
      </w:r>
      <w:r>
        <w:rPr/>
        <w:t>to</w:t>
      </w:r>
      <w:r>
        <w:rPr>
          <w:spacing w:val="-13"/>
        </w:rPr>
        <w:t> </w:t>
      </w:r>
      <w:r>
        <w:rPr/>
        <w:t>lower-yield</w:t>
      </w:r>
      <w:r>
        <w:rPr>
          <w:spacing w:val="-13"/>
        </w:rPr>
        <w:t> </w:t>
      </w:r>
      <w:r>
        <w:rPr/>
        <w:t>espalier </w:t>
      </w:r>
      <w:r>
        <w:rPr>
          <w:spacing w:val="-4"/>
        </w:rPr>
        <w:t>training reduced per-hectare output independently of climate.</w:t>
      </w:r>
      <w:r>
        <w:rPr>
          <w:spacing w:val="23"/>
        </w:rPr>
        <w:t> </w:t>
      </w:r>
      <w:r>
        <w:rPr>
          <w:spacing w:val="-4"/>
        </w:rPr>
        <w:t>These transitions were concentrated in </w:t>
      </w:r>
      <w:r>
        <w:rPr>
          <w:spacing w:val="-2"/>
        </w:rPr>
        <w:t>the</w:t>
      </w:r>
      <w:r>
        <w:rPr>
          <w:spacing w:val="-4"/>
        </w:rPr>
        <w:t> </w:t>
      </w:r>
      <w:r>
        <w:rPr>
          <w:spacing w:val="-2"/>
        </w:rPr>
        <w:t>1980s–2000s,</w:t>
      </w:r>
      <w:r>
        <w:rPr>
          <w:spacing w:val="-4"/>
        </w:rPr>
        <w:t> </w:t>
      </w:r>
      <w:r>
        <w:rPr>
          <w:spacing w:val="-2"/>
        </w:rPr>
        <w:t>producing</w:t>
      </w:r>
      <w:r>
        <w:rPr>
          <w:spacing w:val="-4"/>
        </w:rPr>
        <w:t> </w:t>
      </w:r>
      <w:r>
        <w:rPr>
          <w:spacing w:val="-2"/>
        </w:rPr>
        <w:t>a</w:t>
      </w:r>
      <w:r>
        <w:rPr>
          <w:spacing w:val="-4"/>
        </w:rPr>
        <w:t> </w:t>
      </w:r>
      <w:r>
        <w:rPr>
          <w:spacing w:val="-2"/>
        </w:rPr>
        <w:t>non-linear</w:t>
      </w:r>
      <w:r>
        <w:rPr>
          <w:spacing w:val="-4"/>
        </w:rPr>
        <w:t> </w:t>
      </w:r>
      <w:r>
        <w:rPr>
          <w:spacing w:val="-2"/>
        </w:rPr>
        <w:t>structural</w:t>
      </w:r>
      <w:r>
        <w:rPr>
          <w:spacing w:val="-4"/>
        </w:rPr>
        <w:t> </w:t>
      </w:r>
      <w:r>
        <w:rPr>
          <w:spacing w:val="-2"/>
        </w:rPr>
        <w:t>break</w:t>
      </w:r>
      <w:r>
        <w:rPr>
          <w:spacing w:val="-4"/>
        </w:rPr>
        <w:t> </w:t>
      </w:r>
      <w:r>
        <w:rPr>
          <w:spacing w:val="-2"/>
        </w:rPr>
        <w:t>that</w:t>
      </w:r>
      <w:r>
        <w:rPr>
          <w:spacing w:val="-4"/>
        </w:rPr>
        <w:t> </w:t>
      </w:r>
      <w:r>
        <w:rPr>
          <w:spacing w:val="-2"/>
        </w:rPr>
        <w:t>neither</w:t>
      </w:r>
      <w:r>
        <w:rPr>
          <w:spacing w:val="-4"/>
        </w:rPr>
        <w:t> </w:t>
      </w:r>
      <w:r>
        <w:rPr>
          <w:spacing w:val="-2"/>
        </w:rPr>
        <w:t>linear</w:t>
      </w:r>
      <w:r>
        <w:rPr>
          <w:spacing w:val="-4"/>
        </w:rPr>
        <w:t> </w:t>
      </w:r>
      <w:r>
        <w:rPr>
          <w:spacing w:val="-2"/>
        </w:rPr>
        <w:t>nor</w:t>
      </w:r>
      <w:r>
        <w:rPr>
          <w:spacing w:val="-4"/>
        </w:rPr>
        <w:t> </w:t>
      </w:r>
      <w:r>
        <w:rPr>
          <w:spacing w:val="-2"/>
        </w:rPr>
        <w:t>LOESS</w:t>
      </w:r>
      <w:r>
        <w:rPr>
          <w:spacing w:val="-4"/>
        </w:rPr>
        <w:t> </w:t>
      </w:r>
      <w:r>
        <w:rPr>
          <w:spacing w:val="-2"/>
        </w:rPr>
        <w:t>detrending </w:t>
      </w:r>
      <w:r>
        <w:rPr/>
        <w:t>can</w:t>
      </w:r>
      <w:r>
        <w:rPr>
          <w:spacing w:val="-14"/>
        </w:rPr>
        <w:t> </w:t>
      </w:r>
      <w:r>
        <w:rPr/>
        <w:t>fully</w:t>
      </w:r>
      <w:r>
        <w:rPr>
          <w:spacing w:val="-14"/>
        </w:rPr>
        <w:t> </w:t>
      </w:r>
      <w:r>
        <w:rPr/>
        <w:t>separate</w:t>
      </w:r>
      <w:r>
        <w:rPr>
          <w:spacing w:val="-14"/>
        </w:rPr>
        <w:t> </w:t>
      </w:r>
      <w:r>
        <w:rPr/>
        <w:t>from</w:t>
      </w:r>
      <w:r>
        <w:rPr>
          <w:spacing w:val="-13"/>
        </w:rPr>
        <w:t> </w:t>
      </w:r>
      <w:r>
        <w:rPr/>
        <w:t>the</w:t>
      </w:r>
      <w:r>
        <w:rPr>
          <w:spacing w:val="-14"/>
        </w:rPr>
        <w:t> </w:t>
      </w:r>
      <w:r>
        <w:rPr/>
        <w:t>inter-annual</w:t>
      </w:r>
      <w:r>
        <w:rPr>
          <w:spacing w:val="-14"/>
        </w:rPr>
        <w:t> </w:t>
      </w:r>
      <w:r>
        <w:rPr/>
        <w:t>climate</w:t>
      </w:r>
      <w:r>
        <w:rPr>
          <w:spacing w:val="-14"/>
        </w:rPr>
        <w:t> </w:t>
      </w:r>
      <w:r>
        <w:rPr/>
        <w:t>signal.</w:t>
      </w:r>
      <w:r>
        <w:rPr>
          <w:spacing w:val="-13"/>
        </w:rPr>
        <w:t> </w:t>
      </w:r>
      <w:r>
        <w:rPr/>
        <w:t>The</w:t>
      </w:r>
      <w:r>
        <w:rPr>
          <w:spacing w:val="-14"/>
        </w:rPr>
        <w:t> </w:t>
      </w:r>
      <w:r>
        <w:rPr/>
        <w:t>RVV</w:t>
      </w:r>
      <w:r>
        <w:rPr>
          <w:spacing w:val="-14"/>
        </w:rPr>
        <w:t> </w:t>
      </w:r>
      <w:r>
        <w:rPr/>
        <w:t>linear</w:t>
      </w:r>
      <w:r>
        <w:rPr>
          <w:spacing w:val="-14"/>
        </w:rPr>
        <w:t> </w:t>
      </w:r>
      <w:r>
        <w:rPr/>
        <w:t>detrend</w:t>
      </w:r>
      <w:r>
        <w:rPr>
          <w:spacing w:val="-13"/>
        </w:rPr>
        <w:t> </w:t>
      </w:r>
      <w:r>
        <w:rPr/>
        <w:t>residuals</w:t>
      </w:r>
      <w:r>
        <w:rPr>
          <w:spacing w:val="-14"/>
        </w:rPr>
        <w:t> </w:t>
      </w:r>
      <w:r>
        <w:rPr/>
        <w:t>therefore contain a larger structural residual component that contaminates the climate signal available for </w:t>
      </w:r>
      <w:r>
        <w:rPr>
          <w:spacing w:val="-2"/>
        </w:rPr>
        <w:t>CarenR.</w:t>
      </w:r>
    </w:p>
    <w:p>
      <w:pPr>
        <w:pStyle w:val="BodyText"/>
        <w:spacing w:line="312" w:lineRule="auto" w:before="10"/>
        <w:ind w:left="692" w:right="954" w:firstLine="355"/>
        <w:jc w:val="both"/>
      </w:pPr>
      <w:r>
        <w:rPr/>
        <w:t>The era-composition analysis (Section </w:t>
      </w:r>
      <w:hyperlink w:history="true" w:anchor="_bookmark107">
        <w:r>
          <w:rPr>
            <w:color w:val="8B2C18"/>
          </w:rPr>
          <w:t>5.3</w:t>
        </w:r>
      </w:hyperlink>
      <w:r>
        <w:rPr/>
        <w:t>) further illustrates this divergence. As more </w:t>
      </w:r>
      <w:r>
        <w:rPr/>
        <w:t>post-1990 data enters the RVV training set, CarenR’s performance worsens rather than improves, the </w:t>
      </w:r>
      <w:r>
        <w:rPr>
          <w:spacing w:val="-4"/>
        </w:rPr>
        <w:t>opposite</w:t>
      </w:r>
      <w:r>
        <w:rPr>
          <w:spacing w:val="-5"/>
        </w:rPr>
        <w:t> </w:t>
      </w:r>
      <w:r>
        <w:rPr>
          <w:spacing w:val="-4"/>
        </w:rPr>
        <w:t>of</w:t>
      </w:r>
      <w:r>
        <w:rPr>
          <w:spacing w:val="-6"/>
        </w:rPr>
        <w:t> </w:t>
      </w:r>
      <w:r>
        <w:rPr>
          <w:spacing w:val="-4"/>
        </w:rPr>
        <w:t>the</w:t>
      </w:r>
      <w:r>
        <w:rPr>
          <w:spacing w:val="-5"/>
        </w:rPr>
        <w:t> </w:t>
      </w:r>
      <w:r>
        <w:rPr>
          <w:spacing w:val="-4"/>
        </w:rPr>
        <w:t>RDD</w:t>
      </w:r>
      <w:r>
        <w:rPr>
          <w:spacing w:val="-6"/>
        </w:rPr>
        <w:t> </w:t>
      </w:r>
      <w:r>
        <w:rPr>
          <w:spacing w:val="-4"/>
        </w:rPr>
        <w:t>pattern.</w:t>
      </w:r>
      <w:r>
        <w:rPr>
          <w:spacing w:val="18"/>
        </w:rPr>
        <w:t> </w:t>
      </w:r>
      <w:r>
        <w:rPr>
          <w:spacing w:val="-4"/>
        </w:rPr>
        <w:t>This</w:t>
      </w:r>
      <w:r>
        <w:rPr>
          <w:spacing w:val="-6"/>
        </w:rPr>
        <w:t> </w:t>
      </w:r>
      <w:r>
        <w:rPr>
          <w:spacing w:val="-4"/>
        </w:rPr>
        <w:t>indicates</w:t>
      </w:r>
      <w:r>
        <w:rPr>
          <w:spacing w:val="-5"/>
        </w:rPr>
        <w:t> </w:t>
      </w:r>
      <w:r>
        <w:rPr>
          <w:spacing w:val="-4"/>
        </w:rPr>
        <w:t>that</w:t>
      </w:r>
      <w:r>
        <w:rPr>
          <w:spacing w:val="-5"/>
        </w:rPr>
        <w:t> </w:t>
      </w:r>
      <w:r>
        <w:rPr>
          <w:spacing w:val="-4"/>
        </w:rPr>
        <w:t>the</w:t>
      </w:r>
      <w:r>
        <w:rPr>
          <w:spacing w:val="-6"/>
        </w:rPr>
        <w:t> </w:t>
      </w:r>
      <w:r>
        <w:rPr>
          <w:spacing w:val="-4"/>
        </w:rPr>
        <w:t>rules</w:t>
      </w:r>
      <w:r>
        <w:rPr>
          <w:spacing w:val="-5"/>
        </w:rPr>
        <w:t> </w:t>
      </w:r>
      <w:r>
        <w:rPr>
          <w:spacing w:val="-4"/>
        </w:rPr>
        <w:t>CarenR</w:t>
      </w:r>
      <w:r>
        <w:rPr>
          <w:spacing w:val="-6"/>
        </w:rPr>
        <w:t> </w:t>
      </w:r>
      <w:r>
        <w:rPr>
          <w:spacing w:val="-4"/>
        </w:rPr>
        <w:t>discovers</w:t>
      </w:r>
      <w:r>
        <w:rPr>
          <w:spacing w:val="-6"/>
        </w:rPr>
        <w:t> </w:t>
      </w:r>
      <w:r>
        <w:rPr>
          <w:spacing w:val="-4"/>
        </w:rPr>
        <w:t>for</w:t>
      </w:r>
      <w:r>
        <w:rPr>
          <w:spacing w:val="-5"/>
        </w:rPr>
        <w:t> </w:t>
      </w:r>
      <w:r>
        <w:rPr>
          <w:spacing w:val="-4"/>
        </w:rPr>
        <w:t>RVV</w:t>
      </w:r>
      <w:r>
        <w:rPr>
          <w:spacing w:val="-5"/>
        </w:rPr>
        <w:t> </w:t>
      </w:r>
      <w:r>
        <w:rPr>
          <w:spacing w:val="-4"/>
        </w:rPr>
        <w:t>are</w:t>
      </w:r>
      <w:r>
        <w:rPr>
          <w:spacing w:val="-5"/>
        </w:rPr>
        <w:t> </w:t>
      </w:r>
      <w:r>
        <w:rPr>
          <w:spacing w:val="-4"/>
        </w:rPr>
        <w:t>increasingly </w:t>
      </w:r>
      <w:r>
        <w:rPr/>
        <w:t>tuned to era-specific statistical patterns that do not generalise to test years from the same modern era.</w:t>
      </w:r>
      <w:r>
        <w:rPr>
          <w:spacing w:val="34"/>
        </w:rPr>
        <w:t> </w:t>
      </w:r>
      <w:r>
        <w:rPr/>
        <w:t>The structural disruption of Vinho Verde production has been so large and so rapid that no stable climate-production relationship emerges from within any single era.</w:t>
      </w:r>
    </w:p>
    <w:p>
      <w:pPr>
        <w:spacing w:before="167"/>
        <w:ind w:left="601" w:right="888" w:firstLine="0"/>
        <w:jc w:val="center"/>
        <w:rPr>
          <w:sz w:val="20"/>
        </w:rPr>
      </w:pPr>
      <w:bookmarkStart w:name="_bookmark134" w:id="225"/>
      <w:bookmarkEnd w:id="225"/>
      <w:r>
        <w:rPr/>
      </w:r>
      <w:r>
        <w:rPr>
          <w:b/>
          <w:sz w:val="20"/>
        </w:rPr>
        <w:t>Table</w:t>
      </w:r>
      <w:r>
        <w:rPr>
          <w:b/>
          <w:spacing w:val="-10"/>
          <w:sz w:val="20"/>
        </w:rPr>
        <w:t> </w:t>
      </w:r>
      <w:r>
        <w:rPr>
          <w:b/>
          <w:sz w:val="20"/>
        </w:rPr>
        <w:t>6.1: </w:t>
      </w:r>
      <w:r>
        <w:rPr>
          <w:sz w:val="20"/>
        </w:rPr>
        <w:t>Structural</w:t>
      </w:r>
      <w:r>
        <w:rPr>
          <w:spacing w:val="-9"/>
          <w:sz w:val="20"/>
        </w:rPr>
        <w:t> </w:t>
      </w:r>
      <w:r>
        <w:rPr>
          <w:sz w:val="20"/>
        </w:rPr>
        <w:t>explanation</w:t>
      </w:r>
      <w:r>
        <w:rPr>
          <w:spacing w:val="-10"/>
          <w:sz w:val="20"/>
        </w:rPr>
        <w:t> </w:t>
      </w:r>
      <w:r>
        <w:rPr>
          <w:sz w:val="20"/>
        </w:rPr>
        <w:t>of</w:t>
      </w:r>
      <w:r>
        <w:rPr>
          <w:spacing w:val="-9"/>
          <w:sz w:val="20"/>
        </w:rPr>
        <w:t> </w:t>
      </w:r>
      <w:r>
        <w:rPr>
          <w:sz w:val="20"/>
        </w:rPr>
        <w:t>the</w:t>
      </w:r>
      <w:r>
        <w:rPr>
          <w:spacing w:val="-10"/>
          <w:sz w:val="20"/>
        </w:rPr>
        <w:t> </w:t>
      </w:r>
      <w:r>
        <w:rPr>
          <w:sz w:val="20"/>
        </w:rPr>
        <w:t>RDD</w:t>
      </w:r>
      <w:r>
        <w:rPr>
          <w:spacing w:val="-10"/>
          <w:sz w:val="20"/>
        </w:rPr>
        <w:t> </w:t>
      </w:r>
      <w:r>
        <w:rPr>
          <w:sz w:val="20"/>
        </w:rPr>
        <w:t>vs</w:t>
      </w:r>
      <w:r>
        <w:rPr>
          <w:spacing w:val="-9"/>
          <w:sz w:val="20"/>
        </w:rPr>
        <w:t> </w:t>
      </w:r>
      <w:r>
        <w:rPr>
          <w:sz w:val="20"/>
        </w:rPr>
        <w:t>RVV</w:t>
      </w:r>
      <w:r>
        <w:rPr>
          <w:spacing w:val="-10"/>
          <w:sz w:val="20"/>
        </w:rPr>
        <w:t> </w:t>
      </w:r>
      <w:r>
        <w:rPr>
          <w:sz w:val="20"/>
        </w:rPr>
        <w:t>performance</w:t>
      </w:r>
      <w:r>
        <w:rPr>
          <w:spacing w:val="-9"/>
          <w:sz w:val="20"/>
        </w:rPr>
        <w:t> </w:t>
      </w:r>
      <w:r>
        <w:rPr>
          <w:spacing w:val="-2"/>
          <w:sz w:val="20"/>
        </w:rPr>
        <w:t>divergence.</w:t>
      </w:r>
    </w:p>
    <w:p>
      <w:pPr>
        <w:pStyle w:val="BodyText"/>
        <w:spacing w:before="5"/>
        <w:rPr>
          <w:sz w:val="18"/>
        </w:rPr>
      </w:pPr>
      <w:r>
        <w:rPr>
          <w:sz w:val="18"/>
        </w:rPr>
        <mc:AlternateContent>
          <mc:Choice Requires="wps">
            <w:drawing>
              <wp:anchor distT="0" distB="0" distL="0" distR="0" allowOverlap="1" layoutInCell="1" locked="0" behindDoc="1" simplePos="0" relativeHeight="487630336">
                <wp:simplePos x="0" y="0"/>
                <wp:positionH relativeFrom="page">
                  <wp:posOffset>1260005</wp:posOffset>
                </wp:positionH>
                <wp:positionV relativeFrom="paragraph">
                  <wp:posOffset>149987</wp:posOffset>
                </wp:positionV>
                <wp:extent cx="5400040" cy="1270"/>
                <wp:effectExtent l="0" t="0" r="0" b="0"/>
                <wp:wrapTopAndBottom/>
                <wp:docPr id="235" name="Graphic 235"/>
                <wp:cNvGraphicFramePr>
                  <a:graphicFrameLocks/>
                </wp:cNvGraphicFramePr>
                <a:graphic>
                  <a:graphicData uri="http://schemas.microsoft.com/office/word/2010/wordprocessingShape">
                    <wps:wsp>
                      <wps:cNvPr id="235" name="Graphic 235"/>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1.810076pt;width:425.2pt;height:.1pt;mso-position-horizontal-relative:page;mso-position-vertical-relative:paragraph;z-index:-15686144;mso-wrap-distance-left:0;mso-wrap-distance-right:0" id="docshape199" coordorigin="1984,236" coordsize="8504,0" path="m1984,236l10488,236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7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87"/>
        <w:gridCol w:w="1778"/>
        <w:gridCol w:w="2118"/>
        <w:gridCol w:w="2721"/>
      </w:tblGrid>
      <w:tr>
        <w:trPr>
          <w:trHeight w:val="346" w:hRule="atLeast"/>
        </w:trPr>
        <w:tc>
          <w:tcPr>
            <w:tcW w:w="1887" w:type="dxa"/>
            <w:tcBorders>
              <w:top w:val="nil"/>
              <w:left w:val="nil"/>
              <w:right w:val="single" w:sz="4" w:space="0" w:color="000000"/>
            </w:tcBorders>
          </w:tcPr>
          <w:p>
            <w:pPr>
              <w:pStyle w:val="TableParagraph"/>
              <w:spacing w:before="31"/>
              <w:ind w:left="119"/>
              <w:rPr>
                <w:sz w:val="20"/>
              </w:rPr>
            </w:pPr>
            <w:r>
              <w:rPr>
                <w:spacing w:val="-2"/>
                <w:sz w:val="20"/>
              </w:rPr>
              <w:t>Dimension</w:t>
            </w:r>
          </w:p>
        </w:tc>
        <w:tc>
          <w:tcPr>
            <w:tcW w:w="1778" w:type="dxa"/>
            <w:tcBorders>
              <w:top w:val="nil"/>
              <w:left w:val="single" w:sz="4" w:space="0" w:color="000000"/>
              <w:right w:val="single" w:sz="4" w:space="0" w:color="000000"/>
            </w:tcBorders>
          </w:tcPr>
          <w:p>
            <w:pPr>
              <w:pStyle w:val="TableParagraph"/>
              <w:spacing w:before="31"/>
              <w:ind w:left="118"/>
              <w:rPr>
                <w:sz w:val="20"/>
              </w:rPr>
            </w:pPr>
            <w:r>
              <w:rPr>
                <w:sz w:val="20"/>
              </w:rPr>
              <w:t>RDD:</w:t>
            </w:r>
            <w:r>
              <w:rPr>
                <w:spacing w:val="-6"/>
                <w:sz w:val="20"/>
              </w:rPr>
              <w:t> </w:t>
            </w:r>
            <w:r>
              <w:rPr>
                <w:spacing w:val="-2"/>
                <w:sz w:val="20"/>
              </w:rPr>
              <w:t>Douro</w:t>
            </w:r>
          </w:p>
        </w:tc>
        <w:tc>
          <w:tcPr>
            <w:tcW w:w="2118" w:type="dxa"/>
            <w:tcBorders>
              <w:top w:val="nil"/>
              <w:left w:val="single" w:sz="4" w:space="0" w:color="000000"/>
              <w:right w:val="single" w:sz="4" w:space="0" w:color="000000"/>
            </w:tcBorders>
          </w:tcPr>
          <w:p>
            <w:pPr>
              <w:pStyle w:val="TableParagraph"/>
              <w:spacing w:before="31"/>
              <w:ind w:left="118"/>
              <w:rPr>
                <w:sz w:val="20"/>
              </w:rPr>
            </w:pPr>
            <w:r>
              <w:rPr>
                <w:spacing w:val="-6"/>
                <w:sz w:val="20"/>
              </w:rPr>
              <w:t>RVV:</w:t>
            </w:r>
            <w:r>
              <w:rPr>
                <w:spacing w:val="-1"/>
                <w:sz w:val="20"/>
              </w:rPr>
              <w:t> </w:t>
            </w:r>
            <w:r>
              <w:rPr>
                <w:spacing w:val="-6"/>
                <w:sz w:val="20"/>
              </w:rPr>
              <w:t>Vinho</w:t>
            </w:r>
            <w:r>
              <w:rPr>
                <w:sz w:val="20"/>
              </w:rPr>
              <w:t> </w:t>
            </w:r>
            <w:r>
              <w:rPr>
                <w:spacing w:val="-6"/>
                <w:sz w:val="20"/>
              </w:rPr>
              <w:t>Verde</w:t>
            </w:r>
          </w:p>
        </w:tc>
        <w:tc>
          <w:tcPr>
            <w:tcW w:w="2721" w:type="dxa"/>
            <w:tcBorders>
              <w:top w:val="nil"/>
              <w:left w:val="single" w:sz="4" w:space="0" w:color="000000"/>
              <w:right w:val="nil"/>
            </w:tcBorders>
          </w:tcPr>
          <w:p>
            <w:pPr>
              <w:pStyle w:val="TableParagraph"/>
              <w:spacing w:before="31"/>
              <w:ind w:left="118"/>
              <w:rPr>
                <w:sz w:val="20"/>
              </w:rPr>
            </w:pPr>
            <w:r>
              <w:rPr>
                <w:spacing w:val="-2"/>
                <w:sz w:val="20"/>
              </w:rPr>
              <w:t>Implication</w:t>
            </w:r>
          </w:p>
        </w:tc>
      </w:tr>
    </w:tbl>
    <w:p>
      <w:pPr>
        <w:pStyle w:val="BodyText"/>
        <w:spacing w:before="10"/>
        <w:rPr>
          <w:sz w:val="4"/>
        </w:rPr>
      </w:pPr>
    </w:p>
    <w:tbl>
      <w:tblPr>
        <w:tblW w:w="0" w:type="auto"/>
        <w:jc w:val="left"/>
        <w:tblInd w:w="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87"/>
        <w:gridCol w:w="1778"/>
        <w:gridCol w:w="2118"/>
        <w:gridCol w:w="2721"/>
      </w:tblGrid>
      <w:tr>
        <w:trPr>
          <w:trHeight w:val="548" w:hRule="atLeast"/>
        </w:trPr>
        <w:tc>
          <w:tcPr>
            <w:tcW w:w="1887" w:type="dxa"/>
            <w:tcBorders>
              <w:right w:val="single" w:sz="4" w:space="0" w:color="000000"/>
            </w:tcBorders>
          </w:tcPr>
          <w:p>
            <w:pPr>
              <w:pStyle w:val="TableParagraph"/>
              <w:spacing w:before="31"/>
              <w:ind w:left="119"/>
              <w:rPr>
                <w:sz w:val="20"/>
              </w:rPr>
            </w:pPr>
            <w:r>
              <w:rPr>
                <w:sz w:val="20"/>
              </w:rPr>
              <w:t>Production</w:t>
            </w:r>
            <w:r>
              <w:rPr>
                <w:spacing w:val="-10"/>
                <w:sz w:val="20"/>
              </w:rPr>
              <w:t> </w:t>
            </w:r>
            <w:r>
              <w:rPr>
                <w:spacing w:val="-2"/>
                <w:sz w:val="20"/>
              </w:rPr>
              <w:t>trend</w:t>
            </w:r>
          </w:p>
        </w:tc>
        <w:tc>
          <w:tcPr>
            <w:tcW w:w="1778" w:type="dxa"/>
            <w:tcBorders>
              <w:left w:val="single" w:sz="4" w:space="0" w:color="000000"/>
              <w:right w:val="single" w:sz="4" w:space="0" w:color="000000"/>
            </w:tcBorders>
          </w:tcPr>
          <w:p>
            <w:pPr>
              <w:pStyle w:val="TableParagraph"/>
              <w:spacing w:before="31"/>
              <w:ind w:left="118"/>
              <w:rPr>
                <w:sz w:val="20"/>
              </w:rPr>
            </w:pPr>
            <w:r>
              <w:rPr>
                <w:sz w:val="20"/>
              </w:rPr>
              <w:t>+80%</w:t>
            </w:r>
            <w:r>
              <w:rPr>
                <w:spacing w:val="-6"/>
                <w:sz w:val="20"/>
              </w:rPr>
              <w:t> </w:t>
            </w:r>
            <w:r>
              <w:rPr>
                <w:spacing w:val="-2"/>
                <w:sz w:val="20"/>
              </w:rPr>
              <w:t>(gradual)</w:t>
            </w:r>
          </w:p>
        </w:tc>
        <w:tc>
          <w:tcPr>
            <w:tcW w:w="2118" w:type="dxa"/>
            <w:tcBorders>
              <w:left w:val="single" w:sz="4" w:space="0" w:color="000000"/>
              <w:right w:val="single" w:sz="4" w:space="0" w:color="000000"/>
            </w:tcBorders>
          </w:tcPr>
          <w:p>
            <w:pPr>
              <w:pStyle w:val="TableParagraph"/>
              <w:spacing w:before="31"/>
              <w:ind w:left="118"/>
              <w:rPr>
                <w:sz w:val="20"/>
              </w:rPr>
            </w:pPr>
            <w:r>
              <w:rPr>
                <w:sz w:val="20"/>
              </w:rPr>
              <w:t>-65%</w:t>
            </w:r>
            <w:r>
              <w:rPr>
                <w:spacing w:val="-8"/>
                <w:sz w:val="20"/>
              </w:rPr>
              <w:t> </w:t>
            </w:r>
            <w:r>
              <w:rPr>
                <w:sz w:val="20"/>
              </w:rPr>
              <w:t>(structural</w:t>
            </w:r>
            <w:r>
              <w:rPr>
                <w:spacing w:val="-7"/>
                <w:sz w:val="20"/>
              </w:rPr>
              <w:t> </w:t>
            </w:r>
            <w:r>
              <w:rPr>
                <w:spacing w:val="-2"/>
                <w:sz w:val="20"/>
              </w:rPr>
              <w:t>break)</w:t>
            </w:r>
          </w:p>
        </w:tc>
        <w:tc>
          <w:tcPr>
            <w:tcW w:w="2721" w:type="dxa"/>
            <w:tcBorders>
              <w:left w:val="single" w:sz="4" w:space="0" w:color="000000"/>
            </w:tcBorders>
          </w:tcPr>
          <w:p>
            <w:pPr>
              <w:pStyle w:val="TableParagraph"/>
              <w:spacing w:line="249" w:lineRule="auto" w:before="31"/>
              <w:ind w:left="118"/>
              <w:rPr>
                <w:sz w:val="20"/>
              </w:rPr>
            </w:pPr>
            <w:r>
              <w:rPr>
                <w:sz w:val="20"/>
              </w:rPr>
              <w:t>RVV</w:t>
            </w:r>
            <w:r>
              <w:rPr>
                <w:spacing w:val="-4"/>
                <w:sz w:val="20"/>
              </w:rPr>
              <w:t> </w:t>
            </w:r>
            <w:r>
              <w:rPr>
                <w:sz w:val="20"/>
              </w:rPr>
              <w:t>confound</w:t>
            </w:r>
            <w:r>
              <w:rPr>
                <w:spacing w:val="-4"/>
                <w:sz w:val="20"/>
              </w:rPr>
              <w:t> </w:t>
            </w:r>
            <w:r>
              <w:rPr>
                <w:sz w:val="20"/>
              </w:rPr>
              <w:t>is</w:t>
            </w:r>
            <w:r>
              <w:rPr>
                <w:spacing w:val="-4"/>
                <w:sz w:val="20"/>
              </w:rPr>
              <w:t> </w:t>
            </w:r>
            <w:r>
              <w:rPr>
                <w:sz w:val="20"/>
              </w:rPr>
              <w:t>stronger</w:t>
            </w:r>
            <w:r>
              <w:rPr>
                <w:spacing w:val="-4"/>
                <w:sz w:val="20"/>
              </w:rPr>
              <w:t> </w:t>
            </w:r>
            <w:r>
              <w:rPr>
                <w:sz w:val="20"/>
              </w:rPr>
              <w:t>and harder to detrend</w:t>
            </w:r>
          </w:p>
        </w:tc>
      </w:tr>
      <w:tr>
        <w:trPr>
          <w:trHeight w:val="549" w:hRule="atLeast"/>
        </w:trPr>
        <w:tc>
          <w:tcPr>
            <w:tcW w:w="1887" w:type="dxa"/>
            <w:tcBorders>
              <w:right w:val="single" w:sz="4" w:space="0" w:color="000000"/>
            </w:tcBorders>
          </w:tcPr>
          <w:p>
            <w:pPr>
              <w:pStyle w:val="TableParagraph"/>
              <w:ind w:left="119"/>
              <w:rPr>
                <w:sz w:val="20"/>
              </w:rPr>
            </w:pPr>
            <w:r>
              <w:rPr>
                <w:sz w:val="20"/>
              </w:rPr>
              <w:t>Era</w:t>
            </w:r>
            <w:r>
              <w:rPr>
                <w:spacing w:val="-4"/>
                <w:sz w:val="20"/>
              </w:rPr>
              <w:t> </w:t>
            </w:r>
            <w:r>
              <w:rPr>
                <w:spacing w:val="-2"/>
                <w:sz w:val="20"/>
              </w:rPr>
              <w:t>confound</w:t>
            </w:r>
          </w:p>
        </w:tc>
        <w:tc>
          <w:tcPr>
            <w:tcW w:w="1778" w:type="dxa"/>
            <w:tcBorders>
              <w:left w:val="single" w:sz="4" w:space="0" w:color="000000"/>
              <w:right w:val="single" w:sz="4" w:space="0" w:color="000000"/>
            </w:tcBorders>
          </w:tcPr>
          <w:p>
            <w:pPr>
              <w:pStyle w:val="TableParagraph"/>
              <w:ind w:left="118"/>
              <w:rPr>
                <w:sz w:val="20"/>
              </w:rPr>
            </w:pPr>
            <w:r>
              <w:rPr>
                <w:spacing w:val="-2"/>
                <w:sz w:val="20"/>
              </w:rPr>
              <w:t>Moderate</w:t>
            </w:r>
          </w:p>
        </w:tc>
        <w:tc>
          <w:tcPr>
            <w:tcW w:w="2118" w:type="dxa"/>
            <w:tcBorders>
              <w:left w:val="single" w:sz="4" w:space="0" w:color="000000"/>
              <w:right w:val="single" w:sz="4" w:space="0" w:color="000000"/>
            </w:tcBorders>
          </w:tcPr>
          <w:p>
            <w:pPr>
              <w:pStyle w:val="TableParagraph"/>
              <w:ind w:left="118"/>
              <w:rPr>
                <w:sz w:val="20"/>
              </w:rPr>
            </w:pPr>
            <w:r>
              <w:rPr>
                <w:spacing w:val="-2"/>
                <w:sz w:val="20"/>
              </w:rPr>
              <w:t>Strong</w:t>
            </w:r>
          </w:p>
        </w:tc>
        <w:tc>
          <w:tcPr>
            <w:tcW w:w="2721" w:type="dxa"/>
            <w:tcBorders>
              <w:left w:val="single" w:sz="4" w:space="0" w:color="000000"/>
            </w:tcBorders>
          </w:tcPr>
          <w:p>
            <w:pPr>
              <w:pStyle w:val="TableParagraph"/>
              <w:spacing w:line="249" w:lineRule="auto"/>
              <w:ind w:left="118"/>
              <w:rPr>
                <w:sz w:val="20"/>
              </w:rPr>
            </w:pPr>
            <w:r>
              <w:rPr>
                <w:sz w:val="20"/>
              </w:rPr>
              <w:t>CarenR</w:t>
            </w:r>
            <w:r>
              <w:rPr>
                <w:spacing w:val="40"/>
                <w:sz w:val="20"/>
              </w:rPr>
              <w:t> </w:t>
            </w:r>
            <w:r>
              <w:rPr>
                <w:sz w:val="20"/>
              </w:rPr>
              <w:t>rules</w:t>
            </w:r>
            <w:r>
              <w:rPr>
                <w:spacing w:val="40"/>
                <w:sz w:val="20"/>
              </w:rPr>
              <w:t> </w:t>
            </w:r>
            <w:r>
              <w:rPr>
                <w:sz w:val="20"/>
              </w:rPr>
              <w:t>are</w:t>
            </w:r>
            <w:r>
              <w:rPr>
                <w:spacing w:val="40"/>
                <w:sz w:val="20"/>
              </w:rPr>
              <w:t> </w:t>
            </w:r>
            <w:r>
              <w:rPr>
                <w:sz w:val="20"/>
              </w:rPr>
              <w:t>more</w:t>
            </w:r>
            <w:r>
              <w:rPr>
                <w:spacing w:val="40"/>
                <w:sz w:val="20"/>
              </w:rPr>
              <w:t> </w:t>
            </w:r>
            <w:r>
              <w:rPr>
                <w:sz w:val="20"/>
              </w:rPr>
              <w:t>era-contaminated in RVV</w:t>
            </w:r>
          </w:p>
        </w:tc>
      </w:tr>
      <w:tr>
        <w:trPr>
          <w:trHeight w:val="789" w:hRule="atLeast"/>
        </w:trPr>
        <w:tc>
          <w:tcPr>
            <w:tcW w:w="1887" w:type="dxa"/>
            <w:tcBorders>
              <w:right w:val="single" w:sz="4" w:space="0" w:color="000000"/>
            </w:tcBorders>
          </w:tcPr>
          <w:p>
            <w:pPr>
              <w:pStyle w:val="TableParagraph"/>
              <w:spacing w:line="249" w:lineRule="auto"/>
              <w:ind w:left="119"/>
              <w:rPr>
                <w:sz w:val="20"/>
              </w:rPr>
            </w:pPr>
            <w:r>
              <w:rPr>
                <w:spacing w:val="-4"/>
                <w:sz w:val="20"/>
              </w:rPr>
              <w:t>Climate</w:t>
            </w:r>
            <w:r>
              <w:rPr>
                <w:spacing w:val="-9"/>
                <w:sz w:val="20"/>
              </w:rPr>
              <w:t> </w:t>
            </w:r>
            <w:r>
              <w:rPr>
                <w:spacing w:val="-4"/>
                <w:sz w:val="20"/>
              </w:rPr>
              <w:t>effect</w:t>
            </w:r>
            <w:r>
              <w:rPr>
                <w:spacing w:val="-8"/>
                <w:sz w:val="20"/>
              </w:rPr>
              <w:t> </w:t>
            </w:r>
            <w:r>
              <w:rPr>
                <w:spacing w:val="-4"/>
                <w:sz w:val="20"/>
              </w:rPr>
              <w:t>within era</w:t>
            </w:r>
          </w:p>
        </w:tc>
        <w:tc>
          <w:tcPr>
            <w:tcW w:w="1778" w:type="dxa"/>
            <w:tcBorders>
              <w:left w:val="single" w:sz="4" w:space="0" w:color="000000"/>
              <w:right w:val="single" w:sz="4" w:space="0" w:color="000000"/>
            </w:tcBorders>
          </w:tcPr>
          <w:p>
            <w:pPr>
              <w:pStyle w:val="TableParagraph"/>
              <w:spacing w:line="249" w:lineRule="auto"/>
              <w:ind w:left="113" w:firstLine="4"/>
              <w:rPr>
                <w:sz w:val="20"/>
              </w:rPr>
            </w:pPr>
            <w:r>
              <w:rPr>
                <w:spacing w:val="-2"/>
                <w:sz w:val="20"/>
              </w:rPr>
              <w:t>Visible</w:t>
            </w:r>
            <w:r>
              <w:rPr>
                <w:spacing w:val="-11"/>
                <w:sz w:val="20"/>
              </w:rPr>
              <w:t> </w:t>
            </w:r>
            <w:r>
              <w:rPr>
                <w:spacing w:val="-2"/>
                <w:sz w:val="20"/>
              </w:rPr>
              <w:t>(|r|</w:t>
            </w:r>
            <w:r>
              <w:rPr>
                <w:spacing w:val="-10"/>
                <w:sz w:val="20"/>
              </w:rPr>
              <w:t> </w:t>
            </w:r>
            <w:r>
              <w:rPr>
                <w:spacing w:val="-2"/>
                <w:sz w:val="20"/>
              </w:rPr>
              <w:t>0.47</w:t>
            </w:r>
            <w:r>
              <w:rPr>
                <w:spacing w:val="-11"/>
                <w:sz w:val="20"/>
              </w:rPr>
              <w:t> </w:t>
            </w:r>
            <w:r>
              <w:rPr>
                <w:spacing w:val="-2"/>
                <w:sz w:val="20"/>
              </w:rPr>
              <w:t>sur-</w:t>
            </w:r>
            <w:r>
              <w:rPr>
                <w:sz w:val="20"/>
              </w:rPr>
              <w:t>vives LOESS)</w:t>
            </w:r>
          </w:p>
        </w:tc>
        <w:tc>
          <w:tcPr>
            <w:tcW w:w="2118" w:type="dxa"/>
            <w:tcBorders>
              <w:left w:val="single" w:sz="4" w:space="0" w:color="000000"/>
              <w:right w:val="single" w:sz="4" w:space="0" w:color="000000"/>
            </w:tcBorders>
          </w:tcPr>
          <w:p>
            <w:pPr>
              <w:pStyle w:val="TableParagraph"/>
              <w:spacing w:line="249" w:lineRule="auto"/>
              <w:ind w:left="118" w:right="83"/>
              <w:jc w:val="both"/>
              <w:rPr>
                <w:sz w:val="20"/>
              </w:rPr>
            </w:pPr>
            <w:r>
              <w:rPr>
                <w:sz w:val="20"/>
              </w:rPr>
              <w:t>Same magnitude but overwhelmed by </w:t>
            </w:r>
            <w:r>
              <w:rPr>
                <w:sz w:val="20"/>
              </w:rPr>
              <w:t>struc-tural noise</w:t>
            </w:r>
          </w:p>
        </w:tc>
        <w:tc>
          <w:tcPr>
            <w:tcW w:w="2721" w:type="dxa"/>
            <w:tcBorders>
              <w:left w:val="single" w:sz="4" w:space="0" w:color="000000"/>
            </w:tcBorders>
          </w:tcPr>
          <w:p>
            <w:pPr>
              <w:pStyle w:val="TableParagraph"/>
              <w:spacing w:line="249" w:lineRule="auto"/>
              <w:ind w:left="118"/>
              <w:rPr>
                <w:sz w:val="20"/>
              </w:rPr>
            </w:pPr>
            <w:r>
              <w:rPr>
                <w:sz w:val="20"/>
              </w:rPr>
              <w:t>Same climate signal; </w:t>
            </w:r>
            <w:r>
              <w:rPr>
                <w:sz w:val="20"/>
              </w:rPr>
              <w:t>different noise floor</w:t>
            </w:r>
          </w:p>
        </w:tc>
      </w:tr>
      <w:tr>
        <w:trPr>
          <w:trHeight w:val="588" w:hRule="atLeast"/>
        </w:trPr>
        <w:tc>
          <w:tcPr>
            <w:tcW w:w="1887" w:type="dxa"/>
            <w:tcBorders>
              <w:bottom w:val="single" w:sz="8" w:space="0" w:color="000000"/>
              <w:right w:val="single" w:sz="4" w:space="0" w:color="000000"/>
            </w:tcBorders>
          </w:tcPr>
          <w:p>
            <w:pPr>
              <w:pStyle w:val="TableParagraph"/>
              <w:ind w:left="119"/>
              <w:rPr>
                <w:sz w:val="20"/>
              </w:rPr>
            </w:pPr>
            <w:r>
              <w:rPr>
                <w:spacing w:val="-2"/>
                <w:sz w:val="20"/>
              </w:rPr>
              <w:t>CarenR performance</w:t>
            </w:r>
          </w:p>
        </w:tc>
        <w:tc>
          <w:tcPr>
            <w:tcW w:w="1778" w:type="dxa"/>
            <w:tcBorders>
              <w:left w:val="single" w:sz="4" w:space="0" w:color="000000"/>
              <w:bottom w:val="single" w:sz="8" w:space="0" w:color="000000"/>
              <w:right w:val="single" w:sz="4" w:space="0" w:color="000000"/>
            </w:tcBorders>
          </w:tcPr>
          <w:p>
            <w:pPr>
              <w:pStyle w:val="TableParagraph"/>
              <w:spacing w:line="249" w:lineRule="auto"/>
              <w:ind w:left="118"/>
              <w:rPr>
                <w:sz w:val="20"/>
              </w:rPr>
            </w:pPr>
            <w:r>
              <w:rPr>
                <w:sz w:val="20"/>
              </w:rPr>
              <w:t>3%</w:t>
            </w:r>
            <w:r>
              <w:rPr>
                <w:spacing w:val="40"/>
                <w:sz w:val="20"/>
              </w:rPr>
              <w:t> </w:t>
            </w:r>
            <w:r>
              <w:rPr>
                <w:sz w:val="20"/>
              </w:rPr>
              <w:t>gap,</w:t>
            </w:r>
            <w:r>
              <w:rPr>
                <w:spacing w:val="40"/>
                <w:sz w:val="20"/>
              </w:rPr>
              <w:t> </w:t>
            </w:r>
            <w:r>
              <w:rPr>
                <w:sz w:val="20"/>
              </w:rPr>
              <w:t>wins</w:t>
            </w:r>
            <w:r>
              <w:rPr>
                <w:spacing w:val="40"/>
                <w:sz w:val="20"/>
              </w:rPr>
              <w:t> </w:t>
            </w:r>
            <w:r>
              <w:rPr>
                <w:sz w:val="20"/>
              </w:rPr>
              <w:t>in 5/18 scenarios</w:t>
            </w:r>
          </w:p>
        </w:tc>
        <w:tc>
          <w:tcPr>
            <w:tcW w:w="2118" w:type="dxa"/>
            <w:tcBorders>
              <w:left w:val="single" w:sz="4" w:space="0" w:color="000000"/>
              <w:bottom w:val="single" w:sz="8" w:space="0" w:color="000000"/>
              <w:right w:val="single" w:sz="4" w:space="0" w:color="000000"/>
            </w:tcBorders>
          </w:tcPr>
          <w:p>
            <w:pPr>
              <w:pStyle w:val="TableParagraph"/>
              <w:spacing w:line="249" w:lineRule="auto"/>
              <w:ind w:left="118"/>
              <w:rPr>
                <w:sz w:val="20"/>
              </w:rPr>
            </w:pPr>
            <w:r>
              <w:rPr>
                <w:sz w:val="20"/>
              </w:rPr>
              <w:t>22%</w:t>
            </w:r>
            <w:r>
              <w:rPr>
                <w:spacing w:val="40"/>
                <w:sz w:val="20"/>
              </w:rPr>
              <w:t> </w:t>
            </w:r>
            <w:r>
              <w:rPr>
                <w:sz w:val="20"/>
              </w:rPr>
              <w:t>gap,</w:t>
            </w:r>
            <w:r>
              <w:rPr>
                <w:spacing w:val="80"/>
                <w:sz w:val="20"/>
              </w:rPr>
              <w:t> </w:t>
            </w:r>
            <w:r>
              <w:rPr>
                <w:sz w:val="20"/>
              </w:rPr>
              <w:t>0/16</w:t>
            </w:r>
            <w:r>
              <w:rPr>
                <w:spacing w:val="40"/>
                <w:sz w:val="20"/>
              </w:rPr>
              <w:t> </w:t>
            </w:r>
            <w:r>
              <w:rPr>
                <w:sz w:val="20"/>
              </w:rPr>
              <w:t>wins, rules harmful</w:t>
            </w:r>
          </w:p>
        </w:tc>
        <w:tc>
          <w:tcPr>
            <w:tcW w:w="2721" w:type="dxa"/>
            <w:tcBorders>
              <w:left w:val="single" w:sz="4" w:space="0" w:color="000000"/>
              <w:bottom w:val="single" w:sz="8" w:space="0" w:color="000000"/>
            </w:tcBorders>
          </w:tcPr>
          <w:p>
            <w:pPr>
              <w:pStyle w:val="TableParagraph"/>
              <w:spacing w:line="249" w:lineRule="auto"/>
              <w:ind w:left="118"/>
              <w:rPr>
                <w:sz w:val="20"/>
              </w:rPr>
            </w:pPr>
            <w:r>
              <w:rPr>
                <w:sz w:val="20"/>
              </w:rPr>
              <w:t>Structural</w:t>
            </w:r>
            <w:r>
              <w:rPr>
                <w:spacing w:val="-8"/>
                <w:sz w:val="20"/>
              </w:rPr>
              <w:t> </w:t>
            </w:r>
            <w:r>
              <w:rPr>
                <w:sz w:val="20"/>
              </w:rPr>
              <w:t>noise</w:t>
            </w:r>
            <w:r>
              <w:rPr>
                <w:spacing w:val="-8"/>
                <w:sz w:val="20"/>
              </w:rPr>
              <w:t> </w:t>
            </w:r>
            <w:r>
              <w:rPr>
                <w:sz w:val="20"/>
              </w:rPr>
              <w:t>eliminates</w:t>
            </w:r>
            <w:r>
              <w:rPr>
                <w:spacing w:val="-8"/>
                <w:sz w:val="20"/>
              </w:rPr>
              <w:t> </w:t>
            </w:r>
            <w:r>
              <w:rPr>
                <w:sz w:val="20"/>
              </w:rPr>
              <w:t>any climate advantage in RVV</w:t>
            </w:r>
          </w:p>
        </w:tc>
      </w:tr>
    </w:tbl>
    <w:p>
      <w:pPr>
        <w:pStyle w:val="BodyText"/>
        <w:rPr>
          <w:sz w:val="20"/>
        </w:rPr>
      </w:pPr>
    </w:p>
    <w:p>
      <w:pPr>
        <w:pStyle w:val="BodyText"/>
        <w:rPr>
          <w:sz w:val="20"/>
        </w:rPr>
      </w:pPr>
    </w:p>
    <w:p>
      <w:pPr>
        <w:pStyle w:val="BodyText"/>
        <w:spacing w:before="110"/>
        <w:rPr>
          <w:sz w:val="20"/>
        </w:rPr>
      </w:pPr>
    </w:p>
    <w:p>
      <w:pPr>
        <w:pStyle w:val="Heading2"/>
        <w:numPr>
          <w:ilvl w:val="1"/>
          <w:numId w:val="37"/>
        </w:numPr>
        <w:tabs>
          <w:tab w:pos="1354" w:val="left" w:leader="none"/>
        </w:tabs>
        <w:spacing w:line="240" w:lineRule="auto" w:before="0" w:after="0"/>
        <w:ind w:left="1354" w:right="0" w:hanging="645"/>
        <w:jc w:val="left"/>
      </w:pPr>
      <w:bookmarkStart w:name="6.4 Why the Walk-Forward Metric Penalise" w:id="226"/>
      <w:bookmarkEnd w:id="226"/>
      <w:r>
        <w:rPr>
          <w:b w:val="0"/>
        </w:rPr>
      </w:r>
      <w:bookmarkStart w:name="_bookmark135" w:id="227"/>
      <w:bookmarkEnd w:id="227"/>
      <w:r>
        <w:rPr>
          <w:b w:val="0"/>
        </w:rPr>
      </w:r>
      <w:r>
        <w:rPr/>
        <w:t>Why</w:t>
      </w:r>
      <w:r>
        <w:rPr>
          <w:spacing w:val="12"/>
        </w:rPr>
        <w:t> </w:t>
      </w:r>
      <w:r>
        <w:rPr/>
        <w:t>the</w:t>
      </w:r>
      <w:r>
        <w:rPr>
          <w:spacing w:val="12"/>
        </w:rPr>
        <w:t> </w:t>
      </w:r>
      <w:r>
        <w:rPr/>
        <w:t>Walk-Forward</w:t>
      </w:r>
      <w:r>
        <w:rPr>
          <w:spacing w:val="12"/>
        </w:rPr>
        <w:t> </w:t>
      </w:r>
      <w:r>
        <w:rPr/>
        <w:t>Metric</w:t>
      </w:r>
      <w:r>
        <w:rPr>
          <w:spacing w:val="12"/>
        </w:rPr>
        <w:t> </w:t>
      </w:r>
      <w:r>
        <w:rPr/>
        <w:t>Penalises</w:t>
      </w:r>
      <w:r>
        <w:rPr>
          <w:spacing w:val="12"/>
        </w:rPr>
        <w:t> </w:t>
      </w:r>
      <w:r>
        <w:rPr>
          <w:spacing w:val="-2"/>
        </w:rPr>
        <w:t>CarenR</w:t>
      </w:r>
    </w:p>
    <w:p>
      <w:pPr>
        <w:pStyle w:val="BodyText"/>
        <w:spacing w:line="312" w:lineRule="auto" w:before="313"/>
        <w:ind w:left="692" w:right="982" w:firstLine="9"/>
        <w:jc w:val="both"/>
      </w:pPr>
      <w:r>
        <w:rPr/>
        <w:t>The weighted MAE metric assigns weight proportional to test-set size. In an expanding-</w:t>
      </w:r>
      <w:r>
        <w:rPr/>
        <w:t>window design,</w:t>
      </w:r>
      <w:r>
        <w:rPr>
          <w:spacing w:val="-16"/>
        </w:rPr>
        <w:t> </w:t>
      </w:r>
      <w:r>
        <w:rPr/>
        <w:t>early</w:t>
      </w:r>
      <w:r>
        <w:rPr>
          <w:spacing w:val="-14"/>
        </w:rPr>
        <w:t> </w:t>
      </w:r>
      <w:r>
        <w:rPr/>
        <w:t>scenarios</w:t>
      </w:r>
      <w:r>
        <w:rPr>
          <w:spacing w:val="-14"/>
        </w:rPr>
        <w:t> </w:t>
      </w:r>
      <w:r>
        <w:rPr/>
        <w:t>have</w:t>
      </w:r>
      <w:r>
        <w:rPr>
          <w:spacing w:val="-13"/>
        </w:rPr>
        <w:t> </w:t>
      </w:r>
      <w:r>
        <w:rPr/>
        <w:t>the</w:t>
      </w:r>
      <w:r>
        <w:rPr>
          <w:spacing w:val="-14"/>
        </w:rPr>
        <w:t> </w:t>
      </w:r>
      <w:r>
        <w:rPr/>
        <w:t>largest</w:t>
      </w:r>
      <w:r>
        <w:rPr>
          <w:spacing w:val="-14"/>
        </w:rPr>
        <w:t> </w:t>
      </w:r>
      <w:r>
        <w:rPr/>
        <w:t>test</w:t>
      </w:r>
      <w:r>
        <w:rPr>
          <w:spacing w:val="-14"/>
        </w:rPr>
        <w:t> </w:t>
      </w:r>
      <w:r>
        <w:rPr/>
        <w:t>sets.</w:t>
      </w:r>
      <w:r>
        <w:rPr>
          <w:spacing w:val="-13"/>
        </w:rPr>
        <w:t> </w:t>
      </w:r>
      <w:r>
        <w:rPr/>
        <w:t>Scenario</w:t>
      </w:r>
      <w:r>
        <w:rPr>
          <w:spacing w:val="-14"/>
        </w:rPr>
        <w:t> </w:t>
      </w:r>
      <w:r>
        <w:rPr/>
        <w:t>1</w:t>
      </w:r>
      <w:r>
        <w:rPr>
          <w:spacing w:val="-14"/>
        </w:rPr>
        <w:t> </w:t>
      </w:r>
      <w:r>
        <w:rPr/>
        <w:t>for</w:t>
      </w:r>
      <w:r>
        <w:rPr>
          <w:spacing w:val="-14"/>
        </w:rPr>
        <w:t> </w:t>
      </w:r>
      <w:r>
        <w:rPr/>
        <w:t>RDD</w:t>
      </w:r>
      <w:r>
        <w:rPr>
          <w:spacing w:val="-13"/>
        </w:rPr>
        <w:t> </w:t>
      </w:r>
      <w:r>
        <w:rPr/>
        <w:t>covers</w:t>
      </w:r>
      <w:r>
        <w:rPr>
          <w:spacing w:val="-14"/>
        </w:rPr>
        <w:t> </w:t>
      </w:r>
      <w:r>
        <w:rPr/>
        <w:t>18</w:t>
      </w:r>
      <w:r>
        <w:rPr>
          <w:spacing w:val="-14"/>
        </w:rPr>
        <w:t> </w:t>
      </w:r>
      <w:r>
        <w:rPr/>
        <w:t>test</w:t>
      </w:r>
      <w:r>
        <w:rPr>
          <w:spacing w:val="-14"/>
        </w:rPr>
        <w:t> </w:t>
      </w:r>
      <w:r>
        <w:rPr/>
        <w:t>years;</w:t>
      </w:r>
      <w:r>
        <w:rPr>
          <w:spacing w:val="-13"/>
        </w:rPr>
        <w:t> </w:t>
      </w:r>
      <w:r>
        <w:rPr/>
        <w:t>Scenario 14 covers 5. The early scenarios are precisely those where era confound is strongest (post-1990 share 20–28%) and CarenR underperforms. The scenarios where CarenR wins (10–14) have the smallest test sets among the reliable scenarios and contribute the least to the aggregate metric.</w:t>
      </w:r>
    </w:p>
    <w:p>
      <w:pPr>
        <w:pStyle w:val="BodyText"/>
        <w:spacing w:line="312" w:lineRule="auto" w:before="11"/>
        <w:ind w:left="709" w:right="982" w:firstLine="338"/>
        <w:jc w:val="both"/>
      </w:pPr>
      <w:r>
        <w:rPr>
          <w:spacing w:val="-2"/>
        </w:rPr>
        <w:t>This</w:t>
      </w:r>
      <w:r>
        <w:rPr>
          <w:spacing w:val="-9"/>
        </w:rPr>
        <w:t> </w:t>
      </w:r>
      <w:r>
        <w:rPr>
          <w:spacing w:val="-2"/>
        </w:rPr>
        <w:t>interaction</w:t>
      </w:r>
      <w:r>
        <w:rPr>
          <w:spacing w:val="-9"/>
        </w:rPr>
        <w:t> </w:t>
      </w:r>
      <w:r>
        <w:rPr>
          <w:spacing w:val="-2"/>
        </w:rPr>
        <w:t>is</w:t>
      </w:r>
      <w:r>
        <w:rPr>
          <w:spacing w:val="-9"/>
        </w:rPr>
        <w:t> </w:t>
      </w:r>
      <w:r>
        <w:rPr>
          <w:spacing w:val="-2"/>
        </w:rPr>
        <w:t>not</w:t>
      </w:r>
      <w:r>
        <w:rPr>
          <w:spacing w:val="-9"/>
        </w:rPr>
        <w:t> </w:t>
      </w:r>
      <w:r>
        <w:rPr>
          <w:spacing w:val="-2"/>
        </w:rPr>
        <w:t>a</w:t>
      </w:r>
      <w:r>
        <w:rPr>
          <w:spacing w:val="-9"/>
        </w:rPr>
        <w:t> </w:t>
      </w:r>
      <w:r>
        <w:rPr>
          <w:spacing w:val="-2"/>
        </w:rPr>
        <w:t>deficiency</w:t>
      </w:r>
      <w:r>
        <w:rPr>
          <w:spacing w:val="-9"/>
        </w:rPr>
        <w:t> </w:t>
      </w:r>
      <w:r>
        <w:rPr>
          <w:spacing w:val="-2"/>
        </w:rPr>
        <w:t>of</w:t>
      </w:r>
      <w:r>
        <w:rPr>
          <w:spacing w:val="-9"/>
        </w:rPr>
        <w:t> </w:t>
      </w:r>
      <w:r>
        <w:rPr>
          <w:spacing w:val="-2"/>
        </w:rPr>
        <w:t>the</w:t>
      </w:r>
      <w:r>
        <w:rPr>
          <w:spacing w:val="-9"/>
        </w:rPr>
        <w:t> </w:t>
      </w:r>
      <w:r>
        <w:rPr>
          <w:spacing w:val="-2"/>
        </w:rPr>
        <w:t>metric,</w:t>
      </w:r>
      <w:r>
        <w:rPr>
          <w:spacing w:val="-9"/>
        </w:rPr>
        <w:t> </w:t>
      </w:r>
      <w:r>
        <w:rPr>
          <w:spacing w:val="-2"/>
        </w:rPr>
        <w:t>weighting</w:t>
      </w:r>
      <w:r>
        <w:rPr>
          <w:spacing w:val="-9"/>
        </w:rPr>
        <w:t> </w:t>
      </w:r>
      <w:r>
        <w:rPr>
          <w:spacing w:val="-2"/>
        </w:rPr>
        <w:t>by</w:t>
      </w:r>
      <w:r>
        <w:rPr>
          <w:spacing w:val="-9"/>
        </w:rPr>
        <w:t> </w:t>
      </w:r>
      <w:r>
        <w:rPr>
          <w:spacing w:val="-2"/>
        </w:rPr>
        <w:t>test-set</w:t>
      </w:r>
      <w:r>
        <w:rPr>
          <w:spacing w:val="-9"/>
        </w:rPr>
        <w:t> </w:t>
      </w:r>
      <w:r>
        <w:rPr>
          <w:spacing w:val="-2"/>
        </w:rPr>
        <w:t>size</w:t>
      </w:r>
      <w:r>
        <w:rPr>
          <w:spacing w:val="-9"/>
        </w:rPr>
        <w:t> </w:t>
      </w:r>
      <w:r>
        <w:rPr>
          <w:spacing w:val="-2"/>
        </w:rPr>
        <w:t>correctly</w:t>
      </w:r>
      <w:r>
        <w:rPr>
          <w:spacing w:val="-9"/>
        </w:rPr>
        <w:t> </w:t>
      </w:r>
      <w:r>
        <w:rPr>
          <w:spacing w:val="-2"/>
        </w:rPr>
        <w:t>gives</w:t>
      </w:r>
      <w:r>
        <w:rPr>
          <w:spacing w:val="-9"/>
        </w:rPr>
        <w:t> </w:t>
      </w:r>
      <w:r>
        <w:rPr>
          <w:spacing w:val="-2"/>
        </w:rPr>
        <w:t>more </w:t>
      </w:r>
      <w:r>
        <w:rPr/>
        <w:t>influence</w:t>
      </w:r>
      <w:r>
        <w:rPr>
          <w:spacing w:val="-14"/>
        </w:rPr>
        <w:t> </w:t>
      </w:r>
      <w:r>
        <w:rPr/>
        <w:t>to</w:t>
      </w:r>
      <w:r>
        <w:rPr>
          <w:spacing w:val="-14"/>
        </w:rPr>
        <w:t> </w:t>
      </w:r>
      <w:r>
        <w:rPr/>
        <w:t>estimates</w:t>
      </w:r>
      <w:r>
        <w:rPr>
          <w:spacing w:val="-14"/>
        </w:rPr>
        <w:t> </w:t>
      </w:r>
      <w:r>
        <w:rPr/>
        <w:t>based</w:t>
      </w:r>
      <w:r>
        <w:rPr>
          <w:spacing w:val="-13"/>
        </w:rPr>
        <w:t> </w:t>
      </w:r>
      <w:r>
        <w:rPr/>
        <w:t>on</w:t>
      </w:r>
      <w:r>
        <w:rPr>
          <w:spacing w:val="-14"/>
        </w:rPr>
        <w:t> </w:t>
      </w:r>
      <w:r>
        <w:rPr/>
        <w:t>more</w:t>
      </w:r>
      <w:r>
        <w:rPr>
          <w:spacing w:val="-14"/>
        </w:rPr>
        <w:t> </w:t>
      </w:r>
      <w:r>
        <w:rPr/>
        <w:t>observations.</w:t>
      </w:r>
      <w:r>
        <w:rPr>
          <w:spacing w:val="-14"/>
        </w:rPr>
        <w:t> </w:t>
      </w:r>
      <w:r>
        <w:rPr/>
        <w:t>However,</w:t>
      </w:r>
      <w:r>
        <w:rPr>
          <w:spacing w:val="-13"/>
        </w:rPr>
        <w:t> </w:t>
      </w:r>
      <w:r>
        <w:rPr/>
        <w:t>it</w:t>
      </w:r>
      <w:r>
        <w:rPr>
          <w:spacing w:val="-14"/>
        </w:rPr>
        <w:t> </w:t>
      </w:r>
      <w:r>
        <w:rPr/>
        <w:t>means</w:t>
      </w:r>
      <w:r>
        <w:rPr>
          <w:spacing w:val="-14"/>
        </w:rPr>
        <w:t> </w:t>
      </w:r>
      <w:r>
        <w:rPr/>
        <w:t>that</w:t>
      </w:r>
      <w:r>
        <w:rPr>
          <w:spacing w:val="-14"/>
        </w:rPr>
        <w:t> </w:t>
      </w:r>
      <w:r>
        <w:rPr/>
        <w:t>the</w:t>
      </w:r>
      <w:r>
        <w:rPr>
          <w:spacing w:val="-13"/>
        </w:rPr>
        <w:t> </w:t>
      </w:r>
      <w:r>
        <w:rPr/>
        <w:t>aggregate</w:t>
      </w:r>
      <w:r>
        <w:rPr>
          <w:spacing w:val="-14"/>
        </w:rPr>
        <w:t> </w:t>
      </w:r>
      <w:r>
        <w:rPr/>
        <w:t>weighted </w:t>
      </w:r>
      <w:r>
        <w:rPr>
          <w:spacing w:val="-2"/>
        </w:rPr>
        <w:t>MAE</w:t>
      </w:r>
      <w:r>
        <w:rPr>
          <w:spacing w:val="-7"/>
        </w:rPr>
        <w:t> </w:t>
      </w:r>
      <w:r>
        <w:rPr>
          <w:spacing w:val="-2"/>
        </w:rPr>
        <w:t>is</w:t>
      </w:r>
      <w:r>
        <w:rPr>
          <w:spacing w:val="-7"/>
        </w:rPr>
        <w:t> </w:t>
      </w:r>
      <w:r>
        <w:rPr>
          <w:spacing w:val="-2"/>
        </w:rPr>
        <w:t>sensitive</w:t>
      </w:r>
      <w:r>
        <w:rPr>
          <w:spacing w:val="-7"/>
        </w:rPr>
        <w:t> </w:t>
      </w:r>
      <w:r>
        <w:rPr>
          <w:spacing w:val="-2"/>
        </w:rPr>
        <w:t>to</w:t>
      </w:r>
      <w:r>
        <w:rPr>
          <w:spacing w:val="-7"/>
        </w:rPr>
        <w:t> </w:t>
      </w:r>
      <w:r>
        <w:rPr>
          <w:spacing w:val="-2"/>
        </w:rPr>
        <w:t>the</w:t>
      </w:r>
      <w:r>
        <w:rPr>
          <w:spacing w:val="-7"/>
        </w:rPr>
        <w:t> </w:t>
      </w:r>
      <w:r>
        <w:rPr>
          <w:spacing w:val="-2"/>
        </w:rPr>
        <w:t>era-composition</w:t>
      </w:r>
      <w:r>
        <w:rPr>
          <w:spacing w:val="-7"/>
        </w:rPr>
        <w:t> </w:t>
      </w:r>
      <w:r>
        <w:rPr>
          <w:spacing w:val="-2"/>
        </w:rPr>
        <w:t>structure</w:t>
      </w:r>
      <w:r>
        <w:rPr>
          <w:spacing w:val="-7"/>
        </w:rPr>
        <w:t> </w:t>
      </w:r>
      <w:r>
        <w:rPr>
          <w:spacing w:val="-2"/>
        </w:rPr>
        <w:t>of</w:t>
      </w:r>
      <w:r>
        <w:rPr>
          <w:spacing w:val="-7"/>
        </w:rPr>
        <w:t> </w:t>
      </w:r>
      <w:r>
        <w:rPr>
          <w:spacing w:val="-2"/>
        </w:rPr>
        <w:t>the</w:t>
      </w:r>
      <w:r>
        <w:rPr>
          <w:spacing w:val="-7"/>
        </w:rPr>
        <w:t> </w:t>
      </w:r>
      <w:r>
        <w:rPr>
          <w:spacing w:val="-2"/>
        </w:rPr>
        <w:t>time</w:t>
      </w:r>
      <w:r>
        <w:rPr>
          <w:spacing w:val="-7"/>
        </w:rPr>
        <w:t> </w:t>
      </w:r>
      <w:r>
        <w:rPr>
          <w:spacing w:val="-2"/>
        </w:rPr>
        <w:t>series.</w:t>
      </w:r>
      <w:r>
        <w:rPr/>
        <w:t> </w:t>
      </w:r>
      <w:r>
        <w:rPr>
          <w:spacing w:val="-2"/>
        </w:rPr>
        <w:t>A</w:t>
      </w:r>
      <w:r>
        <w:rPr>
          <w:spacing w:val="-7"/>
        </w:rPr>
        <w:t> </w:t>
      </w:r>
      <w:r>
        <w:rPr>
          <w:spacing w:val="-2"/>
        </w:rPr>
        <w:t>dataset</w:t>
      </w:r>
      <w:r>
        <w:rPr>
          <w:spacing w:val="-7"/>
        </w:rPr>
        <w:t> </w:t>
      </w:r>
      <w:r>
        <w:rPr>
          <w:spacing w:val="-2"/>
        </w:rPr>
        <w:t>in</w:t>
      </w:r>
      <w:r>
        <w:rPr>
          <w:spacing w:val="-7"/>
        </w:rPr>
        <w:t> </w:t>
      </w:r>
      <w:r>
        <w:rPr>
          <w:spacing w:val="-2"/>
        </w:rPr>
        <w:t>which</w:t>
      </w:r>
      <w:r>
        <w:rPr>
          <w:spacing w:val="-7"/>
        </w:rPr>
        <w:t> </w:t>
      </w:r>
      <w:r>
        <w:rPr>
          <w:spacing w:val="-2"/>
        </w:rPr>
        <w:t>the</w:t>
      </w:r>
      <w:r>
        <w:rPr>
          <w:spacing w:val="-7"/>
        </w:rPr>
        <w:t> </w:t>
      </w:r>
      <w:r>
        <w:rPr>
          <w:spacing w:val="-2"/>
        </w:rPr>
        <w:t>modern </w:t>
      </w:r>
      <w:r>
        <w:rPr/>
        <w:t>era</w:t>
      </w:r>
      <w:r>
        <w:rPr>
          <w:spacing w:val="-12"/>
        </w:rPr>
        <w:t> </w:t>
      </w:r>
      <w:r>
        <w:rPr/>
        <w:t>constituted</w:t>
      </w:r>
      <w:r>
        <w:rPr>
          <w:spacing w:val="-12"/>
        </w:rPr>
        <w:t> </w:t>
      </w:r>
      <w:r>
        <w:rPr/>
        <w:t>a</w:t>
      </w:r>
      <w:r>
        <w:rPr>
          <w:spacing w:val="-12"/>
        </w:rPr>
        <w:t> </w:t>
      </w:r>
      <w:r>
        <w:rPr/>
        <w:t>larger</w:t>
      </w:r>
      <w:r>
        <w:rPr>
          <w:spacing w:val="-12"/>
        </w:rPr>
        <w:t> </w:t>
      </w:r>
      <w:r>
        <w:rPr/>
        <w:t>fraction</w:t>
      </w:r>
      <w:r>
        <w:rPr>
          <w:spacing w:val="-12"/>
        </w:rPr>
        <w:t> </w:t>
      </w:r>
      <w:r>
        <w:rPr/>
        <w:t>of</w:t>
      </w:r>
      <w:r>
        <w:rPr>
          <w:spacing w:val="-12"/>
        </w:rPr>
        <w:t> </w:t>
      </w:r>
      <w:r>
        <w:rPr/>
        <w:t>the</w:t>
      </w:r>
      <w:r>
        <w:rPr>
          <w:spacing w:val="-12"/>
        </w:rPr>
        <w:t> </w:t>
      </w:r>
      <w:r>
        <w:rPr/>
        <w:t>study</w:t>
      </w:r>
      <w:r>
        <w:rPr>
          <w:spacing w:val="-12"/>
        </w:rPr>
        <w:t> </w:t>
      </w:r>
      <w:r>
        <w:rPr/>
        <w:t>period</w:t>
      </w:r>
      <w:r>
        <w:rPr>
          <w:spacing w:val="-12"/>
        </w:rPr>
        <w:t> </w:t>
      </w:r>
      <w:r>
        <w:rPr/>
        <w:t>would</w:t>
      </w:r>
      <w:r>
        <w:rPr>
          <w:spacing w:val="-12"/>
        </w:rPr>
        <w:t> </w:t>
      </w:r>
      <w:r>
        <w:rPr/>
        <w:t>allocate</w:t>
      </w:r>
      <w:r>
        <w:rPr>
          <w:spacing w:val="-12"/>
        </w:rPr>
        <w:t> </w:t>
      </w:r>
      <w:r>
        <w:rPr/>
        <w:t>more</w:t>
      </w:r>
      <w:r>
        <w:rPr>
          <w:spacing w:val="-12"/>
        </w:rPr>
        <w:t> </w:t>
      </w:r>
      <w:r>
        <w:rPr/>
        <w:t>weight</w:t>
      </w:r>
      <w:r>
        <w:rPr>
          <w:spacing w:val="-12"/>
        </w:rPr>
        <w:t> </w:t>
      </w:r>
      <w:r>
        <w:rPr/>
        <w:t>to</w:t>
      </w:r>
      <w:r>
        <w:rPr>
          <w:spacing w:val="-12"/>
        </w:rPr>
        <w:t> </w:t>
      </w:r>
      <w:r>
        <w:rPr/>
        <w:t>scenarios</w:t>
      </w:r>
      <w:r>
        <w:rPr>
          <w:spacing w:val="-12"/>
        </w:rPr>
        <w:t> </w:t>
      </w:r>
      <w:r>
        <w:rPr/>
        <w:t>where </w:t>
      </w:r>
      <w:r>
        <w:rPr>
          <w:spacing w:val="-4"/>
        </w:rPr>
        <w:t>CarenR</w:t>
      </w:r>
      <w:r>
        <w:rPr>
          <w:spacing w:val="-2"/>
        </w:rPr>
        <w:t> </w:t>
      </w:r>
      <w:r>
        <w:rPr>
          <w:spacing w:val="-4"/>
        </w:rPr>
        <w:t>is</w:t>
      </w:r>
      <w:r>
        <w:rPr>
          <w:spacing w:val="-2"/>
        </w:rPr>
        <w:t> </w:t>
      </w:r>
      <w:r>
        <w:rPr>
          <w:spacing w:val="-4"/>
        </w:rPr>
        <w:t>competitive,</w:t>
      </w:r>
      <w:r>
        <w:rPr/>
        <w:t> </w:t>
      </w:r>
      <w:r>
        <w:rPr>
          <w:spacing w:val="-4"/>
        </w:rPr>
        <w:t>potentially</w:t>
      </w:r>
      <w:r>
        <w:rPr>
          <w:spacing w:val="-2"/>
        </w:rPr>
        <w:t> </w:t>
      </w:r>
      <w:r>
        <w:rPr>
          <w:spacing w:val="-4"/>
        </w:rPr>
        <w:t>reversing</w:t>
      </w:r>
      <w:r>
        <w:rPr>
          <w:spacing w:val="-1"/>
        </w:rPr>
        <w:t> </w:t>
      </w:r>
      <w:r>
        <w:rPr>
          <w:spacing w:val="-4"/>
        </w:rPr>
        <w:t>the</w:t>
      </w:r>
      <w:r>
        <w:rPr>
          <w:spacing w:val="-2"/>
        </w:rPr>
        <w:t> </w:t>
      </w:r>
      <w:r>
        <w:rPr>
          <w:spacing w:val="-4"/>
        </w:rPr>
        <w:t>aggregate</w:t>
      </w:r>
      <w:r>
        <w:rPr>
          <w:spacing w:val="-2"/>
        </w:rPr>
        <w:t> </w:t>
      </w:r>
      <w:r>
        <w:rPr>
          <w:spacing w:val="-4"/>
        </w:rPr>
        <w:t>ranking.</w:t>
      </w:r>
      <w:r>
        <w:rPr>
          <w:spacing w:val="18"/>
        </w:rPr>
        <w:t> </w:t>
      </w:r>
      <w:r>
        <w:rPr>
          <w:spacing w:val="-4"/>
        </w:rPr>
        <w:t>As</w:t>
      </w:r>
      <w:r>
        <w:rPr>
          <w:spacing w:val="-2"/>
        </w:rPr>
        <w:t> </w:t>
      </w:r>
      <w:r>
        <w:rPr>
          <w:spacing w:val="-4"/>
        </w:rPr>
        <w:t>the</w:t>
      </w:r>
      <w:r>
        <w:rPr>
          <w:spacing w:val="-2"/>
        </w:rPr>
        <w:t> </w:t>
      </w:r>
      <w:r>
        <w:rPr>
          <w:spacing w:val="-4"/>
        </w:rPr>
        <w:t>Portuguese</w:t>
      </w:r>
      <w:r>
        <w:rPr>
          <w:spacing w:val="-1"/>
        </w:rPr>
        <w:t> </w:t>
      </w:r>
      <w:r>
        <w:rPr>
          <w:spacing w:val="-4"/>
        </w:rPr>
        <w:t>wine</w:t>
      </w:r>
      <w:r>
        <w:rPr>
          <w:spacing w:val="-2"/>
        </w:rPr>
        <w:t> </w:t>
      </w:r>
      <w:r>
        <w:rPr>
          <w:spacing w:val="-4"/>
        </w:rPr>
        <w:t>industry</w:t>
      </w:r>
    </w:p>
    <w:p>
      <w:pPr>
        <w:pStyle w:val="BodyText"/>
        <w:spacing w:after="0" w:line="312" w:lineRule="auto"/>
        <w:jc w:val="both"/>
        <w:sectPr>
          <w:headerReference w:type="default" r:id="rId101"/>
          <w:pgSz w:w="11910" w:h="16840"/>
          <w:pgMar w:header="0" w:footer="0" w:top="1060" w:bottom="280" w:left="1275" w:right="425"/>
        </w:sectPr>
      </w:pPr>
    </w:p>
    <w:p>
      <w:pPr>
        <w:pStyle w:val="BodyText"/>
      </w:pPr>
    </w:p>
    <w:p>
      <w:pPr>
        <w:pStyle w:val="BodyText"/>
        <w:spacing w:before="25"/>
      </w:pPr>
    </w:p>
    <w:p>
      <w:pPr>
        <w:pStyle w:val="BodyText"/>
        <w:spacing w:line="312" w:lineRule="auto" w:before="1"/>
        <w:ind w:left="134" w:right="1549" w:firstLine="7"/>
        <w:jc w:val="both"/>
      </w:pPr>
      <w:r>
        <w:rPr>
          <w:spacing w:val="-4"/>
        </w:rPr>
        <w:t>accumulates additional years of observation in the modern (post-1990) era, the era-balanced window </w:t>
      </w:r>
      <w:r>
        <w:rPr/>
        <w:t>would arrive earlier in the walk-forward sequence and carry more aggregate weight.</w:t>
      </w:r>
    </w:p>
    <w:p>
      <w:pPr>
        <w:pStyle w:val="BodyText"/>
        <w:spacing w:before="217"/>
      </w:pPr>
    </w:p>
    <w:p>
      <w:pPr>
        <w:pStyle w:val="Heading2"/>
        <w:numPr>
          <w:ilvl w:val="1"/>
          <w:numId w:val="37"/>
        </w:numPr>
        <w:tabs>
          <w:tab w:pos="787" w:val="left" w:leader="none"/>
        </w:tabs>
        <w:spacing w:line="240" w:lineRule="auto" w:before="1" w:after="0"/>
        <w:ind w:left="787" w:right="0" w:hanging="645"/>
        <w:jc w:val="left"/>
      </w:pPr>
      <w:bookmarkStart w:name="6.5 Structural Covariates as a Path Forw" w:id="228"/>
      <w:bookmarkEnd w:id="228"/>
      <w:r>
        <w:rPr>
          <w:b w:val="0"/>
        </w:rPr>
      </w:r>
      <w:bookmarkStart w:name="_bookmark136" w:id="229"/>
      <w:bookmarkEnd w:id="229"/>
      <w:r>
        <w:rPr>
          <w:b w:val="0"/>
        </w:rPr>
      </w:r>
      <w:r>
        <w:rPr/>
        <w:t>Structural</w:t>
      </w:r>
      <w:r>
        <w:rPr>
          <w:spacing w:val="13"/>
        </w:rPr>
        <w:t> </w:t>
      </w:r>
      <w:r>
        <w:rPr/>
        <w:t>Covariates</w:t>
      </w:r>
      <w:r>
        <w:rPr>
          <w:spacing w:val="13"/>
        </w:rPr>
        <w:t> </w:t>
      </w:r>
      <w:r>
        <w:rPr/>
        <w:t>as</w:t>
      </w:r>
      <w:r>
        <w:rPr>
          <w:spacing w:val="13"/>
        </w:rPr>
        <w:t> </w:t>
      </w:r>
      <w:r>
        <w:rPr/>
        <w:t>a</w:t>
      </w:r>
      <w:r>
        <w:rPr>
          <w:spacing w:val="13"/>
        </w:rPr>
        <w:t> </w:t>
      </w:r>
      <w:r>
        <w:rPr/>
        <w:t>Path</w:t>
      </w:r>
      <w:r>
        <w:rPr>
          <w:spacing w:val="13"/>
        </w:rPr>
        <w:t> </w:t>
      </w:r>
      <w:r>
        <w:rPr>
          <w:spacing w:val="-2"/>
        </w:rPr>
        <w:t>Forward</w:t>
      </w:r>
    </w:p>
    <w:p>
      <w:pPr>
        <w:pStyle w:val="BodyText"/>
        <w:spacing w:line="312" w:lineRule="auto" w:before="314"/>
        <w:ind w:left="136" w:right="1529" w:hanging="2"/>
        <w:jc w:val="both"/>
      </w:pPr>
      <w:r>
        <w:rPr/>
        <w:t>The analysis throughout this thesis points to a single underlying limitation: the detrending step uses time as its sole covariate, which conflates climate-driven variation with structural industry changes.</w:t>
      </w:r>
      <w:r>
        <w:rPr>
          <w:spacing w:val="40"/>
        </w:rPr>
        <w:t> </w:t>
      </w:r>
      <w:r>
        <w:rPr/>
        <w:t>The most promising methodological extension is to incorporate structural covariates, vineyard</w:t>
      </w:r>
      <w:r>
        <w:rPr>
          <w:spacing w:val="-6"/>
        </w:rPr>
        <w:t> </w:t>
      </w:r>
      <w:r>
        <w:rPr/>
        <w:t>planted</w:t>
      </w:r>
      <w:r>
        <w:rPr>
          <w:spacing w:val="-6"/>
        </w:rPr>
        <w:t> </w:t>
      </w:r>
      <w:r>
        <w:rPr/>
        <w:t>area,</w:t>
      </w:r>
      <w:r>
        <w:rPr>
          <w:spacing w:val="-6"/>
        </w:rPr>
        <w:t> </w:t>
      </w:r>
      <w:r>
        <w:rPr/>
        <w:t>number</w:t>
      </w:r>
      <w:r>
        <w:rPr>
          <w:spacing w:val="-6"/>
        </w:rPr>
        <w:t> </w:t>
      </w:r>
      <w:r>
        <w:rPr/>
        <w:t>of</w:t>
      </w:r>
      <w:r>
        <w:rPr>
          <w:spacing w:val="-6"/>
        </w:rPr>
        <w:t> </w:t>
      </w:r>
      <w:r>
        <w:rPr/>
        <w:t>certified</w:t>
      </w:r>
      <w:r>
        <w:rPr>
          <w:spacing w:val="-6"/>
        </w:rPr>
        <w:t> </w:t>
      </w:r>
      <w:r>
        <w:rPr/>
        <w:t>producers,</w:t>
      </w:r>
      <w:r>
        <w:rPr>
          <w:spacing w:val="-6"/>
        </w:rPr>
        <w:t> </w:t>
      </w:r>
      <w:r>
        <w:rPr/>
        <w:t>annual</w:t>
      </w:r>
      <w:r>
        <w:rPr>
          <w:spacing w:val="-6"/>
        </w:rPr>
        <w:t> </w:t>
      </w:r>
      <w:r>
        <w:rPr/>
        <w:t>Port</w:t>
      </w:r>
      <w:r>
        <w:rPr>
          <w:spacing w:val="-6"/>
        </w:rPr>
        <w:t> </w:t>
      </w:r>
      <w:r>
        <w:rPr/>
        <w:t>benefício</w:t>
      </w:r>
      <w:r>
        <w:rPr>
          <w:spacing w:val="-6"/>
        </w:rPr>
        <w:t> </w:t>
      </w:r>
      <w:r>
        <w:rPr/>
        <w:t>quota,</w:t>
      </w:r>
      <w:r>
        <w:rPr>
          <w:spacing w:val="-6"/>
        </w:rPr>
        <w:t> </w:t>
      </w:r>
      <w:r>
        <w:rPr/>
        <w:t>and</w:t>
      </w:r>
      <w:r>
        <w:rPr>
          <w:spacing w:val="-6"/>
        </w:rPr>
        <w:t> </w:t>
      </w:r>
      <w:r>
        <w:rPr/>
        <w:t>proportion of espalier vs. pergola training, directly into the detrending model.</w:t>
      </w:r>
    </w:p>
    <w:p>
      <w:pPr>
        <w:pStyle w:val="BodyText"/>
        <w:spacing w:before="12"/>
        <w:ind w:left="481"/>
        <w:jc w:val="both"/>
      </w:pPr>
      <w:r>
        <w:rPr/>
        <w:t>A</w:t>
      </w:r>
      <w:r>
        <w:rPr>
          <w:spacing w:val="-6"/>
        </w:rPr>
        <w:t> </w:t>
      </w:r>
      <w:r>
        <w:rPr/>
        <w:t>structural</w:t>
      </w:r>
      <w:r>
        <w:rPr>
          <w:spacing w:val="-6"/>
        </w:rPr>
        <w:t> </w:t>
      </w:r>
      <w:r>
        <w:rPr/>
        <w:t>detrending</w:t>
      </w:r>
      <w:r>
        <w:rPr>
          <w:spacing w:val="-6"/>
        </w:rPr>
        <w:t> </w:t>
      </w:r>
      <w:r>
        <w:rPr/>
        <w:t>model</w:t>
      </w:r>
      <w:r>
        <w:rPr>
          <w:spacing w:val="-6"/>
        </w:rPr>
        <w:t> </w:t>
      </w:r>
      <w:r>
        <w:rPr/>
        <w:t>of</w:t>
      </w:r>
      <w:r>
        <w:rPr>
          <w:spacing w:val="-6"/>
        </w:rPr>
        <w:t> </w:t>
      </w:r>
      <w:r>
        <w:rPr/>
        <w:t>the</w:t>
      </w:r>
      <w:r>
        <w:rPr>
          <w:spacing w:val="-6"/>
        </w:rPr>
        <w:t> </w:t>
      </w:r>
      <w:r>
        <w:rPr>
          <w:spacing w:val="-2"/>
        </w:rPr>
        <w:t>form:</w:t>
      </w:r>
    </w:p>
    <w:p>
      <w:pPr>
        <w:pStyle w:val="BodyText"/>
        <w:spacing w:before="129"/>
      </w:pPr>
    </w:p>
    <w:p>
      <w:pPr>
        <w:tabs>
          <w:tab w:pos="8242" w:val="left" w:leader="none"/>
        </w:tabs>
        <w:spacing w:before="0"/>
        <w:ind w:left="481" w:right="0" w:firstLine="2225"/>
        <w:jc w:val="left"/>
        <w:rPr>
          <w:sz w:val="22"/>
        </w:rPr>
      </w:pPr>
      <w:r>
        <w:rPr>
          <w:i/>
          <w:sz w:val="22"/>
        </w:rPr>
        <w:t>y</w:t>
      </w:r>
      <w:r>
        <w:rPr>
          <w:i/>
          <w:sz w:val="22"/>
          <w:vertAlign w:val="subscript"/>
        </w:rPr>
        <w:t>t</w:t>
      </w:r>
      <w:r>
        <w:rPr>
          <w:i/>
          <w:spacing w:val="18"/>
          <w:sz w:val="22"/>
          <w:vertAlign w:val="baseline"/>
        </w:rPr>
        <w:t> </w:t>
      </w:r>
      <w:r>
        <w:rPr>
          <w:rFonts w:ascii="Lucida Sans Unicode" w:hAnsi="Lucida Sans Unicode"/>
          <w:sz w:val="22"/>
          <w:vertAlign w:val="baseline"/>
        </w:rPr>
        <w:t>=</w:t>
      </w:r>
      <w:r>
        <w:rPr>
          <w:rFonts w:ascii="Lucida Sans Unicode" w:hAnsi="Lucida Sans Unicode"/>
          <w:spacing w:val="-18"/>
          <w:sz w:val="22"/>
          <w:vertAlign w:val="baseline"/>
        </w:rPr>
        <w:t> </w:t>
      </w:r>
      <w:r>
        <w:rPr>
          <w:i/>
          <w:sz w:val="22"/>
          <w:vertAlign w:val="baseline"/>
        </w:rPr>
        <w:t>α</w:t>
      </w:r>
      <w:r>
        <w:rPr>
          <w:i/>
          <w:spacing w:val="-4"/>
          <w:sz w:val="22"/>
          <w:vertAlign w:val="baseline"/>
        </w:rPr>
        <w:t> </w:t>
      </w:r>
      <w:r>
        <w:rPr>
          <w:rFonts w:ascii="Lucida Sans Unicode" w:hAnsi="Lucida Sans Unicode"/>
          <w:sz w:val="22"/>
          <w:vertAlign w:val="baseline"/>
        </w:rPr>
        <w:t>+</w:t>
      </w:r>
      <w:r>
        <w:rPr>
          <w:rFonts w:ascii="Lucida Sans Unicode" w:hAnsi="Lucida Sans Unicode"/>
          <w:spacing w:val="-38"/>
          <w:sz w:val="22"/>
          <w:vertAlign w:val="baseline"/>
        </w:rPr>
        <w:t> </w:t>
      </w:r>
      <w:r>
        <w:rPr>
          <w:i/>
          <w:sz w:val="22"/>
          <w:vertAlign w:val="baseline"/>
        </w:rPr>
        <w:t>β</w:t>
      </w:r>
      <w:r>
        <w:rPr>
          <w:sz w:val="22"/>
          <w:vertAlign w:val="subscript"/>
        </w:rPr>
        <w:t>1</w:t>
      </w:r>
      <w:r>
        <w:rPr>
          <w:i/>
          <w:sz w:val="22"/>
          <w:vertAlign w:val="baseline"/>
        </w:rPr>
        <w:t>t</w:t>
      </w:r>
      <w:r>
        <w:rPr>
          <w:i/>
          <w:spacing w:val="-6"/>
          <w:sz w:val="22"/>
          <w:vertAlign w:val="baseline"/>
        </w:rPr>
        <w:t> </w:t>
      </w:r>
      <w:r>
        <w:rPr>
          <w:rFonts w:ascii="Lucida Sans Unicode" w:hAnsi="Lucida Sans Unicode"/>
          <w:sz w:val="22"/>
          <w:vertAlign w:val="baseline"/>
        </w:rPr>
        <w:t>+</w:t>
      </w:r>
      <w:r>
        <w:rPr>
          <w:rFonts w:ascii="Lucida Sans Unicode" w:hAnsi="Lucida Sans Unicode"/>
          <w:spacing w:val="-38"/>
          <w:sz w:val="22"/>
          <w:vertAlign w:val="baseline"/>
        </w:rPr>
        <w:t> </w:t>
      </w:r>
      <w:r>
        <w:rPr>
          <w:i/>
          <w:sz w:val="22"/>
          <w:vertAlign w:val="baseline"/>
        </w:rPr>
        <w:t>β</w:t>
      </w:r>
      <w:r>
        <w:rPr>
          <w:sz w:val="22"/>
          <w:vertAlign w:val="subscript"/>
        </w:rPr>
        <w:t>2</w:t>
      </w:r>
      <w:r>
        <w:rPr>
          <w:spacing w:val="-19"/>
          <w:sz w:val="22"/>
          <w:vertAlign w:val="baseline"/>
        </w:rPr>
        <w:t> </w:t>
      </w:r>
      <w:r>
        <w:rPr>
          <w:sz w:val="22"/>
          <w:vertAlign w:val="baseline"/>
        </w:rPr>
        <w:t>area</w:t>
      </w:r>
      <w:r>
        <w:rPr>
          <w:i/>
          <w:sz w:val="22"/>
          <w:vertAlign w:val="subscript"/>
        </w:rPr>
        <w:t>t</w:t>
      </w:r>
      <w:r>
        <w:rPr>
          <w:i/>
          <w:sz w:val="22"/>
          <w:vertAlign w:val="baseline"/>
        </w:rPr>
        <w:t> </w:t>
      </w:r>
      <w:r>
        <w:rPr>
          <w:rFonts w:ascii="Lucida Sans Unicode" w:hAnsi="Lucida Sans Unicode"/>
          <w:sz w:val="22"/>
          <w:vertAlign w:val="baseline"/>
        </w:rPr>
        <w:t>+</w:t>
      </w:r>
      <w:r>
        <w:rPr>
          <w:rFonts w:ascii="Lucida Sans Unicode" w:hAnsi="Lucida Sans Unicode"/>
          <w:spacing w:val="-38"/>
          <w:sz w:val="22"/>
          <w:vertAlign w:val="baseline"/>
        </w:rPr>
        <w:t> </w:t>
      </w:r>
      <w:r>
        <w:rPr>
          <w:i/>
          <w:sz w:val="22"/>
          <w:vertAlign w:val="baseline"/>
        </w:rPr>
        <w:t>β</w:t>
      </w:r>
      <w:r>
        <w:rPr>
          <w:sz w:val="22"/>
          <w:vertAlign w:val="subscript"/>
        </w:rPr>
        <w:t>3</w:t>
      </w:r>
      <w:r>
        <w:rPr>
          <w:spacing w:val="-19"/>
          <w:sz w:val="22"/>
          <w:vertAlign w:val="baseline"/>
        </w:rPr>
        <w:t> </w:t>
      </w:r>
      <w:r>
        <w:rPr>
          <w:sz w:val="22"/>
          <w:vertAlign w:val="baseline"/>
        </w:rPr>
        <w:t>quota</w:t>
      </w:r>
      <w:r>
        <w:rPr>
          <w:i/>
          <w:position w:val="-5"/>
          <w:sz w:val="16"/>
          <w:vertAlign w:val="baseline"/>
        </w:rPr>
        <w:t>t</w:t>
      </w:r>
      <w:r>
        <w:rPr>
          <w:i/>
          <w:spacing w:val="15"/>
          <w:position w:val="-5"/>
          <w:sz w:val="16"/>
          <w:vertAlign w:val="baseline"/>
        </w:rPr>
        <w:t> </w:t>
      </w:r>
      <w:r>
        <w:rPr>
          <w:rFonts w:ascii="Lucida Sans Unicode" w:hAnsi="Lucida Sans Unicode"/>
          <w:sz w:val="22"/>
          <w:vertAlign w:val="baseline"/>
        </w:rPr>
        <w:t>+</w:t>
      </w:r>
      <w:r>
        <w:rPr>
          <w:rFonts w:ascii="Lucida Sans Unicode" w:hAnsi="Lucida Sans Unicode"/>
          <w:spacing w:val="-38"/>
          <w:sz w:val="22"/>
          <w:vertAlign w:val="baseline"/>
        </w:rPr>
        <w:t> </w:t>
      </w:r>
      <w:r>
        <w:rPr>
          <w:i/>
          <w:spacing w:val="-5"/>
          <w:sz w:val="22"/>
          <w:vertAlign w:val="baseline"/>
        </w:rPr>
        <w:t>ε</w:t>
      </w:r>
      <w:r>
        <w:rPr>
          <w:i/>
          <w:spacing w:val="-5"/>
          <w:sz w:val="22"/>
          <w:vertAlign w:val="subscript"/>
        </w:rPr>
        <w:t>t</w:t>
      </w:r>
      <w:r>
        <w:rPr>
          <w:i/>
          <w:sz w:val="22"/>
          <w:vertAlign w:val="baseline"/>
        </w:rPr>
        <w:tab/>
      </w:r>
      <w:r>
        <w:rPr>
          <w:spacing w:val="-2"/>
          <w:sz w:val="22"/>
          <w:vertAlign w:val="baseline"/>
        </w:rPr>
        <w:t>(6.1)</w:t>
      </w:r>
    </w:p>
    <w:p>
      <w:pPr>
        <w:pStyle w:val="BodyText"/>
        <w:spacing w:line="312" w:lineRule="auto" w:before="197"/>
        <w:ind w:left="142" w:right="1542" w:firstLine="338"/>
        <w:jc w:val="both"/>
      </w:pPr>
      <w:r>
        <w:rPr/>
        <w:t>would separate the structural production trajectory (captured by area and quota </w:t>
      </w:r>
      <w:r>
        <w:rPr/>
        <w:t>covariates) from the inter-annual climate residual (</w:t>
      </w:r>
      <w:r>
        <w:rPr>
          <w:i/>
        </w:rPr>
        <w:t>ε</w:t>
      </w:r>
      <w:r>
        <w:rPr>
          <w:i/>
          <w:vertAlign w:val="subscript"/>
        </w:rPr>
        <w:t>t</w:t>
      </w:r>
      <w:r>
        <w:rPr>
          <w:vertAlign w:val="baseline"/>
        </w:rPr>
        <w:t>), leaving a cleaner signal for CarenR to exploit.</w:t>
      </w:r>
      <w:r>
        <w:rPr>
          <w:spacing w:val="40"/>
          <w:vertAlign w:val="baseline"/>
        </w:rPr>
        <w:t> </w:t>
      </w:r>
      <w:r>
        <w:rPr>
          <w:vertAlign w:val="baseline"/>
        </w:rPr>
        <w:t>The era confound would be substantially reduced because the structural transitions that create era boundaries would be explicitly modelled rather than proxied by the time trend. This approach is </w:t>
      </w:r>
      <w:r>
        <w:rPr>
          <w:spacing w:val="-2"/>
          <w:vertAlign w:val="baseline"/>
        </w:rPr>
        <w:t>analogous</w:t>
      </w:r>
      <w:r>
        <w:rPr>
          <w:spacing w:val="-8"/>
          <w:vertAlign w:val="baseline"/>
        </w:rPr>
        <w:t> </w:t>
      </w:r>
      <w:r>
        <w:rPr>
          <w:spacing w:val="-2"/>
          <w:vertAlign w:val="baseline"/>
        </w:rPr>
        <w:t>to</w:t>
      </w:r>
      <w:r>
        <w:rPr>
          <w:spacing w:val="-8"/>
          <w:vertAlign w:val="baseline"/>
        </w:rPr>
        <w:t> </w:t>
      </w:r>
      <w:r>
        <w:rPr>
          <w:spacing w:val="-2"/>
          <w:vertAlign w:val="baseline"/>
        </w:rPr>
        <w:t>the</w:t>
      </w:r>
      <w:r>
        <w:rPr>
          <w:spacing w:val="-7"/>
          <w:vertAlign w:val="baseline"/>
        </w:rPr>
        <w:t> </w:t>
      </w:r>
      <w:r>
        <w:rPr>
          <w:spacing w:val="-2"/>
          <w:vertAlign w:val="baseline"/>
        </w:rPr>
        <w:t>use</w:t>
      </w:r>
      <w:r>
        <w:rPr>
          <w:spacing w:val="-8"/>
          <w:vertAlign w:val="baseline"/>
        </w:rPr>
        <w:t> </w:t>
      </w:r>
      <w:r>
        <w:rPr>
          <w:spacing w:val="-2"/>
          <w:vertAlign w:val="baseline"/>
        </w:rPr>
        <w:t>of</w:t>
      </w:r>
      <w:r>
        <w:rPr>
          <w:spacing w:val="-8"/>
          <w:vertAlign w:val="baseline"/>
        </w:rPr>
        <w:t> </w:t>
      </w:r>
      <w:r>
        <w:rPr>
          <w:spacing w:val="-2"/>
          <w:vertAlign w:val="baseline"/>
        </w:rPr>
        <w:t>normalised</w:t>
      </w:r>
      <w:r>
        <w:rPr>
          <w:spacing w:val="-8"/>
          <w:vertAlign w:val="baseline"/>
        </w:rPr>
        <w:t> </w:t>
      </w:r>
      <w:r>
        <w:rPr>
          <w:spacing w:val="-2"/>
          <w:vertAlign w:val="baseline"/>
        </w:rPr>
        <w:t>production</w:t>
      </w:r>
      <w:r>
        <w:rPr>
          <w:spacing w:val="-7"/>
          <w:vertAlign w:val="baseline"/>
        </w:rPr>
        <w:t> </w:t>
      </w:r>
      <w:r>
        <w:rPr>
          <w:spacing w:val="-2"/>
          <w:vertAlign w:val="baseline"/>
        </w:rPr>
        <w:t>(production</w:t>
      </w:r>
      <w:r>
        <w:rPr>
          <w:spacing w:val="-8"/>
          <w:vertAlign w:val="baseline"/>
        </w:rPr>
        <w:t> </w:t>
      </w:r>
      <w:r>
        <w:rPr>
          <w:spacing w:val="-2"/>
          <w:vertAlign w:val="baseline"/>
        </w:rPr>
        <w:t>per</w:t>
      </w:r>
      <w:r>
        <w:rPr>
          <w:spacing w:val="-8"/>
          <w:vertAlign w:val="baseline"/>
        </w:rPr>
        <w:t> </w:t>
      </w:r>
      <w:r>
        <w:rPr>
          <w:spacing w:val="-2"/>
          <w:vertAlign w:val="baseline"/>
        </w:rPr>
        <w:t>hectare</w:t>
      </w:r>
      <w:r>
        <w:rPr>
          <w:spacing w:val="-8"/>
          <w:vertAlign w:val="baseline"/>
        </w:rPr>
        <w:t> </w:t>
      </w:r>
      <w:r>
        <w:rPr>
          <w:spacing w:val="-2"/>
          <w:vertAlign w:val="baseline"/>
        </w:rPr>
        <w:t>of</w:t>
      </w:r>
      <w:r>
        <w:rPr>
          <w:spacing w:val="-8"/>
          <w:vertAlign w:val="baseline"/>
        </w:rPr>
        <w:t> </w:t>
      </w:r>
      <w:r>
        <w:rPr>
          <w:spacing w:val="-2"/>
          <w:vertAlign w:val="baseline"/>
        </w:rPr>
        <w:t>planted</w:t>
      </w:r>
      <w:r>
        <w:rPr>
          <w:spacing w:val="-7"/>
          <w:vertAlign w:val="baseline"/>
        </w:rPr>
        <w:t> </w:t>
      </w:r>
      <w:r>
        <w:rPr>
          <w:spacing w:val="-2"/>
          <w:vertAlign w:val="baseline"/>
        </w:rPr>
        <w:t>vineyard)</w:t>
      </w:r>
      <w:r>
        <w:rPr>
          <w:spacing w:val="-7"/>
          <w:vertAlign w:val="baseline"/>
        </w:rPr>
        <w:t> </w:t>
      </w:r>
      <w:r>
        <w:rPr>
          <w:spacing w:val="-2"/>
          <w:vertAlign w:val="baseline"/>
        </w:rPr>
        <w:t>in</w:t>
      </w:r>
      <w:r>
        <w:rPr>
          <w:spacing w:val="-8"/>
          <w:vertAlign w:val="baseline"/>
        </w:rPr>
        <w:t> </w:t>
      </w:r>
      <w:r>
        <w:rPr>
          <w:spacing w:val="-2"/>
          <w:vertAlign w:val="baseline"/>
        </w:rPr>
        <w:t>some </w:t>
      </w:r>
      <w:r>
        <w:rPr>
          <w:vertAlign w:val="baseline"/>
        </w:rPr>
        <w:t>agronomic studies, which removes the area effect from the production series.</w:t>
      </w:r>
    </w:p>
    <w:p>
      <w:pPr>
        <w:pStyle w:val="BodyText"/>
        <w:spacing w:line="312" w:lineRule="auto" w:before="12"/>
        <w:ind w:left="125" w:right="1549" w:firstLine="355"/>
        <w:jc w:val="both"/>
      </w:pPr>
      <w:r>
        <w:rPr/>
        <w:t>Such data are available in principle from IVV (Instituto da Vinha e do Vinho) and IVDP (Instituto</w:t>
      </w:r>
      <w:r>
        <w:rPr>
          <w:spacing w:val="-3"/>
        </w:rPr>
        <w:t> </w:t>
      </w:r>
      <w:r>
        <w:rPr/>
        <w:t>dos</w:t>
      </w:r>
      <w:r>
        <w:rPr>
          <w:spacing w:val="-3"/>
        </w:rPr>
        <w:t> </w:t>
      </w:r>
      <w:r>
        <w:rPr/>
        <w:t>Vinhos</w:t>
      </w:r>
      <w:r>
        <w:rPr>
          <w:spacing w:val="-3"/>
        </w:rPr>
        <w:t> </w:t>
      </w:r>
      <w:r>
        <w:rPr/>
        <w:t>do</w:t>
      </w:r>
      <w:r>
        <w:rPr>
          <w:spacing w:val="-3"/>
        </w:rPr>
        <w:t> </w:t>
      </w:r>
      <w:r>
        <w:rPr/>
        <w:t>Douro</w:t>
      </w:r>
      <w:r>
        <w:rPr>
          <w:spacing w:val="-3"/>
        </w:rPr>
        <w:t> </w:t>
      </w:r>
      <w:r>
        <w:rPr/>
        <w:t>e</w:t>
      </w:r>
      <w:r>
        <w:rPr>
          <w:spacing w:val="-3"/>
        </w:rPr>
        <w:t> </w:t>
      </w:r>
      <w:r>
        <w:rPr/>
        <w:t>do</w:t>
      </w:r>
      <w:r>
        <w:rPr>
          <w:spacing w:val="-3"/>
        </w:rPr>
        <w:t> </w:t>
      </w:r>
      <w:r>
        <w:rPr/>
        <w:t>Porto)</w:t>
      </w:r>
      <w:r>
        <w:rPr>
          <w:spacing w:val="-3"/>
        </w:rPr>
        <w:t> </w:t>
      </w:r>
      <w:r>
        <w:rPr/>
        <w:t>for</w:t>
      </w:r>
      <w:r>
        <w:rPr>
          <w:spacing w:val="-3"/>
        </w:rPr>
        <w:t> </w:t>
      </w:r>
      <w:r>
        <w:rPr/>
        <w:t>the</w:t>
      </w:r>
      <w:r>
        <w:rPr>
          <w:spacing w:val="-3"/>
        </w:rPr>
        <w:t> </w:t>
      </w:r>
      <w:r>
        <w:rPr/>
        <w:t>modern</w:t>
      </w:r>
      <w:r>
        <w:rPr>
          <w:spacing w:val="-3"/>
        </w:rPr>
        <w:t> </w:t>
      </w:r>
      <w:r>
        <w:rPr/>
        <w:t>period,</w:t>
      </w:r>
      <w:r>
        <w:rPr>
          <w:spacing w:val="-3"/>
        </w:rPr>
        <w:t> </w:t>
      </w:r>
      <w:r>
        <w:rPr/>
        <w:t>though</w:t>
      </w:r>
      <w:r>
        <w:rPr>
          <w:spacing w:val="-3"/>
        </w:rPr>
        <w:t> </w:t>
      </w:r>
      <w:r>
        <w:rPr/>
        <w:t>the</w:t>
      </w:r>
      <w:r>
        <w:rPr>
          <w:spacing w:val="-3"/>
        </w:rPr>
        <w:t> </w:t>
      </w:r>
      <w:r>
        <w:rPr/>
        <w:t>historical</w:t>
      </w:r>
      <w:r>
        <w:rPr>
          <w:spacing w:val="-3"/>
        </w:rPr>
        <w:t> </w:t>
      </w:r>
      <w:r>
        <w:rPr/>
        <w:t>coverage for pre-1986 years may be incomplete.</w:t>
      </w:r>
      <w:r>
        <w:rPr>
          <w:spacing w:val="40"/>
        </w:rPr>
        <w:t> </w:t>
      </w:r>
      <w:r>
        <w:rPr/>
        <w:t>Assembling a full structural covariate time series for </w:t>
      </w:r>
      <w:r>
        <w:rPr>
          <w:spacing w:val="-2"/>
        </w:rPr>
        <w:t>1934–2022</w:t>
      </w:r>
      <w:r>
        <w:rPr>
          <w:spacing w:val="-11"/>
        </w:rPr>
        <w:t> </w:t>
      </w:r>
      <w:r>
        <w:rPr>
          <w:spacing w:val="-2"/>
        </w:rPr>
        <w:t>(RDD)</w:t>
      </w:r>
      <w:r>
        <w:rPr>
          <w:spacing w:val="-11"/>
        </w:rPr>
        <w:t> </w:t>
      </w:r>
      <w:r>
        <w:rPr>
          <w:spacing w:val="-2"/>
        </w:rPr>
        <w:t>and</w:t>
      </w:r>
      <w:r>
        <w:rPr>
          <w:spacing w:val="-11"/>
        </w:rPr>
        <w:t> </w:t>
      </w:r>
      <w:r>
        <w:rPr>
          <w:spacing w:val="-2"/>
        </w:rPr>
        <w:t>1942–2021</w:t>
      </w:r>
      <w:r>
        <w:rPr>
          <w:spacing w:val="-11"/>
        </w:rPr>
        <w:t> </w:t>
      </w:r>
      <w:r>
        <w:rPr>
          <w:spacing w:val="-2"/>
        </w:rPr>
        <w:t>(RVV)</w:t>
      </w:r>
      <w:r>
        <w:rPr>
          <w:spacing w:val="-11"/>
        </w:rPr>
        <w:t> </w:t>
      </w:r>
      <w:r>
        <w:rPr>
          <w:spacing w:val="-2"/>
        </w:rPr>
        <w:t>would</w:t>
      </w:r>
      <w:r>
        <w:rPr>
          <w:spacing w:val="-11"/>
        </w:rPr>
        <w:t> </w:t>
      </w:r>
      <w:r>
        <w:rPr>
          <w:spacing w:val="-2"/>
        </w:rPr>
        <w:t>require</w:t>
      </w:r>
      <w:r>
        <w:rPr>
          <w:spacing w:val="-11"/>
        </w:rPr>
        <w:t> </w:t>
      </w:r>
      <w:r>
        <w:rPr>
          <w:spacing w:val="-2"/>
        </w:rPr>
        <w:t>archival</w:t>
      </w:r>
      <w:r>
        <w:rPr>
          <w:spacing w:val="-11"/>
        </w:rPr>
        <w:t> </w:t>
      </w:r>
      <w:r>
        <w:rPr>
          <w:spacing w:val="-2"/>
        </w:rPr>
        <w:t>research</w:t>
      </w:r>
      <w:r>
        <w:rPr>
          <w:spacing w:val="-11"/>
        </w:rPr>
        <w:t> </w:t>
      </w:r>
      <w:r>
        <w:rPr>
          <w:spacing w:val="-2"/>
        </w:rPr>
        <w:t>and</w:t>
      </w:r>
      <w:r>
        <w:rPr>
          <w:spacing w:val="-11"/>
        </w:rPr>
        <w:t> </w:t>
      </w:r>
      <w:r>
        <w:rPr>
          <w:spacing w:val="-2"/>
        </w:rPr>
        <w:t>is</w:t>
      </w:r>
      <w:r>
        <w:rPr>
          <w:spacing w:val="-11"/>
        </w:rPr>
        <w:t> </w:t>
      </w:r>
      <w:r>
        <w:rPr>
          <w:spacing w:val="-2"/>
        </w:rPr>
        <w:t>left</w:t>
      </w:r>
      <w:r>
        <w:rPr>
          <w:spacing w:val="-11"/>
        </w:rPr>
        <w:t> </w:t>
      </w:r>
      <w:r>
        <w:rPr>
          <w:spacing w:val="-2"/>
        </w:rPr>
        <w:t>as</w:t>
      </w:r>
      <w:r>
        <w:rPr>
          <w:spacing w:val="-11"/>
        </w:rPr>
        <w:t> </w:t>
      </w:r>
      <w:r>
        <w:rPr>
          <w:spacing w:val="-2"/>
        </w:rPr>
        <w:t>the</w:t>
      </w:r>
      <w:r>
        <w:rPr>
          <w:spacing w:val="-11"/>
        </w:rPr>
        <w:t> </w:t>
      </w:r>
      <w:r>
        <w:rPr>
          <w:spacing w:val="-2"/>
        </w:rPr>
        <w:t>primary </w:t>
      </w:r>
      <w:r>
        <w:rPr/>
        <w:t>recommendation for future work.</w:t>
      </w:r>
    </w:p>
    <w:p>
      <w:pPr>
        <w:pStyle w:val="BodyText"/>
        <w:spacing w:before="217"/>
      </w:pPr>
    </w:p>
    <w:p>
      <w:pPr>
        <w:pStyle w:val="Heading2"/>
        <w:numPr>
          <w:ilvl w:val="1"/>
          <w:numId w:val="37"/>
        </w:numPr>
        <w:tabs>
          <w:tab w:pos="787" w:val="left" w:leader="none"/>
        </w:tabs>
        <w:spacing w:line="240" w:lineRule="auto" w:before="0" w:after="0"/>
        <w:ind w:left="787" w:right="0" w:hanging="645"/>
        <w:jc w:val="left"/>
      </w:pPr>
      <w:bookmarkStart w:name="6.6 Relation to Prior Work" w:id="230"/>
      <w:bookmarkEnd w:id="230"/>
      <w:r>
        <w:rPr>
          <w:b w:val="0"/>
        </w:rPr>
      </w:r>
      <w:bookmarkStart w:name="_bookmark137" w:id="231"/>
      <w:bookmarkEnd w:id="231"/>
      <w:r>
        <w:rPr>
          <w:b w:val="0"/>
        </w:rPr>
      </w:r>
      <w:r>
        <w:rPr/>
        <w:t>Relation</w:t>
      </w:r>
      <w:r>
        <w:rPr>
          <w:spacing w:val="13"/>
        </w:rPr>
        <w:t> </w:t>
      </w:r>
      <w:r>
        <w:rPr/>
        <w:t>to</w:t>
      </w:r>
      <w:r>
        <w:rPr>
          <w:spacing w:val="14"/>
        </w:rPr>
        <w:t> </w:t>
      </w:r>
      <w:r>
        <w:rPr/>
        <w:t>Prior</w:t>
      </w:r>
      <w:r>
        <w:rPr>
          <w:spacing w:val="13"/>
        </w:rPr>
        <w:t> </w:t>
      </w:r>
      <w:r>
        <w:rPr>
          <w:spacing w:val="-4"/>
        </w:rPr>
        <w:t>Work</w:t>
      </w:r>
    </w:p>
    <w:p>
      <w:pPr>
        <w:pStyle w:val="BodyText"/>
        <w:spacing w:line="328" w:lineRule="exact" w:before="257"/>
        <w:ind w:left="142" w:right="1549" w:hanging="7"/>
        <w:jc w:val="both"/>
      </w:pPr>
      <w:r>
        <w:rPr/>
        <w:t>The finding that rule-based methods can discover interpretable agroclimatic patterns but fail to </w:t>
      </w:r>
      <w:r>
        <w:rPr>
          <w:spacing w:val="-2"/>
        </w:rPr>
        <w:t>outperform</w:t>
      </w:r>
      <w:r>
        <w:rPr>
          <w:spacing w:val="-4"/>
        </w:rPr>
        <w:t> </w:t>
      </w:r>
      <w:r>
        <w:rPr>
          <w:spacing w:val="-2"/>
        </w:rPr>
        <w:t>naive</w:t>
      </w:r>
      <w:r>
        <w:rPr>
          <w:spacing w:val="-4"/>
        </w:rPr>
        <w:t> </w:t>
      </w:r>
      <w:r>
        <w:rPr>
          <w:spacing w:val="-2"/>
        </w:rPr>
        <w:t>baselines</w:t>
      </w:r>
      <w:r>
        <w:rPr>
          <w:spacing w:val="-4"/>
        </w:rPr>
        <w:t> </w:t>
      </w:r>
      <w:r>
        <w:rPr>
          <w:spacing w:val="-2"/>
        </w:rPr>
        <w:t>in</w:t>
      </w:r>
      <w:r>
        <w:rPr>
          <w:spacing w:val="-4"/>
        </w:rPr>
        <w:t> </w:t>
      </w:r>
      <w:r>
        <w:rPr>
          <w:spacing w:val="-2"/>
        </w:rPr>
        <w:t>small</w:t>
      </w:r>
      <w:r>
        <w:rPr>
          <w:spacing w:val="-4"/>
        </w:rPr>
        <w:t> </w:t>
      </w:r>
      <w:r>
        <w:rPr>
          <w:spacing w:val="-2"/>
        </w:rPr>
        <w:t>samples</w:t>
      </w:r>
      <w:r>
        <w:rPr>
          <w:spacing w:val="-4"/>
        </w:rPr>
        <w:t> </w:t>
      </w:r>
      <w:r>
        <w:rPr>
          <w:spacing w:val="-2"/>
        </w:rPr>
        <w:t>is</w:t>
      </w:r>
      <w:r>
        <w:rPr>
          <w:spacing w:val="-4"/>
        </w:rPr>
        <w:t> </w:t>
      </w:r>
      <w:r>
        <w:rPr>
          <w:spacing w:val="-2"/>
        </w:rPr>
        <w:t>consistent</w:t>
      </w:r>
      <w:r>
        <w:rPr>
          <w:spacing w:val="-4"/>
        </w:rPr>
        <w:t> </w:t>
      </w:r>
      <w:r>
        <w:rPr>
          <w:spacing w:val="-2"/>
        </w:rPr>
        <w:t>with</w:t>
      </w:r>
      <w:r>
        <w:rPr>
          <w:spacing w:val="-4"/>
        </w:rPr>
        <w:t> </w:t>
      </w:r>
      <w:r>
        <w:rPr>
          <w:spacing w:val="-2"/>
        </w:rPr>
        <w:t>the</w:t>
      </w:r>
      <w:r>
        <w:rPr>
          <w:spacing w:val="-4"/>
        </w:rPr>
        <w:t> </w:t>
      </w:r>
      <w:r>
        <w:rPr>
          <w:spacing w:val="-2"/>
        </w:rPr>
        <w:t>broader</w:t>
      </w:r>
      <w:r>
        <w:rPr>
          <w:spacing w:val="-4"/>
        </w:rPr>
        <w:t> </w:t>
      </w:r>
      <w:r>
        <w:rPr>
          <w:spacing w:val="-2"/>
        </w:rPr>
        <w:t>forecasting</w:t>
      </w:r>
      <w:r>
        <w:rPr>
          <w:spacing w:val="-4"/>
        </w:rPr>
        <w:t> </w:t>
      </w:r>
      <w:r>
        <w:rPr>
          <w:spacing w:val="-2"/>
        </w:rPr>
        <w:t>literature</w:t>
      </w:r>
      <w:r>
        <w:rPr>
          <w:spacing w:val="-4"/>
        </w:rPr>
        <w:t> </w:t>
      </w:r>
      <w:r>
        <w:rPr>
          <w:spacing w:val="-2"/>
        </w:rPr>
        <w:t>on </w:t>
      </w:r>
      <w:r>
        <w:rPr/>
        <w:t>agricultural</w:t>
      </w:r>
      <w:r>
        <w:rPr>
          <w:spacing w:val="-1"/>
        </w:rPr>
        <w:t> </w:t>
      </w:r>
      <w:r>
        <w:rPr/>
        <w:t>yield</w:t>
      </w:r>
      <w:r>
        <w:rPr>
          <w:spacing w:val="-1"/>
        </w:rPr>
        <w:t> </w:t>
      </w:r>
      <w:r>
        <w:rPr/>
        <w:t>prediction. Fraga</w:t>
      </w:r>
      <w:r>
        <w:rPr>
          <w:spacing w:val="-1"/>
        </w:rPr>
        <w:t> </w:t>
      </w:r>
      <w:r>
        <w:rPr/>
        <w:t>et</w:t>
      </w:r>
      <w:r>
        <w:rPr>
          <w:spacing w:val="-1"/>
        </w:rPr>
        <w:t> </w:t>
      </w:r>
      <w:r>
        <w:rPr/>
        <w:t>al. (2012,</w:t>
      </w:r>
      <w:r>
        <w:rPr>
          <w:spacing w:val="-1"/>
        </w:rPr>
        <w:t> </w:t>
      </w:r>
      <w:r>
        <w:rPr/>
        <w:t>2014)</w:t>
      </w:r>
      <w:r>
        <w:rPr>
          <w:spacing w:val="-1"/>
        </w:rPr>
        <w:t> </w:t>
      </w:r>
      <w:r>
        <w:rPr/>
        <w:t>demonstrated</w:t>
      </w:r>
      <w:r>
        <w:rPr>
          <w:spacing w:val="-1"/>
        </w:rPr>
        <w:t> </w:t>
      </w:r>
      <w:r>
        <w:rPr/>
        <w:t>that</w:t>
      </w:r>
      <w:r>
        <w:rPr>
          <w:spacing w:val="-1"/>
        </w:rPr>
        <w:t> </w:t>
      </w:r>
      <w:r>
        <w:rPr/>
        <w:t>climate</w:t>
      </w:r>
      <w:r>
        <w:rPr>
          <w:spacing w:val="-1"/>
        </w:rPr>
        <w:t> </w:t>
      </w:r>
      <w:r>
        <w:rPr/>
        <w:t>indices</w:t>
      </w:r>
      <w:r>
        <w:rPr>
          <w:spacing w:val="-1"/>
        </w:rPr>
        <w:t> </w:t>
      </w:r>
      <w:r>
        <w:rPr/>
        <w:t>derived from</w:t>
      </w:r>
      <w:r>
        <w:rPr>
          <w:spacing w:val="-12"/>
        </w:rPr>
        <w:t> </w:t>
      </w:r>
      <w:r>
        <w:rPr/>
        <w:t>the</w:t>
      </w:r>
      <w:r>
        <w:rPr>
          <w:spacing w:val="-12"/>
        </w:rPr>
        <w:t> </w:t>
      </w:r>
      <w:r>
        <w:rPr/>
        <w:t>growing</w:t>
      </w:r>
      <w:r>
        <w:rPr>
          <w:spacing w:val="-12"/>
        </w:rPr>
        <w:t> </w:t>
      </w:r>
      <w:r>
        <w:rPr/>
        <w:t>season</w:t>
      </w:r>
      <w:r>
        <w:rPr>
          <w:spacing w:val="-12"/>
        </w:rPr>
        <w:t> </w:t>
      </w:r>
      <w:r>
        <w:rPr/>
        <w:t>are</w:t>
      </w:r>
      <w:r>
        <w:rPr>
          <w:spacing w:val="-12"/>
        </w:rPr>
        <w:t> </w:t>
      </w:r>
      <w:r>
        <w:rPr/>
        <w:t>correlated</w:t>
      </w:r>
      <w:r>
        <w:rPr>
          <w:spacing w:val="-12"/>
        </w:rPr>
        <w:t> </w:t>
      </w:r>
      <w:r>
        <w:rPr/>
        <w:t>with</w:t>
      </w:r>
      <w:r>
        <w:rPr>
          <w:spacing w:val="-12"/>
        </w:rPr>
        <w:t> </w:t>
      </w:r>
      <w:r>
        <w:rPr/>
        <w:t>wine</w:t>
      </w:r>
      <w:r>
        <w:rPr>
          <w:spacing w:val="-12"/>
        </w:rPr>
        <w:t> </w:t>
      </w:r>
      <w:r>
        <w:rPr/>
        <w:t>quality</w:t>
      </w:r>
      <w:r>
        <w:rPr>
          <w:spacing w:val="-12"/>
        </w:rPr>
        <w:t> </w:t>
      </w:r>
      <w:r>
        <w:rPr/>
        <w:t>and</w:t>
      </w:r>
      <w:r>
        <w:rPr>
          <w:spacing w:val="-12"/>
        </w:rPr>
        <w:t> </w:t>
      </w:r>
      <w:r>
        <w:rPr/>
        <w:t>quantity</w:t>
      </w:r>
      <w:r>
        <w:rPr>
          <w:spacing w:val="-12"/>
        </w:rPr>
        <w:t> </w:t>
      </w:r>
      <w:r>
        <w:rPr/>
        <w:t>in</w:t>
      </w:r>
      <w:r>
        <w:rPr>
          <w:spacing w:val="-12"/>
        </w:rPr>
        <w:t> </w:t>
      </w:r>
      <w:r>
        <w:rPr/>
        <w:t>Portuguese</w:t>
      </w:r>
      <w:r>
        <w:rPr>
          <w:spacing w:val="-12"/>
        </w:rPr>
        <w:t> </w:t>
      </w:r>
      <w:r>
        <w:rPr/>
        <w:t>regions,</w:t>
      </w:r>
      <w:r>
        <w:rPr>
          <w:spacing w:val="-12"/>
        </w:rPr>
        <w:t> </w:t>
      </w:r>
      <w:r>
        <w:rPr/>
        <w:t>with predictive R</w:t>
      </w:r>
      <w:r>
        <w:rPr>
          <w:vertAlign w:val="superscript"/>
        </w:rPr>
        <w:t>2</w:t>
      </w:r>
      <w:r>
        <w:rPr>
          <w:vertAlign w:val="baseline"/>
        </w:rPr>
        <w:t> values typically in the 0.35–0.55 range for regional aggregates.</w:t>
      </w:r>
      <w:r>
        <w:rPr>
          <w:spacing w:val="40"/>
          <w:vertAlign w:val="baseline"/>
        </w:rPr>
        <w:t> </w:t>
      </w:r>
      <w:r>
        <w:rPr>
          <w:vertAlign w:val="baseline"/>
        </w:rPr>
        <w:t>This is broadly consistent</w:t>
      </w:r>
      <w:r>
        <w:rPr>
          <w:spacing w:val="-14"/>
          <w:vertAlign w:val="baseline"/>
        </w:rPr>
        <w:t> </w:t>
      </w:r>
      <w:r>
        <w:rPr>
          <w:vertAlign w:val="baseline"/>
        </w:rPr>
        <w:t>with</w:t>
      </w:r>
      <w:r>
        <w:rPr>
          <w:spacing w:val="-14"/>
          <w:vertAlign w:val="baseline"/>
        </w:rPr>
        <w:t> </w:t>
      </w:r>
      <w:r>
        <w:rPr>
          <w:vertAlign w:val="baseline"/>
        </w:rPr>
        <w:t>the</w:t>
      </w:r>
      <w:r>
        <w:rPr>
          <w:spacing w:val="-14"/>
          <w:vertAlign w:val="baseline"/>
        </w:rPr>
        <w:t> </w:t>
      </w:r>
      <w:r>
        <w:rPr>
          <w:vertAlign w:val="baseline"/>
        </w:rPr>
        <w:t>|r|</w:t>
      </w:r>
      <w:r>
        <w:rPr>
          <w:spacing w:val="-13"/>
          <w:vertAlign w:val="baseline"/>
        </w:rPr>
        <w:t> </w:t>
      </w:r>
      <w:r>
        <w:rPr>
          <w:rFonts w:ascii="Meiryo UI" w:hAnsi="Meiryo UI"/>
          <w:i/>
          <w:vertAlign w:val="baseline"/>
        </w:rPr>
        <w:t>≈</w:t>
      </w:r>
      <w:r>
        <w:rPr>
          <w:rFonts w:ascii="Meiryo UI" w:hAnsi="Meiryo UI"/>
          <w:i/>
          <w:spacing w:val="-19"/>
          <w:vertAlign w:val="baseline"/>
        </w:rPr>
        <w:t> </w:t>
      </w:r>
      <w:r>
        <w:rPr>
          <w:vertAlign w:val="baseline"/>
        </w:rPr>
        <w:t>0.47</w:t>
      </w:r>
      <w:r>
        <w:rPr>
          <w:spacing w:val="-14"/>
          <w:vertAlign w:val="baseline"/>
        </w:rPr>
        <w:t> </w:t>
      </w:r>
      <w:r>
        <w:rPr>
          <w:vertAlign w:val="baseline"/>
        </w:rPr>
        <w:t>observed</w:t>
      </w:r>
      <w:r>
        <w:rPr>
          <w:spacing w:val="-14"/>
          <w:vertAlign w:val="baseline"/>
        </w:rPr>
        <w:t> </w:t>
      </w:r>
      <w:r>
        <w:rPr>
          <w:vertAlign w:val="baseline"/>
        </w:rPr>
        <w:t>here,</w:t>
      </w:r>
      <w:r>
        <w:rPr>
          <w:spacing w:val="-13"/>
          <w:vertAlign w:val="baseline"/>
        </w:rPr>
        <w:t> </w:t>
      </w:r>
      <w:r>
        <w:rPr>
          <w:vertAlign w:val="baseline"/>
        </w:rPr>
        <w:t>suggesting</w:t>
      </w:r>
      <w:r>
        <w:rPr>
          <w:spacing w:val="-14"/>
          <w:vertAlign w:val="baseline"/>
        </w:rPr>
        <w:t> </w:t>
      </w:r>
      <w:r>
        <w:rPr>
          <w:vertAlign w:val="baseline"/>
        </w:rPr>
        <w:t>that</w:t>
      </w:r>
      <w:r>
        <w:rPr>
          <w:spacing w:val="-14"/>
          <w:vertAlign w:val="baseline"/>
        </w:rPr>
        <w:t> </w:t>
      </w:r>
      <w:r>
        <w:rPr>
          <w:vertAlign w:val="baseline"/>
        </w:rPr>
        <w:t>the</w:t>
      </w:r>
      <w:r>
        <w:rPr>
          <w:spacing w:val="-14"/>
          <w:vertAlign w:val="baseline"/>
        </w:rPr>
        <w:t> </w:t>
      </w:r>
      <w:r>
        <w:rPr>
          <w:vertAlign w:val="baseline"/>
        </w:rPr>
        <w:t>signal</w:t>
      </w:r>
      <w:r>
        <w:rPr>
          <w:spacing w:val="-13"/>
          <w:vertAlign w:val="baseline"/>
        </w:rPr>
        <w:t> </w:t>
      </w:r>
      <w:r>
        <w:rPr>
          <w:vertAlign w:val="baseline"/>
        </w:rPr>
        <w:t>level</w:t>
      </w:r>
      <w:r>
        <w:rPr>
          <w:spacing w:val="-14"/>
          <w:vertAlign w:val="baseline"/>
        </w:rPr>
        <w:t> </w:t>
      </w:r>
      <w:r>
        <w:rPr>
          <w:vertAlign w:val="baseline"/>
        </w:rPr>
        <w:t>is</w:t>
      </w:r>
      <w:r>
        <w:rPr>
          <w:spacing w:val="-14"/>
          <w:vertAlign w:val="baseline"/>
        </w:rPr>
        <w:t> </w:t>
      </w:r>
      <w:r>
        <w:rPr>
          <w:vertAlign w:val="baseline"/>
        </w:rPr>
        <w:t>an</w:t>
      </w:r>
      <w:r>
        <w:rPr>
          <w:spacing w:val="-14"/>
          <w:vertAlign w:val="baseline"/>
        </w:rPr>
        <w:t> </w:t>
      </w:r>
      <w:r>
        <w:rPr>
          <w:vertAlign w:val="baseline"/>
        </w:rPr>
        <w:t>intrinsic</w:t>
      </w:r>
      <w:r>
        <w:rPr>
          <w:spacing w:val="-13"/>
          <w:vertAlign w:val="baseline"/>
        </w:rPr>
        <w:t> </w:t>
      </w:r>
      <w:r>
        <w:rPr>
          <w:vertAlign w:val="baseline"/>
        </w:rPr>
        <w:t>property of the system rather than a limitation of the current feature set.</w:t>
      </w:r>
    </w:p>
    <w:p>
      <w:pPr>
        <w:pStyle w:val="BodyText"/>
        <w:spacing w:line="312" w:lineRule="auto" w:before="75"/>
        <w:ind w:left="142" w:right="1557" w:firstLine="338"/>
        <w:jc w:val="both"/>
      </w:pPr>
      <w:r>
        <w:rPr/>
        <w:t>The two-decision framing proposed in this thesis offers a more precise diagnostic than the summary “model beats baseline or not.” Decomposing prediction error into trend quality and climate signal extraction pinpoints where the bottleneck lies: in this case, Decision 1 (structural </w:t>
      </w:r>
      <w:r>
        <w:rPr>
          <w:spacing w:val="-2"/>
        </w:rPr>
        <w:t>detrending)</w:t>
      </w:r>
      <w:r>
        <w:rPr>
          <w:spacing w:val="-9"/>
        </w:rPr>
        <w:t> </w:t>
      </w:r>
      <w:r>
        <w:rPr>
          <w:spacing w:val="-2"/>
        </w:rPr>
        <w:t>rather</w:t>
      </w:r>
      <w:r>
        <w:rPr>
          <w:spacing w:val="-9"/>
        </w:rPr>
        <w:t> </w:t>
      </w:r>
      <w:r>
        <w:rPr>
          <w:spacing w:val="-2"/>
        </w:rPr>
        <w:t>than</w:t>
      </w:r>
      <w:r>
        <w:rPr>
          <w:spacing w:val="-9"/>
        </w:rPr>
        <w:t> </w:t>
      </w:r>
      <w:r>
        <w:rPr>
          <w:spacing w:val="-2"/>
        </w:rPr>
        <w:t>Decision</w:t>
      </w:r>
      <w:r>
        <w:rPr>
          <w:spacing w:val="-9"/>
        </w:rPr>
        <w:t> </w:t>
      </w:r>
      <w:r>
        <w:rPr>
          <w:spacing w:val="-2"/>
        </w:rPr>
        <w:t>2,</w:t>
      </w:r>
      <w:r>
        <w:rPr>
          <w:spacing w:val="-8"/>
        </w:rPr>
        <w:t> </w:t>
      </w:r>
      <w:r>
        <w:rPr>
          <w:spacing w:val="-2"/>
        </w:rPr>
        <w:t>given</w:t>
      </w:r>
      <w:r>
        <w:rPr>
          <w:spacing w:val="-9"/>
        </w:rPr>
        <w:t> </w:t>
      </w:r>
      <w:r>
        <w:rPr>
          <w:spacing w:val="-2"/>
        </w:rPr>
        <w:t>that</w:t>
      </w:r>
      <w:r>
        <w:rPr>
          <w:spacing w:val="-9"/>
        </w:rPr>
        <w:t> </w:t>
      </w:r>
      <w:r>
        <w:rPr>
          <w:spacing w:val="-2"/>
        </w:rPr>
        <w:t>the</w:t>
      </w:r>
      <w:r>
        <w:rPr>
          <w:spacing w:val="-9"/>
        </w:rPr>
        <w:t> </w:t>
      </w:r>
      <w:r>
        <w:rPr>
          <w:spacing w:val="-2"/>
        </w:rPr>
        <w:t>rule-learning</w:t>
      </w:r>
      <w:r>
        <w:rPr>
          <w:spacing w:val="-9"/>
        </w:rPr>
        <w:t> </w:t>
      </w:r>
      <w:r>
        <w:rPr>
          <w:spacing w:val="-2"/>
        </w:rPr>
        <w:t>step</w:t>
      </w:r>
      <w:r>
        <w:rPr>
          <w:spacing w:val="-9"/>
        </w:rPr>
        <w:t> </w:t>
      </w:r>
      <w:r>
        <w:rPr>
          <w:spacing w:val="-2"/>
        </w:rPr>
        <w:t>already</w:t>
      </w:r>
      <w:r>
        <w:rPr>
          <w:spacing w:val="-9"/>
        </w:rPr>
        <w:t> </w:t>
      </w:r>
      <w:r>
        <w:rPr>
          <w:spacing w:val="-2"/>
        </w:rPr>
        <w:t>approaches</w:t>
      </w:r>
      <w:r>
        <w:rPr>
          <w:spacing w:val="-9"/>
        </w:rPr>
        <w:t> </w:t>
      </w:r>
      <w:r>
        <w:rPr>
          <w:spacing w:val="-2"/>
        </w:rPr>
        <w:t>the</w:t>
      </w:r>
      <w:r>
        <w:rPr>
          <w:spacing w:val="-9"/>
        </w:rPr>
        <w:t> </w:t>
      </w:r>
      <w:r>
        <w:rPr>
          <w:spacing w:val="-2"/>
        </w:rPr>
        <w:t>limit</w:t>
      </w:r>
      <w:r>
        <w:rPr>
          <w:spacing w:val="-9"/>
        </w:rPr>
        <w:t> </w:t>
      </w:r>
      <w:r>
        <w:rPr>
          <w:spacing w:val="-2"/>
        </w:rPr>
        <w:t>set </w:t>
      </w:r>
      <w:r>
        <w:rPr/>
        <w:t>by the available climate signal.</w:t>
      </w:r>
    </w:p>
    <w:p>
      <w:pPr>
        <w:pStyle w:val="BodyText"/>
        <w:spacing w:after="0" w:line="312" w:lineRule="auto"/>
        <w:jc w:val="both"/>
        <w:sectPr>
          <w:headerReference w:type="even" r:id="rId102"/>
          <w:headerReference w:type="default" r:id="rId103"/>
          <w:pgSz w:w="11910" w:h="16840"/>
          <w:pgMar w:header="1160" w:footer="0" w:top="1420" w:bottom="280" w:left="1275" w:right="425"/>
          <w:pgNumType w:start="72"/>
        </w:sectPr>
      </w:pPr>
    </w:p>
    <w:p>
      <w:pPr>
        <w:pStyle w:val="BodyText"/>
        <w:spacing w:before="153"/>
        <w:rPr>
          <w:sz w:val="28"/>
        </w:rPr>
      </w:pPr>
    </w:p>
    <w:p>
      <w:pPr>
        <w:pStyle w:val="Heading2"/>
        <w:numPr>
          <w:ilvl w:val="1"/>
          <w:numId w:val="37"/>
        </w:numPr>
        <w:tabs>
          <w:tab w:pos="1354" w:val="left" w:leader="none"/>
        </w:tabs>
        <w:spacing w:line="240" w:lineRule="auto" w:before="1" w:after="0"/>
        <w:ind w:left="1354" w:right="0" w:hanging="645"/>
        <w:jc w:val="left"/>
      </w:pPr>
      <w:bookmarkStart w:name="6.7 Experimental Design Decisions and Me" w:id="232"/>
      <w:bookmarkEnd w:id="232"/>
      <w:r>
        <w:rPr>
          <w:b w:val="0"/>
        </w:rPr>
      </w:r>
      <w:bookmarkStart w:name="_bookmark138" w:id="233"/>
      <w:bookmarkEnd w:id="233"/>
      <w:r>
        <w:rPr>
          <w:b w:val="0"/>
        </w:rPr>
      </w:r>
      <w:r>
        <w:rPr/>
        <w:t>Experimental</w:t>
      </w:r>
      <w:r>
        <w:rPr>
          <w:spacing w:val="24"/>
        </w:rPr>
        <w:t> </w:t>
      </w:r>
      <w:r>
        <w:rPr/>
        <w:t>Design</w:t>
      </w:r>
      <w:r>
        <w:rPr>
          <w:spacing w:val="24"/>
        </w:rPr>
        <w:t> </w:t>
      </w:r>
      <w:r>
        <w:rPr/>
        <w:t>Decisions</w:t>
      </w:r>
      <w:r>
        <w:rPr>
          <w:spacing w:val="25"/>
        </w:rPr>
        <w:t> </w:t>
      </w:r>
      <w:r>
        <w:rPr/>
        <w:t>and</w:t>
      </w:r>
      <w:r>
        <w:rPr>
          <w:spacing w:val="24"/>
        </w:rPr>
        <w:t> </w:t>
      </w:r>
      <w:r>
        <w:rPr/>
        <w:t>Methodological</w:t>
      </w:r>
      <w:r>
        <w:rPr>
          <w:spacing w:val="25"/>
        </w:rPr>
        <w:t> </w:t>
      </w:r>
      <w:r>
        <w:rPr>
          <w:spacing w:val="-2"/>
        </w:rPr>
        <w:t>Evolution</w:t>
      </w:r>
    </w:p>
    <w:p>
      <w:pPr>
        <w:pStyle w:val="BodyText"/>
        <w:spacing w:line="312" w:lineRule="auto" w:before="314"/>
        <w:ind w:left="709" w:right="952" w:hanging="7"/>
        <w:jc w:val="both"/>
      </w:pPr>
      <w:r>
        <w:rPr>
          <w:spacing w:val="-4"/>
        </w:rPr>
        <w:t>The</w:t>
      </w:r>
      <w:r>
        <w:rPr>
          <w:spacing w:val="-5"/>
        </w:rPr>
        <w:t> </w:t>
      </w:r>
      <w:r>
        <w:rPr>
          <w:spacing w:val="-4"/>
        </w:rPr>
        <w:t>final</w:t>
      </w:r>
      <w:r>
        <w:rPr>
          <w:spacing w:val="-5"/>
        </w:rPr>
        <w:t> </w:t>
      </w:r>
      <w:r>
        <w:rPr>
          <w:spacing w:val="-4"/>
        </w:rPr>
        <w:t>pipeline</w:t>
      </w:r>
      <w:r>
        <w:rPr>
          <w:spacing w:val="-5"/>
        </w:rPr>
        <w:t> </w:t>
      </w:r>
      <w:r>
        <w:rPr>
          <w:spacing w:val="-4"/>
        </w:rPr>
        <w:t>described</w:t>
      </w:r>
      <w:r>
        <w:rPr>
          <w:spacing w:val="-5"/>
        </w:rPr>
        <w:t> </w:t>
      </w:r>
      <w:r>
        <w:rPr>
          <w:spacing w:val="-4"/>
        </w:rPr>
        <w:t>in</w:t>
      </w:r>
      <w:r>
        <w:rPr>
          <w:spacing w:val="-5"/>
        </w:rPr>
        <w:t> </w:t>
      </w:r>
      <w:r>
        <w:rPr>
          <w:spacing w:val="-4"/>
        </w:rPr>
        <w:t>Chapter</w:t>
      </w:r>
      <w:r>
        <w:rPr>
          <w:spacing w:val="-5"/>
        </w:rPr>
        <w:t> </w:t>
      </w:r>
      <w:hyperlink w:history="true" w:anchor="_bookmark28">
        <w:r>
          <w:rPr>
            <w:color w:val="8B2C18"/>
            <w:spacing w:val="-4"/>
          </w:rPr>
          <w:t>3</w:t>
        </w:r>
      </w:hyperlink>
      <w:r>
        <w:rPr>
          <w:color w:val="8B2C18"/>
          <w:spacing w:val="-5"/>
        </w:rPr>
        <w:t> </w:t>
      </w:r>
      <w:r>
        <w:rPr>
          <w:spacing w:val="-4"/>
        </w:rPr>
        <w:t>represents</w:t>
      </w:r>
      <w:r>
        <w:rPr>
          <w:spacing w:val="-5"/>
        </w:rPr>
        <w:t> </w:t>
      </w:r>
      <w:r>
        <w:rPr>
          <w:spacing w:val="-4"/>
        </w:rPr>
        <w:t>the</w:t>
      </w:r>
      <w:r>
        <w:rPr>
          <w:spacing w:val="-5"/>
        </w:rPr>
        <w:t> </w:t>
      </w:r>
      <w:r>
        <w:rPr>
          <w:spacing w:val="-4"/>
        </w:rPr>
        <w:t>outcome</w:t>
      </w:r>
      <w:r>
        <w:rPr>
          <w:spacing w:val="-5"/>
        </w:rPr>
        <w:t> </w:t>
      </w:r>
      <w:r>
        <w:rPr>
          <w:spacing w:val="-4"/>
        </w:rPr>
        <w:t>of</w:t>
      </w:r>
      <w:r>
        <w:rPr>
          <w:spacing w:val="-5"/>
        </w:rPr>
        <w:t> </w:t>
      </w:r>
      <w:r>
        <w:rPr>
          <w:spacing w:val="-4"/>
        </w:rPr>
        <w:t>an</w:t>
      </w:r>
      <w:r>
        <w:rPr>
          <w:spacing w:val="-5"/>
        </w:rPr>
        <w:t> </w:t>
      </w:r>
      <w:r>
        <w:rPr>
          <w:spacing w:val="-4"/>
        </w:rPr>
        <w:t>iterative</w:t>
      </w:r>
      <w:r>
        <w:rPr>
          <w:spacing w:val="-5"/>
        </w:rPr>
        <w:t> </w:t>
      </w:r>
      <w:r>
        <w:rPr>
          <w:spacing w:val="-4"/>
        </w:rPr>
        <w:t>development</w:t>
      </w:r>
      <w:r>
        <w:rPr>
          <w:spacing w:val="-5"/>
        </w:rPr>
        <w:t> </w:t>
      </w:r>
      <w:r>
        <w:rPr>
          <w:spacing w:val="-4"/>
        </w:rPr>
        <w:t>process. Several design decisions were made in response to problems discovered during exploratory analysis, </w:t>
      </w:r>
      <w:r>
        <w:rPr/>
        <w:t>and</w:t>
      </w:r>
      <w:r>
        <w:rPr>
          <w:spacing w:val="-2"/>
        </w:rPr>
        <w:t> </w:t>
      </w:r>
      <w:r>
        <w:rPr/>
        <w:t>documenting</w:t>
      </w:r>
      <w:r>
        <w:rPr>
          <w:spacing w:val="-2"/>
        </w:rPr>
        <w:t> </w:t>
      </w:r>
      <w:r>
        <w:rPr/>
        <w:t>these</w:t>
      </w:r>
      <w:r>
        <w:rPr>
          <w:spacing w:val="-2"/>
        </w:rPr>
        <w:t> </w:t>
      </w:r>
      <w:r>
        <w:rPr/>
        <w:t>decisions</w:t>
      </w:r>
      <w:r>
        <w:rPr>
          <w:spacing w:val="-2"/>
        </w:rPr>
        <w:t> </w:t>
      </w:r>
      <w:r>
        <w:rPr/>
        <w:t>is</w:t>
      </w:r>
      <w:r>
        <w:rPr>
          <w:spacing w:val="-2"/>
        </w:rPr>
        <w:t> </w:t>
      </w:r>
      <w:r>
        <w:rPr/>
        <w:t>both</w:t>
      </w:r>
      <w:r>
        <w:rPr>
          <w:spacing w:val="-2"/>
        </w:rPr>
        <w:t> </w:t>
      </w:r>
      <w:r>
        <w:rPr/>
        <w:t>methodologically</w:t>
      </w:r>
      <w:r>
        <w:rPr>
          <w:spacing w:val="-2"/>
        </w:rPr>
        <w:t> </w:t>
      </w:r>
      <w:r>
        <w:rPr/>
        <w:t>honest</w:t>
      </w:r>
      <w:r>
        <w:rPr>
          <w:spacing w:val="-2"/>
        </w:rPr>
        <w:t> </w:t>
      </w:r>
      <w:r>
        <w:rPr/>
        <w:t>and</w:t>
      </w:r>
      <w:r>
        <w:rPr>
          <w:spacing w:val="-2"/>
        </w:rPr>
        <w:t> </w:t>
      </w:r>
      <w:r>
        <w:rPr/>
        <w:t>practically</w:t>
      </w:r>
      <w:r>
        <w:rPr>
          <w:spacing w:val="-2"/>
        </w:rPr>
        <w:t> </w:t>
      </w:r>
      <w:r>
        <w:rPr/>
        <w:t>informative</w:t>
      </w:r>
      <w:r>
        <w:rPr>
          <w:spacing w:val="-2"/>
        </w:rPr>
        <w:t> </w:t>
      </w:r>
      <w:r>
        <w:rPr/>
        <w:t>for future researchers working on similar problems.</w:t>
      </w:r>
    </w:p>
    <w:p>
      <w:pPr>
        <w:pStyle w:val="BodyText"/>
        <w:spacing w:before="134"/>
      </w:pPr>
    </w:p>
    <w:p>
      <w:pPr>
        <w:pStyle w:val="Heading3"/>
        <w:numPr>
          <w:ilvl w:val="2"/>
          <w:numId w:val="37"/>
        </w:numPr>
        <w:tabs>
          <w:tab w:pos="1426" w:val="left" w:leader="none"/>
        </w:tabs>
        <w:spacing w:line="240" w:lineRule="auto" w:before="1" w:after="0"/>
        <w:ind w:left="1426" w:right="0" w:hanging="717"/>
        <w:jc w:val="left"/>
      </w:pPr>
      <w:bookmarkStart w:name="6.7.1 The Uptrend Problem and the Decisi" w:id="234"/>
      <w:bookmarkEnd w:id="234"/>
      <w:r>
        <w:rPr>
          <w:b w:val="0"/>
        </w:rPr>
      </w:r>
      <w:bookmarkStart w:name="_bookmark139" w:id="235"/>
      <w:bookmarkEnd w:id="235"/>
      <w:r>
        <w:rPr>
          <w:b w:val="0"/>
        </w:rPr>
      </w:r>
      <w:r>
        <w:rPr/>
        <w:t>The</w:t>
      </w:r>
      <w:r>
        <w:rPr>
          <w:spacing w:val="-9"/>
        </w:rPr>
        <w:t> </w:t>
      </w:r>
      <w:r>
        <w:rPr/>
        <w:t>Uptrend</w:t>
      </w:r>
      <w:r>
        <w:rPr>
          <w:spacing w:val="-8"/>
        </w:rPr>
        <w:t> </w:t>
      </w:r>
      <w:r>
        <w:rPr/>
        <w:t>Problem</w:t>
      </w:r>
      <w:r>
        <w:rPr>
          <w:spacing w:val="-8"/>
        </w:rPr>
        <w:t> </w:t>
      </w:r>
      <w:r>
        <w:rPr/>
        <w:t>and</w:t>
      </w:r>
      <w:r>
        <w:rPr>
          <w:spacing w:val="-8"/>
        </w:rPr>
        <w:t> </w:t>
      </w:r>
      <w:r>
        <w:rPr/>
        <w:t>the</w:t>
      </w:r>
      <w:r>
        <w:rPr>
          <w:spacing w:val="-8"/>
        </w:rPr>
        <w:t> </w:t>
      </w:r>
      <w:r>
        <w:rPr/>
        <w:t>Decision</w:t>
      </w:r>
      <w:r>
        <w:rPr>
          <w:spacing w:val="-8"/>
        </w:rPr>
        <w:t> </w:t>
      </w:r>
      <w:r>
        <w:rPr/>
        <w:t>to</w:t>
      </w:r>
      <w:r>
        <w:rPr>
          <w:spacing w:val="-8"/>
        </w:rPr>
        <w:t> </w:t>
      </w:r>
      <w:r>
        <w:rPr>
          <w:spacing w:val="-2"/>
        </w:rPr>
        <w:t>Detrend</w:t>
      </w:r>
    </w:p>
    <w:p>
      <w:pPr>
        <w:pStyle w:val="BodyText"/>
        <w:spacing w:line="312" w:lineRule="auto" w:before="244"/>
        <w:ind w:left="703" w:right="990" w:hanging="2"/>
        <w:jc w:val="both"/>
      </w:pPr>
      <w:r>
        <w:rPr/>
        <w:t>The</w:t>
      </w:r>
      <w:r>
        <w:rPr>
          <w:spacing w:val="-1"/>
        </w:rPr>
        <w:t> </w:t>
      </w:r>
      <w:r>
        <w:rPr/>
        <w:t>first</w:t>
      </w:r>
      <w:r>
        <w:rPr>
          <w:spacing w:val="-1"/>
        </w:rPr>
        <w:t> </w:t>
      </w:r>
      <w:r>
        <w:rPr/>
        <w:t>major</w:t>
      </w:r>
      <w:r>
        <w:rPr>
          <w:spacing w:val="-1"/>
        </w:rPr>
        <w:t> </w:t>
      </w:r>
      <w:r>
        <w:rPr/>
        <w:t>design</w:t>
      </w:r>
      <w:r>
        <w:rPr>
          <w:spacing w:val="-1"/>
        </w:rPr>
        <w:t> </w:t>
      </w:r>
      <w:r>
        <w:rPr/>
        <w:t>decision</w:t>
      </w:r>
      <w:r>
        <w:rPr>
          <w:spacing w:val="-1"/>
        </w:rPr>
        <w:t> </w:t>
      </w:r>
      <w:r>
        <w:rPr/>
        <w:t>concerned</w:t>
      </w:r>
      <w:r>
        <w:rPr>
          <w:spacing w:val="-1"/>
        </w:rPr>
        <w:t> </w:t>
      </w:r>
      <w:r>
        <w:rPr/>
        <w:t>how</w:t>
      </w:r>
      <w:r>
        <w:rPr>
          <w:spacing w:val="-1"/>
        </w:rPr>
        <w:t> </w:t>
      </w:r>
      <w:r>
        <w:rPr/>
        <w:t>to</w:t>
      </w:r>
      <w:r>
        <w:rPr>
          <w:spacing w:val="-1"/>
        </w:rPr>
        <w:t> </w:t>
      </w:r>
      <w:r>
        <w:rPr/>
        <w:t>handle</w:t>
      </w:r>
      <w:r>
        <w:rPr>
          <w:spacing w:val="-1"/>
        </w:rPr>
        <w:t> </w:t>
      </w:r>
      <w:r>
        <w:rPr/>
        <w:t>the</w:t>
      </w:r>
      <w:r>
        <w:rPr>
          <w:spacing w:val="-1"/>
        </w:rPr>
        <w:t> </w:t>
      </w:r>
      <w:r>
        <w:rPr/>
        <w:t>structural</w:t>
      </w:r>
      <w:r>
        <w:rPr>
          <w:spacing w:val="-1"/>
        </w:rPr>
        <w:t> </w:t>
      </w:r>
      <w:r>
        <w:rPr/>
        <w:t>production</w:t>
      </w:r>
      <w:r>
        <w:rPr>
          <w:spacing w:val="-1"/>
        </w:rPr>
        <w:t> </w:t>
      </w:r>
      <w:r>
        <w:rPr/>
        <w:t>trends</w:t>
      </w:r>
      <w:r>
        <w:rPr>
          <w:spacing w:val="-1"/>
        </w:rPr>
        <w:t> </w:t>
      </w:r>
      <w:r>
        <w:rPr/>
        <w:t>in</w:t>
      </w:r>
      <w:r>
        <w:rPr>
          <w:spacing w:val="-1"/>
        </w:rPr>
        <w:t> </w:t>
      </w:r>
      <w:r>
        <w:rPr/>
        <w:t>both regions.</w:t>
      </w:r>
      <w:r>
        <w:rPr>
          <w:spacing w:val="40"/>
        </w:rPr>
        <w:t> </w:t>
      </w:r>
      <w:r>
        <w:rPr/>
        <w:t>An initial version of the CarenR analysis was run on raw (non-detrended) production values</w:t>
      </w:r>
      <w:r>
        <w:rPr>
          <w:spacing w:val="-4"/>
        </w:rPr>
        <w:t> </w:t>
      </w:r>
      <w:r>
        <w:rPr/>
        <w:t>for</w:t>
      </w:r>
      <w:r>
        <w:rPr>
          <w:spacing w:val="-4"/>
        </w:rPr>
        <w:t> </w:t>
      </w:r>
      <w:r>
        <w:rPr/>
        <w:t>the</w:t>
      </w:r>
      <w:r>
        <w:rPr>
          <w:spacing w:val="-4"/>
        </w:rPr>
        <w:t> </w:t>
      </w:r>
      <w:r>
        <w:rPr/>
        <w:t>Douro. The</w:t>
      </w:r>
      <w:r>
        <w:rPr>
          <w:spacing w:val="-4"/>
        </w:rPr>
        <w:t> </w:t>
      </w:r>
      <w:r>
        <w:rPr/>
        <w:t>result</w:t>
      </w:r>
      <w:r>
        <w:rPr>
          <w:spacing w:val="-4"/>
        </w:rPr>
        <w:t> </w:t>
      </w:r>
      <w:r>
        <w:rPr/>
        <w:t>was</w:t>
      </w:r>
      <w:r>
        <w:rPr>
          <w:spacing w:val="-4"/>
        </w:rPr>
        <w:t> </w:t>
      </w:r>
      <w:r>
        <w:rPr/>
        <w:t>immediately</w:t>
      </w:r>
      <w:r>
        <w:rPr>
          <w:spacing w:val="-4"/>
        </w:rPr>
        <w:t> </w:t>
      </w:r>
      <w:r>
        <w:rPr/>
        <w:t>suspicious: all</w:t>
      </w:r>
      <w:r>
        <w:rPr>
          <w:spacing w:val="-4"/>
        </w:rPr>
        <w:t> </w:t>
      </w:r>
      <w:r>
        <w:rPr/>
        <w:t>five</w:t>
      </w:r>
      <w:r>
        <w:rPr>
          <w:spacing w:val="-4"/>
        </w:rPr>
        <w:t> </w:t>
      </w:r>
      <w:r>
        <w:rPr/>
        <w:t>discovered</w:t>
      </w:r>
      <w:r>
        <w:rPr>
          <w:spacing w:val="-4"/>
        </w:rPr>
        <w:t> </w:t>
      </w:r>
      <w:r>
        <w:rPr/>
        <w:t>rules</w:t>
      </w:r>
      <w:r>
        <w:rPr>
          <w:spacing w:val="-4"/>
        </w:rPr>
        <w:t> </w:t>
      </w:r>
      <w:r>
        <w:rPr/>
        <w:t>pointed</w:t>
      </w:r>
      <w:r>
        <w:rPr>
          <w:spacing w:val="-4"/>
        </w:rPr>
        <w:t> </w:t>
      </w:r>
      <w:r>
        <w:rPr/>
        <w:t>to LOW production conditions, despite the Douro having a clear upward trend and the expectation that meaningful rules should exist for both above and below-average years.</w:t>
      </w:r>
    </w:p>
    <w:p>
      <w:pPr>
        <w:pStyle w:val="BodyText"/>
        <w:spacing w:line="312" w:lineRule="auto" w:before="13"/>
        <w:ind w:left="696" w:right="952" w:firstLine="351"/>
        <w:jc w:val="both"/>
      </w:pPr>
      <w:r>
        <w:rPr/>
        <w:t>Investigation revealed the cause: without detrending, CarenR’s global mean was the all-time </w:t>
      </w:r>
      <w:r>
        <w:rPr>
          <w:spacing w:val="-4"/>
        </w:rPr>
        <w:t>average (approximately 1,112 mhl), which is heavily influenced by the low-production pre-1960 era. </w:t>
      </w:r>
      <w:r>
        <w:rPr>
          <w:spacing w:val="-2"/>
        </w:rPr>
        <w:t>Years</w:t>
      </w:r>
      <w:r>
        <w:rPr>
          <w:spacing w:val="-8"/>
        </w:rPr>
        <w:t> </w:t>
      </w:r>
      <w:r>
        <w:rPr>
          <w:spacing w:val="-2"/>
        </w:rPr>
        <w:t>from</w:t>
      </w:r>
      <w:r>
        <w:rPr>
          <w:spacing w:val="-8"/>
        </w:rPr>
        <w:t> </w:t>
      </w:r>
      <w:r>
        <w:rPr>
          <w:spacing w:val="-2"/>
        </w:rPr>
        <w:t>the</w:t>
      </w:r>
      <w:r>
        <w:rPr>
          <w:spacing w:val="-8"/>
        </w:rPr>
        <w:t> </w:t>
      </w:r>
      <w:r>
        <w:rPr>
          <w:spacing w:val="-2"/>
        </w:rPr>
        <w:t>1930s–1950s</w:t>
      </w:r>
      <w:r>
        <w:rPr>
          <w:spacing w:val="-8"/>
        </w:rPr>
        <w:t> </w:t>
      </w:r>
      <w:r>
        <w:rPr>
          <w:spacing w:val="-2"/>
        </w:rPr>
        <w:t>were</w:t>
      </w:r>
      <w:r>
        <w:rPr>
          <w:spacing w:val="-8"/>
        </w:rPr>
        <w:t> </w:t>
      </w:r>
      <w:r>
        <w:rPr>
          <w:spacing w:val="-2"/>
        </w:rPr>
        <w:t>systematically</w:t>
      </w:r>
      <w:r>
        <w:rPr>
          <w:spacing w:val="-8"/>
        </w:rPr>
        <w:t> </w:t>
      </w:r>
      <w:r>
        <w:rPr>
          <w:spacing w:val="-2"/>
        </w:rPr>
        <w:t>below</w:t>
      </w:r>
      <w:r>
        <w:rPr>
          <w:spacing w:val="-8"/>
        </w:rPr>
        <w:t> </w:t>
      </w:r>
      <w:r>
        <w:rPr>
          <w:spacing w:val="-2"/>
        </w:rPr>
        <w:t>this</w:t>
      </w:r>
      <w:r>
        <w:rPr>
          <w:spacing w:val="-8"/>
        </w:rPr>
        <w:t> </w:t>
      </w:r>
      <w:r>
        <w:rPr>
          <w:spacing w:val="-2"/>
        </w:rPr>
        <w:t>global</w:t>
      </w:r>
      <w:r>
        <w:rPr>
          <w:spacing w:val="-8"/>
        </w:rPr>
        <w:t> </w:t>
      </w:r>
      <w:r>
        <w:rPr>
          <w:spacing w:val="-2"/>
        </w:rPr>
        <w:t>mean</w:t>
      </w:r>
      <w:r>
        <w:rPr>
          <w:spacing w:val="-8"/>
        </w:rPr>
        <w:t> </w:t>
      </w:r>
      <w:r>
        <w:rPr>
          <w:spacing w:val="-2"/>
        </w:rPr>
        <w:t>not</w:t>
      </w:r>
      <w:r>
        <w:rPr>
          <w:spacing w:val="-8"/>
        </w:rPr>
        <w:t> </w:t>
      </w:r>
      <w:r>
        <w:rPr>
          <w:spacing w:val="-2"/>
        </w:rPr>
        <w:t>because</w:t>
      </w:r>
      <w:r>
        <w:rPr>
          <w:spacing w:val="-8"/>
        </w:rPr>
        <w:t> </w:t>
      </w:r>
      <w:r>
        <w:rPr>
          <w:spacing w:val="-2"/>
        </w:rPr>
        <w:t>of</w:t>
      </w:r>
      <w:r>
        <w:rPr>
          <w:spacing w:val="-8"/>
        </w:rPr>
        <w:t> </w:t>
      </w:r>
      <w:r>
        <w:rPr>
          <w:spacing w:val="-2"/>
        </w:rPr>
        <w:t>climate</w:t>
      </w:r>
      <w:r>
        <w:rPr>
          <w:spacing w:val="-8"/>
        </w:rPr>
        <w:t> </w:t>
      </w:r>
      <w:r>
        <w:rPr>
          <w:spacing w:val="-2"/>
        </w:rPr>
        <w:t>but </w:t>
      </w:r>
      <w:r>
        <w:rPr/>
        <w:t>because</w:t>
      </w:r>
      <w:r>
        <w:rPr>
          <w:spacing w:val="-8"/>
        </w:rPr>
        <w:t> </w:t>
      </w:r>
      <w:r>
        <w:rPr/>
        <w:t>the</w:t>
      </w:r>
      <w:r>
        <w:rPr>
          <w:spacing w:val="-8"/>
        </w:rPr>
        <w:t> </w:t>
      </w:r>
      <w:r>
        <w:rPr/>
        <w:t>structural</w:t>
      </w:r>
      <w:r>
        <w:rPr>
          <w:spacing w:val="-8"/>
        </w:rPr>
        <w:t> </w:t>
      </w:r>
      <w:r>
        <w:rPr/>
        <w:t>production</w:t>
      </w:r>
      <w:r>
        <w:rPr>
          <w:spacing w:val="-8"/>
        </w:rPr>
        <w:t> </w:t>
      </w:r>
      <w:r>
        <w:rPr/>
        <w:t>baseline</w:t>
      </w:r>
      <w:r>
        <w:rPr>
          <w:spacing w:val="-8"/>
        </w:rPr>
        <w:t> </w:t>
      </w:r>
      <w:r>
        <w:rPr/>
        <w:t>was</w:t>
      </w:r>
      <w:r>
        <w:rPr>
          <w:spacing w:val="-8"/>
        </w:rPr>
        <w:t> </w:t>
      </w:r>
      <w:r>
        <w:rPr/>
        <w:t>lower. CarenR</w:t>
      </w:r>
      <w:r>
        <w:rPr>
          <w:spacing w:val="-8"/>
        </w:rPr>
        <w:t> </w:t>
      </w:r>
      <w:r>
        <w:rPr/>
        <w:t>was</w:t>
      </w:r>
      <w:r>
        <w:rPr>
          <w:spacing w:val="-8"/>
        </w:rPr>
        <w:t> </w:t>
      </w:r>
      <w:r>
        <w:rPr/>
        <w:t>finding</w:t>
      </w:r>
      <w:r>
        <w:rPr>
          <w:spacing w:val="-8"/>
        </w:rPr>
        <w:t> </w:t>
      </w:r>
      <w:r>
        <w:rPr/>
        <w:t>rules</w:t>
      </w:r>
      <w:r>
        <w:rPr>
          <w:spacing w:val="-8"/>
        </w:rPr>
        <w:t> </w:t>
      </w:r>
      <w:r>
        <w:rPr/>
        <w:t>that</w:t>
      </w:r>
      <w:r>
        <w:rPr>
          <w:spacing w:val="-8"/>
        </w:rPr>
        <w:t> </w:t>
      </w:r>
      <w:r>
        <w:rPr/>
        <w:t>described</w:t>
      </w:r>
      <w:r>
        <w:rPr>
          <w:spacing w:val="-8"/>
        </w:rPr>
        <w:t> </w:t>
      </w:r>
      <w:r>
        <w:rPr/>
        <w:t>era </w:t>
      </w:r>
      <w:r>
        <w:rPr>
          <w:spacing w:val="-2"/>
        </w:rPr>
        <w:t>membership,</w:t>
      </w:r>
      <w:r>
        <w:rPr>
          <w:spacing w:val="-3"/>
        </w:rPr>
        <w:t> </w:t>
      </w:r>
      <w:r>
        <w:rPr>
          <w:spacing w:val="-2"/>
        </w:rPr>
        <w:t>“low</w:t>
      </w:r>
      <w:r>
        <w:rPr>
          <w:spacing w:val="-3"/>
        </w:rPr>
        <w:t> </w:t>
      </w:r>
      <w:r>
        <w:rPr>
          <w:spacing w:val="-2"/>
        </w:rPr>
        <w:t>production</w:t>
      </w:r>
      <w:r>
        <w:rPr>
          <w:spacing w:val="-3"/>
        </w:rPr>
        <w:t> </w:t>
      </w:r>
      <w:r>
        <w:rPr>
          <w:spacing w:val="-2"/>
        </w:rPr>
        <w:t>years</w:t>
      </w:r>
      <w:r>
        <w:rPr>
          <w:spacing w:val="-3"/>
        </w:rPr>
        <w:t> </w:t>
      </w:r>
      <w:r>
        <w:rPr>
          <w:spacing w:val="-2"/>
        </w:rPr>
        <w:t>tend</w:t>
      </w:r>
      <w:r>
        <w:rPr>
          <w:spacing w:val="-3"/>
        </w:rPr>
        <w:t> </w:t>
      </w:r>
      <w:r>
        <w:rPr>
          <w:spacing w:val="-2"/>
        </w:rPr>
        <w:t>to</w:t>
      </w:r>
      <w:r>
        <w:rPr>
          <w:spacing w:val="-3"/>
        </w:rPr>
        <w:t> </w:t>
      </w:r>
      <w:r>
        <w:rPr>
          <w:spacing w:val="-2"/>
        </w:rPr>
        <w:t>be</w:t>
      </w:r>
      <w:r>
        <w:rPr>
          <w:spacing w:val="-3"/>
        </w:rPr>
        <w:t> </w:t>
      </w:r>
      <w:r>
        <w:rPr>
          <w:spacing w:val="-2"/>
        </w:rPr>
        <w:t>early</w:t>
      </w:r>
      <w:r>
        <w:rPr>
          <w:spacing w:val="-3"/>
        </w:rPr>
        <w:t> </w:t>
      </w:r>
      <w:r>
        <w:rPr>
          <w:spacing w:val="-2"/>
        </w:rPr>
        <w:t>years”,</w:t>
      </w:r>
      <w:r>
        <w:rPr>
          <w:spacing w:val="-3"/>
        </w:rPr>
        <w:t> </w:t>
      </w:r>
      <w:r>
        <w:rPr>
          <w:spacing w:val="-2"/>
        </w:rPr>
        <w:t>rather</w:t>
      </w:r>
      <w:r>
        <w:rPr>
          <w:spacing w:val="-3"/>
        </w:rPr>
        <w:t> </w:t>
      </w:r>
      <w:r>
        <w:rPr>
          <w:spacing w:val="-2"/>
        </w:rPr>
        <w:t>than</w:t>
      </w:r>
      <w:r>
        <w:rPr>
          <w:spacing w:val="-3"/>
        </w:rPr>
        <w:t> </w:t>
      </w:r>
      <w:r>
        <w:rPr>
          <w:spacing w:val="-2"/>
        </w:rPr>
        <w:t>genuine</w:t>
      </w:r>
      <w:r>
        <w:rPr>
          <w:spacing w:val="-3"/>
        </w:rPr>
        <w:t> </w:t>
      </w:r>
      <w:r>
        <w:rPr>
          <w:spacing w:val="-2"/>
        </w:rPr>
        <w:t>climate-production </w:t>
      </w:r>
      <w:r>
        <w:rPr/>
        <w:t>relationships. The discovered rules were statistically valid but agronomically meaningless.</w:t>
      </w:r>
    </w:p>
    <w:p>
      <w:pPr>
        <w:pStyle w:val="BodyText"/>
        <w:spacing w:line="312" w:lineRule="auto" w:before="12"/>
        <w:ind w:left="709" w:right="990" w:firstLine="338"/>
        <w:jc w:val="both"/>
      </w:pPr>
      <w:r>
        <w:rPr/>
        <w:t>The solution, linear detrending applied separately within each training fold, transformed the problem from one of explaining raw production levels to one of explaining deviations from the expected</w:t>
      </w:r>
      <w:r>
        <w:rPr>
          <w:spacing w:val="1"/>
        </w:rPr>
        <w:t> </w:t>
      </w:r>
      <w:r>
        <w:rPr/>
        <w:t>structural</w:t>
      </w:r>
      <w:r>
        <w:rPr>
          <w:spacing w:val="1"/>
        </w:rPr>
        <w:t> </w:t>
      </w:r>
      <w:r>
        <w:rPr/>
        <w:t>trajectory.</w:t>
      </w:r>
      <w:r>
        <w:rPr>
          <w:spacing w:val="15"/>
        </w:rPr>
        <w:t> </w:t>
      </w:r>
      <w:r>
        <w:rPr/>
        <w:t>Under</w:t>
      </w:r>
      <w:r>
        <w:rPr>
          <w:spacing w:val="2"/>
        </w:rPr>
        <w:t> </w:t>
      </w:r>
      <w:r>
        <w:rPr/>
        <w:t>this</w:t>
      </w:r>
      <w:r>
        <w:rPr>
          <w:spacing w:val="1"/>
        </w:rPr>
        <w:t> </w:t>
      </w:r>
      <w:r>
        <w:rPr/>
        <w:t>formulation,</w:t>
      </w:r>
      <w:r>
        <w:rPr>
          <w:spacing w:val="2"/>
        </w:rPr>
        <w:t> </w:t>
      </w:r>
      <w:r>
        <w:rPr/>
        <w:t>a</w:t>
      </w:r>
      <w:r>
        <w:rPr>
          <w:spacing w:val="1"/>
        </w:rPr>
        <w:t> </w:t>
      </w:r>
      <w:r>
        <w:rPr/>
        <w:t>rule</w:t>
      </w:r>
      <w:r>
        <w:rPr>
          <w:spacing w:val="2"/>
        </w:rPr>
        <w:t> </w:t>
      </w:r>
      <w:r>
        <w:rPr/>
        <w:t>like</w:t>
      </w:r>
      <w:r>
        <w:rPr>
          <w:spacing w:val="1"/>
        </w:rPr>
        <w:t> </w:t>
      </w:r>
      <w:r>
        <w:rPr/>
        <w:t>“dry</w:t>
      </w:r>
      <w:r>
        <w:rPr>
          <w:spacing w:val="2"/>
        </w:rPr>
        <w:t> </w:t>
      </w:r>
      <w:r>
        <w:rPr/>
        <w:t>post-flowering</w:t>
      </w:r>
      <w:r>
        <w:rPr>
          <w:spacing w:val="1"/>
        </w:rPr>
        <w:t> </w:t>
      </w:r>
      <w:r>
        <w:rPr>
          <w:spacing w:val="-2"/>
        </w:rPr>
        <w:t>conditions</w:t>
      </w:r>
    </w:p>
    <w:p>
      <w:pPr>
        <w:pStyle w:val="BodyText"/>
        <w:spacing w:line="297" w:lineRule="exact"/>
        <w:ind w:left="709"/>
        <w:jc w:val="both"/>
      </w:pPr>
      <w:r>
        <w:rPr>
          <w:rFonts w:ascii="Meiryo UI" w:hAnsi="Meiryo UI"/>
          <w:i/>
        </w:rPr>
        <w:t>→</w:t>
      </w:r>
      <w:r>
        <w:rPr>
          <w:rFonts w:ascii="Meiryo UI" w:hAnsi="Meiryo UI"/>
          <w:i/>
          <w:spacing w:val="-17"/>
        </w:rPr>
        <w:t> </w:t>
      </w:r>
      <w:r>
        <w:rPr/>
        <w:t>above-trend</w:t>
      </w:r>
      <w:r>
        <w:rPr>
          <w:spacing w:val="3"/>
        </w:rPr>
        <w:t> </w:t>
      </w:r>
      <w:r>
        <w:rPr/>
        <w:t>production”</w:t>
      </w:r>
      <w:r>
        <w:rPr>
          <w:spacing w:val="3"/>
        </w:rPr>
        <w:t> </w:t>
      </w:r>
      <w:r>
        <w:rPr/>
        <w:t>is</w:t>
      </w:r>
      <w:r>
        <w:rPr>
          <w:spacing w:val="3"/>
        </w:rPr>
        <w:t> </w:t>
      </w:r>
      <w:r>
        <w:rPr/>
        <w:t>interpretable</w:t>
      </w:r>
      <w:r>
        <w:rPr>
          <w:spacing w:val="3"/>
        </w:rPr>
        <w:t> </w:t>
      </w:r>
      <w:r>
        <w:rPr/>
        <w:t>regardless</w:t>
      </w:r>
      <w:r>
        <w:rPr>
          <w:spacing w:val="2"/>
        </w:rPr>
        <w:t> </w:t>
      </w:r>
      <w:r>
        <w:rPr/>
        <w:t>of</w:t>
      </w:r>
      <w:r>
        <w:rPr>
          <w:spacing w:val="3"/>
        </w:rPr>
        <w:t> </w:t>
      </w:r>
      <w:r>
        <w:rPr/>
        <w:t>which</w:t>
      </w:r>
      <w:r>
        <w:rPr>
          <w:spacing w:val="3"/>
        </w:rPr>
        <w:t> </w:t>
      </w:r>
      <w:r>
        <w:rPr/>
        <w:t>era</w:t>
      </w:r>
      <w:r>
        <w:rPr>
          <w:spacing w:val="3"/>
        </w:rPr>
        <w:t> </w:t>
      </w:r>
      <w:r>
        <w:rPr/>
        <w:t>the</w:t>
      </w:r>
      <w:r>
        <w:rPr>
          <w:spacing w:val="3"/>
        </w:rPr>
        <w:t> </w:t>
      </w:r>
      <w:r>
        <w:rPr/>
        <w:t>year</w:t>
      </w:r>
      <w:r>
        <w:rPr>
          <w:spacing w:val="2"/>
        </w:rPr>
        <w:t> </w:t>
      </w:r>
      <w:r>
        <w:rPr/>
        <w:t>belongs</w:t>
      </w:r>
      <w:r>
        <w:rPr>
          <w:spacing w:val="3"/>
        </w:rPr>
        <w:t> </w:t>
      </w:r>
      <w:r>
        <w:rPr/>
        <w:t>to,</w:t>
      </w:r>
      <w:r>
        <w:rPr>
          <w:spacing w:val="3"/>
        </w:rPr>
        <w:t> </w:t>
      </w:r>
      <w:r>
        <w:rPr>
          <w:spacing w:val="-2"/>
        </w:rPr>
        <w:t>because</w:t>
      </w:r>
    </w:p>
    <w:p>
      <w:pPr>
        <w:pStyle w:val="BodyText"/>
        <w:spacing w:line="312" w:lineRule="auto" w:before="31"/>
        <w:ind w:left="709" w:right="990" w:hanging="30"/>
        <w:jc w:val="both"/>
      </w:pPr>
      <w:r>
        <w:rPr/>
        <w:t>“above-trend”</w:t>
      </w:r>
      <w:r>
        <w:rPr>
          <w:spacing w:val="-1"/>
        </w:rPr>
        <w:t> </w:t>
      </w:r>
      <w:r>
        <w:rPr/>
        <w:t>is</w:t>
      </w:r>
      <w:r>
        <w:rPr>
          <w:spacing w:val="-1"/>
        </w:rPr>
        <w:t> </w:t>
      </w:r>
      <w:r>
        <w:rPr/>
        <w:t>defined</w:t>
      </w:r>
      <w:r>
        <w:rPr>
          <w:spacing w:val="-1"/>
        </w:rPr>
        <w:t> </w:t>
      </w:r>
      <w:r>
        <w:rPr/>
        <w:t>relative</w:t>
      </w:r>
      <w:r>
        <w:rPr>
          <w:spacing w:val="-1"/>
        </w:rPr>
        <w:t> </w:t>
      </w:r>
      <w:r>
        <w:rPr/>
        <w:t>to</w:t>
      </w:r>
      <w:r>
        <w:rPr>
          <w:spacing w:val="-1"/>
        </w:rPr>
        <w:t> </w:t>
      </w:r>
      <w:r>
        <w:rPr/>
        <w:t>the</w:t>
      </w:r>
      <w:r>
        <w:rPr>
          <w:spacing w:val="-1"/>
        </w:rPr>
        <w:t> </w:t>
      </w:r>
      <w:r>
        <w:rPr/>
        <w:t>era-specific</w:t>
      </w:r>
      <w:r>
        <w:rPr>
          <w:spacing w:val="-1"/>
        </w:rPr>
        <w:t> </w:t>
      </w:r>
      <w:r>
        <w:rPr/>
        <w:t>trend. The</w:t>
      </w:r>
      <w:r>
        <w:rPr>
          <w:spacing w:val="-1"/>
        </w:rPr>
        <w:t> </w:t>
      </w:r>
      <w:r>
        <w:rPr/>
        <w:t>detrending</w:t>
      </w:r>
      <w:r>
        <w:rPr>
          <w:spacing w:val="-1"/>
        </w:rPr>
        <w:t> </w:t>
      </w:r>
      <w:r>
        <w:rPr/>
        <w:t>decision</w:t>
      </w:r>
      <w:r>
        <w:rPr>
          <w:spacing w:val="-1"/>
        </w:rPr>
        <w:t> </w:t>
      </w:r>
      <w:r>
        <w:rPr/>
        <w:t>was</w:t>
      </w:r>
      <w:r>
        <w:rPr>
          <w:spacing w:val="-1"/>
        </w:rPr>
        <w:t> </w:t>
      </w:r>
      <w:r>
        <w:rPr/>
        <w:t>therefore not merely a preprocessing convenience but a fundamental reframing of the research </w:t>
      </w:r>
      <w:r>
        <w:rPr/>
        <w:t>question </w:t>
      </w:r>
      <w:r>
        <w:rPr>
          <w:spacing w:val="-2"/>
        </w:rPr>
        <w:t>from</w:t>
      </w:r>
      <w:r>
        <w:rPr>
          <w:spacing w:val="-7"/>
        </w:rPr>
        <w:t> </w:t>
      </w:r>
      <w:r>
        <w:rPr>
          <w:spacing w:val="-2"/>
        </w:rPr>
        <w:t>“what</w:t>
      </w:r>
      <w:r>
        <w:rPr>
          <w:spacing w:val="-7"/>
        </w:rPr>
        <w:t> </w:t>
      </w:r>
      <w:r>
        <w:rPr>
          <w:spacing w:val="-2"/>
        </w:rPr>
        <w:t>predicts</w:t>
      </w:r>
      <w:r>
        <w:rPr>
          <w:spacing w:val="-7"/>
        </w:rPr>
        <w:t> </w:t>
      </w:r>
      <w:r>
        <w:rPr>
          <w:spacing w:val="-2"/>
        </w:rPr>
        <w:t>high</w:t>
      </w:r>
      <w:r>
        <w:rPr>
          <w:spacing w:val="-7"/>
        </w:rPr>
        <w:t> </w:t>
      </w:r>
      <w:r>
        <w:rPr>
          <w:spacing w:val="-2"/>
        </w:rPr>
        <w:t>production?” to</w:t>
      </w:r>
      <w:r>
        <w:rPr>
          <w:spacing w:val="-7"/>
        </w:rPr>
        <w:t> </w:t>
      </w:r>
      <w:r>
        <w:rPr>
          <w:spacing w:val="-2"/>
        </w:rPr>
        <w:t>“what</w:t>
      </w:r>
      <w:r>
        <w:rPr>
          <w:spacing w:val="-7"/>
        </w:rPr>
        <w:t> </w:t>
      </w:r>
      <w:r>
        <w:rPr>
          <w:spacing w:val="-2"/>
        </w:rPr>
        <w:t>predicts</w:t>
      </w:r>
      <w:r>
        <w:rPr>
          <w:spacing w:val="-7"/>
        </w:rPr>
        <w:t> </w:t>
      </w:r>
      <w:r>
        <w:rPr>
          <w:spacing w:val="-2"/>
        </w:rPr>
        <w:t>better-than-expected</w:t>
      </w:r>
      <w:r>
        <w:rPr>
          <w:spacing w:val="-7"/>
        </w:rPr>
        <w:t> </w:t>
      </w:r>
      <w:r>
        <w:rPr>
          <w:spacing w:val="-2"/>
        </w:rPr>
        <w:t>production</w:t>
      </w:r>
      <w:r>
        <w:rPr>
          <w:spacing w:val="-7"/>
        </w:rPr>
        <w:t> </w:t>
      </w:r>
      <w:r>
        <w:rPr>
          <w:spacing w:val="-2"/>
        </w:rPr>
        <w:t>given</w:t>
      </w:r>
      <w:r>
        <w:rPr>
          <w:spacing w:val="-7"/>
        </w:rPr>
        <w:t> </w:t>
      </w:r>
      <w:r>
        <w:rPr>
          <w:spacing w:val="-2"/>
        </w:rPr>
        <w:t>the </w:t>
      </w:r>
      <w:r>
        <w:rPr/>
        <w:t>structural context of each period?”</w:t>
      </w:r>
    </w:p>
    <w:p>
      <w:pPr>
        <w:pStyle w:val="BodyText"/>
        <w:spacing w:before="134"/>
      </w:pPr>
    </w:p>
    <w:p>
      <w:pPr>
        <w:pStyle w:val="Heading3"/>
        <w:numPr>
          <w:ilvl w:val="2"/>
          <w:numId w:val="37"/>
        </w:numPr>
        <w:tabs>
          <w:tab w:pos="1426" w:val="left" w:leader="none"/>
        </w:tabs>
        <w:spacing w:line="240" w:lineRule="auto" w:before="0" w:after="0"/>
        <w:ind w:left="1426" w:right="0" w:hanging="717"/>
        <w:jc w:val="left"/>
      </w:pPr>
      <w:bookmarkStart w:name="6.7.2 LOESS Detrending: A Promising Idea" w:id="236"/>
      <w:bookmarkEnd w:id="236"/>
      <w:r>
        <w:rPr>
          <w:b w:val="0"/>
        </w:rPr>
      </w:r>
      <w:bookmarkStart w:name="_bookmark140" w:id="237"/>
      <w:bookmarkEnd w:id="237"/>
      <w:r>
        <w:rPr>
          <w:b w:val="0"/>
        </w:rPr>
      </w:r>
      <w:r>
        <w:rPr/>
        <w:t>LOESS</w:t>
      </w:r>
      <w:r>
        <w:rPr>
          <w:spacing w:val="-9"/>
        </w:rPr>
        <w:t> </w:t>
      </w:r>
      <w:r>
        <w:rPr/>
        <w:t>Detrending:</w:t>
      </w:r>
      <w:r>
        <w:rPr>
          <w:spacing w:val="5"/>
        </w:rPr>
        <w:t> </w:t>
      </w:r>
      <w:r>
        <w:rPr/>
        <w:t>A</w:t>
      </w:r>
      <w:r>
        <w:rPr>
          <w:spacing w:val="-9"/>
        </w:rPr>
        <w:t> </w:t>
      </w:r>
      <w:r>
        <w:rPr/>
        <w:t>Promising</w:t>
      </w:r>
      <w:r>
        <w:rPr>
          <w:spacing w:val="-8"/>
        </w:rPr>
        <w:t> </w:t>
      </w:r>
      <w:r>
        <w:rPr/>
        <w:t>Idea</w:t>
      </w:r>
      <w:r>
        <w:rPr>
          <w:spacing w:val="-9"/>
        </w:rPr>
        <w:t> </w:t>
      </w:r>
      <w:r>
        <w:rPr/>
        <w:t>That</w:t>
      </w:r>
      <w:r>
        <w:rPr>
          <w:spacing w:val="-8"/>
        </w:rPr>
        <w:t> </w:t>
      </w:r>
      <w:r>
        <w:rPr/>
        <w:t>Killed</w:t>
      </w:r>
      <w:r>
        <w:rPr>
          <w:spacing w:val="-8"/>
        </w:rPr>
        <w:t> </w:t>
      </w:r>
      <w:r>
        <w:rPr/>
        <w:t>the</w:t>
      </w:r>
      <w:r>
        <w:rPr>
          <w:spacing w:val="-9"/>
        </w:rPr>
        <w:t> </w:t>
      </w:r>
      <w:r>
        <w:rPr>
          <w:spacing w:val="-2"/>
        </w:rPr>
        <w:t>Signal</w:t>
      </w:r>
    </w:p>
    <w:p>
      <w:pPr>
        <w:pStyle w:val="BodyText"/>
        <w:spacing w:line="312" w:lineRule="auto" w:before="245"/>
        <w:ind w:left="709" w:right="986"/>
        <w:jc w:val="both"/>
      </w:pPr>
      <w:r>
        <w:rPr/>
        <w:t>Once linear detrending was adopted, a natural follow-up question was whether more flexible detrending (LOESS) might produce better results by more accurately capturing the non-</w:t>
      </w:r>
      <w:r>
        <w:rPr/>
        <w:t>linear structural</w:t>
      </w:r>
      <w:r>
        <w:rPr>
          <w:spacing w:val="-5"/>
        </w:rPr>
        <w:t> </w:t>
      </w:r>
      <w:r>
        <w:rPr/>
        <w:t>trajectories,</w:t>
      </w:r>
      <w:r>
        <w:rPr>
          <w:spacing w:val="-5"/>
        </w:rPr>
        <w:t> </w:t>
      </w:r>
      <w:r>
        <w:rPr/>
        <w:t>particularly</w:t>
      </w:r>
      <w:r>
        <w:rPr>
          <w:spacing w:val="-5"/>
        </w:rPr>
        <w:t> </w:t>
      </w:r>
      <w:r>
        <w:rPr/>
        <w:t>the</w:t>
      </w:r>
      <w:r>
        <w:rPr>
          <w:spacing w:val="-5"/>
        </w:rPr>
        <w:t> </w:t>
      </w:r>
      <w:r>
        <w:rPr/>
        <w:t>RVV</w:t>
      </w:r>
      <w:r>
        <w:rPr>
          <w:spacing w:val="-5"/>
        </w:rPr>
        <w:t> </w:t>
      </w:r>
      <w:r>
        <w:rPr/>
        <w:t>plateau-then-collapse</w:t>
      </w:r>
      <w:r>
        <w:rPr>
          <w:spacing w:val="-5"/>
        </w:rPr>
        <w:t> </w:t>
      </w:r>
      <w:r>
        <w:rPr/>
        <w:t>shape. LOESS</w:t>
      </w:r>
      <w:r>
        <w:rPr>
          <w:spacing w:val="-5"/>
        </w:rPr>
        <w:t> </w:t>
      </w:r>
      <w:r>
        <w:rPr/>
        <w:t>detrending</w:t>
      </w:r>
      <w:r>
        <w:rPr>
          <w:spacing w:val="-5"/>
        </w:rPr>
        <w:t> </w:t>
      </w:r>
      <w:r>
        <w:rPr/>
        <w:t>was evaluated with a smoothing span of 0.40, which provides substantial flexibility while preserving some year-to-year structure.</w:t>
      </w:r>
    </w:p>
    <w:p>
      <w:pPr>
        <w:pStyle w:val="BodyText"/>
        <w:spacing w:line="312" w:lineRule="auto" w:before="12"/>
        <w:ind w:left="701" w:right="986" w:firstLine="346"/>
        <w:jc w:val="both"/>
      </w:pPr>
      <w:r>
        <w:rPr>
          <w:spacing w:val="-2"/>
        </w:rPr>
        <w:t>The</w:t>
      </w:r>
      <w:r>
        <w:rPr>
          <w:spacing w:val="-12"/>
        </w:rPr>
        <w:t> </w:t>
      </w:r>
      <w:r>
        <w:rPr>
          <w:spacing w:val="-2"/>
        </w:rPr>
        <w:t>result</w:t>
      </w:r>
      <w:r>
        <w:rPr>
          <w:spacing w:val="-12"/>
        </w:rPr>
        <w:t> </w:t>
      </w:r>
      <w:r>
        <w:rPr>
          <w:spacing w:val="-2"/>
        </w:rPr>
        <w:t>was</w:t>
      </w:r>
      <w:r>
        <w:rPr>
          <w:spacing w:val="-12"/>
        </w:rPr>
        <w:t> </w:t>
      </w:r>
      <w:r>
        <w:rPr>
          <w:spacing w:val="-2"/>
        </w:rPr>
        <w:t>counter-intuitive:</w:t>
      </w:r>
      <w:r>
        <w:rPr>
          <w:spacing w:val="-11"/>
        </w:rPr>
        <w:t> </w:t>
      </w:r>
      <w:r>
        <w:rPr>
          <w:spacing w:val="-2"/>
        </w:rPr>
        <w:t>LOESS</w:t>
      </w:r>
      <w:r>
        <w:rPr>
          <w:spacing w:val="-12"/>
        </w:rPr>
        <w:t> </w:t>
      </w:r>
      <w:r>
        <w:rPr>
          <w:spacing w:val="-2"/>
        </w:rPr>
        <w:t>improved</w:t>
      </w:r>
      <w:r>
        <w:rPr>
          <w:spacing w:val="-12"/>
        </w:rPr>
        <w:t> </w:t>
      </w:r>
      <w:r>
        <w:rPr>
          <w:spacing w:val="-2"/>
        </w:rPr>
        <w:t>the</w:t>
      </w:r>
      <w:r>
        <w:rPr>
          <w:spacing w:val="-12"/>
        </w:rPr>
        <w:t> </w:t>
      </w:r>
      <w:r>
        <w:rPr>
          <w:spacing w:val="-2"/>
        </w:rPr>
        <w:t>Naive_Median</w:t>
      </w:r>
      <w:r>
        <w:rPr>
          <w:spacing w:val="-11"/>
        </w:rPr>
        <w:t> </w:t>
      </w:r>
      <w:r>
        <w:rPr>
          <w:spacing w:val="-2"/>
        </w:rPr>
        <w:t>baseline</w:t>
      </w:r>
      <w:r>
        <w:rPr>
          <w:spacing w:val="-12"/>
        </w:rPr>
        <w:t> </w:t>
      </w:r>
      <w:r>
        <w:rPr>
          <w:spacing w:val="-2"/>
        </w:rPr>
        <w:t>substantially</w:t>
      </w:r>
      <w:r>
        <w:rPr>
          <w:spacing w:val="-12"/>
        </w:rPr>
        <w:t> </w:t>
      </w:r>
      <w:r>
        <w:rPr>
          <w:spacing w:val="-2"/>
        </w:rPr>
        <w:t>for </w:t>
      </w:r>
      <w:r>
        <w:rPr/>
        <w:t>RVV (from 140 to</w:t>
      </w:r>
      <w:r>
        <w:rPr>
          <w:spacing w:val="40"/>
        </w:rPr>
        <w:t> </w:t>
      </w:r>
      <w:r>
        <w:rPr/>
        <w:t>90 mhl, a 36% improvement in Decision 1) but eliminated all CarenR rules entirely, zero rules fired in any scenario. The explanation became clear upon reflection: LOESS with span 0.40 on an 80-year series absorbs so much of the inter-annual variation into the trend component</w:t>
      </w:r>
      <w:r>
        <w:rPr>
          <w:spacing w:val="8"/>
        </w:rPr>
        <w:t> </w:t>
      </w:r>
      <w:r>
        <w:rPr/>
        <w:t>that</w:t>
      </w:r>
      <w:r>
        <w:rPr>
          <w:spacing w:val="9"/>
        </w:rPr>
        <w:t> </w:t>
      </w:r>
      <w:r>
        <w:rPr/>
        <w:t>the</w:t>
      </w:r>
      <w:r>
        <w:rPr>
          <w:spacing w:val="8"/>
        </w:rPr>
        <w:t> </w:t>
      </w:r>
      <w:r>
        <w:rPr/>
        <w:t>residuals</w:t>
      </w:r>
      <w:r>
        <w:rPr>
          <w:spacing w:val="8"/>
        </w:rPr>
        <w:t> </w:t>
      </w:r>
      <w:r>
        <w:rPr/>
        <w:t>become</w:t>
      </w:r>
      <w:r>
        <w:rPr>
          <w:spacing w:val="9"/>
        </w:rPr>
        <w:t> </w:t>
      </w:r>
      <w:r>
        <w:rPr/>
        <w:t>too</w:t>
      </w:r>
      <w:r>
        <w:rPr>
          <w:spacing w:val="8"/>
        </w:rPr>
        <w:t> </w:t>
      </w:r>
      <w:r>
        <w:rPr/>
        <w:t>small</w:t>
      </w:r>
      <w:r>
        <w:rPr>
          <w:spacing w:val="9"/>
        </w:rPr>
        <w:t> </w:t>
      </w:r>
      <w:r>
        <w:rPr/>
        <w:t>and</w:t>
      </w:r>
      <w:r>
        <w:rPr>
          <w:spacing w:val="8"/>
        </w:rPr>
        <w:t> </w:t>
      </w:r>
      <w:r>
        <w:rPr/>
        <w:t>structureless</w:t>
      </w:r>
      <w:r>
        <w:rPr>
          <w:spacing w:val="9"/>
        </w:rPr>
        <w:t> </w:t>
      </w:r>
      <w:r>
        <w:rPr/>
        <w:t>for</w:t>
      </w:r>
      <w:r>
        <w:rPr>
          <w:spacing w:val="9"/>
        </w:rPr>
        <w:t> </w:t>
      </w:r>
      <w:r>
        <w:rPr/>
        <w:t>CarenR’s</w:t>
      </w:r>
      <w:r>
        <w:rPr>
          <w:spacing w:val="8"/>
        </w:rPr>
        <w:t> </w:t>
      </w:r>
      <w:r>
        <w:rPr/>
        <w:t>KS</w:t>
      </w:r>
      <w:r>
        <w:rPr>
          <w:spacing w:val="8"/>
        </w:rPr>
        <w:t> </w:t>
      </w:r>
      <w:r>
        <w:rPr/>
        <w:t>test</w:t>
      </w:r>
      <w:r>
        <w:rPr>
          <w:spacing w:val="9"/>
        </w:rPr>
        <w:t> </w:t>
      </w:r>
      <w:r>
        <w:rPr/>
        <w:t>to</w:t>
      </w:r>
      <w:r>
        <w:rPr>
          <w:spacing w:val="8"/>
        </w:rPr>
        <w:t> </w:t>
      </w:r>
      <w:r>
        <w:rPr>
          <w:spacing w:val="-2"/>
        </w:rPr>
        <w:t>detect</w:t>
      </w:r>
    </w:p>
    <w:p>
      <w:pPr>
        <w:pStyle w:val="BodyText"/>
        <w:spacing w:after="0" w:line="312" w:lineRule="auto"/>
        <w:jc w:val="both"/>
        <w:sectPr>
          <w:pgSz w:w="11910" w:h="16840"/>
          <w:pgMar w:header="1160" w:footer="0" w:top="1420" w:bottom="280" w:left="1275" w:right="425"/>
        </w:sectPr>
      </w:pPr>
    </w:p>
    <w:p>
      <w:pPr>
        <w:pStyle w:val="BodyText"/>
      </w:pPr>
    </w:p>
    <w:p>
      <w:pPr>
        <w:pStyle w:val="BodyText"/>
        <w:spacing w:before="25"/>
      </w:pPr>
    </w:p>
    <w:p>
      <w:pPr>
        <w:pStyle w:val="BodyText"/>
        <w:spacing w:line="312" w:lineRule="auto" w:before="1"/>
        <w:ind w:right="1530"/>
        <w:jc w:val="right"/>
      </w:pPr>
      <w:r>
        <w:rPr/>
        <w:t>significant</w:t>
      </w:r>
      <w:r>
        <w:rPr>
          <w:spacing w:val="-10"/>
        </w:rPr>
        <w:t> </w:t>
      </w:r>
      <w:r>
        <w:rPr/>
        <w:t>subgroup</w:t>
      </w:r>
      <w:r>
        <w:rPr>
          <w:spacing w:val="-10"/>
        </w:rPr>
        <w:t> </w:t>
      </w:r>
      <w:r>
        <w:rPr/>
        <w:t>differences. The</w:t>
      </w:r>
      <w:r>
        <w:rPr>
          <w:spacing w:val="-10"/>
        </w:rPr>
        <w:t> </w:t>
      </w:r>
      <w:r>
        <w:rPr/>
        <w:t>flexible</w:t>
      </w:r>
      <w:r>
        <w:rPr>
          <w:spacing w:val="-10"/>
        </w:rPr>
        <w:t> </w:t>
      </w:r>
      <w:r>
        <w:rPr/>
        <w:t>trend</w:t>
      </w:r>
      <w:r>
        <w:rPr>
          <w:spacing w:val="-10"/>
        </w:rPr>
        <w:t> </w:t>
      </w:r>
      <w:r>
        <w:rPr/>
        <w:t>was</w:t>
      </w:r>
      <w:r>
        <w:rPr>
          <w:spacing w:val="-10"/>
        </w:rPr>
        <w:t> </w:t>
      </w:r>
      <w:r>
        <w:rPr/>
        <w:t>doing</w:t>
      </w:r>
      <w:r>
        <w:rPr>
          <w:spacing w:val="-10"/>
        </w:rPr>
        <w:t> </w:t>
      </w:r>
      <w:r>
        <w:rPr/>
        <w:t>exactly</w:t>
      </w:r>
      <w:r>
        <w:rPr>
          <w:spacing w:val="-10"/>
        </w:rPr>
        <w:t> </w:t>
      </w:r>
      <w:r>
        <w:rPr/>
        <w:t>what</w:t>
      </w:r>
      <w:r>
        <w:rPr>
          <w:spacing w:val="-10"/>
        </w:rPr>
        <w:t> </w:t>
      </w:r>
      <w:r>
        <w:rPr/>
        <w:t>it</w:t>
      </w:r>
      <w:r>
        <w:rPr>
          <w:spacing w:val="-10"/>
        </w:rPr>
        <w:t> </w:t>
      </w:r>
      <w:r>
        <w:rPr/>
        <w:t>was</w:t>
      </w:r>
      <w:r>
        <w:rPr>
          <w:spacing w:val="-10"/>
        </w:rPr>
        <w:t> </w:t>
      </w:r>
      <w:r>
        <w:rPr/>
        <w:t>designed</w:t>
      </w:r>
      <w:r>
        <w:rPr>
          <w:spacing w:val="-10"/>
        </w:rPr>
        <w:t> </w:t>
      </w:r>
      <w:r>
        <w:rPr/>
        <w:t>to</w:t>
      </w:r>
      <w:r>
        <w:rPr>
          <w:spacing w:val="-10"/>
        </w:rPr>
        <w:t> </w:t>
      </w:r>
      <w:r>
        <w:rPr/>
        <w:t>do, capturing</w:t>
      </w:r>
      <w:r>
        <w:rPr>
          <w:spacing w:val="-5"/>
        </w:rPr>
        <w:t> </w:t>
      </w:r>
      <w:r>
        <w:rPr/>
        <w:t>year-to-year</w:t>
      </w:r>
      <w:r>
        <w:rPr>
          <w:spacing w:val="-5"/>
        </w:rPr>
        <w:t> </w:t>
      </w:r>
      <w:r>
        <w:rPr/>
        <w:t>variation,</w:t>
      </w:r>
      <w:r>
        <w:rPr>
          <w:spacing w:val="-5"/>
        </w:rPr>
        <w:t> </w:t>
      </w:r>
      <w:r>
        <w:rPr/>
        <w:t>but</w:t>
      </w:r>
      <w:r>
        <w:rPr>
          <w:spacing w:val="-5"/>
        </w:rPr>
        <w:t> </w:t>
      </w:r>
      <w:r>
        <w:rPr/>
        <w:t>in</w:t>
      </w:r>
      <w:r>
        <w:rPr>
          <w:spacing w:val="-5"/>
        </w:rPr>
        <w:t> </w:t>
      </w:r>
      <w:r>
        <w:rPr/>
        <w:t>doing</w:t>
      </w:r>
      <w:r>
        <w:rPr>
          <w:spacing w:val="-5"/>
        </w:rPr>
        <w:t> </w:t>
      </w:r>
      <w:r>
        <w:rPr/>
        <w:t>so</w:t>
      </w:r>
      <w:r>
        <w:rPr>
          <w:spacing w:val="-5"/>
        </w:rPr>
        <w:t> </w:t>
      </w:r>
      <w:r>
        <w:rPr/>
        <w:t>it</w:t>
      </w:r>
      <w:r>
        <w:rPr>
          <w:spacing w:val="-5"/>
        </w:rPr>
        <w:t> </w:t>
      </w:r>
      <w:r>
        <w:rPr/>
        <w:t>was</w:t>
      </w:r>
      <w:r>
        <w:rPr>
          <w:spacing w:val="-5"/>
        </w:rPr>
        <w:t> </w:t>
      </w:r>
      <w:r>
        <w:rPr/>
        <w:t>consuming</w:t>
      </w:r>
      <w:r>
        <w:rPr>
          <w:spacing w:val="-5"/>
        </w:rPr>
        <w:t> </w:t>
      </w:r>
      <w:r>
        <w:rPr/>
        <w:t>the</w:t>
      </w:r>
      <w:r>
        <w:rPr>
          <w:spacing w:val="-5"/>
        </w:rPr>
        <w:t> </w:t>
      </w:r>
      <w:r>
        <w:rPr/>
        <w:t>signal</w:t>
      </w:r>
      <w:r>
        <w:rPr>
          <w:spacing w:val="-5"/>
        </w:rPr>
        <w:t> </w:t>
      </w:r>
      <w:r>
        <w:rPr/>
        <w:t>that</w:t>
      </w:r>
      <w:r>
        <w:rPr>
          <w:spacing w:val="-5"/>
        </w:rPr>
        <w:t> </w:t>
      </w:r>
      <w:r>
        <w:rPr/>
        <w:t>CarenR</w:t>
      </w:r>
      <w:r>
        <w:rPr>
          <w:spacing w:val="-5"/>
        </w:rPr>
        <w:t> </w:t>
      </w:r>
      <w:r>
        <w:rPr/>
        <w:t>needed.</w:t>
      </w:r>
    </w:p>
    <w:p>
      <w:pPr>
        <w:pStyle w:val="BodyText"/>
        <w:spacing w:line="312" w:lineRule="auto"/>
        <w:ind w:left="135" w:right="1519" w:firstLine="345"/>
        <w:jc w:val="both"/>
      </w:pPr>
      <w:r>
        <w:rPr/>
        <w:t>For RDD, LOESS proved actively harmful: the Naive_Median baseline worsened from 184 to 290 mhl because LOESS extrapolated the slope of the final training years into the test period. The</w:t>
      </w:r>
      <w:r>
        <w:rPr>
          <w:spacing w:val="-4"/>
        </w:rPr>
        <w:t> </w:t>
      </w:r>
      <w:r>
        <w:rPr/>
        <w:t>Douro’s</w:t>
      </w:r>
      <w:r>
        <w:rPr>
          <w:spacing w:val="-4"/>
        </w:rPr>
        <w:t> </w:t>
      </w:r>
      <w:r>
        <w:rPr/>
        <w:t>production</w:t>
      </w:r>
      <w:r>
        <w:rPr>
          <w:spacing w:val="-4"/>
        </w:rPr>
        <w:t> </w:t>
      </w:r>
      <w:r>
        <w:rPr/>
        <w:t>had</w:t>
      </w:r>
      <w:r>
        <w:rPr>
          <w:spacing w:val="-4"/>
        </w:rPr>
        <w:t> </w:t>
      </w:r>
      <w:r>
        <w:rPr/>
        <w:t>plateaued</w:t>
      </w:r>
      <w:r>
        <w:rPr>
          <w:spacing w:val="-4"/>
        </w:rPr>
        <w:t> </w:t>
      </w:r>
      <w:r>
        <w:rPr/>
        <w:t>around</w:t>
      </w:r>
      <w:r>
        <w:rPr>
          <w:spacing w:val="-4"/>
        </w:rPr>
        <w:t> </w:t>
      </w:r>
      <w:r>
        <w:rPr/>
        <w:t>1,300–1,400</w:t>
      </w:r>
      <w:r>
        <w:rPr>
          <w:spacing w:val="-4"/>
        </w:rPr>
        <w:t> </w:t>
      </w:r>
      <w:r>
        <w:rPr/>
        <w:t>mhl</w:t>
      </w:r>
      <w:r>
        <w:rPr>
          <w:spacing w:val="-4"/>
        </w:rPr>
        <w:t> </w:t>
      </w:r>
      <w:r>
        <w:rPr/>
        <w:t>since</w:t>
      </w:r>
      <w:r>
        <w:rPr>
          <w:spacing w:val="-4"/>
        </w:rPr>
        <w:t> </w:t>
      </w:r>
      <w:r>
        <w:rPr/>
        <w:t>the</w:t>
      </w:r>
      <w:r>
        <w:rPr>
          <w:spacing w:val="-4"/>
        </w:rPr>
        <w:t> </w:t>
      </w:r>
      <w:r>
        <w:rPr/>
        <w:t>mid-2000s,</w:t>
      </w:r>
      <w:r>
        <w:rPr>
          <w:spacing w:val="-4"/>
        </w:rPr>
        <w:t> </w:t>
      </w:r>
      <w:r>
        <w:rPr/>
        <w:t>but</w:t>
      </w:r>
      <w:r>
        <w:rPr>
          <w:spacing w:val="-4"/>
        </w:rPr>
        <w:t> </w:t>
      </w:r>
      <w:r>
        <w:rPr/>
        <w:t>LOESS projected a continued slope from the training data into test years, systematically overestimating production.</w:t>
      </w:r>
      <w:r>
        <w:rPr>
          <w:spacing w:val="-14"/>
        </w:rPr>
        <w:t> </w:t>
      </w:r>
      <w:r>
        <w:rPr/>
        <w:t>The</w:t>
      </w:r>
      <w:r>
        <w:rPr>
          <w:spacing w:val="-14"/>
        </w:rPr>
        <w:t> </w:t>
      </w:r>
      <w:r>
        <w:rPr/>
        <w:t>rigid</w:t>
      </w:r>
      <w:r>
        <w:rPr>
          <w:spacing w:val="-14"/>
        </w:rPr>
        <w:t> </w:t>
      </w:r>
      <w:r>
        <w:rPr/>
        <w:t>linear</w:t>
      </w:r>
      <w:r>
        <w:rPr>
          <w:spacing w:val="-13"/>
        </w:rPr>
        <w:t> </w:t>
      </w:r>
      <w:r>
        <w:rPr/>
        <w:t>trend,</w:t>
      </w:r>
      <w:r>
        <w:rPr>
          <w:spacing w:val="-14"/>
        </w:rPr>
        <w:t> </w:t>
      </w:r>
      <w:r>
        <w:rPr/>
        <w:t>despite</w:t>
      </w:r>
      <w:r>
        <w:rPr>
          <w:spacing w:val="-14"/>
        </w:rPr>
        <w:t> </w:t>
      </w:r>
      <w:r>
        <w:rPr/>
        <w:t>its</w:t>
      </w:r>
      <w:r>
        <w:rPr>
          <w:spacing w:val="-14"/>
        </w:rPr>
        <w:t> </w:t>
      </w:r>
      <w:r>
        <w:rPr/>
        <w:t>simplicity,</w:t>
      </w:r>
      <w:r>
        <w:rPr>
          <w:spacing w:val="-13"/>
        </w:rPr>
        <w:t> </w:t>
      </w:r>
      <w:r>
        <w:rPr/>
        <w:t>happened</w:t>
      </w:r>
      <w:r>
        <w:rPr>
          <w:spacing w:val="-14"/>
        </w:rPr>
        <w:t> </w:t>
      </w:r>
      <w:r>
        <w:rPr/>
        <w:t>to</w:t>
      </w:r>
      <w:r>
        <w:rPr>
          <w:spacing w:val="-14"/>
        </w:rPr>
        <w:t> </w:t>
      </w:r>
      <w:r>
        <w:rPr/>
        <w:t>extrapolate</w:t>
      </w:r>
      <w:r>
        <w:rPr>
          <w:spacing w:val="-14"/>
        </w:rPr>
        <w:t> </w:t>
      </w:r>
      <w:r>
        <w:rPr/>
        <w:t>the</w:t>
      </w:r>
      <w:r>
        <w:rPr>
          <w:spacing w:val="-13"/>
        </w:rPr>
        <w:t> </w:t>
      </w:r>
      <w:r>
        <w:rPr/>
        <w:t>Douro</w:t>
      </w:r>
      <w:r>
        <w:rPr>
          <w:spacing w:val="-14"/>
        </w:rPr>
        <w:t> </w:t>
      </w:r>
      <w:r>
        <w:rPr/>
        <w:t>plateau more accurately than the flexible LOESS curve.</w:t>
      </w:r>
    </w:p>
    <w:p>
      <w:pPr>
        <w:pStyle w:val="BodyText"/>
        <w:spacing w:line="312" w:lineRule="auto"/>
        <w:ind w:left="142" w:right="1557" w:firstLine="338"/>
        <w:jc w:val="both"/>
      </w:pPr>
      <w:r>
        <w:rPr>
          <w:spacing w:val="-2"/>
        </w:rPr>
        <w:t>These</w:t>
      </w:r>
      <w:r>
        <w:rPr>
          <w:spacing w:val="-5"/>
        </w:rPr>
        <w:t> </w:t>
      </w:r>
      <w:r>
        <w:rPr>
          <w:spacing w:val="-2"/>
        </w:rPr>
        <w:t>LOESS</w:t>
      </w:r>
      <w:r>
        <w:rPr>
          <w:spacing w:val="-5"/>
        </w:rPr>
        <w:t> </w:t>
      </w:r>
      <w:r>
        <w:rPr>
          <w:spacing w:val="-2"/>
        </w:rPr>
        <w:t>results</w:t>
      </w:r>
      <w:r>
        <w:rPr>
          <w:spacing w:val="-5"/>
        </w:rPr>
        <w:t> </w:t>
      </w:r>
      <w:r>
        <w:rPr>
          <w:spacing w:val="-2"/>
        </w:rPr>
        <w:t>reinforced</w:t>
      </w:r>
      <w:r>
        <w:rPr>
          <w:spacing w:val="-5"/>
        </w:rPr>
        <w:t> </w:t>
      </w:r>
      <w:r>
        <w:rPr>
          <w:spacing w:val="-2"/>
        </w:rPr>
        <w:t>the</w:t>
      </w:r>
      <w:r>
        <w:rPr>
          <w:spacing w:val="-5"/>
        </w:rPr>
        <w:t> </w:t>
      </w:r>
      <w:r>
        <w:rPr>
          <w:spacing w:val="-2"/>
        </w:rPr>
        <w:t>two-decision</w:t>
      </w:r>
      <w:r>
        <w:rPr>
          <w:spacing w:val="-5"/>
        </w:rPr>
        <w:t> </w:t>
      </w:r>
      <w:r>
        <w:rPr>
          <w:spacing w:val="-2"/>
        </w:rPr>
        <w:t>decomposition: improving</w:t>
      </w:r>
      <w:r>
        <w:rPr>
          <w:spacing w:val="-5"/>
        </w:rPr>
        <w:t> </w:t>
      </w:r>
      <w:r>
        <w:rPr>
          <w:spacing w:val="-2"/>
        </w:rPr>
        <w:t>Decision</w:t>
      </w:r>
      <w:r>
        <w:rPr>
          <w:spacing w:val="-5"/>
        </w:rPr>
        <w:t> </w:t>
      </w:r>
      <w:r>
        <w:rPr>
          <w:spacing w:val="-2"/>
        </w:rPr>
        <w:t>1</w:t>
      </w:r>
      <w:r>
        <w:rPr>
          <w:spacing w:val="-5"/>
        </w:rPr>
        <w:t> </w:t>
      </w:r>
      <w:r>
        <w:rPr>
          <w:spacing w:val="-2"/>
        </w:rPr>
        <w:t>(trend </w:t>
      </w:r>
      <w:r>
        <w:rPr/>
        <w:t>quality)</w:t>
      </w:r>
      <w:r>
        <w:rPr>
          <w:spacing w:val="-11"/>
        </w:rPr>
        <w:t> </w:t>
      </w:r>
      <w:r>
        <w:rPr/>
        <w:t>came</w:t>
      </w:r>
      <w:r>
        <w:rPr>
          <w:spacing w:val="-11"/>
        </w:rPr>
        <w:t> </w:t>
      </w:r>
      <w:r>
        <w:rPr/>
        <w:t>directly</w:t>
      </w:r>
      <w:r>
        <w:rPr>
          <w:spacing w:val="-11"/>
        </w:rPr>
        <w:t> </w:t>
      </w:r>
      <w:r>
        <w:rPr/>
        <w:t>at</w:t>
      </w:r>
      <w:r>
        <w:rPr>
          <w:spacing w:val="-11"/>
        </w:rPr>
        <w:t> </w:t>
      </w:r>
      <w:r>
        <w:rPr/>
        <w:t>the</w:t>
      </w:r>
      <w:r>
        <w:rPr>
          <w:spacing w:val="-11"/>
        </w:rPr>
        <w:t> </w:t>
      </w:r>
      <w:r>
        <w:rPr/>
        <w:t>cost</w:t>
      </w:r>
      <w:r>
        <w:rPr>
          <w:spacing w:val="-11"/>
        </w:rPr>
        <w:t> </w:t>
      </w:r>
      <w:r>
        <w:rPr/>
        <w:t>of</w:t>
      </w:r>
      <w:r>
        <w:rPr>
          <w:spacing w:val="-11"/>
        </w:rPr>
        <w:t> </w:t>
      </w:r>
      <w:r>
        <w:rPr/>
        <w:t>Decision</w:t>
      </w:r>
      <w:r>
        <w:rPr>
          <w:spacing w:val="-11"/>
        </w:rPr>
        <w:t> </w:t>
      </w:r>
      <w:r>
        <w:rPr/>
        <w:t>2</w:t>
      </w:r>
      <w:r>
        <w:rPr>
          <w:spacing w:val="-11"/>
        </w:rPr>
        <w:t> </w:t>
      </w:r>
      <w:r>
        <w:rPr/>
        <w:t>(climate</w:t>
      </w:r>
      <w:r>
        <w:rPr>
          <w:spacing w:val="-11"/>
        </w:rPr>
        <w:t> </w:t>
      </w:r>
      <w:r>
        <w:rPr/>
        <w:t>signal</w:t>
      </w:r>
      <w:r>
        <w:rPr>
          <w:spacing w:val="-11"/>
        </w:rPr>
        <w:t> </w:t>
      </w:r>
      <w:r>
        <w:rPr/>
        <w:t>availability). The</w:t>
      </w:r>
      <w:r>
        <w:rPr>
          <w:spacing w:val="-11"/>
        </w:rPr>
        <w:t> </w:t>
      </w:r>
      <w:r>
        <w:rPr/>
        <w:t>decision</w:t>
      </w:r>
      <w:r>
        <w:rPr>
          <w:spacing w:val="-11"/>
        </w:rPr>
        <w:t> </w:t>
      </w:r>
      <w:r>
        <w:rPr/>
        <w:t>to</w:t>
      </w:r>
      <w:r>
        <w:rPr>
          <w:spacing w:val="-11"/>
        </w:rPr>
        <w:t> </w:t>
      </w:r>
      <w:r>
        <w:rPr/>
        <w:t>retain linear detrending for the primary analysis was therefore not a limitation born of simplicity but a deliberate</w:t>
      </w:r>
      <w:r>
        <w:rPr>
          <w:spacing w:val="-8"/>
        </w:rPr>
        <w:t> </w:t>
      </w:r>
      <w:r>
        <w:rPr/>
        <w:t>choice</w:t>
      </w:r>
      <w:r>
        <w:rPr>
          <w:spacing w:val="-8"/>
        </w:rPr>
        <w:t> </w:t>
      </w:r>
      <w:r>
        <w:rPr/>
        <w:t>that</w:t>
      </w:r>
      <w:r>
        <w:rPr>
          <w:spacing w:val="-8"/>
        </w:rPr>
        <w:t> </w:t>
      </w:r>
      <w:r>
        <w:rPr/>
        <w:t>maximised</w:t>
      </w:r>
      <w:r>
        <w:rPr>
          <w:spacing w:val="-8"/>
        </w:rPr>
        <w:t> </w:t>
      </w:r>
      <w:r>
        <w:rPr/>
        <w:t>the</w:t>
      </w:r>
      <w:r>
        <w:rPr>
          <w:spacing w:val="-8"/>
        </w:rPr>
        <w:t> </w:t>
      </w:r>
      <w:r>
        <w:rPr/>
        <w:t>climate</w:t>
      </w:r>
      <w:r>
        <w:rPr>
          <w:spacing w:val="-8"/>
        </w:rPr>
        <w:t> </w:t>
      </w:r>
      <w:r>
        <w:rPr/>
        <w:t>signal</w:t>
      </w:r>
      <w:r>
        <w:rPr>
          <w:spacing w:val="-8"/>
        </w:rPr>
        <w:t> </w:t>
      </w:r>
      <w:r>
        <w:rPr/>
        <w:t>available</w:t>
      </w:r>
      <w:r>
        <w:rPr>
          <w:spacing w:val="-8"/>
        </w:rPr>
        <w:t> </w:t>
      </w:r>
      <w:r>
        <w:rPr/>
        <w:t>for</w:t>
      </w:r>
      <w:r>
        <w:rPr>
          <w:spacing w:val="-8"/>
        </w:rPr>
        <w:t> </w:t>
      </w:r>
      <w:r>
        <w:rPr/>
        <w:t>rule</w:t>
      </w:r>
      <w:r>
        <w:rPr>
          <w:spacing w:val="-8"/>
        </w:rPr>
        <w:t> </w:t>
      </w:r>
      <w:r>
        <w:rPr/>
        <w:t>discovery</w:t>
      </w:r>
      <w:r>
        <w:rPr>
          <w:spacing w:val="-8"/>
        </w:rPr>
        <w:t> </w:t>
      </w:r>
      <w:r>
        <w:rPr/>
        <w:t>while</w:t>
      </w:r>
      <w:r>
        <w:rPr>
          <w:spacing w:val="-8"/>
        </w:rPr>
        <w:t> </w:t>
      </w:r>
      <w:r>
        <w:rPr/>
        <w:t>accepting</w:t>
      </w:r>
      <w:r>
        <w:rPr>
          <w:spacing w:val="-8"/>
        </w:rPr>
        <w:t> </w:t>
      </w:r>
      <w:r>
        <w:rPr/>
        <w:t>a higher baseline error.</w:t>
      </w:r>
    </w:p>
    <w:p>
      <w:pPr>
        <w:pStyle w:val="BodyText"/>
        <w:spacing w:before="44"/>
      </w:pPr>
    </w:p>
    <w:p>
      <w:pPr>
        <w:pStyle w:val="Heading3"/>
        <w:numPr>
          <w:ilvl w:val="2"/>
          <w:numId w:val="37"/>
        </w:numPr>
        <w:tabs>
          <w:tab w:pos="859" w:val="left" w:leader="none"/>
        </w:tabs>
        <w:spacing w:line="240" w:lineRule="auto" w:before="0" w:after="0"/>
        <w:ind w:left="859" w:right="0" w:hanging="717"/>
        <w:jc w:val="left"/>
      </w:pPr>
      <w:bookmarkStart w:name="6.7.3 The Classification-to-Regression T" w:id="238"/>
      <w:bookmarkEnd w:id="238"/>
      <w:r>
        <w:rPr>
          <w:b w:val="0"/>
        </w:rPr>
      </w:r>
      <w:bookmarkStart w:name="_bookmark141" w:id="239"/>
      <w:bookmarkEnd w:id="239"/>
      <w:r>
        <w:rPr>
          <w:b w:val="0"/>
        </w:rPr>
      </w:r>
      <w:r>
        <w:rPr>
          <w:spacing w:val="-2"/>
        </w:rPr>
        <w:t>The</w:t>
      </w:r>
      <w:r>
        <w:rPr>
          <w:spacing w:val="11"/>
        </w:rPr>
        <w:t> </w:t>
      </w:r>
      <w:r>
        <w:rPr>
          <w:spacing w:val="-2"/>
        </w:rPr>
        <w:t>Classification-to-Regression</w:t>
      </w:r>
      <w:r>
        <w:rPr>
          <w:spacing w:val="11"/>
        </w:rPr>
        <w:t> </w:t>
      </w:r>
      <w:r>
        <w:rPr>
          <w:spacing w:val="-2"/>
        </w:rPr>
        <w:t>Transition</w:t>
      </w:r>
    </w:p>
    <w:p>
      <w:pPr>
        <w:pStyle w:val="BodyText"/>
        <w:spacing w:line="312" w:lineRule="auto" w:before="219"/>
        <w:ind w:left="142" w:right="1557" w:hanging="7"/>
        <w:jc w:val="both"/>
      </w:pPr>
      <w:r>
        <w:rPr/>
        <w:t>The original design of Goal 2 (Predictive Validation) used RIPPER as the primary comparison model,</w:t>
      </w:r>
      <w:r>
        <w:rPr>
          <w:spacing w:val="-6"/>
        </w:rPr>
        <w:t> </w:t>
      </w:r>
      <w:r>
        <w:rPr/>
        <w:t>with</w:t>
      </w:r>
      <w:r>
        <w:rPr>
          <w:spacing w:val="-6"/>
        </w:rPr>
        <w:t> </w:t>
      </w:r>
      <w:r>
        <w:rPr/>
        <w:t>production</w:t>
      </w:r>
      <w:r>
        <w:rPr>
          <w:spacing w:val="-6"/>
        </w:rPr>
        <w:t> </w:t>
      </w:r>
      <w:r>
        <w:rPr/>
        <w:t>discretised</w:t>
      </w:r>
      <w:r>
        <w:rPr>
          <w:spacing w:val="-6"/>
        </w:rPr>
        <w:t> </w:t>
      </w:r>
      <w:r>
        <w:rPr/>
        <w:t>into</w:t>
      </w:r>
      <w:r>
        <w:rPr>
          <w:spacing w:val="-6"/>
        </w:rPr>
        <w:t> </w:t>
      </w:r>
      <w:r>
        <w:rPr/>
        <w:t>Low</w:t>
      </w:r>
      <w:r>
        <w:rPr>
          <w:spacing w:val="-6"/>
        </w:rPr>
        <w:t> </w:t>
      </w:r>
      <w:r>
        <w:rPr/>
        <w:t>/</w:t>
      </w:r>
      <w:r>
        <w:rPr>
          <w:spacing w:val="-6"/>
        </w:rPr>
        <w:t> </w:t>
      </w:r>
      <w:r>
        <w:rPr/>
        <w:t>Medium</w:t>
      </w:r>
      <w:r>
        <w:rPr>
          <w:spacing w:val="-6"/>
        </w:rPr>
        <w:t> </w:t>
      </w:r>
      <w:r>
        <w:rPr/>
        <w:t>/</w:t>
      </w:r>
      <w:r>
        <w:rPr>
          <w:spacing w:val="-6"/>
        </w:rPr>
        <w:t> </w:t>
      </w:r>
      <w:r>
        <w:rPr/>
        <w:t>High</w:t>
      </w:r>
      <w:r>
        <w:rPr>
          <w:spacing w:val="-6"/>
        </w:rPr>
        <w:t> </w:t>
      </w:r>
      <w:r>
        <w:rPr/>
        <w:t>classes. The</w:t>
      </w:r>
      <w:r>
        <w:rPr>
          <w:spacing w:val="-6"/>
        </w:rPr>
        <w:t> </w:t>
      </w:r>
      <w:r>
        <w:rPr/>
        <w:t>evaluation</w:t>
      </w:r>
      <w:r>
        <w:rPr>
          <w:spacing w:val="-6"/>
        </w:rPr>
        <w:t> </w:t>
      </w:r>
      <w:r>
        <w:rPr/>
        <w:t>metric</w:t>
      </w:r>
      <w:r>
        <w:rPr>
          <w:spacing w:val="-6"/>
        </w:rPr>
        <w:t> </w:t>
      </w:r>
      <w:r>
        <w:rPr/>
        <w:t>was </w:t>
      </w:r>
      <w:r>
        <w:rPr>
          <w:spacing w:val="-2"/>
        </w:rPr>
        <w:t>classification</w:t>
      </w:r>
      <w:r>
        <w:rPr>
          <w:spacing w:val="-6"/>
        </w:rPr>
        <w:t> </w:t>
      </w:r>
      <w:r>
        <w:rPr>
          <w:spacing w:val="-2"/>
        </w:rPr>
        <w:t>accuracy. This</w:t>
      </w:r>
      <w:r>
        <w:rPr>
          <w:spacing w:val="-6"/>
        </w:rPr>
        <w:t> </w:t>
      </w:r>
      <w:r>
        <w:rPr>
          <w:spacing w:val="-2"/>
        </w:rPr>
        <w:t>design</w:t>
      </w:r>
      <w:r>
        <w:rPr>
          <w:spacing w:val="-6"/>
        </w:rPr>
        <w:t> </w:t>
      </w:r>
      <w:r>
        <w:rPr>
          <w:spacing w:val="-2"/>
        </w:rPr>
        <w:t>proved</w:t>
      </w:r>
      <w:r>
        <w:rPr>
          <w:spacing w:val="-6"/>
        </w:rPr>
        <w:t> </w:t>
      </w:r>
      <w:r>
        <w:rPr>
          <w:spacing w:val="-2"/>
        </w:rPr>
        <w:t>unsatisfactory</w:t>
      </w:r>
      <w:r>
        <w:rPr>
          <w:spacing w:val="-6"/>
        </w:rPr>
        <w:t> </w:t>
      </w:r>
      <w:r>
        <w:rPr>
          <w:spacing w:val="-2"/>
        </w:rPr>
        <w:t>for</w:t>
      </w:r>
      <w:r>
        <w:rPr>
          <w:spacing w:val="-6"/>
        </w:rPr>
        <w:t> </w:t>
      </w:r>
      <w:r>
        <w:rPr>
          <w:spacing w:val="-2"/>
        </w:rPr>
        <w:t>two</w:t>
      </w:r>
      <w:r>
        <w:rPr>
          <w:spacing w:val="-6"/>
        </w:rPr>
        <w:t> </w:t>
      </w:r>
      <w:r>
        <w:rPr>
          <w:spacing w:val="-2"/>
        </w:rPr>
        <w:t>reasons</w:t>
      </w:r>
      <w:r>
        <w:rPr>
          <w:spacing w:val="-6"/>
        </w:rPr>
        <w:t> </w:t>
      </w:r>
      <w:r>
        <w:rPr>
          <w:spacing w:val="-2"/>
        </w:rPr>
        <w:t>discovered</w:t>
      </w:r>
      <w:r>
        <w:rPr>
          <w:spacing w:val="-6"/>
        </w:rPr>
        <w:t> </w:t>
      </w:r>
      <w:r>
        <w:rPr>
          <w:spacing w:val="-2"/>
        </w:rPr>
        <w:t>during</w:t>
      </w:r>
      <w:r>
        <w:rPr>
          <w:spacing w:val="-6"/>
        </w:rPr>
        <w:t> </w:t>
      </w:r>
      <w:r>
        <w:rPr>
          <w:spacing w:val="-2"/>
        </w:rPr>
        <w:t>initial experiments.</w:t>
      </w:r>
    </w:p>
    <w:p>
      <w:pPr>
        <w:pStyle w:val="BodyText"/>
        <w:spacing w:line="312" w:lineRule="auto"/>
        <w:ind w:left="142" w:right="1549" w:firstLine="338"/>
        <w:jc w:val="both"/>
      </w:pPr>
      <w:r>
        <w:rPr/>
        <w:t>First,</w:t>
      </w:r>
      <w:r>
        <w:rPr>
          <w:spacing w:val="-12"/>
        </w:rPr>
        <w:t> </w:t>
      </w:r>
      <w:r>
        <w:rPr/>
        <w:t>RIPPER’s</w:t>
      </w:r>
      <w:r>
        <w:rPr>
          <w:spacing w:val="-12"/>
        </w:rPr>
        <w:t> </w:t>
      </w:r>
      <w:r>
        <w:rPr/>
        <w:t>cross-validated</w:t>
      </w:r>
      <w:r>
        <w:rPr>
          <w:spacing w:val="-12"/>
        </w:rPr>
        <w:t> </w:t>
      </w:r>
      <w:r>
        <w:rPr/>
        <w:t>accuracy</w:t>
      </w:r>
      <w:r>
        <w:rPr>
          <w:spacing w:val="-12"/>
        </w:rPr>
        <w:t> </w:t>
      </w:r>
      <w:r>
        <w:rPr/>
        <w:t>of</w:t>
      </w:r>
      <w:r>
        <w:rPr>
          <w:spacing w:val="-12"/>
        </w:rPr>
        <w:t> </w:t>
      </w:r>
      <w:r>
        <w:rPr/>
        <w:t>28–42%,</w:t>
      </w:r>
      <w:r>
        <w:rPr>
          <w:spacing w:val="-12"/>
        </w:rPr>
        <w:t> </w:t>
      </w:r>
      <w:r>
        <w:rPr/>
        <w:t>only</w:t>
      </w:r>
      <w:r>
        <w:rPr>
          <w:spacing w:val="-12"/>
        </w:rPr>
        <w:t> </w:t>
      </w:r>
      <w:r>
        <w:rPr/>
        <w:t>marginally</w:t>
      </w:r>
      <w:r>
        <w:rPr>
          <w:spacing w:val="-12"/>
        </w:rPr>
        <w:t> </w:t>
      </w:r>
      <w:r>
        <w:rPr/>
        <w:t>above</w:t>
      </w:r>
      <w:r>
        <w:rPr>
          <w:spacing w:val="-12"/>
        </w:rPr>
        <w:t> </w:t>
      </w:r>
      <w:r>
        <w:rPr/>
        <w:t>the</w:t>
      </w:r>
      <w:r>
        <w:rPr>
          <w:spacing w:val="-12"/>
        </w:rPr>
        <w:t> </w:t>
      </w:r>
      <w:r>
        <w:rPr/>
        <w:t>33%</w:t>
      </w:r>
      <w:r>
        <w:rPr>
          <w:spacing w:val="-12"/>
        </w:rPr>
        <w:t> </w:t>
      </w:r>
      <w:r>
        <w:rPr/>
        <w:t>random baseline, confirmed that the classification task was genuinely difficult but also revealed that the </w:t>
      </w:r>
      <w:r>
        <w:rPr>
          <w:spacing w:val="-4"/>
        </w:rPr>
        <w:t>accuracy metric was a poor measure of prediction quality for this application.</w:t>
      </w:r>
      <w:r>
        <w:rPr>
          <w:spacing w:val="17"/>
        </w:rPr>
        <w:t> </w:t>
      </w:r>
      <w:r>
        <w:rPr>
          <w:spacing w:val="-4"/>
        </w:rPr>
        <w:t>A model that correctly </w:t>
      </w:r>
      <w:r>
        <w:rPr>
          <w:spacing w:val="-2"/>
        </w:rPr>
        <w:t>identifies</w:t>
      </w:r>
      <w:r>
        <w:rPr>
          <w:spacing w:val="-12"/>
        </w:rPr>
        <w:t> </w:t>
      </w:r>
      <w:r>
        <w:rPr>
          <w:spacing w:val="-2"/>
        </w:rPr>
        <w:t>“above-trend”</w:t>
      </w:r>
      <w:r>
        <w:rPr>
          <w:spacing w:val="-12"/>
        </w:rPr>
        <w:t> </w:t>
      </w:r>
      <w:r>
        <w:rPr>
          <w:spacing w:val="-2"/>
        </w:rPr>
        <w:t>vs</w:t>
      </w:r>
      <w:r>
        <w:rPr>
          <w:spacing w:val="-12"/>
        </w:rPr>
        <w:t> </w:t>
      </w:r>
      <w:r>
        <w:rPr>
          <w:spacing w:val="-2"/>
        </w:rPr>
        <w:t>“below-trend”</w:t>
      </w:r>
      <w:r>
        <w:rPr>
          <w:spacing w:val="-11"/>
        </w:rPr>
        <w:t> </w:t>
      </w:r>
      <w:r>
        <w:rPr>
          <w:spacing w:val="-2"/>
        </w:rPr>
        <w:t>years</w:t>
      </w:r>
      <w:r>
        <w:rPr>
          <w:spacing w:val="-12"/>
        </w:rPr>
        <w:t> </w:t>
      </w:r>
      <w:r>
        <w:rPr>
          <w:spacing w:val="-2"/>
        </w:rPr>
        <w:t>at</w:t>
      </w:r>
      <w:r>
        <w:rPr>
          <w:spacing w:val="-12"/>
        </w:rPr>
        <w:t> </w:t>
      </w:r>
      <w:r>
        <w:rPr>
          <w:spacing w:val="-2"/>
        </w:rPr>
        <w:t>55%</w:t>
      </w:r>
      <w:r>
        <w:rPr>
          <w:spacing w:val="-12"/>
        </w:rPr>
        <w:t> </w:t>
      </w:r>
      <w:r>
        <w:rPr>
          <w:spacing w:val="-2"/>
        </w:rPr>
        <w:t>accuracy</w:t>
      </w:r>
      <w:r>
        <w:rPr>
          <w:spacing w:val="-11"/>
        </w:rPr>
        <w:t> </w:t>
      </w:r>
      <w:r>
        <w:rPr>
          <w:spacing w:val="-2"/>
        </w:rPr>
        <w:t>might</w:t>
      </w:r>
      <w:r>
        <w:rPr>
          <w:spacing w:val="-12"/>
        </w:rPr>
        <w:t> </w:t>
      </w:r>
      <w:r>
        <w:rPr>
          <w:spacing w:val="-2"/>
        </w:rPr>
        <w:t>be</w:t>
      </w:r>
      <w:r>
        <w:rPr>
          <w:spacing w:val="-12"/>
        </w:rPr>
        <w:t> </w:t>
      </w:r>
      <w:r>
        <w:rPr>
          <w:spacing w:val="-2"/>
        </w:rPr>
        <w:t>practically</w:t>
      </w:r>
      <w:r>
        <w:rPr>
          <w:spacing w:val="-12"/>
        </w:rPr>
        <w:t> </w:t>
      </w:r>
      <w:r>
        <w:rPr>
          <w:spacing w:val="-2"/>
        </w:rPr>
        <w:t>valuable</w:t>
      </w:r>
      <w:r>
        <w:rPr>
          <w:spacing w:val="-11"/>
        </w:rPr>
        <w:t> </w:t>
      </w:r>
      <w:r>
        <w:rPr>
          <w:spacing w:val="-2"/>
        </w:rPr>
        <w:t>even </w:t>
      </w:r>
      <w:r>
        <w:rPr/>
        <w:t>if its overall three-class accuracy is modest, because correctly identifying the direction is more important than nailing the precise tertile. Accuracy treats all misclassifications equally, which is not the right criterion when the goal is to outperform a naive quantitative forecast.</w:t>
      </w:r>
    </w:p>
    <w:p>
      <w:pPr>
        <w:pStyle w:val="BodyText"/>
        <w:spacing w:line="312" w:lineRule="auto"/>
        <w:ind w:left="134" w:right="1530" w:firstLine="346"/>
        <w:jc w:val="both"/>
      </w:pPr>
      <w:r>
        <w:rPr/>
        <w:t>Second, comparing RIPPER (classification) against CarenR (which outputs a continuous median</w:t>
      </w:r>
      <w:r>
        <w:rPr>
          <w:spacing w:val="-9"/>
        </w:rPr>
        <w:t> </w:t>
      </w:r>
      <w:r>
        <w:rPr/>
        <w:t>residual)</w:t>
      </w:r>
      <w:r>
        <w:rPr>
          <w:spacing w:val="-9"/>
        </w:rPr>
        <w:t> </w:t>
      </w:r>
      <w:r>
        <w:rPr/>
        <w:t>required</w:t>
      </w:r>
      <w:r>
        <w:rPr>
          <w:spacing w:val="-9"/>
        </w:rPr>
        <w:t> </w:t>
      </w:r>
      <w:r>
        <w:rPr/>
        <w:t>arbitrary</w:t>
      </w:r>
      <w:r>
        <w:rPr>
          <w:spacing w:val="-9"/>
        </w:rPr>
        <w:t> </w:t>
      </w:r>
      <w:r>
        <w:rPr/>
        <w:t>conversion</w:t>
      </w:r>
      <w:r>
        <w:rPr>
          <w:spacing w:val="-9"/>
        </w:rPr>
        <w:t> </w:t>
      </w:r>
      <w:r>
        <w:rPr/>
        <w:t>of</w:t>
      </w:r>
      <w:r>
        <w:rPr>
          <w:spacing w:val="-9"/>
        </w:rPr>
        <w:t> </w:t>
      </w:r>
      <w:r>
        <w:rPr/>
        <w:t>CarenR’s</w:t>
      </w:r>
      <w:r>
        <w:rPr>
          <w:spacing w:val="-9"/>
        </w:rPr>
        <w:t> </w:t>
      </w:r>
      <w:r>
        <w:rPr/>
        <w:t>continuous</w:t>
      </w:r>
      <w:r>
        <w:rPr>
          <w:spacing w:val="-9"/>
        </w:rPr>
        <w:t> </w:t>
      </w:r>
      <w:r>
        <w:rPr/>
        <w:t>predictions</w:t>
      </w:r>
      <w:r>
        <w:rPr>
          <w:spacing w:val="-9"/>
        </w:rPr>
        <w:t> </w:t>
      </w:r>
      <w:r>
        <w:rPr/>
        <w:t>to</w:t>
      </w:r>
      <w:r>
        <w:rPr>
          <w:spacing w:val="-9"/>
        </w:rPr>
        <w:t> </w:t>
      </w:r>
      <w:r>
        <w:rPr/>
        <w:t>class</w:t>
      </w:r>
      <w:r>
        <w:rPr>
          <w:spacing w:val="-9"/>
        </w:rPr>
        <w:t> </w:t>
      </w:r>
      <w:r>
        <w:rPr/>
        <w:t>labels, </w:t>
      </w:r>
      <w:r>
        <w:rPr>
          <w:spacing w:val="-2"/>
        </w:rPr>
        <w:t>or</w:t>
      </w:r>
      <w:r>
        <w:rPr>
          <w:spacing w:val="-9"/>
        </w:rPr>
        <w:t> </w:t>
      </w:r>
      <w:r>
        <w:rPr>
          <w:spacing w:val="-2"/>
        </w:rPr>
        <w:t>RIPPER’s</w:t>
      </w:r>
      <w:r>
        <w:rPr>
          <w:spacing w:val="-9"/>
        </w:rPr>
        <w:t> </w:t>
      </w:r>
      <w:r>
        <w:rPr>
          <w:spacing w:val="-2"/>
        </w:rPr>
        <w:t>class</w:t>
      </w:r>
      <w:r>
        <w:rPr>
          <w:spacing w:val="-9"/>
        </w:rPr>
        <w:t> </w:t>
      </w:r>
      <w:r>
        <w:rPr>
          <w:spacing w:val="-2"/>
        </w:rPr>
        <w:t>labels</w:t>
      </w:r>
      <w:r>
        <w:rPr>
          <w:spacing w:val="-9"/>
        </w:rPr>
        <w:t> </w:t>
      </w:r>
      <w:r>
        <w:rPr>
          <w:spacing w:val="-2"/>
        </w:rPr>
        <w:t>to</w:t>
      </w:r>
      <w:r>
        <w:rPr>
          <w:spacing w:val="-9"/>
        </w:rPr>
        <w:t> </w:t>
      </w:r>
      <w:r>
        <w:rPr>
          <w:spacing w:val="-2"/>
        </w:rPr>
        <w:t>continuous</w:t>
      </w:r>
      <w:r>
        <w:rPr>
          <w:spacing w:val="-9"/>
        </w:rPr>
        <w:t> </w:t>
      </w:r>
      <w:r>
        <w:rPr>
          <w:spacing w:val="-2"/>
        </w:rPr>
        <w:t>values. Either</w:t>
      </w:r>
      <w:r>
        <w:rPr>
          <w:spacing w:val="-9"/>
        </w:rPr>
        <w:t> </w:t>
      </w:r>
      <w:r>
        <w:rPr>
          <w:spacing w:val="-2"/>
        </w:rPr>
        <w:t>conversion</w:t>
      </w:r>
      <w:r>
        <w:rPr>
          <w:spacing w:val="-9"/>
        </w:rPr>
        <w:t> </w:t>
      </w:r>
      <w:r>
        <w:rPr>
          <w:spacing w:val="-2"/>
        </w:rPr>
        <w:t>introduced</w:t>
      </w:r>
      <w:r>
        <w:rPr>
          <w:spacing w:val="-9"/>
        </w:rPr>
        <w:t> </w:t>
      </w:r>
      <w:r>
        <w:rPr>
          <w:spacing w:val="-2"/>
        </w:rPr>
        <w:t>distortion.</w:t>
      </w:r>
      <w:r>
        <w:rPr/>
        <w:t> </w:t>
      </w:r>
      <w:r>
        <w:rPr>
          <w:spacing w:val="-2"/>
        </w:rPr>
        <w:t>The</w:t>
      </w:r>
      <w:r>
        <w:rPr>
          <w:spacing w:val="-9"/>
        </w:rPr>
        <w:t> </w:t>
      </w:r>
      <w:r>
        <w:rPr>
          <w:spacing w:val="-2"/>
        </w:rPr>
        <w:t>cleaner solution</w:t>
      </w:r>
      <w:r>
        <w:rPr>
          <w:spacing w:val="-12"/>
        </w:rPr>
        <w:t> </w:t>
      </w:r>
      <w:r>
        <w:rPr>
          <w:spacing w:val="-2"/>
        </w:rPr>
        <w:t>was</w:t>
      </w:r>
      <w:r>
        <w:rPr>
          <w:spacing w:val="-12"/>
        </w:rPr>
        <w:t> </w:t>
      </w:r>
      <w:r>
        <w:rPr>
          <w:spacing w:val="-2"/>
        </w:rPr>
        <w:t>to</w:t>
      </w:r>
      <w:r>
        <w:rPr>
          <w:spacing w:val="-12"/>
        </w:rPr>
        <w:t> </w:t>
      </w:r>
      <w:r>
        <w:rPr>
          <w:spacing w:val="-2"/>
        </w:rPr>
        <w:t>operate</w:t>
      </w:r>
      <w:r>
        <w:rPr>
          <w:spacing w:val="-11"/>
        </w:rPr>
        <w:t> </w:t>
      </w:r>
      <w:r>
        <w:rPr>
          <w:spacing w:val="-2"/>
        </w:rPr>
        <w:t>entirely</w:t>
      </w:r>
      <w:r>
        <w:rPr>
          <w:spacing w:val="-12"/>
        </w:rPr>
        <w:t> </w:t>
      </w:r>
      <w:r>
        <w:rPr>
          <w:spacing w:val="-2"/>
        </w:rPr>
        <w:t>in</w:t>
      </w:r>
      <w:r>
        <w:rPr>
          <w:spacing w:val="-12"/>
        </w:rPr>
        <w:t> </w:t>
      </w:r>
      <w:r>
        <w:rPr>
          <w:spacing w:val="-2"/>
        </w:rPr>
        <w:t>the</w:t>
      </w:r>
      <w:r>
        <w:rPr>
          <w:spacing w:val="-12"/>
        </w:rPr>
        <w:t> </w:t>
      </w:r>
      <w:r>
        <w:rPr>
          <w:spacing w:val="-2"/>
        </w:rPr>
        <w:t>continuous</w:t>
      </w:r>
      <w:r>
        <w:rPr>
          <w:spacing w:val="-11"/>
        </w:rPr>
        <w:t> </w:t>
      </w:r>
      <w:r>
        <w:rPr>
          <w:spacing w:val="-2"/>
        </w:rPr>
        <w:t>domain:</w:t>
      </w:r>
      <w:r>
        <w:rPr>
          <w:spacing w:val="-3"/>
        </w:rPr>
        <w:t> </w:t>
      </w:r>
      <w:r>
        <w:rPr>
          <w:spacing w:val="-2"/>
        </w:rPr>
        <w:t>use</w:t>
      </w:r>
      <w:r>
        <w:rPr>
          <w:spacing w:val="-12"/>
        </w:rPr>
        <w:t> </w:t>
      </w:r>
      <w:r>
        <w:rPr>
          <w:spacing w:val="-2"/>
        </w:rPr>
        <w:t>MAE</w:t>
      </w:r>
      <w:r>
        <w:rPr>
          <w:spacing w:val="-12"/>
        </w:rPr>
        <w:t> </w:t>
      </w:r>
      <w:r>
        <w:rPr>
          <w:spacing w:val="-2"/>
        </w:rPr>
        <w:t>on</w:t>
      </w:r>
      <w:r>
        <w:rPr>
          <w:spacing w:val="-11"/>
        </w:rPr>
        <w:t> </w:t>
      </w:r>
      <w:r>
        <w:rPr>
          <w:spacing w:val="-2"/>
        </w:rPr>
        <w:t>the</w:t>
      </w:r>
      <w:r>
        <w:rPr>
          <w:spacing w:val="-12"/>
        </w:rPr>
        <w:t> </w:t>
      </w:r>
      <w:r>
        <w:rPr>
          <w:spacing w:val="-2"/>
        </w:rPr>
        <w:t>original</w:t>
      </w:r>
      <w:r>
        <w:rPr>
          <w:spacing w:val="-12"/>
        </w:rPr>
        <w:t> </w:t>
      </w:r>
      <w:r>
        <w:rPr>
          <w:spacing w:val="-2"/>
        </w:rPr>
        <w:t>production</w:t>
      </w:r>
      <w:r>
        <w:rPr>
          <w:spacing w:val="-12"/>
        </w:rPr>
        <w:t> </w:t>
      </w:r>
      <w:r>
        <w:rPr>
          <w:spacing w:val="-2"/>
        </w:rPr>
        <w:t>scale as</w:t>
      </w:r>
      <w:r>
        <w:rPr>
          <w:spacing w:val="-12"/>
        </w:rPr>
        <w:t> </w:t>
      </w:r>
      <w:r>
        <w:rPr>
          <w:spacing w:val="-2"/>
        </w:rPr>
        <w:t>the</w:t>
      </w:r>
      <w:r>
        <w:rPr>
          <w:spacing w:val="-12"/>
        </w:rPr>
        <w:t> </w:t>
      </w:r>
      <w:r>
        <w:rPr>
          <w:spacing w:val="-2"/>
        </w:rPr>
        <w:t>evaluation</w:t>
      </w:r>
      <w:r>
        <w:rPr>
          <w:spacing w:val="-12"/>
        </w:rPr>
        <w:t> </w:t>
      </w:r>
      <w:r>
        <w:rPr>
          <w:spacing w:val="-2"/>
        </w:rPr>
        <w:t>metric,</w:t>
      </w:r>
      <w:r>
        <w:rPr>
          <w:spacing w:val="-11"/>
        </w:rPr>
        <w:t> </w:t>
      </w:r>
      <w:r>
        <w:rPr>
          <w:spacing w:val="-2"/>
        </w:rPr>
        <w:t>and</w:t>
      </w:r>
      <w:r>
        <w:rPr>
          <w:spacing w:val="-12"/>
        </w:rPr>
        <w:t> </w:t>
      </w:r>
      <w:r>
        <w:rPr>
          <w:spacing w:val="-2"/>
        </w:rPr>
        <w:t>compare</w:t>
      </w:r>
      <w:r>
        <w:rPr>
          <w:spacing w:val="-12"/>
        </w:rPr>
        <w:t> </w:t>
      </w:r>
      <w:r>
        <w:rPr>
          <w:spacing w:val="-2"/>
        </w:rPr>
        <w:t>all</w:t>
      </w:r>
      <w:r>
        <w:rPr>
          <w:spacing w:val="-12"/>
        </w:rPr>
        <w:t> </w:t>
      </w:r>
      <w:r>
        <w:rPr>
          <w:spacing w:val="-2"/>
        </w:rPr>
        <w:t>models,</w:t>
      </w:r>
      <w:r>
        <w:rPr>
          <w:spacing w:val="-11"/>
        </w:rPr>
        <w:t> </w:t>
      </w:r>
      <w:r>
        <w:rPr>
          <w:spacing w:val="-2"/>
        </w:rPr>
        <w:t>including</w:t>
      </w:r>
      <w:r>
        <w:rPr>
          <w:spacing w:val="-12"/>
        </w:rPr>
        <w:t> </w:t>
      </w:r>
      <w:r>
        <w:rPr>
          <w:spacing w:val="-2"/>
        </w:rPr>
        <w:t>RIPPER,</w:t>
      </w:r>
      <w:r>
        <w:rPr>
          <w:spacing w:val="-12"/>
        </w:rPr>
        <w:t> </w:t>
      </w:r>
      <w:r>
        <w:rPr>
          <w:spacing w:val="-2"/>
        </w:rPr>
        <w:t>by</w:t>
      </w:r>
      <w:r>
        <w:rPr>
          <w:spacing w:val="-12"/>
        </w:rPr>
        <w:t> </w:t>
      </w:r>
      <w:r>
        <w:rPr>
          <w:spacing w:val="-2"/>
        </w:rPr>
        <w:t>the</w:t>
      </w:r>
      <w:r>
        <w:rPr>
          <w:spacing w:val="-11"/>
        </w:rPr>
        <w:t> </w:t>
      </w:r>
      <w:r>
        <w:rPr>
          <w:spacing w:val="-2"/>
        </w:rPr>
        <w:t>same</w:t>
      </w:r>
      <w:r>
        <w:rPr>
          <w:spacing w:val="-12"/>
        </w:rPr>
        <w:t> </w:t>
      </w:r>
      <w:r>
        <w:rPr>
          <w:spacing w:val="-2"/>
        </w:rPr>
        <w:t>criterion.</w:t>
      </w:r>
      <w:r>
        <w:rPr>
          <w:spacing w:val="-12"/>
        </w:rPr>
        <w:t> </w:t>
      </w:r>
      <w:r>
        <w:rPr>
          <w:spacing w:val="-2"/>
        </w:rPr>
        <w:t>RIPPER </w:t>
      </w:r>
      <w:r>
        <w:rPr/>
        <w:t>was retained as a comparison model for Goal 1 (rule discovery, where its classification rules are directly interpretable) but M5Rules replaced it as the primary continuous-target comparison for Goal 2.</w:t>
      </w:r>
    </w:p>
    <w:p>
      <w:pPr>
        <w:pStyle w:val="BodyText"/>
        <w:spacing w:line="312" w:lineRule="auto"/>
        <w:ind w:left="142" w:right="1529" w:firstLine="338"/>
        <w:jc w:val="both"/>
      </w:pPr>
      <w:r>
        <w:rPr/>
        <w:t>This transition from a classification to a regression evaluation framework was not merely cosmetic.</w:t>
      </w:r>
      <w:r>
        <w:rPr>
          <w:spacing w:val="39"/>
        </w:rPr>
        <w:t> </w:t>
      </w:r>
      <w:r>
        <w:rPr/>
        <w:t>It changed which models were most meaningful to compare, which metric was </w:t>
      </w:r>
      <w:r>
        <w:rPr/>
        <w:t>used, and ultimately what the thesis’s predictive conclusion would be. The MAE-based walk-forward evaluation</w:t>
      </w:r>
      <w:r>
        <w:rPr>
          <w:spacing w:val="-4"/>
        </w:rPr>
        <w:t> </w:t>
      </w:r>
      <w:r>
        <w:rPr/>
        <w:t>with</w:t>
      </w:r>
      <w:r>
        <w:rPr>
          <w:spacing w:val="-4"/>
        </w:rPr>
        <w:t> </w:t>
      </w:r>
      <w:r>
        <w:rPr/>
        <w:t>a</w:t>
      </w:r>
      <w:r>
        <w:rPr>
          <w:spacing w:val="-4"/>
        </w:rPr>
        <w:t> </w:t>
      </w:r>
      <w:r>
        <w:rPr/>
        <w:t>Naive_Median</w:t>
      </w:r>
      <w:r>
        <w:rPr>
          <w:spacing w:val="-4"/>
        </w:rPr>
        <w:t> </w:t>
      </w:r>
      <w:r>
        <w:rPr/>
        <w:t>baseline</w:t>
      </w:r>
      <w:r>
        <w:rPr>
          <w:spacing w:val="-4"/>
        </w:rPr>
        <w:t> </w:t>
      </w:r>
      <w:r>
        <w:rPr/>
        <w:t>is</w:t>
      </w:r>
      <w:r>
        <w:rPr>
          <w:spacing w:val="-4"/>
        </w:rPr>
        <w:t> </w:t>
      </w:r>
      <w:r>
        <w:rPr/>
        <w:t>a</w:t>
      </w:r>
      <w:r>
        <w:rPr>
          <w:spacing w:val="-4"/>
        </w:rPr>
        <w:t> </w:t>
      </w:r>
      <w:r>
        <w:rPr/>
        <w:t>more</w:t>
      </w:r>
      <w:r>
        <w:rPr>
          <w:spacing w:val="-4"/>
        </w:rPr>
        <w:t> </w:t>
      </w:r>
      <w:r>
        <w:rPr/>
        <w:t>demanding</w:t>
      </w:r>
      <w:r>
        <w:rPr>
          <w:spacing w:val="-4"/>
        </w:rPr>
        <w:t> </w:t>
      </w:r>
      <w:r>
        <w:rPr/>
        <w:t>and</w:t>
      </w:r>
      <w:r>
        <w:rPr>
          <w:spacing w:val="-4"/>
        </w:rPr>
        <w:t> </w:t>
      </w:r>
      <w:r>
        <w:rPr/>
        <w:t>more</w:t>
      </w:r>
      <w:r>
        <w:rPr>
          <w:spacing w:val="-4"/>
        </w:rPr>
        <w:t> </w:t>
      </w:r>
      <w:r>
        <w:rPr/>
        <w:t>informative</w:t>
      </w:r>
      <w:r>
        <w:rPr>
          <w:spacing w:val="-4"/>
        </w:rPr>
        <w:t> </w:t>
      </w:r>
      <w:r>
        <w:rPr/>
        <w:t>benchmark than classification accuracy:</w:t>
      </w:r>
      <w:r>
        <w:rPr>
          <w:spacing w:val="40"/>
        </w:rPr>
        <w:t> </w:t>
      </w:r>
      <w:r>
        <w:rPr/>
        <w:t>it directly asks whether a model can beat the simplest possible quantitative forecast, which is the right question for a production forecasting application.</w:t>
      </w:r>
    </w:p>
    <w:p>
      <w:pPr>
        <w:pStyle w:val="BodyText"/>
        <w:spacing w:after="0" w:line="312" w:lineRule="auto"/>
        <w:jc w:val="both"/>
        <w:sectPr>
          <w:pgSz w:w="11910" w:h="16840"/>
          <w:pgMar w:header="1160" w:footer="0" w:top="1420" w:bottom="280" w:left="1275" w:right="425"/>
        </w:sectPr>
      </w:pPr>
    </w:p>
    <w:p>
      <w:pPr>
        <w:pStyle w:val="BodyText"/>
        <w:spacing w:before="237"/>
        <w:rPr>
          <w:sz w:val="24"/>
        </w:rPr>
      </w:pPr>
    </w:p>
    <w:p>
      <w:pPr>
        <w:pStyle w:val="Heading3"/>
        <w:numPr>
          <w:ilvl w:val="2"/>
          <w:numId w:val="37"/>
        </w:numPr>
        <w:tabs>
          <w:tab w:pos="1426" w:val="left" w:leader="none"/>
        </w:tabs>
        <w:spacing w:line="240" w:lineRule="auto" w:before="0" w:after="0"/>
        <w:ind w:left="1426" w:right="0" w:hanging="717"/>
        <w:jc w:val="left"/>
      </w:pPr>
      <w:bookmarkStart w:name="6.7.4 CarenR Variant Proliferation: Why " w:id="240"/>
      <w:bookmarkEnd w:id="240"/>
      <w:r>
        <w:rPr>
          <w:b w:val="0"/>
        </w:rPr>
      </w:r>
      <w:bookmarkStart w:name="_bookmark142" w:id="241"/>
      <w:bookmarkEnd w:id="241"/>
      <w:r>
        <w:rPr>
          <w:b w:val="0"/>
        </w:rPr>
      </w:r>
      <w:r>
        <w:rPr/>
        <w:t>CarenR</w:t>
      </w:r>
      <w:r>
        <w:rPr>
          <w:spacing w:val="-15"/>
        </w:rPr>
        <w:t> </w:t>
      </w:r>
      <w:r>
        <w:rPr/>
        <w:t>Variant</w:t>
      </w:r>
      <w:r>
        <w:rPr>
          <w:spacing w:val="-15"/>
        </w:rPr>
        <w:t> </w:t>
      </w:r>
      <w:r>
        <w:rPr/>
        <w:t>Proliferation:</w:t>
      </w:r>
      <w:r>
        <w:rPr>
          <w:spacing w:val="-4"/>
        </w:rPr>
        <w:t> </w:t>
      </w:r>
      <w:r>
        <w:rPr/>
        <w:t>Why</w:t>
      </w:r>
      <w:r>
        <w:rPr>
          <w:spacing w:val="-15"/>
        </w:rPr>
        <w:t> </w:t>
      </w:r>
      <w:r>
        <w:rPr/>
        <w:t>11</w:t>
      </w:r>
      <w:r>
        <w:rPr>
          <w:spacing w:val="-15"/>
        </w:rPr>
        <w:t> </w:t>
      </w:r>
      <w:r>
        <w:rPr>
          <w:spacing w:val="-2"/>
        </w:rPr>
        <w:t>Variants?</w:t>
      </w:r>
    </w:p>
    <w:p>
      <w:pPr>
        <w:pStyle w:val="BodyText"/>
        <w:spacing w:line="312" w:lineRule="auto" w:before="219"/>
        <w:ind w:left="709" w:right="990" w:hanging="7"/>
        <w:jc w:val="both"/>
      </w:pPr>
      <w:r>
        <w:rPr/>
        <w:t>The</w:t>
      </w:r>
      <w:r>
        <w:rPr>
          <w:spacing w:val="-8"/>
        </w:rPr>
        <w:t> </w:t>
      </w:r>
      <w:r>
        <w:rPr/>
        <w:t>decision</w:t>
      </w:r>
      <w:r>
        <w:rPr>
          <w:spacing w:val="-8"/>
        </w:rPr>
        <w:t> </w:t>
      </w:r>
      <w:r>
        <w:rPr/>
        <w:t>to</w:t>
      </w:r>
      <w:r>
        <w:rPr>
          <w:spacing w:val="-8"/>
        </w:rPr>
        <w:t> </w:t>
      </w:r>
      <w:r>
        <w:rPr/>
        <w:t>evaluate</w:t>
      </w:r>
      <w:r>
        <w:rPr>
          <w:spacing w:val="-8"/>
        </w:rPr>
        <w:t> </w:t>
      </w:r>
      <w:r>
        <w:rPr/>
        <w:t>11</w:t>
      </w:r>
      <w:r>
        <w:rPr>
          <w:spacing w:val="-8"/>
        </w:rPr>
        <w:t> </w:t>
      </w:r>
      <w:r>
        <w:rPr/>
        <w:t>CarenR</w:t>
      </w:r>
      <w:r>
        <w:rPr>
          <w:spacing w:val="-8"/>
        </w:rPr>
        <w:t> </w:t>
      </w:r>
      <w:r>
        <w:rPr/>
        <w:t>variants</w:t>
      </w:r>
      <w:r>
        <w:rPr>
          <w:spacing w:val="-8"/>
        </w:rPr>
        <w:t> </w:t>
      </w:r>
      <w:r>
        <w:rPr/>
        <w:t>was</w:t>
      </w:r>
      <w:r>
        <w:rPr>
          <w:spacing w:val="-8"/>
        </w:rPr>
        <w:t> </w:t>
      </w:r>
      <w:r>
        <w:rPr/>
        <w:t>motivated</w:t>
      </w:r>
      <w:r>
        <w:rPr>
          <w:spacing w:val="-8"/>
        </w:rPr>
        <w:t> </w:t>
      </w:r>
      <w:r>
        <w:rPr/>
        <w:t>by</w:t>
      </w:r>
      <w:r>
        <w:rPr>
          <w:spacing w:val="-8"/>
        </w:rPr>
        <w:t> </w:t>
      </w:r>
      <w:r>
        <w:rPr/>
        <w:t>a</w:t>
      </w:r>
      <w:r>
        <w:rPr>
          <w:spacing w:val="-8"/>
        </w:rPr>
        <w:t> </w:t>
      </w:r>
      <w:r>
        <w:rPr/>
        <w:t>genuine</w:t>
      </w:r>
      <w:r>
        <w:rPr>
          <w:spacing w:val="-8"/>
        </w:rPr>
        <w:t> </w:t>
      </w:r>
      <w:r>
        <w:rPr/>
        <w:t>uncertainty</w:t>
      </w:r>
      <w:r>
        <w:rPr>
          <w:spacing w:val="-8"/>
        </w:rPr>
        <w:t> </w:t>
      </w:r>
      <w:r>
        <w:rPr/>
        <w:t>about</w:t>
      </w:r>
      <w:r>
        <w:rPr>
          <w:spacing w:val="-8"/>
        </w:rPr>
        <w:t> </w:t>
      </w:r>
      <w:r>
        <w:rPr/>
        <w:t>which feature</w:t>
      </w:r>
      <w:r>
        <w:rPr>
          <w:spacing w:val="-14"/>
        </w:rPr>
        <w:t> </w:t>
      </w:r>
      <w:r>
        <w:rPr/>
        <w:t>selection</w:t>
      </w:r>
      <w:r>
        <w:rPr>
          <w:spacing w:val="-14"/>
        </w:rPr>
        <w:t> </w:t>
      </w:r>
      <w:r>
        <w:rPr/>
        <w:t>strategy</w:t>
      </w:r>
      <w:r>
        <w:rPr>
          <w:spacing w:val="-14"/>
        </w:rPr>
        <w:t> </w:t>
      </w:r>
      <w:r>
        <w:rPr/>
        <w:t>would</w:t>
      </w:r>
      <w:r>
        <w:rPr>
          <w:spacing w:val="-13"/>
        </w:rPr>
        <w:t> </w:t>
      </w:r>
      <w:r>
        <w:rPr/>
        <w:t>work</w:t>
      </w:r>
      <w:r>
        <w:rPr>
          <w:spacing w:val="-14"/>
        </w:rPr>
        <w:t> </w:t>
      </w:r>
      <w:r>
        <w:rPr/>
        <w:t>best</w:t>
      </w:r>
      <w:r>
        <w:rPr>
          <w:spacing w:val="-14"/>
        </w:rPr>
        <w:t> </w:t>
      </w:r>
      <w:r>
        <w:rPr/>
        <w:t>in</w:t>
      </w:r>
      <w:r>
        <w:rPr>
          <w:spacing w:val="-14"/>
        </w:rPr>
        <w:t> </w:t>
      </w:r>
      <w:r>
        <w:rPr/>
        <w:t>this</w:t>
      </w:r>
      <w:r>
        <w:rPr>
          <w:spacing w:val="-13"/>
        </w:rPr>
        <w:t> </w:t>
      </w:r>
      <w:r>
        <w:rPr/>
        <w:t>domain.</w:t>
      </w:r>
      <w:r>
        <w:rPr>
          <w:spacing w:val="-14"/>
        </w:rPr>
        <w:t> </w:t>
      </w:r>
      <w:r>
        <w:rPr/>
        <w:t>Prior</w:t>
      </w:r>
      <w:r>
        <w:rPr>
          <w:spacing w:val="-14"/>
        </w:rPr>
        <w:t> </w:t>
      </w:r>
      <w:r>
        <w:rPr/>
        <w:t>work</w:t>
      </w:r>
      <w:r>
        <w:rPr>
          <w:spacing w:val="-14"/>
        </w:rPr>
        <w:t> </w:t>
      </w:r>
      <w:r>
        <w:rPr/>
        <w:t>with</w:t>
      </w:r>
      <w:r>
        <w:rPr>
          <w:spacing w:val="-13"/>
        </w:rPr>
        <w:t> </w:t>
      </w:r>
      <w:r>
        <w:rPr/>
        <w:t>CarenR</w:t>
      </w:r>
      <w:r>
        <w:rPr>
          <w:spacing w:val="-14"/>
        </w:rPr>
        <w:t> </w:t>
      </w:r>
      <w:r>
        <w:rPr/>
        <w:t>had</w:t>
      </w:r>
      <w:r>
        <w:rPr>
          <w:spacing w:val="-14"/>
        </w:rPr>
        <w:t> </w:t>
      </w:r>
      <w:r>
        <w:rPr/>
        <w:t>established </w:t>
      </w:r>
      <w:r>
        <w:rPr>
          <w:spacing w:val="-2"/>
        </w:rPr>
        <w:t>that</w:t>
      </w:r>
      <w:r>
        <w:rPr>
          <w:spacing w:val="-6"/>
        </w:rPr>
        <w:t> </w:t>
      </w:r>
      <w:r>
        <w:rPr>
          <w:spacing w:val="-2"/>
        </w:rPr>
        <w:t>feature</w:t>
      </w:r>
      <w:r>
        <w:rPr>
          <w:spacing w:val="-6"/>
        </w:rPr>
        <w:t> </w:t>
      </w:r>
      <w:r>
        <w:rPr>
          <w:spacing w:val="-2"/>
        </w:rPr>
        <w:t>selection</w:t>
      </w:r>
      <w:r>
        <w:rPr>
          <w:spacing w:val="-6"/>
        </w:rPr>
        <w:t> </w:t>
      </w:r>
      <w:r>
        <w:rPr>
          <w:spacing w:val="-2"/>
        </w:rPr>
        <w:t>matters</w:t>
      </w:r>
      <w:r>
        <w:rPr>
          <w:spacing w:val="-6"/>
        </w:rPr>
        <w:t> </w:t>
      </w:r>
      <w:r>
        <w:rPr>
          <w:spacing w:val="-2"/>
        </w:rPr>
        <w:t>but</w:t>
      </w:r>
      <w:r>
        <w:rPr>
          <w:spacing w:val="-6"/>
        </w:rPr>
        <w:t> </w:t>
      </w:r>
      <w:r>
        <w:rPr>
          <w:spacing w:val="-2"/>
        </w:rPr>
        <w:t>had</w:t>
      </w:r>
      <w:r>
        <w:rPr>
          <w:spacing w:val="-6"/>
        </w:rPr>
        <w:t> </w:t>
      </w:r>
      <w:r>
        <w:rPr>
          <w:spacing w:val="-2"/>
        </w:rPr>
        <w:t>not</w:t>
      </w:r>
      <w:r>
        <w:rPr>
          <w:spacing w:val="-6"/>
        </w:rPr>
        <w:t> </w:t>
      </w:r>
      <w:r>
        <w:rPr>
          <w:spacing w:val="-2"/>
        </w:rPr>
        <w:t>systematically</w:t>
      </w:r>
      <w:r>
        <w:rPr>
          <w:spacing w:val="-6"/>
        </w:rPr>
        <w:t> </w:t>
      </w:r>
      <w:r>
        <w:rPr>
          <w:spacing w:val="-2"/>
        </w:rPr>
        <w:t>evaluated</w:t>
      </w:r>
      <w:r>
        <w:rPr>
          <w:spacing w:val="-6"/>
        </w:rPr>
        <w:t> </w:t>
      </w:r>
      <w:r>
        <w:rPr>
          <w:spacing w:val="-2"/>
        </w:rPr>
        <w:t>the</w:t>
      </w:r>
      <w:r>
        <w:rPr>
          <w:spacing w:val="-6"/>
        </w:rPr>
        <w:t> </w:t>
      </w:r>
      <w:r>
        <w:rPr>
          <w:spacing w:val="-2"/>
        </w:rPr>
        <w:t>trade-off</w:t>
      </w:r>
      <w:r>
        <w:rPr>
          <w:spacing w:val="-6"/>
        </w:rPr>
        <w:t> </w:t>
      </w:r>
      <w:r>
        <w:rPr>
          <w:spacing w:val="-2"/>
        </w:rPr>
        <w:t>between</w:t>
      </w:r>
      <w:r>
        <w:rPr>
          <w:spacing w:val="-6"/>
        </w:rPr>
        <w:t> </w:t>
      </w:r>
      <w:r>
        <w:rPr>
          <w:spacing w:val="-2"/>
        </w:rPr>
        <w:t>aggressive </w:t>
      </w:r>
      <w:r>
        <w:rPr/>
        <w:t>selection (which finds the most discriminating features but risks overfitting) and conservative selection (which retains broader coverage but may include noise).</w:t>
      </w:r>
    </w:p>
    <w:p>
      <w:pPr>
        <w:pStyle w:val="BodyText"/>
        <w:spacing w:line="309" w:lineRule="auto"/>
        <w:ind w:left="702" w:right="962" w:firstLine="345"/>
        <w:jc w:val="both"/>
      </w:pPr>
      <w:r>
        <w:rPr/>
        <w:t>The 11 variants represent a structured exploration of this trade-off rather than an ad hoc collection of experiments. They vary along three dimensions: the criterion used to rank features (</w:t>
      </w:r>
      <w:r>
        <w:rPr>
          <w:i/>
        </w:rPr>
        <w:t>η</w:t>
      </w:r>
      <w:r>
        <w:rPr>
          <w:position w:val="8"/>
          <w:sz w:val="16"/>
        </w:rPr>
        <w:t>2</w:t>
      </w:r>
      <w:r>
        <w:rPr/>
        <w:t>,</w:t>
      </w:r>
      <w:r>
        <w:rPr>
          <w:spacing w:val="-9"/>
        </w:rPr>
        <w:t> </w:t>
      </w:r>
      <w:r>
        <w:rPr/>
        <w:t>Pearson</w:t>
      </w:r>
      <w:r>
        <w:rPr>
          <w:spacing w:val="-9"/>
        </w:rPr>
        <w:t> </w:t>
      </w:r>
      <w:r>
        <w:rPr/>
        <w:t>|r|,</w:t>
      </w:r>
      <w:r>
        <w:rPr>
          <w:spacing w:val="-9"/>
        </w:rPr>
        <w:t> </w:t>
      </w:r>
      <w:r>
        <w:rPr/>
        <w:t>hard</w:t>
      </w:r>
      <w:r>
        <w:rPr>
          <w:spacing w:val="-9"/>
        </w:rPr>
        <w:t> </w:t>
      </w:r>
      <w:r>
        <w:rPr/>
        <w:t>threshold);</w:t>
      </w:r>
      <w:r>
        <w:rPr>
          <w:spacing w:val="-9"/>
        </w:rPr>
        <w:t> </w:t>
      </w:r>
      <w:r>
        <w:rPr/>
        <w:t>whether</w:t>
      </w:r>
      <w:r>
        <w:rPr>
          <w:spacing w:val="-9"/>
        </w:rPr>
        <w:t> </w:t>
      </w:r>
      <w:r>
        <w:rPr/>
        <w:t>a</w:t>
      </w:r>
      <w:r>
        <w:rPr>
          <w:spacing w:val="-9"/>
        </w:rPr>
        <w:t> </w:t>
      </w:r>
      <w:r>
        <w:rPr/>
        <w:t>support</w:t>
      </w:r>
      <w:r>
        <w:rPr>
          <w:spacing w:val="-9"/>
        </w:rPr>
        <w:t> </w:t>
      </w:r>
      <w:r>
        <w:rPr/>
        <w:t>filter</w:t>
      </w:r>
      <w:r>
        <w:rPr>
          <w:spacing w:val="-9"/>
        </w:rPr>
        <w:t> </w:t>
      </w:r>
      <w:r>
        <w:rPr/>
        <w:t>is</w:t>
      </w:r>
      <w:r>
        <w:rPr>
          <w:spacing w:val="-9"/>
        </w:rPr>
        <w:t> </w:t>
      </w:r>
      <w:r>
        <w:rPr/>
        <w:t>applied</w:t>
      </w:r>
      <w:r>
        <w:rPr>
          <w:spacing w:val="-9"/>
        </w:rPr>
        <w:t> </w:t>
      </w:r>
      <w:r>
        <w:rPr/>
        <w:t>(ensuring</w:t>
      </w:r>
      <w:r>
        <w:rPr>
          <w:spacing w:val="-9"/>
        </w:rPr>
        <w:t> </w:t>
      </w:r>
      <w:r>
        <w:rPr/>
        <w:t>each</w:t>
      </w:r>
      <w:r>
        <w:rPr>
          <w:spacing w:val="-9"/>
        </w:rPr>
        <w:t> </w:t>
      </w:r>
      <w:r>
        <w:rPr/>
        <w:t>bin</w:t>
      </w:r>
      <w:r>
        <w:rPr>
          <w:spacing w:val="-9"/>
        </w:rPr>
        <w:t> </w:t>
      </w:r>
      <w:r>
        <w:rPr/>
        <w:t>of</w:t>
      </w:r>
      <w:r>
        <w:rPr>
          <w:spacing w:val="-9"/>
        </w:rPr>
        <w:t> </w:t>
      </w:r>
      <w:r>
        <w:rPr/>
        <w:t>a</w:t>
      </w:r>
      <w:r>
        <w:rPr>
          <w:spacing w:val="-9"/>
        </w:rPr>
        <w:t> </w:t>
      </w:r>
      <w:r>
        <w:rPr/>
        <w:t>selected feature is well-populated); and how rule predictions are combined at test time (equal weighting, </w:t>
      </w:r>
      <w:r>
        <w:rPr>
          <w:spacing w:val="-2"/>
        </w:rPr>
        <w:t>support weighting, confidence weighting, stacking). The CarenR_Supervised variant was included specifically</w:t>
      </w:r>
      <w:r>
        <w:rPr>
          <w:spacing w:val="-3"/>
        </w:rPr>
        <w:t> </w:t>
      </w:r>
      <w:r>
        <w:rPr>
          <w:spacing w:val="-2"/>
        </w:rPr>
        <w:t>to</w:t>
      </w:r>
      <w:r>
        <w:rPr>
          <w:spacing w:val="-3"/>
        </w:rPr>
        <w:t> </w:t>
      </w:r>
      <w:r>
        <w:rPr>
          <w:spacing w:val="-2"/>
        </w:rPr>
        <w:t>test</w:t>
      </w:r>
      <w:r>
        <w:rPr>
          <w:spacing w:val="-3"/>
        </w:rPr>
        <w:t> </w:t>
      </w:r>
      <w:r>
        <w:rPr>
          <w:spacing w:val="-2"/>
        </w:rPr>
        <w:t>the</w:t>
      </w:r>
      <w:r>
        <w:rPr>
          <w:spacing w:val="-3"/>
        </w:rPr>
        <w:t> </w:t>
      </w:r>
      <w:r>
        <w:rPr>
          <w:spacing w:val="-2"/>
        </w:rPr>
        <w:t>hypothesis</w:t>
      </w:r>
      <w:r>
        <w:rPr>
          <w:spacing w:val="-3"/>
        </w:rPr>
        <w:t> </w:t>
      </w:r>
      <w:r>
        <w:rPr>
          <w:spacing w:val="-2"/>
        </w:rPr>
        <w:t>that</w:t>
      </w:r>
      <w:r>
        <w:rPr>
          <w:spacing w:val="-3"/>
        </w:rPr>
        <w:t> </w:t>
      </w:r>
      <w:r>
        <w:rPr>
          <w:spacing w:val="-2"/>
        </w:rPr>
        <w:t>per-fold</w:t>
      </w:r>
      <w:r>
        <w:rPr>
          <w:spacing w:val="-3"/>
        </w:rPr>
        <w:t> </w:t>
      </w:r>
      <w:r>
        <w:rPr>
          <w:spacing w:val="-2"/>
        </w:rPr>
        <w:t>supervised</w:t>
      </w:r>
      <w:r>
        <w:rPr>
          <w:spacing w:val="-3"/>
        </w:rPr>
        <w:t> </w:t>
      </w:r>
      <w:r>
        <w:rPr>
          <w:spacing w:val="-2"/>
        </w:rPr>
        <w:t>discretisation</w:t>
      </w:r>
      <w:r>
        <w:rPr>
          <w:spacing w:val="-3"/>
        </w:rPr>
        <w:t> </w:t>
      </w:r>
      <w:r>
        <w:rPr>
          <w:spacing w:val="-2"/>
        </w:rPr>
        <w:t>might</w:t>
      </w:r>
      <w:r>
        <w:rPr>
          <w:spacing w:val="-3"/>
        </w:rPr>
        <w:t> </w:t>
      </w:r>
      <w:r>
        <w:rPr>
          <w:spacing w:val="-2"/>
        </w:rPr>
        <w:t>improve</w:t>
      </w:r>
      <w:r>
        <w:rPr>
          <w:spacing w:val="-3"/>
        </w:rPr>
        <w:t> </w:t>
      </w:r>
      <w:r>
        <w:rPr>
          <w:spacing w:val="-2"/>
        </w:rPr>
        <w:t>rule</w:t>
      </w:r>
      <w:r>
        <w:rPr>
          <w:spacing w:val="-3"/>
        </w:rPr>
        <w:t> </w:t>
      </w:r>
      <w:r>
        <w:rPr>
          <w:spacing w:val="-2"/>
        </w:rPr>
        <w:t>quality </w:t>
      </w:r>
      <w:r>
        <w:rPr/>
        <w:t>by</w:t>
      </w:r>
      <w:r>
        <w:rPr>
          <w:spacing w:val="-10"/>
        </w:rPr>
        <w:t> </w:t>
      </w:r>
      <w:r>
        <w:rPr/>
        <w:t>better</w:t>
      </w:r>
      <w:r>
        <w:rPr>
          <w:spacing w:val="-10"/>
        </w:rPr>
        <w:t> </w:t>
      </w:r>
      <w:r>
        <w:rPr/>
        <w:t>aligning</w:t>
      </w:r>
      <w:r>
        <w:rPr>
          <w:spacing w:val="-10"/>
        </w:rPr>
        <w:t> </w:t>
      </w:r>
      <w:r>
        <w:rPr/>
        <w:t>bin</w:t>
      </w:r>
      <w:r>
        <w:rPr>
          <w:spacing w:val="-10"/>
        </w:rPr>
        <w:t> </w:t>
      </w:r>
      <w:r>
        <w:rPr/>
        <w:t>boundaries</w:t>
      </w:r>
      <w:r>
        <w:rPr>
          <w:spacing w:val="-10"/>
        </w:rPr>
        <w:t> </w:t>
      </w:r>
      <w:r>
        <w:rPr/>
        <w:t>with</w:t>
      </w:r>
      <w:r>
        <w:rPr>
          <w:spacing w:val="-10"/>
        </w:rPr>
        <w:t> </w:t>
      </w:r>
      <w:r>
        <w:rPr/>
        <w:t>the</w:t>
      </w:r>
      <w:r>
        <w:rPr>
          <w:spacing w:val="-10"/>
        </w:rPr>
        <w:t> </w:t>
      </w:r>
      <w:r>
        <w:rPr/>
        <w:t>production</w:t>
      </w:r>
      <w:r>
        <w:rPr>
          <w:spacing w:val="-10"/>
        </w:rPr>
        <w:t> </w:t>
      </w:r>
      <w:r>
        <w:rPr/>
        <w:t>distribution,</w:t>
      </w:r>
      <w:r>
        <w:rPr>
          <w:spacing w:val="-10"/>
        </w:rPr>
        <w:t> </w:t>
      </w:r>
      <w:r>
        <w:rPr/>
        <w:t>and</w:t>
      </w:r>
      <w:r>
        <w:rPr>
          <w:spacing w:val="-10"/>
        </w:rPr>
        <w:t> </w:t>
      </w:r>
      <w:r>
        <w:rPr/>
        <w:t>its</w:t>
      </w:r>
      <w:r>
        <w:rPr>
          <w:spacing w:val="-10"/>
        </w:rPr>
        <w:t> </w:t>
      </w:r>
      <w:r>
        <w:rPr/>
        <w:t>consistent</w:t>
      </w:r>
      <w:r>
        <w:rPr>
          <w:spacing w:val="-10"/>
        </w:rPr>
        <w:t> </w:t>
      </w:r>
      <w:r>
        <w:rPr/>
        <w:t>failure</w:t>
      </w:r>
      <w:r>
        <w:rPr>
          <w:spacing w:val="-10"/>
        </w:rPr>
        <w:t> </w:t>
      </w:r>
      <w:r>
        <w:rPr/>
        <w:t>(worst </w:t>
      </w:r>
      <w:r>
        <w:rPr>
          <w:spacing w:val="-2"/>
        </w:rPr>
        <w:t>CarenR</w:t>
      </w:r>
      <w:r>
        <w:rPr>
          <w:spacing w:val="-6"/>
        </w:rPr>
        <w:t> </w:t>
      </w:r>
      <w:r>
        <w:rPr>
          <w:spacing w:val="-2"/>
        </w:rPr>
        <w:t>variant</w:t>
      </w:r>
      <w:r>
        <w:rPr>
          <w:spacing w:val="-6"/>
        </w:rPr>
        <w:t> </w:t>
      </w:r>
      <w:r>
        <w:rPr>
          <w:spacing w:val="-2"/>
        </w:rPr>
        <w:t>in</w:t>
      </w:r>
      <w:r>
        <w:rPr>
          <w:spacing w:val="-6"/>
        </w:rPr>
        <w:t> </w:t>
      </w:r>
      <w:r>
        <w:rPr>
          <w:spacing w:val="-2"/>
        </w:rPr>
        <w:t>both</w:t>
      </w:r>
      <w:r>
        <w:rPr>
          <w:spacing w:val="-6"/>
        </w:rPr>
        <w:t> </w:t>
      </w:r>
      <w:r>
        <w:rPr>
          <w:spacing w:val="-2"/>
        </w:rPr>
        <w:t>regions)</w:t>
      </w:r>
      <w:r>
        <w:rPr>
          <w:spacing w:val="-6"/>
        </w:rPr>
        <w:t> </w:t>
      </w:r>
      <w:r>
        <w:rPr>
          <w:spacing w:val="-2"/>
        </w:rPr>
        <w:t>provides</w:t>
      </w:r>
      <w:r>
        <w:rPr>
          <w:spacing w:val="-6"/>
        </w:rPr>
        <w:t> </w:t>
      </w:r>
      <w:r>
        <w:rPr>
          <w:spacing w:val="-2"/>
        </w:rPr>
        <w:t>a</w:t>
      </w:r>
      <w:r>
        <w:rPr>
          <w:spacing w:val="-6"/>
        </w:rPr>
        <w:t> </w:t>
      </w:r>
      <w:r>
        <w:rPr>
          <w:spacing w:val="-2"/>
        </w:rPr>
        <w:t>clear,</w:t>
      </w:r>
      <w:r>
        <w:rPr>
          <w:spacing w:val="-6"/>
        </w:rPr>
        <w:t> </w:t>
      </w:r>
      <w:r>
        <w:rPr>
          <w:spacing w:val="-2"/>
        </w:rPr>
        <w:t>replicable</w:t>
      </w:r>
      <w:r>
        <w:rPr>
          <w:spacing w:val="-6"/>
        </w:rPr>
        <w:t> </w:t>
      </w:r>
      <w:r>
        <w:rPr>
          <w:spacing w:val="-2"/>
        </w:rPr>
        <w:t>finding</w:t>
      </w:r>
      <w:r>
        <w:rPr>
          <w:spacing w:val="-6"/>
        </w:rPr>
        <w:t> </w:t>
      </w:r>
      <w:r>
        <w:rPr>
          <w:spacing w:val="-2"/>
        </w:rPr>
        <w:t>about</w:t>
      </w:r>
      <w:r>
        <w:rPr>
          <w:spacing w:val="-6"/>
        </w:rPr>
        <w:t> </w:t>
      </w:r>
      <w:r>
        <w:rPr>
          <w:spacing w:val="-2"/>
        </w:rPr>
        <w:t>the</w:t>
      </w:r>
      <w:r>
        <w:rPr>
          <w:spacing w:val="-6"/>
        </w:rPr>
        <w:t> </w:t>
      </w:r>
      <w:r>
        <w:rPr>
          <w:spacing w:val="-2"/>
        </w:rPr>
        <w:t>risks</w:t>
      </w:r>
      <w:r>
        <w:rPr>
          <w:spacing w:val="-6"/>
        </w:rPr>
        <w:t> </w:t>
      </w:r>
      <w:r>
        <w:rPr>
          <w:spacing w:val="-2"/>
        </w:rPr>
        <w:t>of</w:t>
      </w:r>
      <w:r>
        <w:rPr>
          <w:spacing w:val="-6"/>
        </w:rPr>
        <w:t> </w:t>
      </w:r>
      <w:r>
        <w:rPr>
          <w:spacing w:val="-2"/>
        </w:rPr>
        <w:t>target</w:t>
      </w:r>
      <w:r>
        <w:rPr>
          <w:spacing w:val="-6"/>
        </w:rPr>
        <w:t> </w:t>
      </w:r>
      <w:r>
        <w:rPr>
          <w:spacing w:val="-2"/>
        </w:rPr>
        <w:t>leakage </w:t>
      </w:r>
      <w:r>
        <w:rPr/>
        <w:t>in feature engineering.</w:t>
      </w:r>
    </w:p>
    <w:p>
      <w:pPr>
        <w:pStyle w:val="BodyText"/>
        <w:spacing w:line="307" w:lineRule="auto"/>
        <w:ind w:left="702" w:right="952" w:firstLine="345"/>
        <w:jc w:val="both"/>
      </w:pPr>
      <w:r>
        <w:rPr/>
        <w:t>The systematic comparison also revealed the region-specificity of optimal selection strategy (</w:t>
      </w:r>
      <w:r>
        <w:rPr>
          <w:i/>
        </w:rPr>
        <w:t>η</w:t>
      </w:r>
      <w:r>
        <w:rPr>
          <w:position w:val="8"/>
          <w:sz w:val="16"/>
        </w:rPr>
        <w:t>2</w:t>
      </w:r>
      <w:r>
        <w:rPr>
          <w:spacing w:val="39"/>
          <w:position w:val="8"/>
          <w:sz w:val="16"/>
        </w:rPr>
        <w:t> </w:t>
      </w:r>
      <w:r>
        <w:rPr/>
        <w:t>for RDD, Sup_FS for RVV), which is itself a methodological contribution: it demonstrates that the appropriate CarenR configuration for a given time series depends on the strength and structure</w:t>
      </w:r>
      <w:r>
        <w:rPr>
          <w:spacing w:val="-3"/>
        </w:rPr>
        <w:t> </w:t>
      </w:r>
      <w:r>
        <w:rPr/>
        <w:t>of</w:t>
      </w:r>
      <w:r>
        <w:rPr>
          <w:spacing w:val="-3"/>
        </w:rPr>
        <w:t> </w:t>
      </w:r>
      <w:r>
        <w:rPr/>
        <w:t>the</w:t>
      </w:r>
      <w:r>
        <w:rPr>
          <w:spacing w:val="-3"/>
        </w:rPr>
        <w:t> </w:t>
      </w:r>
      <w:r>
        <w:rPr/>
        <w:t>climate</w:t>
      </w:r>
      <w:r>
        <w:rPr>
          <w:spacing w:val="-3"/>
        </w:rPr>
        <w:t> </w:t>
      </w:r>
      <w:r>
        <w:rPr/>
        <w:t>signal,</w:t>
      </w:r>
      <w:r>
        <w:rPr>
          <w:spacing w:val="-3"/>
        </w:rPr>
        <w:t> </w:t>
      </w:r>
      <w:r>
        <w:rPr/>
        <w:t>which</w:t>
      </w:r>
      <w:r>
        <w:rPr>
          <w:spacing w:val="-3"/>
        </w:rPr>
        <w:t> </w:t>
      </w:r>
      <w:r>
        <w:rPr/>
        <w:t>cannot</w:t>
      </w:r>
      <w:r>
        <w:rPr>
          <w:spacing w:val="-3"/>
        </w:rPr>
        <w:t> </w:t>
      </w:r>
      <w:r>
        <w:rPr/>
        <w:t>be</w:t>
      </w:r>
      <w:r>
        <w:rPr>
          <w:spacing w:val="-3"/>
        </w:rPr>
        <w:t> </w:t>
      </w:r>
      <w:r>
        <w:rPr/>
        <w:t>determined</w:t>
      </w:r>
      <w:r>
        <w:rPr>
          <w:spacing w:val="-3"/>
        </w:rPr>
        <w:t> </w:t>
      </w:r>
      <w:r>
        <w:rPr/>
        <w:t>a</w:t>
      </w:r>
      <w:r>
        <w:rPr>
          <w:spacing w:val="-3"/>
        </w:rPr>
        <w:t> </w:t>
      </w:r>
      <w:r>
        <w:rPr/>
        <w:t>priori</w:t>
      </w:r>
      <w:r>
        <w:rPr>
          <w:spacing w:val="-3"/>
        </w:rPr>
        <w:t> </w:t>
      </w:r>
      <w:r>
        <w:rPr/>
        <w:t>without</w:t>
      </w:r>
      <w:r>
        <w:rPr>
          <w:spacing w:val="-3"/>
        </w:rPr>
        <w:t> </w:t>
      </w:r>
      <w:r>
        <w:rPr/>
        <w:t>empirical</w:t>
      </w:r>
      <w:r>
        <w:rPr>
          <w:spacing w:val="-3"/>
        </w:rPr>
        <w:t> </w:t>
      </w:r>
      <w:r>
        <w:rPr/>
        <w:t>evaluation. </w:t>
      </w:r>
      <w:r>
        <w:rPr>
          <w:spacing w:val="-2"/>
        </w:rPr>
        <w:t>Researchers</w:t>
      </w:r>
      <w:r>
        <w:rPr>
          <w:spacing w:val="-4"/>
        </w:rPr>
        <w:t> </w:t>
      </w:r>
      <w:r>
        <w:rPr>
          <w:spacing w:val="-2"/>
        </w:rPr>
        <w:t>applying</w:t>
      </w:r>
      <w:r>
        <w:rPr>
          <w:spacing w:val="-4"/>
        </w:rPr>
        <w:t> </w:t>
      </w:r>
      <w:r>
        <w:rPr>
          <w:spacing w:val="-2"/>
        </w:rPr>
        <w:t>CarenR</w:t>
      </w:r>
      <w:r>
        <w:rPr>
          <w:spacing w:val="-4"/>
        </w:rPr>
        <w:t> </w:t>
      </w:r>
      <w:r>
        <w:rPr>
          <w:spacing w:val="-2"/>
        </w:rPr>
        <w:t>to</w:t>
      </w:r>
      <w:r>
        <w:rPr>
          <w:spacing w:val="-4"/>
        </w:rPr>
        <w:t> </w:t>
      </w:r>
      <w:r>
        <w:rPr>
          <w:spacing w:val="-2"/>
        </w:rPr>
        <w:t>similar</w:t>
      </w:r>
      <w:r>
        <w:rPr>
          <w:spacing w:val="-4"/>
        </w:rPr>
        <w:t> </w:t>
      </w:r>
      <w:r>
        <w:rPr>
          <w:spacing w:val="-2"/>
        </w:rPr>
        <w:t>agricultural</w:t>
      </w:r>
      <w:r>
        <w:rPr>
          <w:spacing w:val="-4"/>
        </w:rPr>
        <w:t> </w:t>
      </w:r>
      <w:r>
        <w:rPr>
          <w:spacing w:val="-2"/>
        </w:rPr>
        <w:t>forecasting</w:t>
      </w:r>
      <w:r>
        <w:rPr>
          <w:spacing w:val="-4"/>
        </w:rPr>
        <w:t> </w:t>
      </w:r>
      <w:r>
        <w:rPr>
          <w:spacing w:val="-2"/>
        </w:rPr>
        <w:t>problems</w:t>
      </w:r>
      <w:r>
        <w:rPr>
          <w:spacing w:val="-4"/>
        </w:rPr>
        <w:t> </w:t>
      </w:r>
      <w:r>
        <w:rPr>
          <w:spacing w:val="-2"/>
        </w:rPr>
        <w:t>should</w:t>
      </w:r>
      <w:r>
        <w:rPr>
          <w:spacing w:val="-4"/>
        </w:rPr>
        <w:t> </w:t>
      </w:r>
      <w:r>
        <w:rPr>
          <w:spacing w:val="-2"/>
        </w:rPr>
        <w:t>therefore</w:t>
      </w:r>
      <w:r>
        <w:rPr>
          <w:spacing w:val="-4"/>
        </w:rPr>
        <w:t> </w:t>
      </w:r>
      <w:r>
        <w:rPr>
          <w:spacing w:val="-2"/>
        </w:rPr>
        <w:t>conduct </w:t>
      </w:r>
      <w:r>
        <w:rPr/>
        <w:t>a</w:t>
      </w:r>
      <w:r>
        <w:rPr>
          <w:spacing w:val="-6"/>
        </w:rPr>
        <w:t> </w:t>
      </w:r>
      <w:r>
        <w:rPr/>
        <w:t>comparable</w:t>
      </w:r>
      <w:r>
        <w:rPr>
          <w:spacing w:val="-6"/>
        </w:rPr>
        <w:t> </w:t>
      </w:r>
      <w:r>
        <w:rPr/>
        <w:t>structured</w:t>
      </w:r>
      <w:r>
        <w:rPr>
          <w:spacing w:val="-6"/>
        </w:rPr>
        <w:t> </w:t>
      </w:r>
      <w:r>
        <w:rPr/>
        <w:t>sensitivity</w:t>
      </w:r>
      <w:r>
        <w:rPr>
          <w:spacing w:val="-6"/>
        </w:rPr>
        <w:t> </w:t>
      </w:r>
      <w:r>
        <w:rPr/>
        <w:t>analysis</w:t>
      </w:r>
      <w:r>
        <w:rPr>
          <w:spacing w:val="-6"/>
        </w:rPr>
        <w:t> </w:t>
      </w:r>
      <w:r>
        <w:rPr/>
        <w:t>rather</w:t>
      </w:r>
      <w:r>
        <w:rPr>
          <w:spacing w:val="-6"/>
        </w:rPr>
        <w:t> </w:t>
      </w:r>
      <w:r>
        <w:rPr/>
        <w:t>than</w:t>
      </w:r>
      <w:r>
        <w:rPr>
          <w:spacing w:val="-6"/>
        </w:rPr>
        <w:t> </w:t>
      </w:r>
      <w:r>
        <w:rPr/>
        <w:t>assuming</w:t>
      </w:r>
      <w:r>
        <w:rPr>
          <w:spacing w:val="-6"/>
        </w:rPr>
        <w:t> </w:t>
      </w:r>
      <w:r>
        <w:rPr/>
        <w:t>any</w:t>
      </w:r>
      <w:r>
        <w:rPr>
          <w:spacing w:val="-6"/>
        </w:rPr>
        <w:t> </w:t>
      </w:r>
      <w:r>
        <w:rPr/>
        <w:t>single</w:t>
      </w:r>
      <w:r>
        <w:rPr>
          <w:spacing w:val="-6"/>
        </w:rPr>
        <w:t> </w:t>
      </w:r>
      <w:r>
        <w:rPr/>
        <w:t>configuration</w:t>
      </w:r>
      <w:r>
        <w:rPr>
          <w:spacing w:val="-6"/>
        </w:rPr>
        <w:t> </w:t>
      </w:r>
      <w:r>
        <w:rPr/>
        <w:t>will</w:t>
      </w:r>
      <w:r>
        <w:rPr>
          <w:spacing w:val="-6"/>
        </w:rPr>
        <w:t> </w:t>
      </w:r>
      <w:r>
        <w:rPr/>
        <w:t>be </w:t>
      </w:r>
      <w:r>
        <w:rPr>
          <w:spacing w:val="-2"/>
        </w:rPr>
        <w:t>optimal.</w:t>
      </w:r>
    </w:p>
    <w:p>
      <w:pPr>
        <w:pStyle w:val="BodyText"/>
        <w:spacing w:before="63"/>
      </w:pPr>
    </w:p>
    <w:p>
      <w:pPr>
        <w:pStyle w:val="Heading3"/>
        <w:numPr>
          <w:ilvl w:val="2"/>
          <w:numId w:val="37"/>
        </w:numPr>
        <w:tabs>
          <w:tab w:pos="1426" w:val="left" w:leader="none"/>
        </w:tabs>
        <w:spacing w:line="240" w:lineRule="auto" w:before="0" w:after="0"/>
        <w:ind w:left="1426" w:right="0" w:hanging="717"/>
        <w:jc w:val="left"/>
      </w:pPr>
      <w:bookmarkStart w:name="6.7.5 Limitations Acknowledged During De" w:id="242"/>
      <w:bookmarkEnd w:id="242"/>
      <w:r>
        <w:rPr>
          <w:b w:val="0"/>
        </w:rPr>
      </w:r>
      <w:bookmarkStart w:name="_bookmark143" w:id="243"/>
      <w:bookmarkEnd w:id="243"/>
      <w:r>
        <w:rPr>
          <w:b w:val="0"/>
        </w:rPr>
      </w:r>
      <w:r>
        <w:rPr/>
        <w:t>Limitations</w:t>
      </w:r>
      <w:r>
        <w:rPr>
          <w:spacing w:val="-14"/>
        </w:rPr>
        <w:t> </w:t>
      </w:r>
      <w:r>
        <w:rPr/>
        <w:t>Acknowledged</w:t>
      </w:r>
      <w:r>
        <w:rPr>
          <w:spacing w:val="-13"/>
        </w:rPr>
        <w:t> </w:t>
      </w:r>
      <w:r>
        <w:rPr/>
        <w:t>During</w:t>
      </w:r>
      <w:r>
        <w:rPr>
          <w:spacing w:val="-14"/>
        </w:rPr>
        <w:t> </w:t>
      </w:r>
      <w:r>
        <w:rPr>
          <w:spacing w:val="-2"/>
        </w:rPr>
        <w:t>Development</w:t>
      </w:r>
    </w:p>
    <w:p>
      <w:pPr>
        <w:pStyle w:val="BodyText"/>
        <w:spacing w:line="312" w:lineRule="auto" w:before="219"/>
        <w:ind w:left="701" w:right="982" w:firstLine="7"/>
        <w:jc w:val="both"/>
      </w:pPr>
      <w:r>
        <w:rPr/>
        <w:t>Several limitations were identified during the pipeline development that are worth documenting explicitly.</w:t>
      </w:r>
      <w:r>
        <w:rPr>
          <w:spacing w:val="40"/>
        </w:rPr>
        <w:t> </w:t>
      </w:r>
      <w:r>
        <w:rPr/>
        <w:t>The CarenR_Assoc variant (association rule classification, rather than distributional rules) was initially planned but not fully implemented due to factor-level alignment issues in the walk-forward context: the class boundaries estimated on each training fold did not consistently produce the same factor levels across folds, causing prediction-time errors when test-year factor values fell outside training-set factor ranges.</w:t>
      </w:r>
      <w:r>
        <w:rPr>
          <w:spacing w:val="35"/>
        </w:rPr>
        <w:t> </w:t>
      </w:r>
      <w:r>
        <w:rPr/>
        <w:t>Resolving this would require a more robust factor recoding step in the walk-forward loop and is left as a natural extension of the current work.</w:t>
      </w:r>
    </w:p>
    <w:p>
      <w:pPr>
        <w:pStyle w:val="BodyText"/>
        <w:spacing w:line="312" w:lineRule="auto"/>
        <w:ind w:left="703" w:right="954" w:firstLine="344"/>
        <w:jc w:val="both"/>
      </w:pPr>
      <w:r>
        <w:rPr/>
        <w:t>The</w:t>
      </w:r>
      <w:r>
        <w:rPr>
          <w:spacing w:val="-14"/>
        </w:rPr>
        <w:t> </w:t>
      </w:r>
      <w:r>
        <w:rPr/>
        <w:t>LAG</w:t>
      </w:r>
      <w:r>
        <w:rPr>
          <w:spacing w:val="-14"/>
        </w:rPr>
        <w:t> </w:t>
      </w:r>
      <w:r>
        <w:rPr/>
        <w:t>variant</w:t>
      </w:r>
      <w:r>
        <w:rPr>
          <w:spacing w:val="-14"/>
        </w:rPr>
        <w:t> </w:t>
      </w:r>
      <w:r>
        <w:rPr/>
        <w:t>(CarenR_Dist_Lag)</w:t>
      </w:r>
      <w:r>
        <w:rPr>
          <w:spacing w:val="-13"/>
        </w:rPr>
        <w:t> </w:t>
      </w:r>
      <w:r>
        <w:rPr/>
        <w:t>attempted</w:t>
      </w:r>
      <w:r>
        <w:rPr>
          <w:spacing w:val="-14"/>
        </w:rPr>
        <w:t> </w:t>
      </w:r>
      <w:r>
        <w:rPr/>
        <w:t>to</w:t>
      </w:r>
      <w:r>
        <w:rPr>
          <w:spacing w:val="-14"/>
        </w:rPr>
        <w:t> </w:t>
      </w:r>
      <w:r>
        <w:rPr/>
        <w:t>augment</w:t>
      </w:r>
      <w:r>
        <w:rPr>
          <w:spacing w:val="-14"/>
        </w:rPr>
        <w:t> </w:t>
      </w:r>
      <w:r>
        <w:rPr/>
        <w:t>the</w:t>
      </w:r>
      <w:r>
        <w:rPr>
          <w:spacing w:val="-13"/>
        </w:rPr>
        <w:t> </w:t>
      </w:r>
      <w:r>
        <w:rPr/>
        <w:t>feature</w:t>
      </w:r>
      <w:r>
        <w:rPr>
          <w:spacing w:val="-14"/>
        </w:rPr>
        <w:t> </w:t>
      </w:r>
      <w:r>
        <w:rPr/>
        <w:t>set</w:t>
      </w:r>
      <w:r>
        <w:rPr>
          <w:spacing w:val="-14"/>
        </w:rPr>
        <w:t> </w:t>
      </w:r>
      <w:r>
        <w:rPr/>
        <w:t>with</w:t>
      </w:r>
      <w:r>
        <w:rPr>
          <w:spacing w:val="-14"/>
        </w:rPr>
        <w:t> </w:t>
      </w:r>
      <w:r>
        <w:rPr/>
        <w:t>autocorrelated lag</w:t>
      </w:r>
      <w:r>
        <w:rPr>
          <w:spacing w:val="-9"/>
        </w:rPr>
        <w:t> </w:t>
      </w:r>
      <w:r>
        <w:rPr/>
        <w:t>features</w:t>
      </w:r>
      <w:r>
        <w:rPr>
          <w:spacing w:val="-9"/>
        </w:rPr>
        <w:t> </w:t>
      </w:r>
      <w:r>
        <w:rPr/>
        <w:t>identified</w:t>
      </w:r>
      <w:r>
        <w:rPr>
          <w:spacing w:val="-9"/>
        </w:rPr>
        <w:t> </w:t>
      </w:r>
      <w:r>
        <w:rPr/>
        <w:t>from</w:t>
      </w:r>
      <w:r>
        <w:rPr>
          <w:spacing w:val="-9"/>
        </w:rPr>
        <w:t> </w:t>
      </w:r>
      <w:r>
        <w:rPr/>
        <w:t>the</w:t>
      </w:r>
      <w:r>
        <w:rPr>
          <w:spacing w:val="-9"/>
        </w:rPr>
        <w:t> </w:t>
      </w:r>
      <w:r>
        <w:rPr/>
        <w:t>ACF</w:t>
      </w:r>
      <w:r>
        <w:rPr>
          <w:spacing w:val="-9"/>
        </w:rPr>
        <w:t> </w:t>
      </w:r>
      <w:r>
        <w:rPr/>
        <w:t>of</w:t>
      </w:r>
      <w:r>
        <w:rPr>
          <w:spacing w:val="-9"/>
        </w:rPr>
        <w:t> </w:t>
      </w:r>
      <w:r>
        <w:rPr/>
        <w:t>the</w:t>
      </w:r>
      <w:r>
        <w:rPr>
          <w:spacing w:val="-9"/>
        </w:rPr>
        <w:t> </w:t>
      </w:r>
      <w:r>
        <w:rPr/>
        <w:t>production</w:t>
      </w:r>
      <w:r>
        <w:rPr>
          <w:spacing w:val="-9"/>
        </w:rPr>
        <w:t> </w:t>
      </w:r>
      <w:r>
        <w:rPr/>
        <w:t>residual</w:t>
      </w:r>
      <w:r>
        <w:rPr>
          <w:spacing w:val="-9"/>
        </w:rPr>
        <w:t> </w:t>
      </w:r>
      <w:r>
        <w:rPr/>
        <w:t>series. While</w:t>
      </w:r>
      <w:r>
        <w:rPr>
          <w:spacing w:val="-9"/>
        </w:rPr>
        <w:t> </w:t>
      </w:r>
      <w:r>
        <w:rPr/>
        <w:t>this</w:t>
      </w:r>
      <w:r>
        <w:rPr>
          <w:spacing w:val="-9"/>
        </w:rPr>
        <w:t> </w:t>
      </w:r>
      <w:r>
        <w:rPr/>
        <w:t>variant</w:t>
      </w:r>
      <w:r>
        <w:rPr>
          <w:spacing w:val="-9"/>
        </w:rPr>
        <w:t> </w:t>
      </w:r>
      <w:r>
        <w:rPr/>
        <w:t>performs competitively</w:t>
      </w:r>
      <w:r>
        <w:rPr>
          <w:spacing w:val="-10"/>
        </w:rPr>
        <w:t> </w:t>
      </w:r>
      <w:r>
        <w:rPr/>
        <w:t>in</w:t>
      </w:r>
      <w:r>
        <w:rPr>
          <w:spacing w:val="-10"/>
        </w:rPr>
        <w:t> </w:t>
      </w:r>
      <w:r>
        <w:rPr/>
        <w:t>RDD</w:t>
      </w:r>
      <w:r>
        <w:rPr>
          <w:spacing w:val="-10"/>
        </w:rPr>
        <w:t> </w:t>
      </w:r>
      <w:r>
        <w:rPr/>
        <w:t>(rank</w:t>
      </w:r>
      <w:r>
        <w:rPr>
          <w:spacing w:val="-10"/>
        </w:rPr>
        <w:t> </w:t>
      </w:r>
      <w:r>
        <w:rPr/>
        <w:t>5),</w:t>
      </w:r>
      <w:r>
        <w:rPr>
          <w:spacing w:val="-10"/>
        </w:rPr>
        <w:t> </w:t>
      </w:r>
      <w:r>
        <w:rPr/>
        <w:t>it</w:t>
      </w:r>
      <w:r>
        <w:rPr>
          <w:spacing w:val="-10"/>
        </w:rPr>
        <w:t> </w:t>
      </w:r>
      <w:r>
        <w:rPr/>
        <w:t>is</w:t>
      </w:r>
      <w:r>
        <w:rPr>
          <w:spacing w:val="-10"/>
        </w:rPr>
        <w:t> </w:t>
      </w:r>
      <w:r>
        <w:rPr/>
        <w:t>outperformed</w:t>
      </w:r>
      <w:r>
        <w:rPr>
          <w:spacing w:val="-10"/>
        </w:rPr>
        <w:t> </w:t>
      </w:r>
      <w:r>
        <w:rPr/>
        <w:t>by</w:t>
      </w:r>
      <w:r>
        <w:rPr>
          <w:spacing w:val="-10"/>
        </w:rPr>
        <w:t> </w:t>
      </w:r>
      <w:r>
        <w:rPr/>
        <w:t>simpler</w:t>
      </w:r>
      <w:r>
        <w:rPr>
          <w:spacing w:val="-10"/>
        </w:rPr>
        <w:t> </w:t>
      </w:r>
      <w:r>
        <w:rPr/>
        <w:t>selectors</w:t>
      </w:r>
      <w:r>
        <w:rPr>
          <w:spacing w:val="-10"/>
        </w:rPr>
        <w:t> </w:t>
      </w:r>
      <w:r>
        <w:rPr/>
        <w:t>in</w:t>
      </w:r>
      <w:r>
        <w:rPr>
          <w:spacing w:val="-10"/>
        </w:rPr>
        <w:t> </w:t>
      </w:r>
      <w:r>
        <w:rPr/>
        <w:t>both</w:t>
      </w:r>
      <w:r>
        <w:rPr>
          <w:spacing w:val="-10"/>
        </w:rPr>
        <w:t> </w:t>
      </w:r>
      <w:r>
        <w:rPr/>
        <w:t>regions,</w:t>
      </w:r>
      <w:r>
        <w:rPr>
          <w:spacing w:val="-10"/>
        </w:rPr>
        <w:t> </w:t>
      </w:r>
      <w:r>
        <w:rPr/>
        <w:t>suggesting that</w:t>
      </w:r>
      <w:r>
        <w:rPr>
          <w:spacing w:val="-14"/>
        </w:rPr>
        <w:t> </w:t>
      </w:r>
      <w:r>
        <w:rPr/>
        <w:t>the</w:t>
      </w:r>
      <w:r>
        <w:rPr>
          <w:spacing w:val="-14"/>
        </w:rPr>
        <w:t> </w:t>
      </w:r>
      <w:r>
        <w:rPr/>
        <w:t>ACF-based</w:t>
      </w:r>
      <w:r>
        <w:rPr>
          <w:spacing w:val="-14"/>
        </w:rPr>
        <w:t> </w:t>
      </w:r>
      <w:r>
        <w:rPr/>
        <w:t>lag</w:t>
      </w:r>
      <w:r>
        <w:rPr>
          <w:spacing w:val="-13"/>
        </w:rPr>
        <w:t> </w:t>
      </w:r>
      <w:r>
        <w:rPr/>
        <w:t>selection</w:t>
      </w:r>
      <w:r>
        <w:rPr>
          <w:spacing w:val="-14"/>
        </w:rPr>
        <w:t> </w:t>
      </w:r>
      <w:r>
        <w:rPr/>
        <w:t>does</w:t>
      </w:r>
      <w:r>
        <w:rPr>
          <w:spacing w:val="-14"/>
        </w:rPr>
        <w:t> </w:t>
      </w:r>
      <w:r>
        <w:rPr/>
        <w:t>not</w:t>
      </w:r>
      <w:r>
        <w:rPr>
          <w:spacing w:val="-14"/>
        </w:rPr>
        <w:t> </w:t>
      </w:r>
      <w:r>
        <w:rPr/>
        <w:t>consistently</w:t>
      </w:r>
      <w:r>
        <w:rPr>
          <w:spacing w:val="-13"/>
        </w:rPr>
        <w:t> </w:t>
      </w:r>
      <w:r>
        <w:rPr/>
        <w:t>identify</w:t>
      </w:r>
      <w:r>
        <w:rPr>
          <w:spacing w:val="-14"/>
        </w:rPr>
        <w:t> </w:t>
      </w:r>
      <w:r>
        <w:rPr/>
        <w:t>more</w:t>
      </w:r>
      <w:r>
        <w:rPr>
          <w:spacing w:val="-14"/>
        </w:rPr>
        <w:t> </w:t>
      </w:r>
      <w:r>
        <w:rPr/>
        <w:t>predictive</w:t>
      </w:r>
      <w:r>
        <w:rPr>
          <w:spacing w:val="-14"/>
        </w:rPr>
        <w:t> </w:t>
      </w:r>
      <w:r>
        <w:rPr/>
        <w:t>carry-over</w:t>
      </w:r>
      <w:r>
        <w:rPr>
          <w:spacing w:val="-13"/>
        </w:rPr>
        <w:t> </w:t>
      </w:r>
      <w:r>
        <w:rPr/>
        <w:t>features than</w:t>
      </w:r>
      <w:r>
        <w:rPr>
          <w:spacing w:val="-5"/>
        </w:rPr>
        <w:t> </w:t>
      </w:r>
      <w:r>
        <w:rPr/>
        <w:t>the</w:t>
      </w:r>
      <w:r>
        <w:rPr>
          <w:spacing w:val="-5"/>
        </w:rPr>
        <w:t> </w:t>
      </w:r>
      <w:r>
        <w:rPr/>
        <w:t>domain-knowledge-based</w:t>
      </w:r>
      <w:r>
        <w:rPr>
          <w:spacing w:val="-5"/>
        </w:rPr>
        <w:t> </w:t>
      </w:r>
      <w:r>
        <w:rPr/>
        <w:t>y0</w:t>
      </w:r>
      <w:r>
        <w:rPr>
          <w:spacing w:val="-5"/>
        </w:rPr>
        <w:t> </w:t>
      </w:r>
      <w:r>
        <w:rPr/>
        <w:t>features</w:t>
      </w:r>
      <w:r>
        <w:rPr>
          <w:spacing w:val="-5"/>
        </w:rPr>
        <w:t> </w:t>
      </w:r>
      <w:r>
        <w:rPr/>
        <w:t>already</w:t>
      </w:r>
      <w:r>
        <w:rPr>
          <w:spacing w:val="-5"/>
        </w:rPr>
        <w:t> </w:t>
      </w:r>
      <w:r>
        <w:rPr/>
        <w:t>included</w:t>
      </w:r>
      <w:r>
        <w:rPr>
          <w:spacing w:val="-5"/>
        </w:rPr>
        <w:t> </w:t>
      </w:r>
      <w:r>
        <w:rPr/>
        <w:t>in</w:t>
      </w:r>
      <w:r>
        <w:rPr>
          <w:spacing w:val="-5"/>
        </w:rPr>
        <w:t> </w:t>
      </w:r>
      <w:r>
        <w:rPr/>
        <w:t>the</w:t>
      </w:r>
      <w:r>
        <w:rPr>
          <w:spacing w:val="-5"/>
        </w:rPr>
        <w:t> </w:t>
      </w:r>
      <w:r>
        <w:rPr/>
        <w:t>base</w:t>
      </w:r>
      <w:r>
        <w:rPr>
          <w:spacing w:val="-5"/>
        </w:rPr>
        <w:t> </w:t>
      </w:r>
      <w:r>
        <w:rPr/>
        <w:t>feature</w:t>
      </w:r>
      <w:r>
        <w:rPr>
          <w:spacing w:val="-5"/>
        </w:rPr>
        <w:t> </w:t>
      </w:r>
      <w:r>
        <w:rPr/>
        <w:t>set. The</w:t>
      </w:r>
      <w:r>
        <w:rPr>
          <w:spacing w:val="-5"/>
        </w:rPr>
        <w:t> </w:t>
      </w:r>
      <w:r>
        <w:rPr/>
        <w:t>carry-over mechanism is real, as confirmed by RIPPER and M5Rules coefficients on previous-year variables, but the ACF approach to identifying it appears less reliable than the </w:t>
      </w:r>
      <w:r>
        <w:rPr/>
        <w:t>agronomically-motivated y0 feature construction.</w:t>
      </w:r>
    </w:p>
    <w:p>
      <w:pPr>
        <w:pStyle w:val="BodyText"/>
        <w:spacing w:after="0" w:line="312" w:lineRule="auto"/>
        <w:jc w:val="both"/>
        <w:sectPr>
          <w:pgSz w:w="11910" w:h="16840"/>
          <w:pgMar w:header="1160" w:footer="0" w:top="1420" w:bottom="280" w:left="1275" w:right="425"/>
        </w:sectPr>
      </w:pPr>
    </w:p>
    <w:p>
      <w:pPr>
        <w:pStyle w:val="BodyText"/>
        <w:spacing w:before="4"/>
        <w:rPr>
          <w:sz w:val="17"/>
        </w:rPr>
      </w:pPr>
    </w:p>
    <w:p>
      <w:pPr>
        <w:pStyle w:val="BodyText"/>
        <w:spacing w:after="0"/>
        <w:rPr>
          <w:sz w:val="17"/>
        </w:rPr>
        <w:sectPr>
          <w:pgSz w:w="11910" w:h="16840"/>
          <w:pgMar w:header="1160" w:footer="0" w:top="1420" w:bottom="280" w:left="1275" w:right="425"/>
        </w:sectPr>
      </w:pPr>
    </w:p>
    <w:p>
      <w:pPr>
        <w:pStyle w:val="BodyText"/>
        <w:rPr>
          <w:sz w:val="41"/>
        </w:rPr>
      </w:pPr>
    </w:p>
    <w:p>
      <w:pPr>
        <w:pStyle w:val="BodyText"/>
        <w:rPr>
          <w:sz w:val="41"/>
        </w:rPr>
      </w:pPr>
    </w:p>
    <w:p>
      <w:pPr>
        <w:pStyle w:val="BodyText"/>
        <w:spacing w:before="42"/>
        <w:rPr>
          <w:sz w:val="41"/>
        </w:rPr>
      </w:pPr>
    </w:p>
    <w:p>
      <w:pPr>
        <w:spacing w:before="0"/>
        <w:ind w:left="709" w:right="0" w:firstLine="0"/>
        <w:jc w:val="left"/>
        <w:rPr>
          <w:b/>
          <w:sz w:val="41"/>
        </w:rPr>
      </w:pPr>
      <w:bookmarkStart w:name="7 Conclusions" w:id="244"/>
      <w:bookmarkEnd w:id="244"/>
      <w:r>
        <w:rPr/>
      </w:r>
      <w:bookmarkStart w:name="_bookmark144" w:id="245"/>
      <w:bookmarkEnd w:id="245"/>
      <w:r>
        <w:rPr/>
      </w:r>
      <w:r>
        <w:rPr>
          <w:b/>
          <w:sz w:val="41"/>
        </w:rPr>
        <w:t>Chapter </w:t>
      </w:r>
      <w:r>
        <w:rPr>
          <w:b/>
          <w:spacing w:val="-10"/>
          <w:sz w:val="41"/>
        </w:rPr>
        <w:t>7</w:t>
      </w:r>
    </w:p>
    <w:p>
      <w:pPr>
        <w:pStyle w:val="BodyText"/>
        <w:spacing w:before="122"/>
        <w:rPr>
          <w:b/>
          <w:sz w:val="41"/>
        </w:rPr>
      </w:pPr>
    </w:p>
    <w:p>
      <w:pPr>
        <w:pStyle w:val="Heading1"/>
      </w:pPr>
      <w:r>
        <w:rPr>
          <w:spacing w:val="-2"/>
        </w:rPr>
        <w:t>Conclusions</w:t>
      </w:r>
    </w:p>
    <w:p>
      <w:pPr>
        <w:pStyle w:val="BodyText"/>
        <w:spacing w:before="267"/>
        <w:rPr>
          <w:b/>
          <w:sz w:val="49"/>
        </w:rPr>
      </w:pPr>
    </w:p>
    <w:p>
      <w:pPr>
        <w:pStyle w:val="BodyText"/>
        <w:spacing w:line="312" w:lineRule="auto" w:before="1"/>
        <w:ind w:left="701" w:right="954" w:firstLine="1"/>
        <w:jc w:val="both"/>
      </w:pPr>
      <w:r>
        <w:rPr/>
        <w:t>This</w:t>
      </w:r>
      <w:r>
        <w:rPr>
          <w:spacing w:val="-10"/>
        </w:rPr>
        <w:t> </w:t>
      </w:r>
      <w:r>
        <w:rPr/>
        <w:t>thesis</w:t>
      </w:r>
      <w:r>
        <w:rPr>
          <w:spacing w:val="-10"/>
        </w:rPr>
        <w:t> </w:t>
      </w:r>
      <w:r>
        <w:rPr/>
        <w:t>evaluated</w:t>
      </w:r>
      <w:r>
        <w:rPr>
          <w:spacing w:val="-10"/>
        </w:rPr>
        <w:t> </w:t>
      </w:r>
      <w:r>
        <w:rPr/>
        <w:t>the</w:t>
      </w:r>
      <w:r>
        <w:rPr>
          <w:spacing w:val="-10"/>
        </w:rPr>
        <w:t> </w:t>
      </w:r>
      <w:r>
        <w:rPr/>
        <w:t>CarenR</w:t>
      </w:r>
      <w:r>
        <w:rPr>
          <w:spacing w:val="-10"/>
        </w:rPr>
        <w:t> </w:t>
      </w:r>
      <w:r>
        <w:rPr/>
        <w:t>distributional</w:t>
      </w:r>
      <w:r>
        <w:rPr>
          <w:spacing w:val="-10"/>
        </w:rPr>
        <w:t> </w:t>
      </w:r>
      <w:r>
        <w:rPr/>
        <w:t>subgroup</w:t>
      </w:r>
      <w:r>
        <w:rPr>
          <w:spacing w:val="-10"/>
        </w:rPr>
        <w:t> </w:t>
      </w:r>
      <w:r>
        <w:rPr/>
        <w:t>discovery</w:t>
      </w:r>
      <w:r>
        <w:rPr>
          <w:spacing w:val="-10"/>
        </w:rPr>
        <w:t> </w:t>
      </w:r>
      <w:r>
        <w:rPr/>
        <w:t>framework</w:t>
      </w:r>
      <w:r>
        <w:rPr>
          <w:spacing w:val="-10"/>
        </w:rPr>
        <w:t> </w:t>
      </w:r>
      <w:r>
        <w:rPr/>
        <w:t>on</w:t>
      </w:r>
      <w:r>
        <w:rPr>
          <w:spacing w:val="-10"/>
        </w:rPr>
        <w:t> </w:t>
      </w:r>
      <w:r>
        <w:rPr/>
        <w:t>two</w:t>
      </w:r>
      <w:r>
        <w:rPr>
          <w:spacing w:val="-10"/>
        </w:rPr>
        <w:t> </w:t>
      </w:r>
      <w:r>
        <w:rPr/>
        <w:t>contrasting wine</w:t>
      </w:r>
      <w:r>
        <w:rPr>
          <w:spacing w:val="-7"/>
        </w:rPr>
        <w:t> </w:t>
      </w:r>
      <w:r>
        <w:rPr/>
        <w:t>production</w:t>
      </w:r>
      <w:r>
        <w:rPr>
          <w:spacing w:val="-7"/>
        </w:rPr>
        <w:t> </w:t>
      </w:r>
      <w:r>
        <w:rPr/>
        <w:t>time</w:t>
      </w:r>
      <w:r>
        <w:rPr>
          <w:spacing w:val="-7"/>
        </w:rPr>
        <w:t> </w:t>
      </w:r>
      <w:r>
        <w:rPr/>
        <w:t>series,</w:t>
      </w:r>
      <w:r>
        <w:rPr>
          <w:spacing w:val="-7"/>
        </w:rPr>
        <w:t> </w:t>
      </w:r>
      <w:r>
        <w:rPr/>
        <w:t>pursuing</w:t>
      </w:r>
      <w:r>
        <w:rPr>
          <w:spacing w:val="-7"/>
        </w:rPr>
        <w:t> </w:t>
      </w:r>
      <w:r>
        <w:rPr/>
        <w:t>two</w:t>
      </w:r>
      <w:r>
        <w:rPr>
          <w:spacing w:val="-7"/>
        </w:rPr>
        <w:t> </w:t>
      </w:r>
      <w:r>
        <w:rPr/>
        <w:t>goals: pattern</w:t>
      </w:r>
      <w:r>
        <w:rPr>
          <w:spacing w:val="-7"/>
        </w:rPr>
        <w:t> </w:t>
      </w:r>
      <w:r>
        <w:rPr/>
        <w:t>extraction</w:t>
      </w:r>
      <w:r>
        <w:rPr>
          <w:spacing w:val="-7"/>
        </w:rPr>
        <w:t> </w:t>
      </w:r>
      <w:r>
        <w:rPr/>
        <w:t>from</w:t>
      </w:r>
      <w:r>
        <w:rPr>
          <w:spacing w:val="-7"/>
        </w:rPr>
        <w:t> </w:t>
      </w:r>
      <w:r>
        <w:rPr/>
        <w:t>historical</w:t>
      </w:r>
      <w:r>
        <w:rPr>
          <w:spacing w:val="-7"/>
        </w:rPr>
        <w:t> </w:t>
      </w:r>
      <w:r>
        <w:rPr/>
        <w:t>data</w:t>
      </w:r>
      <w:r>
        <w:rPr>
          <w:spacing w:val="-7"/>
        </w:rPr>
        <w:t> </w:t>
      </w:r>
      <w:r>
        <w:rPr/>
        <w:t>and</w:t>
      </w:r>
      <w:r>
        <w:rPr>
          <w:spacing w:val="-7"/>
        </w:rPr>
        <w:t> </w:t>
      </w:r>
      <w:r>
        <w:rPr/>
        <w:t>walk-forward</w:t>
      </w:r>
      <w:r>
        <w:rPr>
          <w:spacing w:val="-7"/>
        </w:rPr>
        <w:t> </w:t>
      </w:r>
      <w:r>
        <w:rPr/>
        <w:t>prediction. The</w:t>
      </w:r>
      <w:r>
        <w:rPr>
          <w:spacing w:val="-7"/>
        </w:rPr>
        <w:t> </w:t>
      </w:r>
      <w:r>
        <w:rPr/>
        <w:t>findings</w:t>
      </w:r>
      <w:r>
        <w:rPr>
          <w:spacing w:val="-7"/>
        </w:rPr>
        <w:t> </w:t>
      </w:r>
      <w:r>
        <w:rPr/>
        <w:t>address</w:t>
      </w:r>
      <w:r>
        <w:rPr>
          <w:spacing w:val="-7"/>
        </w:rPr>
        <w:t> </w:t>
      </w:r>
      <w:r>
        <w:rPr/>
        <w:t>the</w:t>
      </w:r>
      <w:r>
        <w:rPr>
          <w:spacing w:val="-7"/>
        </w:rPr>
        <w:t> </w:t>
      </w:r>
      <w:r>
        <w:rPr/>
        <w:t>conditions</w:t>
      </w:r>
      <w:r>
        <w:rPr>
          <w:spacing w:val="-7"/>
        </w:rPr>
        <w:t> </w:t>
      </w:r>
      <w:r>
        <w:rPr/>
        <w:t>under</w:t>
      </w:r>
      <w:r>
        <w:rPr>
          <w:spacing w:val="-7"/>
        </w:rPr>
        <w:t> </w:t>
      </w:r>
      <w:r>
        <w:rPr/>
        <w:t>which</w:t>
      </w:r>
      <w:r>
        <w:rPr>
          <w:spacing w:val="-7"/>
        </w:rPr>
        <w:t> </w:t>
      </w:r>
      <w:r>
        <w:rPr/>
        <w:t>rule-based</w:t>
      </w:r>
      <w:r>
        <w:rPr>
          <w:spacing w:val="-7"/>
        </w:rPr>
        <w:t> </w:t>
      </w:r>
      <w:r>
        <w:rPr/>
        <w:t>machine</w:t>
      </w:r>
      <w:r>
        <w:rPr>
          <w:spacing w:val="-7"/>
        </w:rPr>
        <w:t> </w:t>
      </w:r>
      <w:r>
        <w:rPr/>
        <w:t>learning succeeds</w:t>
      </w:r>
      <w:r>
        <w:rPr>
          <w:spacing w:val="-4"/>
        </w:rPr>
        <w:t> </w:t>
      </w:r>
      <w:r>
        <w:rPr/>
        <w:t>and</w:t>
      </w:r>
      <w:r>
        <w:rPr>
          <w:spacing w:val="-4"/>
        </w:rPr>
        <w:t> </w:t>
      </w:r>
      <w:r>
        <w:rPr/>
        <w:t>fails</w:t>
      </w:r>
      <w:r>
        <w:rPr>
          <w:spacing w:val="-4"/>
        </w:rPr>
        <w:t> </w:t>
      </w:r>
      <w:r>
        <w:rPr/>
        <w:t>on</w:t>
      </w:r>
      <w:r>
        <w:rPr>
          <w:spacing w:val="-4"/>
        </w:rPr>
        <w:t> </w:t>
      </w:r>
      <w:r>
        <w:rPr/>
        <w:t>non-stationary</w:t>
      </w:r>
      <w:r>
        <w:rPr>
          <w:spacing w:val="-4"/>
        </w:rPr>
        <w:t> </w:t>
      </w:r>
      <w:r>
        <w:rPr/>
        <w:t>agricultural</w:t>
      </w:r>
      <w:r>
        <w:rPr>
          <w:spacing w:val="-4"/>
        </w:rPr>
        <w:t> </w:t>
      </w:r>
      <w:r>
        <w:rPr/>
        <w:t>time</w:t>
      </w:r>
      <w:r>
        <w:rPr>
          <w:spacing w:val="-4"/>
        </w:rPr>
        <w:t> </w:t>
      </w:r>
      <w:r>
        <w:rPr/>
        <w:t>series,</w:t>
      </w:r>
      <w:r>
        <w:rPr>
          <w:spacing w:val="-4"/>
        </w:rPr>
        <w:t> </w:t>
      </w:r>
      <w:r>
        <w:rPr/>
        <w:t>a</w:t>
      </w:r>
      <w:r>
        <w:rPr>
          <w:spacing w:val="-4"/>
        </w:rPr>
        <w:t> </w:t>
      </w:r>
      <w:r>
        <w:rPr/>
        <w:t>question</w:t>
      </w:r>
      <w:r>
        <w:rPr>
          <w:spacing w:val="-4"/>
        </w:rPr>
        <w:t> </w:t>
      </w:r>
      <w:r>
        <w:rPr/>
        <w:t>with</w:t>
      </w:r>
      <w:r>
        <w:rPr>
          <w:spacing w:val="-4"/>
        </w:rPr>
        <w:t> </w:t>
      </w:r>
      <w:r>
        <w:rPr/>
        <w:t>implications</w:t>
      </w:r>
      <w:r>
        <w:rPr>
          <w:spacing w:val="-4"/>
        </w:rPr>
        <w:t> </w:t>
      </w:r>
      <w:r>
        <w:rPr/>
        <w:t>beyond the specific domain studied here.</w:t>
      </w:r>
    </w:p>
    <w:p>
      <w:pPr>
        <w:pStyle w:val="BodyText"/>
        <w:spacing w:before="237"/>
      </w:pPr>
    </w:p>
    <w:p>
      <w:pPr>
        <w:pStyle w:val="Heading2"/>
        <w:numPr>
          <w:ilvl w:val="1"/>
          <w:numId w:val="38"/>
        </w:numPr>
        <w:tabs>
          <w:tab w:pos="1354" w:val="left" w:leader="none"/>
        </w:tabs>
        <w:spacing w:line="240" w:lineRule="auto" w:before="0" w:after="0"/>
        <w:ind w:left="1354" w:right="0" w:hanging="645"/>
        <w:jc w:val="left"/>
      </w:pPr>
      <w:bookmarkStart w:name="7.1 Summary of Findings" w:id="246"/>
      <w:bookmarkEnd w:id="246"/>
      <w:r>
        <w:rPr>
          <w:b w:val="0"/>
        </w:rPr>
      </w:r>
      <w:bookmarkStart w:name="_bookmark145" w:id="247"/>
      <w:bookmarkEnd w:id="247"/>
      <w:r>
        <w:rPr>
          <w:b w:val="0"/>
        </w:rPr>
      </w:r>
      <w:r>
        <w:rPr/>
        <w:t>Summary</w:t>
      </w:r>
      <w:r>
        <w:rPr>
          <w:spacing w:val="15"/>
        </w:rPr>
        <w:t> </w:t>
      </w:r>
      <w:r>
        <w:rPr/>
        <w:t>of</w:t>
      </w:r>
      <w:r>
        <w:rPr>
          <w:spacing w:val="15"/>
        </w:rPr>
        <w:t> </w:t>
      </w:r>
      <w:r>
        <w:rPr>
          <w:spacing w:val="-2"/>
        </w:rPr>
        <w:t>Findings</w:t>
      </w:r>
    </w:p>
    <w:p>
      <w:pPr>
        <w:pStyle w:val="BodyText"/>
        <w:spacing w:line="328" w:lineRule="exact" w:before="265"/>
        <w:ind w:left="709" w:right="990"/>
        <w:jc w:val="both"/>
      </w:pPr>
      <w:r>
        <w:rPr>
          <w:spacing w:val="-4"/>
        </w:rPr>
        <w:t>Goal</w:t>
      </w:r>
      <w:r>
        <w:rPr>
          <w:spacing w:val="-9"/>
        </w:rPr>
        <w:t> </w:t>
      </w:r>
      <w:r>
        <w:rPr>
          <w:spacing w:val="-4"/>
        </w:rPr>
        <w:t>1</w:t>
      </w:r>
      <w:r>
        <w:rPr>
          <w:spacing w:val="-9"/>
        </w:rPr>
        <w:t> </w:t>
      </w:r>
      <w:r>
        <w:rPr>
          <w:spacing w:val="-4"/>
        </w:rPr>
        <w:t>(Rule</w:t>
      </w:r>
      <w:r>
        <w:rPr>
          <w:spacing w:val="-9"/>
        </w:rPr>
        <w:t> </w:t>
      </w:r>
      <w:r>
        <w:rPr>
          <w:spacing w:val="-4"/>
        </w:rPr>
        <w:t>Discovery)</w:t>
      </w:r>
      <w:r>
        <w:rPr>
          <w:spacing w:val="-9"/>
        </w:rPr>
        <w:t> </w:t>
      </w:r>
      <w:r>
        <w:rPr>
          <w:spacing w:val="-4"/>
        </w:rPr>
        <w:t>is</w:t>
      </w:r>
      <w:r>
        <w:rPr>
          <w:spacing w:val="-9"/>
        </w:rPr>
        <w:t> </w:t>
      </w:r>
      <w:r>
        <w:rPr>
          <w:spacing w:val="-4"/>
        </w:rPr>
        <w:t>achieved.</w:t>
      </w:r>
      <w:r>
        <w:rPr>
          <w:spacing w:val="11"/>
        </w:rPr>
        <w:t> </w:t>
      </w:r>
      <w:r>
        <w:rPr>
          <w:spacing w:val="-4"/>
        </w:rPr>
        <w:t>Applied</w:t>
      </w:r>
      <w:r>
        <w:rPr>
          <w:spacing w:val="-9"/>
        </w:rPr>
        <w:t> </w:t>
      </w:r>
      <w:r>
        <w:rPr>
          <w:spacing w:val="-4"/>
        </w:rPr>
        <w:t>to</w:t>
      </w:r>
      <w:r>
        <w:rPr>
          <w:spacing w:val="-9"/>
        </w:rPr>
        <w:t> </w:t>
      </w:r>
      <w:r>
        <w:rPr>
          <w:spacing w:val="-4"/>
        </w:rPr>
        <w:t>89</w:t>
      </w:r>
      <w:r>
        <w:rPr>
          <w:spacing w:val="-9"/>
        </w:rPr>
        <w:t> </w:t>
      </w:r>
      <w:r>
        <w:rPr>
          <w:spacing w:val="-4"/>
        </w:rPr>
        <w:t>years</w:t>
      </w:r>
      <w:r>
        <w:rPr>
          <w:spacing w:val="-9"/>
        </w:rPr>
        <w:t> </w:t>
      </w:r>
      <w:r>
        <w:rPr>
          <w:spacing w:val="-4"/>
        </w:rPr>
        <w:t>of</w:t>
      </w:r>
      <w:r>
        <w:rPr>
          <w:spacing w:val="-9"/>
        </w:rPr>
        <w:t> </w:t>
      </w:r>
      <w:r>
        <w:rPr>
          <w:spacing w:val="-4"/>
        </w:rPr>
        <w:t>Douro</w:t>
      </w:r>
      <w:r>
        <w:rPr>
          <w:spacing w:val="-9"/>
        </w:rPr>
        <w:t> </w:t>
      </w:r>
      <w:r>
        <w:rPr>
          <w:spacing w:val="-4"/>
        </w:rPr>
        <w:t>data</w:t>
      </w:r>
      <w:r>
        <w:rPr>
          <w:spacing w:val="-9"/>
        </w:rPr>
        <w:t> </w:t>
      </w:r>
      <w:r>
        <w:rPr>
          <w:spacing w:val="-4"/>
        </w:rPr>
        <w:t>and</w:t>
      </w:r>
      <w:r>
        <w:rPr>
          <w:spacing w:val="-9"/>
        </w:rPr>
        <w:t> </w:t>
      </w:r>
      <w:r>
        <w:rPr>
          <w:spacing w:val="-4"/>
        </w:rPr>
        <w:t>80</w:t>
      </w:r>
      <w:r>
        <w:rPr>
          <w:spacing w:val="-9"/>
        </w:rPr>
        <w:t> </w:t>
      </w:r>
      <w:r>
        <w:rPr>
          <w:spacing w:val="-4"/>
        </w:rPr>
        <w:t>years</w:t>
      </w:r>
      <w:r>
        <w:rPr>
          <w:spacing w:val="-9"/>
        </w:rPr>
        <w:t> </w:t>
      </w:r>
      <w:r>
        <w:rPr>
          <w:spacing w:val="-4"/>
        </w:rPr>
        <w:t>of</w:t>
      </w:r>
      <w:r>
        <w:rPr>
          <w:spacing w:val="-9"/>
        </w:rPr>
        <w:t> </w:t>
      </w:r>
      <w:r>
        <w:rPr>
          <w:spacing w:val="-4"/>
        </w:rPr>
        <w:t>Vinho</w:t>
      </w:r>
      <w:r>
        <w:rPr>
          <w:spacing w:val="-9"/>
        </w:rPr>
        <w:t> </w:t>
      </w:r>
      <w:r>
        <w:rPr>
          <w:spacing w:val="-4"/>
        </w:rPr>
        <w:t>Verde </w:t>
      </w:r>
      <w:r>
        <w:rPr/>
        <w:t>data,</w:t>
      </w:r>
      <w:r>
        <w:rPr>
          <w:spacing w:val="-9"/>
        </w:rPr>
        <w:t> </w:t>
      </w:r>
      <w:r>
        <w:rPr/>
        <w:t>CarenR’s</w:t>
      </w:r>
      <w:r>
        <w:rPr>
          <w:spacing w:val="-9"/>
        </w:rPr>
        <w:t> </w:t>
      </w:r>
      <w:r>
        <w:rPr/>
        <w:t>KS-test-based</w:t>
      </w:r>
      <w:r>
        <w:rPr>
          <w:spacing w:val="-9"/>
        </w:rPr>
        <w:t> </w:t>
      </w:r>
      <w:r>
        <w:rPr/>
        <w:t>subgroup</w:t>
      </w:r>
      <w:r>
        <w:rPr>
          <w:spacing w:val="-9"/>
        </w:rPr>
        <w:t> </w:t>
      </w:r>
      <w:r>
        <w:rPr/>
        <w:t>induction</w:t>
      </w:r>
      <w:r>
        <w:rPr>
          <w:spacing w:val="-9"/>
        </w:rPr>
        <w:t> </w:t>
      </w:r>
      <w:r>
        <w:rPr/>
        <w:t>discovers</w:t>
      </w:r>
      <w:r>
        <w:rPr>
          <w:spacing w:val="-9"/>
        </w:rPr>
        <w:t> </w:t>
      </w:r>
      <w:r>
        <w:rPr/>
        <w:t>48</w:t>
      </w:r>
      <w:r>
        <w:rPr>
          <w:spacing w:val="-9"/>
        </w:rPr>
        <w:t> </w:t>
      </w:r>
      <w:r>
        <w:rPr/>
        <w:t>and</w:t>
      </w:r>
      <w:r>
        <w:rPr>
          <w:spacing w:val="-9"/>
        </w:rPr>
        <w:t> </w:t>
      </w:r>
      <w:r>
        <w:rPr/>
        <w:t>20</w:t>
      </w:r>
      <w:r>
        <w:rPr>
          <w:spacing w:val="-9"/>
        </w:rPr>
        <w:t> </w:t>
      </w:r>
      <w:r>
        <w:rPr/>
        <w:t>statistically</w:t>
      </w:r>
      <w:r>
        <w:rPr>
          <w:spacing w:val="-9"/>
        </w:rPr>
        <w:t> </w:t>
      </w:r>
      <w:r>
        <w:rPr/>
        <w:t>validated</w:t>
      </w:r>
      <w:r>
        <w:rPr>
          <w:spacing w:val="-9"/>
        </w:rPr>
        <w:t> </w:t>
      </w:r>
      <w:r>
        <w:rPr/>
        <w:t>rules respectively, with feature selection consistently converging on a small set of dominant variables across</w:t>
      </w:r>
      <w:r>
        <w:rPr>
          <w:spacing w:val="-2"/>
        </w:rPr>
        <w:t> </w:t>
      </w:r>
      <w:r>
        <w:rPr/>
        <w:t>all</w:t>
      </w:r>
      <w:r>
        <w:rPr>
          <w:spacing w:val="-2"/>
        </w:rPr>
        <w:t> </w:t>
      </w:r>
      <w:r>
        <w:rPr/>
        <w:t>11</w:t>
      </w:r>
      <w:r>
        <w:rPr>
          <w:spacing w:val="-2"/>
        </w:rPr>
        <w:t> </w:t>
      </w:r>
      <w:r>
        <w:rPr/>
        <w:t>variants</w:t>
      </w:r>
      <w:r>
        <w:rPr>
          <w:spacing w:val="-2"/>
        </w:rPr>
        <w:t> </w:t>
      </w:r>
      <w:r>
        <w:rPr/>
        <w:t>evaluated. The</w:t>
      </w:r>
      <w:r>
        <w:rPr>
          <w:spacing w:val="-2"/>
        </w:rPr>
        <w:t> </w:t>
      </w:r>
      <w:r>
        <w:rPr/>
        <w:t>harvest-period</w:t>
      </w:r>
      <w:r>
        <w:rPr>
          <w:spacing w:val="-2"/>
        </w:rPr>
        <w:t> </w:t>
      </w:r>
      <w:r>
        <w:rPr/>
        <w:t>soil</w:t>
      </w:r>
      <w:r>
        <w:rPr>
          <w:spacing w:val="-2"/>
        </w:rPr>
        <w:t> </w:t>
      </w:r>
      <w:r>
        <w:rPr/>
        <w:t>water</w:t>
      </w:r>
      <w:r>
        <w:rPr>
          <w:spacing w:val="-2"/>
        </w:rPr>
        <w:t> </w:t>
      </w:r>
      <w:r>
        <w:rPr/>
        <w:t>variable</w:t>
      </w:r>
      <w:r>
        <w:rPr>
          <w:spacing w:val="-2"/>
        </w:rPr>
        <w:t> </w:t>
      </w:r>
      <w:r>
        <w:rPr/>
        <w:t>appears</w:t>
      </w:r>
      <w:r>
        <w:rPr>
          <w:spacing w:val="-2"/>
        </w:rPr>
        <w:t> </w:t>
      </w:r>
      <w:r>
        <w:rPr/>
        <w:t>in</w:t>
      </w:r>
      <w:r>
        <w:rPr>
          <w:spacing w:val="-2"/>
        </w:rPr>
        <w:t> </w:t>
      </w:r>
      <w:r>
        <w:rPr/>
        <w:t>54%</w:t>
      </w:r>
      <w:r>
        <w:rPr>
          <w:spacing w:val="-2"/>
        </w:rPr>
        <w:t> </w:t>
      </w:r>
      <w:r>
        <w:rPr/>
        <w:t>of</w:t>
      </w:r>
      <w:r>
        <w:rPr>
          <w:spacing w:val="-2"/>
        </w:rPr>
        <w:t> </w:t>
      </w:r>
      <w:r>
        <w:rPr/>
        <w:t>Douro rules;</w:t>
      </w:r>
      <w:r>
        <w:rPr>
          <w:spacing w:val="-5"/>
        </w:rPr>
        <w:t> </w:t>
      </w:r>
      <w:r>
        <w:rPr/>
        <w:t>heat-stress</w:t>
      </w:r>
      <w:r>
        <w:rPr>
          <w:spacing w:val="-5"/>
        </w:rPr>
        <w:t> </w:t>
      </w:r>
      <w:r>
        <w:rPr/>
        <w:t>days</w:t>
      </w:r>
      <w:r>
        <w:rPr>
          <w:spacing w:val="-5"/>
        </w:rPr>
        <w:t> </w:t>
      </w:r>
      <w:r>
        <w:rPr/>
        <w:t>(maximum</w:t>
      </w:r>
      <w:r>
        <w:rPr>
          <w:spacing w:val="-5"/>
        </w:rPr>
        <w:t> </w:t>
      </w:r>
      <w:r>
        <w:rPr/>
        <w:t>temperature</w:t>
      </w:r>
      <w:r>
        <w:rPr>
          <w:spacing w:val="-5"/>
        </w:rPr>
        <w:t> </w:t>
      </w:r>
      <w:r>
        <w:rPr/>
        <w:t>above</w:t>
      </w:r>
      <w:r>
        <w:rPr>
          <w:spacing w:val="-5"/>
        </w:rPr>
        <w:t> </w:t>
      </w:r>
      <w:r>
        <w:rPr/>
        <w:t>35</w:t>
      </w:r>
      <w:r>
        <w:rPr>
          <w:rFonts w:ascii="Meiryo UI" w:hAnsi="Meiryo UI"/>
          <w:i/>
          <w:vertAlign w:val="superscript"/>
        </w:rPr>
        <w:t>◦</w:t>
      </w:r>
      <w:r>
        <w:rPr>
          <w:vertAlign w:val="baseline"/>
        </w:rPr>
        <w:t>C)</w:t>
      </w:r>
      <w:r>
        <w:rPr>
          <w:spacing w:val="-5"/>
          <w:vertAlign w:val="baseline"/>
        </w:rPr>
        <w:t> </w:t>
      </w:r>
      <w:r>
        <w:rPr>
          <w:vertAlign w:val="baseline"/>
        </w:rPr>
        <w:t>appear</w:t>
      </w:r>
      <w:r>
        <w:rPr>
          <w:spacing w:val="-5"/>
          <w:vertAlign w:val="baseline"/>
        </w:rPr>
        <w:t> </w:t>
      </w:r>
      <w:r>
        <w:rPr>
          <w:vertAlign w:val="baseline"/>
        </w:rPr>
        <w:t>in</w:t>
      </w:r>
      <w:r>
        <w:rPr>
          <w:spacing w:val="-5"/>
          <w:vertAlign w:val="baseline"/>
        </w:rPr>
        <w:t> </w:t>
      </w:r>
      <w:r>
        <w:rPr>
          <w:vertAlign w:val="baseline"/>
        </w:rPr>
        <w:t>up</w:t>
      </w:r>
      <w:r>
        <w:rPr>
          <w:spacing w:val="-5"/>
          <w:vertAlign w:val="baseline"/>
        </w:rPr>
        <w:t> </w:t>
      </w:r>
      <w:r>
        <w:rPr>
          <w:vertAlign w:val="baseline"/>
        </w:rPr>
        <w:t>to</w:t>
      </w:r>
      <w:r>
        <w:rPr>
          <w:spacing w:val="-5"/>
          <w:vertAlign w:val="baseline"/>
        </w:rPr>
        <w:t> </w:t>
      </w:r>
      <w:r>
        <w:rPr>
          <w:vertAlign w:val="baseline"/>
        </w:rPr>
        <w:t>50%</w:t>
      </w:r>
      <w:r>
        <w:rPr>
          <w:spacing w:val="-5"/>
          <w:vertAlign w:val="baseline"/>
        </w:rPr>
        <w:t> </w:t>
      </w:r>
      <w:r>
        <w:rPr>
          <w:vertAlign w:val="baseline"/>
        </w:rPr>
        <w:t>of</w:t>
      </w:r>
      <w:r>
        <w:rPr>
          <w:spacing w:val="-5"/>
          <w:vertAlign w:val="baseline"/>
        </w:rPr>
        <w:t> </w:t>
      </w:r>
      <w:r>
        <w:rPr>
          <w:vertAlign w:val="baseline"/>
        </w:rPr>
        <w:t>Vinho</w:t>
      </w:r>
      <w:r>
        <w:rPr>
          <w:spacing w:val="-5"/>
          <w:vertAlign w:val="baseline"/>
        </w:rPr>
        <w:t> </w:t>
      </w:r>
      <w:r>
        <w:rPr>
          <w:vertAlign w:val="baseline"/>
        </w:rPr>
        <w:t>Verde rules. LOESS</w:t>
      </w:r>
      <w:r>
        <w:rPr>
          <w:spacing w:val="-11"/>
          <w:vertAlign w:val="baseline"/>
        </w:rPr>
        <w:t> </w:t>
      </w:r>
      <w:r>
        <w:rPr>
          <w:vertAlign w:val="baseline"/>
        </w:rPr>
        <w:t>detrending</w:t>
      </w:r>
      <w:r>
        <w:rPr>
          <w:spacing w:val="-11"/>
          <w:vertAlign w:val="baseline"/>
        </w:rPr>
        <w:t> </w:t>
      </w:r>
      <w:r>
        <w:rPr>
          <w:vertAlign w:val="baseline"/>
        </w:rPr>
        <w:t>validates</w:t>
      </w:r>
      <w:r>
        <w:rPr>
          <w:spacing w:val="-11"/>
          <w:vertAlign w:val="baseline"/>
        </w:rPr>
        <w:t> </w:t>
      </w:r>
      <w:r>
        <w:rPr>
          <w:vertAlign w:val="baseline"/>
        </w:rPr>
        <w:t>that</w:t>
      </w:r>
      <w:r>
        <w:rPr>
          <w:spacing w:val="-11"/>
          <w:vertAlign w:val="baseline"/>
        </w:rPr>
        <w:t> </w:t>
      </w:r>
      <w:r>
        <w:rPr>
          <w:vertAlign w:val="baseline"/>
        </w:rPr>
        <w:t>these</w:t>
      </w:r>
      <w:r>
        <w:rPr>
          <w:spacing w:val="-11"/>
          <w:vertAlign w:val="baseline"/>
        </w:rPr>
        <w:t> </w:t>
      </w:r>
      <w:r>
        <w:rPr>
          <w:vertAlign w:val="baseline"/>
        </w:rPr>
        <w:t>variables</w:t>
      </w:r>
      <w:r>
        <w:rPr>
          <w:spacing w:val="-11"/>
          <w:vertAlign w:val="baseline"/>
        </w:rPr>
        <w:t> </w:t>
      </w:r>
      <w:r>
        <w:rPr>
          <w:vertAlign w:val="baseline"/>
        </w:rPr>
        <w:t>carry</w:t>
      </w:r>
      <w:r>
        <w:rPr>
          <w:spacing w:val="-11"/>
          <w:vertAlign w:val="baseline"/>
        </w:rPr>
        <w:t> </w:t>
      </w:r>
      <w:r>
        <w:rPr>
          <w:vertAlign w:val="baseline"/>
        </w:rPr>
        <w:t>genuine</w:t>
      </w:r>
      <w:r>
        <w:rPr>
          <w:spacing w:val="-11"/>
          <w:vertAlign w:val="baseline"/>
        </w:rPr>
        <w:t> </w:t>
      </w:r>
      <w:r>
        <w:rPr>
          <w:vertAlign w:val="baseline"/>
        </w:rPr>
        <w:t>within-era</w:t>
      </w:r>
      <w:r>
        <w:rPr>
          <w:spacing w:val="-11"/>
          <w:vertAlign w:val="baseline"/>
        </w:rPr>
        <w:t> </w:t>
      </w:r>
      <w:r>
        <w:rPr>
          <w:vertAlign w:val="baseline"/>
        </w:rPr>
        <w:t>signal</w:t>
      </w:r>
      <w:r>
        <w:rPr>
          <w:spacing w:val="-11"/>
          <w:vertAlign w:val="baseline"/>
        </w:rPr>
        <w:t> </w:t>
      </w:r>
      <w:r>
        <w:rPr>
          <w:vertAlign w:val="baseline"/>
        </w:rPr>
        <w:t>rather</w:t>
      </w:r>
      <w:r>
        <w:rPr>
          <w:spacing w:val="-11"/>
          <w:vertAlign w:val="baseline"/>
        </w:rPr>
        <w:t> </w:t>
      </w:r>
      <w:r>
        <w:rPr>
          <w:vertAlign w:val="baseline"/>
        </w:rPr>
        <w:t>than era-membership artefacts, and RIPPER and M5Rules independently confirm the same variable families through entirely different optimisation criteria.</w:t>
      </w:r>
      <w:r>
        <w:rPr>
          <w:spacing w:val="40"/>
          <w:vertAlign w:val="baseline"/>
        </w:rPr>
        <w:t> </w:t>
      </w:r>
      <w:r>
        <w:rPr>
          <w:vertAlign w:val="baseline"/>
        </w:rPr>
        <w:t>This cross-algorithm convergence is evidence that CarenR’s distributional approach successfully identifies real structure in the data.</w:t>
      </w:r>
    </w:p>
    <w:p>
      <w:pPr>
        <w:pStyle w:val="BodyText"/>
        <w:spacing w:line="312" w:lineRule="auto" w:before="80"/>
        <w:ind w:left="692" w:right="984" w:firstLine="355"/>
        <w:jc w:val="both"/>
      </w:pPr>
      <w:r>
        <w:rPr/>
        <w:t>Goal</w:t>
      </w:r>
      <w:r>
        <w:rPr>
          <w:spacing w:val="-13"/>
        </w:rPr>
        <w:t> </w:t>
      </w:r>
      <w:r>
        <w:rPr/>
        <w:t>2</w:t>
      </w:r>
      <w:r>
        <w:rPr>
          <w:spacing w:val="-13"/>
        </w:rPr>
        <w:t> </w:t>
      </w:r>
      <w:r>
        <w:rPr/>
        <w:t>(Predictive</w:t>
      </w:r>
      <w:r>
        <w:rPr>
          <w:spacing w:val="-13"/>
        </w:rPr>
        <w:t> </w:t>
      </w:r>
      <w:r>
        <w:rPr/>
        <w:t>Validation)</w:t>
      </w:r>
      <w:r>
        <w:rPr>
          <w:spacing w:val="-13"/>
        </w:rPr>
        <w:t> </w:t>
      </w:r>
      <w:r>
        <w:rPr/>
        <w:t>is</w:t>
      </w:r>
      <w:r>
        <w:rPr>
          <w:spacing w:val="-13"/>
        </w:rPr>
        <w:t> </w:t>
      </w:r>
      <w:r>
        <w:rPr/>
        <w:t>not</w:t>
      </w:r>
      <w:r>
        <w:rPr>
          <w:spacing w:val="-13"/>
        </w:rPr>
        <w:t> </w:t>
      </w:r>
      <w:r>
        <w:rPr/>
        <w:t>achieved</w:t>
      </w:r>
      <w:r>
        <w:rPr>
          <w:spacing w:val="-13"/>
        </w:rPr>
        <w:t> </w:t>
      </w:r>
      <w:r>
        <w:rPr/>
        <w:t>overall.</w:t>
      </w:r>
      <w:r>
        <w:rPr>
          <w:spacing w:val="-3"/>
        </w:rPr>
        <w:t> </w:t>
      </w:r>
      <w:r>
        <w:rPr/>
        <w:t>No</w:t>
      </w:r>
      <w:r>
        <w:rPr>
          <w:spacing w:val="-13"/>
        </w:rPr>
        <w:t> </w:t>
      </w:r>
      <w:r>
        <w:rPr/>
        <w:t>rule-based</w:t>
      </w:r>
      <w:r>
        <w:rPr>
          <w:spacing w:val="-13"/>
        </w:rPr>
        <w:t> </w:t>
      </w:r>
      <w:r>
        <w:rPr/>
        <w:t>model</w:t>
      </w:r>
      <w:r>
        <w:rPr>
          <w:spacing w:val="-13"/>
        </w:rPr>
        <w:t> </w:t>
      </w:r>
      <w:r>
        <w:rPr/>
        <w:t>consistently</w:t>
      </w:r>
      <w:r>
        <w:rPr>
          <w:spacing w:val="-13"/>
        </w:rPr>
        <w:t> </w:t>
      </w:r>
      <w:r>
        <w:rPr/>
        <w:t>beats </w:t>
      </w:r>
      <w:r>
        <w:rPr>
          <w:spacing w:val="-2"/>
        </w:rPr>
        <w:t>the</w:t>
      </w:r>
      <w:r>
        <w:rPr>
          <w:spacing w:val="-12"/>
        </w:rPr>
        <w:t> </w:t>
      </w:r>
      <w:r>
        <w:rPr>
          <w:spacing w:val="-2"/>
        </w:rPr>
        <w:t>Naive_Median</w:t>
      </w:r>
      <w:r>
        <w:rPr>
          <w:spacing w:val="-12"/>
        </w:rPr>
        <w:t> </w:t>
      </w:r>
      <w:r>
        <w:rPr>
          <w:spacing w:val="-2"/>
        </w:rPr>
        <w:t>baseline</w:t>
      </w:r>
      <w:r>
        <w:rPr>
          <w:spacing w:val="-12"/>
        </w:rPr>
        <w:t> </w:t>
      </w:r>
      <w:r>
        <w:rPr>
          <w:spacing w:val="-2"/>
        </w:rPr>
        <w:t>across</w:t>
      </w:r>
      <w:r>
        <w:rPr>
          <w:spacing w:val="-11"/>
        </w:rPr>
        <w:t> </w:t>
      </w:r>
      <w:r>
        <w:rPr>
          <w:spacing w:val="-2"/>
        </w:rPr>
        <w:t>the</w:t>
      </w:r>
      <w:r>
        <w:rPr>
          <w:spacing w:val="-12"/>
        </w:rPr>
        <w:t> </w:t>
      </w:r>
      <w:r>
        <w:rPr>
          <w:spacing w:val="-2"/>
        </w:rPr>
        <w:t>full</w:t>
      </w:r>
      <w:r>
        <w:rPr>
          <w:spacing w:val="-12"/>
        </w:rPr>
        <w:t> </w:t>
      </w:r>
      <w:r>
        <w:rPr>
          <w:spacing w:val="-2"/>
        </w:rPr>
        <w:t>evaluation</w:t>
      </w:r>
      <w:r>
        <w:rPr>
          <w:spacing w:val="-12"/>
        </w:rPr>
        <w:t> </w:t>
      </w:r>
      <w:r>
        <w:rPr>
          <w:spacing w:val="-2"/>
        </w:rPr>
        <w:t>sequence</w:t>
      </w:r>
      <w:r>
        <w:rPr>
          <w:spacing w:val="-11"/>
        </w:rPr>
        <w:t> </w:t>
      </w:r>
      <w:r>
        <w:rPr>
          <w:spacing w:val="-2"/>
        </w:rPr>
        <w:t>in</w:t>
      </w:r>
      <w:r>
        <w:rPr>
          <w:spacing w:val="-12"/>
        </w:rPr>
        <w:t> </w:t>
      </w:r>
      <w:r>
        <w:rPr>
          <w:spacing w:val="-2"/>
        </w:rPr>
        <w:t>either</w:t>
      </w:r>
      <w:r>
        <w:rPr>
          <w:spacing w:val="-12"/>
        </w:rPr>
        <w:t> </w:t>
      </w:r>
      <w:r>
        <w:rPr>
          <w:spacing w:val="-2"/>
        </w:rPr>
        <w:t>region</w:t>
      </w:r>
      <w:r>
        <w:rPr>
          <w:spacing w:val="-12"/>
        </w:rPr>
        <w:t> </w:t>
      </w:r>
      <w:r>
        <w:rPr>
          <w:spacing w:val="-2"/>
        </w:rPr>
        <w:t>(best</w:t>
      </w:r>
      <w:r>
        <w:rPr>
          <w:spacing w:val="-11"/>
        </w:rPr>
        <w:t> </w:t>
      </w:r>
      <w:r>
        <w:rPr>
          <w:spacing w:val="-2"/>
        </w:rPr>
        <w:t>CarenR:</w:t>
      </w:r>
      <w:r>
        <w:rPr>
          <w:spacing w:val="-12"/>
        </w:rPr>
        <w:t> </w:t>
      </w:r>
      <w:r>
        <w:rPr>
          <w:spacing w:val="-2"/>
        </w:rPr>
        <w:t>189</w:t>
      </w:r>
      <w:r>
        <w:rPr>
          <w:spacing w:val="-12"/>
        </w:rPr>
        <w:t> </w:t>
      </w:r>
      <w:r>
        <w:rPr>
          <w:spacing w:val="-2"/>
        </w:rPr>
        <w:t>vs </w:t>
      </w:r>
      <w:r>
        <w:rPr>
          <w:spacing w:val="-4"/>
        </w:rPr>
        <w:t>184</w:t>
      </w:r>
      <w:r>
        <w:rPr>
          <w:spacing w:val="-12"/>
        </w:rPr>
        <w:t> </w:t>
      </w:r>
      <w:r>
        <w:rPr>
          <w:spacing w:val="-4"/>
        </w:rPr>
        <w:t>mhl</w:t>
      </w:r>
      <w:r>
        <w:rPr>
          <w:spacing w:val="-10"/>
        </w:rPr>
        <w:t> </w:t>
      </w:r>
      <w:r>
        <w:rPr>
          <w:spacing w:val="-4"/>
        </w:rPr>
        <w:t>in</w:t>
      </w:r>
      <w:r>
        <w:rPr>
          <w:spacing w:val="-10"/>
        </w:rPr>
        <w:t> </w:t>
      </w:r>
      <w:r>
        <w:rPr>
          <w:spacing w:val="-4"/>
        </w:rPr>
        <w:t>RDD,</w:t>
      </w:r>
      <w:r>
        <w:rPr>
          <w:spacing w:val="-9"/>
        </w:rPr>
        <w:t> </w:t>
      </w:r>
      <w:r>
        <w:rPr>
          <w:spacing w:val="-4"/>
        </w:rPr>
        <w:t>Wilcoxon</w:t>
      </w:r>
      <w:r>
        <w:rPr>
          <w:spacing w:val="-10"/>
        </w:rPr>
        <w:t> </w:t>
      </w:r>
      <w:r>
        <w:rPr>
          <w:spacing w:val="-4"/>
        </w:rPr>
        <w:t>p</w:t>
      </w:r>
      <w:r>
        <w:rPr>
          <w:spacing w:val="-10"/>
        </w:rPr>
        <w:t> </w:t>
      </w:r>
      <w:r>
        <w:rPr>
          <w:spacing w:val="-4"/>
        </w:rPr>
        <w:t>=</w:t>
      </w:r>
      <w:r>
        <w:rPr>
          <w:spacing w:val="-10"/>
        </w:rPr>
        <w:t> </w:t>
      </w:r>
      <w:r>
        <w:rPr>
          <w:spacing w:val="-4"/>
        </w:rPr>
        <w:t>0.468;</w:t>
      </w:r>
      <w:r>
        <w:rPr>
          <w:spacing w:val="-9"/>
        </w:rPr>
        <w:t> </w:t>
      </w:r>
      <w:r>
        <w:rPr>
          <w:spacing w:val="-4"/>
        </w:rPr>
        <w:t>172</w:t>
      </w:r>
      <w:r>
        <w:rPr>
          <w:spacing w:val="-10"/>
        </w:rPr>
        <w:t> </w:t>
      </w:r>
      <w:r>
        <w:rPr>
          <w:spacing w:val="-4"/>
        </w:rPr>
        <w:t>vs</w:t>
      </w:r>
      <w:r>
        <w:rPr>
          <w:spacing w:val="-10"/>
        </w:rPr>
        <w:t> </w:t>
      </w:r>
      <w:r>
        <w:rPr>
          <w:spacing w:val="-4"/>
        </w:rPr>
        <w:t>140</w:t>
      </w:r>
      <w:r>
        <w:rPr>
          <w:spacing w:val="-10"/>
        </w:rPr>
        <w:t> </w:t>
      </w:r>
      <w:r>
        <w:rPr>
          <w:spacing w:val="-4"/>
        </w:rPr>
        <w:t>mhl</w:t>
      </w:r>
      <w:r>
        <w:rPr>
          <w:spacing w:val="-9"/>
        </w:rPr>
        <w:t> </w:t>
      </w:r>
      <w:r>
        <w:rPr>
          <w:spacing w:val="-4"/>
        </w:rPr>
        <w:t>in</w:t>
      </w:r>
      <w:r>
        <w:rPr>
          <w:spacing w:val="-10"/>
        </w:rPr>
        <w:t> </w:t>
      </w:r>
      <w:r>
        <w:rPr>
          <w:spacing w:val="-4"/>
        </w:rPr>
        <w:t>RVV,</w:t>
      </w:r>
      <w:r>
        <w:rPr>
          <w:spacing w:val="-10"/>
        </w:rPr>
        <w:t> </w:t>
      </w:r>
      <w:r>
        <w:rPr>
          <w:spacing w:val="-4"/>
        </w:rPr>
        <w:t>rules</w:t>
      </w:r>
      <w:r>
        <w:rPr>
          <w:spacing w:val="-10"/>
        </w:rPr>
        <w:t> </w:t>
      </w:r>
      <w:r>
        <w:rPr>
          <w:spacing w:val="-4"/>
        </w:rPr>
        <w:t>actively</w:t>
      </w:r>
      <w:r>
        <w:rPr>
          <w:spacing w:val="-9"/>
        </w:rPr>
        <w:t> </w:t>
      </w:r>
      <w:r>
        <w:rPr>
          <w:spacing w:val="-4"/>
        </w:rPr>
        <w:t>harmful</w:t>
      </w:r>
      <w:r>
        <w:rPr>
          <w:spacing w:val="-10"/>
        </w:rPr>
        <w:t> </w:t>
      </w:r>
      <w:r>
        <w:rPr>
          <w:spacing w:val="-4"/>
        </w:rPr>
        <w:t>when</w:t>
      </w:r>
      <w:r>
        <w:rPr>
          <w:spacing w:val="-10"/>
        </w:rPr>
        <w:t> </w:t>
      </w:r>
      <w:r>
        <w:rPr>
          <w:spacing w:val="-4"/>
        </w:rPr>
        <w:t>fired,</w:t>
      </w:r>
      <w:r>
        <w:rPr>
          <w:spacing w:val="-10"/>
        </w:rPr>
        <w:t> </w:t>
      </w:r>
      <w:r>
        <w:rPr>
          <w:spacing w:val="-4"/>
        </w:rPr>
        <w:t>p</w:t>
      </w:r>
      <w:r>
        <w:rPr>
          <w:spacing w:val="-9"/>
        </w:rPr>
        <w:t> </w:t>
      </w:r>
      <w:r>
        <w:rPr>
          <w:spacing w:val="-4"/>
        </w:rPr>
        <w:t>= </w:t>
      </w:r>
      <w:r>
        <w:rPr>
          <w:spacing w:val="-2"/>
        </w:rPr>
        <w:t>0.004). A</w:t>
      </w:r>
      <w:r>
        <w:rPr>
          <w:spacing w:val="-8"/>
        </w:rPr>
        <w:t> </w:t>
      </w:r>
      <w:r>
        <w:rPr>
          <w:spacing w:val="-2"/>
        </w:rPr>
        <w:t>post-hoc</w:t>
      </w:r>
      <w:r>
        <w:rPr>
          <w:spacing w:val="-8"/>
        </w:rPr>
        <w:t> </w:t>
      </w:r>
      <w:r>
        <w:rPr>
          <w:spacing w:val="-2"/>
        </w:rPr>
        <w:t>era-composition</w:t>
      </w:r>
      <w:r>
        <w:rPr>
          <w:spacing w:val="-9"/>
        </w:rPr>
        <w:t> </w:t>
      </w:r>
      <w:r>
        <w:rPr>
          <w:spacing w:val="-2"/>
        </w:rPr>
        <w:t>analysis</w:t>
      </w:r>
      <w:r>
        <w:rPr>
          <w:spacing w:val="-8"/>
        </w:rPr>
        <w:t> </w:t>
      </w:r>
      <w:r>
        <w:rPr>
          <w:spacing w:val="-2"/>
        </w:rPr>
        <w:t>suggests</w:t>
      </w:r>
      <w:r>
        <w:rPr>
          <w:spacing w:val="-9"/>
        </w:rPr>
        <w:t> </w:t>
      </w:r>
      <w:r>
        <w:rPr>
          <w:spacing w:val="-2"/>
        </w:rPr>
        <w:t>CarenR</w:t>
      </w:r>
      <w:r>
        <w:rPr>
          <w:spacing w:val="-8"/>
        </w:rPr>
        <w:t> </w:t>
      </w:r>
      <w:r>
        <w:rPr>
          <w:spacing w:val="-2"/>
        </w:rPr>
        <w:t>is</w:t>
      </w:r>
      <w:r>
        <w:rPr>
          <w:spacing w:val="-9"/>
        </w:rPr>
        <w:t> </w:t>
      </w:r>
      <w:r>
        <w:rPr>
          <w:spacing w:val="-2"/>
        </w:rPr>
        <w:t>competitive</w:t>
      </w:r>
      <w:r>
        <w:rPr>
          <w:spacing w:val="-8"/>
        </w:rPr>
        <w:t> </w:t>
      </w:r>
      <w:r>
        <w:rPr>
          <w:spacing w:val="-2"/>
        </w:rPr>
        <w:t>in</w:t>
      </w:r>
      <w:r>
        <w:rPr>
          <w:spacing w:val="-8"/>
        </w:rPr>
        <w:t> </w:t>
      </w:r>
      <w:r>
        <w:rPr>
          <w:spacing w:val="-2"/>
        </w:rPr>
        <w:t>RDD</w:t>
      </w:r>
      <w:r>
        <w:rPr>
          <w:spacing w:val="-9"/>
        </w:rPr>
        <w:t> </w:t>
      </w:r>
      <w:r>
        <w:rPr>
          <w:spacing w:val="-2"/>
        </w:rPr>
        <w:t>when</w:t>
      </w:r>
      <w:r>
        <w:rPr>
          <w:spacing w:val="-8"/>
        </w:rPr>
        <w:t> </w:t>
      </w:r>
      <w:r>
        <w:rPr>
          <w:spacing w:val="-2"/>
        </w:rPr>
        <w:t>training </w:t>
      </w:r>
      <w:r>
        <w:rPr/>
        <w:t>data</w:t>
      </w:r>
      <w:r>
        <w:rPr>
          <w:spacing w:val="-11"/>
        </w:rPr>
        <w:t> </w:t>
      </w:r>
      <w:r>
        <w:rPr/>
        <w:t>is</w:t>
      </w:r>
      <w:r>
        <w:rPr>
          <w:spacing w:val="-11"/>
        </w:rPr>
        <w:t> </w:t>
      </w:r>
      <w:r>
        <w:rPr/>
        <w:t>era-balanced</w:t>
      </w:r>
      <w:r>
        <w:rPr>
          <w:spacing w:val="-11"/>
        </w:rPr>
        <w:t> </w:t>
      </w:r>
      <w:r>
        <w:rPr/>
        <w:t>(</w:t>
      </w:r>
      <w:r>
        <w:rPr>
          <w:spacing w:val="-11"/>
        </w:rPr>
        <w:t> </w:t>
      </w:r>
      <w:r>
        <w:rPr/>
        <w:t>29%</w:t>
      </w:r>
      <w:r>
        <w:rPr>
          <w:spacing w:val="-11"/>
        </w:rPr>
        <w:t> </w:t>
      </w:r>
      <w:r>
        <w:rPr/>
        <w:t>post-1990</w:t>
      </w:r>
      <w:r>
        <w:rPr>
          <w:spacing w:val="-11"/>
        </w:rPr>
        <w:t> </w:t>
      </w:r>
      <w:r>
        <w:rPr/>
        <w:t>share;</w:t>
      </w:r>
      <w:r>
        <w:rPr>
          <w:spacing w:val="-11"/>
        </w:rPr>
        <w:t> </w:t>
      </w:r>
      <w:r>
        <w:rPr/>
        <w:t>5/5</w:t>
      </w:r>
      <w:r>
        <w:rPr>
          <w:spacing w:val="-11"/>
        </w:rPr>
        <w:t> </w:t>
      </w:r>
      <w:r>
        <w:rPr/>
        <w:t>scenarios</w:t>
      </w:r>
      <w:r>
        <w:rPr>
          <w:spacing w:val="-11"/>
        </w:rPr>
        <w:t> </w:t>
      </w:r>
      <w:r>
        <w:rPr/>
        <w:t>won,</w:t>
      </w:r>
      <w:r>
        <w:rPr>
          <w:spacing w:val="-11"/>
        </w:rPr>
        <w:t> </w:t>
      </w:r>
      <w:r>
        <w:rPr/>
        <w:t>binomial</w:t>
      </w:r>
      <w:r>
        <w:rPr>
          <w:spacing w:val="-11"/>
        </w:rPr>
        <w:t> </w:t>
      </w:r>
      <w:r>
        <w:rPr/>
        <w:t>p</w:t>
      </w:r>
      <w:r>
        <w:rPr>
          <w:spacing w:val="-11"/>
        </w:rPr>
        <w:t> </w:t>
      </w:r>
      <w:r>
        <w:rPr/>
        <w:t>=</w:t>
      </w:r>
      <w:r>
        <w:rPr>
          <w:spacing w:val="-11"/>
        </w:rPr>
        <w:t> </w:t>
      </w:r>
      <w:r>
        <w:rPr/>
        <w:t>0.031),</w:t>
      </w:r>
      <w:r>
        <w:rPr>
          <w:spacing w:val="-11"/>
        </w:rPr>
        <w:t> </w:t>
      </w:r>
      <w:r>
        <w:rPr/>
        <w:t>but</w:t>
      </w:r>
      <w:r>
        <w:rPr>
          <w:spacing w:val="-11"/>
        </w:rPr>
        <w:t> </w:t>
      </w:r>
      <w:r>
        <w:rPr/>
        <w:t>this</w:t>
      </w:r>
      <w:r>
        <w:rPr>
          <w:spacing w:val="-11"/>
        </w:rPr>
        <w:t> </w:t>
      </w:r>
      <w:r>
        <w:rPr/>
        <w:t>result is exploratory and requires prospective validation.</w:t>
      </w:r>
      <w:r>
        <w:rPr>
          <w:spacing w:val="38"/>
        </w:rPr>
        <w:t> </w:t>
      </w:r>
      <w:r>
        <w:rPr/>
        <w:t>The two-decision decomposition framework explains</w:t>
      </w:r>
      <w:r>
        <w:rPr>
          <w:spacing w:val="-6"/>
        </w:rPr>
        <w:t> </w:t>
      </w:r>
      <w:r>
        <w:rPr/>
        <w:t>the</w:t>
      </w:r>
      <w:r>
        <w:rPr>
          <w:spacing w:val="-6"/>
        </w:rPr>
        <w:t> </w:t>
      </w:r>
      <w:r>
        <w:rPr/>
        <w:t>failure</w:t>
      </w:r>
      <w:r>
        <w:rPr>
          <w:spacing w:val="-6"/>
        </w:rPr>
        <w:t> </w:t>
      </w:r>
      <w:r>
        <w:rPr/>
        <w:t>structurally: improving</w:t>
      </w:r>
      <w:r>
        <w:rPr>
          <w:spacing w:val="-6"/>
        </w:rPr>
        <w:t> </w:t>
      </w:r>
      <w:r>
        <w:rPr/>
        <w:t>trend</w:t>
      </w:r>
      <w:r>
        <w:rPr>
          <w:spacing w:val="-6"/>
        </w:rPr>
        <w:t> </w:t>
      </w:r>
      <w:r>
        <w:rPr/>
        <w:t>quality</w:t>
      </w:r>
      <w:r>
        <w:rPr>
          <w:spacing w:val="-6"/>
        </w:rPr>
        <w:t> </w:t>
      </w:r>
      <w:r>
        <w:rPr/>
        <w:t>(Decision</w:t>
      </w:r>
      <w:r>
        <w:rPr>
          <w:spacing w:val="-6"/>
        </w:rPr>
        <w:t> </w:t>
      </w:r>
      <w:r>
        <w:rPr/>
        <w:t>1)</w:t>
      </w:r>
      <w:r>
        <w:rPr>
          <w:spacing w:val="-6"/>
        </w:rPr>
        <w:t> </w:t>
      </w:r>
      <w:r>
        <w:rPr/>
        <w:t>removes</w:t>
      </w:r>
      <w:r>
        <w:rPr>
          <w:spacing w:val="-6"/>
        </w:rPr>
        <w:t> </w:t>
      </w:r>
      <w:r>
        <w:rPr/>
        <w:t>the</w:t>
      </w:r>
      <w:r>
        <w:rPr>
          <w:spacing w:val="-6"/>
        </w:rPr>
        <w:t> </w:t>
      </w:r>
      <w:r>
        <w:rPr/>
        <w:t>residual</w:t>
      </w:r>
      <w:r>
        <w:rPr>
          <w:spacing w:val="-6"/>
        </w:rPr>
        <w:t> </w:t>
      </w:r>
      <w:r>
        <w:rPr/>
        <w:t>signal that rule induction requires (Decision 2), and these demands cannot be simultaneously satisfied with a time-only detrending covariate.</w:t>
      </w:r>
    </w:p>
    <w:p>
      <w:pPr>
        <w:spacing w:line="312" w:lineRule="auto" w:before="15"/>
        <w:ind w:left="709" w:right="954" w:firstLine="338"/>
        <w:jc w:val="both"/>
        <w:rPr>
          <w:i/>
          <w:sz w:val="22"/>
        </w:rPr>
      </w:pPr>
      <w:r>
        <w:rPr>
          <w:sz w:val="22"/>
        </w:rPr>
        <w:t>The</w:t>
      </w:r>
      <w:r>
        <w:rPr>
          <w:spacing w:val="-11"/>
          <w:sz w:val="22"/>
        </w:rPr>
        <w:t> </w:t>
      </w:r>
      <w:r>
        <w:rPr>
          <w:sz w:val="22"/>
        </w:rPr>
        <w:t>central</w:t>
      </w:r>
      <w:r>
        <w:rPr>
          <w:spacing w:val="-11"/>
          <w:sz w:val="22"/>
        </w:rPr>
        <w:t> </w:t>
      </w:r>
      <w:r>
        <w:rPr>
          <w:sz w:val="22"/>
        </w:rPr>
        <w:t>finding:</w:t>
      </w:r>
      <w:r>
        <w:rPr>
          <w:spacing w:val="-1"/>
          <w:sz w:val="22"/>
        </w:rPr>
        <w:t> </w:t>
      </w:r>
      <w:r>
        <w:rPr>
          <w:i/>
          <w:sz w:val="22"/>
        </w:rPr>
        <w:t>CarenR’s</w:t>
      </w:r>
      <w:r>
        <w:rPr>
          <w:i/>
          <w:spacing w:val="-11"/>
          <w:sz w:val="22"/>
        </w:rPr>
        <w:t> </w:t>
      </w:r>
      <w:r>
        <w:rPr>
          <w:i/>
          <w:sz w:val="22"/>
        </w:rPr>
        <w:t>distributional</w:t>
      </w:r>
      <w:r>
        <w:rPr>
          <w:i/>
          <w:spacing w:val="-11"/>
          <w:sz w:val="22"/>
        </w:rPr>
        <w:t> </w:t>
      </w:r>
      <w:r>
        <w:rPr>
          <w:i/>
          <w:sz w:val="22"/>
        </w:rPr>
        <w:t>subgroup</w:t>
      </w:r>
      <w:r>
        <w:rPr>
          <w:i/>
          <w:spacing w:val="-11"/>
          <w:sz w:val="22"/>
        </w:rPr>
        <w:t> </w:t>
      </w:r>
      <w:r>
        <w:rPr>
          <w:i/>
          <w:sz w:val="22"/>
        </w:rPr>
        <w:t>discovery</w:t>
      </w:r>
      <w:r>
        <w:rPr>
          <w:i/>
          <w:spacing w:val="-11"/>
          <w:sz w:val="22"/>
        </w:rPr>
        <w:t> </w:t>
      </w:r>
      <w:r>
        <w:rPr>
          <w:i/>
          <w:sz w:val="22"/>
        </w:rPr>
        <w:t>successfully</w:t>
      </w:r>
      <w:r>
        <w:rPr>
          <w:i/>
          <w:spacing w:val="-11"/>
          <w:sz w:val="22"/>
        </w:rPr>
        <w:t> </w:t>
      </w:r>
      <w:r>
        <w:rPr>
          <w:i/>
          <w:sz w:val="22"/>
        </w:rPr>
        <w:t>extracts</w:t>
      </w:r>
      <w:r>
        <w:rPr>
          <w:i/>
          <w:spacing w:val="-11"/>
          <w:sz w:val="22"/>
        </w:rPr>
        <w:t> </w:t>
      </w:r>
      <w:r>
        <w:rPr>
          <w:i/>
          <w:sz w:val="22"/>
        </w:rPr>
        <w:t>statisti-cally validated, cross-algorithm-confirmed patterns from a non-stationary time series spanning</w:t>
      </w:r>
    </w:p>
    <w:p>
      <w:pPr>
        <w:pStyle w:val="BodyText"/>
        <w:spacing w:before="15"/>
        <w:rPr>
          <w:i/>
        </w:rPr>
      </w:pPr>
    </w:p>
    <w:p>
      <w:pPr>
        <w:pStyle w:val="BodyText"/>
        <w:ind w:left="601" w:right="882"/>
        <w:jc w:val="center"/>
      </w:pPr>
      <w:r>
        <w:rPr>
          <w:spacing w:val="-5"/>
        </w:rPr>
        <w:t>77</w:t>
      </w:r>
    </w:p>
    <w:p>
      <w:pPr>
        <w:pStyle w:val="BodyText"/>
        <w:spacing w:after="0"/>
        <w:jc w:val="center"/>
        <w:sectPr>
          <w:headerReference w:type="default" r:id="rId104"/>
          <w:pgSz w:w="11910" w:h="16840"/>
          <w:pgMar w:header="0" w:footer="0" w:top="1920" w:bottom="280" w:left="1275" w:right="425"/>
        </w:sectPr>
      </w:pPr>
    </w:p>
    <w:p>
      <w:pPr>
        <w:pStyle w:val="BodyText"/>
      </w:pPr>
    </w:p>
    <w:p>
      <w:pPr>
        <w:pStyle w:val="BodyText"/>
        <w:spacing w:before="25"/>
      </w:pPr>
    </w:p>
    <w:p>
      <w:pPr>
        <w:spacing w:line="312" w:lineRule="auto" w:before="1"/>
        <w:ind w:left="142" w:right="1557" w:firstLine="0"/>
        <w:jc w:val="both"/>
        <w:rPr>
          <w:i/>
          <w:sz w:val="22"/>
        </w:rPr>
      </w:pPr>
      <w:r>
        <w:rPr>
          <w:i/>
          <w:spacing w:val="-4"/>
          <w:sz w:val="22"/>
        </w:rPr>
        <w:t>multiple</w:t>
      </w:r>
      <w:r>
        <w:rPr>
          <w:i/>
          <w:spacing w:val="-6"/>
          <w:sz w:val="22"/>
        </w:rPr>
        <w:t> </w:t>
      </w:r>
      <w:r>
        <w:rPr>
          <w:i/>
          <w:spacing w:val="-4"/>
          <w:sz w:val="22"/>
        </w:rPr>
        <w:t>structural</w:t>
      </w:r>
      <w:r>
        <w:rPr>
          <w:i/>
          <w:spacing w:val="-6"/>
          <w:sz w:val="22"/>
        </w:rPr>
        <w:t> </w:t>
      </w:r>
      <w:r>
        <w:rPr>
          <w:i/>
          <w:spacing w:val="-4"/>
          <w:sz w:val="22"/>
        </w:rPr>
        <w:t>eras.</w:t>
      </w:r>
      <w:r>
        <w:rPr>
          <w:i/>
          <w:spacing w:val="17"/>
          <w:sz w:val="22"/>
        </w:rPr>
        <w:t> </w:t>
      </w:r>
      <w:r>
        <w:rPr>
          <w:i/>
          <w:spacing w:val="-4"/>
          <w:sz w:val="22"/>
        </w:rPr>
        <w:t>Those</w:t>
      </w:r>
      <w:r>
        <w:rPr>
          <w:i/>
          <w:spacing w:val="-6"/>
          <w:sz w:val="22"/>
        </w:rPr>
        <w:t> </w:t>
      </w:r>
      <w:r>
        <w:rPr>
          <w:i/>
          <w:spacing w:val="-4"/>
          <w:sz w:val="22"/>
        </w:rPr>
        <w:t>patterns</w:t>
      </w:r>
      <w:r>
        <w:rPr>
          <w:i/>
          <w:spacing w:val="-6"/>
          <w:sz w:val="22"/>
        </w:rPr>
        <w:t> </w:t>
      </w:r>
      <w:r>
        <w:rPr>
          <w:i/>
          <w:spacing w:val="-4"/>
          <w:sz w:val="22"/>
        </w:rPr>
        <w:t>do</w:t>
      </w:r>
      <w:r>
        <w:rPr>
          <w:i/>
          <w:spacing w:val="-6"/>
          <w:sz w:val="22"/>
        </w:rPr>
        <w:t> </w:t>
      </w:r>
      <w:r>
        <w:rPr>
          <w:i/>
          <w:spacing w:val="-4"/>
          <w:sz w:val="22"/>
        </w:rPr>
        <w:t>not</w:t>
      </w:r>
      <w:r>
        <w:rPr>
          <w:i/>
          <w:spacing w:val="-6"/>
          <w:sz w:val="22"/>
        </w:rPr>
        <w:t> </w:t>
      </w:r>
      <w:r>
        <w:rPr>
          <w:i/>
          <w:spacing w:val="-4"/>
          <w:sz w:val="22"/>
        </w:rPr>
        <w:t>reliably</w:t>
      </w:r>
      <w:r>
        <w:rPr>
          <w:i/>
          <w:spacing w:val="-6"/>
          <w:sz w:val="22"/>
        </w:rPr>
        <w:t> </w:t>
      </w:r>
      <w:r>
        <w:rPr>
          <w:i/>
          <w:spacing w:val="-4"/>
          <w:sz w:val="22"/>
        </w:rPr>
        <w:t>generalise</w:t>
      </w:r>
      <w:r>
        <w:rPr>
          <w:i/>
          <w:spacing w:val="-6"/>
          <w:sz w:val="22"/>
        </w:rPr>
        <w:t> </w:t>
      </w:r>
      <w:r>
        <w:rPr>
          <w:i/>
          <w:spacing w:val="-4"/>
          <w:sz w:val="22"/>
        </w:rPr>
        <w:t>to</w:t>
      </w:r>
      <w:r>
        <w:rPr>
          <w:i/>
          <w:spacing w:val="-5"/>
          <w:sz w:val="22"/>
        </w:rPr>
        <w:t> </w:t>
      </w:r>
      <w:r>
        <w:rPr>
          <w:i/>
          <w:spacing w:val="-4"/>
          <w:sz w:val="22"/>
        </w:rPr>
        <w:t>held-out</w:t>
      </w:r>
      <w:r>
        <w:rPr>
          <w:i/>
          <w:spacing w:val="-6"/>
          <w:sz w:val="22"/>
        </w:rPr>
        <w:t> </w:t>
      </w:r>
      <w:r>
        <w:rPr>
          <w:i/>
          <w:spacing w:val="-4"/>
          <w:sz w:val="22"/>
        </w:rPr>
        <w:t>prediction</w:t>
      </w:r>
      <w:r>
        <w:rPr>
          <w:i/>
          <w:spacing w:val="-6"/>
          <w:sz w:val="22"/>
        </w:rPr>
        <w:t> </w:t>
      </w:r>
      <w:r>
        <w:rPr>
          <w:i/>
          <w:spacing w:val="-4"/>
          <w:sz w:val="22"/>
        </w:rPr>
        <w:t>because</w:t>
      </w:r>
      <w:r>
        <w:rPr>
          <w:i/>
          <w:spacing w:val="-6"/>
          <w:sz w:val="22"/>
        </w:rPr>
        <w:t> </w:t>
      </w:r>
      <w:r>
        <w:rPr>
          <w:i/>
          <w:spacing w:val="-4"/>
          <w:sz w:val="22"/>
        </w:rPr>
        <w:t>the</w:t>
      </w:r>
      <w:r>
        <w:rPr>
          <w:i/>
          <w:spacing w:val="-4"/>
          <w:sz w:val="22"/>
        </w:rPr>
        <w:t> </w:t>
      </w:r>
      <w:r>
        <w:rPr>
          <w:i/>
          <w:sz w:val="22"/>
        </w:rPr>
        <w:t>era</w:t>
      </w:r>
      <w:r>
        <w:rPr>
          <w:i/>
          <w:spacing w:val="-9"/>
          <w:sz w:val="22"/>
        </w:rPr>
        <w:t> </w:t>
      </w:r>
      <w:r>
        <w:rPr>
          <w:i/>
          <w:sz w:val="22"/>
        </w:rPr>
        <w:t>structure</w:t>
      </w:r>
      <w:r>
        <w:rPr>
          <w:i/>
          <w:spacing w:val="-9"/>
          <w:sz w:val="22"/>
        </w:rPr>
        <w:t> </w:t>
      </w:r>
      <w:r>
        <w:rPr>
          <w:i/>
          <w:sz w:val="22"/>
        </w:rPr>
        <w:t>that</w:t>
      </w:r>
      <w:r>
        <w:rPr>
          <w:i/>
          <w:spacing w:val="-9"/>
          <w:sz w:val="22"/>
        </w:rPr>
        <w:t> </w:t>
      </w:r>
      <w:r>
        <w:rPr>
          <w:i/>
          <w:sz w:val="22"/>
        </w:rPr>
        <w:t>makes</w:t>
      </w:r>
      <w:r>
        <w:rPr>
          <w:i/>
          <w:spacing w:val="-9"/>
          <w:sz w:val="22"/>
        </w:rPr>
        <w:t> </w:t>
      </w:r>
      <w:r>
        <w:rPr>
          <w:i/>
          <w:sz w:val="22"/>
        </w:rPr>
        <w:t>rules</w:t>
      </w:r>
      <w:r>
        <w:rPr>
          <w:i/>
          <w:spacing w:val="-9"/>
          <w:sz w:val="22"/>
        </w:rPr>
        <w:t> </w:t>
      </w:r>
      <w:r>
        <w:rPr>
          <w:i/>
          <w:sz w:val="22"/>
        </w:rPr>
        <w:t>historically</w:t>
      </w:r>
      <w:r>
        <w:rPr>
          <w:i/>
          <w:spacing w:val="-9"/>
          <w:sz w:val="22"/>
        </w:rPr>
        <w:t> </w:t>
      </w:r>
      <w:r>
        <w:rPr>
          <w:i/>
          <w:sz w:val="22"/>
        </w:rPr>
        <w:t>interpretable</w:t>
      </w:r>
      <w:r>
        <w:rPr>
          <w:i/>
          <w:spacing w:val="-9"/>
          <w:sz w:val="22"/>
        </w:rPr>
        <w:t> </w:t>
      </w:r>
      <w:r>
        <w:rPr>
          <w:i/>
          <w:sz w:val="22"/>
        </w:rPr>
        <w:t>also</w:t>
      </w:r>
      <w:r>
        <w:rPr>
          <w:i/>
          <w:spacing w:val="-9"/>
          <w:sz w:val="22"/>
        </w:rPr>
        <w:t> </w:t>
      </w:r>
      <w:r>
        <w:rPr>
          <w:i/>
          <w:sz w:val="22"/>
        </w:rPr>
        <w:t>contaminates</w:t>
      </w:r>
      <w:r>
        <w:rPr>
          <w:i/>
          <w:spacing w:val="-9"/>
          <w:sz w:val="22"/>
        </w:rPr>
        <w:t> </w:t>
      </w:r>
      <w:r>
        <w:rPr>
          <w:i/>
          <w:sz w:val="22"/>
        </w:rPr>
        <w:t>the</w:t>
      </w:r>
      <w:r>
        <w:rPr>
          <w:i/>
          <w:spacing w:val="-9"/>
          <w:sz w:val="22"/>
        </w:rPr>
        <w:t> </w:t>
      </w:r>
      <w:r>
        <w:rPr>
          <w:i/>
          <w:sz w:val="22"/>
        </w:rPr>
        <w:t>signal</w:t>
      </w:r>
      <w:r>
        <w:rPr>
          <w:i/>
          <w:spacing w:val="-9"/>
          <w:sz w:val="22"/>
        </w:rPr>
        <w:t> </w:t>
      </w:r>
      <w:r>
        <w:rPr>
          <w:i/>
          <w:sz w:val="22"/>
        </w:rPr>
        <w:t>in</w:t>
      </w:r>
      <w:r>
        <w:rPr>
          <w:i/>
          <w:spacing w:val="-9"/>
          <w:sz w:val="22"/>
        </w:rPr>
        <w:t> </w:t>
      </w:r>
      <w:r>
        <w:rPr>
          <w:i/>
          <w:sz w:val="22"/>
        </w:rPr>
        <w:t>ways</w:t>
      </w:r>
      <w:r>
        <w:rPr>
          <w:i/>
          <w:spacing w:val="-9"/>
          <w:sz w:val="22"/>
        </w:rPr>
        <w:t> </w:t>
      </w:r>
      <w:r>
        <w:rPr>
          <w:i/>
          <w:sz w:val="22"/>
        </w:rPr>
        <w:t>that dissolve</w:t>
      </w:r>
      <w:r>
        <w:rPr>
          <w:i/>
          <w:spacing w:val="-13"/>
          <w:sz w:val="22"/>
        </w:rPr>
        <w:t> </w:t>
      </w:r>
      <w:r>
        <w:rPr>
          <w:i/>
          <w:sz w:val="22"/>
        </w:rPr>
        <w:t>when</w:t>
      </w:r>
      <w:r>
        <w:rPr>
          <w:i/>
          <w:spacing w:val="-13"/>
          <w:sz w:val="22"/>
        </w:rPr>
        <w:t> </w:t>
      </w:r>
      <w:r>
        <w:rPr>
          <w:i/>
          <w:sz w:val="22"/>
        </w:rPr>
        <w:t>predicting</w:t>
      </w:r>
      <w:r>
        <w:rPr>
          <w:i/>
          <w:spacing w:val="-13"/>
          <w:sz w:val="22"/>
        </w:rPr>
        <w:t> </w:t>
      </w:r>
      <w:r>
        <w:rPr>
          <w:i/>
          <w:sz w:val="22"/>
        </w:rPr>
        <w:t>within</w:t>
      </w:r>
      <w:r>
        <w:rPr>
          <w:i/>
          <w:spacing w:val="-13"/>
          <w:sz w:val="22"/>
        </w:rPr>
        <w:t> </w:t>
      </w:r>
      <w:r>
        <w:rPr>
          <w:i/>
          <w:sz w:val="22"/>
        </w:rPr>
        <w:t>a</w:t>
      </w:r>
      <w:r>
        <w:rPr>
          <w:i/>
          <w:spacing w:val="-13"/>
          <w:sz w:val="22"/>
        </w:rPr>
        <w:t> </w:t>
      </w:r>
      <w:r>
        <w:rPr>
          <w:i/>
          <w:sz w:val="22"/>
        </w:rPr>
        <w:t>single</w:t>
      </w:r>
      <w:r>
        <w:rPr>
          <w:i/>
          <w:spacing w:val="-13"/>
          <w:sz w:val="22"/>
        </w:rPr>
        <w:t> </w:t>
      </w:r>
      <w:r>
        <w:rPr>
          <w:i/>
          <w:sz w:val="22"/>
        </w:rPr>
        <w:t>era.</w:t>
      </w:r>
      <w:r>
        <w:rPr>
          <w:i/>
          <w:spacing w:val="-3"/>
          <w:sz w:val="22"/>
        </w:rPr>
        <w:t> </w:t>
      </w:r>
      <w:r>
        <w:rPr>
          <w:i/>
          <w:sz w:val="22"/>
        </w:rPr>
        <w:t>The</w:t>
      </w:r>
      <w:r>
        <w:rPr>
          <w:i/>
          <w:spacing w:val="-13"/>
          <w:sz w:val="22"/>
        </w:rPr>
        <w:t> </w:t>
      </w:r>
      <w:r>
        <w:rPr>
          <w:i/>
          <w:sz w:val="22"/>
        </w:rPr>
        <w:t>two-decision</w:t>
      </w:r>
      <w:r>
        <w:rPr>
          <w:i/>
          <w:spacing w:val="-13"/>
          <w:sz w:val="22"/>
        </w:rPr>
        <w:t> </w:t>
      </w:r>
      <w:r>
        <w:rPr>
          <w:i/>
          <w:sz w:val="22"/>
        </w:rPr>
        <w:t>framework</w:t>
      </w:r>
      <w:r>
        <w:rPr>
          <w:i/>
          <w:spacing w:val="-13"/>
          <w:sz w:val="22"/>
        </w:rPr>
        <w:t> </w:t>
      </w:r>
      <w:r>
        <w:rPr>
          <w:i/>
          <w:sz w:val="22"/>
        </w:rPr>
        <w:t>precisely</w:t>
      </w:r>
      <w:r>
        <w:rPr>
          <w:i/>
          <w:spacing w:val="-13"/>
          <w:sz w:val="22"/>
        </w:rPr>
        <w:t> </w:t>
      </w:r>
      <w:r>
        <w:rPr>
          <w:i/>
          <w:sz w:val="22"/>
        </w:rPr>
        <w:t>characterises this failure mode and identifies structural detrending as the path to resolving it.</w:t>
      </w:r>
    </w:p>
    <w:p>
      <w:pPr>
        <w:pStyle w:val="BodyText"/>
        <w:spacing w:before="168"/>
        <w:rPr>
          <w:i/>
        </w:rPr>
      </w:pPr>
    </w:p>
    <w:p>
      <w:pPr>
        <w:pStyle w:val="Heading2"/>
        <w:numPr>
          <w:ilvl w:val="1"/>
          <w:numId w:val="38"/>
        </w:numPr>
        <w:tabs>
          <w:tab w:pos="786" w:val="left" w:leader="none"/>
        </w:tabs>
        <w:spacing w:line="240" w:lineRule="auto" w:before="0" w:after="0"/>
        <w:ind w:left="786" w:right="0" w:hanging="644"/>
        <w:jc w:val="both"/>
      </w:pPr>
      <w:bookmarkStart w:name="7.2 Contributions" w:id="248"/>
      <w:bookmarkEnd w:id="248"/>
      <w:r>
        <w:rPr>
          <w:b w:val="0"/>
        </w:rPr>
      </w:r>
      <w:bookmarkStart w:name="_bookmark146" w:id="249"/>
      <w:bookmarkEnd w:id="249"/>
      <w:r>
        <w:rPr>
          <w:b w:val="0"/>
        </w:rPr>
      </w:r>
      <w:r>
        <w:rPr>
          <w:spacing w:val="-2"/>
        </w:rPr>
        <w:t>Contributions</w:t>
      </w:r>
    </w:p>
    <w:p>
      <w:pPr>
        <w:pStyle w:val="BodyText"/>
        <w:spacing w:line="312" w:lineRule="auto" w:before="299"/>
        <w:ind w:left="142" w:right="1557" w:hanging="7"/>
        <w:jc w:val="both"/>
      </w:pPr>
      <w:r>
        <w:rPr/>
        <w:t>This thesis makes the following contributions to data science methodology and its application to agricultural time series:</w:t>
      </w:r>
    </w:p>
    <w:p>
      <w:pPr>
        <w:pStyle w:val="ListParagraph"/>
        <w:numPr>
          <w:ilvl w:val="2"/>
          <w:numId w:val="38"/>
        </w:numPr>
        <w:tabs>
          <w:tab w:pos="142" w:val="left" w:leader="none"/>
          <w:tab w:pos="280" w:val="left" w:leader="none"/>
        </w:tabs>
        <w:spacing w:line="312" w:lineRule="auto" w:before="4" w:after="0"/>
        <w:ind w:left="142" w:right="1557" w:hanging="12"/>
        <w:jc w:val="both"/>
        <w:rPr>
          <w:sz w:val="22"/>
        </w:rPr>
      </w:pPr>
      <w:r>
        <w:rPr>
          <w:sz w:val="22"/>
        </w:rPr>
        <w:t>Evaluation framework:</w:t>
      </w:r>
      <w:r>
        <w:rPr>
          <w:spacing w:val="40"/>
          <w:sz w:val="22"/>
        </w:rPr>
        <w:t> </w:t>
      </w:r>
      <w:r>
        <w:rPr>
          <w:sz w:val="22"/>
        </w:rPr>
        <w:t>the two-decision decomposition separates prediction error into </w:t>
      </w:r>
      <w:r>
        <w:rPr>
          <w:sz w:val="22"/>
        </w:rPr>
        <w:t>trend quality (Decision 1) and residual signal extraction (Decision 2), providing a diagnostic tool that explains why rule-based prediction fails even when genuine signal exists.</w:t>
      </w:r>
      <w:r>
        <w:rPr>
          <w:spacing w:val="40"/>
          <w:sz w:val="22"/>
        </w:rPr>
        <w:t> </w:t>
      </w:r>
      <w:r>
        <w:rPr>
          <w:sz w:val="22"/>
        </w:rPr>
        <w:t>This framework is transferable</w:t>
      </w:r>
      <w:r>
        <w:rPr>
          <w:spacing w:val="-14"/>
          <w:sz w:val="22"/>
        </w:rPr>
        <w:t> </w:t>
      </w:r>
      <w:r>
        <w:rPr>
          <w:sz w:val="22"/>
        </w:rPr>
        <w:t>to</w:t>
      </w:r>
      <w:r>
        <w:rPr>
          <w:spacing w:val="-14"/>
          <w:sz w:val="22"/>
        </w:rPr>
        <w:t> </w:t>
      </w:r>
      <w:r>
        <w:rPr>
          <w:sz w:val="22"/>
        </w:rPr>
        <w:t>any</w:t>
      </w:r>
      <w:r>
        <w:rPr>
          <w:spacing w:val="-14"/>
          <w:sz w:val="22"/>
        </w:rPr>
        <w:t> </w:t>
      </w:r>
      <w:r>
        <w:rPr>
          <w:sz w:val="22"/>
        </w:rPr>
        <w:t>agroclimatic</w:t>
      </w:r>
      <w:r>
        <w:rPr>
          <w:spacing w:val="-13"/>
          <w:sz w:val="22"/>
        </w:rPr>
        <w:t> </w:t>
      </w:r>
      <w:r>
        <w:rPr>
          <w:sz w:val="22"/>
        </w:rPr>
        <w:t>forecasting</w:t>
      </w:r>
      <w:r>
        <w:rPr>
          <w:spacing w:val="-14"/>
          <w:sz w:val="22"/>
        </w:rPr>
        <w:t> </w:t>
      </w:r>
      <w:r>
        <w:rPr>
          <w:sz w:val="22"/>
        </w:rPr>
        <w:t>problem</w:t>
      </w:r>
      <w:r>
        <w:rPr>
          <w:spacing w:val="-14"/>
          <w:sz w:val="22"/>
        </w:rPr>
        <w:t> </w:t>
      </w:r>
      <w:r>
        <w:rPr>
          <w:sz w:val="22"/>
        </w:rPr>
        <w:t>where</w:t>
      </w:r>
      <w:r>
        <w:rPr>
          <w:spacing w:val="-14"/>
          <w:sz w:val="22"/>
        </w:rPr>
        <w:t> </w:t>
      </w:r>
      <w:r>
        <w:rPr>
          <w:sz w:val="22"/>
        </w:rPr>
        <w:t>structural</w:t>
      </w:r>
      <w:r>
        <w:rPr>
          <w:spacing w:val="-13"/>
          <w:sz w:val="22"/>
        </w:rPr>
        <w:t> </w:t>
      </w:r>
      <w:r>
        <w:rPr>
          <w:sz w:val="22"/>
        </w:rPr>
        <w:t>non-stationarity</w:t>
      </w:r>
      <w:r>
        <w:rPr>
          <w:spacing w:val="-14"/>
          <w:sz w:val="22"/>
        </w:rPr>
        <w:t> </w:t>
      </w:r>
      <w:r>
        <w:rPr>
          <w:sz w:val="22"/>
        </w:rPr>
        <w:t>and</w:t>
      </w:r>
      <w:r>
        <w:rPr>
          <w:spacing w:val="-14"/>
          <w:sz w:val="22"/>
        </w:rPr>
        <w:t> </w:t>
      </w:r>
      <w:r>
        <w:rPr>
          <w:sz w:val="22"/>
        </w:rPr>
        <w:t>climate signal co-exist.</w:t>
      </w:r>
    </w:p>
    <w:p>
      <w:pPr>
        <w:pStyle w:val="ListParagraph"/>
        <w:numPr>
          <w:ilvl w:val="2"/>
          <w:numId w:val="38"/>
        </w:numPr>
        <w:tabs>
          <w:tab w:pos="142" w:val="left" w:leader="none"/>
          <w:tab w:pos="261" w:val="left" w:leader="none"/>
        </w:tabs>
        <w:spacing w:line="307" w:lineRule="auto" w:before="4" w:after="0"/>
        <w:ind w:left="142" w:right="1557" w:hanging="12"/>
        <w:jc w:val="both"/>
        <w:rPr>
          <w:sz w:val="22"/>
        </w:rPr>
      </w:pPr>
      <w:r>
        <w:rPr>
          <w:sz w:val="22"/>
        </w:rPr>
        <w:t>Systematic</w:t>
      </w:r>
      <w:r>
        <w:rPr>
          <w:spacing w:val="-6"/>
          <w:sz w:val="22"/>
        </w:rPr>
        <w:t> </w:t>
      </w:r>
      <w:r>
        <w:rPr>
          <w:sz w:val="22"/>
        </w:rPr>
        <w:t>sensitivity</w:t>
      </w:r>
      <w:r>
        <w:rPr>
          <w:spacing w:val="-6"/>
          <w:sz w:val="22"/>
        </w:rPr>
        <w:t> </w:t>
      </w:r>
      <w:r>
        <w:rPr>
          <w:sz w:val="22"/>
        </w:rPr>
        <w:t>analysis: a</w:t>
      </w:r>
      <w:r>
        <w:rPr>
          <w:spacing w:val="-6"/>
          <w:sz w:val="22"/>
        </w:rPr>
        <w:t> </w:t>
      </w:r>
      <w:r>
        <w:rPr>
          <w:sz w:val="22"/>
        </w:rPr>
        <w:t>structured</w:t>
      </w:r>
      <w:r>
        <w:rPr>
          <w:spacing w:val="-6"/>
          <w:sz w:val="22"/>
        </w:rPr>
        <w:t> </w:t>
      </w:r>
      <w:r>
        <w:rPr>
          <w:sz w:val="22"/>
        </w:rPr>
        <w:t>11-variant</w:t>
      </w:r>
      <w:r>
        <w:rPr>
          <w:spacing w:val="-6"/>
          <w:sz w:val="22"/>
        </w:rPr>
        <w:t> </w:t>
      </w:r>
      <w:r>
        <w:rPr>
          <w:sz w:val="22"/>
        </w:rPr>
        <w:t>evaluation</w:t>
      </w:r>
      <w:r>
        <w:rPr>
          <w:spacing w:val="-6"/>
          <w:sz w:val="22"/>
        </w:rPr>
        <w:t> </w:t>
      </w:r>
      <w:r>
        <w:rPr>
          <w:sz w:val="22"/>
        </w:rPr>
        <w:t>of</w:t>
      </w:r>
      <w:r>
        <w:rPr>
          <w:spacing w:val="-6"/>
          <w:sz w:val="22"/>
        </w:rPr>
        <w:t> </w:t>
      </w:r>
      <w:r>
        <w:rPr>
          <w:sz w:val="22"/>
        </w:rPr>
        <w:t>CarenR’s</w:t>
      </w:r>
      <w:r>
        <w:rPr>
          <w:spacing w:val="-6"/>
          <w:sz w:val="22"/>
        </w:rPr>
        <w:t> </w:t>
      </w:r>
      <w:r>
        <w:rPr>
          <w:sz w:val="22"/>
        </w:rPr>
        <w:t>feature</w:t>
      </w:r>
      <w:r>
        <w:rPr>
          <w:spacing w:val="-6"/>
          <w:sz w:val="22"/>
        </w:rPr>
        <w:t> </w:t>
      </w:r>
      <w:r>
        <w:rPr>
          <w:sz w:val="22"/>
        </w:rPr>
        <w:t>selection </w:t>
      </w:r>
      <w:r>
        <w:rPr>
          <w:spacing w:val="-2"/>
          <w:sz w:val="22"/>
        </w:rPr>
        <w:t>strategies</w:t>
      </w:r>
      <w:r>
        <w:rPr>
          <w:spacing w:val="-7"/>
          <w:sz w:val="22"/>
        </w:rPr>
        <w:t> </w:t>
      </w:r>
      <w:r>
        <w:rPr>
          <w:spacing w:val="-2"/>
          <w:sz w:val="22"/>
        </w:rPr>
        <w:t>shows</w:t>
      </w:r>
      <w:r>
        <w:rPr>
          <w:spacing w:val="-7"/>
          <w:sz w:val="22"/>
        </w:rPr>
        <w:t> </w:t>
      </w:r>
      <w:r>
        <w:rPr>
          <w:spacing w:val="-2"/>
          <w:sz w:val="22"/>
        </w:rPr>
        <w:t>that</w:t>
      </w:r>
      <w:r>
        <w:rPr>
          <w:spacing w:val="-7"/>
          <w:sz w:val="22"/>
        </w:rPr>
        <w:t> </w:t>
      </w:r>
      <w:r>
        <w:rPr>
          <w:spacing w:val="-2"/>
          <w:sz w:val="22"/>
        </w:rPr>
        <w:t>the</w:t>
      </w:r>
      <w:r>
        <w:rPr>
          <w:spacing w:val="-7"/>
          <w:sz w:val="22"/>
        </w:rPr>
        <w:t> </w:t>
      </w:r>
      <w:r>
        <w:rPr>
          <w:spacing w:val="-2"/>
          <w:sz w:val="22"/>
        </w:rPr>
        <w:t>optimal</w:t>
      </w:r>
      <w:r>
        <w:rPr>
          <w:spacing w:val="-7"/>
          <w:sz w:val="22"/>
        </w:rPr>
        <w:t> </w:t>
      </w:r>
      <w:r>
        <w:rPr>
          <w:spacing w:val="-2"/>
          <w:sz w:val="22"/>
        </w:rPr>
        <w:t>configuration</w:t>
      </w:r>
      <w:r>
        <w:rPr>
          <w:spacing w:val="-7"/>
          <w:sz w:val="22"/>
        </w:rPr>
        <w:t> </w:t>
      </w:r>
      <w:r>
        <w:rPr>
          <w:spacing w:val="-2"/>
          <w:sz w:val="22"/>
        </w:rPr>
        <w:t>is</w:t>
      </w:r>
      <w:r>
        <w:rPr>
          <w:spacing w:val="-7"/>
          <w:sz w:val="22"/>
        </w:rPr>
        <w:t> </w:t>
      </w:r>
      <w:r>
        <w:rPr>
          <w:spacing w:val="-2"/>
          <w:sz w:val="22"/>
        </w:rPr>
        <w:t>problem-specific,</w:t>
      </w:r>
      <w:r>
        <w:rPr>
          <w:spacing w:val="-7"/>
          <w:sz w:val="22"/>
        </w:rPr>
        <w:t> </w:t>
      </w:r>
      <w:r>
        <w:rPr>
          <w:i/>
          <w:spacing w:val="-2"/>
          <w:sz w:val="22"/>
        </w:rPr>
        <w:t>η</w:t>
      </w:r>
      <w:r>
        <w:rPr>
          <w:spacing w:val="-2"/>
          <w:position w:val="8"/>
          <w:sz w:val="16"/>
        </w:rPr>
        <w:t>2</w:t>
      </w:r>
      <w:r>
        <w:rPr>
          <w:spacing w:val="17"/>
          <w:position w:val="8"/>
          <w:sz w:val="16"/>
        </w:rPr>
        <w:t> </w:t>
      </w:r>
      <w:r>
        <w:rPr>
          <w:spacing w:val="-2"/>
          <w:sz w:val="22"/>
        </w:rPr>
        <w:t>outperforms</w:t>
      </w:r>
      <w:r>
        <w:rPr>
          <w:spacing w:val="-7"/>
          <w:sz w:val="22"/>
        </w:rPr>
        <w:t> </w:t>
      </w:r>
      <w:r>
        <w:rPr>
          <w:spacing w:val="-2"/>
          <w:sz w:val="22"/>
        </w:rPr>
        <w:t>in</w:t>
      </w:r>
      <w:r>
        <w:rPr>
          <w:spacing w:val="-7"/>
          <w:sz w:val="22"/>
        </w:rPr>
        <w:t> </w:t>
      </w:r>
      <w:r>
        <w:rPr>
          <w:spacing w:val="-2"/>
          <w:sz w:val="22"/>
        </w:rPr>
        <w:t>regimes</w:t>
      </w:r>
      <w:r>
        <w:rPr>
          <w:spacing w:val="-7"/>
          <w:sz w:val="22"/>
        </w:rPr>
        <w:t> </w:t>
      </w:r>
      <w:r>
        <w:rPr>
          <w:spacing w:val="-2"/>
          <w:sz w:val="22"/>
        </w:rPr>
        <w:t>with </w:t>
      </w:r>
      <w:r>
        <w:rPr>
          <w:sz w:val="22"/>
        </w:rPr>
        <w:t>strong</w:t>
      </w:r>
      <w:r>
        <w:rPr>
          <w:spacing w:val="-14"/>
          <w:sz w:val="22"/>
        </w:rPr>
        <w:t> </w:t>
      </w:r>
      <w:r>
        <w:rPr>
          <w:sz w:val="22"/>
        </w:rPr>
        <w:t>signal</w:t>
      </w:r>
      <w:r>
        <w:rPr>
          <w:spacing w:val="-14"/>
          <w:sz w:val="22"/>
        </w:rPr>
        <w:t> </w:t>
      </w:r>
      <w:r>
        <w:rPr>
          <w:sz w:val="22"/>
        </w:rPr>
        <w:t>(Douro),</w:t>
      </w:r>
      <w:r>
        <w:rPr>
          <w:spacing w:val="-14"/>
          <w:sz w:val="22"/>
        </w:rPr>
        <w:t> </w:t>
      </w:r>
      <w:r>
        <w:rPr>
          <w:sz w:val="22"/>
        </w:rPr>
        <w:t>while</w:t>
      </w:r>
      <w:r>
        <w:rPr>
          <w:spacing w:val="-13"/>
          <w:sz w:val="22"/>
        </w:rPr>
        <w:t> </w:t>
      </w:r>
      <w:r>
        <w:rPr>
          <w:sz w:val="22"/>
        </w:rPr>
        <w:t>conservative</w:t>
      </w:r>
      <w:r>
        <w:rPr>
          <w:spacing w:val="-14"/>
          <w:sz w:val="22"/>
        </w:rPr>
        <w:t> </w:t>
      </w:r>
      <w:r>
        <w:rPr>
          <w:sz w:val="22"/>
        </w:rPr>
        <w:t>support-filtered</w:t>
      </w:r>
      <w:r>
        <w:rPr>
          <w:spacing w:val="-14"/>
          <w:sz w:val="22"/>
        </w:rPr>
        <w:t> </w:t>
      </w:r>
      <w:r>
        <w:rPr>
          <w:sz w:val="22"/>
        </w:rPr>
        <w:t>selection</w:t>
      </w:r>
      <w:r>
        <w:rPr>
          <w:spacing w:val="-14"/>
          <w:sz w:val="22"/>
        </w:rPr>
        <w:t> </w:t>
      </w:r>
      <w:r>
        <w:rPr>
          <w:sz w:val="22"/>
        </w:rPr>
        <w:t>outperforms</w:t>
      </w:r>
      <w:r>
        <w:rPr>
          <w:spacing w:val="-13"/>
          <w:sz w:val="22"/>
        </w:rPr>
        <w:t> </w:t>
      </w:r>
      <w:r>
        <w:rPr>
          <w:sz w:val="22"/>
        </w:rPr>
        <w:t>in</w:t>
      </w:r>
      <w:r>
        <w:rPr>
          <w:spacing w:val="-14"/>
          <w:sz w:val="22"/>
        </w:rPr>
        <w:t> </w:t>
      </w:r>
      <w:r>
        <w:rPr>
          <w:sz w:val="22"/>
        </w:rPr>
        <w:t>regimes</w:t>
      </w:r>
      <w:r>
        <w:rPr>
          <w:spacing w:val="-14"/>
          <w:sz w:val="22"/>
        </w:rPr>
        <w:t> </w:t>
      </w:r>
      <w:r>
        <w:rPr>
          <w:sz w:val="22"/>
        </w:rPr>
        <w:t>where fallback-to-median</w:t>
      </w:r>
      <w:r>
        <w:rPr>
          <w:spacing w:val="-8"/>
          <w:sz w:val="22"/>
        </w:rPr>
        <w:t> </w:t>
      </w:r>
      <w:r>
        <w:rPr>
          <w:sz w:val="22"/>
        </w:rPr>
        <w:t>is</w:t>
      </w:r>
      <w:r>
        <w:rPr>
          <w:spacing w:val="-8"/>
          <w:sz w:val="22"/>
        </w:rPr>
        <w:t> </w:t>
      </w:r>
      <w:r>
        <w:rPr>
          <w:sz w:val="22"/>
        </w:rPr>
        <w:t>the</w:t>
      </w:r>
      <w:r>
        <w:rPr>
          <w:spacing w:val="-8"/>
          <w:sz w:val="22"/>
        </w:rPr>
        <w:t> </w:t>
      </w:r>
      <w:r>
        <w:rPr>
          <w:sz w:val="22"/>
        </w:rPr>
        <w:t>dominant</w:t>
      </w:r>
      <w:r>
        <w:rPr>
          <w:spacing w:val="-8"/>
          <w:sz w:val="22"/>
        </w:rPr>
        <w:t> </w:t>
      </w:r>
      <w:r>
        <w:rPr>
          <w:sz w:val="22"/>
        </w:rPr>
        <w:t>prediction</w:t>
      </w:r>
      <w:r>
        <w:rPr>
          <w:spacing w:val="-8"/>
          <w:sz w:val="22"/>
        </w:rPr>
        <w:t> </w:t>
      </w:r>
      <w:r>
        <w:rPr>
          <w:sz w:val="22"/>
        </w:rPr>
        <w:t>mechanism</w:t>
      </w:r>
      <w:r>
        <w:rPr>
          <w:spacing w:val="-8"/>
          <w:sz w:val="22"/>
        </w:rPr>
        <w:t> </w:t>
      </w:r>
      <w:r>
        <w:rPr>
          <w:sz w:val="22"/>
        </w:rPr>
        <w:t>(Vinho</w:t>
      </w:r>
      <w:r>
        <w:rPr>
          <w:spacing w:val="-8"/>
          <w:sz w:val="22"/>
        </w:rPr>
        <w:t> </w:t>
      </w:r>
      <w:r>
        <w:rPr>
          <w:sz w:val="22"/>
        </w:rPr>
        <w:t>Verde). This</w:t>
      </w:r>
      <w:r>
        <w:rPr>
          <w:spacing w:val="-8"/>
          <w:sz w:val="22"/>
        </w:rPr>
        <w:t> </w:t>
      </w:r>
      <w:r>
        <w:rPr>
          <w:sz w:val="22"/>
        </w:rPr>
        <w:t>finding</w:t>
      </w:r>
      <w:r>
        <w:rPr>
          <w:spacing w:val="-8"/>
          <w:sz w:val="22"/>
        </w:rPr>
        <w:t> </w:t>
      </w:r>
      <w:r>
        <w:rPr>
          <w:sz w:val="22"/>
        </w:rPr>
        <w:t>motivates structured variant evaluation rather than a priori configuration choice.</w:t>
      </w:r>
    </w:p>
    <w:p>
      <w:pPr>
        <w:pStyle w:val="ListParagraph"/>
        <w:numPr>
          <w:ilvl w:val="2"/>
          <w:numId w:val="38"/>
        </w:numPr>
        <w:tabs>
          <w:tab w:pos="134" w:val="left" w:leader="none"/>
          <w:tab w:pos="277" w:val="left" w:leader="none"/>
        </w:tabs>
        <w:spacing w:line="312" w:lineRule="auto" w:before="5" w:after="0"/>
        <w:ind w:left="134" w:right="1553" w:hanging="4"/>
        <w:jc w:val="both"/>
        <w:rPr>
          <w:sz w:val="22"/>
        </w:rPr>
      </w:pPr>
      <w:r>
        <w:rPr>
          <w:sz w:val="22"/>
        </w:rPr>
        <w:t>Era-composition analysis:</w:t>
      </w:r>
      <w:r>
        <w:rPr>
          <w:spacing w:val="40"/>
          <w:sz w:val="22"/>
        </w:rPr>
        <w:t> </w:t>
      </w:r>
      <w:r>
        <w:rPr>
          <w:sz w:val="22"/>
        </w:rPr>
        <w:t>the walk-forward evaluation reveals a conditional regime in RDD where</w:t>
      </w:r>
      <w:r>
        <w:rPr>
          <w:spacing w:val="-4"/>
          <w:sz w:val="22"/>
        </w:rPr>
        <w:t> </w:t>
      </w:r>
      <w:r>
        <w:rPr>
          <w:sz w:val="22"/>
        </w:rPr>
        <w:t>CarenR</w:t>
      </w:r>
      <w:r>
        <w:rPr>
          <w:spacing w:val="-4"/>
          <w:sz w:val="22"/>
        </w:rPr>
        <w:t> </w:t>
      </w:r>
      <w:r>
        <w:rPr>
          <w:sz w:val="22"/>
        </w:rPr>
        <w:t>consistently</w:t>
      </w:r>
      <w:r>
        <w:rPr>
          <w:spacing w:val="-4"/>
          <w:sz w:val="22"/>
        </w:rPr>
        <w:t> </w:t>
      </w:r>
      <w:r>
        <w:rPr>
          <w:sz w:val="22"/>
        </w:rPr>
        <w:t>outperforms</w:t>
      </w:r>
      <w:r>
        <w:rPr>
          <w:spacing w:val="-4"/>
          <w:sz w:val="22"/>
        </w:rPr>
        <w:t> </w:t>
      </w:r>
      <w:r>
        <w:rPr>
          <w:sz w:val="22"/>
        </w:rPr>
        <w:t>the</w:t>
      </w:r>
      <w:r>
        <w:rPr>
          <w:spacing w:val="-4"/>
          <w:sz w:val="22"/>
        </w:rPr>
        <w:t> </w:t>
      </w:r>
      <w:r>
        <w:rPr>
          <w:sz w:val="22"/>
        </w:rPr>
        <w:t>baseline</w:t>
      </w:r>
      <w:r>
        <w:rPr>
          <w:spacing w:val="-4"/>
          <w:sz w:val="22"/>
        </w:rPr>
        <w:t> </w:t>
      </w:r>
      <w:r>
        <w:rPr>
          <w:sz w:val="22"/>
        </w:rPr>
        <w:t>once</w:t>
      </w:r>
      <w:r>
        <w:rPr>
          <w:spacing w:val="-4"/>
          <w:sz w:val="22"/>
        </w:rPr>
        <w:t> </w:t>
      </w:r>
      <w:r>
        <w:rPr>
          <w:sz w:val="22"/>
        </w:rPr>
        <w:t>training</w:t>
      </w:r>
      <w:r>
        <w:rPr>
          <w:spacing w:val="-4"/>
          <w:sz w:val="22"/>
        </w:rPr>
        <w:t> </w:t>
      </w:r>
      <w:r>
        <w:rPr>
          <w:sz w:val="22"/>
        </w:rPr>
        <w:t>data</w:t>
      </w:r>
      <w:r>
        <w:rPr>
          <w:spacing w:val="-4"/>
          <w:sz w:val="22"/>
        </w:rPr>
        <w:t> </w:t>
      </w:r>
      <w:r>
        <w:rPr>
          <w:sz w:val="22"/>
        </w:rPr>
        <w:t>reaches</w:t>
      </w:r>
      <w:r>
        <w:rPr>
          <w:spacing w:val="40"/>
          <w:sz w:val="22"/>
        </w:rPr>
        <w:t> </w:t>
      </w:r>
      <w:r>
        <w:rPr>
          <w:sz w:val="22"/>
        </w:rPr>
        <w:t>29%</w:t>
      </w:r>
      <w:r>
        <w:rPr>
          <w:spacing w:val="-4"/>
          <w:sz w:val="22"/>
        </w:rPr>
        <w:t> </w:t>
      </w:r>
      <w:r>
        <w:rPr>
          <w:sz w:val="22"/>
        </w:rPr>
        <w:t>modern-era representation (5/5 consecutive wins, post-hoc exploratory). This characterises not just whether </w:t>
      </w:r>
      <w:r>
        <w:rPr>
          <w:spacing w:val="-2"/>
          <w:sz w:val="22"/>
        </w:rPr>
        <w:t>rule-based</w:t>
      </w:r>
      <w:r>
        <w:rPr>
          <w:spacing w:val="-5"/>
          <w:sz w:val="22"/>
        </w:rPr>
        <w:t> </w:t>
      </w:r>
      <w:r>
        <w:rPr>
          <w:spacing w:val="-2"/>
          <w:sz w:val="22"/>
        </w:rPr>
        <w:t>prediction</w:t>
      </w:r>
      <w:r>
        <w:rPr>
          <w:spacing w:val="-5"/>
          <w:sz w:val="22"/>
        </w:rPr>
        <w:t> </w:t>
      </w:r>
      <w:r>
        <w:rPr>
          <w:spacing w:val="-2"/>
          <w:sz w:val="22"/>
        </w:rPr>
        <w:t>works,</w:t>
      </w:r>
      <w:r>
        <w:rPr>
          <w:spacing w:val="-5"/>
          <w:sz w:val="22"/>
        </w:rPr>
        <w:t> </w:t>
      </w:r>
      <w:r>
        <w:rPr>
          <w:spacing w:val="-2"/>
          <w:sz w:val="22"/>
        </w:rPr>
        <w:t>but</w:t>
      </w:r>
      <w:r>
        <w:rPr>
          <w:spacing w:val="-5"/>
          <w:sz w:val="22"/>
        </w:rPr>
        <w:t> </w:t>
      </w:r>
      <w:r>
        <w:rPr>
          <w:spacing w:val="-2"/>
          <w:sz w:val="22"/>
        </w:rPr>
        <w:t>under</w:t>
      </w:r>
      <w:r>
        <w:rPr>
          <w:spacing w:val="-5"/>
          <w:sz w:val="22"/>
        </w:rPr>
        <w:t> </w:t>
      </w:r>
      <w:r>
        <w:rPr>
          <w:spacing w:val="-2"/>
          <w:sz w:val="22"/>
        </w:rPr>
        <w:t>what</w:t>
      </w:r>
      <w:r>
        <w:rPr>
          <w:spacing w:val="-5"/>
          <w:sz w:val="22"/>
        </w:rPr>
        <w:t> </w:t>
      </w:r>
      <w:r>
        <w:rPr>
          <w:spacing w:val="-2"/>
          <w:sz w:val="22"/>
        </w:rPr>
        <w:t>data</w:t>
      </w:r>
      <w:r>
        <w:rPr>
          <w:spacing w:val="-5"/>
          <w:sz w:val="22"/>
        </w:rPr>
        <w:t> </w:t>
      </w:r>
      <w:r>
        <w:rPr>
          <w:spacing w:val="-2"/>
          <w:sz w:val="22"/>
        </w:rPr>
        <w:t>conditions</w:t>
      </w:r>
      <w:r>
        <w:rPr>
          <w:spacing w:val="-5"/>
          <w:sz w:val="22"/>
        </w:rPr>
        <w:t> </w:t>
      </w:r>
      <w:r>
        <w:rPr>
          <w:spacing w:val="-2"/>
          <w:sz w:val="22"/>
        </w:rPr>
        <w:t>it</w:t>
      </w:r>
      <w:r>
        <w:rPr>
          <w:spacing w:val="-5"/>
          <w:sz w:val="22"/>
        </w:rPr>
        <w:t> </w:t>
      </w:r>
      <w:r>
        <w:rPr>
          <w:spacing w:val="-2"/>
          <w:sz w:val="22"/>
        </w:rPr>
        <w:t>does,</w:t>
      </w:r>
      <w:r>
        <w:rPr>
          <w:spacing w:val="-5"/>
          <w:sz w:val="22"/>
        </w:rPr>
        <w:t> </w:t>
      </w:r>
      <w:r>
        <w:rPr>
          <w:spacing w:val="-2"/>
          <w:sz w:val="22"/>
        </w:rPr>
        <w:t>a</w:t>
      </w:r>
      <w:r>
        <w:rPr>
          <w:spacing w:val="-5"/>
          <w:sz w:val="22"/>
        </w:rPr>
        <w:t> </w:t>
      </w:r>
      <w:r>
        <w:rPr>
          <w:spacing w:val="-2"/>
          <w:sz w:val="22"/>
        </w:rPr>
        <w:t>more</w:t>
      </w:r>
      <w:r>
        <w:rPr>
          <w:spacing w:val="-5"/>
          <w:sz w:val="22"/>
        </w:rPr>
        <w:t> </w:t>
      </w:r>
      <w:r>
        <w:rPr>
          <w:spacing w:val="-2"/>
          <w:sz w:val="22"/>
        </w:rPr>
        <w:t>actionable</w:t>
      </w:r>
      <w:r>
        <w:rPr>
          <w:spacing w:val="-5"/>
          <w:sz w:val="22"/>
        </w:rPr>
        <w:t> </w:t>
      </w:r>
      <w:r>
        <w:rPr>
          <w:spacing w:val="-2"/>
          <w:sz w:val="22"/>
        </w:rPr>
        <w:t>finding</w:t>
      </w:r>
      <w:r>
        <w:rPr>
          <w:spacing w:val="-5"/>
          <w:sz w:val="22"/>
        </w:rPr>
        <w:t> </w:t>
      </w:r>
      <w:r>
        <w:rPr>
          <w:spacing w:val="-2"/>
          <w:sz w:val="22"/>
        </w:rPr>
        <w:t>than </w:t>
      </w:r>
      <w:r>
        <w:rPr>
          <w:sz w:val="22"/>
        </w:rPr>
        <w:t>a binary success/failure conclusion.</w:t>
      </w:r>
    </w:p>
    <w:p>
      <w:pPr>
        <w:pStyle w:val="ListParagraph"/>
        <w:numPr>
          <w:ilvl w:val="2"/>
          <w:numId w:val="38"/>
        </w:numPr>
        <w:tabs>
          <w:tab w:pos="142" w:val="left" w:leader="none"/>
          <w:tab w:pos="260" w:val="left" w:leader="none"/>
        </w:tabs>
        <w:spacing w:line="312" w:lineRule="auto" w:before="4" w:after="0"/>
        <w:ind w:left="142" w:right="1542" w:hanging="12"/>
        <w:jc w:val="both"/>
        <w:rPr>
          <w:sz w:val="22"/>
        </w:rPr>
      </w:pPr>
      <w:r>
        <w:rPr>
          <w:sz w:val="22"/>
        </w:rPr>
        <w:t>Cross-algorithm</w:t>
      </w:r>
      <w:r>
        <w:rPr>
          <w:spacing w:val="-7"/>
          <w:sz w:val="22"/>
        </w:rPr>
        <w:t> </w:t>
      </w:r>
      <w:r>
        <w:rPr>
          <w:sz w:val="22"/>
        </w:rPr>
        <w:t>validation: RIPPER</w:t>
      </w:r>
      <w:r>
        <w:rPr>
          <w:spacing w:val="-7"/>
          <w:sz w:val="22"/>
        </w:rPr>
        <w:t> </w:t>
      </w:r>
      <w:r>
        <w:rPr>
          <w:sz w:val="22"/>
        </w:rPr>
        <w:t>(classification</w:t>
      </w:r>
      <w:r>
        <w:rPr>
          <w:spacing w:val="-7"/>
          <w:sz w:val="22"/>
        </w:rPr>
        <w:t> </w:t>
      </w:r>
      <w:r>
        <w:rPr>
          <w:sz w:val="22"/>
        </w:rPr>
        <w:t>rules)</w:t>
      </w:r>
      <w:r>
        <w:rPr>
          <w:spacing w:val="-7"/>
          <w:sz w:val="22"/>
        </w:rPr>
        <w:t> </w:t>
      </w:r>
      <w:r>
        <w:rPr>
          <w:sz w:val="22"/>
        </w:rPr>
        <w:t>and</w:t>
      </w:r>
      <w:r>
        <w:rPr>
          <w:spacing w:val="-7"/>
          <w:sz w:val="22"/>
        </w:rPr>
        <w:t> </w:t>
      </w:r>
      <w:r>
        <w:rPr>
          <w:sz w:val="22"/>
        </w:rPr>
        <w:t>M5Rules</w:t>
      </w:r>
      <w:r>
        <w:rPr>
          <w:spacing w:val="-7"/>
          <w:sz w:val="22"/>
        </w:rPr>
        <w:t> </w:t>
      </w:r>
      <w:r>
        <w:rPr>
          <w:sz w:val="22"/>
        </w:rPr>
        <w:t>(piecewise</w:t>
      </w:r>
      <w:r>
        <w:rPr>
          <w:spacing w:val="-7"/>
          <w:sz w:val="22"/>
        </w:rPr>
        <w:t> </w:t>
      </w:r>
      <w:r>
        <w:rPr>
          <w:sz w:val="22"/>
        </w:rPr>
        <w:t>linear</w:t>
      </w:r>
      <w:r>
        <w:rPr>
          <w:spacing w:val="-7"/>
          <w:sz w:val="22"/>
        </w:rPr>
        <w:t> </w:t>
      </w:r>
      <w:r>
        <w:rPr>
          <w:sz w:val="22"/>
        </w:rPr>
        <w:t>rules) independently converge on the same feature variables as CarenR across both regions, despite entirely different optimisation criteria.</w:t>
      </w:r>
      <w:r>
        <w:rPr>
          <w:spacing w:val="40"/>
          <w:sz w:val="22"/>
        </w:rPr>
        <w:t> </w:t>
      </w:r>
      <w:r>
        <w:rPr>
          <w:sz w:val="22"/>
        </w:rPr>
        <w:t>This cross-algorithm agreement provides evidence that the identified features reflect genuine data structure rather than artefacts of any single induction </w:t>
      </w:r>
      <w:r>
        <w:rPr>
          <w:spacing w:val="-2"/>
          <w:sz w:val="22"/>
        </w:rPr>
        <w:t>method.</w:t>
      </w:r>
    </w:p>
    <w:p>
      <w:pPr>
        <w:pStyle w:val="ListParagraph"/>
        <w:numPr>
          <w:ilvl w:val="2"/>
          <w:numId w:val="38"/>
        </w:numPr>
        <w:tabs>
          <w:tab w:pos="135" w:val="left" w:leader="none"/>
          <w:tab w:pos="294" w:val="left" w:leader="none"/>
        </w:tabs>
        <w:spacing w:line="312" w:lineRule="auto" w:before="4" w:after="0"/>
        <w:ind w:left="135" w:right="1519" w:hanging="5"/>
        <w:jc w:val="both"/>
        <w:rPr>
          <w:sz w:val="22"/>
        </w:rPr>
      </w:pPr>
      <w:r>
        <w:rPr>
          <w:sz w:val="22"/>
        </w:rPr>
        <w:t>Method</w:t>
      </w:r>
      <w:r>
        <w:rPr>
          <w:spacing w:val="38"/>
          <w:sz w:val="22"/>
        </w:rPr>
        <w:t> </w:t>
      </w:r>
      <w:r>
        <w:rPr>
          <w:sz w:val="22"/>
        </w:rPr>
        <w:t>validation</w:t>
      </w:r>
      <w:r>
        <w:rPr>
          <w:spacing w:val="38"/>
          <w:sz w:val="22"/>
        </w:rPr>
        <w:t> </w:t>
      </w:r>
      <w:r>
        <w:rPr>
          <w:sz w:val="22"/>
        </w:rPr>
        <w:t>in</w:t>
      </w:r>
      <w:r>
        <w:rPr>
          <w:spacing w:val="38"/>
          <w:sz w:val="22"/>
        </w:rPr>
        <w:t> </w:t>
      </w:r>
      <w:r>
        <w:rPr>
          <w:sz w:val="22"/>
        </w:rPr>
        <w:t>domain:</w:t>
      </w:r>
      <w:r>
        <w:rPr>
          <w:spacing w:val="80"/>
          <w:sz w:val="22"/>
        </w:rPr>
        <w:t> </w:t>
      </w:r>
      <w:r>
        <w:rPr>
          <w:sz w:val="22"/>
        </w:rPr>
        <w:t>the</w:t>
      </w:r>
      <w:r>
        <w:rPr>
          <w:spacing w:val="38"/>
          <w:sz w:val="22"/>
        </w:rPr>
        <w:t> </w:t>
      </w:r>
      <w:r>
        <w:rPr>
          <w:sz w:val="22"/>
        </w:rPr>
        <w:t>discovered</w:t>
      </w:r>
      <w:r>
        <w:rPr>
          <w:spacing w:val="38"/>
          <w:sz w:val="22"/>
        </w:rPr>
        <w:t> </w:t>
      </w:r>
      <w:r>
        <w:rPr>
          <w:sz w:val="22"/>
        </w:rPr>
        <w:t>rules</w:t>
      </w:r>
      <w:r>
        <w:rPr>
          <w:spacing w:val="38"/>
          <w:sz w:val="22"/>
        </w:rPr>
        <w:t> </w:t>
      </w:r>
      <w:r>
        <w:rPr>
          <w:sz w:val="22"/>
        </w:rPr>
        <w:t>are</w:t>
      </w:r>
      <w:r>
        <w:rPr>
          <w:spacing w:val="38"/>
          <w:sz w:val="22"/>
        </w:rPr>
        <w:t> </w:t>
      </w:r>
      <w:r>
        <w:rPr>
          <w:sz w:val="22"/>
        </w:rPr>
        <w:t>agronomically</w:t>
      </w:r>
      <w:r>
        <w:rPr>
          <w:spacing w:val="38"/>
          <w:sz w:val="22"/>
        </w:rPr>
        <w:t> </w:t>
      </w:r>
      <w:r>
        <w:rPr>
          <w:sz w:val="22"/>
        </w:rPr>
        <w:t>coherent,</w:t>
      </w:r>
      <w:r>
        <w:rPr>
          <w:spacing w:val="40"/>
          <w:sz w:val="22"/>
        </w:rPr>
        <w:t> </w:t>
      </w:r>
      <w:r>
        <w:rPr>
          <w:sz w:val="22"/>
        </w:rPr>
        <w:t>confirmed by LOESS detrending which shows feature correlations are preserved after era-trend removal. This validates that CarenR extracts genuine signal from real-world non-stationary data, not era-membership proxies.</w:t>
      </w:r>
      <w:r>
        <w:rPr>
          <w:spacing w:val="40"/>
          <w:sz w:val="22"/>
        </w:rPr>
        <w:t> </w:t>
      </w:r>
      <w:r>
        <w:rPr>
          <w:sz w:val="22"/>
        </w:rPr>
        <w:t>The domain provides 80–90 years of historical data, genuine structural non-stationarity, and expert-verifiable output, a demanding testbed for the method.</w:t>
      </w:r>
    </w:p>
    <w:p>
      <w:pPr>
        <w:pStyle w:val="BodyText"/>
        <w:spacing w:before="168"/>
      </w:pPr>
    </w:p>
    <w:p>
      <w:pPr>
        <w:pStyle w:val="Heading2"/>
        <w:numPr>
          <w:ilvl w:val="1"/>
          <w:numId w:val="38"/>
        </w:numPr>
        <w:tabs>
          <w:tab w:pos="786" w:val="left" w:leader="none"/>
        </w:tabs>
        <w:spacing w:line="240" w:lineRule="auto" w:before="1" w:after="0"/>
        <w:ind w:left="786" w:right="0" w:hanging="644"/>
        <w:jc w:val="both"/>
      </w:pPr>
      <w:bookmarkStart w:name="7.3 Limitations" w:id="250"/>
      <w:bookmarkEnd w:id="250"/>
      <w:r>
        <w:rPr>
          <w:b w:val="0"/>
        </w:rPr>
      </w:r>
      <w:bookmarkStart w:name="_bookmark147" w:id="251"/>
      <w:bookmarkEnd w:id="251"/>
      <w:r>
        <w:rPr>
          <w:b w:val="0"/>
        </w:rPr>
      </w:r>
      <w:r>
        <w:rPr>
          <w:spacing w:val="-2"/>
        </w:rPr>
        <w:t>Limitations</w:t>
      </w:r>
    </w:p>
    <w:p>
      <w:pPr>
        <w:pStyle w:val="BodyText"/>
        <w:spacing w:line="312" w:lineRule="auto" w:before="298"/>
        <w:ind w:left="142" w:right="1529" w:hanging="7"/>
        <w:jc w:val="both"/>
      </w:pPr>
      <w:r>
        <w:rPr/>
        <w:t>The primary methodological limitation is that detrending uses time as its sole covariate, which cannot cleanly separate structural production changes from inter-annual climate variation. Both regional</w:t>
      </w:r>
      <w:r>
        <w:rPr>
          <w:spacing w:val="-5"/>
        </w:rPr>
        <w:t> </w:t>
      </w:r>
      <w:r>
        <w:rPr/>
        <w:t>series</w:t>
      </w:r>
      <w:r>
        <w:rPr>
          <w:spacing w:val="-3"/>
        </w:rPr>
        <w:t> </w:t>
      </w:r>
      <w:r>
        <w:rPr/>
        <w:t>exhibit</w:t>
      </w:r>
      <w:r>
        <w:rPr>
          <w:spacing w:val="-3"/>
        </w:rPr>
        <w:t> </w:t>
      </w:r>
      <w:r>
        <w:rPr/>
        <w:t>non-linear</w:t>
      </w:r>
      <w:r>
        <w:rPr>
          <w:spacing w:val="-3"/>
        </w:rPr>
        <w:t> </w:t>
      </w:r>
      <w:r>
        <w:rPr/>
        <w:t>structural</w:t>
      </w:r>
      <w:r>
        <w:rPr>
          <w:spacing w:val="-3"/>
        </w:rPr>
        <w:t> </w:t>
      </w:r>
      <w:r>
        <w:rPr/>
        <w:t>trajectories</w:t>
      </w:r>
      <w:r>
        <w:rPr>
          <w:spacing w:val="-2"/>
        </w:rPr>
        <w:t> </w:t>
      </w:r>
      <w:r>
        <w:rPr/>
        <w:t>driven</w:t>
      </w:r>
      <w:r>
        <w:rPr>
          <w:spacing w:val="-3"/>
        </w:rPr>
        <w:t> </w:t>
      </w:r>
      <w:r>
        <w:rPr/>
        <w:t>by</w:t>
      </w:r>
      <w:r>
        <w:rPr>
          <w:spacing w:val="-3"/>
        </w:rPr>
        <w:t> </w:t>
      </w:r>
      <w:r>
        <w:rPr/>
        <w:t>non-climate</w:t>
      </w:r>
      <w:r>
        <w:rPr>
          <w:spacing w:val="-3"/>
        </w:rPr>
        <w:t> </w:t>
      </w:r>
      <w:r>
        <w:rPr/>
        <w:t>factors</w:t>
      </w:r>
      <w:r>
        <w:rPr>
          <w:spacing w:val="-3"/>
        </w:rPr>
        <w:t> </w:t>
      </w:r>
      <w:r>
        <w:rPr/>
        <w:t>(EU</w:t>
      </w:r>
      <w:r>
        <w:rPr>
          <w:spacing w:val="-2"/>
        </w:rPr>
        <w:t> </w:t>
      </w:r>
      <w:r>
        <w:rPr>
          <w:spacing w:val="-2"/>
        </w:rPr>
        <w:t>policy,</w:t>
      </w:r>
    </w:p>
    <w:p>
      <w:pPr>
        <w:pStyle w:val="BodyText"/>
        <w:spacing w:after="0" w:line="312" w:lineRule="auto"/>
        <w:jc w:val="both"/>
        <w:sectPr>
          <w:headerReference w:type="even" r:id="rId105"/>
          <w:pgSz w:w="11910" w:h="16840"/>
          <w:pgMar w:header="1160" w:footer="0" w:top="1420" w:bottom="280" w:left="1275" w:right="425"/>
          <w:pgNumType w:start="78"/>
        </w:sectPr>
      </w:pPr>
    </w:p>
    <w:p>
      <w:pPr>
        <w:pStyle w:val="ListParagraph"/>
        <w:numPr>
          <w:ilvl w:val="1"/>
          <w:numId w:val="38"/>
        </w:numPr>
        <w:tabs>
          <w:tab w:pos="1025" w:val="left" w:leader="none"/>
          <w:tab w:pos="8994" w:val="left" w:leader="none"/>
        </w:tabs>
        <w:spacing w:line="240" w:lineRule="auto" w:before="74" w:after="0"/>
        <w:ind w:left="1025" w:right="0" w:hanging="327"/>
        <w:jc w:val="both"/>
        <w:rPr>
          <w:rFonts w:ascii="Cambria"/>
          <w:i/>
          <w:sz w:val="22"/>
        </w:rPr>
      </w:pPr>
      <w:r>
        <w:rPr>
          <w:rFonts w:ascii="Cambria"/>
          <w:i/>
          <w:w w:val="90"/>
          <w:sz w:val="22"/>
        </w:rPr>
        <w:t>Future</w:t>
      </w:r>
      <w:r>
        <w:rPr>
          <w:rFonts w:ascii="Cambria"/>
          <w:i/>
          <w:spacing w:val="18"/>
          <w:sz w:val="22"/>
        </w:rPr>
        <w:t> </w:t>
      </w:r>
      <w:r>
        <w:rPr>
          <w:rFonts w:ascii="Cambria"/>
          <w:i/>
          <w:spacing w:val="-4"/>
          <w:sz w:val="22"/>
        </w:rPr>
        <w:t>Work</w:t>
      </w:r>
      <w:r>
        <w:rPr>
          <w:sz w:val="22"/>
        </w:rPr>
        <w:tab/>
      </w:r>
      <w:r>
        <w:rPr>
          <w:spacing w:val="-5"/>
          <w:sz w:val="22"/>
        </w:rPr>
        <w:t>79</w:t>
      </w:r>
    </w:p>
    <w:p>
      <w:pPr>
        <w:pStyle w:val="BodyText"/>
      </w:pPr>
    </w:p>
    <w:p>
      <w:pPr>
        <w:pStyle w:val="BodyText"/>
        <w:spacing w:before="38"/>
      </w:pPr>
    </w:p>
    <w:p>
      <w:pPr>
        <w:pStyle w:val="BodyText"/>
        <w:spacing w:line="312" w:lineRule="auto" w:before="1"/>
        <w:ind w:left="709" w:right="986"/>
        <w:jc w:val="both"/>
      </w:pPr>
      <w:r>
        <w:rPr/>
        <w:t>industry restructuring) that a linear trend imperfectly captures.</w:t>
      </w:r>
      <w:r>
        <w:rPr>
          <w:spacing w:val="37"/>
        </w:rPr>
        <w:t> </w:t>
      </w:r>
      <w:r>
        <w:rPr/>
        <w:t>This limitation affects both rule quality (era confound) and prediction (baseline calibration).</w:t>
      </w:r>
      <w:r>
        <w:rPr>
          <w:spacing w:val="40"/>
        </w:rPr>
        <w:t> </w:t>
      </w:r>
      <w:r>
        <w:rPr/>
        <w:t>A second limitation is the </w:t>
      </w:r>
      <w:r>
        <w:rPr/>
        <w:t>small number</w:t>
      </w:r>
      <w:r>
        <w:rPr>
          <w:spacing w:val="-2"/>
        </w:rPr>
        <w:t> </w:t>
      </w:r>
      <w:r>
        <w:rPr/>
        <w:t>of</w:t>
      </w:r>
      <w:r>
        <w:rPr>
          <w:spacing w:val="-2"/>
        </w:rPr>
        <w:t> </w:t>
      </w:r>
      <w:r>
        <w:rPr/>
        <w:t>test</w:t>
      </w:r>
      <w:r>
        <w:rPr>
          <w:spacing w:val="-2"/>
        </w:rPr>
        <w:t> </w:t>
      </w:r>
      <w:r>
        <w:rPr/>
        <w:t>scenarios</w:t>
      </w:r>
      <w:r>
        <w:rPr>
          <w:spacing w:val="-2"/>
        </w:rPr>
        <w:t> </w:t>
      </w:r>
      <w:r>
        <w:rPr/>
        <w:t>(18</w:t>
      </w:r>
      <w:r>
        <w:rPr>
          <w:spacing w:val="-2"/>
        </w:rPr>
        <w:t> </w:t>
      </w:r>
      <w:r>
        <w:rPr/>
        <w:t>and</w:t>
      </w:r>
      <w:r>
        <w:rPr>
          <w:spacing w:val="-2"/>
        </w:rPr>
        <w:t> </w:t>
      </w:r>
      <w:r>
        <w:rPr/>
        <w:t>16)</w:t>
      </w:r>
      <w:r>
        <w:rPr>
          <w:spacing w:val="-2"/>
        </w:rPr>
        <w:t> </w:t>
      </w:r>
      <w:r>
        <w:rPr/>
        <w:t>relative</w:t>
      </w:r>
      <w:r>
        <w:rPr>
          <w:spacing w:val="-2"/>
        </w:rPr>
        <w:t> </w:t>
      </w:r>
      <w:r>
        <w:rPr/>
        <w:t>to</w:t>
      </w:r>
      <w:r>
        <w:rPr>
          <w:spacing w:val="-2"/>
        </w:rPr>
        <w:t> </w:t>
      </w:r>
      <w:r>
        <w:rPr/>
        <w:t>the</w:t>
      </w:r>
      <w:r>
        <w:rPr>
          <w:spacing w:val="-2"/>
        </w:rPr>
        <w:t> </w:t>
      </w:r>
      <w:r>
        <w:rPr/>
        <w:t>complexity</w:t>
      </w:r>
      <w:r>
        <w:rPr>
          <w:spacing w:val="-2"/>
        </w:rPr>
        <w:t> </w:t>
      </w:r>
      <w:r>
        <w:rPr/>
        <w:t>of</w:t>
      </w:r>
      <w:r>
        <w:rPr>
          <w:spacing w:val="-2"/>
        </w:rPr>
        <w:t> </w:t>
      </w:r>
      <w:r>
        <w:rPr/>
        <w:t>the</w:t>
      </w:r>
      <w:r>
        <w:rPr>
          <w:spacing w:val="-2"/>
        </w:rPr>
        <w:t> </w:t>
      </w:r>
      <w:r>
        <w:rPr/>
        <w:t>model</w:t>
      </w:r>
      <w:r>
        <w:rPr>
          <w:spacing w:val="-2"/>
        </w:rPr>
        <w:t> </w:t>
      </w:r>
      <w:r>
        <w:rPr/>
        <w:t>family</w:t>
      </w:r>
      <w:r>
        <w:rPr>
          <w:spacing w:val="-2"/>
        </w:rPr>
        <w:t> </w:t>
      </w:r>
      <w:r>
        <w:rPr/>
        <w:t>evaluated;</w:t>
      </w:r>
      <w:r>
        <w:rPr>
          <w:spacing w:val="-2"/>
        </w:rPr>
        <w:t> </w:t>
      </w:r>
      <w:r>
        <w:rPr/>
        <w:t>in particular, the post-hoc binomial finding (n = 5 scenarios) has insufficient statistical power for </w:t>
      </w:r>
      <w:r>
        <w:rPr>
          <w:spacing w:val="-2"/>
        </w:rPr>
        <w:t>confirmatory</w:t>
      </w:r>
      <w:r>
        <w:rPr>
          <w:spacing w:val="-4"/>
        </w:rPr>
        <w:t> </w:t>
      </w:r>
      <w:r>
        <w:rPr>
          <w:spacing w:val="-2"/>
        </w:rPr>
        <w:t>conclusions. The</w:t>
      </w:r>
      <w:r>
        <w:rPr>
          <w:spacing w:val="-4"/>
        </w:rPr>
        <w:t> </w:t>
      </w:r>
      <w:r>
        <w:rPr>
          <w:spacing w:val="-2"/>
        </w:rPr>
        <w:t>datasets</w:t>
      </w:r>
      <w:r>
        <w:rPr>
          <w:spacing w:val="-4"/>
        </w:rPr>
        <w:t> </w:t>
      </w:r>
      <w:r>
        <w:rPr>
          <w:spacing w:val="-2"/>
        </w:rPr>
        <w:t>are</w:t>
      </w:r>
      <w:r>
        <w:rPr>
          <w:spacing w:val="-4"/>
        </w:rPr>
        <w:t> </w:t>
      </w:r>
      <w:r>
        <w:rPr>
          <w:spacing w:val="-2"/>
        </w:rPr>
        <w:t>single-region</w:t>
      </w:r>
      <w:r>
        <w:rPr>
          <w:spacing w:val="-4"/>
        </w:rPr>
        <w:t> </w:t>
      </w:r>
      <w:r>
        <w:rPr>
          <w:spacing w:val="-2"/>
        </w:rPr>
        <w:t>annual</w:t>
      </w:r>
      <w:r>
        <w:rPr>
          <w:spacing w:val="-4"/>
        </w:rPr>
        <w:t> </w:t>
      </w:r>
      <w:r>
        <w:rPr>
          <w:spacing w:val="-2"/>
        </w:rPr>
        <w:t>aggregates,</w:t>
      </w:r>
      <w:r>
        <w:rPr>
          <w:spacing w:val="-4"/>
        </w:rPr>
        <w:t> </w:t>
      </w:r>
      <w:r>
        <w:rPr>
          <w:spacing w:val="-2"/>
        </w:rPr>
        <w:t>precluding</w:t>
      </w:r>
      <w:r>
        <w:rPr>
          <w:spacing w:val="-4"/>
        </w:rPr>
        <w:t> </w:t>
      </w:r>
      <w:r>
        <w:rPr>
          <w:spacing w:val="-2"/>
        </w:rPr>
        <w:t>any</w:t>
      </w:r>
      <w:r>
        <w:rPr>
          <w:spacing w:val="-4"/>
        </w:rPr>
        <w:t> </w:t>
      </w:r>
      <w:r>
        <w:rPr>
          <w:spacing w:val="-2"/>
        </w:rPr>
        <w:t>spatial </w:t>
      </w:r>
      <w:r>
        <w:rPr/>
        <w:t>or sub-regional analysis.</w:t>
      </w:r>
    </w:p>
    <w:p>
      <w:pPr>
        <w:pStyle w:val="BodyText"/>
        <w:spacing w:before="139"/>
      </w:pPr>
    </w:p>
    <w:p>
      <w:pPr>
        <w:pStyle w:val="Heading2"/>
        <w:numPr>
          <w:ilvl w:val="1"/>
          <w:numId w:val="39"/>
        </w:numPr>
        <w:tabs>
          <w:tab w:pos="1353" w:val="left" w:leader="none"/>
        </w:tabs>
        <w:spacing w:line="240" w:lineRule="auto" w:before="1" w:after="0"/>
        <w:ind w:left="1353" w:right="0" w:hanging="644"/>
        <w:jc w:val="both"/>
      </w:pPr>
      <w:bookmarkStart w:name="7.4 Future Work" w:id="252"/>
      <w:bookmarkEnd w:id="252"/>
      <w:r>
        <w:rPr>
          <w:b w:val="0"/>
        </w:rPr>
      </w:r>
      <w:bookmarkStart w:name="_bookmark148" w:id="253"/>
      <w:bookmarkEnd w:id="253"/>
      <w:r>
        <w:rPr>
          <w:b w:val="0"/>
        </w:rPr>
      </w:r>
      <w:r>
        <w:rPr/>
        <w:t>Future</w:t>
      </w:r>
      <w:r>
        <w:rPr>
          <w:spacing w:val="11"/>
        </w:rPr>
        <w:t> </w:t>
      </w:r>
      <w:r>
        <w:rPr>
          <w:spacing w:val="-4"/>
        </w:rPr>
        <w:t>Work</w:t>
      </w:r>
    </w:p>
    <w:p>
      <w:pPr>
        <w:pStyle w:val="ListParagraph"/>
        <w:numPr>
          <w:ilvl w:val="2"/>
          <w:numId w:val="39"/>
        </w:numPr>
        <w:tabs>
          <w:tab w:pos="709" w:val="left" w:leader="none"/>
          <w:tab w:pos="828" w:val="left" w:leader="none"/>
        </w:tabs>
        <w:spacing w:line="312" w:lineRule="auto" w:before="288" w:after="0"/>
        <w:ind w:left="709" w:right="982" w:hanging="12"/>
        <w:jc w:val="both"/>
        <w:rPr>
          <w:sz w:val="22"/>
        </w:rPr>
      </w:pPr>
      <w:r>
        <w:rPr>
          <w:sz w:val="22"/>
        </w:rPr>
        <w:t>Structural</w:t>
      </w:r>
      <w:r>
        <w:rPr>
          <w:spacing w:val="-2"/>
          <w:sz w:val="22"/>
        </w:rPr>
        <w:t> </w:t>
      </w:r>
      <w:r>
        <w:rPr>
          <w:sz w:val="22"/>
        </w:rPr>
        <w:t>detrending: incorporating</w:t>
      </w:r>
      <w:r>
        <w:rPr>
          <w:spacing w:val="-2"/>
          <w:sz w:val="22"/>
        </w:rPr>
        <w:t> </w:t>
      </w:r>
      <w:r>
        <w:rPr>
          <w:sz w:val="22"/>
        </w:rPr>
        <w:t>non-climate</w:t>
      </w:r>
      <w:r>
        <w:rPr>
          <w:spacing w:val="-2"/>
          <w:sz w:val="22"/>
        </w:rPr>
        <w:t> </w:t>
      </w:r>
      <w:r>
        <w:rPr>
          <w:sz w:val="22"/>
        </w:rPr>
        <w:t>structural</w:t>
      </w:r>
      <w:r>
        <w:rPr>
          <w:spacing w:val="-2"/>
          <w:sz w:val="22"/>
        </w:rPr>
        <w:t> </w:t>
      </w:r>
      <w:r>
        <w:rPr>
          <w:sz w:val="22"/>
        </w:rPr>
        <w:t>covariates</w:t>
      </w:r>
      <w:r>
        <w:rPr>
          <w:spacing w:val="-2"/>
          <w:sz w:val="22"/>
        </w:rPr>
        <w:t> </w:t>
      </w:r>
      <w:r>
        <w:rPr>
          <w:sz w:val="22"/>
        </w:rPr>
        <w:t>(planted</w:t>
      </w:r>
      <w:r>
        <w:rPr>
          <w:spacing w:val="-2"/>
          <w:sz w:val="22"/>
        </w:rPr>
        <w:t> </w:t>
      </w:r>
      <w:r>
        <w:rPr>
          <w:sz w:val="22"/>
        </w:rPr>
        <w:t>area,</w:t>
      </w:r>
      <w:r>
        <w:rPr>
          <w:spacing w:val="-2"/>
          <w:sz w:val="22"/>
        </w:rPr>
        <w:t> </w:t>
      </w:r>
      <w:r>
        <w:rPr>
          <w:sz w:val="22"/>
        </w:rPr>
        <w:t>production quotas, number of certified producers) as explicit detrending variables would separate structural </w:t>
      </w:r>
      <w:r>
        <w:rPr>
          <w:spacing w:val="-2"/>
          <w:sz w:val="22"/>
        </w:rPr>
        <w:t>trends</w:t>
      </w:r>
      <w:r>
        <w:rPr>
          <w:spacing w:val="-6"/>
          <w:sz w:val="22"/>
        </w:rPr>
        <w:t> </w:t>
      </w:r>
      <w:r>
        <w:rPr>
          <w:spacing w:val="-2"/>
          <w:sz w:val="22"/>
        </w:rPr>
        <w:t>from</w:t>
      </w:r>
      <w:r>
        <w:rPr>
          <w:spacing w:val="-6"/>
          <w:sz w:val="22"/>
        </w:rPr>
        <w:t> </w:t>
      </w:r>
      <w:r>
        <w:rPr>
          <w:spacing w:val="-2"/>
          <w:sz w:val="22"/>
        </w:rPr>
        <w:t>climate</w:t>
      </w:r>
      <w:r>
        <w:rPr>
          <w:spacing w:val="-6"/>
          <w:sz w:val="22"/>
        </w:rPr>
        <w:t> </w:t>
      </w:r>
      <w:r>
        <w:rPr>
          <w:spacing w:val="-2"/>
          <w:sz w:val="22"/>
        </w:rPr>
        <w:t>residuals.</w:t>
      </w:r>
      <w:r>
        <w:rPr>
          <w:sz w:val="22"/>
        </w:rPr>
        <w:t> </w:t>
      </w:r>
      <w:r>
        <w:rPr>
          <w:spacing w:val="-2"/>
          <w:sz w:val="22"/>
        </w:rPr>
        <w:t>This</w:t>
      </w:r>
      <w:r>
        <w:rPr>
          <w:spacing w:val="-6"/>
          <w:sz w:val="22"/>
        </w:rPr>
        <w:t> </w:t>
      </w:r>
      <w:r>
        <w:rPr>
          <w:spacing w:val="-2"/>
          <w:sz w:val="22"/>
        </w:rPr>
        <w:t>would</w:t>
      </w:r>
      <w:r>
        <w:rPr>
          <w:spacing w:val="-6"/>
          <w:sz w:val="22"/>
        </w:rPr>
        <w:t> </w:t>
      </w:r>
      <w:r>
        <w:rPr>
          <w:spacing w:val="-2"/>
          <w:sz w:val="22"/>
        </w:rPr>
        <w:t>reduce</w:t>
      </w:r>
      <w:r>
        <w:rPr>
          <w:spacing w:val="-6"/>
          <w:sz w:val="22"/>
        </w:rPr>
        <w:t> </w:t>
      </w:r>
      <w:r>
        <w:rPr>
          <w:spacing w:val="-2"/>
          <w:sz w:val="22"/>
        </w:rPr>
        <w:t>the</w:t>
      </w:r>
      <w:r>
        <w:rPr>
          <w:spacing w:val="-6"/>
          <w:sz w:val="22"/>
        </w:rPr>
        <w:t> </w:t>
      </w:r>
      <w:r>
        <w:rPr>
          <w:spacing w:val="-2"/>
          <w:sz w:val="22"/>
        </w:rPr>
        <w:t>era</w:t>
      </w:r>
      <w:r>
        <w:rPr>
          <w:spacing w:val="-6"/>
          <w:sz w:val="22"/>
        </w:rPr>
        <w:t> </w:t>
      </w:r>
      <w:r>
        <w:rPr>
          <w:spacing w:val="-2"/>
          <w:sz w:val="22"/>
        </w:rPr>
        <w:t>confound</w:t>
      </w:r>
      <w:r>
        <w:rPr>
          <w:spacing w:val="-6"/>
          <w:sz w:val="22"/>
        </w:rPr>
        <w:t> </w:t>
      </w:r>
      <w:r>
        <w:rPr>
          <w:spacing w:val="-2"/>
          <w:sz w:val="22"/>
        </w:rPr>
        <w:t>in</w:t>
      </w:r>
      <w:r>
        <w:rPr>
          <w:spacing w:val="-6"/>
          <w:sz w:val="22"/>
        </w:rPr>
        <w:t> </w:t>
      </w:r>
      <w:r>
        <w:rPr>
          <w:spacing w:val="-2"/>
          <w:sz w:val="22"/>
        </w:rPr>
        <w:t>rule</w:t>
      </w:r>
      <w:r>
        <w:rPr>
          <w:spacing w:val="-6"/>
          <w:sz w:val="22"/>
        </w:rPr>
        <w:t> </w:t>
      </w:r>
      <w:r>
        <w:rPr>
          <w:spacing w:val="-2"/>
          <w:sz w:val="22"/>
        </w:rPr>
        <w:t>induction</w:t>
      </w:r>
      <w:r>
        <w:rPr>
          <w:spacing w:val="-6"/>
          <w:sz w:val="22"/>
        </w:rPr>
        <w:t> </w:t>
      </w:r>
      <w:r>
        <w:rPr>
          <w:spacing w:val="-2"/>
          <w:sz w:val="22"/>
        </w:rPr>
        <w:t>and</w:t>
      </w:r>
      <w:r>
        <w:rPr>
          <w:spacing w:val="-6"/>
          <w:sz w:val="22"/>
        </w:rPr>
        <w:t> </w:t>
      </w:r>
      <w:r>
        <w:rPr>
          <w:spacing w:val="-2"/>
          <w:sz w:val="22"/>
        </w:rPr>
        <w:t>potentially </w:t>
      </w:r>
      <w:r>
        <w:rPr>
          <w:sz w:val="22"/>
        </w:rPr>
        <w:t>resolve the Decision 1 / Decision 2 tension identified by the two-decision framework.</w:t>
      </w:r>
    </w:p>
    <w:p>
      <w:pPr>
        <w:pStyle w:val="ListParagraph"/>
        <w:numPr>
          <w:ilvl w:val="2"/>
          <w:numId w:val="39"/>
        </w:numPr>
        <w:tabs>
          <w:tab w:pos="709" w:val="left" w:leader="none"/>
          <w:tab w:pos="828" w:val="left" w:leader="none"/>
        </w:tabs>
        <w:spacing w:line="312" w:lineRule="auto" w:before="0" w:after="0"/>
        <w:ind w:left="709" w:right="990" w:hanging="12"/>
        <w:jc w:val="both"/>
        <w:rPr>
          <w:sz w:val="22"/>
        </w:rPr>
      </w:pPr>
      <w:r>
        <w:rPr>
          <w:sz w:val="22"/>
        </w:rPr>
        <w:t>Prospective</w:t>
      </w:r>
      <w:r>
        <w:rPr>
          <w:spacing w:val="-2"/>
          <w:sz w:val="22"/>
        </w:rPr>
        <w:t> </w:t>
      </w:r>
      <w:r>
        <w:rPr>
          <w:sz w:val="22"/>
        </w:rPr>
        <w:t>validation: the</w:t>
      </w:r>
      <w:r>
        <w:rPr>
          <w:spacing w:val="-2"/>
          <w:sz w:val="22"/>
        </w:rPr>
        <w:t> </w:t>
      </w:r>
      <w:r>
        <w:rPr>
          <w:sz w:val="22"/>
        </w:rPr>
        <w:t>post-hoc</w:t>
      </w:r>
      <w:r>
        <w:rPr>
          <w:spacing w:val="-2"/>
          <w:sz w:val="22"/>
        </w:rPr>
        <w:t> </w:t>
      </w:r>
      <w:r>
        <w:rPr>
          <w:sz w:val="22"/>
        </w:rPr>
        <w:t>era-balanced</w:t>
      </w:r>
      <w:r>
        <w:rPr>
          <w:spacing w:val="-2"/>
          <w:sz w:val="22"/>
        </w:rPr>
        <w:t> </w:t>
      </w:r>
      <w:r>
        <w:rPr>
          <w:sz w:val="22"/>
        </w:rPr>
        <w:t>finding</w:t>
      </w:r>
      <w:r>
        <w:rPr>
          <w:spacing w:val="-2"/>
          <w:sz w:val="22"/>
        </w:rPr>
        <w:t> </w:t>
      </w:r>
      <w:r>
        <w:rPr>
          <w:sz w:val="22"/>
        </w:rPr>
        <w:t>(p</w:t>
      </w:r>
      <w:r>
        <w:rPr>
          <w:spacing w:val="-2"/>
          <w:sz w:val="22"/>
        </w:rPr>
        <w:t> </w:t>
      </w:r>
      <w:r>
        <w:rPr>
          <w:sz w:val="22"/>
        </w:rPr>
        <w:t>=</w:t>
      </w:r>
      <w:r>
        <w:rPr>
          <w:spacing w:val="-2"/>
          <w:sz w:val="22"/>
        </w:rPr>
        <w:t> </w:t>
      </w:r>
      <w:r>
        <w:rPr>
          <w:sz w:val="22"/>
        </w:rPr>
        <w:t>0.031)</w:t>
      </w:r>
      <w:r>
        <w:rPr>
          <w:spacing w:val="-2"/>
          <w:sz w:val="22"/>
        </w:rPr>
        <w:t> </w:t>
      </w:r>
      <w:r>
        <w:rPr>
          <w:sz w:val="22"/>
        </w:rPr>
        <w:t>should</w:t>
      </w:r>
      <w:r>
        <w:rPr>
          <w:spacing w:val="-2"/>
          <w:sz w:val="22"/>
        </w:rPr>
        <w:t> </w:t>
      </w:r>
      <w:r>
        <w:rPr>
          <w:sz w:val="22"/>
        </w:rPr>
        <w:t>be</w:t>
      </w:r>
      <w:r>
        <w:rPr>
          <w:spacing w:val="-2"/>
          <w:sz w:val="22"/>
        </w:rPr>
        <w:t> </w:t>
      </w:r>
      <w:r>
        <w:rPr>
          <w:sz w:val="22"/>
        </w:rPr>
        <w:t>formalised</w:t>
      </w:r>
      <w:r>
        <w:rPr>
          <w:spacing w:val="-2"/>
          <w:sz w:val="22"/>
        </w:rPr>
        <w:t> </w:t>
      </w:r>
      <w:r>
        <w:rPr>
          <w:sz w:val="22"/>
        </w:rPr>
        <w:t>as</w:t>
      </w:r>
      <w:r>
        <w:rPr>
          <w:spacing w:val="-2"/>
          <w:sz w:val="22"/>
        </w:rPr>
        <w:t> </w:t>
      </w:r>
      <w:r>
        <w:rPr>
          <w:sz w:val="22"/>
        </w:rPr>
        <w:t>a pre-registered</w:t>
      </w:r>
      <w:r>
        <w:rPr>
          <w:spacing w:val="-4"/>
          <w:sz w:val="22"/>
        </w:rPr>
        <w:t> </w:t>
      </w:r>
      <w:r>
        <w:rPr>
          <w:sz w:val="22"/>
        </w:rPr>
        <w:t>hypothesis</w:t>
      </w:r>
      <w:r>
        <w:rPr>
          <w:spacing w:val="-4"/>
          <w:sz w:val="22"/>
        </w:rPr>
        <w:t> </w:t>
      </w:r>
      <w:r>
        <w:rPr>
          <w:sz w:val="22"/>
        </w:rPr>
        <w:t>and</w:t>
      </w:r>
      <w:r>
        <w:rPr>
          <w:spacing w:val="-4"/>
          <w:sz w:val="22"/>
        </w:rPr>
        <w:t> </w:t>
      </w:r>
      <w:r>
        <w:rPr>
          <w:sz w:val="22"/>
        </w:rPr>
        <w:t>tested</w:t>
      </w:r>
      <w:r>
        <w:rPr>
          <w:spacing w:val="-4"/>
          <w:sz w:val="22"/>
        </w:rPr>
        <w:t> </w:t>
      </w:r>
      <w:r>
        <w:rPr>
          <w:sz w:val="22"/>
        </w:rPr>
        <w:t>on</w:t>
      </w:r>
      <w:r>
        <w:rPr>
          <w:spacing w:val="-4"/>
          <w:sz w:val="22"/>
        </w:rPr>
        <w:t> </w:t>
      </w:r>
      <w:r>
        <w:rPr>
          <w:sz w:val="22"/>
        </w:rPr>
        <w:t>a</w:t>
      </w:r>
      <w:r>
        <w:rPr>
          <w:spacing w:val="-4"/>
          <w:sz w:val="22"/>
        </w:rPr>
        <w:t> </w:t>
      </w:r>
      <w:r>
        <w:rPr>
          <w:sz w:val="22"/>
        </w:rPr>
        <w:t>new</w:t>
      </w:r>
      <w:r>
        <w:rPr>
          <w:spacing w:val="-4"/>
          <w:sz w:val="22"/>
        </w:rPr>
        <w:t> </w:t>
      </w:r>
      <w:r>
        <w:rPr>
          <w:sz w:val="22"/>
        </w:rPr>
        <w:t>or</w:t>
      </w:r>
      <w:r>
        <w:rPr>
          <w:spacing w:val="-4"/>
          <w:sz w:val="22"/>
        </w:rPr>
        <w:t> </w:t>
      </w:r>
      <w:r>
        <w:rPr>
          <w:sz w:val="22"/>
        </w:rPr>
        <w:t>extended</w:t>
      </w:r>
      <w:r>
        <w:rPr>
          <w:spacing w:val="-4"/>
          <w:sz w:val="22"/>
        </w:rPr>
        <w:t> </w:t>
      </w:r>
      <w:r>
        <w:rPr>
          <w:sz w:val="22"/>
        </w:rPr>
        <w:t>dataset</w:t>
      </w:r>
      <w:r>
        <w:rPr>
          <w:spacing w:val="-4"/>
          <w:sz w:val="22"/>
        </w:rPr>
        <w:t> </w:t>
      </w:r>
      <w:r>
        <w:rPr>
          <w:sz w:val="22"/>
        </w:rPr>
        <w:t>as</w:t>
      </w:r>
      <w:r>
        <w:rPr>
          <w:spacing w:val="-4"/>
          <w:sz w:val="22"/>
        </w:rPr>
        <w:t> </w:t>
      </w:r>
      <w:r>
        <w:rPr>
          <w:sz w:val="22"/>
        </w:rPr>
        <w:t>additional</w:t>
      </w:r>
      <w:r>
        <w:rPr>
          <w:spacing w:val="-4"/>
          <w:sz w:val="22"/>
        </w:rPr>
        <w:t> </w:t>
      </w:r>
      <w:r>
        <w:rPr>
          <w:sz w:val="22"/>
        </w:rPr>
        <w:t>modern-era</w:t>
      </w:r>
      <w:r>
        <w:rPr>
          <w:spacing w:val="-4"/>
          <w:sz w:val="22"/>
        </w:rPr>
        <w:t> </w:t>
      </w:r>
      <w:r>
        <w:rPr>
          <w:sz w:val="22"/>
        </w:rPr>
        <w:t>years </w:t>
      </w:r>
      <w:r>
        <w:rPr>
          <w:spacing w:val="-2"/>
          <w:sz w:val="22"/>
        </w:rPr>
        <w:t>accumulate.</w:t>
      </w:r>
    </w:p>
    <w:p>
      <w:pPr>
        <w:pStyle w:val="ListParagraph"/>
        <w:numPr>
          <w:ilvl w:val="2"/>
          <w:numId w:val="39"/>
        </w:numPr>
        <w:tabs>
          <w:tab w:pos="709" w:val="left" w:leader="none"/>
          <w:tab w:pos="848" w:val="left" w:leader="none"/>
        </w:tabs>
        <w:spacing w:line="312" w:lineRule="auto" w:before="0" w:after="0"/>
        <w:ind w:left="709" w:right="990" w:hanging="12"/>
        <w:jc w:val="both"/>
        <w:rPr>
          <w:sz w:val="22"/>
        </w:rPr>
      </w:pPr>
      <w:r>
        <w:rPr>
          <w:sz w:val="22"/>
        </w:rPr>
        <w:t>Higher-resolution climate data:</w:t>
      </w:r>
      <w:r>
        <w:rPr>
          <w:spacing w:val="40"/>
          <w:sz w:val="22"/>
        </w:rPr>
        <w:t> </w:t>
      </w:r>
      <w:r>
        <w:rPr>
          <w:sz w:val="22"/>
        </w:rPr>
        <w:t>replacing regional aggregates with spatially explicit gridded data</w:t>
      </w:r>
      <w:r>
        <w:rPr>
          <w:spacing w:val="-14"/>
          <w:sz w:val="22"/>
        </w:rPr>
        <w:t> </w:t>
      </w:r>
      <w:r>
        <w:rPr>
          <w:sz w:val="22"/>
        </w:rPr>
        <w:t>would</w:t>
      </w:r>
      <w:r>
        <w:rPr>
          <w:spacing w:val="-14"/>
          <w:sz w:val="22"/>
        </w:rPr>
        <w:t> </w:t>
      </w:r>
      <w:r>
        <w:rPr>
          <w:sz w:val="22"/>
        </w:rPr>
        <w:t>allow</w:t>
      </w:r>
      <w:r>
        <w:rPr>
          <w:spacing w:val="-14"/>
          <w:sz w:val="22"/>
        </w:rPr>
        <w:t> </w:t>
      </w:r>
      <w:r>
        <w:rPr>
          <w:sz w:val="22"/>
        </w:rPr>
        <w:t>rule</w:t>
      </w:r>
      <w:r>
        <w:rPr>
          <w:spacing w:val="-13"/>
          <w:sz w:val="22"/>
        </w:rPr>
        <w:t> </w:t>
      </w:r>
      <w:r>
        <w:rPr>
          <w:sz w:val="22"/>
        </w:rPr>
        <w:t>conditions</w:t>
      </w:r>
      <w:r>
        <w:rPr>
          <w:spacing w:val="-14"/>
          <w:sz w:val="22"/>
        </w:rPr>
        <w:t> </w:t>
      </w:r>
      <w:r>
        <w:rPr>
          <w:sz w:val="22"/>
        </w:rPr>
        <w:t>to</w:t>
      </w:r>
      <w:r>
        <w:rPr>
          <w:spacing w:val="-14"/>
          <w:sz w:val="22"/>
        </w:rPr>
        <w:t> </w:t>
      </w:r>
      <w:r>
        <w:rPr>
          <w:sz w:val="22"/>
        </w:rPr>
        <w:t>reflect</w:t>
      </w:r>
      <w:r>
        <w:rPr>
          <w:spacing w:val="-14"/>
          <w:sz w:val="22"/>
        </w:rPr>
        <w:t> </w:t>
      </w:r>
      <w:r>
        <w:rPr>
          <w:sz w:val="22"/>
        </w:rPr>
        <w:t>within-region</w:t>
      </w:r>
      <w:r>
        <w:rPr>
          <w:spacing w:val="-13"/>
          <w:sz w:val="22"/>
        </w:rPr>
        <w:t> </w:t>
      </w:r>
      <w:r>
        <w:rPr>
          <w:sz w:val="22"/>
        </w:rPr>
        <w:t>heterogeneity,</w:t>
      </w:r>
      <w:r>
        <w:rPr>
          <w:spacing w:val="-14"/>
          <w:sz w:val="22"/>
        </w:rPr>
        <w:t> </w:t>
      </w:r>
      <w:r>
        <w:rPr>
          <w:sz w:val="22"/>
        </w:rPr>
        <w:t>potentially</w:t>
      </w:r>
      <w:r>
        <w:rPr>
          <w:spacing w:val="-14"/>
          <w:sz w:val="22"/>
        </w:rPr>
        <w:t> </w:t>
      </w:r>
      <w:r>
        <w:rPr>
          <w:sz w:val="22"/>
        </w:rPr>
        <w:t>sharpening</w:t>
      </w:r>
      <w:r>
        <w:rPr>
          <w:spacing w:val="-14"/>
          <w:sz w:val="22"/>
        </w:rPr>
        <w:t> </w:t>
      </w:r>
      <w:r>
        <w:rPr>
          <w:sz w:val="22"/>
        </w:rPr>
        <w:t>the distributional signal available to CarenR.</w:t>
      </w:r>
    </w:p>
    <w:p>
      <w:pPr>
        <w:pStyle w:val="ListParagraph"/>
        <w:numPr>
          <w:ilvl w:val="2"/>
          <w:numId w:val="39"/>
        </w:numPr>
        <w:tabs>
          <w:tab w:pos="701" w:val="left" w:leader="none"/>
          <w:tab w:pos="826" w:val="left" w:leader="none"/>
        </w:tabs>
        <w:spacing w:line="312" w:lineRule="auto" w:before="0" w:after="0"/>
        <w:ind w:left="701" w:right="990" w:hanging="4"/>
        <w:jc w:val="both"/>
        <w:rPr>
          <w:sz w:val="22"/>
        </w:rPr>
      </w:pPr>
      <w:r>
        <w:rPr>
          <w:spacing w:val="-2"/>
          <w:sz w:val="22"/>
        </w:rPr>
        <w:t>Exceptional</w:t>
      </w:r>
      <w:r>
        <w:rPr>
          <w:spacing w:val="-4"/>
          <w:sz w:val="22"/>
        </w:rPr>
        <w:t> </w:t>
      </w:r>
      <w:r>
        <w:rPr>
          <w:spacing w:val="-2"/>
          <w:sz w:val="22"/>
        </w:rPr>
        <w:t>Model</w:t>
      </w:r>
      <w:r>
        <w:rPr>
          <w:spacing w:val="-4"/>
          <w:sz w:val="22"/>
        </w:rPr>
        <w:t> </w:t>
      </w:r>
      <w:r>
        <w:rPr>
          <w:spacing w:val="-2"/>
          <w:sz w:val="22"/>
        </w:rPr>
        <w:t>Mining</w:t>
      </w:r>
      <w:r>
        <w:rPr>
          <w:spacing w:val="-4"/>
          <w:sz w:val="22"/>
        </w:rPr>
        <w:t> </w:t>
      </w:r>
      <w:r>
        <w:rPr>
          <w:spacing w:val="-2"/>
          <w:sz w:val="22"/>
        </w:rPr>
        <w:t>extension: the</w:t>
      </w:r>
      <w:r>
        <w:rPr>
          <w:spacing w:val="-4"/>
          <w:sz w:val="22"/>
        </w:rPr>
        <w:t> </w:t>
      </w:r>
      <w:r>
        <w:rPr>
          <w:spacing w:val="-2"/>
          <w:sz w:val="22"/>
        </w:rPr>
        <w:t>EMM</w:t>
      </w:r>
      <w:r>
        <w:rPr>
          <w:spacing w:val="-4"/>
          <w:sz w:val="22"/>
        </w:rPr>
        <w:t> </w:t>
      </w:r>
      <w:r>
        <w:rPr>
          <w:spacing w:val="-2"/>
          <w:sz w:val="22"/>
        </w:rPr>
        <w:t>framework</w:t>
      </w:r>
      <w:r>
        <w:rPr>
          <w:spacing w:val="-4"/>
          <w:sz w:val="22"/>
        </w:rPr>
        <w:t> </w:t>
      </w:r>
      <w:r>
        <w:rPr>
          <w:spacing w:val="-2"/>
          <w:sz w:val="22"/>
        </w:rPr>
        <w:t>(</w:t>
      </w:r>
      <w:hyperlink w:history="true" w:anchor="_bookmark219">
        <w:r>
          <w:rPr>
            <w:color w:val="8B2C18"/>
            <w:spacing w:val="-2"/>
            <w:sz w:val="22"/>
          </w:rPr>
          <w:t>Duivesteijn</w:t>
        </w:r>
        <w:r>
          <w:rPr>
            <w:color w:val="8B2C18"/>
            <w:spacing w:val="-4"/>
            <w:sz w:val="22"/>
          </w:rPr>
          <w:t> </w:t>
        </w:r>
        <w:r>
          <w:rPr>
            <w:color w:val="8B2C18"/>
            <w:spacing w:val="-2"/>
            <w:sz w:val="22"/>
          </w:rPr>
          <w:t>et</w:t>
        </w:r>
        <w:r>
          <w:rPr>
            <w:color w:val="8B2C18"/>
            <w:spacing w:val="-4"/>
            <w:sz w:val="22"/>
          </w:rPr>
          <w:t> </w:t>
        </w:r>
        <w:r>
          <w:rPr>
            <w:color w:val="8B2C18"/>
            <w:spacing w:val="-2"/>
            <w:sz w:val="22"/>
          </w:rPr>
          <w:t>al.</w:t>
        </w:r>
      </w:hyperlink>
      <w:r>
        <w:rPr>
          <w:spacing w:val="-2"/>
          <w:sz w:val="22"/>
        </w:rPr>
        <w:t>,</w:t>
      </w:r>
      <w:r>
        <w:rPr>
          <w:spacing w:val="-4"/>
          <w:sz w:val="22"/>
        </w:rPr>
        <w:t> </w:t>
      </w:r>
      <w:hyperlink w:history="true" w:anchor="_bookmark219">
        <w:r>
          <w:rPr>
            <w:color w:val="8B2C18"/>
            <w:spacing w:val="-2"/>
            <w:sz w:val="22"/>
          </w:rPr>
          <w:t>2016</w:t>
        </w:r>
      </w:hyperlink>
      <w:r>
        <w:rPr>
          <w:spacing w:val="-2"/>
          <w:sz w:val="22"/>
        </w:rPr>
        <w:t>)</w:t>
      </w:r>
      <w:r>
        <w:rPr>
          <w:spacing w:val="-4"/>
          <w:sz w:val="22"/>
        </w:rPr>
        <w:t> </w:t>
      </w:r>
      <w:r>
        <w:rPr>
          <w:spacing w:val="-2"/>
          <w:sz w:val="22"/>
        </w:rPr>
        <w:t>generalises </w:t>
      </w:r>
      <w:r>
        <w:rPr>
          <w:sz w:val="22"/>
        </w:rPr>
        <w:t>distributional subgroup discovery to model-based interestingness criteria.</w:t>
      </w:r>
      <w:r>
        <w:rPr>
          <w:spacing w:val="40"/>
          <w:sz w:val="22"/>
        </w:rPr>
        <w:t> </w:t>
      </w:r>
      <w:r>
        <w:rPr>
          <w:sz w:val="22"/>
        </w:rPr>
        <w:t>Applying EMM to </w:t>
      </w:r>
      <w:r>
        <w:rPr>
          <w:spacing w:val="-2"/>
          <w:sz w:val="22"/>
        </w:rPr>
        <w:t>identify subgroups where the climate-production regression relationship is exceptional, rather than </w:t>
      </w:r>
      <w:r>
        <w:rPr>
          <w:sz w:val="22"/>
        </w:rPr>
        <w:t>where the marginal distribution shifts, could detect interaction effects that KS-based rules miss.</w:t>
      </w:r>
    </w:p>
    <w:p>
      <w:pPr>
        <w:pStyle w:val="BodyText"/>
        <w:spacing w:before="139"/>
      </w:pPr>
    </w:p>
    <w:p>
      <w:pPr>
        <w:pStyle w:val="Heading2"/>
        <w:numPr>
          <w:ilvl w:val="1"/>
          <w:numId w:val="39"/>
        </w:numPr>
        <w:tabs>
          <w:tab w:pos="1353" w:val="left" w:leader="none"/>
        </w:tabs>
        <w:spacing w:line="240" w:lineRule="auto" w:before="0" w:after="0"/>
        <w:ind w:left="1353" w:right="0" w:hanging="644"/>
        <w:jc w:val="both"/>
      </w:pPr>
      <w:bookmarkStart w:name="7.5 Closing Statement" w:id="254"/>
      <w:bookmarkEnd w:id="254"/>
      <w:r>
        <w:rPr>
          <w:b w:val="0"/>
        </w:rPr>
      </w:r>
      <w:bookmarkStart w:name="_bookmark149" w:id="255"/>
      <w:bookmarkEnd w:id="255"/>
      <w:r>
        <w:rPr>
          <w:b w:val="0"/>
        </w:rPr>
      </w:r>
      <w:r>
        <w:rPr/>
        <w:t>Closing</w:t>
      </w:r>
      <w:r>
        <w:rPr>
          <w:spacing w:val="19"/>
        </w:rPr>
        <w:t> </w:t>
      </w:r>
      <w:r>
        <w:rPr>
          <w:spacing w:val="-2"/>
        </w:rPr>
        <w:t>Statement</w:t>
      </w:r>
    </w:p>
    <w:p>
      <w:pPr>
        <w:pStyle w:val="BodyText"/>
        <w:spacing w:line="312" w:lineRule="auto" w:before="288"/>
        <w:ind w:left="709" w:right="954"/>
        <w:jc w:val="both"/>
      </w:pPr>
      <w:r>
        <w:rPr/>
        <w:t>Rule-based machine learning, and distributional subgroup discovery in particular, offers a </w:t>
      </w:r>
      <w:r>
        <w:rPr/>
        <w:t>trans-parent and auditable approach to pattern extraction from real-world time series.</w:t>
      </w:r>
      <w:r>
        <w:rPr>
          <w:spacing w:val="40"/>
        </w:rPr>
        <w:t> </w:t>
      </w:r>
      <w:r>
        <w:rPr/>
        <w:t>This thesis demonstrates</w:t>
      </w:r>
      <w:r>
        <w:rPr>
          <w:spacing w:val="-1"/>
        </w:rPr>
        <w:t> </w:t>
      </w:r>
      <w:r>
        <w:rPr/>
        <w:t>that</w:t>
      </w:r>
      <w:r>
        <w:rPr>
          <w:spacing w:val="-1"/>
        </w:rPr>
        <w:t> </w:t>
      </w:r>
      <w:r>
        <w:rPr/>
        <w:t>CarenR</w:t>
      </w:r>
      <w:r>
        <w:rPr>
          <w:spacing w:val="-1"/>
        </w:rPr>
        <w:t> </w:t>
      </w:r>
      <w:r>
        <w:rPr/>
        <w:t>can</w:t>
      </w:r>
      <w:r>
        <w:rPr>
          <w:spacing w:val="-1"/>
        </w:rPr>
        <w:t> </w:t>
      </w:r>
      <w:r>
        <w:rPr/>
        <w:t>identify</w:t>
      </w:r>
      <w:r>
        <w:rPr>
          <w:spacing w:val="-1"/>
        </w:rPr>
        <w:t> </w:t>
      </w:r>
      <w:r>
        <w:rPr/>
        <w:t>statistically</w:t>
      </w:r>
      <w:r>
        <w:rPr>
          <w:spacing w:val="-1"/>
        </w:rPr>
        <w:t> </w:t>
      </w:r>
      <w:r>
        <w:rPr/>
        <w:t>validated,</w:t>
      </w:r>
      <w:r>
        <w:rPr>
          <w:spacing w:val="-1"/>
        </w:rPr>
        <w:t> </w:t>
      </w:r>
      <w:r>
        <w:rPr/>
        <w:t>cross-algorithm-confirmed</w:t>
      </w:r>
      <w:r>
        <w:rPr>
          <w:spacing w:val="-1"/>
        </w:rPr>
        <w:t> </w:t>
      </w:r>
      <w:r>
        <w:rPr/>
        <w:t>patterns from 80–90 years of non-stationary data, a result that is meaningful for the data science method regardless of whether those patterns generalise to prediction.</w:t>
      </w:r>
      <w:r>
        <w:rPr>
          <w:spacing w:val="40"/>
        </w:rPr>
        <w:t> </w:t>
      </w:r>
      <w:r>
        <w:rPr/>
        <w:t>The limitations of the predictive </w:t>
      </w:r>
      <w:r>
        <w:rPr>
          <w:spacing w:val="-2"/>
        </w:rPr>
        <w:t>application are precisely characterised by the two-decision framework and are addressable through better</w:t>
      </w:r>
      <w:r>
        <w:rPr>
          <w:spacing w:val="-12"/>
        </w:rPr>
        <w:t> </w:t>
      </w:r>
      <w:r>
        <w:rPr>
          <w:spacing w:val="-2"/>
        </w:rPr>
        <w:t>structural</w:t>
      </w:r>
      <w:r>
        <w:rPr>
          <w:spacing w:val="-12"/>
        </w:rPr>
        <w:t> </w:t>
      </w:r>
      <w:r>
        <w:rPr>
          <w:spacing w:val="-2"/>
        </w:rPr>
        <w:t>detrending.</w:t>
      </w:r>
      <w:r>
        <w:rPr/>
        <w:t> </w:t>
      </w:r>
      <w:r>
        <w:rPr>
          <w:spacing w:val="-2"/>
        </w:rPr>
        <w:t>The</w:t>
      </w:r>
      <w:r>
        <w:rPr>
          <w:spacing w:val="-12"/>
        </w:rPr>
        <w:t> </w:t>
      </w:r>
      <w:r>
        <w:rPr>
          <w:spacing w:val="-2"/>
        </w:rPr>
        <w:t>methodological</w:t>
      </w:r>
      <w:r>
        <w:rPr>
          <w:spacing w:val="-12"/>
        </w:rPr>
        <w:t> </w:t>
      </w:r>
      <w:r>
        <w:rPr>
          <w:spacing w:val="-2"/>
        </w:rPr>
        <w:t>contributions,</w:t>
      </w:r>
      <w:r>
        <w:rPr>
          <w:spacing w:val="-12"/>
        </w:rPr>
        <w:t> </w:t>
      </w:r>
      <w:r>
        <w:rPr>
          <w:spacing w:val="-2"/>
        </w:rPr>
        <w:t>the</w:t>
      </w:r>
      <w:r>
        <w:rPr>
          <w:spacing w:val="-11"/>
        </w:rPr>
        <w:t> </w:t>
      </w:r>
      <w:r>
        <w:rPr>
          <w:spacing w:val="-2"/>
        </w:rPr>
        <w:t>evaluation</w:t>
      </w:r>
      <w:r>
        <w:rPr>
          <w:spacing w:val="-12"/>
        </w:rPr>
        <w:t> </w:t>
      </w:r>
      <w:r>
        <w:rPr>
          <w:spacing w:val="-2"/>
        </w:rPr>
        <w:t>framework,</w:t>
      </w:r>
      <w:r>
        <w:rPr>
          <w:spacing w:val="-12"/>
        </w:rPr>
        <w:t> </w:t>
      </w:r>
      <w:r>
        <w:rPr>
          <w:spacing w:val="-2"/>
        </w:rPr>
        <w:t>the</w:t>
      </w:r>
      <w:r>
        <w:rPr>
          <w:spacing w:val="-12"/>
        </w:rPr>
        <w:t> </w:t>
      </w:r>
      <w:r>
        <w:rPr>
          <w:spacing w:val="-2"/>
        </w:rPr>
        <w:t>sensi-</w:t>
      </w:r>
      <w:r>
        <w:rPr/>
        <w:t>tivity analysis, the era-composition diagnostic, are transferable to analogous problems wherever rule-based discovery is applied to long, structurally non-stationary time series.</w:t>
      </w:r>
    </w:p>
    <w:p>
      <w:pPr>
        <w:pStyle w:val="BodyText"/>
        <w:spacing w:after="0" w:line="312" w:lineRule="auto"/>
        <w:jc w:val="both"/>
        <w:sectPr>
          <w:headerReference w:type="default" r:id="rId106"/>
          <w:pgSz w:w="11910" w:h="16840"/>
          <w:pgMar w:header="0" w:footer="0" w:top="1060" w:bottom="280" w:left="1275" w:right="425"/>
        </w:sectPr>
      </w:pPr>
    </w:p>
    <w:p>
      <w:pPr>
        <w:pStyle w:val="BodyText"/>
        <w:spacing w:before="4"/>
        <w:rPr>
          <w:sz w:val="17"/>
        </w:rPr>
      </w:pPr>
    </w:p>
    <w:p>
      <w:pPr>
        <w:pStyle w:val="BodyText"/>
        <w:spacing w:after="0"/>
        <w:rPr>
          <w:sz w:val="17"/>
        </w:rPr>
        <w:sectPr>
          <w:headerReference w:type="even" r:id="rId107"/>
          <w:pgSz w:w="11910" w:h="16840"/>
          <w:pgMar w:header="1160" w:footer="0" w:top="1420" w:bottom="280" w:left="1275" w:right="425"/>
          <w:pgNumType w:start="80"/>
        </w:sectPr>
      </w:pPr>
    </w:p>
    <w:p>
      <w:pPr>
        <w:pStyle w:val="BodyText"/>
        <w:rPr>
          <w:sz w:val="41"/>
        </w:rPr>
      </w:pPr>
    </w:p>
    <w:p>
      <w:pPr>
        <w:pStyle w:val="BodyText"/>
        <w:rPr>
          <w:sz w:val="41"/>
        </w:rPr>
      </w:pPr>
    </w:p>
    <w:p>
      <w:pPr>
        <w:pStyle w:val="BodyText"/>
        <w:spacing w:before="25"/>
        <w:rPr>
          <w:sz w:val="41"/>
        </w:rPr>
      </w:pPr>
    </w:p>
    <w:p>
      <w:pPr>
        <w:spacing w:before="0"/>
        <w:ind w:left="694" w:right="0" w:firstLine="0"/>
        <w:jc w:val="left"/>
        <w:rPr>
          <w:b/>
          <w:sz w:val="41"/>
        </w:rPr>
      </w:pPr>
      <w:bookmarkStart w:name="A Complete Rule Listings" w:id="256"/>
      <w:bookmarkEnd w:id="256"/>
      <w:r>
        <w:rPr/>
      </w:r>
      <w:bookmarkStart w:name="_bookmark150" w:id="257"/>
      <w:bookmarkEnd w:id="257"/>
      <w:r>
        <w:rPr/>
      </w:r>
      <w:r>
        <w:rPr>
          <w:b/>
          <w:sz w:val="41"/>
        </w:rPr>
        <w:t>Appendix</w:t>
      </w:r>
      <w:r>
        <w:rPr>
          <w:b/>
          <w:spacing w:val="-11"/>
          <w:sz w:val="41"/>
        </w:rPr>
        <w:t> </w:t>
      </w:r>
      <w:r>
        <w:rPr>
          <w:b/>
          <w:spacing w:val="-10"/>
          <w:sz w:val="41"/>
        </w:rPr>
        <w:t>A</w:t>
      </w:r>
    </w:p>
    <w:p>
      <w:pPr>
        <w:pStyle w:val="BodyText"/>
        <w:spacing w:before="106"/>
        <w:rPr>
          <w:b/>
          <w:sz w:val="41"/>
        </w:rPr>
      </w:pPr>
    </w:p>
    <w:p>
      <w:pPr>
        <w:pStyle w:val="Heading1"/>
      </w:pPr>
      <w:r>
        <w:rPr/>
        <w:t>Complete</w:t>
      </w:r>
      <w:r>
        <w:rPr>
          <w:spacing w:val="15"/>
        </w:rPr>
        <w:t> </w:t>
      </w:r>
      <w:r>
        <w:rPr/>
        <w:t>Rule</w:t>
      </w:r>
      <w:r>
        <w:rPr>
          <w:spacing w:val="16"/>
        </w:rPr>
        <w:t> </w:t>
      </w:r>
      <w:r>
        <w:rPr>
          <w:spacing w:val="-2"/>
        </w:rPr>
        <w:t>Listings</w:t>
      </w:r>
    </w:p>
    <w:p>
      <w:pPr>
        <w:pStyle w:val="BodyText"/>
        <w:spacing w:before="194"/>
        <w:rPr>
          <w:b/>
          <w:sz w:val="49"/>
        </w:rPr>
      </w:pPr>
    </w:p>
    <w:p>
      <w:pPr>
        <w:pStyle w:val="BodyText"/>
        <w:spacing w:line="328" w:lineRule="exact"/>
        <w:ind w:left="709" w:right="990" w:hanging="7"/>
        <w:jc w:val="both"/>
      </w:pPr>
      <w:r>
        <w:rPr/>
        <w:t>This appendix presents the complete set of rules discovered by CarenR, RIPPER, and M5Rules on the full historical datasets for both regions. Rules are sorted by KS p-value (CarenR) or </w:t>
      </w:r>
      <w:r>
        <w:rPr/>
        <w:t>rule number</w:t>
      </w:r>
      <w:r>
        <w:rPr>
          <w:spacing w:val="-7"/>
        </w:rPr>
        <w:t> </w:t>
      </w:r>
      <w:r>
        <w:rPr/>
        <w:t>(RIPPER,</w:t>
      </w:r>
      <w:r>
        <w:rPr>
          <w:spacing w:val="-3"/>
        </w:rPr>
        <w:t> </w:t>
      </w:r>
      <w:r>
        <w:rPr/>
        <w:t>M5Rules). All</w:t>
      </w:r>
      <w:r>
        <w:rPr>
          <w:spacing w:val="-3"/>
        </w:rPr>
        <w:t> </w:t>
      </w:r>
      <w:r>
        <w:rPr/>
        <w:t>CarenR</w:t>
      </w:r>
      <w:r>
        <w:rPr>
          <w:spacing w:val="-3"/>
        </w:rPr>
        <w:t> </w:t>
      </w:r>
      <w:r>
        <w:rPr/>
        <w:t>rules</w:t>
      </w:r>
      <w:r>
        <w:rPr>
          <w:spacing w:val="-3"/>
        </w:rPr>
        <w:t> </w:t>
      </w:r>
      <w:r>
        <w:rPr/>
        <w:t>were</w:t>
      </w:r>
      <w:r>
        <w:rPr>
          <w:spacing w:val="-3"/>
        </w:rPr>
        <w:t> </w:t>
      </w:r>
      <w:r>
        <w:rPr/>
        <w:t>discovered</w:t>
      </w:r>
      <w:r>
        <w:rPr>
          <w:spacing w:val="-3"/>
        </w:rPr>
        <w:t> </w:t>
      </w:r>
      <w:r>
        <w:rPr/>
        <w:t>with</w:t>
      </w:r>
      <w:r>
        <w:rPr>
          <w:spacing w:val="-3"/>
        </w:rPr>
        <w:t> </w:t>
      </w:r>
      <w:r>
        <w:rPr/>
        <w:t>filters: support</w:t>
      </w:r>
      <w:r>
        <w:rPr>
          <w:spacing w:val="-3"/>
        </w:rPr>
        <w:t> </w:t>
      </w:r>
      <w:r>
        <w:rPr>
          <w:rFonts w:ascii="Meiryo UI" w:hAnsi="Meiryo UI"/>
          <w:i/>
        </w:rPr>
        <w:t>≥</w:t>
      </w:r>
      <w:r>
        <w:rPr>
          <w:rFonts w:ascii="Meiryo UI" w:hAnsi="Meiryo UI"/>
          <w:i/>
          <w:spacing w:val="-19"/>
        </w:rPr>
        <w:t> </w:t>
      </w:r>
      <w:r>
        <w:rPr/>
        <w:t>15%</w:t>
      </w:r>
      <w:r>
        <w:rPr>
          <w:spacing w:val="-3"/>
        </w:rPr>
        <w:t> </w:t>
      </w:r>
      <w:r>
        <w:rPr/>
        <w:t>and KS</w:t>
      </w:r>
      <w:r>
        <w:rPr>
          <w:spacing w:val="-6"/>
        </w:rPr>
        <w:t> </w:t>
      </w:r>
      <w:r>
        <w:rPr/>
        <w:t>p-value</w:t>
      </w:r>
      <w:r>
        <w:rPr>
          <w:spacing w:val="-2"/>
        </w:rPr>
        <w:t> </w:t>
      </w:r>
      <w:r>
        <w:rPr>
          <w:rFonts w:ascii="Meiryo UI" w:hAnsi="Meiryo UI"/>
          <w:i/>
        </w:rPr>
        <w:t>≤</w:t>
      </w:r>
      <w:r>
        <w:rPr>
          <w:rFonts w:ascii="Meiryo UI" w:hAnsi="Meiryo UI"/>
          <w:i/>
          <w:spacing w:val="-19"/>
        </w:rPr>
        <w:t> </w:t>
      </w:r>
      <w:r>
        <w:rPr/>
        <w:t>0.10. Detrending: linear</w:t>
      </w:r>
      <w:r>
        <w:rPr>
          <w:spacing w:val="-2"/>
        </w:rPr>
        <w:t> </w:t>
      </w:r>
      <w:r>
        <w:rPr/>
        <w:t>(residuals). All</w:t>
      </w:r>
      <w:r>
        <w:rPr>
          <w:spacing w:val="-2"/>
        </w:rPr>
        <w:t> </w:t>
      </w:r>
      <w:r>
        <w:rPr/>
        <w:t>mean</w:t>
      </w:r>
      <w:r>
        <w:rPr>
          <w:spacing w:val="-2"/>
        </w:rPr>
        <w:t> </w:t>
      </w:r>
      <w:r>
        <w:rPr/>
        <w:t>deviations</w:t>
      </w:r>
      <w:r>
        <w:rPr>
          <w:spacing w:val="-2"/>
        </w:rPr>
        <w:t> </w:t>
      </w:r>
      <w:r>
        <w:rPr/>
        <w:t>are</w:t>
      </w:r>
      <w:r>
        <w:rPr>
          <w:spacing w:val="-2"/>
        </w:rPr>
        <w:t> </w:t>
      </w:r>
      <w:r>
        <w:rPr/>
        <w:t>in</w:t>
      </w:r>
      <w:r>
        <w:rPr>
          <w:spacing w:val="-2"/>
        </w:rPr>
        <w:t> </w:t>
      </w:r>
      <w:r>
        <w:rPr/>
        <w:t>mhl</w:t>
      </w:r>
      <w:r>
        <w:rPr>
          <w:spacing w:val="-2"/>
        </w:rPr>
        <w:t> </w:t>
      </w:r>
      <w:r>
        <w:rPr/>
        <w:t>relative</w:t>
      </w:r>
      <w:r>
        <w:rPr>
          <w:spacing w:val="-2"/>
        </w:rPr>
        <w:t> </w:t>
      </w:r>
      <w:r>
        <w:rPr/>
        <w:t>to</w:t>
      </w:r>
      <w:r>
        <w:rPr>
          <w:spacing w:val="-2"/>
        </w:rPr>
        <w:t> </w:t>
      </w:r>
      <w:r>
        <w:rPr/>
        <w:t>the long-run production trend.</w:t>
      </w:r>
    </w:p>
    <w:p>
      <w:pPr>
        <w:pStyle w:val="BodyText"/>
        <w:spacing w:before="201"/>
      </w:pPr>
    </w:p>
    <w:p>
      <w:pPr>
        <w:pStyle w:val="Heading2"/>
        <w:numPr>
          <w:ilvl w:val="1"/>
          <w:numId w:val="40"/>
        </w:numPr>
        <w:tabs>
          <w:tab w:pos="1418" w:val="left" w:leader="none"/>
        </w:tabs>
        <w:spacing w:line="240" w:lineRule="auto" w:before="1" w:after="0"/>
        <w:ind w:left="1418" w:right="0" w:hanging="709"/>
        <w:jc w:val="left"/>
      </w:pPr>
      <w:bookmarkStart w:name="A.1 Top 10 CarenR Rules per Region" w:id="258"/>
      <w:bookmarkEnd w:id="258"/>
      <w:r>
        <w:rPr>
          <w:b w:val="0"/>
        </w:rPr>
      </w:r>
      <w:bookmarkStart w:name="_bookmark151" w:id="259"/>
      <w:bookmarkEnd w:id="259"/>
      <w:r>
        <w:rPr>
          <w:b w:val="0"/>
        </w:rPr>
      </w:r>
      <w:r>
        <w:rPr/>
        <w:t>Top</w:t>
      </w:r>
      <w:r>
        <w:rPr>
          <w:spacing w:val="5"/>
        </w:rPr>
        <w:t> </w:t>
      </w:r>
      <w:r>
        <w:rPr/>
        <w:t>10</w:t>
      </w:r>
      <w:r>
        <w:rPr>
          <w:spacing w:val="6"/>
        </w:rPr>
        <w:t> </w:t>
      </w:r>
      <w:r>
        <w:rPr/>
        <w:t>CarenR</w:t>
      </w:r>
      <w:r>
        <w:rPr>
          <w:spacing w:val="5"/>
        </w:rPr>
        <w:t> </w:t>
      </w:r>
      <w:r>
        <w:rPr/>
        <w:t>Rules</w:t>
      </w:r>
      <w:r>
        <w:rPr>
          <w:spacing w:val="6"/>
        </w:rPr>
        <w:t> </w:t>
      </w:r>
      <w:r>
        <w:rPr/>
        <w:t>per</w:t>
      </w:r>
      <w:r>
        <w:rPr>
          <w:spacing w:val="5"/>
        </w:rPr>
        <w:t> </w:t>
      </w:r>
      <w:r>
        <w:rPr>
          <w:spacing w:val="-2"/>
        </w:rPr>
        <w:t>Region</w:t>
      </w:r>
    </w:p>
    <w:p>
      <w:pPr>
        <w:pStyle w:val="BodyText"/>
        <w:spacing w:before="195"/>
        <w:rPr>
          <w:b/>
          <w:sz w:val="28"/>
        </w:rPr>
      </w:pPr>
    </w:p>
    <w:p>
      <w:pPr>
        <w:spacing w:before="0"/>
        <w:ind w:left="334" w:right="0" w:firstLine="0"/>
        <w:jc w:val="center"/>
        <w:rPr>
          <w:sz w:val="20"/>
        </w:rPr>
      </w:pPr>
      <w:bookmarkStart w:name="_bookmark152" w:id="260"/>
      <w:bookmarkEnd w:id="260"/>
      <w:r>
        <w:rPr/>
      </w:r>
      <w:r>
        <w:rPr>
          <w:b/>
          <w:sz w:val="20"/>
        </w:rPr>
        <w:t>Table</w:t>
      </w:r>
      <w:r>
        <w:rPr>
          <w:b/>
          <w:spacing w:val="-11"/>
          <w:sz w:val="20"/>
        </w:rPr>
        <w:t> </w:t>
      </w:r>
      <w:r>
        <w:rPr>
          <w:b/>
          <w:sz w:val="20"/>
        </w:rPr>
        <w:t>A.2: </w:t>
      </w:r>
      <w:r>
        <w:rPr>
          <w:sz w:val="20"/>
        </w:rPr>
        <w:t>Top</w:t>
      </w:r>
      <w:r>
        <w:rPr>
          <w:spacing w:val="-10"/>
          <w:sz w:val="20"/>
        </w:rPr>
        <w:t> </w:t>
      </w:r>
      <w:r>
        <w:rPr>
          <w:sz w:val="20"/>
        </w:rPr>
        <w:t>10</w:t>
      </w:r>
      <w:r>
        <w:rPr>
          <w:spacing w:val="-10"/>
          <w:sz w:val="20"/>
        </w:rPr>
        <w:t> </w:t>
      </w:r>
      <w:r>
        <w:rPr>
          <w:sz w:val="20"/>
        </w:rPr>
        <w:t>CarenR</w:t>
      </w:r>
      <w:r>
        <w:rPr>
          <w:spacing w:val="-11"/>
          <w:sz w:val="20"/>
        </w:rPr>
        <w:t> </w:t>
      </w:r>
      <w:r>
        <w:rPr>
          <w:sz w:val="20"/>
        </w:rPr>
        <w:t>rules</w:t>
      </w:r>
      <w:r>
        <w:rPr>
          <w:spacing w:val="-10"/>
          <w:sz w:val="20"/>
        </w:rPr>
        <w:t> </w:t>
      </w:r>
      <w:r>
        <w:rPr>
          <w:sz w:val="20"/>
        </w:rPr>
        <w:t>for</w:t>
      </w:r>
      <w:r>
        <w:rPr>
          <w:spacing w:val="-10"/>
          <w:sz w:val="20"/>
        </w:rPr>
        <w:t> </w:t>
      </w:r>
      <w:r>
        <w:rPr>
          <w:sz w:val="20"/>
        </w:rPr>
        <w:t>the</w:t>
      </w:r>
      <w:r>
        <w:rPr>
          <w:spacing w:val="-10"/>
          <w:sz w:val="20"/>
        </w:rPr>
        <w:t> </w:t>
      </w:r>
      <w:r>
        <w:rPr>
          <w:sz w:val="20"/>
        </w:rPr>
        <w:t>Vinho</w:t>
      </w:r>
      <w:r>
        <w:rPr>
          <w:spacing w:val="-10"/>
          <w:sz w:val="20"/>
        </w:rPr>
        <w:t> </w:t>
      </w:r>
      <w:r>
        <w:rPr>
          <w:sz w:val="20"/>
        </w:rPr>
        <w:t>Verde</w:t>
      </w:r>
      <w:r>
        <w:rPr>
          <w:spacing w:val="-10"/>
          <w:sz w:val="20"/>
        </w:rPr>
        <w:t> </w:t>
      </w:r>
      <w:r>
        <w:rPr>
          <w:sz w:val="20"/>
        </w:rPr>
        <w:t>(RVV).</w:t>
      </w:r>
      <w:r>
        <w:rPr>
          <w:spacing w:val="-11"/>
          <w:sz w:val="20"/>
        </w:rPr>
        <w:t> </w:t>
      </w:r>
      <w:r>
        <w:rPr>
          <w:sz w:val="20"/>
        </w:rPr>
        <w:t>Rule</w:t>
      </w:r>
      <w:r>
        <w:rPr>
          <w:spacing w:val="-10"/>
          <w:sz w:val="20"/>
        </w:rPr>
        <w:t> </w:t>
      </w:r>
      <w:r>
        <w:rPr>
          <w:sz w:val="20"/>
        </w:rPr>
        <w:t>4</w:t>
      </w:r>
      <w:r>
        <w:rPr>
          <w:spacing w:val="-10"/>
          <w:sz w:val="20"/>
        </w:rPr>
        <w:t> </w:t>
      </w:r>
      <w:r>
        <w:rPr>
          <w:sz w:val="20"/>
        </w:rPr>
        <w:t>is</w:t>
      </w:r>
      <w:r>
        <w:rPr>
          <w:spacing w:val="-10"/>
          <w:sz w:val="20"/>
        </w:rPr>
        <w:t> </w:t>
      </w:r>
      <w:r>
        <w:rPr>
          <w:sz w:val="20"/>
        </w:rPr>
        <w:t>the</w:t>
      </w:r>
      <w:r>
        <w:rPr>
          <w:spacing w:val="-10"/>
          <w:sz w:val="20"/>
        </w:rPr>
        <w:t> </w:t>
      </w:r>
      <w:r>
        <w:rPr>
          <w:sz w:val="20"/>
        </w:rPr>
        <w:t>only</w:t>
      </w:r>
      <w:r>
        <w:rPr>
          <w:spacing w:val="-10"/>
          <w:sz w:val="20"/>
        </w:rPr>
        <w:t> </w:t>
      </w:r>
      <w:r>
        <w:rPr>
          <w:sz w:val="20"/>
        </w:rPr>
        <w:t>above-trend</w:t>
      </w:r>
      <w:r>
        <w:rPr>
          <w:spacing w:val="-11"/>
          <w:sz w:val="20"/>
        </w:rPr>
        <w:t> </w:t>
      </w:r>
      <w:r>
        <w:rPr>
          <w:spacing w:val="-2"/>
          <w:sz w:val="20"/>
        </w:rPr>
        <w:t>rule.</w:t>
      </w:r>
    </w:p>
    <w:p>
      <w:pPr>
        <w:pStyle w:val="BodyText"/>
        <w:spacing w:before="5"/>
        <w:rPr>
          <w:sz w:val="18"/>
        </w:rPr>
      </w:pPr>
      <w:r>
        <w:rPr>
          <w:sz w:val="18"/>
        </w:rPr>
        <mc:AlternateContent>
          <mc:Choice Requires="wps">
            <w:drawing>
              <wp:anchor distT="0" distB="0" distL="0" distR="0" allowOverlap="1" layoutInCell="1" locked="0" behindDoc="1" simplePos="0" relativeHeight="487630848">
                <wp:simplePos x="0" y="0"/>
                <wp:positionH relativeFrom="page">
                  <wp:posOffset>1260005</wp:posOffset>
                </wp:positionH>
                <wp:positionV relativeFrom="paragraph">
                  <wp:posOffset>150388</wp:posOffset>
                </wp:positionV>
                <wp:extent cx="5796280" cy="1270"/>
                <wp:effectExtent l="0" t="0" r="0" b="0"/>
                <wp:wrapTopAndBottom/>
                <wp:docPr id="244" name="Graphic 244"/>
                <wp:cNvGraphicFramePr>
                  <a:graphicFrameLocks/>
                </wp:cNvGraphicFramePr>
                <a:graphic>
                  <a:graphicData uri="http://schemas.microsoft.com/office/word/2010/wordprocessingShape">
                    <wps:wsp>
                      <wps:cNvPr id="244" name="Graphic 244"/>
                      <wps:cNvSpPr/>
                      <wps:spPr>
                        <a:xfrm>
                          <a:off x="0" y="0"/>
                          <a:ext cx="5796280" cy="1270"/>
                        </a:xfrm>
                        <a:custGeom>
                          <a:avLst/>
                          <a:gdLst/>
                          <a:ahLst/>
                          <a:cxnLst/>
                          <a:rect l="l" t="t" r="r" b="b"/>
                          <a:pathLst>
                            <a:path w="5796280" h="0">
                              <a:moveTo>
                                <a:pt x="0" y="0"/>
                              </a:moveTo>
                              <a:lnTo>
                                <a:pt x="579628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1.84158pt;width:456.4pt;height:.1pt;mso-position-horizontal-relative:page;mso-position-vertical-relative:paragraph;z-index:-15685632;mso-wrap-distance-left:0;mso-wrap-distance-right:0" id="docshape208" coordorigin="1984,237" coordsize="9128,0" path="m1984,237l11112,237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7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70"/>
        <w:gridCol w:w="5066"/>
        <w:gridCol w:w="757"/>
        <w:gridCol w:w="984"/>
        <w:gridCol w:w="927"/>
        <w:gridCol w:w="923"/>
      </w:tblGrid>
      <w:tr>
        <w:trPr>
          <w:trHeight w:val="992" w:hRule="atLeast"/>
        </w:trPr>
        <w:tc>
          <w:tcPr>
            <w:tcW w:w="470" w:type="dxa"/>
            <w:tcBorders>
              <w:top w:val="nil"/>
              <w:left w:val="nil"/>
              <w:right w:val="single" w:sz="4" w:space="0" w:color="000000"/>
            </w:tcBorders>
          </w:tcPr>
          <w:p>
            <w:pPr>
              <w:pStyle w:val="TableParagraph"/>
              <w:spacing w:before="77"/>
              <w:ind w:left="119"/>
              <w:rPr>
                <w:sz w:val="20"/>
              </w:rPr>
            </w:pPr>
            <w:r>
              <w:rPr>
                <w:spacing w:val="-10"/>
                <w:sz w:val="20"/>
              </w:rPr>
              <w:t>#</w:t>
            </w:r>
          </w:p>
        </w:tc>
        <w:tc>
          <w:tcPr>
            <w:tcW w:w="5066" w:type="dxa"/>
            <w:tcBorders>
              <w:top w:val="nil"/>
              <w:left w:val="single" w:sz="4" w:space="0" w:color="000000"/>
              <w:right w:val="single" w:sz="4" w:space="0" w:color="000000"/>
            </w:tcBorders>
          </w:tcPr>
          <w:p>
            <w:pPr>
              <w:pStyle w:val="TableParagraph"/>
              <w:spacing w:before="77"/>
              <w:ind w:left="118"/>
              <w:rPr>
                <w:sz w:val="20"/>
              </w:rPr>
            </w:pPr>
            <w:r>
              <w:rPr>
                <w:spacing w:val="-2"/>
                <w:sz w:val="20"/>
              </w:rPr>
              <w:t>Conditions</w:t>
            </w:r>
          </w:p>
        </w:tc>
        <w:tc>
          <w:tcPr>
            <w:tcW w:w="757" w:type="dxa"/>
            <w:tcBorders>
              <w:top w:val="nil"/>
              <w:left w:val="single" w:sz="4" w:space="0" w:color="000000"/>
              <w:right w:val="single" w:sz="4" w:space="0" w:color="000000"/>
            </w:tcBorders>
          </w:tcPr>
          <w:p>
            <w:pPr>
              <w:pStyle w:val="TableParagraph"/>
              <w:spacing w:before="77"/>
              <w:ind w:left="221"/>
              <w:rPr>
                <w:sz w:val="20"/>
              </w:rPr>
            </w:pPr>
            <w:r>
              <w:rPr>
                <w:spacing w:val="-4"/>
                <w:sz w:val="20"/>
              </w:rPr>
              <w:t>Dir.</w:t>
            </w:r>
          </w:p>
        </w:tc>
        <w:tc>
          <w:tcPr>
            <w:tcW w:w="984" w:type="dxa"/>
            <w:tcBorders>
              <w:top w:val="nil"/>
              <w:left w:val="single" w:sz="4" w:space="0" w:color="000000"/>
              <w:right w:val="single" w:sz="4" w:space="0" w:color="000000"/>
            </w:tcBorders>
          </w:tcPr>
          <w:p>
            <w:pPr>
              <w:pStyle w:val="TableParagraph"/>
              <w:spacing w:before="77"/>
              <w:ind w:left="118"/>
              <w:rPr>
                <w:sz w:val="20"/>
              </w:rPr>
            </w:pPr>
            <w:r>
              <w:rPr>
                <w:spacing w:val="-2"/>
                <w:sz w:val="20"/>
              </w:rPr>
              <w:t>Median</w:t>
            </w:r>
          </w:p>
          <w:p>
            <w:pPr>
              <w:pStyle w:val="TableParagraph"/>
              <w:spacing w:before="56"/>
              <w:ind w:left="118"/>
              <w:rPr>
                <w:rFonts w:ascii="Calibri" w:hAnsi="Calibri"/>
                <w:sz w:val="20"/>
              </w:rPr>
            </w:pPr>
            <w:r>
              <w:rPr>
                <w:rFonts w:ascii="Calibri" w:hAnsi="Calibri"/>
                <w:spacing w:val="-10"/>
                <w:w w:val="110"/>
                <w:sz w:val="20"/>
              </w:rPr>
              <w:t>∆</w:t>
            </w:r>
          </w:p>
          <w:p>
            <w:pPr>
              <w:pStyle w:val="TableParagraph"/>
              <w:spacing w:before="50"/>
              <w:ind w:left="112"/>
              <w:rPr>
                <w:sz w:val="20"/>
              </w:rPr>
            </w:pPr>
            <w:r>
              <w:rPr>
                <w:spacing w:val="-2"/>
                <w:sz w:val="20"/>
              </w:rPr>
              <w:t>(mhl)</w:t>
            </w:r>
          </w:p>
        </w:tc>
        <w:tc>
          <w:tcPr>
            <w:tcW w:w="927" w:type="dxa"/>
            <w:tcBorders>
              <w:top w:val="nil"/>
              <w:left w:val="single" w:sz="4" w:space="0" w:color="000000"/>
              <w:right w:val="single" w:sz="4" w:space="0" w:color="000000"/>
            </w:tcBorders>
          </w:tcPr>
          <w:p>
            <w:pPr>
              <w:pStyle w:val="TableParagraph"/>
              <w:spacing w:before="77"/>
              <w:ind w:left="118"/>
              <w:rPr>
                <w:sz w:val="20"/>
              </w:rPr>
            </w:pPr>
            <w:r>
              <w:rPr>
                <w:spacing w:val="-2"/>
                <w:sz w:val="20"/>
              </w:rPr>
              <w:t>Support</w:t>
            </w:r>
          </w:p>
        </w:tc>
        <w:tc>
          <w:tcPr>
            <w:tcW w:w="923" w:type="dxa"/>
            <w:tcBorders>
              <w:top w:val="nil"/>
              <w:left w:val="single" w:sz="4" w:space="0" w:color="000000"/>
              <w:right w:val="nil"/>
            </w:tcBorders>
          </w:tcPr>
          <w:p>
            <w:pPr>
              <w:pStyle w:val="TableParagraph"/>
              <w:spacing w:before="77"/>
              <w:ind w:left="119"/>
              <w:rPr>
                <w:sz w:val="20"/>
              </w:rPr>
            </w:pPr>
            <w:r>
              <w:rPr>
                <w:spacing w:val="-2"/>
                <w:sz w:val="20"/>
              </w:rPr>
              <w:t>p-</w:t>
            </w:r>
            <w:r>
              <w:rPr>
                <w:spacing w:val="-4"/>
                <w:sz w:val="20"/>
              </w:rPr>
              <w:t>value</w:t>
            </w:r>
          </w:p>
        </w:tc>
      </w:tr>
    </w:tbl>
    <w:p>
      <w:pPr>
        <w:pStyle w:val="BodyText"/>
        <w:spacing w:before="2"/>
        <w:rPr>
          <w:sz w:val="5"/>
        </w:rPr>
      </w:pPr>
    </w:p>
    <w:tbl>
      <w:tblPr>
        <w:tblW w:w="0" w:type="auto"/>
        <w:jc w:val="left"/>
        <w:tblInd w:w="7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70"/>
        <w:gridCol w:w="5066"/>
        <w:gridCol w:w="757"/>
        <w:gridCol w:w="984"/>
        <w:gridCol w:w="927"/>
        <w:gridCol w:w="923"/>
      </w:tblGrid>
      <w:tr>
        <w:trPr>
          <w:trHeight w:val="3399" w:hRule="atLeast"/>
        </w:trPr>
        <w:tc>
          <w:tcPr>
            <w:tcW w:w="470" w:type="dxa"/>
            <w:tcBorders>
              <w:top w:val="nil"/>
              <w:left w:val="nil"/>
              <w:right w:val="single" w:sz="4" w:space="0" w:color="000000"/>
            </w:tcBorders>
          </w:tcPr>
          <w:p>
            <w:pPr>
              <w:pStyle w:val="TableParagraph"/>
              <w:spacing w:before="77"/>
              <w:ind w:left="119"/>
              <w:rPr>
                <w:sz w:val="20"/>
              </w:rPr>
            </w:pPr>
            <w:r>
              <w:rPr>
                <w:spacing w:val="-10"/>
                <w:sz w:val="20"/>
              </w:rPr>
              <w:t>1</w:t>
            </w:r>
          </w:p>
          <w:p>
            <w:pPr>
              <w:pStyle w:val="TableParagraph"/>
              <w:spacing w:before="0"/>
              <w:rPr>
                <w:sz w:val="20"/>
              </w:rPr>
            </w:pPr>
          </w:p>
          <w:p>
            <w:pPr>
              <w:pStyle w:val="TableParagraph"/>
              <w:spacing w:before="0"/>
              <w:rPr>
                <w:sz w:val="20"/>
              </w:rPr>
            </w:pPr>
          </w:p>
          <w:p>
            <w:pPr>
              <w:pStyle w:val="TableParagraph"/>
              <w:spacing w:before="0"/>
              <w:rPr>
                <w:sz w:val="20"/>
              </w:rPr>
            </w:pPr>
          </w:p>
          <w:p>
            <w:pPr>
              <w:pStyle w:val="TableParagraph"/>
              <w:spacing w:before="0"/>
              <w:rPr>
                <w:sz w:val="20"/>
              </w:rPr>
            </w:pPr>
          </w:p>
          <w:p>
            <w:pPr>
              <w:pStyle w:val="TableParagraph"/>
              <w:spacing w:before="0"/>
              <w:rPr>
                <w:sz w:val="20"/>
              </w:rPr>
            </w:pPr>
          </w:p>
          <w:p>
            <w:pPr>
              <w:pStyle w:val="TableParagraph"/>
              <w:spacing w:before="217"/>
              <w:rPr>
                <w:sz w:val="20"/>
              </w:rPr>
            </w:pPr>
          </w:p>
          <w:p>
            <w:pPr>
              <w:pStyle w:val="TableParagraph"/>
              <w:spacing w:before="0"/>
              <w:ind w:left="119"/>
              <w:rPr>
                <w:sz w:val="20"/>
              </w:rPr>
            </w:pPr>
            <w:r>
              <w:rPr>
                <w:spacing w:val="-10"/>
                <w:sz w:val="20"/>
              </w:rPr>
              <w:t>2</w:t>
            </w:r>
          </w:p>
        </w:tc>
        <w:tc>
          <w:tcPr>
            <w:tcW w:w="5066" w:type="dxa"/>
            <w:tcBorders>
              <w:top w:val="nil"/>
              <w:left w:val="single" w:sz="4" w:space="0" w:color="000000"/>
              <w:right w:val="single" w:sz="4" w:space="0" w:color="000000"/>
            </w:tcBorders>
          </w:tcPr>
          <w:p>
            <w:pPr>
              <w:pStyle w:val="TableParagraph"/>
              <w:spacing w:line="302" w:lineRule="auto" w:before="77"/>
              <w:ind w:left="111" w:right="83" w:firstLine="7"/>
              <w:jc w:val="both"/>
              <w:rPr>
                <w:b/>
                <w:sz w:val="20"/>
              </w:rPr>
            </w:pPr>
            <w:r>
              <w:rPr>
                <w:b/>
                <w:sz w:val="20"/>
              </w:rPr>
              <w:t>Soil water pre-Harvest [61–97 mm] AND Heat days pre-Maturity</w:t>
            </w:r>
            <w:r>
              <w:rPr>
                <w:b/>
                <w:spacing w:val="-13"/>
                <w:sz w:val="20"/>
              </w:rPr>
              <w:t> </w:t>
            </w:r>
            <w:r>
              <w:rPr>
                <w:b/>
                <w:sz w:val="20"/>
              </w:rPr>
              <w:t>[0–1.9d]</w:t>
            </w:r>
            <w:r>
              <w:rPr>
                <w:b/>
                <w:spacing w:val="-12"/>
                <w:sz w:val="20"/>
              </w:rPr>
              <w:t> </w:t>
            </w:r>
            <w:r>
              <w:rPr>
                <w:b/>
                <w:sz w:val="20"/>
              </w:rPr>
              <w:t>AND</w:t>
            </w:r>
            <w:r>
              <w:rPr>
                <w:b/>
                <w:spacing w:val="-13"/>
                <w:sz w:val="20"/>
              </w:rPr>
              <w:t> </w:t>
            </w:r>
            <w:r>
              <w:rPr>
                <w:b/>
                <w:sz w:val="20"/>
              </w:rPr>
              <w:t>Heat</w:t>
            </w:r>
            <w:r>
              <w:rPr>
                <w:b/>
                <w:spacing w:val="-12"/>
                <w:sz w:val="20"/>
              </w:rPr>
              <w:t> </w:t>
            </w:r>
            <w:r>
              <w:rPr>
                <w:b/>
                <w:sz w:val="20"/>
              </w:rPr>
              <w:t>days</w:t>
            </w:r>
            <w:r>
              <w:rPr>
                <w:b/>
                <w:spacing w:val="-13"/>
                <w:sz w:val="20"/>
              </w:rPr>
              <w:t> </w:t>
            </w:r>
            <w:r>
              <w:rPr>
                <w:b/>
                <w:sz w:val="20"/>
              </w:rPr>
              <w:t>post-Maturity</w:t>
            </w:r>
            <w:r>
              <w:rPr>
                <w:b/>
                <w:spacing w:val="-12"/>
                <w:sz w:val="20"/>
              </w:rPr>
              <w:t> </w:t>
            </w:r>
            <w:r>
              <w:rPr>
                <w:b/>
                <w:sz w:val="20"/>
              </w:rPr>
              <w:t>[0–2.4d] AND Heat days post-Flowering [0–1.1d]</w:t>
            </w:r>
          </w:p>
          <w:p>
            <w:pPr>
              <w:pStyle w:val="TableParagraph"/>
              <w:spacing w:line="302" w:lineRule="auto" w:before="1"/>
              <w:ind w:left="118" w:right="110" w:hanging="6"/>
              <w:jc w:val="both"/>
              <w:rPr>
                <w:i/>
                <w:sz w:val="20"/>
              </w:rPr>
            </w:pPr>
            <w:r>
              <w:rPr>
                <w:i/>
                <w:sz w:val="20"/>
              </w:rPr>
              <w:t>Low soil water deficit with absent heat stress — cool-moist</w:t>
            </w:r>
            <w:r>
              <w:rPr>
                <w:i/>
                <w:sz w:val="20"/>
              </w:rPr>
              <w:t> pattern, not a beneficial stress pattern in the Atlantic </w:t>
            </w:r>
            <w:r>
              <w:rPr>
                <w:i/>
                <w:sz w:val="20"/>
              </w:rPr>
              <w:t>RVV </w:t>
            </w:r>
            <w:r>
              <w:rPr>
                <w:i/>
                <w:spacing w:val="-2"/>
                <w:sz w:val="20"/>
              </w:rPr>
              <w:t>climate.</w:t>
            </w:r>
          </w:p>
          <w:p>
            <w:pPr>
              <w:pStyle w:val="TableParagraph"/>
              <w:spacing w:line="290" w:lineRule="atLeast" w:before="27"/>
              <w:ind w:left="118" w:right="83"/>
              <w:jc w:val="both"/>
              <w:rPr>
                <w:b/>
                <w:sz w:val="20"/>
              </w:rPr>
            </w:pPr>
            <w:r>
              <w:rPr>
                <w:b/>
                <w:sz w:val="20"/>
              </w:rPr>
              <w:t>Temp at Flowering [13.8–17.1</w:t>
            </w:r>
            <w:r>
              <w:rPr>
                <w:rFonts w:ascii="Meiryo UI" w:hAnsi="Meiryo UI"/>
                <w:i/>
                <w:position w:val="7"/>
                <w:sz w:val="14"/>
              </w:rPr>
              <w:t>◦</w:t>
            </w:r>
            <w:r>
              <w:rPr>
                <w:b/>
                <w:sz w:val="20"/>
              </w:rPr>
              <w:t>C] AND Temp </w:t>
            </w:r>
            <w:r>
              <w:rPr>
                <w:b/>
                <w:sz w:val="20"/>
              </w:rPr>
              <w:t>post-Flowering [12.6–17.5</w:t>
            </w:r>
            <w:r>
              <w:rPr>
                <w:rFonts w:ascii="Meiryo UI" w:hAnsi="Meiryo UI"/>
                <w:i/>
                <w:position w:val="7"/>
                <w:sz w:val="14"/>
              </w:rPr>
              <w:t>◦</w:t>
            </w:r>
            <w:r>
              <w:rPr>
                <w:b/>
                <w:sz w:val="20"/>
              </w:rPr>
              <w:t>C] AND Wet-soil days post-Flowering prev.yr [17.5–20d]</w:t>
            </w:r>
          </w:p>
          <w:p>
            <w:pPr>
              <w:pStyle w:val="TableParagraph"/>
              <w:spacing w:before="61"/>
              <w:ind w:left="111"/>
              <w:jc w:val="both"/>
              <w:rPr>
                <w:i/>
                <w:sz w:val="20"/>
              </w:rPr>
            </w:pPr>
            <w:r>
              <w:rPr>
                <w:i/>
                <w:sz w:val="20"/>
              </w:rPr>
              <w:t>Cool flowering</w:t>
            </w:r>
            <w:r>
              <w:rPr>
                <w:i/>
                <w:spacing w:val="1"/>
                <w:sz w:val="20"/>
              </w:rPr>
              <w:t> </w:t>
            </w:r>
            <w:r>
              <w:rPr>
                <w:i/>
                <w:sz w:val="20"/>
              </w:rPr>
              <w:t>combined with</w:t>
            </w:r>
            <w:r>
              <w:rPr>
                <w:i/>
                <w:spacing w:val="1"/>
                <w:sz w:val="20"/>
              </w:rPr>
              <w:t> </w:t>
            </w:r>
            <w:r>
              <w:rPr>
                <w:i/>
                <w:sz w:val="20"/>
              </w:rPr>
              <w:t>previous-year soil</w:t>
            </w:r>
            <w:r>
              <w:rPr>
                <w:i/>
                <w:spacing w:val="1"/>
                <w:sz w:val="20"/>
              </w:rPr>
              <w:t> </w:t>
            </w:r>
            <w:r>
              <w:rPr>
                <w:i/>
                <w:spacing w:val="-2"/>
                <w:sz w:val="20"/>
              </w:rPr>
              <w:t>saturation</w:t>
            </w:r>
          </w:p>
          <w:p>
            <w:pPr>
              <w:pStyle w:val="TableParagraph"/>
              <w:spacing w:before="60"/>
              <w:ind w:left="82"/>
              <w:jc w:val="both"/>
              <w:rPr>
                <w:i/>
                <w:sz w:val="20"/>
              </w:rPr>
            </w:pPr>
            <w:r>
              <w:rPr>
                <w:i/>
                <w:sz w:val="20"/>
              </w:rPr>
              <w:t>—</w:t>
            </w:r>
            <w:r>
              <w:rPr>
                <w:i/>
                <w:spacing w:val="-7"/>
                <w:sz w:val="20"/>
              </w:rPr>
              <w:t> </w:t>
            </w:r>
            <w:r>
              <w:rPr>
                <w:i/>
                <w:sz w:val="20"/>
              </w:rPr>
              <w:t>a</w:t>
            </w:r>
            <w:r>
              <w:rPr>
                <w:i/>
                <w:spacing w:val="-6"/>
                <w:sz w:val="20"/>
              </w:rPr>
              <w:t> </w:t>
            </w:r>
            <w:r>
              <w:rPr>
                <w:i/>
                <w:sz w:val="20"/>
              </w:rPr>
              <w:t>two-year</w:t>
            </w:r>
            <w:r>
              <w:rPr>
                <w:i/>
                <w:spacing w:val="-6"/>
                <w:sz w:val="20"/>
              </w:rPr>
              <w:t> </w:t>
            </w:r>
            <w:r>
              <w:rPr>
                <w:i/>
                <w:sz w:val="20"/>
              </w:rPr>
              <w:t>carry-over</w:t>
            </w:r>
            <w:r>
              <w:rPr>
                <w:i/>
                <w:spacing w:val="-6"/>
                <w:sz w:val="20"/>
              </w:rPr>
              <w:t> </w:t>
            </w:r>
            <w:r>
              <w:rPr>
                <w:i/>
                <w:spacing w:val="-2"/>
                <w:sz w:val="20"/>
              </w:rPr>
              <w:t>pattern.</w:t>
            </w:r>
          </w:p>
        </w:tc>
        <w:tc>
          <w:tcPr>
            <w:tcW w:w="757" w:type="dxa"/>
            <w:tcBorders>
              <w:top w:val="nil"/>
              <w:left w:val="single" w:sz="4" w:space="0" w:color="000000"/>
              <w:right w:val="single" w:sz="4" w:space="0" w:color="000000"/>
            </w:tcBorders>
          </w:tcPr>
          <w:p>
            <w:pPr>
              <w:pStyle w:val="TableParagraph"/>
              <w:spacing w:before="96"/>
              <w:ind w:left="118"/>
              <w:rPr>
                <w:sz w:val="18"/>
              </w:rPr>
            </w:pPr>
            <w:r>
              <w:rPr>
                <w:spacing w:val="-6"/>
                <w:sz w:val="18"/>
              </w:rPr>
              <w:t>BELOW</w:t>
            </w: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0"/>
              <w:rPr>
                <w:sz w:val="18"/>
              </w:rPr>
            </w:pPr>
          </w:p>
          <w:p>
            <w:pPr>
              <w:pStyle w:val="TableParagraph"/>
              <w:spacing w:before="171"/>
              <w:rPr>
                <w:sz w:val="18"/>
              </w:rPr>
            </w:pPr>
          </w:p>
          <w:p>
            <w:pPr>
              <w:pStyle w:val="TableParagraph"/>
              <w:spacing w:before="0"/>
              <w:ind w:left="118"/>
              <w:rPr>
                <w:sz w:val="18"/>
              </w:rPr>
            </w:pPr>
            <w:r>
              <w:rPr>
                <w:spacing w:val="-6"/>
                <w:sz w:val="18"/>
              </w:rPr>
              <w:t>BELOW</w:t>
            </w:r>
          </w:p>
        </w:tc>
        <w:tc>
          <w:tcPr>
            <w:tcW w:w="984" w:type="dxa"/>
            <w:tcBorders>
              <w:top w:val="nil"/>
              <w:left w:val="single" w:sz="4" w:space="0" w:color="000000"/>
              <w:right w:val="single" w:sz="4" w:space="0" w:color="000000"/>
            </w:tcBorders>
          </w:tcPr>
          <w:p>
            <w:pPr>
              <w:pStyle w:val="TableParagraph"/>
              <w:spacing w:before="77"/>
              <w:ind w:left="118"/>
              <w:rPr>
                <w:sz w:val="20"/>
              </w:rPr>
            </w:pPr>
            <w:r>
              <w:rPr>
                <w:spacing w:val="-2"/>
                <w:sz w:val="20"/>
              </w:rPr>
              <w:t>-</w:t>
            </w:r>
            <w:r>
              <w:rPr>
                <w:spacing w:val="-5"/>
                <w:sz w:val="20"/>
              </w:rPr>
              <w:t>338</w:t>
            </w:r>
          </w:p>
          <w:p>
            <w:pPr>
              <w:pStyle w:val="TableParagraph"/>
              <w:spacing w:before="0"/>
              <w:rPr>
                <w:sz w:val="20"/>
              </w:rPr>
            </w:pPr>
          </w:p>
          <w:p>
            <w:pPr>
              <w:pStyle w:val="TableParagraph"/>
              <w:spacing w:before="0"/>
              <w:rPr>
                <w:sz w:val="20"/>
              </w:rPr>
            </w:pPr>
          </w:p>
          <w:p>
            <w:pPr>
              <w:pStyle w:val="TableParagraph"/>
              <w:spacing w:before="0"/>
              <w:rPr>
                <w:sz w:val="20"/>
              </w:rPr>
            </w:pPr>
          </w:p>
          <w:p>
            <w:pPr>
              <w:pStyle w:val="TableParagraph"/>
              <w:spacing w:before="0"/>
              <w:rPr>
                <w:sz w:val="20"/>
              </w:rPr>
            </w:pPr>
          </w:p>
          <w:p>
            <w:pPr>
              <w:pStyle w:val="TableParagraph"/>
              <w:spacing w:before="0"/>
              <w:rPr>
                <w:sz w:val="20"/>
              </w:rPr>
            </w:pPr>
          </w:p>
          <w:p>
            <w:pPr>
              <w:pStyle w:val="TableParagraph"/>
              <w:spacing w:before="217"/>
              <w:rPr>
                <w:sz w:val="20"/>
              </w:rPr>
            </w:pPr>
          </w:p>
          <w:p>
            <w:pPr>
              <w:pStyle w:val="TableParagraph"/>
              <w:spacing w:before="0"/>
              <w:ind w:left="118"/>
              <w:rPr>
                <w:sz w:val="20"/>
              </w:rPr>
            </w:pPr>
            <w:r>
              <w:rPr>
                <w:spacing w:val="-2"/>
                <w:sz w:val="20"/>
              </w:rPr>
              <w:t>-</w:t>
            </w:r>
            <w:r>
              <w:rPr>
                <w:spacing w:val="-5"/>
                <w:sz w:val="20"/>
              </w:rPr>
              <w:t>268</w:t>
            </w:r>
          </w:p>
        </w:tc>
        <w:tc>
          <w:tcPr>
            <w:tcW w:w="927" w:type="dxa"/>
            <w:tcBorders>
              <w:top w:val="nil"/>
              <w:left w:val="single" w:sz="4" w:space="0" w:color="000000"/>
              <w:right w:val="single" w:sz="4" w:space="0" w:color="000000"/>
            </w:tcBorders>
          </w:tcPr>
          <w:p>
            <w:pPr>
              <w:pStyle w:val="TableParagraph"/>
              <w:spacing w:before="77"/>
              <w:ind w:left="118"/>
              <w:rPr>
                <w:sz w:val="20"/>
              </w:rPr>
            </w:pPr>
            <w:r>
              <w:rPr>
                <w:spacing w:val="-2"/>
                <w:sz w:val="20"/>
              </w:rPr>
              <w:t>21.2%</w:t>
            </w:r>
          </w:p>
          <w:p>
            <w:pPr>
              <w:pStyle w:val="TableParagraph"/>
              <w:spacing w:before="0"/>
              <w:rPr>
                <w:sz w:val="20"/>
              </w:rPr>
            </w:pPr>
          </w:p>
          <w:p>
            <w:pPr>
              <w:pStyle w:val="TableParagraph"/>
              <w:spacing w:before="0"/>
              <w:rPr>
                <w:sz w:val="20"/>
              </w:rPr>
            </w:pPr>
          </w:p>
          <w:p>
            <w:pPr>
              <w:pStyle w:val="TableParagraph"/>
              <w:spacing w:before="0"/>
              <w:rPr>
                <w:sz w:val="20"/>
              </w:rPr>
            </w:pPr>
          </w:p>
          <w:p>
            <w:pPr>
              <w:pStyle w:val="TableParagraph"/>
              <w:spacing w:before="0"/>
              <w:rPr>
                <w:sz w:val="20"/>
              </w:rPr>
            </w:pPr>
          </w:p>
          <w:p>
            <w:pPr>
              <w:pStyle w:val="TableParagraph"/>
              <w:spacing w:before="0"/>
              <w:rPr>
                <w:sz w:val="20"/>
              </w:rPr>
            </w:pPr>
          </w:p>
          <w:p>
            <w:pPr>
              <w:pStyle w:val="TableParagraph"/>
              <w:spacing w:before="217"/>
              <w:rPr>
                <w:sz w:val="20"/>
              </w:rPr>
            </w:pPr>
          </w:p>
          <w:p>
            <w:pPr>
              <w:pStyle w:val="TableParagraph"/>
              <w:spacing w:before="0"/>
              <w:ind w:left="118"/>
              <w:rPr>
                <w:sz w:val="20"/>
              </w:rPr>
            </w:pPr>
            <w:r>
              <w:rPr>
                <w:spacing w:val="-2"/>
                <w:sz w:val="20"/>
              </w:rPr>
              <w:t>21.2%</w:t>
            </w:r>
          </w:p>
        </w:tc>
        <w:tc>
          <w:tcPr>
            <w:tcW w:w="923" w:type="dxa"/>
            <w:tcBorders>
              <w:top w:val="nil"/>
              <w:left w:val="single" w:sz="4" w:space="0" w:color="000000"/>
              <w:right w:val="nil"/>
            </w:tcBorders>
          </w:tcPr>
          <w:p>
            <w:pPr>
              <w:pStyle w:val="TableParagraph"/>
              <w:spacing w:before="77"/>
              <w:ind w:left="119"/>
              <w:rPr>
                <w:sz w:val="20"/>
              </w:rPr>
            </w:pPr>
            <w:r>
              <w:rPr>
                <w:spacing w:val="-2"/>
                <w:sz w:val="20"/>
              </w:rPr>
              <w:t>0.0198</w:t>
            </w:r>
          </w:p>
          <w:p>
            <w:pPr>
              <w:pStyle w:val="TableParagraph"/>
              <w:spacing w:before="0"/>
              <w:rPr>
                <w:sz w:val="20"/>
              </w:rPr>
            </w:pPr>
          </w:p>
          <w:p>
            <w:pPr>
              <w:pStyle w:val="TableParagraph"/>
              <w:spacing w:before="0"/>
              <w:rPr>
                <w:sz w:val="20"/>
              </w:rPr>
            </w:pPr>
          </w:p>
          <w:p>
            <w:pPr>
              <w:pStyle w:val="TableParagraph"/>
              <w:spacing w:before="0"/>
              <w:rPr>
                <w:sz w:val="20"/>
              </w:rPr>
            </w:pPr>
          </w:p>
          <w:p>
            <w:pPr>
              <w:pStyle w:val="TableParagraph"/>
              <w:spacing w:before="0"/>
              <w:rPr>
                <w:sz w:val="20"/>
              </w:rPr>
            </w:pPr>
          </w:p>
          <w:p>
            <w:pPr>
              <w:pStyle w:val="TableParagraph"/>
              <w:spacing w:before="0"/>
              <w:rPr>
                <w:sz w:val="20"/>
              </w:rPr>
            </w:pPr>
          </w:p>
          <w:p>
            <w:pPr>
              <w:pStyle w:val="TableParagraph"/>
              <w:spacing w:before="217"/>
              <w:rPr>
                <w:sz w:val="20"/>
              </w:rPr>
            </w:pPr>
          </w:p>
          <w:p>
            <w:pPr>
              <w:pStyle w:val="TableParagraph"/>
              <w:spacing w:before="0"/>
              <w:ind w:left="119"/>
              <w:rPr>
                <w:sz w:val="20"/>
              </w:rPr>
            </w:pPr>
            <w:r>
              <w:rPr>
                <w:spacing w:val="-2"/>
                <w:sz w:val="20"/>
              </w:rPr>
              <w:t>0.0216</w:t>
            </w:r>
          </w:p>
        </w:tc>
      </w:tr>
    </w:tbl>
    <w:p>
      <w:pPr>
        <w:spacing w:before="142"/>
        <w:ind w:left="0" w:right="485" w:firstLine="0"/>
        <w:jc w:val="right"/>
        <w:rPr>
          <w:i/>
          <w:sz w:val="20"/>
        </w:rPr>
      </w:pPr>
      <w:r>
        <w:rPr>
          <w:i/>
          <w:sz w:val="20"/>
        </w:rPr>
        <w:t>Continued</w:t>
      </w:r>
      <w:r>
        <w:rPr>
          <w:i/>
          <w:spacing w:val="-7"/>
          <w:sz w:val="20"/>
        </w:rPr>
        <w:t> </w:t>
      </w:r>
      <w:r>
        <w:rPr>
          <w:i/>
          <w:sz w:val="20"/>
        </w:rPr>
        <w:t>on</w:t>
      </w:r>
      <w:r>
        <w:rPr>
          <w:i/>
          <w:spacing w:val="-7"/>
          <w:sz w:val="20"/>
        </w:rPr>
        <w:t> </w:t>
      </w:r>
      <w:r>
        <w:rPr>
          <w:i/>
          <w:sz w:val="20"/>
        </w:rPr>
        <w:t>next</w:t>
      </w:r>
      <w:r>
        <w:rPr>
          <w:i/>
          <w:spacing w:val="-7"/>
          <w:sz w:val="20"/>
        </w:rPr>
        <w:t> </w:t>
      </w:r>
      <w:r>
        <w:rPr>
          <w:i/>
          <w:spacing w:val="-4"/>
          <w:sz w:val="20"/>
        </w:rPr>
        <w:t>page</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64"/>
        <w:rPr>
          <w:i/>
          <w:sz w:val="20"/>
        </w:rPr>
      </w:pPr>
    </w:p>
    <w:p>
      <w:pPr>
        <w:pStyle w:val="BodyText"/>
        <w:ind w:left="601" w:right="882"/>
        <w:jc w:val="center"/>
      </w:pPr>
      <w:r>
        <w:rPr>
          <w:spacing w:val="-5"/>
        </w:rPr>
        <w:t>81</w:t>
      </w:r>
    </w:p>
    <w:p>
      <w:pPr>
        <w:pStyle w:val="BodyText"/>
        <w:spacing w:after="0"/>
        <w:jc w:val="center"/>
        <w:sectPr>
          <w:headerReference w:type="default" r:id="rId108"/>
          <w:pgSz w:w="11910" w:h="16840"/>
          <w:pgMar w:header="0" w:footer="0" w:top="1920" w:bottom="280" w:left="1275" w:right="425"/>
        </w:sectPr>
      </w:pPr>
    </w:p>
    <w:p>
      <w:pPr>
        <w:pStyle w:val="BodyText"/>
        <w:rPr>
          <w:sz w:val="20"/>
        </w:rPr>
      </w:pPr>
    </w:p>
    <w:p>
      <w:pPr>
        <w:pStyle w:val="BodyText"/>
        <w:spacing w:before="135"/>
        <w:rPr>
          <w:sz w:val="20"/>
        </w:rPr>
      </w:pPr>
    </w:p>
    <w:p>
      <w:pPr>
        <w:spacing w:before="0"/>
        <w:ind w:left="261" w:right="0" w:firstLine="0"/>
        <w:jc w:val="left"/>
        <w:rPr>
          <w:i/>
          <w:sz w:val="20"/>
        </w:rPr>
      </w:pPr>
      <w:r>
        <w:rPr>
          <w:i/>
          <w:spacing w:val="-2"/>
          <w:sz w:val="20"/>
        </w:rPr>
        <w:t>Table</w:t>
      </w:r>
      <w:r>
        <w:rPr>
          <w:i/>
          <w:spacing w:val="-7"/>
          <w:sz w:val="20"/>
        </w:rPr>
        <w:t> </w:t>
      </w:r>
      <w:r>
        <w:rPr>
          <w:i/>
          <w:spacing w:val="-2"/>
          <w:sz w:val="20"/>
        </w:rPr>
        <w:t>A.2</w:t>
      </w:r>
      <w:r>
        <w:rPr>
          <w:i/>
          <w:spacing w:val="-6"/>
          <w:sz w:val="20"/>
        </w:rPr>
        <w:t> </w:t>
      </w:r>
      <w:r>
        <w:rPr>
          <w:i/>
          <w:spacing w:val="-2"/>
          <w:sz w:val="20"/>
        </w:rPr>
        <w:t>continued</w:t>
      </w:r>
    </w:p>
    <w:p>
      <w:pPr>
        <w:pStyle w:val="BodyText"/>
        <w:spacing w:before="8"/>
        <w:rPr>
          <w:i/>
          <w:sz w:val="4"/>
        </w:rPr>
      </w:pPr>
      <w:r>
        <w:rPr>
          <w:i/>
          <w:sz w:val="4"/>
        </w:rPr>
        <mc:AlternateContent>
          <mc:Choice Requires="wps">
            <w:drawing>
              <wp:anchor distT="0" distB="0" distL="0" distR="0" allowOverlap="1" layoutInCell="1" locked="0" behindDoc="1" simplePos="0" relativeHeight="487631360">
                <wp:simplePos x="0" y="0"/>
                <wp:positionH relativeFrom="page">
                  <wp:posOffset>899998</wp:posOffset>
                </wp:positionH>
                <wp:positionV relativeFrom="paragraph">
                  <wp:posOffset>50107</wp:posOffset>
                </wp:positionV>
                <wp:extent cx="5796280" cy="1270"/>
                <wp:effectExtent l="0" t="0" r="0" b="0"/>
                <wp:wrapTopAndBottom/>
                <wp:docPr id="249" name="Graphic 249"/>
                <wp:cNvGraphicFramePr>
                  <a:graphicFrameLocks/>
                </wp:cNvGraphicFramePr>
                <a:graphic>
                  <a:graphicData uri="http://schemas.microsoft.com/office/word/2010/wordprocessingShape">
                    <wps:wsp>
                      <wps:cNvPr id="249" name="Graphic 249"/>
                      <wps:cNvSpPr/>
                      <wps:spPr>
                        <a:xfrm>
                          <a:off x="0" y="0"/>
                          <a:ext cx="5796280" cy="1270"/>
                        </a:xfrm>
                        <a:custGeom>
                          <a:avLst/>
                          <a:gdLst/>
                          <a:ahLst/>
                          <a:cxnLst/>
                          <a:rect l="l" t="t" r="r" b="b"/>
                          <a:pathLst>
                            <a:path w="5796280" h="0">
                              <a:moveTo>
                                <a:pt x="0" y="0"/>
                              </a:moveTo>
                              <a:lnTo>
                                <a:pt x="579628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3.945472pt;width:456.4pt;height:.1pt;mso-position-horizontal-relative:page;mso-position-vertical-relative:paragraph;z-index:-15685120;mso-wrap-distance-left:0;mso-wrap-distance-right:0" id="docshape213" coordorigin="1417,79" coordsize="9128,0" path="m1417,79l10545,79e" filled="false" stroked="true" strokeweight=".868pt" strokecolor="#000000">
                <v:path arrowok="t"/>
                <v:stroke dashstyle="solid"/>
                <w10:wrap type="topAndBottom"/>
              </v:shape>
            </w:pict>
          </mc:Fallback>
        </mc:AlternateContent>
      </w:r>
    </w:p>
    <w:p>
      <w:pPr>
        <w:pStyle w:val="BodyText"/>
        <w:spacing w:before="9"/>
        <w:rPr>
          <w:i/>
          <w:sz w:val="4"/>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70"/>
        <w:gridCol w:w="5066"/>
        <w:gridCol w:w="757"/>
        <w:gridCol w:w="984"/>
        <w:gridCol w:w="927"/>
        <w:gridCol w:w="923"/>
      </w:tblGrid>
      <w:tr>
        <w:trPr>
          <w:trHeight w:val="702" w:hRule="atLeast"/>
        </w:trPr>
        <w:tc>
          <w:tcPr>
            <w:tcW w:w="470" w:type="dxa"/>
            <w:tcBorders>
              <w:top w:val="nil"/>
              <w:left w:val="nil"/>
              <w:right w:val="single" w:sz="4" w:space="0" w:color="000000"/>
            </w:tcBorders>
          </w:tcPr>
          <w:p>
            <w:pPr>
              <w:pStyle w:val="TableParagraph"/>
              <w:spacing w:before="77"/>
              <w:ind w:left="119"/>
              <w:rPr>
                <w:sz w:val="20"/>
              </w:rPr>
            </w:pPr>
            <w:r>
              <w:rPr>
                <w:spacing w:val="-10"/>
                <w:sz w:val="20"/>
              </w:rPr>
              <w:t>#</w:t>
            </w:r>
          </w:p>
        </w:tc>
        <w:tc>
          <w:tcPr>
            <w:tcW w:w="5066" w:type="dxa"/>
            <w:tcBorders>
              <w:top w:val="nil"/>
              <w:left w:val="single" w:sz="4" w:space="0" w:color="000000"/>
              <w:right w:val="single" w:sz="4" w:space="0" w:color="000000"/>
            </w:tcBorders>
          </w:tcPr>
          <w:p>
            <w:pPr>
              <w:pStyle w:val="TableParagraph"/>
              <w:spacing w:before="77"/>
              <w:ind w:left="118"/>
              <w:rPr>
                <w:sz w:val="20"/>
              </w:rPr>
            </w:pPr>
            <w:r>
              <w:rPr>
                <w:spacing w:val="-2"/>
                <w:sz w:val="20"/>
              </w:rPr>
              <w:t>Conditions</w:t>
            </w:r>
          </w:p>
        </w:tc>
        <w:tc>
          <w:tcPr>
            <w:tcW w:w="757" w:type="dxa"/>
            <w:tcBorders>
              <w:top w:val="nil"/>
              <w:left w:val="single" w:sz="4" w:space="0" w:color="000000"/>
              <w:right w:val="single" w:sz="4" w:space="0" w:color="000000"/>
            </w:tcBorders>
          </w:tcPr>
          <w:p>
            <w:pPr>
              <w:pStyle w:val="TableParagraph"/>
              <w:spacing w:before="77"/>
              <w:ind w:left="221"/>
              <w:rPr>
                <w:sz w:val="20"/>
              </w:rPr>
            </w:pPr>
            <w:r>
              <w:rPr>
                <w:spacing w:val="-4"/>
                <w:sz w:val="20"/>
              </w:rPr>
              <w:t>Dir.</w:t>
            </w:r>
          </w:p>
        </w:tc>
        <w:tc>
          <w:tcPr>
            <w:tcW w:w="984" w:type="dxa"/>
            <w:tcBorders>
              <w:top w:val="nil"/>
              <w:left w:val="single" w:sz="4" w:space="0" w:color="000000"/>
              <w:right w:val="single" w:sz="4" w:space="0" w:color="000000"/>
            </w:tcBorders>
          </w:tcPr>
          <w:p>
            <w:pPr>
              <w:pStyle w:val="TableParagraph"/>
              <w:spacing w:before="77"/>
              <w:ind w:left="118"/>
              <w:rPr>
                <w:sz w:val="20"/>
              </w:rPr>
            </w:pPr>
            <w:r>
              <w:rPr>
                <w:spacing w:val="-2"/>
                <w:sz w:val="20"/>
              </w:rPr>
              <w:t>Median</w:t>
            </w:r>
          </w:p>
          <w:p>
            <w:pPr>
              <w:pStyle w:val="TableParagraph"/>
              <w:spacing w:before="56"/>
              <w:ind w:left="118"/>
              <w:rPr>
                <w:sz w:val="20"/>
              </w:rPr>
            </w:pPr>
            <w:r>
              <w:rPr>
                <w:rFonts w:ascii="Calibri" w:hAnsi="Calibri"/>
                <w:sz w:val="20"/>
              </w:rPr>
              <w:t>∆</w:t>
            </w:r>
            <w:r>
              <w:rPr>
                <w:rFonts w:ascii="Calibri" w:hAnsi="Calibri"/>
                <w:spacing w:val="13"/>
                <w:sz w:val="20"/>
              </w:rPr>
              <w:t> </w:t>
            </w:r>
            <w:r>
              <w:rPr>
                <w:spacing w:val="-4"/>
                <w:sz w:val="20"/>
              </w:rPr>
              <w:t>(mhl)</w:t>
            </w:r>
          </w:p>
        </w:tc>
        <w:tc>
          <w:tcPr>
            <w:tcW w:w="927" w:type="dxa"/>
            <w:tcBorders>
              <w:top w:val="nil"/>
              <w:left w:val="single" w:sz="4" w:space="0" w:color="000000"/>
              <w:right w:val="single" w:sz="4" w:space="0" w:color="000000"/>
            </w:tcBorders>
          </w:tcPr>
          <w:p>
            <w:pPr>
              <w:pStyle w:val="TableParagraph"/>
              <w:spacing w:before="77"/>
              <w:ind w:left="118"/>
              <w:rPr>
                <w:sz w:val="20"/>
              </w:rPr>
            </w:pPr>
            <w:r>
              <w:rPr>
                <w:spacing w:val="-2"/>
                <w:sz w:val="20"/>
              </w:rPr>
              <w:t>Support</w:t>
            </w:r>
          </w:p>
        </w:tc>
        <w:tc>
          <w:tcPr>
            <w:tcW w:w="923" w:type="dxa"/>
            <w:tcBorders>
              <w:top w:val="nil"/>
              <w:left w:val="single" w:sz="4" w:space="0" w:color="000000"/>
              <w:right w:val="nil"/>
            </w:tcBorders>
          </w:tcPr>
          <w:p>
            <w:pPr>
              <w:pStyle w:val="TableParagraph"/>
              <w:spacing w:before="77"/>
              <w:ind w:left="119"/>
              <w:rPr>
                <w:sz w:val="20"/>
              </w:rPr>
            </w:pPr>
            <w:r>
              <w:rPr>
                <w:spacing w:val="-2"/>
                <w:sz w:val="20"/>
              </w:rPr>
              <w:t>p-</w:t>
            </w:r>
            <w:r>
              <w:rPr>
                <w:spacing w:val="-4"/>
                <w:sz w:val="20"/>
              </w:rPr>
              <w:t>value</w:t>
            </w:r>
          </w:p>
        </w:tc>
      </w:tr>
    </w:tbl>
    <w:p>
      <w:pPr>
        <w:pStyle w:val="BodyText"/>
        <w:spacing w:before="2"/>
        <w:rPr>
          <w:i/>
          <w:sz w:val="5"/>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70"/>
        <w:gridCol w:w="5066"/>
        <w:gridCol w:w="757"/>
        <w:gridCol w:w="984"/>
        <w:gridCol w:w="927"/>
        <w:gridCol w:w="923"/>
      </w:tblGrid>
      <w:tr>
        <w:trPr>
          <w:trHeight w:val="10795" w:hRule="atLeast"/>
        </w:trPr>
        <w:tc>
          <w:tcPr>
            <w:tcW w:w="470" w:type="dxa"/>
            <w:tcBorders>
              <w:top w:val="nil"/>
              <w:left w:val="nil"/>
              <w:right w:val="single" w:sz="4" w:space="0" w:color="000000"/>
            </w:tcBorders>
          </w:tcPr>
          <w:p>
            <w:pPr>
              <w:pStyle w:val="TableParagraph"/>
              <w:spacing w:before="77"/>
              <w:ind w:left="119"/>
              <w:rPr>
                <w:sz w:val="20"/>
              </w:rPr>
            </w:pPr>
            <w:r>
              <w:rPr>
                <w:spacing w:val="-10"/>
                <w:sz w:val="20"/>
              </w:rPr>
              <w:t>3</w:t>
            </w: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97"/>
              <w:rPr>
                <w:i/>
                <w:sz w:val="20"/>
              </w:rPr>
            </w:pPr>
          </w:p>
          <w:p>
            <w:pPr>
              <w:pStyle w:val="TableParagraph"/>
              <w:spacing w:before="0"/>
              <w:ind w:left="119"/>
              <w:rPr>
                <w:sz w:val="20"/>
              </w:rPr>
            </w:pPr>
            <w:r>
              <w:rPr>
                <w:spacing w:val="-10"/>
                <w:sz w:val="20"/>
              </w:rPr>
              <w:t>4</w:t>
            </w: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217"/>
              <w:rPr>
                <w:i/>
                <w:sz w:val="20"/>
              </w:rPr>
            </w:pPr>
          </w:p>
          <w:p>
            <w:pPr>
              <w:pStyle w:val="TableParagraph"/>
              <w:spacing w:before="0"/>
              <w:ind w:left="119"/>
              <w:rPr>
                <w:sz w:val="20"/>
              </w:rPr>
            </w:pPr>
            <w:r>
              <w:rPr>
                <w:spacing w:val="-10"/>
                <w:sz w:val="20"/>
              </w:rPr>
              <w:t>5</w:t>
            </w: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158"/>
              <w:rPr>
                <w:i/>
                <w:sz w:val="20"/>
              </w:rPr>
            </w:pPr>
          </w:p>
          <w:p>
            <w:pPr>
              <w:pStyle w:val="TableParagraph"/>
              <w:spacing w:before="0"/>
              <w:ind w:left="119"/>
              <w:rPr>
                <w:sz w:val="20"/>
              </w:rPr>
            </w:pPr>
            <w:r>
              <w:rPr>
                <w:spacing w:val="-10"/>
                <w:sz w:val="20"/>
              </w:rPr>
              <w:t>6</w:t>
            </w: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157"/>
              <w:rPr>
                <w:i/>
                <w:sz w:val="20"/>
              </w:rPr>
            </w:pPr>
          </w:p>
          <w:p>
            <w:pPr>
              <w:pStyle w:val="TableParagraph"/>
              <w:spacing w:before="0"/>
              <w:ind w:left="119"/>
              <w:rPr>
                <w:sz w:val="20"/>
              </w:rPr>
            </w:pPr>
            <w:r>
              <w:rPr>
                <w:spacing w:val="-10"/>
                <w:sz w:val="20"/>
              </w:rPr>
              <w:t>7</w:t>
            </w: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157"/>
              <w:rPr>
                <w:i/>
                <w:sz w:val="20"/>
              </w:rPr>
            </w:pPr>
          </w:p>
          <w:p>
            <w:pPr>
              <w:pStyle w:val="TableParagraph"/>
              <w:spacing w:before="0"/>
              <w:ind w:left="119"/>
              <w:rPr>
                <w:sz w:val="20"/>
              </w:rPr>
            </w:pPr>
            <w:r>
              <w:rPr>
                <w:spacing w:val="-10"/>
                <w:sz w:val="20"/>
              </w:rPr>
              <w:t>8</w:t>
            </w: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157"/>
              <w:rPr>
                <w:i/>
                <w:sz w:val="20"/>
              </w:rPr>
            </w:pPr>
          </w:p>
          <w:p>
            <w:pPr>
              <w:pStyle w:val="TableParagraph"/>
              <w:spacing w:before="1"/>
              <w:ind w:left="119"/>
              <w:rPr>
                <w:sz w:val="20"/>
              </w:rPr>
            </w:pPr>
            <w:r>
              <w:rPr>
                <w:spacing w:val="-10"/>
                <w:sz w:val="20"/>
              </w:rPr>
              <w:t>9</w:t>
            </w:r>
          </w:p>
        </w:tc>
        <w:tc>
          <w:tcPr>
            <w:tcW w:w="5066" w:type="dxa"/>
            <w:tcBorders>
              <w:top w:val="nil"/>
              <w:left w:val="single" w:sz="4" w:space="0" w:color="000000"/>
              <w:right w:val="single" w:sz="4" w:space="0" w:color="000000"/>
            </w:tcBorders>
          </w:tcPr>
          <w:p>
            <w:pPr>
              <w:pStyle w:val="TableParagraph"/>
              <w:spacing w:line="302" w:lineRule="auto" w:before="77"/>
              <w:ind w:left="118" w:right="116"/>
              <w:jc w:val="both"/>
              <w:rPr>
                <w:b/>
                <w:sz w:val="20"/>
              </w:rPr>
            </w:pPr>
            <w:r>
              <w:rPr>
                <w:b/>
                <w:sz w:val="20"/>
              </w:rPr>
              <w:t>Soil</w:t>
            </w:r>
            <w:r>
              <w:rPr>
                <w:b/>
                <w:spacing w:val="-10"/>
                <w:sz w:val="20"/>
              </w:rPr>
              <w:t> </w:t>
            </w:r>
            <w:r>
              <w:rPr>
                <w:b/>
                <w:sz w:val="20"/>
              </w:rPr>
              <w:t>water</w:t>
            </w:r>
            <w:r>
              <w:rPr>
                <w:b/>
                <w:spacing w:val="-10"/>
                <w:sz w:val="20"/>
              </w:rPr>
              <w:t> </w:t>
            </w:r>
            <w:r>
              <w:rPr>
                <w:b/>
                <w:sz w:val="20"/>
              </w:rPr>
              <w:t>post-Flowering</w:t>
            </w:r>
            <w:r>
              <w:rPr>
                <w:b/>
                <w:spacing w:val="-10"/>
                <w:sz w:val="20"/>
              </w:rPr>
              <w:t> </w:t>
            </w:r>
            <w:r>
              <w:rPr>
                <w:b/>
                <w:sz w:val="20"/>
              </w:rPr>
              <w:t>[143–234</w:t>
            </w:r>
            <w:r>
              <w:rPr>
                <w:b/>
                <w:spacing w:val="-10"/>
                <w:sz w:val="20"/>
              </w:rPr>
              <w:t> </w:t>
            </w:r>
            <w:r>
              <w:rPr>
                <w:b/>
                <w:sz w:val="20"/>
              </w:rPr>
              <w:t>mm]</w:t>
            </w:r>
            <w:r>
              <w:rPr>
                <w:b/>
                <w:spacing w:val="-10"/>
                <w:sz w:val="20"/>
              </w:rPr>
              <w:t> </w:t>
            </w:r>
            <w:r>
              <w:rPr>
                <w:b/>
                <w:sz w:val="20"/>
              </w:rPr>
              <w:t>AND</w:t>
            </w:r>
            <w:r>
              <w:rPr>
                <w:b/>
                <w:spacing w:val="-10"/>
                <w:sz w:val="20"/>
              </w:rPr>
              <w:t> </w:t>
            </w:r>
            <w:r>
              <w:rPr>
                <w:b/>
                <w:sz w:val="20"/>
              </w:rPr>
              <w:t>Heat</w:t>
            </w:r>
            <w:r>
              <w:rPr>
                <w:b/>
                <w:spacing w:val="-10"/>
                <w:sz w:val="20"/>
              </w:rPr>
              <w:t> </w:t>
            </w:r>
            <w:r>
              <w:rPr>
                <w:b/>
                <w:sz w:val="20"/>
              </w:rPr>
              <w:t>days post-Maturity [0–2.4d]</w:t>
            </w:r>
          </w:p>
          <w:p>
            <w:pPr>
              <w:pStyle w:val="TableParagraph"/>
              <w:spacing w:line="302" w:lineRule="auto" w:before="0"/>
              <w:ind w:left="118" w:right="116" w:hanging="8"/>
              <w:jc w:val="both"/>
              <w:rPr>
                <w:i/>
                <w:sz w:val="20"/>
              </w:rPr>
            </w:pPr>
            <w:r>
              <w:rPr>
                <w:i/>
                <w:sz w:val="20"/>
              </w:rPr>
              <w:t>Highest-support</w:t>
            </w:r>
            <w:r>
              <w:rPr>
                <w:i/>
                <w:spacing w:val="-13"/>
                <w:sz w:val="20"/>
              </w:rPr>
              <w:t> </w:t>
            </w:r>
            <w:r>
              <w:rPr>
                <w:i/>
                <w:sz w:val="20"/>
              </w:rPr>
              <w:t>below-trend</w:t>
            </w:r>
            <w:r>
              <w:rPr>
                <w:i/>
                <w:spacing w:val="-12"/>
                <w:sz w:val="20"/>
              </w:rPr>
              <w:t> </w:t>
            </w:r>
            <w:r>
              <w:rPr>
                <w:i/>
                <w:sz w:val="20"/>
              </w:rPr>
              <w:t>rule:</w:t>
            </w:r>
            <w:r>
              <w:rPr>
                <w:i/>
                <w:spacing w:val="-11"/>
                <w:sz w:val="20"/>
              </w:rPr>
              <w:t> </w:t>
            </w:r>
            <w:r>
              <w:rPr>
                <w:i/>
                <w:sz w:val="20"/>
              </w:rPr>
              <w:t>moist</w:t>
            </w:r>
            <w:r>
              <w:rPr>
                <w:i/>
                <w:spacing w:val="-12"/>
                <w:sz w:val="20"/>
              </w:rPr>
              <w:t> </w:t>
            </w:r>
            <w:r>
              <w:rPr>
                <w:i/>
                <w:sz w:val="20"/>
              </w:rPr>
              <w:t>post-flowering</w:t>
            </w:r>
            <w:r>
              <w:rPr>
                <w:i/>
                <w:spacing w:val="-13"/>
                <w:sz w:val="20"/>
              </w:rPr>
              <w:t> </w:t>
            </w:r>
            <w:r>
              <w:rPr>
                <w:i/>
                <w:sz w:val="20"/>
              </w:rPr>
              <w:t>with</w:t>
            </w:r>
            <w:r>
              <w:rPr>
                <w:i/>
                <w:sz w:val="20"/>
              </w:rPr>
              <w:t> low heat at maturity.</w:t>
            </w:r>
          </w:p>
          <w:p>
            <w:pPr>
              <w:pStyle w:val="TableParagraph"/>
              <w:spacing w:line="300" w:lineRule="auto"/>
              <w:ind w:left="118" w:right="116"/>
              <w:jc w:val="both"/>
              <w:rPr>
                <w:b/>
                <w:sz w:val="20"/>
              </w:rPr>
            </w:pPr>
            <w:r>
              <w:rPr>
                <w:b/>
                <w:sz w:val="20"/>
              </w:rPr>
              <w:t>Temp post-Budburst prev.yr [11.2–13.5</w:t>
            </w:r>
            <w:r>
              <w:rPr>
                <w:rFonts w:ascii="Meiryo UI" w:hAnsi="Meiryo UI"/>
                <w:i/>
                <w:position w:val="7"/>
                <w:sz w:val="14"/>
              </w:rPr>
              <w:t>◦</w:t>
            </w:r>
            <w:r>
              <w:rPr>
                <w:b/>
                <w:sz w:val="20"/>
              </w:rPr>
              <w:t>C] AND </w:t>
            </w:r>
            <w:r>
              <w:rPr>
                <w:b/>
                <w:sz w:val="20"/>
              </w:rPr>
              <w:t>Cold </w:t>
            </w:r>
            <w:r>
              <w:rPr>
                <w:b/>
                <w:spacing w:val="-4"/>
                <w:sz w:val="20"/>
              </w:rPr>
              <w:t>days at Flowering [0–3.4d] AND Heat days post-Flowering </w:t>
            </w:r>
            <w:r>
              <w:rPr>
                <w:b/>
                <w:spacing w:val="-2"/>
                <w:sz w:val="20"/>
              </w:rPr>
              <w:t>[0–1.1d]</w:t>
            </w:r>
          </w:p>
          <w:p>
            <w:pPr>
              <w:pStyle w:val="TableParagraph"/>
              <w:spacing w:line="302" w:lineRule="auto" w:before="8"/>
              <w:ind w:left="118" w:right="83" w:hanging="12"/>
              <w:jc w:val="both"/>
              <w:rPr>
                <w:i/>
                <w:sz w:val="20"/>
              </w:rPr>
            </w:pPr>
            <w:r>
              <w:rPr>
                <w:i/>
                <w:sz w:val="20"/>
              </w:rPr>
              <w:t>The only above-trend rule: warm-but-not-extreme previous-</w:t>
            </w:r>
            <w:r>
              <w:rPr>
                <w:i/>
                <w:spacing w:val="-2"/>
                <w:sz w:val="20"/>
              </w:rPr>
              <w:t>year</w:t>
            </w:r>
            <w:r>
              <w:rPr>
                <w:i/>
                <w:spacing w:val="-11"/>
                <w:sz w:val="20"/>
              </w:rPr>
              <w:t> </w:t>
            </w:r>
            <w:r>
              <w:rPr>
                <w:i/>
                <w:spacing w:val="-2"/>
                <w:sz w:val="20"/>
              </w:rPr>
              <w:t>budburst</w:t>
            </w:r>
            <w:r>
              <w:rPr>
                <w:i/>
                <w:spacing w:val="-10"/>
                <w:sz w:val="20"/>
              </w:rPr>
              <w:t> </w:t>
            </w:r>
            <w:r>
              <w:rPr>
                <w:i/>
                <w:spacing w:val="-2"/>
                <w:sz w:val="20"/>
              </w:rPr>
              <w:t>with</w:t>
            </w:r>
            <w:r>
              <w:rPr>
                <w:i/>
                <w:spacing w:val="-11"/>
                <w:sz w:val="20"/>
              </w:rPr>
              <w:t> </w:t>
            </w:r>
            <w:r>
              <w:rPr>
                <w:i/>
                <w:spacing w:val="-2"/>
                <w:sz w:val="20"/>
              </w:rPr>
              <w:t>mild</w:t>
            </w:r>
            <w:r>
              <w:rPr>
                <w:i/>
                <w:spacing w:val="-10"/>
                <w:sz w:val="20"/>
              </w:rPr>
              <w:t> </w:t>
            </w:r>
            <w:r>
              <w:rPr>
                <w:i/>
                <w:spacing w:val="-2"/>
                <w:sz w:val="20"/>
              </w:rPr>
              <w:t>current-year</w:t>
            </w:r>
            <w:r>
              <w:rPr>
                <w:i/>
                <w:spacing w:val="-11"/>
                <w:sz w:val="20"/>
              </w:rPr>
              <w:t> </w:t>
            </w:r>
            <w:r>
              <w:rPr>
                <w:i/>
                <w:spacing w:val="-2"/>
                <w:sz w:val="20"/>
              </w:rPr>
              <w:t>flowering.</w:t>
            </w:r>
            <w:r>
              <w:rPr>
                <w:i/>
                <w:spacing w:val="-10"/>
                <w:sz w:val="20"/>
              </w:rPr>
              <w:t> </w:t>
            </w:r>
            <w:r>
              <w:rPr>
                <w:i/>
                <w:spacing w:val="-2"/>
                <w:sz w:val="20"/>
              </w:rPr>
              <w:t>Largest</w:t>
            </w:r>
            <w:r>
              <w:rPr>
                <w:i/>
                <w:spacing w:val="-11"/>
                <w:sz w:val="20"/>
              </w:rPr>
              <w:t> </w:t>
            </w:r>
            <w:r>
              <w:rPr>
                <w:i/>
                <w:spacing w:val="-2"/>
                <w:sz w:val="20"/>
              </w:rPr>
              <w:t>abso-</w:t>
            </w:r>
            <w:r>
              <w:rPr>
                <w:i/>
                <w:sz w:val="20"/>
              </w:rPr>
              <w:t>lute deviation in either region (+311 mhl).</w:t>
            </w:r>
          </w:p>
          <w:p>
            <w:pPr>
              <w:pStyle w:val="TableParagraph"/>
              <w:spacing w:line="300" w:lineRule="auto"/>
              <w:ind w:left="118" w:right="83"/>
              <w:jc w:val="both"/>
              <w:rPr>
                <w:b/>
                <w:sz w:val="20"/>
              </w:rPr>
            </w:pPr>
            <w:r>
              <w:rPr>
                <w:b/>
                <w:spacing w:val="-2"/>
                <w:sz w:val="20"/>
              </w:rPr>
              <w:t>Temp</w:t>
            </w:r>
            <w:r>
              <w:rPr>
                <w:b/>
                <w:spacing w:val="-9"/>
                <w:sz w:val="20"/>
              </w:rPr>
              <w:t> </w:t>
            </w:r>
            <w:r>
              <w:rPr>
                <w:b/>
                <w:spacing w:val="-2"/>
                <w:sz w:val="20"/>
              </w:rPr>
              <w:t>post-Flowering</w:t>
            </w:r>
            <w:r>
              <w:rPr>
                <w:b/>
                <w:spacing w:val="-9"/>
                <w:sz w:val="20"/>
              </w:rPr>
              <w:t> </w:t>
            </w:r>
            <w:r>
              <w:rPr>
                <w:b/>
                <w:spacing w:val="-2"/>
                <w:sz w:val="20"/>
              </w:rPr>
              <w:t>[12.6–17.5</w:t>
            </w:r>
            <w:r>
              <w:rPr>
                <w:rFonts w:ascii="Meiryo UI" w:hAnsi="Meiryo UI"/>
                <w:i/>
                <w:spacing w:val="-2"/>
                <w:position w:val="7"/>
                <w:sz w:val="14"/>
              </w:rPr>
              <w:t>◦</w:t>
            </w:r>
            <w:r>
              <w:rPr>
                <w:b/>
                <w:spacing w:val="-2"/>
                <w:sz w:val="20"/>
              </w:rPr>
              <w:t>C]</w:t>
            </w:r>
            <w:r>
              <w:rPr>
                <w:b/>
                <w:spacing w:val="-9"/>
                <w:sz w:val="20"/>
              </w:rPr>
              <w:t> </w:t>
            </w:r>
            <w:r>
              <w:rPr>
                <w:b/>
                <w:spacing w:val="-2"/>
                <w:sz w:val="20"/>
              </w:rPr>
              <w:t>AND</w:t>
            </w:r>
            <w:r>
              <w:rPr>
                <w:b/>
                <w:spacing w:val="-9"/>
                <w:sz w:val="20"/>
              </w:rPr>
              <w:t> </w:t>
            </w:r>
            <w:r>
              <w:rPr>
                <w:b/>
                <w:spacing w:val="-2"/>
                <w:sz w:val="20"/>
              </w:rPr>
              <w:t>Heat</w:t>
            </w:r>
            <w:r>
              <w:rPr>
                <w:b/>
                <w:spacing w:val="-9"/>
                <w:sz w:val="20"/>
              </w:rPr>
              <w:t> </w:t>
            </w:r>
            <w:r>
              <w:rPr>
                <w:b/>
                <w:spacing w:val="-2"/>
                <w:sz w:val="20"/>
              </w:rPr>
              <w:t>days</w:t>
            </w:r>
            <w:r>
              <w:rPr>
                <w:b/>
                <w:spacing w:val="-9"/>
                <w:sz w:val="20"/>
              </w:rPr>
              <w:t> </w:t>
            </w:r>
            <w:r>
              <w:rPr>
                <w:b/>
                <w:spacing w:val="-2"/>
                <w:sz w:val="20"/>
              </w:rPr>
              <w:t>post-</w:t>
            </w:r>
            <w:r>
              <w:rPr>
                <w:b/>
                <w:sz w:val="20"/>
              </w:rPr>
              <w:t>Maturity [0–2.4d] AND Wet-soil days post-Flowering prev.yr [17.5–20d]</w:t>
            </w:r>
          </w:p>
          <w:p>
            <w:pPr>
              <w:pStyle w:val="TableParagraph"/>
              <w:spacing w:line="302" w:lineRule="auto" w:before="7"/>
              <w:ind w:left="118" w:right="83" w:hanging="7"/>
              <w:jc w:val="both"/>
              <w:rPr>
                <w:i/>
                <w:sz w:val="20"/>
              </w:rPr>
            </w:pPr>
            <w:r>
              <w:rPr>
                <w:i/>
                <w:spacing w:val="-2"/>
                <w:sz w:val="20"/>
              </w:rPr>
              <w:t>Cool</w:t>
            </w:r>
            <w:r>
              <w:rPr>
                <w:i/>
                <w:spacing w:val="-8"/>
                <w:sz w:val="20"/>
              </w:rPr>
              <w:t> </w:t>
            </w:r>
            <w:r>
              <w:rPr>
                <w:i/>
                <w:spacing w:val="-2"/>
                <w:sz w:val="20"/>
              </w:rPr>
              <w:t>post-flowering</w:t>
            </w:r>
            <w:r>
              <w:rPr>
                <w:i/>
                <w:spacing w:val="-9"/>
                <w:sz w:val="20"/>
              </w:rPr>
              <w:t> </w:t>
            </w:r>
            <w:r>
              <w:rPr>
                <w:i/>
                <w:spacing w:val="-2"/>
                <w:sz w:val="20"/>
              </w:rPr>
              <w:t>temperature</w:t>
            </w:r>
            <w:r>
              <w:rPr>
                <w:i/>
                <w:spacing w:val="-8"/>
                <w:sz w:val="20"/>
              </w:rPr>
              <w:t> </w:t>
            </w:r>
            <w:r>
              <w:rPr>
                <w:i/>
                <w:spacing w:val="-2"/>
                <w:sz w:val="20"/>
              </w:rPr>
              <w:t>with</w:t>
            </w:r>
            <w:r>
              <w:rPr>
                <w:i/>
                <w:spacing w:val="-8"/>
                <w:sz w:val="20"/>
              </w:rPr>
              <w:t> </w:t>
            </w:r>
            <w:r>
              <w:rPr>
                <w:i/>
                <w:spacing w:val="-2"/>
                <w:sz w:val="20"/>
              </w:rPr>
              <w:t>previous-year</w:t>
            </w:r>
            <w:r>
              <w:rPr>
                <w:i/>
                <w:spacing w:val="-8"/>
                <w:sz w:val="20"/>
              </w:rPr>
              <w:t> </w:t>
            </w:r>
            <w:r>
              <w:rPr>
                <w:i/>
                <w:spacing w:val="-2"/>
                <w:sz w:val="20"/>
              </w:rPr>
              <w:t>soil</w:t>
            </w:r>
            <w:r>
              <w:rPr>
                <w:i/>
                <w:spacing w:val="-9"/>
                <w:sz w:val="20"/>
              </w:rPr>
              <w:t> </w:t>
            </w:r>
            <w:r>
              <w:rPr>
                <w:i/>
                <w:spacing w:val="-2"/>
                <w:sz w:val="20"/>
              </w:rPr>
              <w:t>satu-</w:t>
            </w:r>
            <w:r>
              <w:rPr>
                <w:i/>
                <w:sz w:val="20"/>
              </w:rPr>
              <w:t>ration carry-over.</w:t>
            </w:r>
          </w:p>
          <w:p>
            <w:pPr>
              <w:pStyle w:val="TableParagraph"/>
              <w:spacing w:line="295" w:lineRule="auto" w:before="88"/>
              <w:ind w:left="113" w:right="83" w:firstLine="4"/>
              <w:jc w:val="both"/>
              <w:rPr>
                <w:b/>
                <w:sz w:val="20"/>
              </w:rPr>
            </w:pPr>
            <w:r>
              <w:rPr>
                <w:b/>
                <w:sz w:val="20"/>
              </w:rPr>
              <w:t>Rainfall</w:t>
            </w:r>
            <w:r>
              <w:rPr>
                <w:b/>
                <w:spacing w:val="-13"/>
                <w:sz w:val="20"/>
              </w:rPr>
              <w:t> </w:t>
            </w:r>
            <w:r>
              <w:rPr>
                <w:b/>
                <w:sz w:val="20"/>
              </w:rPr>
              <w:t>post-Flowering</w:t>
            </w:r>
            <w:r>
              <w:rPr>
                <w:b/>
                <w:spacing w:val="-12"/>
                <w:sz w:val="20"/>
              </w:rPr>
              <w:t> </w:t>
            </w:r>
            <w:r>
              <w:rPr>
                <w:b/>
                <w:sz w:val="20"/>
              </w:rPr>
              <w:t>[20.7–121</w:t>
            </w:r>
            <w:r>
              <w:rPr>
                <w:b/>
                <w:spacing w:val="-13"/>
                <w:sz w:val="20"/>
              </w:rPr>
              <w:t> </w:t>
            </w:r>
            <w:r>
              <w:rPr>
                <w:b/>
                <w:sz w:val="20"/>
              </w:rPr>
              <w:t>mm]</w:t>
            </w:r>
            <w:r>
              <w:rPr>
                <w:b/>
                <w:spacing w:val="-12"/>
                <w:sz w:val="20"/>
              </w:rPr>
              <w:t> </w:t>
            </w:r>
            <w:r>
              <w:rPr>
                <w:b/>
                <w:sz w:val="20"/>
              </w:rPr>
              <w:t>AND</w:t>
            </w:r>
            <w:r>
              <w:rPr>
                <w:b/>
                <w:spacing w:val="-13"/>
                <w:sz w:val="20"/>
              </w:rPr>
              <w:t> </w:t>
            </w:r>
            <w:r>
              <w:rPr>
                <w:b/>
                <w:sz w:val="20"/>
              </w:rPr>
              <w:t>LAI</w:t>
            </w:r>
            <w:r>
              <w:rPr>
                <w:b/>
                <w:spacing w:val="-12"/>
                <w:sz w:val="20"/>
              </w:rPr>
              <w:t> </w:t>
            </w:r>
            <w:r>
              <w:rPr>
                <w:b/>
                <w:sz w:val="20"/>
              </w:rPr>
              <w:t>at</w:t>
            </w:r>
            <w:r>
              <w:rPr>
                <w:b/>
                <w:spacing w:val="-13"/>
                <w:sz w:val="20"/>
              </w:rPr>
              <w:t> </w:t>
            </w:r>
            <w:r>
              <w:rPr>
                <w:b/>
                <w:sz w:val="20"/>
              </w:rPr>
              <w:t>Har-vest [1.29–2.52 m</w:t>
            </w:r>
            <w:r>
              <w:rPr>
                <w:position w:val="7"/>
                <w:sz w:val="14"/>
              </w:rPr>
              <w:t>2</w:t>
            </w:r>
            <w:r>
              <w:rPr>
                <w:b/>
                <w:sz w:val="20"/>
              </w:rPr>
              <w:t>/m</w:t>
            </w:r>
            <w:r>
              <w:rPr>
                <w:position w:val="7"/>
                <w:sz w:val="14"/>
              </w:rPr>
              <w:t>2</w:t>
            </w:r>
            <w:r>
              <w:rPr>
                <w:b/>
                <w:sz w:val="20"/>
              </w:rPr>
              <w:t>] AND Heat days post-Flowering </w:t>
            </w:r>
            <w:r>
              <w:rPr>
                <w:b/>
                <w:spacing w:val="-2"/>
                <w:sz w:val="20"/>
              </w:rPr>
              <w:t>[0–1.3d]</w:t>
            </w:r>
          </w:p>
          <w:p>
            <w:pPr>
              <w:pStyle w:val="TableParagraph"/>
              <w:spacing w:line="302" w:lineRule="auto" w:before="7"/>
              <w:ind w:left="118" w:right="83" w:hanging="9"/>
              <w:jc w:val="both"/>
              <w:rPr>
                <w:i/>
                <w:sz w:val="20"/>
              </w:rPr>
            </w:pPr>
            <w:r>
              <w:rPr>
                <w:i/>
                <w:spacing w:val="-2"/>
                <w:sz w:val="20"/>
              </w:rPr>
              <w:t>Moderate-to-high canopy combined with post-flowering </w:t>
            </w:r>
            <w:r>
              <w:rPr>
                <w:i/>
                <w:spacing w:val="-2"/>
                <w:sz w:val="20"/>
              </w:rPr>
              <w:t>rain-</w:t>
            </w:r>
            <w:r>
              <w:rPr>
                <w:i/>
                <w:sz w:val="20"/>
              </w:rPr>
              <w:t>fall — introduces the LAI at harvest variable.</w:t>
            </w:r>
          </w:p>
          <w:p>
            <w:pPr>
              <w:pStyle w:val="TableParagraph"/>
              <w:spacing w:line="295" w:lineRule="auto" w:before="88"/>
              <w:ind w:left="111" w:right="83" w:firstLine="6"/>
              <w:jc w:val="both"/>
              <w:rPr>
                <w:b/>
                <w:sz w:val="20"/>
              </w:rPr>
            </w:pPr>
            <w:r>
              <w:rPr>
                <w:b/>
                <w:sz w:val="20"/>
              </w:rPr>
              <w:t>Rainfall</w:t>
            </w:r>
            <w:r>
              <w:rPr>
                <w:b/>
                <w:spacing w:val="-13"/>
                <w:sz w:val="20"/>
              </w:rPr>
              <w:t> </w:t>
            </w:r>
            <w:r>
              <w:rPr>
                <w:b/>
                <w:sz w:val="20"/>
              </w:rPr>
              <w:t>post-Flowering</w:t>
            </w:r>
            <w:r>
              <w:rPr>
                <w:b/>
                <w:spacing w:val="-12"/>
                <w:sz w:val="20"/>
              </w:rPr>
              <w:t> </w:t>
            </w:r>
            <w:r>
              <w:rPr>
                <w:b/>
                <w:sz w:val="20"/>
              </w:rPr>
              <w:t>[20.7–121</w:t>
            </w:r>
            <w:r>
              <w:rPr>
                <w:b/>
                <w:spacing w:val="-13"/>
                <w:sz w:val="20"/>
              </w:rPr>
              <w:t> </w:t>
            </w:r>
            <w:r>
              <w:rPr>
                <w:b/>
                <w:sz w:val="20"/>
              </w:rPr>
              <w:t>mm]</w:t>
            </w:r>
            <w:r>
              <w:rPr>
                <w:b/>
                <w:spacing w:val="-12"/>
                <w:sz w:val="20"/>
              </w:rPr>
              <w:t> </w:t>
            </w:r>
            <w:r>
              <w:rPr>
                <w:b/>
                <w:sz w:val="20"/>
              </w:rPr>
              <w:t>AND</w:t>
            </w:r>
            <w:r>
              <w:rPr>
                <w:b/>
                <w:spacing w:val="-13"/>
                <w:sz w:val="20"/>
              </w:rPr>
              <w:t> </w:t>
            </w:r>
            <w:r>
              <w:rPr>
                <w:b/>
                <w:sz w:val="20"/>
              </w:rPr>
              <w:t>LAI</w:t>
            </w:r>
            <w:r>
              <w:rPr>
                <w:b/>
                <w:spacing w:val="-12"/>
                <w:sz w:val="20"/>
              </w:rPr>
              <w:t> </w:t>
            </w:r>
            <w:r>
              <w:rPr>
                <w:b/>
                <w:sz w:val="20"/>
              </w:rPr>
              <w:t>at</w:t>
            </w:r>
            <w:r>
              <w:rPr>
                <w:b/>
                <w:spacing w:val="-13"/>
                <w:sz w:val="20"/>
              </w:rPr>
              <w:t> </w:t>
            </w:r>
            <w:r>
              <w:rPr>
                <w:b/>
                <w:sz w:val="20"/>
              </w:rPr>
              <w:t>Har-vest [1.29–2.52 m</w:t>
            </w:r>
            <w:r>
              <w:rPr>
                <w:position w:val="7"/>
                <w:sz w:val="14"/>
              </w:rPr>
              <w:t>2</w:t>
            </w:r>
            <w:r>
              <w:rPr>
                <w:b/>
                <w:sz w:val="20"/>
              </w:rPr>
              <w:t>/m</w:t>
            </w:r>
            <w:r>
              <w:rPr>
                <w:position w:val="7"/>
                <w:sz w:val="14"/>
              </w:rPr>
              <w:t>2</w:t>
            </w:r>
            <w:r>
              <w:rPr>
                <w:b/>
                <w:sz w:val="20"/>
              </w:rPr>
              <w:t>] AND Heat days post-Flowering (20d) [0–1.1d]</w:t>
            </w:r>
          </w:p>
          <w:p>
            <w:pPr>
              <w:pStyle w:val="TableParagraph"/>
              <w:spacing w:line="302" w:lineRule="auto" w:before="7"/>
              <w:ind w:left="118" w:right="83" w:hanging="7"/>
              <w:jc w:val="both"/>
              <w:rPr>
                <w:i/>
                <w:sz w:val="20"/>
              </w:rPr>
            </w:pPr>
            <w:r>
              <w:rPr>
                <w:i/>
                <w:sz w:val="20"/>
              </w:rPr>
              <w:t>Near-identical</w:t>
            </w:r>
            <w:r>
              <w:rPr>
                <w:i/>
                <w:spacing w:val="-13"/>
                <w:sz w:val="20"/>
              </w:rPr>
              <w:t> </w:t>
            </w:r>
            <w:r>
              <w:rPr>
                <w:i/>
                <w:sz w:val="20"/>
              </w:rPr>
              <w:t>to</w:t>
            </w:r>
            <w:r>
              <w:rPr>
                <w:i/>
                <w:spacing w:val="-12"/>
                <w:sz w:val="20"/>
              </w:rPr>
              <w:t> </w:t>
            </w:r>
            <w:r>
              <w:rPr>
                <w:i/>
                <w:sz w:val="20"/>
              </w:rPr>
              <w:t>Rule</w:t>
            </w:r>
            <w:r>
              <w:rPr>
                <w:i/>
                <w:spacing w:val="-13"/>
                <w:sz w:val="20"/>
              </w:rPr>
              <w:t> </w:t>
            </w:r>
            <w:r>
              <w:rPr>
                <w:i/>
                <w:sz w:val="20"/>
              </w:rPr>
              <w:t>6</w:t>
            </w:r>
            <w:r>
              <w:rPr>
                <w:i/>
                <w:spacing w:val="-12"/>
                <w:sz w:val="20"/>
              </w:rPr>
              <w:t> </w:t>
            </w:r>
            <w:r>
              <w:rPr>
                <w:i/>
                <w:sz w:val="20"/>
              </w:rPr>
              <w:t>with</w:t>
            </w:r>
            <w:r>
              <w:rPr>
                <w:i/>
                <w:spacing w:val="-13"/>
                <w:sz w:val="20"/>
              </w:rPr>
              <w:t> </w:t>
            </w:r>
            <w:r>
              <w:rPr>
                <w:i/>
                <w:sz w:val="20"/>
              </w:rPr>
              <w:t>a</w:t>
            </w:r>
            <w:r>
              <w:rPr>
                <w:i/>
                <w:spacing w:val="-12"/>
                <w:sz w:val="20"/>
              </w:rPr>
              <w:t> </w:t>
            </w:r>
            <w:r>
              <w:rPr>
                <w:i/>
                <w:sz w:val="20"/>
              </w:rPr>
              <w:t>slightly</w:t>
            </w:r>
            <w:r>
              <w:rPr>
                <w:i/>
                <w:spacing w:val="-13"/>
                <w:sz w:val="20"/>
              </w:rPr>
              <w:t> </w:t>
            </w:r>
            <w:r>
              <w:rPr>
                <w:i/>
                <w:sz w:val="20"/>
              </w:rPr>
              <w:t>wider</w:t>
            </w:r>
            <w:r>
              <w:rPr>
                <w:i/>
                <w:spacing w:val="-12"/>
                <w:sz w:val="20"/>
              </w:rPr>
              <w:t> </w:t>
            </w:r>
            <w:r>
              <w:rPr>
                <w:i/>
                <w:sz w:val="20"/>
              </w:rPr>
              <w:t>heat-stress</w:t>
            </w:r>
            <w:r>
              <w:rPr>
                <w:i/>
                <w:spacing w:val="-13"/>
                <w:sz w:val="20"/>
              </w:rPr>
              <w:t> </w:t>
            </w:r>
            <w:r>
              <w:rPr>
                <w:i/>
                <w:sz w:val="20"/>
              </w:rPr>
              <w:t>win-</w:t>
            </w:r>
            <w:r>
              <w:rPr>
                <w:i/>
                <w:spacing w:val="-4"/>
                <w:sz w:val="20"/>
              </w:rPr>
              <w:t>dow.</w:t>
            </w:r>
          </w:p>
          <w:p>
            <w:pPr>
              <w:pStyle w:val="TableParagraph"/>
              <w:spacing w:line="302" w:lineRule="auto" w:before="74"/>
              <w:ind w:left="118" w:right="109"/>
              <w:jc w:val="both"/>
              <w:rPr>
                <w:b/>
                <w:sz w:val="20"/>
              </w:rPr>
            </w:pPr>
            <w:r>
              <w:rPr>
                <w:b/>
                <w:sz w:val="20"/>
              </w:rPr>
              <w:t>LAI</w:t>
            </w:r>
            <w:r>
              <w:rPr>
                <w:b/>
                <w:spacing w:val="-4"/>
                <w:sz w:val="20"/>
              </w:rPr>
              <w:t> </w:t>
            </w:r>
            <w:r>
              <w:rPr>
                <w:b/>
                <w:sz w:val="20"/>
              </w:rPr>
              <w:t>pre-Flowering</w:t>
            </w:r>
            <w:r>
              <w:rPr>
                <w:b/>
                <w:spacing w:val="-4"/>
                <w:sz w:val="20"/>
              </w:rPr>
              <w:t> </w:t>
            </w:r>
            <w:r>
              <w:rPr>
                <w:b/>
                <w:sz w:val="20"/>
              </w:rPr>
              <w:t>prev.yr</w:t>
            </w:r>
            <w:r>
              <w:rPr>
                <w:b/>
                <w:spacing w:val="-4"/>
                <w:sz w:val="20"/>
              </w:rPr>
              <w:t> </w:t>
            </w:r>
            <w:r>
              <w:rPr>
                <w:b/>
                <w:sz w:val="20"/>
              </w:rPr>
              <w:t>[2.16–2.21</w:t>
            </w:r>
            <w:r>
              <w:rPr>
                <w:b/>
                <w:spacing w:val="-4"/>
                <w:sz w:val="20"/>
              </w:rPr>
              <w:t> </w:t>
            </w:r>
            <w:r>
              <w:rPr>
                <w:b/>
                <w:sz w:val="20"/>
              </w:rPr>
              <w:t>m</w:t>
            </w:r>
            <w:r>
              <w:rPr>
                <w:position w:val="7"/>
                <w:sz w:val="14"/>
              </w:rPr>
              <w:t>2</w:t>
            </w:r>
            <w:r>
              <w:rPr>
                <w:b/>
                <w:sz w:val="20"/>
              </w:rPr>
              <w:t>/m</w:t>
            </w:r>
            <w:r>
              <w:rPr>
                <w:position w:val="7"/>
                <w:sz w:val="14"/>
              </w:rPr>
              <w:t>2</w:t>
            </w:r>
            <w:r>
              <w:rPr>
                <w:b/>
                <w:sz w:val="20"/>
              </w:rPr>
              <w:t>]</w:t>
            </w:r>
            <w:r>
              <w:rPr>
                <w:b/>
                <w:spacing w:val="-4"/>
                <w:sz w:val="20"/>
              </w:rPr>
              <w:t> </w:t>
            </w:r>
            <w:r>
              <w:rPr>
                <w:b/>
                <w:sz w:val="20"/>
              </w:rPr>
              <w:t>AND</w:t>
            </w:r>
            <w:r>
              <w:rPr>
                <w:b/>
                <w:spacing w:val="-4"/>
                <w:sz w:val="20"/>
              </w:rPr>
              <w:t> </w:t>
            </w:r>
            <w:r>
              <w:rPr>
                <w:b/>
                <w:sz w:val="20"/>
              </w:rPr>
              <w:t>Heat </w:t>
            </w:r>
            <w:r>
              <w:rPr>
                <w:b/>
                <w:spacing w:val="-2"/>
                <w:sz w:val="20"/>
              </w:rPr>
              <w:t>days</w:t>
            </w:r>
            <w:r>
              <w:rPr>
                <w:b/>
                <w:spacing w:val="-11"/>
                <w:sz w:val="20"/>
              </w:rPr>
              <w:t> </w:t>
            </w:r>
            <w:r>
              <w:rPr>
                <w:b/>
                <w:spacing w:val="-2"/>
                <w:sz w:val="20"/>
              </w:rPr>
              <w:t>pre-Maturity</w:t>
            </w:r>
            <w:r>
              <w:rPr>
                <w:b/>
                <w:spacing w:val="-10"/>
                <w:sz w:val="20"/>
              </w:rPr>
              <w:t> </w:t>
            </w:r>
            <w:r>
              <w:rPr>
                <w:b/>
                <w:spacing w:val="-2"/>
                <w:sz w:val="20"/>
              </w:rPr>
              <w:t>[0–1.9d]</w:t>
            </w:r>
            <w:r>
              <w:rPr>
                <w:b/>
                <w:spacing w:val="-11"/>
                <w:sz w:val="20"/>
              </w:rPr>
              <w:t> </w:t>
            </w:r>
            <w:r>
              <w:rPr>
                <w:b/>
                <w:spacing w:val="-2"/>
                <w:sz w:val="20"/>
              </w:rPr>
              <w:t>AND</w:t>
            </w:r>
            <w:r>
              <w:rPr>
                <w:b/>
                <w:spacing w:val="-10"/>
                <w:sz w:val="20"/>
              </w:rPr>
              <w:t> </w:t>
            </w:r>
            <w:r>
              <w:rPr>
                <w:b/>
                <w:spacing w:val="-2"/>
                <w:sz w:val="20"/>
              </w:rPr>
              <w:t>Heat</w:t>
            </w:r>
            <w:r>
              <w:rPr>
                <w:b/>
                <w:spacing w:val="-11"/>
                <w:sz w:val="20"/>
              </w:rPr>
              <w:t> </w:t>
            </w:r>
            <w:r>
              <w:rPr>
                <w:b/>
                <w:spacing w:val="-2"/>
                <w:sz w:val="20"/>
              </w:rPr>
              <w:t>days</w:t>
            </w:r>
            <w:r>
              <w:rPr>
                <w:b/>
                <w:spacing w:val="-10"/>
                <w:sz w:val="20"/>
              </w:rPr>
              <w:t> </w:t>
            </w:r>
            <w:r>
              <w:rPr>
                <w:b/>
                <w:spacing w:val="-2"/>
                <w:sz w:val="20"/>
              </w:rPr>
              <w:t>post-</w:t>
            </w:r>
            <w:r>
              <w:rPr>
                <w:b/>
                <w:spacing w:val="-2"/>
                <w:sz w:val="20"/>
              </w:rPr>
              <w:t>Maturity [0–2.4d]</w:t>
            </w:r>
          </w:p>
          <w:p>
            <w:pPr>
              <w:pStyle w:val="TableParagraph"/>
              <w:spacing w:line="302" w:lineRule="auto" w:before="1"/>
              <w:ind w:left="118" w:right="116" w:hanging="7"/>
              <w:jc w:val="both"/>
              <w:rPr>
                <w:i/>
                <w:sz w:val="20"/>
              </w:rPr>
            </w:pPr>
            <w:r>
              <w:rPr>
                <w:i/>
                <w:sz w:val="20"/>
              </w:rPr>
              <w:t>Previous-year</w:t>
            </w:r>
            <w:r>
              <w:rPr>
                <w:i/>
                <w:spacing w:val="-3"/>
                <w:sz w:val="20"/>
              </w:rPr>
              <w:t> </w:t>
            </w:r>
            <w:r>
              <w:rPr>
                <w:i/>
                <w:sz w:val="20"/>
              </w:rPr>
              <w:t>LAI</w:t>
            </w:r>
            <w:r>
              <w:rPr>
                <w:i/>
                <w:spacing w:val="-3"/>
                <w:sz w:val="20"/>
              </w:rPr>
              <w:t> </w:t>
            </w:r>
            <w:r>
              <w:rPr>
                <w:i/>
                <w:sz w:val="20"/>
              </w:rPr>
              <w:t>at</w:t>
            </w:r>
            <w:r>
              <w:rPr>
                <w:i/>
                <w:spacing w:val="-3"/>
                <w:sz w:val="20"/>
              </w:rPr>
              <w:t> </w:t>
            </w:r>
            <w:r>
              <w:rPr>
                <w:i/>
                <w:sz w:val="20"/>
              </w:rPr>
              <w:t>flowering</w:t>
            </w:r>
            <w:r>
              <w:rPr>
                <w:i/>
                <w:spacing w:val="-3"/>
                <w:sz w:val="20"/>
              </w:rPr>
              <w:t> </w:t>
            </w:r>
            <w:r>
              <w:rPr>
                <w:i/>
                <w:sz w:val="20"/>
              </w:rPr>
              <w:t>as</w:t>
            </w:r>
            <w:r>
              <w:rPr>
                <w:i/>
                <w:spacing w:val="-3"/>
                <w:sz w:val="20"/>
              </w:rPr>
              <w:t> </w:t>
            </w:r>
            <w:r>
              <w:rPr>
                <w:i/>
                <w:sz w:val="20"/>
              </w:rPr>
              <w:t>a</w:t>
            </w:r>
            <w:r>
              <w:rPr>
                <w:i/>
                <w:spacing w:val="-3"/>
                <w:sz w:val="20"/>
              </w:rPr>
              <w:t> </w:t>
            </w:r>
            <w:r>
              <w:rPr>
                <w:i/>
                <w:sz w:val="20"/>
              </w:rPr>
              <w:t>predictor</w:t>
            </w:r>
            <w:r>
              <w:rPr>
                <w:i/>
                <w:spacing w:val="-3"/>
                <w:sz w:val="20"/>
              </w:rPr>
              <w:t> </w:t>
            </w:r>
            <w:r>
              <w:rPr>
                <w:i/>
                <w:sz w:val="20"/>
              </w:rPr>
              <w:t>—</w:t>
            </w:r>
            <w:r>
              <w:rPr>
                <w:i/>
                <w:spacing w:val="-3"/>
                <w:sz w:val="20"/>
              </w:rPr>
              <w:t> </w:t>
            </w:r>
            <w:r>
              <w:rPr>
                <w:i/>
                <w:sz w:val="20"/>
              </w:rPr>
              <w:t>carry-over</w:t>
            </w:r>
            <w:r>
              <w:rPr>
                <w:i/>
                <w:sz w:val="20"/>
              </w:rPr>
              <w:t> canopy signal.</w:t>
            </w:r>
          </w:p>
          <w:p>
            <w:pPr>
              <w:pStyle w:val="TableParagraph"/>
              <w:spacing w:line="288" w:lineRule="auto" w:before="87"/>
              <w:ind w:left="113" w:right="83" w:firstLine="4"/>
              <w:jc w:val="both"/>
              <w:rPr>
                <w:b/>
                <w:sz w:val="20"/>
              </w:rPr>
            </w:pPr>
            <w:r>
              <w:rPr>
                <w:b/>
                <w:sz w:val="20"/>
              </w:rPr>
              <w:t>Rainfall</w:t>
            </w:r>
            <w:r>
              <w:rPr>
                <w:b/>
                <w:spacing w:val="-13"/>
                <w:sz w:val="20"/>
              </w:rPr>
              <w:t> </w:t>
            </w:r>
            <w:r>
              <w:rPr>
                <w:b/>
                <w:sz w:val="20"/>
              </w:rPr>
              <w:t>post-Flowering</w:t>
            </w:r>
            <w:r>
              <w:rPr>
                <w:b/>
                <w:spacing w:val="-12"/>
                <w:sz w:val="20"/>
              </w:rPr>
              <w:t> </w:t>
            </w:r>
            <w:r>
              <w:rPr>
                <w:b/>
                <w:sz w:val="20"/>
              </w:rPr>
              <w:t>[20.7–121</w:t>
            </w:r>
            <w:r>
              <w:rPr>
                <w:b/>
                <w:spacing w:val="-13"/>
                <w:sz w:val="20"/>
              </w:rPr>
              <w:t> </w:t>
            </w:r>
            <w:r>
              <w:rPr>
                <w:b/>
                <w:sz w:val="20"/>
              </w:rPr>
              <w:t>mm]</w:t>
            </w:r>
            <w:r>
              <w:rPr>
                <w:b/>
                <w:spacing w:val="-12"/>
                <w:sz w:val="20"/>
              </w:rPr>
              <w:t> </w:t>
            </w:r>
            <w:r>
              <w:rPr>
                <w:b/>
                <w:sz w:val="20"/>
              </w:rPr>
              <w:t>AND</w:t>
            </w:r>
            <w:r>
              <w:rPr>
                <w:b/>
                <w:spacing w:val="-13"/>
                <w:sz w:val="20"/>
              </w:rPr>
              <w:t> </w:t>
            </w:r>
            <w:r>
              <w:rPr>
                <w:b/>
                <w:sz w:val="20"/>
              </w:rPr>
              <w:t>LAI</w:t>
            </w:r>
            <w:r>
              <w:rPr>
                <w:b/>
                <w:spacing w:val="-12"/>
                <w:sz w:val="20"/>
              </w:rPr>
              <w:t> </w:t>
            </w:r>
            <w:r>
              <w:rPr>
                <w:b/>
                <w:sz w:val="20"/>
              </w:rPr>
              <w:t>at</w:t>
            </w:r>
            <w:r>
              <w:rPr>
                <w:b/>
                <w:spacing w:val="-13"/>
                <w:sz w:val="20"/>
              </w:rPr>
              <w:t> </w:t>
            </w:r>
            <w:r>
              <w:rPr>
                <w:b/>
                <w:sz w:val="20"/>
              </w:rPr>
              <w:t>Har-vest</w:t>
            </w:r>
            <w:r>
              <w:rPr>
                <w:b/>
                <w:spacing w:val="-3"/>
                <w:sz w:val="20"/>
              </w:rPr>
              <w:t> </w:t>
            </w:r>
            <w:r>
              <w:rPr>
                <w:b/>
                <w:sz w:val="20"/>
              </w:rPr>
              <w:t>[1.29–2.52</w:t>
            </w:r>
            <w:r>
              <w:rPr>
                <w:b/>
                <w:spacing w:val="-3"/>
                <w:sz w:val="20"/>
              </w:rPr>
              <w:t> </w:t>
            </w:r>
            <w:r>
              <w:rPr>
                <w:b/>
                <w:sz w:val="20"/>
              </w:rPr>
              <w:t>m</w:t>
            </w:r>
            <w:r>
              <w:rPr>
                <w:position w:val="7"/>
                <w:sz w:val="14"/>
              </w:rPr>
              <w:t>2</w:t>
            </w:r>
            <w:r>
              <w:rPr>
                <w:b/>
                <w:sz w:val="20"/>
              </w:rPr>
              <w:t>/m</w:t>
            </w:r>
            <w:r>
              <w:rPr>
                <w:position w:val="7"/>
                <w:sz w:val="14"/>
              </w:rPr>
              <w:t>2</w:t>
            </w:r>
            <w:r>
              <w:rPr>
                <w:b/>
                <w:sz w:val="20"/>
              </w:rPr>
              <w:t>]</w:t>
            </w:r>
            <w:r>
              <w:rPr>
                <w:b/>
                <w:spacing w:val="-3"/>
                <w:sz w:val="20"/>
              </w:rPr>
              <w:t> </w:t>
            </w:r>
            <w:r>
              <w:rPr>
                <w:b/>
                <w:sz w:val="20"/>
              </w:rPr>
              <w:t>AND</w:t>
            </w:r>
            <w:r>
              <w:rPr>
                <w:b/>
                <w:spacing w:val="-2"/>
                <w:sz w:val="20"/>
              </w:rPr>
              <w:t> </w:t>
            </w:r>
            <w:r>
              <w:rPr>
                <w:b/>
                <w:sz w:val="20"/>
              </w:rPr>
              <w:t>Heat</w:t>
            </w:r>
            <w:r>
              <w:rPr>
                <w:b/>
                <w:spacing w:val="-3"/>
                <w:sz w:val="20"/>
              </w:rPr>
              <w:t> </w:t>
            </w:r>
            <w:r>
              <w:rPr>
                <w:b/>
                <w:sz w:val="20"/>
              </w:rPr>
              <w:t>days</w:t>
            </w:r>
            <w:r>
              <w:rPr>
                <w:b/>
                <w:spacing w:val="-4"/>
                <w:sz w:val="20"/>
              </w:rPr>
              <w:t> </w:t>
            </w:r>
            <w:r>
              <w:rPr>
                <w:b/>
                <w:sz w:val="20"/>
              </w:rPr>
              <w:t>post-Maturity</w:t>
            </w:r>
            <w:r>
              <w:rPr>
                <w:b/>
                <w:spacing w:val="-2"/>
                <w:sz w:val="20"/>
              </w:rPr>
              <w:t> </w:t>
            </w:r>
            <w:r>
              <w:rPr>
                <w:b/>
                <w:spacing w:val="-5"/>
                <w:sz w:val="20"/>
              </w:rPr>
              <w:t>[0–</w:t>
            </w:r>
          </w:p>
          <w:p>
            <w:pPr>
              <w:pStyle w:val="TableParagraph"/>
              <w:spacing w:before="14"/>
              <w:ind w:left="118"/>
              <w:jc w:val="both"/>
              <w:rPr>
                <w:b/>
                <w:sz w:val="20"/>
              </w:rPr>
            </w:pPr>
            <w:r>
              <w:rPr>
                <w:b/>
                <w:sz w:val="20"/>
              </w:rPr>
              <w:t>2.4d]</w:t>
            </w:r>
            <w:r>
              <w:rPr>
                <w:b/>
                <w:spacing w:val="-8"/>
                <w:sz w:val="20"/>
              </w:rPr>
              <w:t> </w:t>
            </w:r>
            <w:r>
              <w:rPr>
                <w:b/>
                <w:sz w:val="20"/>
              </w:rPr>
              <w:t>AND</w:t>
            </w:r>
            <w:r>
              <w:rPr>
                <w:b/>
                <w:spacing w:val="-8"/>
                <w:sz w:val="20"/>
              </w:rPr>
              <w:t> </w:t>
            </w:r>
            <w:r>
              <w:rPr>
                <w:b/>
                <w:sz w:val="20"/>
              </w:rPr>
              <w:t>Heat</w:t>
            </w:r>
            <w:r>
              <w:rPr>
                <w:b/>
                <w:spacing w:val="-8"/>
                <w:sz w:val="20"/>
              </w:rPr>
              <w:t> </w:t>
            </w:r>
            <w:r>
              <w:rPr>
                <w:b/>
                <w:sz w:val="20"/>
              </w:rPr>
              <w:t>days</w:t>
            </w:r>
            <w:r>
              <w:rPr>
                <w:b/>
                <w:spacing w:val="-8"/>
                <w:sz w:val="20"/>
              </w:rPr>
              <w:t> </w:t>
            </w:r>
            <w:r>
              <w:rPr>
                <w:b/>
                <w:sz w:val="20"/>
              </w:rPr>
              <w:t>post-Flowering</w:t>
            </w:r>
            <w:r>
              <w:rPr>
                <w:b/>
                <w:spacing w:val="-8"/>
                <w:sz w:val="20"/>
              </w:rPr>
              <w:t> </w:t>
            </w:r>
            <w:r>
              <w:rPr>
                <w:b/>
                <w:sz w:val="20"/>
              </w:rPr>
              <w:t>[0–</w:t>
            </w:r>
            <w:r>
              <w:rPr>
                <w:b/>
                <w:spacing w:val="-2"/>
                <w:sz w:val="20"/>
              </w:rPr>
              <w:t>1.1d]</w:t>
            </w:r>
          </w:p>
          <w:p>
            <w:pPr>
              <w:pStyle w:val="TableParagraph"/>
              <w:spacing w:line="302" w:lineRule="auto" w:before="60"/>
              <w:ind w:left="118" w:right="83" w:hanging="13"/>
              <w:jc w:val="both"/>
              <w:rPr>
                <w:i/>
                <w:sz w:val="20"/>
              </w:rPr>
            </w:pPr>
            <w:r>
              <w:rPr>
                <w:i/>
                <w:sz w:val="20"/>
              </w:rPr>
              <w:t>Four-condition</w:t>
            </w:r>
            <w:r>
              <w:rPr>
                <w:i/>
                <w:spacing w:val="-2"/>
                <w:sz w:val="20"/>
              </w:rPr>
              <w:t> </w:t>
            </w:r>
            <w:r>
              <w:rPr>
                <w:i/>
                <w:sz w:val="20"/>
              </w:rPr>
              <w:t>variant</w:t>
            </w:r>
            <w:r>
              <w:rPr>
                <w:i/>
                <w:spacing w:val="-2"/>
                <w:sz w:val="20"/>
              </w:rPr>
              <w:t> </w:t>
            </w:r>
            <w:r>
              <w:rPr>
                <w:i/>
                <w:sz w:val="20"/>
              </w:rPr>
              <w:t>of</w:t>
            </w:r>
            <w:r>
              <w:rPr>
                <w:i/>
                <w:spacing w:val="-2"/>
                <w:sz w:val="20"/>
              </w:rPr>
              <w:t> </w:t>
            </w:r>
            <w:r>
              <w:rPr>
                <w:i/>
                <w:sz w:val="20"/>
              </w:rPr>
              <w:t>the</w:t>
            </w:r>
            <w:r>
              <w:rPr>
                <w:i/>
                <w:spacing w:val="-2"/>
                <w:sz w:val="20"/>
              </w:rPr>
              <w:t> </w:t>
            </w:r>
            <w:r>
              <w:rPr>
                <w:i/>
                <w:sz w:val="20"/>
              </w:rPr>
              <w:t>rainfall</w:t>
            </w:r>
            <w:r>
              <w:rPr>
                <w:i/>
                <w:spacing w:val="-2"/>
                <w:sz w:val="20"/>
              </w:rPr>
              <w:t> </w:t>
            </w:r>
            <w:r>
              <w:rPr>
                <w:i/>
                <w:sz w:val="20"/>
              </w:rPr>
              <w:t>+</w:t>
            </w:r>
            <w:r>
              <w:rPr>
                <w:i/>
                <w:spacing w:val="-2"/>
                <w:sz w:val="20"/>
              </w:rPr>
              <w:t> </w:t>
            </w:r>
            <w:r>
              <w:rPr>
                <w:i/>
                <w:sz w:val="20"/>
              </w:rPr>
              <w:t>LAI</w:t>
            </w:r>
            <w:r>
              <w:rPr>
                <w:i/>
                <w:spacing w:val="-2"/>
                <w:sz w:val="20"/>
              </w:rPr>
              <w:t> </w:t>
            </w:r>
            <w:r>
              <w:rPr>
                <w:i/>
                <w:sz w:val="20"/>
              </w:rPr>
              <w:t>+</w:t>
            </w:r>
            <w:r>
              <w:rPr>
                <w:i/>
                <w:spacing w:val="-2"/>
                <w:sz w:val="20"/>
              </w:rPr>
              <w:t> </w:t>
            </w:r>
            <w:r>
              <w:rPr>
                <w:i/>
                <w:sz w:val="20"/>
              </w:rPr>
              <w:t>low-heat</w:t>
            </w:r>
            <w:r>
              <w:rPr>
                <w:i/>
                <w:spacing w:val="-2"/>
                <w:sz w:val="20"/>
              </w:rPr>
              <w:t> </w:t>
            </w:r>
            <w:r>
              <w:rPr>
                <w:i/>
                <w:sz w:val="20"/>
              </w:rPr>
              <w:t>pat-</w:t>
            </w:r>
            <w:r>
              <w:rPr>
                <w:i/>
                <w:spacing w:val="-2"/>
                <w:sz w:val="20"/>
              </w:rPr>
              <w:t>tern.</w:t>
            </w:r>
          </w:p>
        </w:tc>
        <w:tc>
          <w:tcPr>
            <w:tcW w:w="757" w:type="dxa"/>
            <w:tcBorders>
              <w:top w:val="nil"/>
              <w:left w:val="single" w:sz="4" w:space="0" w:color="000000"/>
              <w:right w:val="single" w:sz="4" w:space="0" w:color="000000"/>
            </w:tcBorders>
          </w:tcPr>
          <w:p>
            <w:pPr>
              <w:pStyle w:val="TableParagraph"/>
              <w:spacing w:before="96"/>
              <w:ind w:left="118"/>
              <w:rPr>
                <w:sz w:val="18"/>
              </w:rPr>
            </w:pPr>
            <w:r>
              <w:rPr>
                <w:spacing w:val="-6"/>
                <w:sz w:val="18"/>
              </w:rPr>
              <w:t>BELOW</w:t>
            </w:r>
          </w:p>
          <w:p>
            <w:pPr>
              <w:pStyle w:val="TableParagraph"/>
              <w:spacing w:before="0"/>
              <w:rPr>
                <w:i/>
                <w:sz w:val="18"/>
              </w:rPr>
            </w:pPr>
          </w:p>
          <w:p>
            <w:pPr>
              <w:pStyle w:val="TableParagraph"/>
              <w:spacing w:before="0"/>
              <w:rPr>
                <w:i/>
                <w:sz w:val="18"/>
              </w:rPr>
            </w:pPr>
          </w:p>
          <w:p>
            <w:pPr>
              <w:pStyle w:val="TableParagraph"/>
              <w:spacing w:before="0"/>
              <w:rPr>
                <w:i/>
                <w:sz w:val="18"/>
              </w:rPr>
            </w:pPr>
          </w:p>
          <w:p>
            <w:pPr>
              <w:pStyle w:val="TableParagraph"/>
              <w:spacing w:before="0"/>
              <w:rPr>
                <w:i/>
                <w:sz w:val="18"/>
              </w:rPr>
            </w:pPr>
          </w:p>
          <w:p>
            <w:pPr>
              <w:pStyle w:val="TableParagraph"/>
              <w:spacing w:before="5"/>
              <w:rPr>
                <w:i/>
                <w:sz w:val="18"/>
              </w:rPr>
            </w:pPr>
          </w:p>
          <w:p>
            <w:pPr>
              <w:pStyle w:val="TableParagraph"/>
              <w:spacing w:before="0"/>
              <w:ind w:left="118"/>
              <w:rPr>
                <w:sz w:val="18"/>
              </w:rPr>
            </w:pPr>
            <w:r>
              <w:rPr>
                <w:spacing w:val="-4"/>
                <w:sz w:val="18"/>
              </w:rPr>
              <w:t>ABOVE</w:t>
            </w:r>
          </w:p>
          <w:p>
            <w:pPr>
              <w:pStyle w:val="TableParagraph"/>
              <w:spacing w:before="0"/>
              <w:rPr>
                <w:i/>
                <w:sz w:val="18"/>
              </w:rPr>
            </w:pPr>
          </w:p>
          <w:p>
            <w:pPr>
              <w:pStyle w:val="TableParagraph"/>
              <w:spacing w:before="0"/>
              <w:rPr>
                <w:i/>
                <w:sz w:val="18"/>
              </w:rPr>
            </w:pPr>
          </w:p>
          <w:p>
            <w:pPr>
              <w:pStyle w:val="TableParagraph"/>
              <w:spacing w:before="0"/>
              <w:rPr>
                <w:i/>
                <w:sz w:val="18"/>
              </w:rPr>
            </w:pPr>
          </w:p>
          <w:p>
            <w:pPr>
              <w:pStyle w:val="TableParagraph"/>
              <w:spacing w:before="0"/>
              <w:rPr>
                <w:i/>
                <w:sz w:val="18"/>
              </w:rPr>
            </w:pPr>
          </w:p>
          <w:p>
            <w:pPr>
              <w:pStyle w:val="TableParagraph"/>
              <w:spacing w:before="0"/>
              <w:rPr>
                <w:i/>
                <w:sz w:val="18"/>
              </w:rPr>
            </w:pPr>
          </w:p>
          <w:p>
            <w:pPr>
              <w:pStyle w:val="TableParagraph"/>
              <w:spacing w:before="0"/>
              <w:rPr>
                <w:i/>
                <w:sz w:val="18"/>
              </w:rPr>
            </w:pPr>
          </w:p>
          <w:p>
            <w:pPr>
              <w:pStyle w:val="TableParagraph"/>
              <w:spacing w:before="171"/>
              <w:rPr>
                <w:i/>
                <w:sz w:val="18"/>
              </w:rPr>
            </w:pPr>
          </w:p>
          <w:p>
            <w:pPr>
              <w:pStyle w:val="TableParagraph"/>
              <w:spacing w:before="0"/>
              <w:ind w:left="118"/>
              <w:rPr>
                <w:sz w:val="18"/>
              </w:rPr>
            </w:pPr>
            <w:r>
              <w:rPr>
                <w:spacing w:val="-6"/>
                <w:sz w:val="18"/>
              </w:rPr>
              <w:t>BELOW</w:t>
            </w:r>
          </w:p>
          <w:p>
            <w:pPr>
              <w:pStyle w:val="TableParagraph"/>
              <w:spacing w:before="0"/>
              <w:rPr>
                <w:i/>
                <w:sz w:val="18"/>
              </w:rPr>
            </w:pPr>
          </w:p>
          <w:p>
            <w:pPr>
              <w:pStyle w:val="TableParagraph"/>
              <w:spacing w:before="0"/>
              <w:rPr>
                <w:i/>
                <w:sz w:val="18"/>
              </w:rPr>
            </w:pPr>
          </w:p>
          <w:p>
            <w:pPr>
              <w:pStyle w:val="TableParagraph"/>
              <w:spacing w:before="0"/>
              <w:rPr>
                <w:i/>
                <w:sz w:val="18"/>
              </w:rPr>
            </w:pPr>
          </w:p>
          <w:p>
            <w:pPr>
              <w:pStyle w:val="TableParagraph"/>
              <w:spacing w:before="0"/>
              <w:rPr>
                <w:i/>
                <w:sz w:val="18"/>
              </w:rPr>
            </w:pPr>
          </w:p>
          <w:p>
            <w:pPr>
              <w:pStyle w:val="TableParagraph"/>
              <w:spacing w:before="0"/>
              <w:rPr>
                <w:i/>
                <w:sz w:val="18"/>
              </w:rPr>
            </w:pPr>
          </w:p>
          <w:p>
            <w:pPr>
              <w:pStyle w:val="TableParagraph"/>
              <w:spacing w:before="88"/>
              <w:rPr>
                <w:i/>
                <w:sz w:val="18"/>
              </w:rPr>
            </w:pPr>
          </w:p>
          <w:p>
            <w:pPr>
              <w:pStyle w:val="TableParagraph"/>
              <w:spacing w:before="0"/>
              <w:ind w:left="118"/>
              <w:rPr>
                <w:sz w:val="18"/>
              </w:rPr>
            </w:pPr>
            <w:r>
              <w:rPr>
                <w:spacing w:val="-6"/>
                <w:sz w:val="18"/>
              </w:rPr>
              <w:t>BELOW</w:t>
            </w:r>
          </w:p>
          <w:p>
            <w:pPr>
              <w:pStyle w:val="TableParagraph"/>
              <w:spacing w:before="0"/>
              <w:rPr>
                <w:i/>
                <w:sz w:val="18"/>
              </w:rPr>
            </w:pPr>
          </w:p>
          <w:p>
            <w:pPr>
              <w:pStyle w:val="TableParagraph"/>
              <w:spacing w:before="0"/>
              <w:rPr>
                <w:i/>
                <w:sz w:val="18"/>
              </w:rPr>
            </w:pPr>
          </w:p>
          <w:p>
            <w:pPr>
              <w:pStyle w:val="TableParagraph"/>
              <w:spacing w:before="0"/>
              <w:rPr>
                <w:i/>
                <w:sz w:val="18"/>
              </w:rPr>
            </w:pPr>
          </w:p>
          <w:p>
            <w:pPr>
              <w:pStyle w:val="TableParagraph"/>
              <w:spacing w:before="0"/>
              <w:rPr>
                <w:i/>
                <w:sz w:val="18"/>
              </w:rPr>
            </w:pPr>
          </w:p>
          <w:p>
            <w:pPr>
              <w:pStyle w:val="TableParagraph"/>
              <w:spacing w:before="0"/>
              <w:rPr>
                <w:i/>
                <w:sz w:val="18"/>
              </w:rPr>
            </w:pPr>
          </w:p>
          <w:p>
            <w:pPr>
              <w:pStyle w:val="TableParagraph"/>
              <w:spacing w:before="89"/>
              <w:rPr>
                <w:i/>
                <w:sz w:val="18"/>
              </w:rPr>
            </w:pPr>
          </w:p>
          <w:p>
            <w:pPr>
              <w:pStyle w:val="TableParagraph"/>
              <w:spacing w:before="0"/>
              <w:ind w:left="118"/>
              <w:rPr>
                <w:sz w:val="18"/>
              </w:rPr>
            </w:pPr>
            <w:r>
              <w:rPr>
                <w:spacing w:val="-6"/>
                <w:sz w:val="18"/>
              </w:rPr>
              <w:t>BELOW</w:t>
            </w:r>
          </w:p>
          <w:p>
            <w:pPr>
              <w:pStyle w:val="TableParagraph"/>
              <w:spacing w:before="0"/>
              <w:rPr>
                <w:i/>
                <w:sz w:val="18"/>
              </w:rPr>
            </w:pPr>
          </w:p>
          <w:p>
            <w:pPr>
              <w:pStyle w:val="TableParagraph"/>
              <w:spacing w:before="0"/>
              <w:rPr>
                <w:i/>
                <w:sz w:val="18"/>
              </w:rPr>
            </w:pPr>
          </w:p>
          <w:p>
            <w:pPr>
              <w:pStyle w:val="TableParagraph"/>
              <w:spacing w:before="0"/>
              <w:rPr>
                <w:i/>
                <w:sz w:val="18"/>
              </w:rPr>
            </w:pPr>
          </w:p>
          <w:p>
            <w:pPr>
              <w:pStyle w:val="TableParagraph"/>
              <w:spacing w:before="0"/>
              <w:rPr>
                <w:i/>
                <w:sz w:val="18"/>
              </w:rPr>
            </w:pPr>
          </w:p>
          <w:p>
            <w:pPr>
              <w:pStyle w:val="TableParagraph"/>
              <w:spacing w:before="0"/>
              <w:rPr>
                <w:i/>
                <w:sz w:val="18"/>
              </w:rPr>
            </w:pPr>
          </w:p>
          <w:p>
            <w:pPr>
              <w:pStyle w:val="TableParagraph"/>
              <w:spacing w:before="88"/>
              <w:rPr>
                <w:i/>
                <w:sz w:val="18"/>
              </w:rPr>
            </w:pPr>
          </w:p>
          <w:p>
            <w:pPr>
              <w:pStyle w:val="TableParagraph"/>
              <w:spacing w:before="0"/>
              <w:ind w:left="118"/>
              <w:rPr>
                <w:sz w:val="18"/>
              </w:rPr>
            </w:pPr>
            <w:r>
              <w:rPr>
                <w:spacing w:val="-6"/>
                <w:sz w:val="18"/>
              </w:rPr>
              <w:t>BELOW</w:t>
            </w:r>
          </w:p>
          <w:p>
            <w:pPr>
              <w:pStyle w:val="TableParagraph"/>
              <w:spacing w:before="0"/>
              <w:rPr>
                <w:i/>
                <w:sz w:val="18"/>
              </w:rPr>
            </w:pPr>
          </w:p>
          <w:p>
            <w:pPr>
              <w:pStyle w:val="TableParagraph"/>
              <w:spacing w:before="0"/>
              <w:rPr>
                <w:i/>
                <w:sz w:val="18"/>
              </w:rPr>
            </w:pPr>
          </w:p>
          <w:p>
            <w:pPr>
              <w:pStyle w:val="TableParagraph"/>
              <w:spacing w:before="0"/>
              <w:rPr>
                <w:i/>
                <w:sz w:val="18"/>
              </w:rPr>
            </w:pPr>
          </w:p>
          <w:p>
            <w:pPr>
              <w:pStyle w:val="TableParagraph"/>
              <w:spacing w:before="0"/>
              <w:rPr>
                <w:i/>
                <w:sz w:val="18"/>
              </w:rPr>
            </w:pPr>
          </w:p>
          <w:p>
            <w:pPr>
              <w:pStyle w:val="TableParagraph"/>
              <w:spacing w:before="0"/>
              <w:rPr>
                <w:i/>
                <w:sz w:val="18"/>
              </w:rPr>
            </w:pPr>
          </w:p>
          <w:p>
            <w:pPr>
              <w:pStyle w:val="TableParagraph"/>
              <w:spacing w:before="88"/>
              <w:rPr>
                <w:i/>
                <w:sz w:val="18"/>
              </w:rPr>
            </w:pPr>
          </w:p>
          <w:p>
            <w:pPr>
              <w:pStyle w:val="TableParagraph"/>
              <w:spacing w:before="0"/>
              <w:ind w:left="118"/>
              <w:rPr>
                <w:sz w:val="18"/>
              </w:rPr>
            </w:pPr>
            <w:r>
              <w:rPr>
                <w:spacing w:val="-6"/>
                <w:sz w:val="18"/>
              </w:rPr>
              <w:t>BELOW</w:t>
            </w:r>
          </w:p>
        </w:tc>
        <w:tc>
          <w:tcPr>
            <w:tcW w:w="984" w:type="dxa"/>
            <w:tcBorders>
              <w:top w:val="nil"/>
              <w:left w:val="single" w:sz="4" w:space="0" w:color="000000"/>
              <w:right w:val="single" w:sz="4" w:space="0" w:color="000000"/>
            </w:tcBorders>
          </w:tcPr>
          <w:p>
            <w:pPr>
              <w:pStyle w:val="TableParagraph"/>
              <w:spacing w:before="77"/>
              <w:ind w:left="118"/>
              <w:rPr>
                <w:sz w:val="20"/>
              </w:rPr>
            </w:pPr>
            <w:r>
              <w:rPr>
                <w:spacing w:val="-2"/>
                <w:sz w:val="20"/>
              </w:rPr>
              <w:t>-</w:t>
            </w:r>
            <w:r>
              <w:rPr>
                <w:spacing w:val="-5"/>
                <w:sz w:val="20"/>
              </w:rPr>
              <w:t>365</w:t>
            </w: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97"/>
              <w:rPr>
                <w:i/>
                <w:sz w:val="20"/>
              </w:rPr>
            </w:pPr>
          </w:p>
          <w:p>
            <w:pPr>
              <w:pStyle w:val="TableParagraph"/>
              <w:spacing w:before="0"/>
              <w:ind w:left="118"/>
              <w:rPr>
                <w:sz w:val="20"/>
              </w:rPr>
            </w:pPr>
            <w:r>
              <w:rPr>
                <w:spacing w:val="-4"/>
                <w:sz w:val="20"/>
              </w:rPr>
              <w:t>+311</w:t>
            </w: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217"/>
              <w:rPr>
                <w:i/>
                <w:sz w:val="20"/>
              </w:rPr>
            </w:pPr>
          </w:p>
          <w:p>
            <w:pPr>
              <w:pStyle w:val="TableParagraph"/>
              <w:spacing w:before="0"/>
              <w:ind w:left="118"/>
              <w:rPr>
                <w:sz w:val="20"/>
              </w:rPr>
            </w:pPr>
            <w:r>
              <w:rPr>
                <w:spacing w:val="-2"/>
                <w:sz w:val="20"/>
              </w:rPr>
              <w:t>-</w:t>
            </w:r>
            <w:r>
              <w:rPr>
                <w:spacing w:val="-5"/>
                <w:sz w:val="20"/>
              </w:rPr>
              <w:t>292</w:t>
            </w: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158"/>
              <w:rPr>
                <w:i/>
                <w:sz w:val="20"/>
              </w:rPr>
            </w:pPr>
          </w:p>
          <w:p>
            <w:pPr>
              <w:pStyle w:val="TableParagraph"/>
              <w:spacing w:before="0"/>
              <w:ind w:left="118"/>
              <w:rPr>
                <w:sz w:val="20"/>
              </w:rPr>
            </w:pPr>
            <w:r>
              <w:rPr>
                <w:spacing w:val="-2"/>
                <w:sz w:val="20"/>
              </w:rPr>
              <w:t>-</w:t>
            </w:r>
            <w:r>
              <w:rPr>
                <w:spacing w:val="-5"/>
                <w:sz w:val="20"/>
              </w:rPr>
              <w:t>387</w:t>
            </w: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157"/>
              <w:rPr>
                <w:i/>
                <w:sz w:val="20"/>
              </w:rPr>
            </w:pPr>
          </w:p>
          <w:p>
            <w:pPr>
              <w:pStyle w:val="TableParagraph"/>
              <w:spacing w:before="0"/>
              <w:ind w:left="118"/>
              <w:rPr>
                <w:sz w:val="20"/>
              </w:rPr>
            </w:pPr>
            <w:r>
              <w:rPr>
                <w:spacing w:val="-2"/>
                <w:sz w:val="20"/>
              </w:rPr>
              <w:t>-</w:t>
            </w:r>
            <w:r>
              <w:rPr>
                <w:spacing w:val="-5"/>
                <w:sz w:val="20"/>
              </w:rPr>
              <w:t>387</w:t>
            </w: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157"/>
              <w:rPr>
                <w:i/>
                <w:sz w:val="20"/>
              </w:rPr>
            </w:pPr>
          </w:p>
          <w:p>
            <w:pPr>
              <w:pStyle w:val="TableParagraph"/>
              <w:spacing w:before="0"/>
              <w:ind w:left="118"/>
              <w:rPr>
                <w:sz w:val="20"/>
              </w:rPr>
            </w:pPr>
            <w:r>
              <w:rPr>
                <w:spacing w:val="-2"/>
                <w:sz w:val="20"/>
              </w:rPr>
              <w:t>-</w:t>
            </w:r>
            <w:r>
              <w:rPr>
                <w:spacing w:val="-5"/>
                <w:sz w:val="20"/>
              </w:rPr>
              <w:t>332</w:t>
            </w: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157"/>
              <w:rPr>
                <w:i/>
                <w:sz w:val="20"/>
              </w:rPr>
            </w:pPr>
          </w:p>
          <w:p>
            <w:pPr>
              <w:pStyle w:val="TableParagraph"/>
              <w:spacing w:before="1"/>
              <w:ind w:left="118"/>
              <w:rPr>
                <w:sz w:val="20"/>
              </w:rPr>
            </w:pPr>
            <w:r>
              <w:rPr>
                <w:spacing w:val="-2"/>
                <w:sz w:val="20"/>
              </w:rPr>
              <w:t>-</w:t>
            </w:r>
            <w:r>
              <w:rPr>
                <w:spacing w:val="-5"/>
                <w:sz w:val="20"/>
              </w:rPr>
              <w:t>387</w:t>
            </w:r>
          </w:p>
        </w:tc>
        <w:tc>
          <w:tcPr>
            <w:tcW w:w="927" w:type="dxa"/>
            <w:tcBorders>
              <w:top w:val="nil"/>
              <w:left w:val="single" w:sz="4" w:space="0" w:color="000000"/>
              <w:right w:val="single" w:sz="4" w:space="0" w:color="000000"/>
            </w:tcBorders>
          </w:tcPr>
          <w:p>
            <w:pPr>
              <w:pStyle w:val="TableParagraph"/>
              <w:spacing w:before="77"/>
              <w:ind w:left="118"/>
              <w:rPr>
                <w:sz w:val="20"/>
              </w:rPr>
            </w:pPr>
            <w:r>
              <w:rPr>
                <w:spacing w:val="-2"/>
                <w:sz w:val="20"/>
              </w:rPr>
              <w:t>27.5%</w:t>
            </w: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97"/>
              <w:rPr>
                <w:i/>
                <w:sz w:val="20"/>
              </w:rPr>
            </w:pPr>
          </w:p>
          <w:p>
            <w:pPr>
              <w:pStyle w:val="TableParagraph"/>
              <w:spacing w:before="0"/>
              <w:ind w:left="118"/>
              <w:rPr>
                <w:sz w:val="20"/>
              </w:rPr>
            </w:pPr>
            <w:r>
              <w:rPr>
                <w:spacing w:val="-2"/>
                <w:sz w:val="20"/>
              </w:rPr>
              <w:t>25.0%</w:t>
            </w: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217"/>
              <w:rPr>
                <w:i/>
                <w:sz w:val="20"/>
              </w:rPr>
            </w:pPr>
          </w:p>
          <w:p>
            <w:pPr>
              <w:pStyle w:val="TableParagraph"/>
              <w:spacing w:before="0"/>
              <w:ind w:left="118"/>
              <w:rPr>
                <w:sz w:val="20"/>
              </w:rPr>
            </w:pPr>
            <w:r>
              <w:rPr>
                <w:spacing w:val="-2"/>
                <w:sz w:val="20"/>
              </w:rPr>
              <w:t>23.8%</w:t>
            </w: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158"/>
              <w:rPr>
                <w:i/>
                <w:sz w:val="20"/>
              </w:rPr>
            </w:pPr>
          </w:p>
          <w:p>
            <w:pPr>
              <w:pStyle w:val="TableParagraph"/>
              <w:spacing w:before="0"/>
              <w:ind w:left="118"/>
              <w:rPr>
                <w:sz w:val="20"/>
              </w:rPr>
            </w:pPr>
            <w:r>
              <w:rPr>
                <w:spacing w:val="-2"/>
                <w:sz w:val="20"/>
              </w:rPr>
              <w:t>26.2%</w:t>
            </w: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157"/>
              <w:rPr>
                <w:i/>
                <w:sz w:val="20"/>
              </w:rPr>
            </w:pPr>
          </w:p>
          <w:p>
            <w:pPr>
              <w:pStyle w:val="TableParagraph"/>
              <w:spacing w:before="0"/>
              <w:ind w:left="118"/>
              <w:rPr>
                <w:sz w:val="20"/>
              </w:rPr>
            </w:pPr>
            <w:r>
              <w:rPr>
                <w:spacing w:val="-2"/>
                <w:sz w:val="20"/>
              </w:rPr>
              <w:t>26.2%</w:t>
            </w: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157"/>
              <w:rPr>
                <w:i/>
                <w:sz w:val="20"/>
              </w:rPr>
            </w:pPr>
          </w:p>
          <w:p>
            <w:pPr>
              <w:pStyle w:val="TableParagraph"/>
              <w:spacing w:before="0"/>
              <w:ind w:left="118"/>
              <w:rPr>
                <w:sz w:val="20"/>
              </w:rPr>
            </w:pPr>
            <w:r>
              <w:rPr>
                <w:spacing w:val="-2"/>
                <w:sz w:val="20"/>
              </w:rPr>
              <w:t>22.5%</w:t>
            </w: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157"/>
              <w:rPr>
                <w:i/>
                <w:sz w:val="20"/>
              </w:rPr>
            </w:pPr>
          </w:p>
          <w:p>
            <w:pPr>
              <w:pStyle w:val="TableParagraph"/>
              <w:spacing w:before="1"/>
              <w:ind w:left="118"/>
              <w:rPr>
                <w:sz w:val="20"/>
              </w:rPr>
            </w:pPr>
            <w:r>
              <w:rPr>
                <w:spacing w:val="-2"/>
                <w:sz w:val="20"/>
              </w:rPr>
              <w:t>20.0%</w:t>
            </w:r>
          </w:p>
        </w:tc>
        <w:tc>
          <w:tcPr>
            <w:tcW w:w="923" w:type="dxa"/>
            <w:tcBorders>
              <w:top w:val="nil"/>
              <w:left w:val="single" w:sz="4" w:space="0" w:color="000000"/>
              <w:right w:val="nil"/>
            </w:tcBorders>
          </w:tcPr>
          <w:p>
            <w:pPr>
              <w:pStyle w:val="TableParagraph"/>
              <w:spacing w:before="77"/>
              <w:ind w:left="119"/>
              <w:rPr>
                <w:sz w:val="20"/>
              </w:rPr>
            </w:pPr>
            <w:r>
              <w:rPr>
                <w:spacing w:val="-2"/>
                <w:sz w:val="20"/>
              </w:rPr>
              <w:t>0.0294</w:t>
            </w: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97"/>
              <w:rPr>
                <w:i/>
                <w:sz w:val="20"/>
              </w:rPr>
            </w:pPr>
          </w:p>
          <w:p>
            <w:pPr>
              <w:pStyle w:val="TableParagraph"/>
              <w:spacing w:before="0"/>
              <w:ind w:left="119"/>
              <w:rPr>
                <w:sz w:val="20"/>
              </w:rPr>
            </w:pPr>
            <w:r>
              <w:rPr>
                <w:spacing w:val="-2"/>
                <w:sz w:val="20"/>
              </w:rPr>
              <w:t>0.0298</w:t>
            </w: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217"/>
              <w:rPr>
                <w:i/>
                <w:sz w:val="20"/>
              </w:rPr>
            </w:pPr>
          </w:p>
          <w:p>
            <w:pPr>
              <w:pStyle w:val="TableParagraph"/>
              <w:spacing w:before="0"/>
              <w:ind w:left="119"/>
              <w:rPr>
                <w:sz w:val="20"/>
              </w:rPr>
            </w:pPr>
            <w:r>
              <w:rPr>
                <w:spacing w:val="-2"/>
                <w:sz w:val="20"/>
              </w:rPr>
              <w:t>0.0299</w:t>
            </w: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158"/>
              <w:rPr>
                <w:i/>
                <w:sz w:val="20"/>
              </w:rPr>
            </w:pPr>
          </w:p>
          <w:p>
            <w:pPr>
              <w:pStyle w:val="TableParagraph"/>
              <w:spacing w:before="0"/>
              <w:ind w:left="119"/>
              <w:rPr>
                <w:sz w:val="20"/>
              </w:rPr>
            </w:pPr>
            <w:r>
              <w:rPr>
                <w:spacing w:val="-2"/>
                <w:sz w:val="20"/>
              </w:rPr>
              <w:t>0.0356</w:t>
            </w: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157"/>
              <w:rPr>
                <w:i/>
                <w:sz w:val="20"/>
              </w:rPr>
            </w:pPr>
          </w:p>
          <w:p>
            <w:pPr>
              <w:pStyle w:val="TableParagraph"/>
              <w:spacing w:before="0"/>
              <w:ind w:left="119"/>
              <w:rPr>
                <w:sz w:val="20"/>
              </w:rPr>
            </w:pPr>
            <w:r>
              <w:rPr>
                <w:spacing w:val="-2"/>
                <w:sz w:val="20"/>
              </w:rPr>
              <w:t>0.0356</w:t>
            </w: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157"/>
              <w:rPr>
                <w:i/>
                <w:sz w:val="20"/>
              </w:rPr>
            </w:pPr>
          </w:p>
          <w:p>
            <w:pPr>
              <w:pStyle w:val="TableParagraph"/>
              <w:spacing w:before="0"/>
              <w:ind w:left="119"/>
              <w:rPr>
                <w:sz w:val="20"/>
              </w:rPr>
            </w:pPr>
            <w:r>
              <w:rPr>
                <w:spacing w:val="-2"/>
                <w:sz w:val="20"/>
              </w:rPr>
              <w:t>0.0357</w:t>
            </w: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0"/>
              <w:rPr>
                <w:i/>
                <w:sz w:val="20"/>
              </w:rPr>
            </w:pPr>
          </w:p>
          <w:p>
            <w:pPr>
              <w:pStyle w:val="TableParagraph"/>
              <w:spacing w:before="157"/>
              <w:rPr>
                <w:i/>
                <w:sz w:val="20"/>
              </w:rPr>
            </w:pPr>
          </w:p>
          <w:p>
            <w:pPr>
              <w:pStyle w:val="TableParagraph"/>
              <w:spacing w:before="1"/>
              <w:ind w:left="119"/>
              <w:rPr>
                <w:sz w:val="20"/>
              </w:rPr>
            </w:pPr>
            <w:r>
              <w:rPr>
                <w:spacing w:val="-2"/>
                <w:sz w:val="20"/>
              </w:rPr>
              <w:t>0.0370</w:t>
            </w:r>
          </w:p>
        </w:tc>
      </w:tr>
    </w:tbl>
    <w:p>
      <w:pPr>
        <w:spacing w:before="142"/>
        <w:ind w:left="0" w:right="1052" w:firstLine="0"/>
        <w:jc w:val="right"/>
        <w:rPr>
          <w:i/>
          <w:sz w:val="20"/>
        </w:rPr>
      </w:pPr>
      <w:r>
        <w:rPr>
          <w:i/>
          <w:sz w:val="20"/>
        </w:rPr>
        <w:t>Continued</w:t>
      </w:r>
      <w:r>
        <w:rPr>
          <w:i/>
          <w:spacing w:val="-7"/>
          <w:sz w:val="20"/>
        </w:rPr>
        <w:t> </w:t>
      </w:r>
      <w:r>
        <w:rPr>
          <w:i/>
          <w:sz w:val="20"/>
        </w:rPr>
        <w:t>on</w:t>
      </w:r>
      <w:r>
        <w:rPr>
          <w:i/>
          <w:spacing w:val="-7"/>
          <w:sz w:val="20"/>
        </w:rPr>
        <w:t> </w:t>
      </w:r>
      <w:r>
        <w:rPr>
          <w:i/>
          <w:sz w:val="20"/>
        </w:rPr>
        <w:t>next</w:t>
      </w:r>
      <w:r>
        <w:rPr>
          <w:i/>
          <w:spacing w:val="-7"/>
          <w:sz w:val="20"/>
        </w:rPr>
        <w:t> </w:t>
      </w:r>
      <w:r>
        <w:rPr>
          <w:i/>
          <w:spacing w:val="-4"/>
          <w:sz w:val="20"/>
        </w:rPr>
        <w:t>page</w:t>
      </w:r>
    </w:p>
    <w:p>
      <w:pPr>
        <w:spacing w:after="0"/>
        <w:jc w:val="right"/>
        <w:rPr>
          <w:i/>
          <w:sz w:val="20"/>
        </w:rPr>
        <w:sectPr>
          <w:headerReference w:type="even" r:id="rId109"/>
          <w:headerReference w:type="default" r:id="rId110"/>
          <w:pgSz w:w="11910" w:h="16840"/>
          <w:pgMar w:header="1160" w:footer="0" w:top="1420" w:bottom="280" w:left="1275" w:right="425"/>
          <w:pgNumType w:start="82"/>
        </w:sectPr>
      </w:pPr>
    </w:p>
    <w:p>
      <w:pPr>
        <w:pStyle w:val="BodyText"/>
        <w:rPr>
          <w:i/>
          <w:sz w:val="20"/>
        </w:rPr>
      </w:pPr>
    </w:p>
    <w:p>
      <w:pPr>
        <w:pStyle w:val="BodyText"/>
        <w:spacing w:before="135"/>
        <w:rPr>
          <w:i/>
          <w:sz w:val="20"/>
        </w:rPr>
      </w:pPr>
    </w:p>
    <w:p>
      <w:pPr>
        <w:spacing w:before="0"/>
        <w:ind w:left="828" w:right="0" w:firstLine="0"/>
        <w:jc w:val="left"/>
        <w:rPr>
          <w:i/>
          <w:sz w:val="20"/>
        </w:rPr>
      </w:pPr>
      <w:r>
        <w:rPr>
          <w:i/>
          <w:spacing w:val="-2"/>
          <w:sz w:val="20"/>
        </w:rPr>
        <w:t>Table</w:t>
      </w:r>
      <w:r>
        <w:rPr>
          <w:i/>
          <w:spacing w:val="-7"/>
          <w:sz w:val="20"/>
        </w:rPr>
        <w:t> </w:t>
      </w:r>
      <w:r>
        <w:rPr>
          <w:i/>
          <w:spacing w:val="-2"/>
          <w:sz w:val="20"/>
        </w:rPr>
        <w:t>A.2</w:t>
      </w:r>
      <w:r>
        <w:rPr>
          <w:i/>
          <w:spacing w:val="-6"/>
          <w:sz w:val="20"/>
        </w:rPr>
        <w:t> </w:t>
      </w:r>
      <w:r>
        <w:rPr>
          <w:i/>
          <w:spacing w:val="-2"/>
          <w:sz w:val="20"/>
        </w:rPr>
        <w:t>continued</w:t>
      </w:r>
    </w:p>
    <w:p>
      <w:pPr>
        <w:pStyle w:val="BodyText"/>
        <w:spacing w:before="8"/>
        <w:rPr>
          <w:i/>
          <w:sz w:val="4"/>
        </w:rPr>
      </w:pPr>
      <w:r>
        <w:rPr>
          <w:i/>
          <w:sz w:val="4"/>
        </w:rPr>
        <mc:AlternateContent>
          <mc:Choice Requires="wps">
            <w:drawing>
              <wp:anchor distT="0" distB="0" distL="0" distR="0" allowOverlap="1" layoutInCell="1" locked="0" behindDoc="1" simplePos="0" relativeHeight="487631872">
                <wp:simplePos x="0" y="0"/>
                <wp:positionH relativeFrom="page">
                  <wp:posOffset>1260005</wp:posOffset>
                </wp:positionH>
                <wp:positionV relativeFrom="paragraph">
                  <wp:posOffset>50107</wp:posOffset>
                </wp:positionV>
                <wp:extent cx="5796280" cy="1270"/>
                <wp:effectExtent l="0" t="0" r="0" b="0"/>
                <wp:wrapTopAndBottom/>
                <wp:docPr id="250" name="Graphic 250"/>
                <wp:cNvGraphicFramePr>
                  <a:graphicFrameLocks/>
                </wp:cNvGraphicFramePr>
                <a:graphic>
                  <a:graphicData uri="http://schemas.microsoft.com/office/word/2010/wordprocessingShape">
                    <wps:wsp>
                      <wps:cNvPr id="250" name="Graphic 250"/>
                      <wps:cNvSpPr/>
                      <wps:spPr>
                        <a:xfrm>
                          <a:off x="0" y="0"/>
                          <a:ext cx="5796280" cy="1270"/>
                        </a:xfrm>
                        <a:custGeom>
                          <a:avLst/>
                          <a:gdLst/>
                          <a:ahLst/>
                          <a:cxnLst/>
                          <a:rect l="l" t="t" r="r" b="b"/>
                          <a:pathLst>
                            <a:path w="5796280" h="0">
                              <a:moveTo>
                                <a:pt x="0" y="0"/>
                              </a:moveTo>
                              <a:lnTo>
                                <a:pt x="579628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3.945472pt;width:456.4pt;height:.1pt;mso-position-horizontal-relative:page;mso-position-vertical-relative:paragraph;z-index:-15684608;mso-wrap-distance-left:0;mso-wrap-distance-right:0" id="docshape214" coordorigin="1984,79" coordsize="9128,0" path="m1984,79l11112,79e" filled="false" stroked="true" strokeweight=".868pt" strokecolor="#000000">
                <v:path arrowok="t"/>
                <v:stroke dashstyle="solid"/>
                <w10:wrap type="topAndBottom"/>
              </v:shape>
            </w:pict>
          </mc:Fallback>
        </mc:AlternateContent>
      </w:r>
    </w:p>
    <w:p>
      <w:pPr>
        <w:pStyle w:val="BodyText"/>
        <w:spacing w:before="9"/>
        <w:rPr>
          <w:i/>
          <w:sz w:val="4"/>
        </w:rPr>
      </w:pPr>
    </w:p>
    <w:tbl>
      <w:tblPr>
        <w:tblW w:w="0" w:type="auto"/>
        <w:jc w:val="left"/>
        <w:tblInd w:w="7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70"/>
        <w:gridCol w:w="5066"/>
        <w:gridCol w:w="757"/>
        <w:gridCol w:w="984"/>
        <w:gridCol w:w="927"/>
        <w:gridCol w:w="923"/>
      </w:tblGrid>
      <w:tr>
        <w:trPr>
          <w:trHeight w:val="702" w:hRule="atLeast"/>
        </w:trPr>
        <w:tc>
          <w:tcPr>
            <w:tcW w:w="470" w:type="dxa"/>
            <w:tcBorders>
              <w:top w:val="nil"/>
              <w:left w:val="nil"/>
              <w:right w:val="single" w:sz="4" w:space="0" w:color="000000"/>
            </w:tcBorders>
          </w:tcPr>
          <w:p>
            <w:pPr>
              <w:pStyle w:val="TableParagraph"/>
              <w:spacing w:before="77"/>
              <w:ind w:left="119"/>
              <w:rPr>
                <w:sz w:val="20"/>
              </w:rPr>
            </w:pPr>
            <w:r>
              <w:rPr>
                <w:spacing w:val="-10"/>
                <w:sz w:val="20"/>
              </w:rPr>
              <w:t>#</w:t>
            </w:r>
          </w:p>
        </w:tc>
        <w:tc>
          <w:tcPr>
            <w:tcW w:w="5066" w:type="dxa"/>
            <w:tcBorders>
              <w:top w:val="nil"/>
              <w:left w:val="single" w:sz="4" w:space="0" w:color="000000"/>
              <w:right w:val="single" w:sz="4" w:space="0" w:color="000000"/>
            </w:tcBorders>
          </w:tcPr>
          <w:p>
            <w:pPr>
              <w:pStyle w:val="TableParagraph"/>
              <w:spacing w:before="77"/>
              <w:ind w:left="118"/>
              <w:rPr>
                <w:sz w:val="20"/>
              </w:rPr>
            </w:pPr>
            <w:r>
              <w:rPr>
                <w:spacing w:val="-2"/>
                <w:sz w:val="20"/>
              </w:rPr>
              <w:t>Conditions</w:t>
            </w:r>
          </w:p>
        </w:tc>
        <w:tc>
          <w:tcPr>
            <w:tcW w:w="757" w:type="dxa"/>
            <w:tcBorders>
              <w:top w:val="nil"/>
              <w:left w:val="single" w:sz="4" w:space="0" w:color="000000"/>
              <w:right w:val="single" w:sz="4" w:space="0" w:color="000000"/>
            </w:tcBorders>
          </w:tcPr>
          <w:p>
            <w:pPr>
              <w:pStyle w:val="TableParagraph"/>
              <w:spacing w:before="77"/>
              <w:ind w:left="221"/>
              <w:rPr>
                <w:sz w:val="20"/>
              </w:rPr>
            </w:pPr>
            <w:r>
              <w:rPr>
                <w:spacing w:val="-4"/>
                <w:sz w:val="20"/>
              </w:rPr>
              <w:t>Dir.</w:t>
            </w:r>
          </w:p>
        </w:tc>
        <w:tc>
          <w:tcPr>
            <w:tcW w:w="984" w:type="dxa"/>
            <w:tcBorders>
              <w:top w:val="nil"/>
              <w:left w:val="single" w:sz="4" w:space="0" w:color="000000"/>
              <w:right w:val="single" w:sz="4" w:space="0" w:color="000000"/>
            </w:tcBorders>
          </w:tcPr>
          <w:p>
            <w:pPr>
              <w:pStyle w:val="TableParagraph"/>
              <w:spacing w:before="77"/>
              <w:ind w:left="118"/>
              <w:rPr>
                <w:sz w:val="20"/>
              </w:rPr>
            </w:pPr>
            <w:r>
              <w:rPr>
                <w:spacing w:val="-2"/>
                <w:sz w:val="20"/>
              </w:rPr>
              <w:t>Median</w:t>
            </w:r>
          </w:p>
          <w:p>
            <w:pPr>
              <w:pStyle w:val="TableParagraph"/>
              <w:spacing w:before="56"/>
              <w:ind w:left="118"/>
              <w:rPr>
                <w:sz w:val="20"/>
              </w:rPr>
            </w:pPr>
            <w:r>
              <w:rPr>
                <w:rFonts w:ascii="Calibri" w:hAnsi="Calibri"/>
                <w:sz w:val="20"/>
              </w:rPr>
              <w:t>∆</w:t>
            </w:r>
            <w:r>
              <w:rPr>
                <w:rFonts w:ascii="Calibri" w:hAnsi="Calibri"/>
                <w:spacing w:val="13"/>
                <w:sz w:val="20"/>
              </w:rPr>
              <w:t> </w:t>
            </w:r>
            <w:r>
              <w:rPr>
                <w:spacing w:val="-4"/>
                <w:sz w:val="20"/>
              </w:rPr>
              <w:t>(mhl)</w:t>
            </w:r>
          </w:p>
        </w:tc>
        <w:tc>
          <w:tcPr>
            <w:tcW w:w="927" w:type="dxa"/>
            <w:tcBorders>
              <w:top w:val="nil"/>
              <w:left w:val="single" w:sz="4" w:space="0" w:color="000000"/>
              <w:right w:val="single" w:sz="4" w:space="0" w:color="000000"/>
            </w:tcBorders>
          </w:tcPr>
          <w:p>
            <w:pPr>
              <w:pStyle w:val="TableParagraph"/>
              <w:spacing w:before="77"/>
              <w:ind w:left="118"/>
              <w:rPr>
                <w:sz w:val="20"/>
              </w:rPr>
            </w:pPr>
            <w:r>
              <w:rPr>
                <w:spacing w:val="-2"/>
                <w:sz w:val="20"/>
              </w:rPr>
              <w:t>Support</w:t>
            </w:r>
          </w:p>
        </w:tc>
        <w:tc>
          <w:tcPr>
            <w:tcW w:w="923" w:type="dxa"/>
            <w:tcBorders>
              <w:top w:val="nil"/>
              <w:left w:val="single" w:sz="4" w:space="0" w:color="000000"/>
              <w:right w:val="nil"/>
            </w:tcBorders>
          </w:tcPr>
          <w:p>
            <w:pPr>
              <w:pStyle w:val="TableParagraph"/>
              <w:spacing w:before="77"/>
              <w:ind w:left="119"/>
              <w:rPr>
                <w:sz w:val="20"/>
              </w:rPr>
            </w:pPr>
            <w:r>
              <w:rPr>
                <w:spacing w:val="-2"/>
                <w:sz w:val="20"/>
              </w:rPr>
              <w:t>p-</w:t>
            </w:r>
            <w:r>
              <w:rPr>
                <w:spacing w:val="-4"/>
                <w:sz w:val="20"/>
              </w:rPr>
              <w:t>value</w:t>
            </w:r>
          </w:p>
        </w:tc>
      </w:tr>
    </w:tbl>
    <w:p>
      <w:pPr>
        <w:pStyle w:val="BodyText"/>
        <w:spacing w:before="10"/>
        <w:rPr>
          <w:i/>
          <w:sz w:val="4"/>
        </w:rPr>
      </w:pPr>
    </w:p>
    <w:tbl>
      <w:tblPr>
        <w:tblW w:w="0" w:type="auto"/>
        <w:jc w:val="left"/>
        <w:tblInd w:w="7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70"/>
        <w:gridCol w:w="5066"/>
        <w:gridCol w:w="757"/>
        <w:gridCol w:w="984"/>
        <w:gridCol w:w="927"/>
        <w:gridCol w:w="923"/>
      </w:tblGrid>
      <w:tr>
        <w:trPr>
          <w:trHeight w:val="1283" w:hRule="atLeast"/>
        </w:trPr>
        <w:tc>
          <w:tcPr>
            <w:tcW w:w="470" w:type="dxa"/>
            <w:tcBorders>
              <w:top w:val="nil"/>
              <w:left w:val="nil"/>
              <w:right w:val="single" w:sz="4" w:space="0" w:color="000000"/>
            </w:tcBorders>
          </w:tcPr>
          <w:p>
            <w:pPr>
              <w:pStyle w:val="TableParagraph"/>
              <w:spacing w:before="77"/>
              <w:ind w:left="119"/>
              <w:rPr>
                <w:sz w:val="20"/>
              </w:rPr>
            </w:pPr>
            <w:r>
              <w:rPr>
                <w:spacing w:val="-5"/>
                <w:sz w:val="20"/>
              </w:rPr>
              <w:t>10</w:t>
            </w:r>
          </w:p>
        </w:tc>
        <w:tc>
          <w:tcPr>
            <w:tcW w:w="5066" w:type="dxa"/>
            <w:tcBorders>
              <w:top w:val="nil"/>
              <w:left w:val="single" w:sz="4" w:space="0" w:color="000000"/>
              <w:right w:val="single" w:sz="4" w:space="0" w:color="000000"/>
            </w:tcBorders>
          </w:tcPr>
          <w:p>
            <w:pPr>
              <w:pStyle w:val="TableParagraph"/>
              <w:spacing w:line="302" w:lineRule="auto" w:before="77"/>
              <w:ind w:left="106" w:right="83" w:firstLine="12"/>
              <w:jc w:val="both"/>
              <w:rPr>
                <w:i/>
                <w:sz w:val="20"/>
              </w:rPr>
            </w:pPr>
            <w:r>
              <w:rPr>
                <w:b/>
                <w:sz w:val="20"/>
              </w:rPr>
              <w:t>Soil</w:t>
            </w:r>
            <w:r>
              <w:rPr>
                <w:b/>
                <w:spacing w:val="-7"/>
                <w:sz w:val="20"/>
              </w:rPr>
              <w:t> </w:t>
            </w:r>
            <w:r>
              <w:rPr>
                <w:b/>
                <w:sz w:val="20"/>
              </w:rPr>
              <w:t>water</w:t>
            </w:r>
            <w:r>
              <w:rPr>
                <w:b/>
                <w:spacing w:val="-7"/>
                <w:sz w:val="20"/>
              </w:rPr>
              <w:t> </w:t>
            </w:r>
            <w:r>
              <w:rPr>
                <w:b/>
                <w:sz w:val="20"/>
              </w:rPr>
              <w:t>pre-Harvest</w:t>
            </w:r>
            <w:r>
              <w:rPr>
                <w:b/>
                <w:spacing w:val="-7"/>
                <w:sz w:val="20"/>
              </w:rPr>
              <w:t> </w:t>
            </w:r>
            <w:r>
              <w:rPr>
                <w:b/>
                <w:sz w:val="20"/>
              </w:rPr>
              <w:t>[61–97</w:t>
            </w:r>
            <w:r>
              <w:rPr>
                <w:b/>
                <w:spacing w:val="-7"/>
                <w:sz w:val="20"/>
              </w:rPr>
              <w:t> </w:t>
            </w:r>
            <w:r>
              <w:rPr>
                <w:b/>
                <w:sz w:val="20"/>
              </w:rPr>
              <w:t>mm]</w:t>
            </w:r>
            <w:r>
              <w:rPr>
                <w:b/>
                <w:spacing w:val="-7"/>
                <w:sz w:val="20"/>
              </w:rPr>
              <w:t> </w:t>
            </w:r>
            <w:r>
              <w:rPr>
                <w:b/>
                <w:sz w:val="20"/>
              </w:rPr>
              <w:t>AND</w:t>
            </w:r>
            <w:r>
              <w:rPr>
                <w:b/>
                <w:spacing w:val="-7"/>
                <w:sz w:val="20"/>
              </w:rPr>
              <w:t> </w:t>
            </w:r>
            <w:r>
              <w:rPr>
                <w:b/>
                <w:sz w:val="20"/>
              </w:rPr>
              <w:t>Heat</w:t>
            </w:r>
            <w:r>
              <w:rPr>
                <w:b/>
                <w:spacing w:val="-7"/>
                <w:sz w:val="20"/>
              </w:rPr>
              <w:t> </w:t>
            </w:r>
            <w:r>
              <w:rPr>
                <w:b/>
                <w:sz w:val="20"/>
              </w:rPr>
              <w:t>days</w:t>
            </w:r>
            <w:r>
              <w:rPr>
                <w:b/>
                <w:spacing w:val="-7"/>
                <w:sz w:val="20"/>
              </w:rPr>
              <w:t> </w:t>
            </w:r>
            <w:r>
              <w:rPr>
                <w:b/>
                <w:sz w:val="20"/>
              </w:rPr>
              <w:t>post-</w:t>
            </w:r>
            <w:r>
              <w:rPr>
                <w:b/>
                <w:spacing w:val="-2"/>
                <w:sz w:val="20"/>
              </w:rPr>
              <w:t>Maturity</w:t>
            </w:r>
            <w:r>
              <w:rPr>
                <w:b/>
                <w:spacing w:val="-11"/>
                <w:sz w:val="20"/>
              </w:rPr>
              <w:t> </w:t>
            </w:r>
            <w:r>
              <w:rPr>
                <w:b/>
                <w:spacing w:val="-2"/>
                <w:sz w:val="20"/>
              </w:rPr>
              <w:t>[0–2.4d]</w:t>
            </w:r>
            <w:r>
              <w:rPr>
                <w:b/>
                <w:spacing w:val="-10"/>
                <w:sz w:val="20"/>
              </w:rPr>
              <w:t> </w:t>
            </w:r>
            <w:r>
              <w:rPr>
                <w:b/>
                <w:spacing w:val="-2"/>
                <w:sz w:val="20"/>
              </w:rPr>
              <w:t>AND</w:t>
            </w:r>
            <w:r>
              <w:rPr>
                <w:b/>
                <w:spacing w:val="-11"/>
                <w:sz w:val="20"/>
              </w:rPr>
              <w:t> </w:t>
            </w:r>
            <w:r>
              <w:rPr>
                <w:b/>
                <w:spacing w:val="-2"/>
                <w:sz w:val="20"/>
              </w:rPr>
              <w:t>Heat</w:t>
            </w:r>
            <w:r>
              <w:rPr>
                <w:b/>
                <w:spacing w:val="-10"/>
                <w:sz w:val="20"/>
              </w:rPr>
              <w:t> </w:t>
            </w:r>
            <w:r>
              <w:rPr>
                <w:b/>
                <w:spacing w:val="-2"/>
                <w:sz w:val="20"/>
              </w:rPr>
              <w:t>days</w:t>
            </w:r>
            <w:r>
              <w:rPr>
                <w:b/>
                <w:spacing w:val="-11"/>
                <w:sz w:val="20"/>
              </w:rPr>
              <w:t> </w:t>
            </w:r>
            <w:r>
              <w:rPr>
                <w:b/>
                <w:spacing w:val="-2"/>
                <w:sz w:val="20"/>
              </w:rPr>
              <w:t>post-Flowering</w:t>
            </w:r>
            <w:r>
              <w:rPr>
                <w:b/>
                <w:spacing w:val="-10"/>
                <w:sz w:val="20"/>
              </w:rPr>
              <w:t> </w:t>
            </w:r>
            <w:r>
              <w:rPr>
                <w:b/>
                <w:spacing w:val="-2"/>
                <w:sz w:val="20"/>
              </w:rPr>
              <w:t>[0–1.1d] </w:t>
            </w:r>
            <w:r>
              <w:rPr>
                <w:i/>
                <w:sz w:val="20"/>
              </w:rPr>
              <w:t>Variant</w:t>
            </w:r>
            <w:r>
              <w:rPr>
                <w:i/>
                <w:spacing w:val="-10"/>
                <w:sz w:val="20"/>
              </w:rPr>
              <w:t> </w:t>
            </w:r>
            <w:r>
              <w:rPr>
                <w:i/>
                <w:sz w:val="20"/>
              </w:rPr>
              <w:t>of</w:t>
            </w:r>
            <w:r>
              <w:rPr>
                <w:i/>
                <w:spacing w:val="-10"/>
                <w:sz w:val="20"/>
              </w:rPr>
              <w:t> </w:t>
            </w:r>
            <w:r>
              <w:rPr>
                <w:i/>
                <w:sz w:val="20"/>
              </w:rPr>
              <w:t>Rule</w:t>
            </w:r>
            <w:r>
              <w:rPr>
                <w:i/>
                <w:spacing w:val="-10"/>
                <w:sz w:val="20"/>
              </w:rPr>
              <w:t> </w:t>
            </w:r>
            <w:r>
              <w:rPr>
                <w:i/>
                <w:sz w:val="20"/>
              </w:rPr>
              <w:t>1</w:t>
            </w:r>
            <w:r>
              <w:rPr>
                <w:i/>
                <w:spacing w:val="-10"/>
                <w:sz w:val="20"/>
              </w:rPr>
              <w:t> </w:t>
            </w:r>
            <w:r>
              <w:rPr>
                <w:i/>
                <w:sz w:val="20"/>
              </w:rPr>
              <w:t>with</w:t>
            </w:r>
            <w:r>
              <w:rPr>
                <w:i/>
                <w:spacing w:val="-10"/>
                <w:sz w:val="20"/>
              </w:rPr>
              <w:t> </w:t>
            </w:r>
            <w:r>
              <w:rPr>
                <w:i/>
                <w:sz w:val="20"/>
              </w:rPr>
              <w:t>different</w:t>
            </w:r>
            <w:r>
              <w:rPr>
                <w:i/>
                <w:spacing w:val="-10"/>
                <w:sz w:val="20"/>
              </w:rPr>
              <w:t> </w:t>
            </w:r>
            <w:r>
              <w:rPr>
                <w:i/>
                <w:sz w:val="20"/>
              </w:rPr>
              <w:t>heat-stress</w:t>
            </w:r>
            <w:r>
              <w:rPr>
                <w:i/>
                <w:spacing w:val="-10"/>
                <w:sz w:val="20"/>
              </w:rPr>
              <w:t> </w:t>
            </w:r>
            <w:r>
              <w:rPr>
                <w:i/>
                <w:sz w:val="20"/>
              </w:rPr>
              <w:t>window</w:t>
            </w:r>
            <w:r>
              <w:rPr>
                <w:i/>
                <w:spacing w:val="-10"/>
                <w:sz w:val="20"/>
              </w:rPr>
              <w:t> </w:t>
            </w:r>
            <w:r>
              <w:rPr>
                <w:i/>
                <w:sz w:val="20"/>
              </w:rPr>
              <w:t>combina-</w:t>
            </w:r>
            <w:r>
              <w:rPr>
                <w:i/>
                <w:spacing w:val="-2"/>
                <w:sz w:val="20"/>
              </w:rPr>
              <w:t>tion.</w:t>
            </w:r>
          </w:p>
        </w:tc>
        <w:tc>
          <w:tcPr>
            <w:tcW w:w="757" w:type="dxa"/>
            <w:tcBorders>
              <w:top w:val="nil"/>
              <w:left w:val="single" w:sz="4" w:space="0" w:color="000000"/>
              <w:right w:val="single" w:sz="4" w:space="0" w:color="000000"/>
            </w:tcBorders>
          </w:tcPr>
          <w:p>
            <w:pPr>
              <w:pStyle w:val="TableParagraph"/>
              <w:spacing w:before="96"/>
              <w:ind w:left="118"/>
              <w:rPr>
                <w:sz w:val="18"/>
              </w:rPr>
            </w:pPr>
            <w:r>
              <w:rPr>
                <w:spacing w:val="-6"/>
                <w:sz w:val="18"/>
              </w:rPr>
              <w:t>BELOW</w:t>
            </w:r>
          </w:p>
        </w:tc>
        <w:tc>
          <w:tcPr>
            <w:tcW w:w="984" w:type="dxa"/>
            <w:tcBorders>
              <w:top w:val="nil"/>
              <w:left w:val="single" w:sz="4" w:space="0" w:color="000000"/>
              <w:right w:val="single" w:sz="4" w:space="0" w:color="000000"/>
            </w:tcBorders>
          </w:tcPr>
          <w:p>
            <w:pPr>
              <w:pStyle w:val="TableParagraph"/>
              <w:spacing w:before="77"/>
              <w:ind w:left="118"/>
              <w:rPr>
                <w:sz w:val="20"/>
              </w:rPr>
            </w:pPr>
            <w:r>
              <w:rPr>
                <w:spacing w:val="-2"/>
                <w:sz w:val="20"/>
              </w:rPr>
              <w:t>-</w:t>
            </w:r>
            <w:r>
              <w:rPr>
                <w:spacing w:val="-5"/>
                <w:sz w:val="20"/>
              </w:rPr>
              <w:t>338</w:t>
            </w:r>
          </w:p>
        </w:tc>
        <w:tc>
          <w:tcPr>
            <w:tcW w:w="927" w:type="dxa"/>
            <w:tcBorders>
              <w:top w:val="nil"/>
              <w:left w:val="single" w:sz="4" w:space="0" w:color="000000"/>
              <w:right w:val="single" w:sz="4" w:space="0" w:color="000000"/>
            </w:tcBorders>
          </w:tcPr>
          <w:p>
            <w:pPr>
              <w:pStyle w:val="TableParagraph"/>
              <w:spacing w:before="77"/>
              <w:ind w:left="118"/>
              <w:rPr>
                <w:sz w:val="20"/>
              </w:rPr>
            </w:pPr>
            <w:r>
              <w:rPr>
                <w:spacing w:val="-2"/>
                <w:sz w:val="20"/>
              </w:rPr>
              <w:t>21.2%</w:t>
            </w:r>
          </w:p>
        </w:tc>
        <w:tc>
          <w:tcPr>
            <w:tcW w:w="923" w:type="dxa"/>
            <w:tcBorders>
              <w:top w:val="nil"/>
              <w:left w:val="single" w:sz="4" w:space="0" w:color="000000"/>
              <w:right w:val="nil"/>
            </w:tcBorders>
          </w:tcPr>
          <w:p>
            <w:pPr>
              <w:pStyle w:val="TableParagraph"/>
              <w:spacing w:before="77"/>
              <w:ind w:left="119"/>
              <w:rPr>
                <w:sz w:val="20"/>
              </w:rPr>
            </w:pPr>
            <w:r>
              <w:rPr>
                <w:spacing w:val="-2"/>
                <w:sz w:val="20"/>
              </w:rPr>
              <w:t>0.0401</w:t>
            </w:r>
          </w:p>
        </w:tc>
      </w:tr>
    </w:tbl>
    <w:p>
      <w:pPr>
        <w:pStyle w:val="BodyText"/>
        <w:rPr>
          <w:i/>
          <w:sz w:val="20"/>
        </w:rPr>
      </w:pPr>
    </w:p>
    <w:p>
      <w:pPr>
        <w:pStyle w:val="BodyText"/>
        <w:spacing w:before="65"/>
        <w:rPr>
          <w:i/>
          <w:sz w:val="20"/>
        </w:rPr>
      </w:pPr>
    </w:p>
    <w:p>
      <w:pPr>
        <w:pStyle w:val="Heading2"/>
        <w:numPr>
          <w:ilvl w:val="1"/>
          <w:numId w:val="40"/>
        </w:numPr>
        <w:tabs>
          <w:tab w:pos="1418" w:val="left" w:leader="none"/>
        </w:tabs>
        <w:spacing w:line="240" w:lineRule="auto" w:before="1" w:after="0"/>
        <w:ind w:left="1418" w:right="0" w:hanging="709"/>
        <w:jc w:val="left"/>
      </w:pPr>
      <w:bookmarkStart w:name="A.2 CarenR — Douro Region (RDD): 48 Rule" w:id="261"/>
      <w:bookmarkEnd w:id="261"/>
      <w:r>
        <w:rPr>
          <w:b w:val="0"/>
        </w:rPr>
      </w:r>
      <w:bookmarkStart w:name="_bookmark153" w:id="262"/>
      <w:bookmarkEnd w:id="262"/>
      <w:r>
        <w:rPr>
          <w:b w:val="0"/>
        </w:rPr>
      </w:r>
      <w:r>
        <w:rPr/>
        <w:t>CarenR</w:t>
      </w:r>
      <w:r>
        <w:rPr>
          <w:spacing w:val="12"/>
        </w:rPr>
        <w:t> </w:t>
      </w:r>
      <w:r>
        <w:rPr/>
        <w:t>—</w:t>
      </w:r>
      <w:r>
        <w:rPr>
          <w:spacing w:val="12"/>
        </w:rPr>
        <w:t> </w:t>
      </w:r>
      <w:r>
        <w:rPr/>
        <w:t>Douro</w:t>
      </w:r>
      <w:r>
        <w:rPr>
          <w:spacing w:val="12"/>
        </w:rPr>
        <w:t> </w:t>
      </w:r>
      <w:r>
        <w:rPr/>
        <w:t>Region</w:t>
      </w:r>
      <w:r>
        <w:rPr>
          <w:spacing w:val="13"/>
        </w:rPr>
        <w:t> </w:t>
      </w:r>
      <w:r>
        <w:rPr/>
        <w:t>(RDD):</w:t>
      </w:r>
      <w:r>
        <w:rPr>
          <w:spacing w:val="12"/>
        </w:rPr>
        <w:t> </w:t>
      </w:r>
      <w:r>
        <w:rPr/>
        <w:t>48</w:t>
      </w:r>
      <w:r>
        <w:rPr>
          <w:spacing w:val="12"/>
        </w:rPr>
        <w:t> </w:t>
      </w:r>
      <w:r>
        <w:rPr>
          <w:spacing w:val="-2"/>
        </w:rPr>
        <w:t>Rules</w:t>
      </w:r>
    </w:p>
    <w:p>
      <w:pPr>
        <w:pStyle w:val="BodyText"/>
        <w:spacing w:line="312" w:lineRule="auto" w:before="288"/>
        <w:ind w:left="709" w:right="954" w:hanging="8"/>
        <w:jc w:val="both"/>
      </w:pPr>
      <w:r>
        <w:rPr/>
        <w:t>All 48 rules are sorted by KS p-value (most significant first).</w:t>
      </w:r>
      <w:r>
        <w:rPr>
          <w:spacing w:val="40"/>
        </w:rPr>
        <w:t> </w:t>
      </w:r>
      <w:r>
        <w:rPr/>
        <w:t>The dominant theme is dry </w:t>
      </w:r>
      <w:r>
        <w:rPr/>
        <w:t>post-flowering</w:t>
      </w:r>
      <w:r>
        <w:rPr>
          <w:spacing w:val="-10"/>
        </w:rPr>
        <w:t> </w:t>
      </w:r>
      <w:r>
        <w:rPr/>
        <w:t>conditions</w:t>
      </w:r>
      <w:r>
        <w:rPr>
          <w:spacing w:val="-10"/>
        </w:rPr>
        <w:t> </w:t>
      </w:r>
      <w:r>
        <w:rPr/>
        <w:t>combined</w:t>
      </w:r>
      <w:r>
        <w:rPr>
          <w:spacing w:val="-10"/>
        </w:rPr>
        <w:t> </w:t>
      </w:r>
      <w:r>
        <w:rPr/>
        <w:t>with</w:t>
      </w:r>
      <w:r>
        <w:rPr>
          <w:spacing w:val="-10"/>
        </w:rPr>
        <w:t> </w:t>
      </w:r>
      <w:r>
        <w:rPr/>
        <w:t>moderate</w:t>
      </w:r>
      <w:r>
        <w:rPr>
          <w:spacing w:val="-9"/>
        </w:rPr>
        <w:t> </w:t>
      </w:r>
      <w:r>
        <w:rPr/>
        <w:t>soil</w:t>
      </w:r>
      <w:r>
        <w:rPr>
          <w:spacing w:val="-9"/>
        </w:rPr>
        <w:t> </w:t>
      </w:r>
      <w:r>
        <w:rPr/>
        <w:t>water</w:t>
      </w:r>
      <w:r>
        <w:rPr>
          <w:spacing w:val="-10"/>
        </w:rPr>
        <w:t> </w:t>
      </w:r>
      <w:r>
        <w:rPr/>
        <w:t>stress</w:t>
      </w:r>
      <w:r>
        <w:rPr>
          <w:spacing w:val="-10"/>
        </w:rPr>
        <w:t> </w:t>
      </w:r>
      <w:r>
        <w:rPr/>
        <w:t>at</w:t>
      </w:r>
      <w:r>
        <w:rPr>
          <w:spacing w:val="-10"/>
        </w:rPr>
        <w:t> </w:t>
      </w:r>
      <w:r>
        <w:rPr/>
        <w:t>harvest,</w:t>
      </w:r>
      <w:r>
        <w:rPr>
          <w:spacing w:val="-10"/>
        </w:rPr>
        <w:t> </w:t>
      </w:r>
      <w:r>
        <w:rPr/>
        <w:t>conditions</w:t>
      </w:r>
      <w:r>
        <w:rPr>
          <w:spacing w:val="-9"/>
        </w:rPr>
        <w:t> </w:t>
      </w:r>
      <w:r>
        <w:rPr/>
        <w:t>that</w:t>
      </w:r>
      <w:r>
        <w:rPr>
          <w:spacing w:val="-10"/>
        </w:rPr>
        <w:t> </w:t>
      </w:r>
      <w:r>
        <w:rPr/>
        <w:t>together favour above-trend production.</w:t>
      </w:r>
      <w:r>
        <w:rPr>
          <w:spacing w:val="40"/>
        </w:rPr>
        <w:t> </w:t>
      </w:r>
      <w:r>
        <w:rPr/>
        <w:t>Of the 48 rules, 46 point to ABOVE-trend production and 2 to BELOW-trend, reflecting the asymmetric signal structure of the Douro region.</w:t>
      </w:r>
      <w:r>
        <w:rPr>
          <w:spacing w:val="40"/>
        </w:rPr>
        <w:t> </w:t>
      </w:r>
      <w:r>
        <w:rPr/>
        <w:t>Conditions are </w:t>
      </w:r>
      <w:bookmarkStart w:name="_bookmark154" w:id="263"/>
      <w:bookmarkEnd w:id="263"/>
      <w:r>
        <w:rPr/>
        <w:t>abbr</w:t>
      </w:r>
      <w:r>
        <w:rPr/>
        <w:t>eviated; full variable names follow the notation defined in Section </w:t>
      </w:r>
      <w:hyperlink w:history="true" w:anchor="_bookmark61">
        <w:r>
          <w:rPr>
            <w:color w:val="8B2C18"/>
          </w:rPr>
          <w:t>3.11.1</w:t>
        </w:r>
      </w:hyperlink>
      <w:r>
        <w:rPr/>
        <w:t>.</w:t>
      </w:r>
    </w:p>
    <w:p>
      <w:pPr>
        <w:spacing w:before="180"/>
        <w:ind w:left="2126" w:right="0" w:firstLine="0"/>
        <w:jc w:val="left"/>
        <w:rPr>
          <w:sz w:val="20"/>
        </w:rPr>
      </w:pPr>
      <w:r>
        <w:rPr>
          <w:b/>
          <w:sz w:val="20"/>
        </w:rPr>
        <w:t>Table</w:t>
      </w:r>
      <w:r>
        <w:rPr>
          <w:b/>
          <w:spacing w:val="-7"/>
          <w:sz w:val="20"/>
        </w:rPr>
        <w:t> </w:t>
      </w:r>
      <w:r>
        <w:rPr>
          <w:b/>
          <w:sz w:val="20"/>
        </w:rPr>
        <w:t>A.3:</w:t>
      </w:r>
      <w:r>
        <w:rPr>
          <w:b/>
          <w:spacing w:val="4"/>
          <w:sz w:val="20"/>
        </w:rPr>
        <w:t> </w:t>
      </w:r>
      <w:r>
        <w:rPr>
          <w:sz w:val="20"/>
        </w:rPr>
        <w:t>Complete</w:t>
      </w:r>
      <w:r>
        <w:rPr>
          <w:spacing w:val="-7"/>
          <w:sz w:val="20"/>
        </w:rPr>
        <w:t> </w:t>
      </w:r>
      <w:r>
        <w:rPr>
          <w:sz w:val="20"/>
        </w:rPr>
        <w:t>CarenR</w:t>
      </w:r>
      <w:r>
        <w:rPr>
          <w:spacing w:val="-7"/>
          <w:sz w:val="20"/>
        </w:rPr>
        <w:t> </w:t>
      </w:r>
      <w:r>
        <w:rPr>
          <w:sz w:val="20"/>
        </w:rPr>
        <w:t>rule</w:t>
      </w:r>
      <w:r>
        <w:rPr>
          <w:spacing w:val="-7"/>
          <w:sz w:val="20"/>
        </w:rPr>
        <w:t> </w:t>
      </w:r>
      <w:r>
        <w:rPr>
          <w:sz w:val="20"/>
        </w:rPr>
        <w:t>listing</w:t>
      </w:r>
      <w:r>
        <w:rPr>
          <w:spacing w:val="-6"/>
          <w:sz w:val="20"/>
        </w:rPr>
        <w:t> </w:t>
      </w:r>
      <w:r>
        <w:rPr>
          <w:sz w:val="20"/>
        </w:rPr>
        <w:t>for</w:t>
      </w:r>
      <w:r>
        <w:rPr>
          <w:spacing w:val="-7"/>
          <w:sz w:val="20"/>
        </w:rPr>
        <w:t> </w:t>
      </w:r>
      <w:r>
        <w:rPr>
          <w:sz w:val="20"/>
        </w:rPr>
        <w:t>the</w:t>
      </w:r>
      <w:r>
        <w:rPr>
          <w:spacing w:val="-7"/>
          <w:sz w:val="20"/>
        </w:rPr>
        <w:t> </w:t>
      </w:r>
      <w:r>
        <w:rPr>
          <w:sz w:val="20"/>
        </w:rPr>
        <w:t>Douro</w:t>
      </w:r>
      <w:r>
        <w:rPr>
          <w:spacing w:val="-7"/>
          <w:sz w:val="20"/>
        </w:rPr>
        <w:t> </w:t>
      </w:r>
      <w:r>
        <w:rPr>
          <w:sz w:val="20"/>
        </w:rPr>
        <w:t>(RDD)</w:t>
      </w:r>
      <w:r>
        <w:rPr>
          <w:spacing w:val="-6"/>
          <w:sz w:val="20"/>
        </w:rPr>
        <w:t> </w:t>
      </w:r>
      <w:r>
        <w:rPr>
          <w:sz w:val="20"/>
        </w:rPr>
        <w:t>region:</w:t>
      </w:r>
      <w:r>
        <w:rPr>
          <w:spacing w:val="3"/>
          <w:sz w:val="20"/>
        </w:rPr>
        <w:t> </w:t>
      </w:r>
      <w:r>
        <w:rPr>
          <w:sz w:val="20"/>
        </w:rPr>
        <w:t>all</w:t>
      </w:r>
      <w:r>
        <w:rPr>
          <w:spacing w:val="-6"/>
          <w:sz w:val="20"/>
        </w:rPr>
        <w:t> </w:t>
      </w:r>
      <w:r>
        <w:rPr>
          <w:sz w:val="20"/>
        </w:rPr>
        <w:t>48</w:t>
      </w:r>
      <w:r>
        <w:rPr>
          <w:spacing w:val="-7"/>
          <w:sz w:val="20"/>
        </w:rPr>
        <w:t> </w:t>
      </w:r>
      <w:r>
        <w:rPr>
          <w:spacing w:val="-2"/>
          <w:sz w:val="20"/>
        </w:rPr>
        <w:t>rules.</w:t>
      </w:r>
    </w:p>
    <w:p>
      <w:pPr>
        <w:pStyle w:val="BodyText"/>
        <w:spacing w:before="5"/>
        <w:rPr>
          <w:sz w:val="18"/>
        </w:rPr>
      </w:pPr>
      <w:r>
        <w:rPr>
          <w:sz w:val="18"/>
        </w:rPr>
        <mc:AlternateContent>
          <mc:Choice Requires="wps">
            <w:drawing>
              <wp:anchor distT="0" distB="0" distL="0" distR="0" allowOverlap="1" layoutInCell="1" locked="0" behindDoc="1" simplePos="0" relativeHeight="487632384">
                <wp:simplePos x="0" y="0"/>
                <wp:positionH relativeFrom="page">
                  <wp:posOffset>1260005</wp:posOffset>
                </wp:positionH>
                <wp:positionV relativeFrom="paragraph">
                  <wp:posOffset>150046</wp:posOffset>
                </wp:positionV>
                <wp:extent cx="6012815" cy="1270"/>
                <wp:effectExtent l="0" t="0" r="0" b="0"/>
                <wp:wrapTopAndBottom/>
                <wp:docPr id="251" name="Graphic 251"/>
                <wp:cNvGraphicFramePr>
                  <a:graphicFrameLocks/>
                </wp:cNvGraphicFramePr>
                <a:graphic>
                  <a:graphicData uri="http://schemas.microsoft.com/office/word/2010/wordprocessingShape">
                    <wps:wsp>
                      <wps:cNvPr id="251" name="Graphic 251"/>
                      <wps:cNvSpPr/>
                      <wps:spPr>
                        <a:xfrm>
                          <a:off x="0" y="0"/>
                          <a:ext cx="6012815" cy="1270"/>
                        </a:xfrm>
                        <a:custGeom>
                          <a:avLst/>
                          <a:gdLst/>
                          <a:ahLst/>
                          <a:cxnLst/>
                          <a:rect l="l" t="t" r="r" b="b"/>
                          <a:pathLst>
                            <a:path w="6012815" h="0">
                              <a:moveTo>
                                <a:pt x="0" y="0"/>
                              </a:moveTo>
                              <a:lnTo>
                                <a:pt x="601228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1.81467pt;width:473.45pt;height:.1pt;mso-position-horizontal-relative:page;mso-position-vertical-relative:paragraph;z-index:-15684096;mso-wrap-distance-left:0;mso-wrap-distance-right:0" id="docshape215" coordorigin="1984,236" coordsize="9469,0" path="m1984,236l11452,236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7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70"/>
        <w:gridCol w:w="1098"/>
        <w:gridCol w:w="928"/>
        <w:gridCol w:w="985"/>
        <w:gridCol w:w="1098"/>
        <w:gridCol w:w="4892"/>
      </w:tblGrid>
      <w:tr>
        <w:trPr>
          <w:trHeight w:val="646" w:hRule="atLeast"/>
        </w:trPr>
        <w:tc>
          <w:tcPr>
            <w:tcW w:w="470" w:type="dxa"/>
            <w:tcBorders>
              <w:top w:val="nil"/>
              <w:left w:val="nil"/>
              <w:right w:val="single" w:sz="4" w:space="0" w:color="000000"/>
            </w:tcBorders>
          </w:tcPr>
          <w:p>
            <w:pPr>
              <w:pStyle w:val="TableParagraph"/>
              <w:spacing w:before="74"/>
              <w:ind w:left="119"/>
              <w:rPr>
                <w:sz w:val="18"/>
              </w:rPr>
            </w:pPr>
            <w:r>
              <w:rPr>
                <w:spacing w:val="-10"/>
                <w:sz w:val="18"/>
              </w:rPr>
              <w:t>#</w:t>
            </w:r>
          </w:p>
        </w:tc>
        <w:tc>
          <w:tcPr>
            <w:tcW w:w="1098" w:type="dxa"/>
            <w:tcBorders>
              <w:top w:val="nil"/>
              <w:left w:val="single" w:sz="4" w:space="0" w:color="000000"/>
              <w:right w:val="single" w:sz="4" w:space="0" w:color="000000"/>
            </w:tcBorders>
          </w:tcPr>
          <w:p>
            <w:pPr>
              <w:pStyle w:val="TableParagraph"/>
              <w:spacing w:before="74"/>
              <w:ind w:left="118"/>
              <w:rPr>
                <w:sz w:val="18"/>
              </w:rPr>
            </w:pPr>
            <w:r>
              <w:rPr>
                <w:spacing w:val="-2"/>
                <w:sz w:val="18"/>
              </w:rPr>
              <w:t>Support</w:t>
            </w:r>
          </w:p>
        </w:tc>
        <w:tc>
          <w:tcPr>
            <w:tcW w:w="928" w:type="dxa"/>
            <w:tcBorders>
              <w:top w:val="nil"/>
              <w:left w:val="single" w:sz="4" w:space="0" w:color="000000"/>
              <w:right w:val="single" w:sz="4" w:space="0" w:color="000000"/>
            </w:tcBorders>
          </w:tcPr>
          <w:p>
            <w:pPr>
              <w:pStyle w:val="TableParagraph"/>
              <w:spacing w:before="74"/>
              <w:ind w:left="117"/>
              <w:rPr>
                <w:sz w:val="18"/>
              </w:rPr>
            </w:pPr>
            <w:r>
              <w:rPr>
                <w:spacing w:val="-2"/>
                <w:sz w:val="18"/>
              </w:rPr>
              <w:t>p-value</w:t>
            </w:r>
          </w:p>
        </w:tc>
        <w:tc>
          <w:tcPr>
            <w:tcW w:w="985" w:type="dxa"/>
            <w:tcBorders>
              <w:top w:val="nil"/>
              <w:left w:val="single" w:sz="4" w:space="0" w:color="000000"/>
              <w:right w:val="single" w:sz="4" w:space="0" w:color="000000"/>
            </w:tcBorders>
          </w:tcPr>
          <w:p>
            <w:pPr>
              <w:pStyle w:val="TableParagraph"/>
              <w:spacing w:before="74"/>
              <w:ind w:left="117"/>
              <w:rPr>
                <w:sz w:val="18"/>
              </w:rPr>
            </w:pPr>
            <w:r>
              <w:rPr>
                <w:spacing w:val="-2"/>
                <w:sz w:val="18"/>
              </w:rPr>
              <w:t>Direction</w:t>
            </w:r>
          </w:p>
        </w:tc>
        <w:tc>
          <w:tcPr>
            <w:tcW w:w="1098" w:type="dxa"/>
            <w:tcBorders>
              <w:top w:val="nil"/>
              <w:left w:val="single" w:sz="4" w:space="0" w:color="000000"/>
              <w:right w:val="single" w:sz="4" w:space="0" w:color="000000"/>
            </w:tcBorders>
          </w:tcPr>
          <w:p>
            <w:pPr>
              <w:pStyle w:val="TableParagraph"/>
              <w:tabs>
                <w:tab w:pos="856" w:val="left" w:leader="none"/>
              </w:tabs>
              <w:spacing w:before="70"/>
              <w:ind w:left="116"/>
              <w:rPr>
                <w:rFonts w:ascii="Calibri" w:hAnsi="Calibri"/>
                <w:sz w:val="18"/>
              </w:rPr>
            </w:pPr>
            <w:r>
              <w:rPr>
                <w:spacing w:val="-4"/>
                <w:w w:val="105"/>
                <w:sz w:val="18"/>
              </w:rPr>
              <w:t>Mean</w:t>
            </w:r>
            <w:r>
              <w:rPr>
                <w:sz w:val="18"/>
              </w:rPr>
              <w:tab/>
            </w:r>
            <w:r>
              <w:rPr>
                <w:rFonts w:ascii="Calibri" w:hAnsi="Calibri"/>
                <w:spacing w:val="-10"/>
                <w:w w:val="105"/>
                <w:sz w:val="18"/>
              </w:rPr>
              <w:t>∆</w:t>
            </w:r>
          </w:p>
          <w:p>
            <w:pPr>
              <w:pStyle w:val="TableParagraph"/>
              <w:spacing w:before="50"/>
              <w:ind w:left="110"/>
              <w:rPr>
                <w:sz w:val="18"/>
              </w:rPr>
            </w:pPr>
            <w:r>
              <w:rPr>
                <w:spacing w:val="-2"/>
                <w:sz w:val="18"/>
              </w:rPr>
              <w:t>(mhl)</w:t>
            </w:r>
          </w:p>
        </w:tc>
        <w:tc>
          <w:tcPr>
            <w:tcW w:w="4892" w:type="dxa"/>
            <w:tcBorders>
              <w:top w:val="nil"/>
              <w:left w:val="single" w:sz="4" w:space="0" w:color="000000"/>
              <w:right w:val="nil"/>
            </w:tcBorders>
          </w:tcPr>
          <w:p>
            <w:pPr>
              <w:pStyle w:val="TableParagraph"/>
              <w:spacing w:before="74"/>
              <w:ind w:left="115"/>
              <w:rPr>
                <w:sz w:val="18"/>
              </w:rPr>
            </w:pPr>
            <w:r>
              <w:rPr>
                <w:sz w:val="18"/>
              </w:rPr>
              <w:t>Conditions</w:t>
            </w:r>
            <w:r>
              <w:rPr>
                <w:spacing w:val="-9"/>
                <w:sz w:val="18"/>
              </w:rPr>
              <w:t> </w:t>
            </w:r>
            <w:r>
              <w:rPr>
                <w:spacing w:val="-2"/>
                <w:sz w:val="18"/>
              </w:rPr>
              <w:t>(abbreviated)</w:t>
            </w:r>
          </w:p>
        </w:tc>
      </w:tr>
    </w:tbl>
    <w:p>
      <w:pPr>
        <w:pStyle w:val="BodyText"/>
        <w:spacing w:before="3"/>
        <w:rPr>
          <w:sz w:val="5"/>
        </w:rPr>
      </w:pPr>
    </w:p>
    <w:tbl>
      <w:tblPr>
        <w:tblW w:w="0" w:type="auto"/>
        <w:jc w:val="left"/>
        <w:tblInd w:w="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0"/>
        <w:gridCol w:w="1098"/>
        <w:gridCol w:w="928"/>
        <w:gridCol w:w="985"/>
        <w:gridCol w:w="1098"/>
        <w:gridCol w:w="4892"/>
      </w:tblGrid>
      <w:tr>
        <w:trPr>
          <w:trHeight w:val="622" w:hRule="atLeast"/>
        </w:trPr>
        <w:tc>
          <w:tcPr>
            <w:tcW w:w="470" w:type="dxa"/>
            <w:tcBorders>
              <w:right w:val="single" w:sz="4" w:space="0" w:color="000000"/>
            </w:tcBorders>
          </w:tcPr>
          <w:p>
            <w:pPr>
              <w:pStyle w:val="TableParagraph"/>
              <w:spacing w:before="74"/>
              <w:ind w:left="119"/>
              <w:rPr>
                <w:sz w:val="18"/>
              </w:rPr>
            </w:pPr>
            <w:r>
              <w:rPr>
                <w:spacing w:val="-10"/>
                <w:sz w:val="18"/>
              </w:rPr>
              <w:t>1</w:t>
            </w:r>
          </w:p>
        </w:tc>
        <w:tc>
          <w:tcPr>
            <w:tcW w:w="1098" w:type="dxa"/>
            <w:tcBorders>
              <w:left w:val="single" w:sz="4" w:space="0" w:color="000000"/>
              <w:right w:val="single" w:sz="4" w:space="0" w:color="000000"/>
            </w:tcBorders>
          </w:tcPr>
          <w:p>
            <w:pPr>
              <w:pStyle w:val="TableParagraph"/>
              <w:spacing w:before="74"/>
              <w:ind w:left="118"/>
              <w:rPr>
                <w:sz w:val="18"/>
              </w:rPr>
            </w:pPr>
            <w:r>
              <w:rPr>
                <w:spacing w:val="-2"/>
                <w:sz w:val="18"/>
              </w:rPr>
              <w:t>28.1%</w:t>
            </w:r>
          </w:p>
          <w:p>
            <w:pPr>
              <w:pStyle w:val="TableParagraph"/>
              <w:spacing w:before="58"/>
              <w:ind w:left="112"/>
              <w:rPr>
                <w:sz w:val="18"/>
              </w:rPr>
            </w:pPr>
            <w:r>
              <w:rPr>
                <w:sz w:val="18"/>
              </w:rPr>
              <w:t>(</w:t>
            </w:r>
            <w:r>
              <w:rPr>
                <w:spacing w:val="-2"/>
                <w:sz w:val="18"/>
              </w:rPr>
              <w:t> 25yr)</w:t>
            </w:r>
          </w:p>
        </w:tc>
        <w:tc>
          <w:tcPr>
            <w:tcW w:w="928" w:type="dxa"/>
            <w:tcBorders>
              <w:left w:val="single" w:sz="4" w:space="0" w:color="000000"/>
              <w:right w:val="single" w:sz="4" w:space="0" w:color="000000"/>
            </w:tcBorders>
          </w:tcPr>
          <w:p>
            <w:pPr>
              <w:pStyle w:val="TableParagraph"/>
              <w:spacing w:before="74"/>
              <w:ind w:left="117"/>
              <w:rPr>
                <w:sz w:val="18"/>
              </w:rPr>
            </w:pPr>
            <w:r>
              <w:rPr>
                <w:spacing w:val="-2"/>
                <w:sz w:val="18"/>
              </w:rPr>
              <w:t>0.0043</w:t>
            </w:r>
          </w:p>
        </w:tc>
        <w:tc>
          <w:tcPr>
            <w:tcW w:w="985" w:type="dxa"/>
            <w:tcBorders>
              <w:left w:val="single" w:sz="4" w:space="0" w:color="000000"/>
              <w:right w:val="single" w:sz="4" w:space="0" w:color="000000"/>
            </w:tcBorders>
          </w:tcPr>
          <w:p>
            <w:pPr>
              <w:pStyle w:val="TableParagraph"/>
              <w:spacing w:before="74"/>
              <w:ind w:right="129"/>
              <w:jc w:val="center"/>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74"/>
              <w:ind w:left="116"/>
              <w:rPr>
                <w:sz w:val="18"/>
              </w:rPr>
            </w:pPr>
            <w:r>
              <w:rPr>
                <w:spacing w:val="-4"/>
                <w:sz w:val="18"/>
              </w:rPr>
              <w:t>+121</w:t>
            </w:r>
          </w:p>
        </w:tc>
        <w:tc>
          <w:tcPr>
            <w:tcW w:w="4892" w:type="dxa"/>
            <w:tcBorders>
              <w:left w:val="single" w:sz="4" w:space="0" w:color="000000"/>
            </w:tcBorders>
          </w:tcPr>
          <w:p>
            <w:pPr>
              <w:pStyle w:val="TableParagraph"/>
              <w:spacing w:line="260" w:lineRule="atLeast" w:before="21"/>
              <w:ind w:left="115"/>
              <w:rPr>
                <w:sz w:val="18"/>
              </w:rPr>
            </w:pPr>
            <w:r>
              <w:rPr>
                <w:sz w:val="18"/>
              </w:rPr>
              <w:t>Wet</w:t>
            </w:r>
            <w:r>
              <w:rPr>
                <w:spacing w:val="-2"/>
                <w:sz w:val="18"/>
              </w:rPr>
              <w:t> </w:t>
            </w:r>
            <w:r>
              <w:rPr>
                <w:sz w:val="18"/>
              </w:rPr>
              <w:t>days</w:t>
            </w:r>
            <w:r>
              <w:rPr>
                <w:spacing w:val="-2"/>
                <w:sz w:val="18"/>
              </w:rPr>
              <w:t> </w:t>
            </w:r>
            <w:r>
              <w:rPr>
                <w:sz w:val="18"/>
              </w:rPr>
              <w:t>post-Flowering</w:t>
            </w:r>
            <w:r>
              <w:rPr>
                <w:spacing w:val="-2"/>
                <w:sz w:val="18"/>
              </w:rPr>
              <w:t> </w:t>
            </w:r>
            <w:r>
              <w:rPr>
                <w:sz w:val="18"/>
              </w:rPr>
              <w:t>[0–3.3d]</w:t>
            </w:r>
            <w:r>
              <w:rPr>
                <w:spacing w:val="-2"/>
                <w:sz w:val="18"/>
              </w:rPr>
              <w:t> </w:t>
            </w:r>
            <w:r>
              <w:rPr>
                <w:sz w:val="18"/>
              </w:rPr>
              <w:t>AND</w:t>
            </w:r>
            <w:r>
              <w:rPr>
                <w:spacing w:val="-2"/>
                <w:sz w:val="18"/>
              </w:rPr>
              <w:t> </w:t>
            </w:r>
            <w:r>
              <w:rPr>
                <w:sz w:val="18"/>
              </w:rPr>
              <w:t>Wet</w:t>
            </w:r>
            <w:r>
              <w:rPr>
                <w:spacing w:val="-2"/>
                <w:sz w:val="18"/>
              </w:rPr>
              <w:t> </w:t>
            </w:r>
            <w:r>
              <w:rPr>
                <w:sz w:val="18"/>
              </w:rPr>
              <w:t>days</w:t>
            </w:r>
            <w:r>
              <w:rPr>
                <w:spacing w:val="-2"/>
                <w:sz w:val="18"/>
              </w:rPr>
              <w:t> </w:t>
            </w:r>
            <w:r>
              <w:rPr>
                <w:sz w:val="18"/>
              </w:rPr>
              <w:t>post-Start-</w:t>
            </w:r>
            <w:r>
              <w:rPr>
                <w:sz w:val="18"/>
              </w:rPr>
              <w:t>of-Maturity [0–3.5d]</w:t>
            </w:r>
          </w:p>
        </w:tc>
      </w:tr>
      <w:tr>
        <w:trPr>
          <w:trHeight w:val="611" w:hRule="atLeast"/>
        </w:trPr>
        <w:tc>
          <w:tcPr>
            <w:tcW w:w="470" w:type="dxa"/>
            <w:tcBorders>
              <w:right w:val="single" w:sz="4" w:space="0" w:color="000000"/>
            </w:tcBorders>
          </w:tcPr>
          <w:p>
            <w:pPr>
              <w:pStyle w:val="TableParagraph"/>
              <w:spacing w:before="62"/>
              <w:ind w:left="119"/>
              <w:rPr>
                <w:sz w:val="18"/>
              </w:rPr>
            </w:pPr>
            <w:r>
              <w:rPr>
                <w:spacing w:val="-10"/>
                <w:sz w:val="18"/>
              </w:rPr>
              <w:t>2</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20.2%</w:t>
            </w:r>
          </w:p>
          <w:p>
            <w:pPr>
              <w:pStyle w:val="TableParagraph"/>
              <w:spacing w:before="59"/>
              <w:ind w:left="112"/>
              <w:rPr>
                <w:sz w:val="18"/>
              </w:rPr>
            </w:pPr>
            <w:r>
              <w:rPr>
                <w:sz w:val="18"/>
              </w:rPr>
              <w:t>(</w:t>
            </w:r>
            <w:r>
              <w:rPr>
                <w:spacing w:val="-2"/>
                <w:sz w:val="18"/>
              </w:rPr>
              <w:t> 18yr)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0.0084</w:t>
            </w:r>
          </w:p>
        </w:tc>
        <w:tc>
          <w:tcPr>
            <w:tcW w:w="985" w:type="dxa"/>
            <w:tcBorders>
              <w:left w:val="single" w:sz="4" w:space="0" w:color="000000"/>
              <w:right w:val="single" w:sz="4" w:space="0" w:color="000000"/>
            </w:tcBorders>
          </w:tcPr>
          <w:p>
            <w:pPr>
              <w:pStyle w:val="TableParagraph"/>
              <w:spacing w:before="62"/>
              <w:ind w:left="22" w:right="129"/>
              <w:jc w:val="center"/>
              <w:rPr>
                <w:sz w:val="18"/>
              </w:rPr>
            </w:pPr>
            <w:r>
              <w:rPr>
                <w:spacing w:val="-2"/>
                <w:sz w:val="18"/>
              </w:rPr>
              <w:t>BELOW</w:t>
            </w:r>
          </w:p>
        </w:tc>
        <w:tc>
          <w:tcPr>
            <w:tcW w:w="1098" w:type="dxa"/>
            <w:tcBorders>
              <w:left w:val="single" w:sz="4" w:space="0" w:color="000000"/>
              <w:right w:val="single" w:sz="4" w:space="0" w:color="000000"/>
            </w:tcBorders>
          </w:tcPr>
          <w:p>
            <w:pPr>
              <w:pStyle w:val="TableParagraph"/>
              <w:spacing w:before="62"/>
              <w:ind w:left="116"/>
              <w:rPr>
                <w:sz w:val="18"/>
              </w:rPr>
            </w:pPr>
            <w:r>
              <w:rPr>
                <w:spacing w:val="-2"/>
                <w:sz w:val="18"/>
              </w:rPr>
              <w:t>-</w:t>
            </w:r>
            <w:r>
              <w:rPr>
                <w:spacing w:val="-5"/>
                <w:sz w:val="18"/>
              </w:rPr>
              <w:t>131</w:t>
            </w:r>
          </w:p>
        </w:tc>
        <w:tc>
          <w:tcPr>
            <w:tcW w:w="4892" w:type="dxa"/>
            <w:tcBorders>
              <w:left w:val="single" w:sz="4" w:space="0" w:color="000000"/>
            </w:tcBorders>
          </w:tcPr>
          <w:p>
            <w:pPr>
              <w:pStyle w:val="TableParagraph"/>
              <w:spacing w:line="260" w:lineRule="atLeast" w:before="9"/>
              <w:ind w:left="115"/>
              <w:rPr>
                <w:sz w:val="18"/>
              </w:rPr>
            </w:pPr>
            <w:r>
              <w:rPr>
                <w:sz w:val="18"/>
              </w:rPr>
              <w:t>LAI</w:t>
            </w:r>
            <w:r>
              <w:rPr>
                <w:spacing w:val="40"/>
                <w:sz w:val="18"/>
              </w:rPr>
              <w:t> </w:t>
            </w:r>
            <w:r>
              <w:rPr>
                <w:sz w:val="18"/>
              </w:rPr>
              <w:t>at</w:t>
            </w:r>
            <w:r>
              <w:rPr>
                <w:spacing w:val="40"/>
                <w:sz w:val="18"/>
              </w:rPr>
              <w:t> </w:t>
            </w:r>
            <w:r>
              <w:rPr>
                <w:sz w:val="18"/>
              </w:rPr>
              <w:t>Flowering</w:t>
            </w:r>
            <w:r>
              <w:rPr>
                <w:spacing w:val="40"/>
                <w:sz w:val="18"/>
              </w:rPr>
              <w:t> </w:t>
            </w:r>
            <w:r>
              <w:rPr>
                <w:sz w:val="18"/>
              </w:rPr>
              <w:t>[0.74–0.88</w:t>
            </w:r>
            <w:r>
              <w:rPr>
                <w:spacing w:val="40"/>
                <w:sz w:val="18"/>
              </w:rPr>
              <w:t> </w:t>
            </w:r>
            <w:r>
              <w:rPr>
                <w:sz w:val="18"/>
              </w:rPr>
              <w:t>m</w:t>
            </w:r>
            <w:r>
              <w:rPr>
                <w:sz w:val="18"/>
                <w:vertAlign w:val="superscript"/>
              </w:rPr>
              <w:t>2</w:t>
            </w:r>
            <w:r>
              <w:rPr>
                <w:sz w:val="18"/>
                <w:vertAlign w:val="baseline"/>
              </w:rPr>
              <w:t>/m</w:t>
            </w:r>
            <w:r>
              <w:rPr>
                <w:sz w:val="18"/>
                <w:vertAlign w:val="superscript"/>
              </w:rPr>
              <w:t>2</w:t>
            </w:r>
            <w:r>
              <w:rPr>
                <w:sz w:val="18"/>
                <w:vertAlign w:val="baseline"/>
              </w:rPr>
              <w:t>]</w:t>
            </w:r>
            <w:r>
              <w:rPr>
                <w:spacing w:val="40"/>
                <w:sz w:val="18"/>
                <w:vertAlign w:val="baseline"/>
              </w:rPr>
              <w:t> </w:t>
            </w:r>
            <w:r>
              <w:rPr>
                <w:sz w:val="18"/>
                <w:vertAlign w:val="baseline"/>
              </w:rPr>
              <w:t>AND</w:t>
            </w:r>
            <w:r>
              <w:rPr>
                <w:spacing w:val="40"/>
                <w:sz w:val="18"/>
                <w:vertAlign w:val="baseline"/>
              </w:rPr>
              <w:t> </w:t>
            </w:r>
            <w:r>
              <w:rPr>
                <w:sz w:val="18"/>
                <w:vertAlign w:val="baseline"/>
              </w:rPr>
              <w:t>Soil</w:t>
            </w:r>
            <w:r>
              <w:rPr>
                <w:spacing w:val="40"/>
                <w:sz w:val="18"/>
                <w:vertAlign w:val="baseline"/>
              </w:rPr>
              <w:t> </w:t>
            </w:r>
            <w:r>
              <w:rPr>
                <w:sz w:val="18"/>
                <w:vertAlign w:val="baseline"/>
              </w:rPr>
              <w:t>water</w:t>
            </w:r>
            <w:r>
              <w:rPr>
                <w:spacing w:val="40"/>
                <w:sz w:val="18"/>
                <w:vertAlign w:val="baseline"/>
              </w:rPr>
              <w:t> </w:t>
            </w:r>
            <w:r>
              <w:rPr>
                <w:sz w:val="18"/>
                <w:vertAlign w:val="baseline"/>
              </w:rPr>
              <w:t>post-Flowering [390–404 mm]</w:t>
            </w:r>
          </w:p>
        </w:tc>
      </w:tr>
      <w:tr>
        <w:trPr>
          <w:trHeight w:val="611" w:hRule="atLeast"/>
        </w:trPr>
        <w:tc>
          <w:tcPr>
            <w:tcW w:w="470" w:type="dxa"/>
            <w:tcBorders>
              <w:right w:val="single" w:sz="4" w:space="0" w:color="000000"/>
            </w:tcBorders>
          </w:tcPr>
          <w:p>
            <w:pPr>
              <w:pStyle w:val="TableParagraph"/>
              <w:spacing w:before="62"/>
              <w:ind w:left="119"/>
              <w:rPr>
                <w:sz w:val="18"/>
              </w:rPr>
            </w:pPr>
            <w:r>
              <w:rPr>
                <w:spacing w:val="-10"/>
                <w:sz w:val="18"/>
              </w:rPr>
              <w:t>3</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25.8%</w:t>
            </w:r>
          </w:p>
          <w:p>
            <w:pPr>
              <w:pStyle w:val="TableParagraph"/>
              <w:spacing w:before="59"/>
              <w:ind w:left="112"/>
              <w:rPr>
                <w:sz w:val="18"/>
              </w:rPr>
            </w:pPr>
            <w:r>
              <w:rPr>
                <w:sz w:val="18"/>
              </w:rPr>
              <w:t>(</w:t>
            </w:r>
            <w:r>
              <w:rPr>
                <w:spacing w:val="-2"/>
                <w:sz w:val="18"/>
              </w:rPr>
              <w:t> 23yr)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0.0089</w:t>
            </w:r>
          </w:p>
        </w:tc>
        <w:tc>
          <w:tcPr>
            <w:tcW w:w="985" w:type="dxa"/>
            <w:tcBorders>
              <w:left w:val="single" w:sz="4" w:space="0" w:color="000000"/>
              <w:right w:val="single" w:sz="4" w:space="0" w:color="000000"/>
            </w:tcBorders>
          </w:tcPr>
          <w:p>
            <w:pPr>
              <w:pStyle w:val="TableParagraph"/>
              <w:spacing w:before="62"/>
              <w:ind w:right="129"/>
              <w:jc w:val="center"/>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62"/>
              <w:ind w:left="116"/>
              <w:rPr>
                <w:sz w:val="18"/>
              </w:rPr>
            </w:pPr>
            <w:r>
              <w:rPr>
                <w:spacing w:val="-4"/>
                <w:sz w:val="18"/>
              </w:rPr>
              <w:t>+113</w:t>
            </w:r>
          </w:p>
        </w:tc>
        <w:tc>
          <w:tcPr>
            <w:tcW w:w="4892" w:type="dxa"/>
            <w:tcBorders>
              <w:left w:val="single" w:sz="4" w:space="0" w:color="000000"/>
            </w:tcBorders>
          </w:tcPr>
          <w:p>
            <w:pPr>
              <w:pStyle w:val="TableParagraph"/>
              <w:spacing w:line="260" w:lineRule="atLeast" w:before="9"/>
              <w:ind w:left="115"/>
              <w:rPr>
                <w:sz w:val="18"/>
              </w:rPr>
            </w:pPr>
            <w:r>
              <w:rPr>
                <w:sz w:val="18"/>
              </w:rPr>
              <w:t>Wet</w:t>
            </w:r>
            <w:r>
              <w:rPr>
                <w:spacing w:val="-8"/>
                <w:sz w:val="18"/>
              </w:rPr>
              <w:t> </w:t>
            </w:r>
            <w:r>
              <w:rPr>
                <w:sz w:val="18"/>
              </w:rPr>
              <w:t>days</w:t>
            </w:r>
            <w:r>
              <w:rPr>
                <w:spacing w:val="-8"/>
                <w:sz w:val="18"/>
              </w:rPr>
              <w:t> </w:t>
            </w:r>
            <w:r>
              <w:rPr>
                <w:sz w:val="18"/>
              </w:rPr>
              <w:t>post-Flowering</w:t>
            </w:r>
            <w:r>
              <w:rPr>
                <w:spacing w:val="-8"/>
                <w:sz w:val="18"/>
              </w:rPr>
              <w:t> </w:t>
            </w:r>
            <w:r>
              <w:rPr>
                <w:sz w:val="18"/>
              </w:rPr>
              <w:t>[0–3.3d]</w:t>
            </w:r>
            <w:r>
              <w:rPr>
                <w:spacing w:val="-8"/>
                <w:sz w:val="18"/>
              </w:rPr>
              <w:t> </w:t>
            </w:r>
            <w:r>
              <w:rPr>
                <w:sz w:val="18"/>
              </w:rPr>
              <w:t>AND</w:t>
            </w:r>
            <w:r>
              <w:rPr>
                <w:spacing w:val="-8"/>
                <w:sz w:val="18"/>
              </w:rPr>
              <w:t> </w:t>
            </w:r>
            <w:r>
              <w:rPr>
                <w:sz w:val="18"/>
              </w:rPr>
              <w:t>Wet</w:t>
            </w:r>
            <w:r>
              <w:rPr>
                <w:spacing w:val="-8"/>
                <w:sz w:val="18"/>
              </w:rPr>
              <w:t> </w:t>
            </w:r>
            <w:r>
              <w:rPr>
                <w:sz w:val="18"/>
              </w:rPr>
              <w:t>days</w:t>
            </w:r>
            <w:r>
              <w:rPr>
                <w:spacing w:val="-8"/>
                <w:sz w:val="18"/>
              </w:rPr>
              <w:t> </w:t>
            </w:r>
            <w:r>
              <w:rPr>
                <w:sz w:val="18"/>
              </w:rPr>
              <w:t>post-</w:t>
            </w:r>
            <w:r>
              <w:rPr>
                <w:sz w:val="18"/>
              </w:rPr>
              <w:t>Maturity [0–3.5d] AND Heat days post-Flowering [0–0.6d]</w:t>
            </w:r>
          </w:p>
        </w:tc>
      </w:tr>
      <w:tr>
        <w:trPr>
          <w:trHeight w:val="611" w:hRule="atLeast"/>
        </w:trPr>
        <w:tc>
          <w:tcPr>
            <w:tcW w:w="470" w:type="dxa"/>
            <w:tcBorders>
              <w:right w:val="single" w:sz="4" w:space="0" w:color="000000"/>
            </w:tcBorders>
          </w:tcPr>
          <w:p>
            <w:pPr>
              <w:pStyle w:val="TableParagraph"/>
              <w:spacing w:before="62"/>
              <w:ind w:left="119"/>
              <w:rPr>
                <w:sz w:val="18"/>
              </w:rPr>
            </w:pPr>
            <w:r>
              <w:rPr>
                <w:spacing w:val="-10"/>
                <w:sz w:val="18"/>
              </w:rPr>
              <w:t>4</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21.3%</w:t>
            </w:r>
          </w:p>
          <w:p>
            <w:pPr>
              <w:pStyle w:val="TableParagraph"/>
              <w:spacing w:before="59"/>
              <w:ind w:left="112"/>
              <w:rPr>
                <w:sz w:val="18"/>
              </w:rPr>
            </w:pPr>
            <w:r>
              <w:rPr>
                <w:sz w:val="18"/>
              </w:rPr>
              <w:t>(</w:t>
            </w:r>
            <w:r>
              <w:rPr>
                <w:spacing w:val="-2"/>
                <w:sz w:val="18"/>
              </w:rPr>
              <w:t> 19yr)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0.0095</w:t>
            </w:r>
          </w:p>
        </w:tc>
        <w:tc>
          <w:tcPr>
            <w:tcW w:w="985" w:type="dxa"/>
            <w:tcBorders>
              <w:left w:val="single" w:sz="4" w:space="0" w:color="000000"/>
              <w:right w:val="single" w:sz="4" w:space="0" w:color="000000"/>
            </w:tcBorders>
          </w:tcPr>
          <w:p>
            <w:pPr>
              <w:pStyle w:val="TableParagraph"/>
              <w:spacing w:before="62"/>
              <w:ind w:right="129"/>
              <w:jc w:val="center"/>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62"/>
              <w:ind w:left="116"/>
              <w:rPr>
                <w:sz w:val="18"/>
              </w:rPr>
            </w:pPr>
            <w:r>
              <w:rPr>
                <w:spacing w:val="-4"/>
                <w:sz w:val="18"/>
              </w:rPr>
              <w:t>+192</w:t>
            </w:r>
          </w:p>
        </w:tc>
        <w:tc>
          <w:tcPr>
            <w:tcW w:w="4892" w:type="dxa"/>
            <w:tcBorders>
              <w:left w:val="single" w:sz="4" w:space="0" w:color="000000"/>
            </w:tcBorders>
          </w:tcPr>
          <w:p>
            <w:pPr>
              <w:pStyle w:val="TableParagraph"/>
              <w:spacing w:line="260" w:lineRule="atLeast" w:before="9"/>
              <w:ind w:left="115"/>
              <w:rPr>
                <w:sz w:val="18"/>
              </w:rPr>
            </w:pPr>
            <w:r>
              <w:rPr>
                <w:spacing w:val="-2"/>
                <w:sz w:val="18"/>
              </w:rPr>
              <w:t>Soil</w:t>
            </w:r>
            <w:r>
              <w:rPr>
                <w:spacing w:val="-8"/>
                <w:sz w:val="18"/>
              </w:rPr>
              <w:t> </w:t>
            </w:r>
            <w:r>
              <w:rPr>
                <w:spacing w:val="-2"/>
                <w:sz w:val="18"/>
              </w:rPr>
              <w:t>water</w:t>
            </w:r>
            <w:r>
              <w:rPr>
                <w:spacing w:val="-8"/>
                <w:sz w:val="18"/>
              </w:rPr>
              <w:t> </w:t>
            </w:r>
            <w:r>
              <w:rPr>
                <w:spacing w:val="-2"/>
                <w:sz w:val="18"/>
              </w:rPr>
              <w:t>pre-Harvest</w:t>
            </w:r>
            <w:r>
              <w:rPr>
                <w:spacing w:val="-8"/>
                <w:sz w:val="18"/>
              </w:rPr>
              <w:t> </w:t>
            </w:r>
            <w:r>
              <w:rPr>
                <w:spacing w:val="-2"/>
                <w:sz w:val="18"/>
              </w:rPr>
              <w:t>[74–101</w:t>
            </w:r>
            <w:r>
              <w:rPr>
                <w:spacing w:val="-8"/>
                <w:sz w:val="18"/>
              </w:rPr>
              <w:t> </w:t>
            </w:r>
            <w:r>
              <w:rPr>
                <w:spacing w:val="-2"/>
                <w:sz w:val="18"/>
              </w:rPr>
              <w:t>mm]</w:t>
            </w:r>
            <w:r>
              <w:rPr>
                <w:spacing w:val="-8"/>
                <w:sz w:val="18"/>
              </w:rPr>
              <w:t> </w:t>
            </w:r>
            <w:r>
              <w:rPr>
                <w:spacing w:val="-2"/>
                <w:sz w:val="18"/>
              </w:rPr>
              <w:t>AND</w:t>
            </w:r>
            <w:r>
              <w:rPr>
                <w:spacing w:val="-8"/>
                <w:sz w:val="18"/>
              </w:rPr>
              <w:t> </w:t>
            </w:r>
            <w:r>
              <w:rPr>
                <w:spacing w:val="-2"/>
                <w:sz w:val="18"/>
              </w:rPr>
              <w:t>Wet</w:t>
            </w:r>
            <w:r>
              <w:rPr>
                <w:spacing w:val="-8"/>
                <w:sz w:val="18"/>
              </w:rPr>
              <w:t> </w:t>
            </w:r>
            <w:r>
              <w:rPr>
                <w:spacing w:val="-2"/>
                <w:sz w:val="18"/>
              </w:rPr>
              <w:t>days</w:t>
            </w:r>
            <w:r>
              <w:rPr>
                <w:spacing w:val="-8"/>
                <w:sz w:val="18"/>
              </w:rPr>
              <w:t> </w:t>
            </w:r>
            <w:r>
              <w:rPr>
                <w:spacing w:val="-2"/>
                <w:sz w:val="18"/>
              </w:rPr>
              <w:t>post-</w:t>
            </w:r>
            <w:r>
              <w:rPr>
                <w:spacing w:val="-2"/>
                <w:sz w:val="18"/>
              </w:rPr>
              <w:t>Harvest </w:t>
            </w:r>
            <w:r>
              <w:rPr>
                <w:sz w:val="18"/>
              </w:rPr>
              <w:t>prev.yr [0–2.3d] AND Wet days post-Maturity [0–3.5d]</w:t>
            </w:r>
          </w:p>
        </w:tc>
      </w:tr>
      <w:tr>
        <w:trPr>
          <w:trHeight w:val="611" w:hRule="atLeast"/>
        </w:trPr>
        <w:tc>
          <w:tcPr>
            <w:tcW w:w="470" w:type="dxa"/>
            <w:tcBorders>
              <w:right w:val="single" w:sz="4" w:space="0" w:color="000000"/>
            </w:tcBorders>
          </w:tcPr>
          <w:p>
            <w:pPr>
              <w:pStyle w:val="TableParagraph"/>
              <w:spacing w:before="62"/>
              <w:ind w:left="119"/>
              <w:rPr>
                <w:sz w:val="18"/>
              </w:rPr>
            </w:pPr>
            <w:r>
              <w:rPr>
                <w:spacing w:val="-10"/>
                <w:sz w:val="18"/>
              </w:rPr>
              <w:t>5</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24.7%</w:t>
            </w:r>
          </w:p>
          <w:p>
            <w:pPr>
              <w:pStyle w:val="TableParagraph"/>
              <w:spacing w:before="59"/>
              <w:ind w:left="112"/>
              <w:rPr>
                <w:sz w:val="18"/>
              </w:rPr>
            </w:pPr>
            <w:r>
              <w:rPr>
                <w:sz w:val="18"/>
              </w:rPr>
              <w:t>(</w:t>
            </w:r>
            <w:r>
              <w:rPr>
                <w:spacing w:val="-2"/>
                <w:sz w:val="18"/>
              </w:rPr>
              <w:t> 22yr)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0.0110</w:t>
            </w:r>
          </w:p>
        </w:tc>
        <w:tc>
          <w:tcPr>
            <w:tcW w:w="985" w:type="dxa"/>
            <w:tcBorders>
              <w:left w:val="single" w:sz="4" w:space="0" w:color="000000"/>
              <w:right w:val="single" w:sz="4" w:space="0" w:color="000000"/>
            </w:tcBorders>
          </w:tcPr>
          <w:p>
            <w:pPr>
              <w:pStyle w:val="TableParagraph"/>
              <w:spacing w:before="62"/>
              <w:ind w:right="129"/>
              <w:jc w:val="center"/>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62"/>
              <w:ind w:left="116"/>
              <w:rPr>
                <w:sz w:val="18"/>
              </w:rPr>
            </w:pPr>
            <w:r>
              <w:rPr>
                <w:spacing w:val="-4"/>
                <w:sz w:val="18"/>
              </w:rPr>
              <w:t>+115</w:t>
            </w:r>
          </w:p>
        </w:tc>
        <w:tc>
          <w:tcPr>
            <w:tcW w:w="4892" w:type="dxa"/>
            <w:tcBorders>
              <w:left w:val="single" w:sz="4" w:space="0" w:color="000000"/>
            </w:tcBorders>
          </w:tcPr>
          <w:p>
            <w:pPr>
              <w:pStyle w:val="TableParagraph"/>
              <w:spacing w:line="260" w:lineRule="atLeast" w:before="9"/>
              <w:ind w:left="115"/>
              <w:rPr>
                <w:sz w:val="18"/>
              </w:rPr>
            </w:pPr>
            <w:r>
              <w:rPr>
                <w:sz w:val="18"/>
              </w:rPr>
              <w:t>Wet</w:t>
            </w:r>
            <w:r>
              <w:rPr>
                <w:spacing w:val="-4"/>
                <w:sz w:val="18"/>
              </w:rPr>
              <w:t> </w:t>
            </w:r>
            <w:r>
              <w:rPr>
                <w:sz w:val="18"/>
              </w:rPr>
              <w:t>days</w:t>
            </w:r>
            <w:r>
              <w:rPr>
                <w:spacing w:val="-3"/>
                <w:sz w:val="18"/>
              </w:rPr>
              <w:t> </w:t>
            </w:r>
            <w:r>
              <w:rPr>
                <w:sz w:val="18"/>
              </w:rPr>
              <w:t>post-Flowering</w:t>
            </w:r>
            <w:r>
              <w:rPr>
                <w:spacing w:val="-4"/>
                <w:sz w:val="18"/>
              </w:rPr>
              <w:t> </w:t>
            </w:r>
            <w:r>
              <w:rPr>
                <w:sz w:val="18"/>
              </w:rPr>
              <w:t>[0–3.3d]</w:t>
            </w:r>
            <w:r>
              <w:rPr>
                <w:spacing w:val="-3"/>
                <w:sz w:val="18"/>
              </w:rPr>
              <w:t> </w:t>
            </w:r>
            <w:r>
              <w:rPr>
                <w:sz w:val="18"/>
              </w:rPr>
              <w:t>AND</w:t>
            </w:r>
            <w:r>
              <w:rPr>
                <w:spacing w:val="-4"/>
                <w:sz w:val="18"/>
              </w:rPr>
              <w:t> </w:t>
            </w:r>
            <w:r>
              <w:rPr>
                <w:sz w:val="18"/>
              </w:rPr>
              <w:t>Heat</w:t>
            </w:r>
            <w:r>
              <w:rPr>
                <w:spacing w:val="-4"/>
                <w:sz w:val="18"/>
              </w:rPr>
              <w:t> </w:t>
            </w:r>
            <w:r>
              <w:rPr>
                <w:sz w:val="18"/>
              </w:rPr>
              <w:t>days</w:t>
            </w:r>
            <w:r>
              <w:rPr>
                <w:spacing w:val="-3"/>
                <w:sz w:val="18"/>
              </w:rPr>
              <w:t> </w:t>
            </w:r>
            <w:r>
              <w:rPr>
                <w:sz w:val="18"/>
              </w:rPr>
              <w:t>pre-</w:t>
            </w:r>
            <w:r>
              <w:rPr>
                <w:sz w:val="18"/>
              </w:rPr>
              <w:t>Maturity </w:t>
            </w:r>
            <w:r>
              <w:rPr>
                <w:spacing w:val="-2"/>
                <w:sz w:val="18"/>
              </w:rPr>
              <w:t>[0–3.7d]</w:t>
            </w:r>
          </w:p>
        </w:tc>
      </w:tr>
      <w:tr>
        <w:trPr>
          <w:trHeight w:val="611" w:hRule="atLeast"/>
        </w:trPr>
        <w:tc>
          <w:tcPr>
            <w:tcW w:w="470" w:type="dxa"/>
            <w:tcBorders>
              <w:right w:val="single" w:sz="4" w:space="0" w:color="000000"/>
            </w:tcBorders>
          </w:tcPr>
          <w:p>
            <w:pPr>
              <w:pStyle w:val="TableParagraph"/>
              <w:spacing w:before="62"/>
              <w:ind w:left="119"/>
              <w:rPr>
                <w:sz w:val="18"/>
              </w:rPr>
            </w:pPr>
            <w:r>
              <w:rPr>
                <w:spacing w:val="-10"/>
                <w:sz w:val="18"/>
              </w:rPr>
              <w:t>6</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23.6%</w:t>
            </w:r>
          </w:p>
          <w:p>
            <w:pPr>
              <w:pStyle w:val="TableParagraph"/>
              <w:spacing w:before="59"/>
              <w:ind w:left="112"/>
              <w:rPr>
                <w:sz w:val="18"/>
              </w:rPr>
            </w:pPr>
            <w:r>
              <w:rPr>
                <w:sz w:val="18"/>
              </w:rPr>
              <w:t>(</w:t>
            </w:r>
            <w:r>
              <w:rPr>
                <w:spacing w:val="-2"/>
                <w:sz w:val="18"/>
              </w:rPr>
              <w:t> 21yr)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0.0120</w:t>
            </w:r>
          </w:p>
        </w:tc>
        <w:tc>
          <w:tcPr>
            <w:tcW w:w="985" w:type="dxa"/>
            <w:tcBorders>
              <w:left w:val="single" w:sz="4" w:space="0" w:color="000000"/>
              <w:right w:val="single" w:sz="4" w:space="0" w:color="000000"/>
            </w:tcBorders>
          </w:tcPr>
          <w:p>
            <w:pPr>
              <w:pStyle w:val="TableParagraph"/>
              <w:spacing w:before="62"/>
              <w:ind w:right="129"/>
              <w:jc w:val="center"/>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62"/>
              <w:ind w:left="116"/>
              <w:rPr>
                <w:sz w:val="18"/>
              </w:rPr>
            </w:pPr>
            <w:r>
              <w:rPr>
                <w:spacing w:val="-4"/>
                <w:sz w:val="18"/>
              </w:rPr>
              <w:t>+117</w:t>
            </w:r>
          </w:p>
        </w:tc>
        <w:tc>
          <w:tcPr>
            <w:tcW w:w="4892" w:type="dxa"/>
            <w:tcBorders>
              <w:left w:val="single" w:sz="4" w:space="0" w:color="000000"/>
            </w:tcBorders>
          </w:tcPr>
          <w:p>
            <w:pPr>
              <w:pStyle w:val="TableParagraph"/>
              <w:spacing w:line="260" w:lineRule="atLeast" w:before="9"/>
              <w:ind w:left="115"/>
              <w:rPr>
                <w:sz w:val="18"/>
              </w:rPr>
            </w:pPr>
            <w:r>
              <w:rPr>
                <w:sz w:val="18"/>
              </w:rPr>
              <w:t>Wet</w:t>
            </w:r>
            <w:r>
              <w:rPr>
                <w:spacing w:val="-4"/>
                <w:sz w:val="18"/>
              </w:rPr>
              <w:t> </w:t>
            </w:r>
            <w:r>
              <w:rPr>
                <w:sz w:val="18"/>
              </w:rPr>
              <w:t>days</w:t>
            </w:r>
            <w:r>
              <w:rPr>
                <w:spacing w:val="-3"/>
                <w:sz w:val="18"/>
              </w:rPr>
              <w:t> </w:t>
            </w:r>
            <w:r>
              <w:rPr>
                <w:sz w:val="18"/>
              </w:rPr>
              <w:t>post-Flowering</w:t>
            </w:r>
            <w:r>
              <w:rPr>
                <w:spacing w:val="-4"/>
                <w:sz w:val="18"/>
              </w:rPr>
              <w:t> </w:t>
            </w:r>
            <w:r>
              <w:rPr>
                <w:sz w:val="18"/>
              </w:rPr>
              <w:t>[0–3.3d]</w:t>
            </w:r>
            <w:r>
              <w:rPr>
                <w:spacing w:val="-3"/>
                <w:sz w:val="18"/>
              </w:rPr>
              <w:t> </w:t>
            </w:r>
            <w:r>
              <w:rPr>
                <w:sz w:val="18"/>
              </w:rPr>
              <w:t>AND</w:t>
            </w:r>
            <w:r>
              <w:rPr>
                <w:spacing w:val="-4"/>
                <w:sz w:val="18"/>
              </w:rPr>
              <w:t> </w:t>
            </w:r>
            <w:r>
              <w:rPr>
                <w:sz w:val="18"/>
              </w:rPr>
              <w:t>Heat</w:t>
            </w:r>
            <w:r>
              <w:rPr>
                <w:spacing w:val="-4"/>
                <w:sz w:val="18"/>
              </w:rPr>
              <w:t> </w:t>
            </w:r>
            <w:r>
              <w:rPr>
                <w:sz w:val="18"/>
              </w:rPr>
              <w:t>days</w:t>
            </w:r>
            <w:r>
              <w:rPr>
                <w:spacing w:val="-3"/>
                <w:sz w:val="18"/>
              </w:rPr>
              <w:t> </w:t>
            </w:r>
            <w:r>
              <w:rPr>
                <w:sz w:val="18"/>
              </w:rPr>
              <w:t>pre-</w:t>
            </w:r>
            <w:r>
              <w:rPr>
                <w:sz w:val="18"/>
              </w:rPr>
              <w:t>Maturity [0–3.7d] AND Heat days post-Flowering [0–0.6d]</w:t>
            </w:r>
          </w:p>
        </w:tc>
      </w:tr>
      <w:tr>
        <w:trPr>
          <w:trHeight w:val="611" w:hRule="atLeast"/>
        </w:trPr>
        <w:tc>
          <w:tcPr>
            <w:tcW w:w="470" w:type="dxa"/>
            <w:tcBorders>
              <w:right w:val="single" w:sz="4" w:space="0" w:color="000000"/>
            </w:tcBorders>
          </w:tcPr>
          <w:p>
            <w:pPr>
              <w:pStyle w:val="TableParagraph"/>
              <w:spacing w:before="62"/>
              <w:ind w:left="119"/>
              <w:rPr>
                <w:sz w:val="18"/>
              </w:rPr>
            </w:pPr>
            <w:r>
              <w:rPr>
                <w:spacing w:val="-10"/>
                <w:sz w:val="18"/>
              </w:rPr>
              <w:t>7</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21.3%</w:t>
            </w:r>
          </w:p>
          <w:p>
            <w:pPr>
              <w:pStyle w:val="TableParagraph"/>
              <w:spacing w:before="59"/>
              <w:ind w:left="112"/>
              <w:rPr>
                <w:sz w:val="18"/>
              </w:rPr>
            </w:pPr>
            <w:r>
              <w:rPr>
                <w:sz w:val="18"/>
              </w:rPr>
              <w:t>(</w:t>
            </w:r>
            <w:r>
              <w:rPr>
                <w:spacing w:val="-2"/>
                <w:sz w:val="18"/>
              </w:rPr>
              <w:t> 19yr)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0.0130</w:t>
            </w:r>
          </w:p>
        </w:tc>
        <w:tc>
          <w:tcPr>
            <w:tcW w:w="985" w:type="dxa"/>
            <w:tcBorders>
              <w:left w:val="single" w:sz="4" w:space="0" w:color="000000"/>
              <w:right w:val="single" w:sz="4" w:space="0" w:color="000000"/>
            </w:tcBorders>
          </w:tcPr>
          <w:p>
            <w:pPr>
              <w:pStyle w:val="TableParagraph"/>
              <w:spacing w:before="62"/>
              <w:ind w:right="129"/>
              <w:jc w:val="center"/>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62"/>
              <w:ind w:left="116"/>
              <w:rPr>
                <w:sz w:val="18"/>
              </w:rPr>
            </w:pPr>
            <w:r>
              <w:rPr>
                <w:spacing w:val="-4"/>
                <w:sz w:val="18"/>
              </w:rPr>
              <w:t>+115</w:t>
            </w:r>
          </w:p>
        </w:tc>
        <w:tc>
          <w:tcPr>
            <w:tcW w:w="4892" w:type="dxa"/>
            <w:tcBorders>
              <w:left w:val="single" w:sz="4" w:space="0" w:color="000000"/>
            </w:tcBorders>
          </w:tcPr>
          <w:p>
            <w:pPr>
              <w:pStyle w:val="TableParagraph"/>
              <w:spacing w:line="260" w:lineRule="atLeast" w:before="9"/>
              <w:ind w:left="115"/>
              <w:rPr>
                <w:sz w:val="18"/>
              </w:rPr>
            </w:pPr>
            <w:r>
              <w:rPr>
                <w:sz w:val="18"/>
              </w:rPr>
              <w:t>Wet days post-Flowering [0–3.3d] AND Soil water pre-</w:t>
            </w:r>
            <w:r>
              <w:rPr>
                <w:sz w:val="18"/>
              </w:rPr>
              <w:t>Harvest [74–231 mm] AND Heat days pre-Maturity [0–3.7d]</w:t>
            </w:r>
          </w:p>
        </w:tc>
      </w:tr>
      <w:tr>
        <w:trPr>
          <w:trHeight w:val="611" w:hRule="atLeast"/>
        </w:trPr>
        <w:tc>
          <w:tcPr>
            <w:tcW w:w="470" w:type="dxa"/>
            <w:tcBorders>
              <w:right w:val="single" w:sz="4" w:space="0" w:color="000000"/>
            </w:tcBorders>
          </w:tcPr>
          <w:p>
            <w:pPr>
              <w:pStyle w:val="TableParagraph"/>
              <w:spacing w:before="62"/>
              <w:ind w:left="119"/>
              <w:rPr>
                <w:sz w:val="18"/>
              </w:rPr>
            </w:pPr>
            <w:r>
              <w:rPr>
                <w:spacing w:val="-10"/>
                <w:sz w:val="18"/>
              </w:rPr>
              <w:t>8</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19.1%</w:t>
            </w:r>
          </w:p>
          <w:p>
            <w:pPr>
              <w:pStyle w:val="TableParagraph"/>
              <w:spacing w:before="59"/>
              <w:ind w:left="112"/>
              <w:rPr>
                <w:sz w:val="18"/>
              </w:rPr>
            </w:pPr>
            <w:r>
              <w:rPr>
                <w:sz w:val="18"/>
              </w:rPr>
              <w:t>(</w:t>
            </w:r>
            <w:r>
              <w:rPr>
                <w:spacing w:val="-2"/>
                <w:sz w:val="18"/>
              </w:rPr>
              <w:t> 17yr)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0.0140</w:t>
            </w:r>
          </w:p>
        </w:tc>
        <w:tc>
          <w:tcPr>
            <w:tcW w:w="985" w:type="dxa"/>
            <w:tcBorders>
              <w:left w:val="single" w:sz="4" w:space="0" w:color="000000"/>
              <w:right w:val="single" w:sz="4" w:space="0" w:color="000000"/>
            </w:tcBorders>
          </w:tcPr>
          <w:p>
            <w:pPr>
              <w:pStyle w:val="TableParagraph"/>
              <w:spacing w:before="62"/>
              <w:ind w:right="129"/>
              <w:jc w:val="center"/>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62"/>
              <w:ind w:left="116"/>
              <w:rPr>
                <w:sz w:val="18"/>
              </w:rPr>
            </w:pPr>
            <w:r>
              <w:rPr>
                <w:spacing w:val="-4"/>
                <w:sz w:val="18"/>
              </w:rPr>
              <w:t>+128</w:t>
            </w:r>
          </w:p>
        </w:tc>
        <w:tc>
          <w:tcPr>
            <w:tcW w:w="4892" w:type="dxa"/>
            <w:tcBorders>
              <w:left w:val="single" w:sz="4" w:space="0" w:color="000000"/>
            </w:tcBorders>
          </w:tcPr>
          <w:p>
            <w:pPr>
              <w:pStyle w:val="TableParagraph"/>
              <w:spacing w:line="260" w:lineRule="atLeast" w:before="9"/>
              <w:ind w:left="115"/>
              <w:rPr>
                <w:sz w:val="18"/>
              </w:rPr>
            </w:pPr>
            <w:r>
              <w:rPr>
                <w:sz w:val="18"/>
              </w:rPr>
              <w:t>Wet days post-Flowering [0–3.3d] AND Soil water pre-</w:t>
            </w:r>
            <w:r>
              <w:rPr>
                <w:sz w:val="18"/>
              </w:rPr>
              <w:t>Harvest [101–152 mm] AND Wet days post-Maturity [0–3.5d]</w:t>
            </w:r>
          </w:p>
        </w:tc>
      </w:tr>
      <w:tr>
        <w:trPr>
          <w:trHeight w:val="901" w:hRule="atLeast"/>
        </w:trPr>
        <w:tc>
          <w:tcPr>
            <w:tcW w:w="470" w:type="dxa"/>
            <w:tcBorders>
              <w:bottom w:val="single" w:sz="6" w:space="0" w:color="000000"/>
              <w:right w:val="single" w:sz="4" w:space="0" w:color="000000"/>
            </w:tcBorders>
          </w:tcPr>
          <w:p>
            <w:pPr>
              <w:pStyle w:val="TableParagraph"/>
              <w:spacing w:before="62"/>
              <w:ind w:left="119"/>
              <w:rPr>
                <w:sz w:val="18"/>
              </w:rPr>
            </w:pPr>
            <w:r>
              <w:rPr>
                <w:spacing w:val="-10"/>
                <w:sz w:val="18"/>
              </w:rPr>
              <w:t>9</w:t>
            </w:r>
          </w:p>
        </w:tc>
        <w:tc>
          <w:tcPr>
            <w:tcW w:w="1098" w:type="dxa"/>
            <w:tcBorders>
              <w:left w:val="single" w:sz="4" w:space="0" w:color="000000"/>
              <w:bottom w:val="single" w:sz="6" w:space="0" w:color="000000"/>
              <w:right w:val="single" w:sz="4" w:space="0" w:color="000000"/>
            </w:tcBorders>
          </w:tcPr>
          <w:p>
            <w:pPr>
              <w:pStyle w:val="TableParagraph"/>
              <w:spacing w:before="62"/>
              <w:ind w:left="118"/>
              <w:rPr>
                <w:sz w:val="18"/>
              </w:rPr>
            </w:pPr>
            <w:r>
              <w:rPr>
                <w:spacing w:val="-2"/>
                <w:sz w:val="18"/>
              </w:rPr>
              <w:t>23.6%</w:t>
            </w:r>
          </w:p>
          <w:p>
            <w:pPr>
              <w:pStyle w:val="TableParagraph"/>
              <w:spacing w:before="59"/>
              <w:ind w:left="112"/>
              <w:rPr>
                <w:sz w:val="18"/>
              </w:rPr>
            </w:pPr>
            <w:r>
              <w:rPr>
                <w:sz w:val="18"/>
              </w:rPr>
              <w:t>(</w:t>
            </w:r>
            <w:r>
              <w:rPr>
                <w:spacing w:val="-2"/>
                <w:sz w:val="18"/>
              </w:rPr>
              <w:t> 21yr)</w:t>
            </w:r>
          </w:p>
        </w:tc>
        <w:tc>
          <w:tcPr>
            <w:tcW w:w="928" w:type="dxa"/>
            <w:tcBorders>
              <w:left w:val="single" w:sz="4" w:space="0" w:color="000000"/>
              <w:bottom w:val="single" w:sz="6" w:space="0" w:color="000000"/>
              <w:right w:val="single" w:sz="4" w:space="0" w:color="000000"/>
            </w:tcBorders>
          </w:tcPr>
          <w:p>
            <w:pPr>
              <w:pStyle w:val="TableParagraph"/>
              <w:spacing w:before="62"/>
              <w:ind w:left="117"/>
              <w:rPr>
                <w:sz w:val="18"/>
              </w:rPr>
            </w:pPr>
            <w:r>
              <w:rPr>
                <w:spacing w:val="-2"/>
                <w:sz w:val="18"/>
              </w:rPr>
              <w:t>0.0150</w:t>
            </w:r>
          </w:p>
        </w:tc>
        <w:tc>
          <w:tcPr>
            <w:tcW w:w="985" w:type="dxa"/>
            <w:tcBorders>
              <w:left w:val="single" w:sz="4" w:space="0" w:color="000000"/>
              <w:bottom w:val="single" w:sz="6" w:space="0" w:color="000000"/>
              <w:right w:val="single" w:sz="4" w:space="0" w:color="000000"/>
            </w:tcBorders>
          </w:tcPr>
          <w:p>
            <w:pPr>
              <w:pStyle w:val="TableParagraph"/>
              <w:spacing w:before="62"/>
              <w:ind w:right="129"/>
              <w:jc w:val="center"/>
              <w:rPr>
                <w:sz w:val="18"/>
              </w:rPr>
            </w:pPr>
            <w:r>
              <w:rPr>
                <w:spacing w:val="-4"/>
                <w:sz w:val="18"/>
              </w:rPr>
              <w:t>ABOVE</w:t>
            </w:r>
          </w:p>
        </w:tc>
        <w:tc>
          <w:tcPr>
            <w:tcW w:w="1098" w:type="dxa"/>
            <w:tcBorders>
              <w:left w:val="single" w:sz="4" w:space="0" w:color="000000"/>
              <w:bottom w:val="single" w:sz="6" w:space="0" w:color="000000"/>
              <w:right w:val="single" w:sz="4" w:space="0" w:color="000000"/>
            </w:tcBorders>
          </w:tcPr>
          <w:p>
            <w:pPr>
              <w:pStyle w:val="TableParagraph"/>
              <w:spacing w:before="62"/>
              <w:ind w:left="116"/>
              <w:rPr>
                <w:sz w:val="18"/>
              </w:rPr>
            </w:pPr>
            <w:r>
              <w:rPr>
                <w:spacing w:val="-4"/>
                <w:sz w:val="18"/>
              </w:rPr>
              <w:t>+116</w:t>
            </w:r>
          </w:p>
        </w:tc>
        <w:tc>
          <w:tcPr>
            <w:tcW w:w="4892" w:type="dxa"/>
            <w:tcBorders>
              <w:left w:val="single" w:sz="4" w:space="0" w:color="000000"/>
              <w:bottom w:val="single" w:sz="6" w:space="0" w:color="000000"/>
            </w:tcBorders>
          </w:tcPr>
          <w:p>
            <w:pPr>
              <w:pStyle w:val="TableParagraph"/>
              <w:spacing w:line="307" w:lineRule="auto" w:before="62"/>
              <w:ind w:left="115" w:right="120"/>
              <w:jc w:val="both"/>
              <w:rPr>
                <w:sz w:val="18"/>
              </w:rPr>
            </w:pPr>
            <w:r>
              <w:rPr>
                <w:sz w:val="18"/>
              </w:rPr>
              <w:t>Wet days post-Flowering [0–3.3d] AND Soil water pre-</w:t>
            </w:r>
            <w:r>
              <w:rPr>
                <w:sz w:val="18"/>
              </w:rPr>
              <w:t>Harvest [74–231</w:t>
            </w:r>
            <w:r>
              <w:rPr>
                <w:spacing w:val="-2"/>
                <w:sz w:val="18"/>
              </w:rPr>
              <w:t> </w:t>
            </w:r>
            <w:r>
              <w:rPr>
                <w:sz w:val="18"/>
              </w:rPr>
              <w:t>mm]</w:t>
            </w:r>
            <w:r>
              <w:rPr>
                <w:spacing w:val="-2"/>
                <w:sz w:val="18"/>
              </w:rPr>
              <w:t> </w:t>
            </w:r>
            <w:r>
              <w:rPr>
                <w:sz w:val="18"/>
              </w:rPr>
              <w:t>AND</w:t>
            </w:r>
            <w:r>
              <w:rPr>
                <w:spacing w:val="-2"/>
                <w:sz w:val="18"/>
              </w:rPr>
              <w:t> </w:t>
            </w:r>
            <w:r>
              <w:rPr>
                <w:sz w:val="18"/>
              </w:rPr>
              <w:t>Heat</w:t>
            </w:r>
            <w:r>
              <w:rPr>
                <w:spacing w:val="-2"/>
                <w:sz w:val="18"/>
              </w:rPr>
              <w:t> </w:t>
            </w:r>
            <w:r>
              <w:rPr>
                <w:sz w:val="18"/>
              </w:rPr>
              <w:t>days</w:t>
            </w:r>
            <w:r>
              <w:rPr>
                <w:spacing w:val="-2"/>
                <w:sz w:val="18"/>
              </w:rPr>
              <w:t> </w:t>
            </w:r>
            <w:r>
              <w:rPr>
                <w:sz w:val="18"/>
              </w:rPr>
              <w:t>pre-Maturity</w:t>
            </w:r>
            <w:r>
              <w:rPr>
                <w:spacing w:val="-2"/>
                <w:sz w:val="18"/>
              </w:rPr>
              <w:t> </w:t>
            </w:r>
            <w:r>
              <w:rPr>
                <w:sz w:val="18"/>
              </w:rPr>
              <w:t>[0–3.7d]</w:t>
            </w:r>
            <w:r>
              <w:rPr>
                <w:spacing w:val="-2"/>
                <w:sz w:val="18"/>
              </w:rPr>
              <w:t> </w:t>
            </w:r>
            <w:r>
              <w:rPr>
                <w:sz w:val="18"/>
              </w:rPr>
              <w:t>AND</w:t>
            </w:r>
            <w:r>
              <w:rPr>
                <w:spacing w:val="-2"/>
                <w:sz w:val="18"/>
              </w:rPr>
              <w:t> </w:t>
            </w:r>
            <w:r>
              <w:rPr>
                <w:sz w:val="18"/>
              </w:rPr>
              <w:t>Heat days post-Flowering [0–0.6d]</w:t>
            </w:r>
          </w:p>
        </w:tc>
      </w:tr>
    </w:tbl>
    <w:p>
      <w:pPr>
        <w:spacing w:before="124"/>
        <w:ind w:left="0" w:right="145" w:firstLine="0"/>
        <w:jc w:val="right"/>
        <w:rPr>
          <w:i/>
          <w:sz w:val="20"/>
        </w:rPr>
      </w:pPr>
      <w:r>
        <w:rPr>
          <w:i/>
          <w:sz w:val="20"/>
        </w:rPr>
        <w:t>Continued</w:t>
      </w:r>
      <w:r>
        <w:rPr>
          <w:i/>
          <w:spacing w:val="-7"/>
          <w:sz w:val="20"/>
        </w:rPr>
        <w:t> </w:t>
      </w:r>
      <w:r>
        <w:rPr>
          <w:i/>
          <w:sz w:val="20"/>
        </w:rPr>
        <w:t>on</w:t>
      </w:r>
      <w:r>
        <w:rPr>
          <w:i/>
          <w:spacing w:val="-7"/>
          <w:sz w:val="20"/>
        </w:rPr>
        <w:t> </w:t>
      </w:r>
      <w:r>
        <w:rPr>
          <w:i/>
          <w:sz w:val="20"/>
        </w:rPr>
        <w:t>next</w:t>
      </w:r>
      <w:r>
        <w:rPr>
          <w:i/>
          <w:spacing w:val="-7"/>
          <w:sz w:val="20"/>
        </w:rPr>
        <w:t> </w:t>
      </w:r>
      <w:r>
        <w:rPr>
          <w:i/>
          <w:spacing w:val="-4"/>
          <w:sz w:val="20"/>
        </w:rPr>
        <w:t>page</w:t>
      </w:r>
    </w:p>
    <w:p>
      <w:pPr>
        <w:spacing w:after="0"/>
        <w:jc w:val="right"/>
        <w:rPr>
          <w:i/>
          <w:sz w:val="20"/>
        </w:rPr>
        <w:sectPr>
          <w:pgSz w:w="11910" w:h="16840"/>
          <w:pgMar w:header="1160" w:footer="0" w:top="1420" w:bottom="280" w:left="1275" w:right="425"/>
        </w:sectPr>
      </w:pPr>
    </w:p>
    <w:p>
      <w:pPr>
        <w:pStyle w:val="BodyText"/>
        <w:rPr>
          <w:i/>
          <w:sz w:val="20"/>
        </w:rPr>
      </w:pPr>
    </w:p>
    <w:p>
      <w:pPr>
        <w:pStyle w:val="BodyText"/>
        <w:spacing w:before="113"/>
        <w:rPr>
          <w:i/>
          <w:sz w:val="20"/>
        </w:rPr>
      </w:pPr>
    </w:p>
    <w:p>
      <w:pPr>
        <w:spacing w:before="0"/>
        <w:ind w:left="261" w:right="0" w:firstLine="0"/>
        <w:jc w:val="left"/>
        <w:rPr>
          <w:i/>
          <w:sz w:val="20"/>
        </w:rPr>
      </w:pPr>
      <w:r>
        <w:rPr>
          <w:i/>
          <w:spacing w:val="-2"/>
          <w:sz w:val="20"/>
        </w:rPr>
        <w:t>Table</w:t>
      </w:r>
      <w:r>
        <w:rPr>
          <w:i/>
          <w:spacing w:val="-7"/>
          <w:sz w:val="20"/>
        </w:rPr>
        <w:t> </w:t>
      </w:r>
      <w:r>
        <w:rPr>
          <w:i/>
          <w:spacing w:val="-2"/>
          <w:sz w:val="20"/>
        </w:rPr>
        <w:t>A.3</w:t>
      </w:r>
      <w:r>
        <w:rPr>
          <w:i/>
          <w:spacing w:val="-6"/>
          <w:sz w:val="20"/>
        </w:rPr>
        <w:t> </w:t>
      </w:r>
      <w:r>
        <w:rPr>
          <w:i/>
          <w:spacing w:val="-2"/>
          <w:sz w:val="20"/>
        </w:rPr>
        <w:t>continued</w:t>
      </w:r>
    </w:p>
    <w:p>
      <w:pPr>
        <w:pStyle w:val="BodyText"/>
        <w:spacing w:before="11"/>
        <w:rPr>
          <w:i/>
          <w:sz w:val="3"/>
        </w:rPr>
      </w:pPr>
      <w:r>
        <w:rPr>
          <w:i/>
          <w:sz w:val="3"/>
        </w:rPr>
        <mc:AlternateContent>
          <mc:Choice Requires="wps">
            <w:drawing>
              <wp:anchor distT="0" distB="0" distL="0" distR="0" allowOverlap="1" layoutInCell="1" locked="0" behindDoc="1" simplePos="0" relativeHeight="487632896">
                <wp:simplePos x="0" y="0"/>
                <wp:positionH relativeFrom="page">
                  <wp:posOffset>899998</wp:posOffset>
                </wp:positionH>
                <wp:positionV relativeFrom="paragraph">
                  <wp:posOffset>44125</wp:posOffset>
                </wp:positionV>
                <wp:extent cx="6012815" cy="1270"/>
                <wp:effectExtent l="0" t="0" r="0" b="0"/>
                <wp:wrapTopAndBottom/>
                <wp:docPr id="252" name="Graphic 252"/>
                <wp:cNvGraphicFramePr>
                  <a:graphicFrameLocks/>
                </wp:cNvGraphicFramePr>
                <a:graphic>
                  <a:graphicData uri="http://schemas.microsoft.com/office/word/2010/wordprocessingShape">
                    <wps:wsp>
                      <wps:cNvPr id="252" name="Graphic 252"/>
                      <wps:cNvSpPr/>
                      <wps:spPr>
                        <a:xfrm>
                          <a:off x="0" y="0"/>
                          <a:ext cx="6012815" cy="1270"/>
                        </a:xfrm>
                        <a:custGeom>
                          <a:avLst/>
                          <a:gdLst/>
                          <a:ahLst/>
                          <a:cxnLst/>
                          <a:rect l="l" t="t" r="r" b="b"/>
                          <a:pathLst>
                            <a:path w="6012815" h="0">
                              <a:moveTo>
                                <a:pt x="0" y="0"/>
                              </a:moveTo>
                              <a:lnTo>
                                <a:pt x="601228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3.474473pt;width:473.45pt;height:.1pt;mso-position-horizontal-relative:page;mso-position-vertical-relative:paragraph;z-index:-15683584;mso-wrap-distance-left:0;mso-wrap-distance-right:0" id="docshape216" coordorigin="1417,69" coordsize="9469,0" path="m1417,69l10885,69e" filled="false" stroked="true" strokeweight=".868pt" strokecolor="#000000">
                <v:path arrowok="t"/>
                <v:stroke dashstyle="solid"/>
                <w10:wrap type="topAndBottom"/>
              </v:shape>
            </w:pict>
          </mc:Fallback>
        </mc:AlternateContent>
      </w:r>
    </w:p>
    <w:p>
      <w:pPr>
        <w:pStyle w:val="BodyText"/>
        <w:spacing w:before="9"/>
        <w:rPr>
          <w:i/>
          <w:sz w:val="4"/>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70"/>
        <w:gridCol w:w="1098"/>
        <w:gridCol w:w="928"/>
        <w:gridCol w:w="985"/>
        <w:gridCol w:w="1098"/>
        <w:gridCol w:w="4892"/>
      </w:tblGrid>
      <w:tr>
        <w:trPr>
          <w:trHeight w:val="646" w:hRule="atLeast"/>
        </w:trPr>
        <w:tc>
          <w:tcPr>
            <w:tcW w:w="470" w:type="dxa"/>
            <w:tcBorders>
              <w:top w:val="nil"/>
              <w:left w:val="nil"/>
              <w:right w:val="single" w:sz="4" w:space="0" w:color="000000"/>
            </w:tcBorders>
          </w:tcPr>
          <w:p>
            <w:pPr>
              <w:pStyle w:val="TableParagraph"/>
              <w:spacing w:before="74"/>
              <w:ind w:left="119"/>
              <w:rPr>
                <w:sz w:val="18"/>
              </w:rPr>
            </w:pPr>
            <w:r>
              <w:rPr>
                <w:spacing w:val="-10"/>
                <w:sz w:val="18"/>
              </w:rPr>
              <w:t>#</w:t>
            </w:r>
          </w:p>
        </w:tc>
        <w:tc>
          <w:tcPr>
            <w:tcW w:w="1098" w:type="dxa"/>
            <w:tcBorders>
              <w:top w:val="nil"/>
              <w:left w:val="single" w:sz="4" w:space="0" w:color="000000"/>
              <w:right w:val="single" w:sz="4" w:space="0" w:color="000000"/>
            </w:tcBorders>
          </w:tcPr>
          <w:p>
            <w:pPr>
              <w:pStyle w:val="TableParagraph"/>
              <w:spacing w:before="74"/>
              <w:ind w:left="118"/>
              <w:rPr>
                <w:sz w:val="18"/>
              </w:rPr>
            </w:pPr>
            <w:r>
              <w:rPr>
                <w:spacing w:val="-2"/>
                <w:sz w:val="18"/>
              </w:rPr>
              <w:t>Support</w:t>
            </w:r>
          </w:p>
        </w:tc>
        <w:tc>
          <w:tcPr>
            <w:tcW w:w="928" w:type="dxa"/>
            <w:tcBorders>
              <w:top w:val="nil"/>
              <w:left w:val="single" w:sz="4" w:space="0" w:color="000000"/>
              <w:right w:val="single" w:sz="4" w:space="0" w:color="000000"/>
            </w:tcBorders>
          </w:tcPr>
          <w:p>
            <w:pPr>
              <w:pStyle w:val="TableParagraph"/>
              <w:spacing w:before="74"/>
              <w:ind w:left="117"/>
              <w:rPr>
                <w:sz w:val="18"/>
              </w:rPr>
            </w:pPr>
            <w:r>
              <w:rPr>
                <w:spacing w:val="-2"/>
                <w:sz w:val="18"/>
              </w:rPr>
              <w:t>p-value</w:t>
            </w:r>
          </w:p>
        </w:tc>
        <w:tc>
          <w:tcPr>
            <w:tcW w:w="985" w:type="dxa"/>
            <w:tcBorders>
              <w:top w:val="nil"/>
              <w:left w:val="single" w:sz="4" w:space="0" w:color="000000"/>
              <w:right w:val="single" w:sz="4" w:space="0" w:color="000000"/>
            </w:tcBorders>
          </w:tcPr>
          <w:p>
            <w:pPr>
              <w:pStyle w:val="TableParagraph"/>
              <w:spacing w:before="74"/>
              <w:ind w:left="117"/>
              <w:rPr>
                <w:sz w:val="18"/>
              </w:rPr>
            </w:pPr>
            <w:r>
              <w:rPr>
                <w:spacing w:val="-2"/>
                <w:sz w:val="18"/>
              </w:rPr>
              <w:t>Direction</w:t>
            </w:r>
          </w:p>
        </w:tc>
        <w:tc>
          <w:tcPr>
            <w:tcW w:w="1098" w:type="dxa"/>
            <w:tcBorders>
              <w:top w:val="nil"/>
              <w:left w:val="single" w:sz="4" w:space="0" w:color="000000"/>
              <w:right w:val="single" w:sz="4" w:space="0" w:color="000000"/>
            </w:tcBorders>
          </w:tcPr>
          <w:p>
            <w:pPr>
              <w:pStyle w:val="TableParagraph"/>
              <w:tabs>
                <w:tab w:pos="856" w:val="left" w:leader="none"/>
              </w:tabs>
              <w:spacing w:before="70"/>
              <w:ind w:left="116"/>
              <w:rPr>
                <w:rFonts w:ascii="Calibri" w:hAnsi="Calibri"/>
                <w:sz w:val="18"/>
              </w:rPr>
            </w:pPr>
            <w:r>
              <w:rPr>
                <w:spacing w:val="-4"/>
                <w:w w:val="105"/>
                <w:sz w:val="18"/>
              </w:rPr>
              <w:t>Mean</w:t>
            </w:r>
            <w:r>
              <w:rPr>
                <w:sz w:val="18"/>
              </w:rPr>
              <w:tab/>
            </w:r>
            <w:r>
              <w:rPr>
                <w:rFonts w:ascii="Calibri" w:hAnsi="Calibri"/>
                <w:spacing w:val="-10"/>
                <w:w w:val="105"/>
                <w:sz w:val="18"/>
              </w:rPr>
              <w:t>∆</w:t>
            </w:r>
          </w:p>
          <w:p>
            <w:pPr>
              <w:pStyle w:val="TableParagraph"/>
              <w:spacing w:before="50"/>
              <w:ind w:left="110"/>
              <w:rPr>
                <w:sz w:val="18"/>
              </w:rPr>
            </w:pPr>
            <w:r>
              <w:rPr>
                <w:spacing w:val="-2"/>
                <w:sz w:val="18"/>
              </w:rPr>
              <w:t>(mhl)</w:t>
            </w:r>
          </w:p>
        </w:tc>
        <w:tc>
          <w:tcPr>
            <w:tcW w:w="4892" w:type="dxa"/>
            <w:tcBorders>
              <w:top w:val="nil"/>
              <w:left w:val="single" w:sz="4" w:space="0" w:color="000000"/>
              <w:right w:val="nil"/>
            </w:tcBorders>
          </w:tcPr>
          <w:p>
            <w:pPr>
              <w:pStyle w:val="TableParagraph"/>
              <w:spacing w:before="74"/>
              <w:ind w:left="115"/>
              <w:rPr>
                <w:sz w:val="18"/>
              </w:rPr>
            </w:pPr>
            <w:r>
              <w:rPr>
                <w:sz w:val="18"/>
              </w:rPr>
              <w:t>Conditions</w:t>
            </w:r>
            <w:r>
              <w:rPr>
                <w:spacing w:val="-9"/>
                <w:sz w:val="18"/>
              </w:rPr>
              <w:t> </w:t>
            </w:r>
            <w:r>
              <w:rPr>
                <w:spacing w:val="-2"/>
                <w:sz w:val="18"/>
              </w:rPr>
              <w:t>(abbreviated)</w:t>
            </w:r>
          </w:p>
        </w:tc>
      </w:tr>
    </w:tbl>
    <w:p>
      <w:pPr>
        <w:pStyle w:val="BodyText"/>
        <w:spacing w:before="3"/>
        <w:rPr>
          <w:i/>
          <w:sz w:val="5"/>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0"/>
        <w:gridCol w:w="1098"/>
        <w:gridCol w:w="928"/>
        <w:gridCol w:w="985"/>
        <w:gridCol w:w="1098"/>
        <w:gridCol w:w="4892"/>
      </w:tblGrid>
      <w:tr>
        <w:trPr>
          <w:trHeight w:val="888" w:hRule="atLeast"/>
        </w:trPr>
        <w:tc>
          <w:tcPr>
            <w:tcW w:w="470" w:type="dxa"/>
            <w:tcBorders>
              <w:right w:val="single" w:sz="4" w:space="0" w:color="000000"/>
            </w:tcBorders>
          </w:tcPr>
          <w:p>
            <w:pPr>
              <w:pStyle w:val="TableParagraph"/>
              <w:spacing w:before="74"/>
              <w:ind w:left="119"/>
              <w:rPr>
                <w:sz w:val="18"/>
              </w:rPr>
            </w:pPr>
            <w:r>
              <w:rPr>
                <w:spacing w:val="-5"/>
                <w:sz w:val="18"/>
              </w:rPr>
              <w:t>10</w:t>
            </w:r>
          </w:p>
        </w:tc>
        <w:tc>
          <w:tcPr>
            <w:tcW w:w="1098" w:type="dxa"/>
            <w:tcBorders>
              <w:left w:val="single" w:sz="4" w:space="0" w:color="000000"/>
              <w:right w:val="single" w:sz="4" w:space="0" w:color="000000"/>
            </w:tcBorders>
          </w:tcPr>
          <w:p>
            <w:pPr>
              <w:pStyle w:val="TableParagraph"/>
              <w:spacing w:before="74"/>
              <w:ind w:left="118"/>
              <w:rPr>
                <w:sz w:val="18"/>
              </w:rPr>
            </w:pPr>
            <w:r>
              <w:rPr>
                <w:spacing w:val="-2"/>
                <w:sz w:val="18"/>
              </w:rPr>
              <w:t>20.2%</w:t>
            </w:r>
          </w:p>
          <w:p>
            <w:pPr>
              <w:pStyle w:val="TableParagraph"/>
              <w:spacing w:before="58"/>
              <w:ind w:left="112"/>
              <w:rPr>
                <w:sz w:val="18"/>
              </w:rPr>
            </w:pPr>
            <w:r>
              <w:rPr>
                <w:sz w:val="18"/>
              </w:rPr>
              <w:t>(</w:t>
            </w:r>
            <w:r>
              <w:rPr>
                <w:spacing w:val="-2"/>
                <w:sz w:val="18"/>
              </w:rPr>
              <w:t> 18yr)</w:t>
            </w:r>
          </w:p>
        </w:tc>
        <w:tc>
          <w:tcPr>
            <w:tcW w:w="928" w:type="dxa"/>
            <w:tcBorders>
              <w:left w:val="single" w:sz="4" w:space="0" w:color="000000"/>
              <w:right w:val="single" w:sz="4" w:space="0" w:color="000000"/>
            </w:tcBorders>
          </w:tcPr>
          <w:p>
            <w:pPr>
              <w:pStyle w:val="TableParagraph"/>
              <w:spacing w:before="74"/>
              <w:ind w:left="117"/>
              <w:rPr>
                <w:sz w:val="18"/>
              </w:rPr>
            </w:pPr>
            <w:r>
              <w:rPr>
                <w:spacing w:val="-2"/>
                <w:sz w:val="18"/>
              </w:rPr>
              <w:t>0.0160</w:t>
            </w:r>
          </w:p>
        </w:tc>
        <w:tc>
          <w:tcPr>
            <w:tcW w:w="985" w:type="dxa"/>
            <w:tcBorders>
              <w:left w:val="single" w:sz="4" w:space="0" w:color="000000"/>
              <w:right w:val="single" w:sz="4" w:space="0" w:color="000000"/>
            </w:tcBorders>
          </w:tcPr>
          <w:p>
            <w:pPr>
              <w:pStyle w:val="TableParagraph"/>
              <w:spacing w:before="74"/>
              <w:ind w:left="117"/>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74"/>
              <w:ind w:left="116"/>
              <w:rPr>
                <w:sz w:val="18"/>
              </w:rPr>
            </w:pPr>
            <w:r>
              <w:rPr>
                <w:spacing w:val="-4"/>
                <w:sz w:val="18"/>
              </w:rPr>
              <w:t>+117</w:t>
            </w:r>
          </w:p>
        </w:tc>
        <w:tc>
          <w:tcPr>
            <w:tcW w:w="4892" w:type="dxa"/>
            <w:tcBorders>
              <w:left w:val="single" w:sz="4" w:space="0" w:color="000000"/>
            </w:tcBorders>
          </w:tcPr>
          <w:p>
            <w:pPr>
              <w:pStyle w:val="TableParagraph"/>
              <w:spacing w:line="307" w:lineRule="auto" w:before="74"/>
              <w:ind w:left="115" w:right="120"/>
              <w:jc w:val="both"/>
              <w:rPr>
                <w:sz w:val="18"/>
              </w:rPr>
            </w:pPr>
            <w:r>
              <w:rPr>
                <w:sz w:val="18"/>
              </w:rPr>
              <w:t>Wet days post-Flowering [0–3.3d] AND Soil water pre-</w:t>
            </w:r>
            <w:r>
              <w:rPr>
                <w:sz w:val="18"/>
              </w:rPr>
              <w:t>Harvest [101–231</w:t>
            </w:r>
            <w:r>
              <w:rPr>
                <w:spacing w:val="-12"/>
                <w:sz w:val="18"/>
              </w:rPr>
              <w:t> </w:t>
            </w:r>
            <w:r>
              <w:rPr>
                <w:sz w:val="18"/>
              </w:rPr>
              <w:t>mm]</w:t>
            </w:r>
            <w:r>
              <w:rPr>
                <w:spacing w:val="-11"/>
                <w:sz w:val="18"/>
              </w:rPr>
              <w:t> </w:t>
            </w:r>
            <w:r>
              <w:rPr>
                <w:sz w:val="18"/>
              </w:rPr>
              <w:t>AND</w:t>
            </w:r>
            <w:r>
              <w:rPr>
                <w:spacing w:val="-11"/>
                <w:sz w:val="18"/>
              </w:rPr>
              <w:t> </w:t>
            </w:r>
            <w:r>
              <w:rPr>
                <w:sz w:val="18"/>
              </w:rPr>
              <w:t>Heat</w:t>
            </w:r>
            <w:r>
              <w:rPr>
                <w:spacing w:val="-11"/>
                <w:sz w:val="18"/>
              </w:rPr>
              <w:t> </w:t>
            </w:r>
            <w:r>
              <w:rPr>
                <w:sz w:val="18"/>
              </w:rPr>
              <w:t>days</w:t>
            </w:r>
            <w:r>
              <w:rPr>
                <w:spacing w:val="-12"/>
                <w:sz w:val="18"/>
              </w:rPr>
              <w:t> </w:t>
            </w:r>
            <w:r>
              <w:rPr>
                <w:sz w:val="18"/>
              </w:rPr>
              <w:t>pre-Maturity</w:t>
            </w:r>
            <w:r>
              <w:rPr>
                <w:spacing w:val="-11"/>
                <w:sz w:val="18"/>
              </w:rPr>
              <w:t> </w:t>
            </w:r>
            <w:r>
              <w:rPr>
                <w:sz w:val="18"/>
              </w:rPr>
              <w:t>[0–3.7d]</w:t>
            </w:r>
            <w:r>
              <w:rPr>
                <w:spacing w:val="-11"/>
                <w:sz w:val="18"/>
              </w:rPr>
              <w:t> </w:t>
            </w:r>
            <w:r>
              <w:rPr>
                <w:sz w:val="18"/>
              </w:rPr>
              <w:t>AND</w:t>
            </w:r>
            <w:r>
              <w:rPr>
                <w:spacing w:val="-11"/>
                <w:sz w:val="18"/>
              </w:rPr>
              <w:t> </w:t>
            </w:r>
            <w:r>
              <w:rPr>
                <w:sz w:val="18"/>
              </w:rPr>
              <w:t>Heat days post-Flowering [0–0.6d]</w:t>
            </w:r>
          </w:p>
        </w:tc>
      </w:tr>
      <w:tr>
        <w:trPr>
          <w:trHeight w:val="611" w:hRule="atLeast"/>
        </w:trPr>
        <w:tc>
          <w:tcPr>
            <w:tcW w:w="470" w:type="dxa"/>
            <w:tcBorders>
              <w:right w:val="single" w:sz="4" w:space="0" w:color="000000"/>
            </w:tcBorders>
          </w:tcPr>
          <w:p>
            <w:pPr>
              <w:pStyle w:val="TableParagraph"/>
              <w:spacing w:before="62"/>
              <w:ind w:left="119"/>
              <w:rPr>
                <w:sz w:val="18"/>
              </w:rPr>
            </w:pPr>
            <w:r>
              <w:rPr>
                <w:spacing w:val="-5"/>
                <w:sz w:val="18"/>
              </w:rPr>
              <w:t>11</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21.3%</w:t>
            </w:r>
          </w:p>
          <w:p>
            <w:pPr>
              <w:pStyle w:val="TableParagraph"/>
              <w:spacing w:before="59"/>
              <w:ind w:left="112"/>
              <w:rPr>
                <w:sz w:val="18"/>
              </w:rPr>
            </w:pPr>
            <w:r>
              <w:rPr>
                <w:sz w:val="18"/>
              </w:rPr>
              <w:t>(</w:t>
            </w:r>
            <w:r>
              <w:rPr>
                <w:spacing w:val="-2"/>
                <w:sz w:val="18"/>
              </w:rPr>
              <w:t> 19yr)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0.0170</w:t>
            </w:r>
          </w:p>
        </w:tc>
        <w:tc>
          <w:tcPr>
            <w:tcW w:w="985" w:type="dxa"/>
            <w:tcBorders>
              <w:left w:val="single" w:sz="4" w:space="0" w:color="000000"/>
              <w:right w:val="single" w:sz="4" w:space="0" w:color="000000"/>
            </w:tcBorders>
          </w:tcPr>
          <w:p>
            <w:pPr>
              <w:pStyle w:val="TableParagraph"/>
              <w:spacing w:before="62"/>
              <w:ind w:left="117"/>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62"/>
              <w:ind w:left="116"/>
              <w:rPr>
                <w:sz w:val="18"/>
              </w:rPr>
            </w:pPr>
            <w:r>
              <w:rPr>
                <w:spacing w:val="-4"/>
                <w:sz w:val="18"/>
              </w:rPr>
              <w:t>+113</w:t>
            </w:r>
          </w:p>
        </w:tc>
        <w:tc>
          <w:tcPr>
            <w:tcW w:w="4892" w:type="dxa"/>
            <w:tcBorders>
              <w:left w:val="single" w:sz="4" w:space="0" w:color="000000"/>
            </w:tcBorders>
          </w:tcPr>
          <w:p>
            <w:pPr>
              <w:pStyle w:val="TableParagraph"/>
              <w:spacing w:line="260" w:lineRule="atLeast" w:before="9"/>
              <w:ind w:left="115"/>
              <w:rPr>
                <w:sz w:val="18"/>
              </w:rPr>
            </w:pPr>
            <w:r>
              <w:rPr>
                <w:sz w:val="18"/>
              </w:rPr>
              <w:t>Wet days post-Flowering [0–3.3d] AND Soil water pre-</w:t>
            </w:r>
            <w:r>
              <w:rPr>
                <w:sz w:val="18"/>
              </w:rPr>
              <w:t>Harvest [101–152 mm] AND Heat days pre-Maturity [0–3.7d]</w:t>
            </w:r>
          </w:p>
        </w:tc>
      </w:tr>
      <w:tr>
        <w:trPr>
          <w:trHeight w:val="611" w:hRule="atLeast"/>
        </w:trPr>
        <w:tc>
          <w:tcPr>
            <w:tcW w:w="470" w:type="dxa"/>
            <w:tcBorders>
              <w:right w:val="single" w:sz="4" w:space="0" w:color="000000"/>
            </w:tcBorders>
          </w:tcPr>
          <w:p>
            <w:pPr>
              <w:pStyle w:val="TableParagraph"/>
              <w:spacing w:before="62"/>
              <w:ind w:left="119"/>
              <w:rPr>
                <w:sz w:val="18"/>
              </w:rPr>
            </w:pPr>
            <w:r>
              <w:rPr>
                <w:spacing w:val="-5"/>
                <w:sz w:val="18"/>
              </w:rPr>
              <w:t>12</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28.1%</w:t>
            </w:r>
          </w:p>
          <w:p>
            <w:pPr>
              <w:pStyle w:val="TableParagraph"/>
              <w:spacing w:before="59"/>
              <w:ind w:left="112"/>
              <w:rPr>
                <w:sz w:val="18"/>
              </w:rPr>
            </w:pPr>
            <w:r>
              <w:rPr>
                <w:sz w:val="18"/>
              </w:rPr>
              <w:t>(</w:t>
            </w:r>
            <w:r>
              <w:rPr>
                <w:spacing w:val="-2"/>
                <w:sz w:val="18"/>
              </w:rPr>
              <w:t> 25yr)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0.0180</w:t>
            </w:r>
          </w:p>
        </w:tc>
        <w:tc>
          <w:tcPr>
            <w:tcW w:w="985" w:type="dxa"/>
            <w:tcBorders>
              <w:left w:val="single" w:sz="4" w:space="0" w:color="000000"/>
              <w:right w:val="single" w:sz="4" w:space="0" w:color="000000"/>
            </w:tcBorders>
          </w:tcPr>
          <w:p>
            <w:pPr>
              <w:pStyle w:val="TableParagraph"/>
              <w:spacing w:before="62"/>
              <w:ind w:left="117"/>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62"/>
              <w:ind w:left="116"/>
              <w:rPr>
                <w:sz w:val="18"/>
              </w:rPr>
            </w:pPr>
            <w:r>
              <w:rPr>
                <w:spacing w:val="-4"/>
                <w:sz w:val="18"/>
              </w:rPr>
              <w:t>+108</w:t>
            </w:r>
          </w:p>
        </w:tc>
        <w:tc>
          <w:tcPr>
            <w:tcW w:w="4892" w:type="dxa"/>
            <w:tcBorders>
              <w:left w:val="single" w:sz="4" w:space="0" w:color="000000"/>
            </w:tcBorders>
          </w:tcPr>
          <w:p>
            <w:pPr>
              <w:pStyle w:val="TableParagraph"/>
              <w:spacing w:line="260" w:lineRule="atLeast" w:before="9"/>
              <w:ind w:left="115"/>
              <w:rPr>
                <w:sz w:val="18"/>
              </w:rPr>
            </w:pPr>
            <w:r>
              <w:rPr>
                <w:sz w:val="18"/>
              </w:rPr>
              <w:t>Wet</w:t>
            </w:r>
            <w:r>
              <w:rPr>
                <w:spacing w:val="-8"/>
                <w:sz w:val="18"/>
              </w:rPr>
              <w:t> </w:t>
            </w:r>
            <w:r>
              <w:rPr>
                <w:sz w:val="18"/>
              </w:rPr>
              <w:t>days</w:t>
            </w:r>
            <w:r>
              <w:rPr>
                <w:spacing w:val="-8"/>
                <w:sz w:val="18"/>
              </w:rPr>
              <w:t> </w:t>
            </w:r>
            <w:r>
              <w:rPr>
                <w:sz w:val="18"/>
              </w:rPr>
              <w:t>post-Flowering</w:t>
            </w:r>
            <w:r>
              <w:rPr>
                <w:spacing w:val="-8"/>
                <w:sz w:val="18"/>
              </w:rPr>
              <w:t> </w:t>
            </w:r>
            <w:r>
              <w:rPr>
                <w:sz w:val="18"/>
              </w:rPr>
              <w:t>[0–3.3d]</w:t>
            </w:r>
            <w:r>
              <w:rPr>
                <w:spacing w:val="-8"/>
                <w:sz w:val="18"/>
              </w:rPr>
              <w:t> </w:t>
            </w:r>
            <w:r>
              <w:rPr>
                <w:sz w:val="18"/>
              </w:rPr>
              <w:t>AND</w:t>
            </w:r>
            <w:r>
              <w:rPr>
                <w:spacing w:val="-8"/>
                <w:sz w:val="18"/>
              </w:rPr>
              <w:t> </w:t>
            </w:r>
            <w:r>
              <w:rPr>
                <w:sz w:val="18"/>
              </w:rPr>
              <w:t>Wet</w:t>
            </w:r>
            <w:r>
              <w:rPr>
                <w:spacing w:val="-8"/>
                <w:sz w:val="18"/>
              </w:rPr>
              <w:t> </w:t>
            </w:r>
            <w:r>
              <w:rPr>
                <w:sz w:val="18"/>
              </w:rPr>
              <w:t>days</w:t>
            </w:r>
            <w:r>
              <w:rPr>
                <w:spacing w:val="-8"/>
                <w:sz w:val="18"/>
              </w:rPr>
              <w:t> </w:t>
            </w:r>
            <w:r>
              <w:rPr>
                <w:sz w:val="18"/>
              </w:rPr>
              <w:t>post-</w:t>
            </w:r>
            <w:r>
              <w:rPr>
                <w:sz w:val="18"/>
              </w:rPr>
              <w:t>Maturity [0–3.5d] AND Soil water pre-Harvest [74–231 mm]</w:t>
            </w:r>
          </w:p>
        </w:tc>
      </w:tr>
      <w:tr>
        <w:trPr>
          <w:trHeight w:val="877" w:hRule="atLeast"/>
        </w:trPr>
        <w:tc>
          <w:tcPr>
            <w:tcW w:w="470" w:type="dxa"/>
            <w:tcBorders>
              <w:right w:val="single" w:sz="4" w:space="0" w:color="000000"/>
            </w:tcBorders>
          </w:tcPr>
          <w:p>
            <w:pPr>
              <w:pStyle w:val="TableParagraph"/>
              <w:spacing w:before="62"/>
              <w:ind w:left="119"/>
              <w:rPr>
                <w:sz w:val="18"/>
              </w:rPr>
            </w:pPr>
            <w:r>
              <w:rPr>
                <w:spacing w:val="-5"/>
                <w:sz w:val="18"/>
              </w:rPr>
              <w:t>13</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19.1%</w:t>
            </w:r>
          </w:p>
          <w:p>
            <w:pPr>
              <w:pStyle w:val="TableParagraph"/>
              <w:spacing w:before="59"/>
              <w:ind w:left="112"/>
              <w:rPr>
                <w:sz w:val="18"/>
              </w:rPr>
            </w:pPr>
            <w:r>
              <w:rPr>
                <w:sz w:val="18"/>
              </w:rPr>
              <w:t>(</w:t>
            </w:r>
            <w:r>
              <w:rPr>
                <w:spacing w:val="-2"/>
                <w:sz w:val="18"/>
              </w:rPr>
              <w:t> 17yr)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0.0200</w:t>
            </w:r>
          </w:p>
        </w:tc>
        <w:tc>
          <w:tcPr>
            <w:tcW w:w="985" w:type="dxa"/>
            <w:tcBorders>
              <w:left w:val="single" w:sz="4" w:space="0" w:color="000000"/>
              <w:right w:val="single" w:sz="4" w:space="0" w:color="000000"/>
            </w:tcBorders>
          </w:tcPr>
          <w:p>
            <w:pPr>
              <w:pStyle w:val="TableParagraph"/>
              <w:spacing w:before="62"/>
              <w:ind w:left="117"/>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62"/>
              <w:ind w:left="116"/>
              <w:rPr>
                <w:sz w:val="18"/>
              </w:rPr>
            </w:pPr>
            <w:r>
              <w:rPr>
                <w:spacing w:val="-4"/>
                <w:sz w:val="18"/>
              </w:rPr>
              <w:t>+122</w:t>
            </w:r>
          </w:p>
        </w:tc>
        <w:tc>
          <w:tcPr>
            <w:tcW w:w="4892" w:type="dxa"/>
            <w:tcBorders>
              <w:left w:val="single" w:sz="4" w:space="0" w:color="000000"/>
            </w:tcBorders>
          </w:tcPr>
          <w:p>
            <w:pPr>
              <w:pStyle w:val="TableParagraph"/>
              <w:spacing w:line="307" w:lineRule="auto" w:before="62"/>
              <w:ind w:left="115" w:right="120"/>
              <w:jc w:val="both"/>
              <w:rPr>
                <w:sz w:val="18"/>
              </w:rPr>
            </w:pPr>
            <w:r>
              <w:rPr>
                <w:spacing w:val="-2"/>
                <w:sz w:val="18"/>
              </w:rPr>
              <w:t>Soil</w:t>
            </w:r>
            <w:r>
              <w:rPr>
                <w:spacing w:val="-8"/>
                <w:sz w:val="18"/>
              </w:rPr>
              <w:t> </w:t>
            </w:r>
            <w:r>
              <w:rPr>
                <w:spacing w:val="-2"/>
                <w:sz w:val="18"/>
              </w:rPr>
              <w:t>water</w:t>
            </w:r>
            <w:r>
              <w:rPr>
                <w:spacing w:val="-8"/>
                <w:sz w:val="18"/>
              </w:rPr>
              <w:t> </w:t>
            </w:r>
            <w:r>
              <w:rPr>
                <w:spacing w:val="-2"/>
                <w:sz w:val="18"/>
              </w:rPr>
              <w:t>pre-Harvest</w:t>
            </w:r>
            <w:r>
              <w:rPr>
                <w:spacing w:val="-8"/>
                <w:sz w:val="18"/>
              </w:rPr>
              <w:t> </w:t>
            </w:r>
            <w:r>
              <w:rPr>
                <w:spacing w:val="-2"/>
                <w:sz w:val="18"/>
              </w:rPr>
              <w:t>[74–101</w:t>
            </w:r>
            <w:r>
              <w:rPr>
                <w:spacing w:val="-8"/>
                <w:sz w:val="18"/>
              </w:rPr>
              <w:t> </w:t>
            </w:r>
            <w:r>
              <w:rPr>
                <w:spacing w:val="-2"/>
                <w:sz w:val="18"/>
              </w:rPr>
              <w:t>mm]</w:t>
            </w:r>
            <w:r>
              <w:rPr>
                <w:spacing w:val="-8"/>
                <w:sz w:val="18"/>
              </w:rPr>
              <w:t> </w:t>
            </w:r>
            <w:r>
              <w:rPr>
                <w:spacing w:val="-2"/>
                <w:sz w:val="18"/>
              </w:rPr>
              <w:t>AND</w:t>
            </w:r>
            <w:r>
              <w:rPr>
                <w:spacing w:val="-8"/>
                <w:sz w:val="18"/>
              </w:rPr>
              <w:t> </w:t>
            </w:r>
            <w:r>
              <w:rPr>
                <w:spacing w:val="-2"/>
                <w:sz w:val="18"/>
              </w:rPr>
              <w:t>Wet</w:t>
            </w:r>
            <w:r>
              <w:rPr>
                <w:spacing w:val="-8"/>
                <w:sz w:val="18"/>
              </w:rPr>
              <w:t> </w:t>
            </w:r>
            <w:r>
              <w:rPr>
                <w:spacing w:val="-2"/>
                <w:sz w:val="18"/>
              </w:rPr>
              <w:t>days</w:t>
            </w:r>
            <w:r>
              <w:rPr>
                <w:spacing w:val="-8"/>
                <w:sz w:val="18"/>
              </w:rPr>
              <w:t> </w:t>
            </w:r>
            <w:r>
              <w:rPr>
                <w:spacing w:val="-2"/>
                <w:sz w:val="18"/>
              </w:rPr>
              <w:t>post-</w:t>
            </w:r>
            <w:r>
              <w:rPr>
                <w:spacing w:val="-2"/>
                <w:sz w:val="18"/>
              </w:rPr>
              <w:t>Harvest </w:t>
            </w:r>
            <w:r>
              <w:rPr>
                <w:spacing w:val="-4"/>
                <w:sz w:val="18"/>
              </w:rPr>
              <w:t>prev.yr [0–2.3d] AND Wet days post-Maturity [0–3.5d] AND Heat </w:t>
            </w:r>
            <w:r>
              <w:rPr>
                <w:sz w:val="18"/>
              </w:rPr>
              <w:t>days post-Flowering [0–0.6d]</w:t>
            </w:r>
          </w:p>
        </w:tc>
      </w:tr>
      <w:tr>
        <w:trPr>
          <w:trHeight w:val="611" w:hRule="atLeast"/>
        </w:trPr>
        <w:tc>
          <w:tcPr>
            <w:tcW w:w="470" w:type="dxa"/>
            <w:tcBorders>
              <w:right w:val="single" w:sz="4" w:space="0" w:color="000000"/>
            </w:tcBorders>
          </w:tcPr>
          <w:p>
            <w:pPr>
              <w:pStyle w:val="TableParagraph"/>
              <w:spacing w:before="62"/>
              <w:ind w:left="119"/>
              <w:rPr>
                <w:sz w:val="18"/>
              </w:rPr>
            </w:pPr>
            <w:r>
              <w:rPr>
                <w:spacing w:val="-5"/>
                <w:sz w:val="18"/>
              </w:rPr>
              <w:t>14</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16.9%</w:t>
            </w:r>
          </w:p>
          <w:p>
            <w:pPr>
              <w:pStyle w:val="TableParagraph"/>
              <w:spacing w:before="59"/>
              <w:ind w:left="112"/>
              <w:rPr>
                <w:sz w:val="18"/>
              </w:rPr>
            </w:pPr>
            <w:r>
              <w:rPr>
                <w:sz w:val="18"/>
              </w:rPr>
              <w:t>(</w:t>
            </w:r>
            <w:r>
              <w:rPr>
                <w:spacing w:val="-2"/>
                <w:sz w:val="18"/>
              </w:rPr>
              <w:t> 15yr)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0.0210</w:t>
            </w:r>
          </w:p>
        </w:tc>
        <w:tc>
          <w:tcPr>
            <w:tcW w:w="985" w:type="dxa"/>
            <w:tcBorders>
              <w:left w:val="single" w:sz="4" w:space="0" w:color="000000"/>
              <w:right w:val="single" w:sz="4" w:space="0" w:color="000000"/>
            </w:tcBorders>
          </w:tcPr>
          <w:p>
            <w:pPr>
              <w:pStyle w:val="TableParagraph"/>
              <w:spacing w:before="62"/>
              <w:ind w:left="117"/>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62"/>
              <w:ind w:left="116"/>
              <w:rPr>
                <w:sz w:val="18"/>
              </w:rPr>
            </w:pPr>
            <w:r>
              <w:rPr>
                <w:spacing w:val="-4"/>
                <w:sz w:val="18"/>
              </w:rPr>
              <w:t>+143</w:t>
            </w:r>
          </w:p>
        </w:tc>
        <w:tc>
          <w:tcPr>
            <w:tcW w:w="4892" w:type="dxa"/>
            <w:tcBorders>
              <w:left w:val="single" w:sz="4" w:space="0" w:color="000000"/>
            </w:tcBorders>
          </w:tcPr>
          <w:p>
            <w:pPr>
              <w:pStyle w:val="TableParagraph"/>
              <w:spacing w:line="260" w:lineRule="atLeast" w:before="9"/>
              <w:ind w:left="115"/>
              <w:rPr>
                <w:sz w:val="18"/>
              </w:rPr>
            </w:pPr>
            <w:r>
              <w:rPr>
                <w:spacing w:val="-2"/>
                <w:sz w:val="18"/>
              </w:rPr>
              <w:t>Soil</w:t>
            </w:r>
            <w:r>
              <w:rPr>
                <w:spacing w:val="-8"/>
                <w:sz w:val="18"/>
              </w:rPr>
              <w:t> </w:t>
            </w:r>
            <w:r>
              <w:rPr>
                <w:spacing w:val="-2"/>
                <w:sz w:val="18"/>
              </w:rPr>
              <w:t>water</w:t>
            </w:r>
            <w:r>
              <w:rPr>
                <w:spacing w:val="-8"/>
                <w:sz w:val="18"/>
              </w:rPr>
              <w:t> </w:t>
            </w:r>
            <w:r>
              <w:rPr>
                <w:spacing w:val="-2"/>
                <w:sz w:val="18"/>
              </w:rPr>
              <w:t>pre-Harvest</w:t>
            </w:r>
            <w:r>
              <w:rPr>
                <w:spacing w:val="-8"/>
                <w:sz w:val="18"/>
              </w:rPr>
              <w:t> </w:t>
            </w:r>
            <w:r>
              <w:rPr>
                <w:spacing w:val="-2"/>
                <w:sz w:val="18"/>
              </w:rPr>
              <w:t>[74–101</w:t>
            </w:r>
            <w:r>
              <w:rPr>
                <w:spacing w:val="-8"/>
                <w:sz w:val="18"/>
              </w:rPr>
              <w:t> </w:t>
            </w:r>
            <w:r>
              <w:rPr>
                <w:spacing w:val="-2"/>
                <w:sz w:val="18"/>
              </w:rPr>
              <w:t>mm]</w:t>
            </w:r>
            <w:r>
              <w:rPr>
                <w:spacing w:val="-8"/>
                <w:sz w:val="18"/>
              </w:rPr>
              <w:t> </w:t>
            </w:r>
            <w:r>
              <w:rPr>
                <w:spacing w:val="-2"/>
                <w:sz w:val="18"/>
              </w:rPr>
              <w:t>AND</w:t>
            </w:r>
            <w:r>
              <w:rPr>
                <w:spacing w:val="-8"/>
                <w:sz w:val="18"/>
              </w:rPr>
              <w:t> </w:t>
            </w:r>
            <w:r>
              <w:rPr>
                <w:spacing w:val="-2"/>
                <w:sz w:val="18"/>
              </w:rPr>
              <w:t>Wet</w:t>
            </w:r>
            <w:r>
              <w:rPr>
                <w:spacing w:val="-8"/>
                <w:sz w:val="18"/>
              </w:rPr>
              <w:t> </w:t>
            </w:r>
            <w:r>
              <w:rPr>
                <w:spacing w:val="-2"/>
                <w:sz w:val="18"/>
              </w:rPr>
              <w:t>days</w:t>
            </w:r>
            <w:r>
              <w:rPr>
                <w:spacing w:val="-8"/>
                <w:sz w:val="18"/>
              </w:rPr>
              <w:t> </w:t>
            </w:r>
            <w:r>
              <w:rPr>
                <w:spacing w:val="-2"/>
                <w:sz w:val="18"/>
              </w:rPr>
              <w:t>post-</w:t>
            </w:r>
            <w:r>
              <w:rPr>
                <w:spacing w:val="-2"/>
                <w:sz w:val="18"/>
              </w:rPr>
              <w:t>Harvest </w:t>
            </w:r>
            <w:r>
              <w:rPr>
                <w:sz w:val="18"/>
              </w:rPr>
              <w:t>prev.yr [0–2.3d] AND Heat days pre-Maturity [0–3.7d]</w:t>
            </w:r>
          </w:p>
        </w:tc>
      </w:tr>
      <w:tr>
        <w:trPr>
          <w:trHeight w:val="877" w:hRule="atLeast"/>
        </w:trPr>
        <w:tc>
          <w:tcPr>
            <w:tcW w:w="470" w:type="dxa"/>
            <w:tcBorders>
              <w:right w:val="single" w:sz="4" w:space="0" w:color="000000"/>
            </w:tcBorders>
          </w:tcPr>
          <w:p>
            <w:pPr>
              <w:pStyle w:val="TableParagraph"/>
              <w:spacing w:before="62"/>
              <w:ind w:left="119"/>
              <w:rPr>
                <w:sz w:val="18"/>
              </w:rPr>
            </w:pPr>
            <w:r>
              <w:rPr>
                <w:spacing w:val="-5"/>
                <w:sz w:val="18"/>
              </w:rPr>
              <w:t>15</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21.3%</w:t>
            </w:r>
          </w:p>
          <w:p>
            <w:pPr>
              <w:pStyle w:val="TableParagraph"/>
              <w:spacing w:before="59"/>
              <w:ind w:left="112"/>
              <w:rPr>
                <w:sz w:val="18"/>
              </w:rPr>
            </w:pPr>
            <w:r>
              <w:rPr>
                <w:sz w:val="18"/>
              </w:rPr>
              <w:t>(</w:t>
            </w:r>
            <w:r>
              <w:rPr>
                <w:spacing w:val="-2"/>
                <w:sz w:val="18"/>
              </w:rPr>
              <w:t> 19yr)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0.0220</w:t>
            </w:r>
          </w:p>
        </w:tc>
        <w:tc>
          <w:tcPr>
            <w:tcW w:w="985" w:type="dxa"/>
            <w:tcBorders>
              <w:left w:val="single" w:sz="4" w:space="0" w:color="000000"/>
              <w:right w:val="single" w:sz="4" w:space="0" w:color="000000"/>
            </w:tcBorders>
          </w:tcPr>
          <w:p>
            <w:pPr>
              <w:pStyle w:val="TableParagraph"/>
              <w:spacing w:before="62"/>
              <w:ind w:left="117"/>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62"/>
              <w:ind w:left="116"/>
              <w:rPr>
                <w:sz w:val="18"/>
              </w:rPr>
            </w:pPr>
            <w:r>
              <w:rPr>
                <w:spacing w:val="-4"/>
                <w:sz w:val="18"/>
              </w:rPr>
              <w:t>+115</w:t>
            </w:r>
          </w:p>
        </w:tc>
        <w:tc>
          <w:tcPr>
            <w:tcW w:w="4892" w:type="dxa"/>
            <w:tcBorders>
              <w:left w:val="single" w:sz="4" w:space="0" w:color="000000"/>
            </w:tcBorders>
          </w:tcPr>
          <w:p>
            <w:pPr>
              <w:pStyle w:val="TableParagraph"/>
              <w:spacing w:line="307" w:lineRule="auto" w:before="62"/>
              <w:ind w:left="115" w:right="120"/>
              <w:jc w:val="both"/>
              <w:rPr>
                <w:sz w:val="18"/>
              </w:rPr>
            </w:pPr>
            <w:r>
              <w:rPr>
                <w:sz w:val="18"/>
              </w:rPr>
              <w:t>Wet days post-Flowering [0–3.3d] AND Soil water pre-</w:t>
            </w:r>
            <w:r>
              <w:rPr>
                <w:sz w:val="18"/>
              </w:rPr>
              <w:t>Harvest </w:t>
            </w:r>
            <w:r>
              <w:rPr>
                <w:spacing w:val="-2"/>
                <w:sz w:val="18"/>
              </w:rPr>
              <w:t>[101–152</w:t>
            </w:r>
            <w:r>
              <w:rPr>
                <w:spacing w:val="-5"/>
                <w:sz w:val="18"/>
              </w:rPr>
              <w:t> </w:t>
            </w:r>
            <w:r>
              <w:rPr>
                <w:spacing w:val="-2"/>
                <w:sz w:val="18"/>
              </w:rPr>
              <w:t>mm]</w:t>
            </w:r>
            <w:r>
              <w:rPr>
                <w:spacing w:val="-5"/>
                <w:sz w:val="18"/>
              </w:rPr>
              <w:t> </w:t>
            </w:r>
            <w:r>
              <w:rPr>
                <w:spacing w:val="-2"/>
                <w:sz w:val="18"/>
              </w:rPr>
              <w:t>AND</w:t>
            </w:r>
            <w:r>
              <w:rPr>
                <w:spacing w:val="-5"/>
                <w:sz w:val="18"/>
              </w:rPr>
              <w:t> </w:t>
            </w:r>
            <w:r>
              <w:rPr>
                <w:spacing w:val="-2"/>
                <w:sz w:val="18"/>
              </w:rPr>
              <w:t>Wet</w:t>
            </w:r>
            <w:r>
              <w:rPr>
                <w:spacing w:val="-5"/>
                <w:sz w:val="18"/>
              </w:rPr>
              <w:t> </w:t>
            </w:r>
            <w:r>
              <w:rPr>
                <w:spacing w:val="-2"/>
                <w:sz w:val="18"/>
              </w:rPr>
              <w:t>days</w:t>
            </w:r>
            <w:r>
              <w:rPr>
                <w:spacing w:val="-5"/>
                <w:sz w:val="18"/>
              </w:rPr>
              <w:t> </w:t>
            </w:r>
            <w:r>
              <w:rPr>
                <w:spacing w:val="-2"/>
                <w:sz w:val="18"/>
              </w:rPr>
              <w:t>post-Maturity</w:t>
            </w:r>
            <w:r>
              <w:rPr>
                <w:spacing w:val="-5"/>
                <w:sz w:val="18"/>
              </w:rPr>
              <w:t> </w:t>
            </w:r>
            <w:r>
              <w:rPr>
                <w:spacing w:val="-2"/>
                <w:sz w:val="18"/>
              </w:rPr>
              <w:t>[0–3.5d]</w:t>
            </w:r>
            <w:r>
              <w:rPr>
                <w:spacing w:val="-5"/>
                <w:sz w:val="18"/>
              </w:rPr>
              <w:t> </w:t>
            </w:r>
            <w:r>
              <w:rPr>
                <w:spacing w:val="-2"/>
                <w:sz w:val="18"/>
              </w:rPr>
              <w:t>AND</w:t>
            </w:r>
            <w:r>
              <w:rPr>
                <w:spacing w:val="-5"/>
                <w:sz w:val="18"/>
              </w:rPr>
              <w:t> </w:t>
            </w:r>
            <w:r>
              <w:rPr>
                <w:spacing w:val="-2"/>
                <w:sz w:val="18"/>
              </w:rPr>
              <w:t>Heat </w:t>
            </w:r>
            <w:r>
              <w:rPr>
                <w:sz w:val="18"/>
              </w:rPr>
              <w:t>days post-Flowering [0–0.6d]</w:t>
            </w:r>
          </w:p>
        </w:tc>
      </w:tr>
      <w:tr>
        <w:trPr>
          <w:trHeight w:val="877" w:hRule="atLeast"/>
        </w:trPr>
        <w:tc>
          <w:tcPr>
            <w:tcW w:w="470" w:type="dxa"/>
            <w:tcBorders>
              <w:right w:val="single" w:sz="4" w:space="0" w:color="000000"/>
            </w:tcBorders>
          </w:tcPr>
          <w:p>
            <w:pPr>
              <w:pStyle w:val="TableParagraph"/>
              <w:spacing w:before="62"/>
              <w:ind w:left="119"/>
              <w:rPr>
                <w:sz w:val="18"/>
              </w:rPr>
            </w:pPr>
            <w:r>
              <w:rPr>
                <w:spacing w:val="-5"/>
                <w:sz w:val="18"/>
              </w:rPr>
              <w:t>16</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18.0%</w:t>
            </w:r>
          </w:p>
          <w:p>
            <w:pPr>
              <w:pStyle w:val="TableParagraph"/>
              <w:spacing w:before="59"/>
              <w:ind w:left="112"/>
              <w:rPr>
                <w:sz w:val="18"/>
              </w:rPr>
            </w:pPr>
            <w:r>
              <w:rPr>
                <w:sz w:val="18"/>
              </w:rPr>
              <w:t>(</w:t>
            </w:r>
            <w:r>
              <w:rPr>
                <w:spacing w:val="-2"/>
                <w:sz w:val="18"/>
              </w:rPr>
              <w:t> 16yr)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0.0240</w:t>
            </w:r>
          </w:p>
        </w:tc>
        <w:tc>
          <w:tcPr>
            <w:tcW w:w="985" w:type="dxa"/>
            <w:tcBorders>
              <w:left w:val="single" w:sz="4" w:space="0" w:color="000000"/>
              <w:right w:val="single" w:sz="4" w:space="0" w:color="000000"/>
            </w:tcBorders>
          </w:tcPr>
          <w:p>
            <w:pPr>
              <w:pStyle w:val="TableParagraph"/>
              <w:spacing w:before="62"/>
              <w:ind w:left="117"/>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62"/>
              <w:ind w:left="116"/>
              <w:rPr>
                <w:sz w:val="18"/>
              </w:rPr>
            </w:pPr>
            <w:r>
              <w:rPr>
                <w:spacing w:val="-4"/>
                <w:sz w:val="18"/>
              </w:rPr>
              <w:t>+132</w:t>
            </w:r>
          </w:p>
        </w:tc>
        <w:tc>
          <w:tcPr>
            <w:tcW w:w="4892" w:type="dxa"/>
            <w:tcBorders>
              <w:left w:val="single" w:sz="4" w:space="0" w:color="000000"/>
            </w:tcBorders>
          </w:tcPr>
          <w:p>
            <w:pPr>
              <w:pStyle w:val="TableParagraph"/>
              <w:spacing w:line="307" w:lineRule="auto" w:before="62"/>
              <w:ind w:left="115" w:right="120"/>
              <w:jc w:val="both"/>
              <w:rPr>
                <w:sz w:val="18"/>
              </w:rPr>
            </w:pPr>
            <w:r>
              <w:rPr>
                <w:spacing w:val="-2"/>
                <w:sz w:val="18"/>
              </w:rPr>
              <w:t>Soil</w:t>
            </w:r>
            <w:r>
              <w:rPr>
                <w:spacing w:val="-8"/>
                <w:sz w:val="18"/>
              </w:rPr>
              <w:t> </w:t>
            </w:r>
            <w:r>
              <w:rPr>
                <w:spacing w:val="-2"/>
                <w:sz w:val="18"/>
              </w:rPr>
              <w:t>water</w:t>
            </w:r>
            <w:r>
              <w:rPr>
                <w:spacing w:val="-8"/>
                <w:sz w:val="18"/>
              </w:rPr>
              <w:t> </w:t>
            </w:r>
            <w:r>
              <w:rPr>
                <w:spacing w:val="-2"/>
                <w:sz w:val="18"/>
              </w:rPr>
              <w:t>pre-Harvest</w:t>
            </w:r>
            <w:r>
              <w:rPr>
                <w:spacing w:val="-8"/>
                <w:sz w:val="18"/>
              </w:rPr>
              <w:t> </w:t>
            </w:r>
            <w:r>
              <w:rPr>
                <w:spacing w:val="-2"/>
                <w:sz w:val="18"/>
              </w:rPr>
              <w:t>[74–101</w:t>
            </w:r>
            <w:r>
              <w:rPr>
                <w:spacing w:val="-8"/>
                <w:sz w:val="18"/>
              </w:rPr>
              <w:t> </w:t>
            </w:r>
            <w:r>
              <w:rPr>
                <w:spacing w:val="-2"/>
                <w:sz w:val="18"/>
              </w:rPr>
              <w:t>mm]</w:t>
            </w:r>
            <w:r>
              <w:rPr>
                <w:spacing w:val="-8"/>
                <w:sz w:val="18"/>
              </w:rPr>
              <w:t> </w:t>
            </w:r>
            <w:r>
              <w:rPr>
                <w:spacing w:val="-2"/>
                <w:sz w:val="18"/>
              </w:rPr>
              <w:t>AND</w:t>
            </w:r>
            <w:r>
              <w:rPr>
                <w:spacing w:val="-8"/>
                <w:sz w:val="18"/>
              </w:rPr>
              <w:t> </w:t>
            </w:r>
            <w:r>
              <w:rPr>
                <w:spacing w:val="-2"/>
                <w:sz w:val="18"/>
              </w:rPr>
              <w:t>Wet</w:t>
            </w:r>
            <w:r>
              <w:rPr>
                <w:spacing w:val="-8"/>
                <w:sz w:val="18"/>
              </w:rPr>
              <w:t> </w:t>
            </w:r>
            <w:r>
              <w:rPr>
                <w:spacing w:val="-2"/>
                <w:sz w:val="18"/>
              </w:rPr>
              <w:t>days</w:t>
            </w:r>
            <w:r>
              <w:rPr>
                <w:spacing w:val="-8"/>
                <w:sz w:val="18"/>
              </w:rPr>
              <w:t> </w:t>
            </w:r>
            <w:r>
              <w:rPr>
                <w:spacing w:val="-2"/>
                <w:sz w:val="18"/>
              </w:rPr>
              <w:t>post-</w:t>
            </w:r>
            <w:r>
              <w:rPr>
                <w:spacing w:val="-2"/>
                <w:sz w:val="18"/>
              </w:rPr>
              <w:t>Harvest prev.yr</w:t>
            </w:r>
            <w:r>
              <w:rPr>
                <w:spacing w:val="-12"/>
                <w:sz w:val="18"/>
              </w:rPr>
              <w:t> </w:t>
            </w:r>
            <w:r>
              <w:rPr>
                <w:spacing w:val="-2"/>
                <w:sz w:val="18"/>
              </w:rPr>
              <w:t>[0–2.3d]</w:t>
            </w:r>
            <w:r>
              <w:rPr>
                <w:spacing w:val="-9"/>
                <w:sz w:val="18"/>
              </w:rPr>
              <w:t> </w:t>
            </w:r>
            <w:r>
              <w:rPr>
                <w:spacing w:val="-2"/>
                <w:sz w:val="18"/>
              </w:rPr>
              <w:t>AND</w:t>
            </w:r>
            <w:r>
              <w:rPr>
                <w:spacing w:val="-9"/>
                <w:sz w:val="18"/>
              </w:rPr>
              <w:t> </w:t>
            </w:r>
            <w:r>
              <w:rPr>
                <w:spacing w:val="-2"/>
                <w:sz w:val="18"/>
              </w:rPr>
              <w:t>Heat</w:t>
            </w:r>
            <w:r>
              <w:rPr>
                <w:spacing w:val="-9"/>
                <w:sz w:val="18"/>
              </w:rPr>
              <w:t> </w:t>
            </w:r>
            <w:r>
              <w:rPr>
                <w:spacing w:val="-2"/>
                <w:sz w:val="18"/>
              </w:rPr>
              <w:t>days</w:t>
            </w:r>
            <w:r>
              <w:rPr>
                <w:spacing w:val="-10"/>
                <w:sz w:val="18"/>
              </w:rPr>
              <w:t> </w:t>
            </w:r>
            <w:r>
              <w:rPr>
                <w:spacing w:val="-2"/>
                <w:sz w:val="18"/>
              </w:rPr>
              <w:t>pre-Maturity</w:t>
            </w:r>
            <w:r>
              <w:rPr>
                <w:spacing w:val="-9"/>
                <w:sz w:val="18"/>
              </w:rPr>
              <w:t> </w:t>
            </w:r>
            <w:r>
              <w:rPr>
                <w:spacing w:val="-2"/>
                <w:sz w:val="18"/>
              </w:rPr>
              <w:t>[0–3.7d]</w:t>
            </w:r>
            <w:r>
              <w:rPr>
                <w:spacing w:val="-9"/>
                <w:sz w:val="18"/>
              </w:rPr>
              <w:t> </w:t>
            </w:r>
            <w:r>
              <w:rPr>
                <w:spacing w:val="-2"/>
                <w:sz w:val="18"/>
              </w:rPr>
              <w:t>AND</w:t>
            </w:r>
            <w:r>
              <w:rPr>
                <w:spacing w:val="-9"/>
                <w:sz w:val="18"/>
              </w:rPr>
              <w:t> </w:t>
            </w:r>
            <w:r>
              <w:rPr>
                <w:spacing w:val="-2"/>
                <w:sz w:val="18"/>
              </w:rPr>
              <w:t>Heat </w:t>
            </w:r>
            <w:r>
              <w:rPr>
                <w:sz w:val="18"/>
              </w:rPr>
              <w:t>days post-Flowering [0–0.6d]</w:t>
            </w:r>
          </w:p>
        </w:tc>
      </w:tr>
      <w:tr>
        <w:trPr>
          <w:trHeight w:val="877" w:hRule="atLeast"/>
        </w:trPr>
        <w:tc>
          <w:tcPr>
            <w:tcW w:w="470" w:type="dxa"/>
            <w:tcBorders>
              <w:right w:val="single" w:sz="4" w:space="0" w:color="000000"/>
            </w:tcBorders>
          </w:tcPr>
          <w:p>
            <w:pPr>
              <w:pStyle w:val="TableParagraph"/>
              <w:spacing w:before="62"/>
              <w:ind w:left="119"/>
              <w:rPr>
                <w:sz w:val="18"/>
              </w:rPr>
            </w:pPr>
            <w:r>
              <w:rPr>
                <w:spacing w:val="-5"/>
                <w:sz w:val="18"/>
              </w:rPr>
              <w:t>17</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22.5%</w:t>
            </w:r>
          </w:p>
          <w:p>
            <w:pPr>
              <w:pStyle w:val="TableParagraph"/>
              <w:spacing w:before="59"/>
              <w:ind w:left="112"/>
              <w:rPr>
                <w:sz w:val="18"/>
              </w:rPr>
            </w:pPr>
            <w:r>
              <w:rPr>
                <w:sz w:val="18"/>
              </w:rPr>
              <w:t>(</w:t>
            </w:r>
            <w:r>
              <w:rPr>
                <w:spacing w:val="-2"/>
                <w:sz w:val="18"/>
              </w:rPr>
              <w:t> 20yr)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0.0250</w:t>
            </w:r>
          </w:p>
        </w:tc>
        <w:tc>
          <w:tcPr>
            <w:tcW w:w="985" w:type="dxa"/>
            <w:tcBorders>
              <w:left w:val="single" w:sz="4" w:space="0" w:color="000000"/>
              <w:right w:val="single" w:sz="4" w:space="0" w:color="000000"/>
            </w:tcBorders>
          </w:tcPr>
          <w:p>
            <w:pPr>
              <w:pStyle w:val="TableParagraph"/>
              <w:spacing w:before="62"/>
              <w:ind w:left="117"/>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62"/>
              <w:ind w:left="116"/>
              <w:rPr>
                <w:sz w:val="18"/>
              </w:rPr>
            </w:pPr>
            <w:r>
              <w:rPr>
                <w:spacing w:val="-4"/>
                <w:sz w:val="18"/>
              </w:rPr>
              <w:t>+115</w:t>
            </w:r>
          </w:p>
        </w:tc>
        <w:tc>
          <w:tcPr>
            <w:tcW w:w="4892" w:type="dxa"/>
            <w:tcBorders>
              <w:left w:val="single" w:sz="4" w:space="0" w:color="000000"/>
            </w:tcBorders>
          </w:tcPr>
          <w:p>
            <w:pPr>
              <w:pStyle w:val="TableParagraph"/>
              <w:spacing w:line="307" w:lineRule="auto" w:before="62"/>
              <w:ind w:left="115" w:right="120"/>
              <w:jc w:val="both"/>
              <w:rPr>
                <w:sz w:val="18"/>
              </w:rPr>
            </w:pPr>
            <w:r>
              <w:rPr>
                <w:sz w:val="18"/>
              </w:rPr>
              <w:t>Wet days post-Flowering [0–3.3d] AND Soil water pre-</w:t>
            </w:r>
            <w:r>
              <w:rPr>
                <w:sz w:val="18"/>
              </w:rPr>
              <w:t>Harvest [74–231</w:t>
            </w:r>
            <w:r>
              <w:rPr>
                <w:spacing w:val="-6"/>
                <w:sz w:val="18"/>
              </w:rPr>
              <w:t> </w:t>
            </w:r>
            <w:r>
              <w:rPr>
                <w:sz w:val="18"/>
              </w:rPr>
              <w:t>mm]</w:t>
            </w:r>
            <w:r>
              <w:rPr>
                <w:spacing w:val="-6"/>
                <w:sz w:val="18"/>
              </w:rPr>
              <w:t> </w:t>
            </w:r>
            <w:r>
              <w:rPr>
                <w:sz w:val="18"/>
              </w:rPr>
              <w:t>AND</w:t>
            </w:r>
            <w:r>
              <w:rPr>
                <w:spacing w:val="-6"/>
                <w:sz w:val="18"/>
              </w:rPr>
              <w:t> </w:t>
            </w:r>
            <w:r>
              <w:rPr>
                <w:sz w:val="18"/>
              </w:rPr>
              <w:t>Wet</w:t>
            </w:r>
            <w:r>
              <w:rPr>
                <w:spacing w:val="-6"/>
                <w:sz w:val="18"/>
              </w:rPr>
              <w:t> </w:t>
            </w:r>
            <w:r>
              <w:rPr>
                <w:sz w:val="18"/>
              </w:rPr>
              <w:t>days</w:t>
            </w:r>
            <w:r>
              <w:rPr>
                <w:spacing w:val="-6"/>
                <w:sz w:val="18"/>
              </w:rPr>
              <w:t> </w:t>
            </w:r>
            <w:r>
              <w:rPr>
                <w:sz w:val="18"/>
              </w:rPr>
              <w:t>post-Maturity</w:t>
            </w:r>
            <w:r>
              <w:rPr>
                <w:spacing w:val="-6"/>
                <w:sz w:val="18"/>
              </w:rPr>
              <w:t> </w:t>
            </w:r>
            <w:r>
              <w:rPr>
                <w:sz w:val="18"/>
              </w:rPr>
              <w:t>[0–3.5d]</w:t>
            </w:r>
            <w:r>
              <w:rPr>
                <w:spacing w:val="-6"/>
                <w:sz w:val="18"/>
              </w:rPr>
              <w:t> </w:t>
            </w:r>
            <w:r>
              <w:rPr>
                <w:sz w:val="18"/>
              </w:rPr>
              <w:t>AND</w:t>
            </w:r>
            <w:r>
              <w:rPr>
                <w:spacing w:val="-6"/>
                <w:sz w:val="18"/>
              </w:rPr>
              <w:t> </w:t>
            </w:r>
            <w:r>
              <w:rPr>
                <w:sz w:val="18"/>
              </w:rPr>
              <w:t>Heat days post-Flowering [0–0.6d]</w:t>
            </w:r>
          </w:p>
        </w:tc>
      </w:tr>
      <w:tr>
        <w:trPr>
          <w:trHeight w:val="877" w:hRule="atLeast"/>
        </w:trPr>
        <w:tc>
          <w:tcPr>
            <w:tcW w:w="470" w:type="dxa"/>
            <w:tcBorders>
              <w:right w:val="single" w:sz="4" w:space="0" w:color="000000"/>
            </w:tcBorders>
          </w:tcPr>
          <w:p>
            <w:pPr>
              <w:pStyle w:val="TableParagraph"/>
              <w:spacing w:before="62"/>
              <w:ind w:left="119"/>
              <w:rPr>
                <w:sz w:val="18"/>
              </w:rPr>
            </w:pPr>
            <w:r>
              <w:rPr>
                <w:spacing w:val="-5"/>
                <w:sz w:val="18"/>
              </w:rPr>
              <w:t>18</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19.1%</w:t>
            </w:r>
          </w:p>
          <w:p>
            <w:pPr>
              <w:pStyle w:val="TableParagraph"/>
              <w:spacing w:before="59"/>
              <w:ind w:left="112"/>
              <w:rPr>
                <w:sz w:val="18"/>
              </w:rPr>
            </w:pPr>
            <w:r>
              <w:rPr>
                <w:sz w:val="18"/>
              </w:rPr>
              <w:t>(</w:t>
            </w:r>
            <w:r>
              <w:rPr>
                <w:spacing w:val="-2"/>
                <w:sz w:val="18"/>
              </w:rPr>
              <w:t> 17yr)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0.0260</w:t>
            </w:r>
          </w:p>
        </w:tc>
        <w:tc>
          <w:tcPr>
            <w:tcW w:w="985" w:type="dxa"/>
            <w:tcBorders>
              <w:left w:val="single" w:sz="4" w:space="0" w:color="000000"/>
              <w:right w:val="single" w:sz="4" w:space="0" w:color="000000"/>
            </w:tcBorders>
          </w:tcPr>
          <w:p>
            <w:pPr>
              <w:pStyle w:val="TableParagraph"/>
              <w:spacing w:before="62"/>
              <w:ind w:left="117"/>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62"/>
              <w:ind w:left="116"/>
              <w:rPr>
                <w:sz w:val="18"/>
              </w:rPr>
            </w:pPr>
            <w:r>
              <w:rPr>
                <w:spacing w:val="-4"/>
                <w:sz w:val="18"/>
              </w:rPr>
              <w:t>+119</w:t>
            </w:r>
          </w:p>
        </w:tc>
        <w:tc>
          <w:tcPr>
            <w:tcW w:w="4892" w:type="dxa"/>
            <w:tcBorders>
              <w:left w:val="single" w:sz="4" w:space="0" w:color="000000"/>
            </w:tcBorders>
          </w:tcPr>
          <w:p>
            <w:pPr>
              <w:pStyle w:val="TableParagraph"/>
              <w:spacing w:line="307" w:lineRule="auto" w:before="62"/>
              <w:ind w:left="115" w:right="120"/>
              <w:jc w:val="both"/>
              <w:rPr>
                <w:sz w:val="18"/>
              </w:rPr>
            </w:pPr>
            <w:r>
              <w:rPr>
                <w:sz w:val="18"/>
              </w:rPr>
              <w:t>Wet days post-Flowering [0–3.3d] AND Soil water pre-</w:t>
            </w:r>
            <w:r>
              <w:rPr>
                <w:sz w:val="18"/>
              </w:rPr>
              <w:t>Harvest </w:t>
            </w:r>
            <w:r>
              <w:rPr>
                <w:spacing w:val="-2"/>
                <w:sz w:val="18"/>
              </w:rPr>
              <w:t>[101–152</w:t>
            </w:r>
            <w:r>
              <w:rPr>
                <w:spacing w:val="-6"/>
                <w:sz w:val="18"/>
              </w:rPr>
              <w:t> </w:t>
            </w:r>
            <w:r>
              <w:rPr>
                <w:spacing w:val="-2"/>
                <w:sz w:val="18"/>
              </w:rPr>
              <w:t>mm]</w:t>
            </w:r>
            <w:r>
              <w:rPr>
                <w:spacing w:val="-6"/>
                <w:sz w:val="18"/>
              </w:rPr>
              <w:t> </w:t>
            </w:r>
            <w:r>
              <w:rPr>
                <w:spacing w:val="-2"/>
                <w:sz w:val="18"/>
              </w:rPr>
              <w:t>AND</w:t>
            </w:r>
            <w:r>
              <w:rPr>
                <w:spacing w:val="-6"/>
                <w:sz w:val="18"/>
              </w:rPr>
              <w:t> </w:t>
            </w:r>
            <w:r>
              <w:rPr>
                <w:spacing w:val="-2"/>
                <w:sz w:val="18"/>
              </w:rPr>
              <w:t>Wet</w:t>
            </w:r>
            <w:r>
              <w:rPr>
                <w:spacing w:val="-6"/>
                <w:sz w:val="18"/>
              </w:rPr>
              <w:t> </w:t>
            </w:r>
            <w:r>
              <w:rPr>
                <w:spacing w:val="-2"/>
                <w:sz w:val="18"/>
              </w:rPr>
              <w:t>days</w:t>
            </w:r>
            <w:r>
              <w:rPr>
                <w:spacing w:val="-6"/>
                <w:sz w:val="18"/>
              </w:rPr>
              <w:t> </w:t>
            </w:r>
            <w:r>
              <w:rPr>
                <w:spacing w:val="-2"/>
                <w:sz w:val="18"/>
              </w:rPr>
              <w:t>post-Maturity</w:t>
            </w:r>
            <w:r>
              <w:rPr>
                <w:spacing w:val="-6"/>
                <w:sz w:val="18"/>
              </w:rPr>
              <w:t> </w:t>
            </w:r>
            <w:r>
              <w:rPr>
                <w:spacing w:val="-2"/>
                <w:sz w:val="18"/>
              </w:rPr>
              <w:t>[0–3.5d]</w:t>
            </w:r>
            <w:r>
              <w:rPr>
                <w:spacing w:val="-6"/>
                <w:sz w:val="18"/>
              </w:rPr>
              <w:t> </w:t>
            </w:r>
            <w:r>
              <w:rPr>
                <w:spacing w:val="-2"/>
                <w:sz w:val="18"/>
              </w:rPr>
              <w:t>AND</w:t>
            </w:r>
            <w:r>
              <w:rPr>
                <w:spacing w:val="-6"/>
                <w:sz w:val="18"/>
              </w:rPr>
              <w:t> </w:t>
            </w:r>
            <w:r>
              <w:rPr>
                <w:spacing w:val="-2"/>
                <w:sz w:val="18"/>
              </w:rPr>
              <w:t>Cold </w:t>
            </w:r>
            <w:r>
              <w:rPr>
                <w:sz w:val="18"/>
              </w:rPr>
              <w:t>days pre-Harvest [0–2.0d]</w:t>
            </w:r>
          </w:p>
        </w:tc>
      </w:tr>
      <w:tr>
        <w:trPr>
          <w:trHeight w:val="877" w:hRule="atLeast"/>
        </w:trPr>
        <w:tc>
          <w:tcPr>
            <w:tcW w:w="470" w:type="dxa"/>
            <w:tcBorders>
              <w:right w:val="single" w:sz="4" w:space="0" w:color="000000"/>
            </w:tcBorders>
          </w:tcPr>
          <w:p>
            <w:pPr>
              <w:pStyle w:val="TableParagraph"/>
              <w:spacing w:before="62"/>
              <w:ind w:left="119"/>
              <w:rPr>
                <w:sz w:val="18"/>
              </w:rPr>
            </w:pPr>
            <w:r>
              <w:rPr>
                <w:spacing w:val="-5"/>
                <w:sz w:val="18"/>
              </w:rPr>
              <w:t>19</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22.5%</w:t>
            </w:r>
          </w:p>
          <w:p>
            <w:pPr>
              <w:pStyle w:val="TableParagraph"/>
              <w:spacing w:before="59"/>
              <w:ind w:left="112"/>
              <w:rPr>
                <w:sz w:val="18"/>
              </w:rPr>
            </w:pPr>
            <w:r>
              <w:rPr>
                <w:sz w:val="18"/>
              </w:rPr>
              <w:t>(</w:t>
            </w:r>
            <w:r>
              <w:rPr>
                <w:spacing w:val="-2"/>
                <w:sz w:val="18"/>
              </w:rPr>
              <w:t> 20yr)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0.0270</w:t>
            </w:r>
          </w:p>
        </w:tc>
        <w:tc>
          <w:tcPr>
            <w:tcW w:w="985" w:type="dxa"/>
            <w:tcBorders>
              <w:left w:val="single" w:sz="4" w:space="0" w:color="000000"/>
              <w:right w:val="single" w:sz="4" w:space="0" w:color="000000"/>
            </w:tcBorders>
          </w:tcPr>
          <w:p>
            <w:pPr>
              <w:pStyle w:val="TableParagraph"/>
              <w:spacing w:before="62"/>
              <w:ind w:left="117"/>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62"/>
              <w:ind w:left="116"/>
              <w:rPr>
                <w:sz w:val="18"/>
              </w:rPr>
            </w:pPr>
            <w:r>
              <w:rPr>
                <w:spacing w:val="-4"/>
                <w:sz w:val="18"/>
              </w:rPr>
              <w:t>+112</w:t>
            </w:r>
          </w:p>
        </w:tc>
        <w:tc>
          <w:tcPr>
            <w:tcW w:w="4892" w:type="dxa"/>
            <w:tcBorders>
              <w:left w:val="single" w:sz="4" w:space="0" w:color="000000"/>
            </w:tcBorders>
          </w:tcPr>
          <w:p>
            <w:pPr>
              <w:pStyle w:val="TableParagraph"/>
              <w:spacing w:line="307" w:lineRule="auto" w:before="62"/>
              <w:ind w:left="115" w:right="120"/>
              <w:jc w:val="both"/>
              <w:rPr>
                <w:sz w:val="18"/>
              </w:rPr>
            </w:pPr>
            <w:r>
              <w:rPr>
                <w:sz w:val="18"/>
              </w:rPr>
              <w:t>Wet days post-Flowering [0–3.3d] AND Soil water pre-</w:t>
            </w:r>
            <w:r>
              <w:rPr>
                <w:sz w:val="18"/>
              </w:rPr>
              <w:t>Harvest [74–231</w:t>
            </w:r>
            <w:r>
              <w:rPr>
                <w:spacing w:val="-3"/>
                <w:sz w:val="18"/>
              </w:rPr>
              <w:t> </w:t>
            </w:r>
            <w:r>
              <w:rPr>
                <w:sz w:val="18"/>
              </w:rPr>
              <w:t>mm]</w:t>
            </w:r>
            <w:r>
              <w:rPr>
                <w:spacing w:val="-4"/>
                <w:sz w:val="18"/>
              </w:rPr>
              <w:t> </w:t>
            </w:r>
            <w:r>
              <w:rPr>
                <w:sz w:val="18"/>
              </w:rPr>
              <w:t>AND</w:t>
            </w:r>
            <w:r>
              <w:rPr>
                <w:spacing w:val="-3"/>
                <w:sz w:val="18"/>
              </w:rPr>
              <w:t> </w:t>
            </w:r>
            <w:r>
              <w:rPr>
                <w:sz w:val="18"/>
              </w:rPr>
              <w:t>Heat</w:t>
            </w:r>
            <w:r>
              <w:rPr>
                <w:spacing w:val="-3"/>
                <w:sz w:val="18"/>
              </w:rPr>
              <w:t> </w:t>
            </w:r>
            <w:r>
              <w:rPr>
                <w:sz w:val="18"/>
              </w:rPr>
              <w:t>days</w:t>
            </w:r>
            <w:r>
              <w:rPr>
                <w:spacing w:val="-4"/>
                <w:sz w:val="18"/>
              </w:rPr>
              <w:t> </w:t>
            </w:r>
            <w:r>
              <w:rPr>
                <w:sz w:val="18"/>
              </w:rPr>
              <w:t>pre-Maturity</w:t>
            </w:r>
            <w:r>
              <w:rPr>
                <w:spacing w:val="-3"/>
                <w:sz w:val="18"/>
              </w:rPr>
              <w:t> </w:t>
            </w:r>
            <w:r>
              <w:rPr>
                <w:sz w:val="18"/>
              </w:rPr>
              <w:t>[0–3.7d]</w:t>
            </w:r>
            <w:r>
              <w:rPr>
                <w:spacing w:val="-3"/>
                <w:sz w:val="18"/>
              </w:rPr>
              <w:t> </w:t>
            </w:r>
            <w:r>
              <w:rPr>
                <w:sz w:val="18"/>
              </w:rPr>
              <w:t>AND</w:t>
            </w:r>
            <w:r>
              <w:rPr>
                <w:spacing w:val="-4"/>
                <w:sz w:val="18"/>
              </w:rPr>
              <w:t> </w:t>
            </w:r>
            <w:r>
              <w:rPr>
                <w:sz w:val="18"/>
              </w:rPr>
              <w:t>Cold days pre-Harvest [0–2.0d]</w:t>
            </w:r>
          </w:p>
        </w:tc>
      </w:tr>
      <w:tr>
        <w:trPr>
          <w:trHeight w:val="877" w:hRule="atLeast"/>
        </w:trPr>
        <w:tc>
          <w:tcPr>
            <w:tcW w:w="470" w:type="dxa"/>
            <w:tcBorders>
              <w:right w:val="single" w:sz="4" w:space="0" w:color="000000"/>
            </w:tcBorders>
          </w:tcPr>
          <w:p>
            <w:pPr>
              <w:pStyle w:val="TableParagraph"/>
              <w:spacing w:before="62"/>
              <w:ind w:left="119"/>
              <w:rPr>
                <w:sz w:val="18"/>
              </w:rPr>
            </w:pPr>
            <w:r>
              <w:rPr>
                <w:spacing w:val="-5"/>
                <w:sz w:val="18"/>
              </w:rPr>
              <w:t>20</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20.2%</w:t>
            </w:r>
          </w:p>
          <w:p>
            <w:pPr>
              <w:pStyle w:val="TableParagraph"/>
              <w:spacing w:before="59"/>
              <w:ind w:left="112"/>
              <w:rPr>
                <w:sz w:val="18"/>
              </w:rPr>
            </w:pPr>
            <w:r>
              <w:rPr>
                <w:sz w:val="18"/>
              </w:rPr>
              <w:t>(</w:t>
            </w:r>
            <w:r>
              <w:rPr>
                <w:spacing w:val="-2"/>
                <w:sz w:val="18"/>
              </w:rPr>
              <w:t> 18yr)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0.0290</w:t>
            </w:r>
          </w:p>
        </w:tc>
        <w:tc>
          <w:tcPr>
            <w:tcW w:w="985" w:type="dxa"/>
            <w:tcBorders>
              <w:left w:val="single" w:sz="4" w:space="0" w:color="000000"/>
              <w:right w:val="single" w:sz="4" w:space="0" w:color="000000"/>
            </w:tcBorders>
          </w:tcPr>
          <w:p>
            <w:pPr>
              <w:pStyle w:val="TableParagraph"/>
              <w:spacing w:before="62"/>
              <w:ind w:left="117"/>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62"/>
              <w:ind w:left="116"/>
              <w:rPr>
                <w:sz w:val="18"/>
              </w:rPr>
            </w:pPr>
            <w:r>
              <w:rPr>
                <w:spacing w:val="-4"/>
                <w:sz w:val="18"/>
              </w:rPr>
              <w:t>+115</w:t>
            </w:r>
          </w:p>
        </w:tc>
        <w:tc>
          <w:tcPr>
            <w:tcW w:w="4892" w:type="dxa"/>
            <w:tcBorders>
              <w:left w:val="single" w:sz="4" w:space="0" w:color="000000"/>
            </w:tcBorders>
          </w:tcPr>
          <w:p>
            <w:pPr>
              <w:pStyle w:val="TableParagraph"/>
              <w:spacing w:line="307" w:lineRule="auto" w:before="62"/>
              <w:ind w:left="115" w:right="120"/>
              <w:jc w:val="both"/>
              <w:rPr>
                <w:sz w:val="18"/>
              </w:rPr>
            </w:pPr>
            <w:r>
              <w:rPr>
                <w:sz w:val="18"/>
              </w:rPr>
              <w:t>Wet days post-Flowering [0–3.3d] AND Soil water pre-</w:t>
            </w:r>
            <w:r>
              <w:rPr>
                <w:sz w:val="18"/>
              </w:rPr>
              <w:t>Harvest [74–231</w:t>
            </w:r>
            <w:r>
              <w:rPr>
                <w:spacing w:val="-7"/>
                <w:sz w:val="18"/>
              </w:rPr>
              <w:t> </w:t>
            </w:r>
            <w:r>
              <w:rPr>
                <w:sz w:val="18"/>
              </w:rPr>
              <w:t>mm]</w:t>
            </w:r>
            <w:r>
              <w:rPr>
                <w:spacing w:val="-7"/>
                <w:sz w:val="18"/>
              </w:rPr>
              <w:t> </w:t>
            </w:r>
            <w:r>
              <w:rPr>
                <w:sz w:val="18"/>
              </w:rPr>
              <w:t>AND</w:t>
            </w:r>
            <w:r>
              <w:rPr>
                <w:spacing w:val="-7"/>
                <w:sz w:val="18"/>
              </w:rPr>
              <w:t> </w:t>
            </w:r>
            <w:r>
              <w:rPr>
                <w:sz w:val="18"/>
              </w:rPr>
              <w:t>Wet</w:t>
            </w:r>
            <w:r>
              <w:rPr>
                <w:spacing w:val="-7"/>
                <w:sz w:val="18"/>
              </w:rPr>
              <w:t> </w:t>
            </w:r>
            <w:r>
              <w:rPr>
                <w:sz w:val="18"/>
              </w:rPr>
              <w:t>days</w:t>
            </w:r>
            <w:r>
              <w:rPr>
                <w:spacing w:val="-7"/>
                <w:sz w:val="18"/>
              </w:rPr>
              <w:t> </w:t>
            </w:r>
            <w:r>
              <w:rPr>
                <w:sz w:val="18"/>
              </w:rPr>
              <w:t>post-Maturity</w:t>
            </w:r>
            <w:r>
              <w:rPr>
                <w:spacing w:val="-7"/>
                <w:sz w:val="18"/>
              </w:rPr>
              <w:t> </w:t>
            </w:r>
            <w:r>
              <w:rPr>
                <w:sz w:val="18"/>
              </w:rPr>
              <w:t>[0–3.5d]</w:t>
            </w:r>
            <w:r>
              <w:rPr>
                <w:spacing w:val="-7"/>
                <w:sz w:val="18"/>
              </w:rPr>
              <w:t> </w:t>
            </w:r>
            <w:r>
              <w:rPr>
                <w:sz w:val="18"/>
              </w:rPr>
              <w:t>AND</w:t>
            </w:r>
            <w:r>
              <w:rPr>
                <w:spacing w:val="-7"/>
                <w:sz w:val="18"/>
              </w:rPr>
              <w:t> </w:t>
            </w:r>
            <w:r>
              <w:rPr>
                <w:sz w:val="18"/>
              </w:rPr>
              <w:t>Cold days pre-Harvest [0–2.0d]</w:t>
            </w:r>
          </w:p>
        </w:tc>
      </w:tr>
      <w:tr>
        <w:trPr>
          <w:trHeight w:val="611" w:hRule="atLeast"/>
        </w:trPr>
        <w:tc>
          <w:tcPr>
            <w:tcW w:w="470" w:type="dxa"/>
            <w:tcBorders>
              <w:right w:val="single" w:sz="4" w:space="0" w:color="000000"/>
            </w:tcBorders>
          </w:tcPr>
          <w:p>
            <w:pPr>
              <w:pStyle w:val="TableParagraph"/>
              <w:spacing w:before="62"/>
              <w:ind w:left="119"/>
              <w:rPr>
                <w:sz w:val="18"/>
              </w:rPr>
            </w:pPr>
            <w:r>
              <w:rPr>
                <w:spacing w:val="-5"/>
                <w:sz w:val="18"/>
              </w:rPr>
              <w:t>21</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15.7%</w:t>
            </w:r>
          </w:p>
          <w:p>
            <w:pPr>
              <w:pStyle w:val="TableParagraph"/>
              <w:spacing w:before="59"/>
              <w:ind w:left="112"/>
              <w:rPr>
                <w:sz w:val="18"/>
              </w:rPr>
            </w:pPr>
            <w:r>
              <w:rPr>
                <w:sz w:val="18"/>
              </w:rPr>
              <w:t>(</w:t>
            </w:r>
            <w:r>
              <w:rPr>
                <w:spacing w:val="-2"/>
                <w:sz w:val="18"/>
              </w:rPr>
              <w:t> 14yr)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0.0310</w:t>
            </w:r>
          </w:p>
        </w:tc>
        <w:tc>
          <w:tcPr>
            <w:tcW w:w="985" w:type="dxa"/>
            <w:tcBorders>
              <w:left w:val="single" w:sz="4" w:space="0" w:color="000000"/>
              <w:right w:val="single" w:sz="4" w:space="0" w:color="000000"/>
            </w:tcBorders>
          </w:tcPr>
          <w:p>
            <w:pPr>
              <w:pStyle w:val="TableParagraph"/>
              <w:spacing w:before="62"/>
              <w:ind w:left="117"/>
              <w:rPr>
                <w:sz w:val="18"/>
              </w:rPr>
            </w:pPr>
            <w:r>
              <w:rPr>
                <w:spacing w:val="-2"/>
                <w:sz w:val="18"/>
              </w:rPr>
              <w:t>BELOW</w:t>
            </w:r>
          </w:p>
        </w:tc>
        <w:tc>
          <w:tcPr>
            <w:tcW w:w="1098" w:type="dxa"/>
            <w:tcBorders>
              <w:left w:val="single" w:sz="4" w:space="0" w:color="000000"/>
              <w:right w:val="single" w:sz="4" w:space="0" w:color="000000"/>
            </w:tcBorders>
          </w:tcPr>
          <w:p>
            <w:pPr>
              <w:pStyle w:val="TableParagraph"/>
              <w:spacing w:before="62"/>
              <w:ind w:left="116"/>
              <w:rPr>
                <w:sz w:val="18"/>
              </w:rPr>
            </w:pPr>
            <w:r>
              <w:rPr>
                <w:spacing w:val="-2"/>
                <w:sz w:val="18"/>
              </w:rPr>
              <w:t>-</w:t>
            </w:r>
            <w:r>
              <w:rPr>
                <w:spacing w:val="-5"/>
                <w:sz w:val="18"/>
              </w:rPr>
              <w:t>158</w:t>
            </w:r>
          </w:p>
        </w:tc>
        <w:tc>
          <w:tcPr>
            <w:tcW w:w="4892" w:type="dxa"/>
            <w:tcBorders>
              <w:left w:val="single" w:sz="4" w:space="0" w:color="000000"/>
            </w:tcBorders>
          </w:tcPr>
          <w:p>
            <w:pPr>
              <w:pStyle w:val="TableParagraph"/>
              <w:spacing w:line="260" w:lineRule="atLeast" w:before="9"/>
              <w:ind w:left="115"/>
              <w:rPr>
                <w:sz w:val="18"/>
              </w:rPr>
            </w:pPr>
            <w:r>
              <w:rPr>
                <w:sz w:val="18"/>
              </w:rPr>
              <w:t>LAI</w:t>
            </w:r>
            <w:r>
              <w:rPr>
                <w:spacing w:val="40"/>
                <w:sz w:val="18"/>
              </w:rPr>
              <w:t> </w:t>
            </w:r>
            <w:r>
              <w:rPr>
                <w:sz w:val="18"/>
              </w:rPr>
              <w:t>at</w:t>
            </w:r>
            <w:r>
              <w:rPr>
                <w:spacing w:val="40"/>
                <w:sz w:val="18"/>
              </w:rPr>
              <w:t> </w:t>
            </w:r>
            <w:r>
              <w:rPr>
                <w:sz w:val="18"/>
              </w:rPr>
              <w:t>Flowering</w:t>
            </w:r>
            <w:r>
              <w:rPr>
                <w:spacing w:val="40"/>
                <w:sz w:val="18"/>
              </w:rPr>
              <w:t> </w:t>
            </w:r>
            <w:r>
              <w:rPr>
                <w:sz w:val="18"/>
              </w:rPr>
              <w:t>[0.74–0.88</w:t>
            </w:r>
            <w:r>
              <w:rPr>
                <w:spacing w:val="40"/>
                <w:sz w:val="18"/>
              </w:rPr>
              <w:t> </w:t>
            </w:r>
            <w:r>
              <w:rPr>
                <w:sz w:val="18"/>
              </w:rPr>
              <w:t>m</w:t>
            </w:r>
            <w:r>
              <w:rPr>
                <w:sz w:val="18"/>
                <w:vertAlign w:val="superscript"/>
              </w:rPr>
              <w:t>2</w:t>
            </w:r>
            <w:r>
              <w:rPr>
                <w:sz w:val="18"/>
                <w:vertAlign w:val="baseline"/>
              </w:rPr>
              <w:t>/m</w:t>
            </w:r>
            <w:r>
              <w:rPr>
                <w:sz w:val="18"/>
                <w:vertAlign w:val="superscript"/>
              </w:rPr>
              <w:t>2</w:t>
            </w:r>
            <w:r>
              <w:rPr>
                <w:sz w:val="18"/>
                <w:vertAlign w:val="baseline"/>
              </w:rPr>
              <w:t>]</w:t>
            </w:r>
            <w:r>
              <w:rPr>
                <w:spacing w:val="40"/>
                <w:sz w:val="18"/>
                <w:vertAlign w:val="baseline"/>
              </w:rPr>
              <w:t> </w:t>
            </w:r>
            <w:r>
              <w:rPr>
                <w:sz w:val="18"/>
                <w:vertAlign w:val="baseline"/>
              </w:rPr>
              <w:t>AND</w:t>
            </w:r>
            <w:r>
              <w:rPr>
                <w:spacing w:val="40"/>
                <w:sz w:val="18"/>
                <w:vertAlign w:val="baseline"/>
              </w:rPr>
              <w:t> </w:t>
            </w:r>
            <w:r>
              <w:rPr>
                <w:sz w:val="18"/>
                <w:vertAlign w:val="baseline"/>
              </w:rPr>
              <w:t>Soil</w:t>
            </w:r>
            <w:r>
              <w:rPr>
                <w:spacing w:val="40"/>
                <w:sz w:val="18"/>
                <w:vertAlign w:val="baseline"/>
              </w:rPr>
              <w:t> </w:t>
            </w:r>
            <w:r>
              <w:rPr>
                <w:sz w:val="18"/>
                <w:vertAlign w:val="baseline"/>
              </w:rPr>
              <w:t>water</w:t>
            </w:r>
            <w:r>
              <w:rPr>
                <w:spacing w:val="40"/>
                <w:sz w:val="18"/>
                <w:vertAlign w:val="baseline"/>
              </w:rPr>
              <w:t> </w:t>
            </w:r>
            <w:r>
              <w:rPr>
                <w:sz w:val="18"/>
                <w:vertAlign w:val="baseline"/>
              </w:rPr>
              <w:t>post-Flowering [390–404 mm] AND Cold days pre-Harvest [0–2.0d]</w:t>
            </w:r>
          </w:p>
        </w:tc>
      </w:tr>
      <w:tr>
        <w:trPr>
          <w:trHeight w:val="611" w:hRule="atLeast"/>
        </w:trPr>
        <w:tc>
          <w:tcPr>
            <w:tcW w:w="470" w:type="dxa"/>
            <w:tcBorders>
              <w:right w:val="single" w:sz="4" w:space="0" w:color="000000"/>
            </w:tcBorders>
          </w:tcPr>
          <w:p>
            <w:pPr>
              <w:pStyle w:val="TableParagraph"/>
              <w:spacing w:before="62"/>
              <w:ind w:left="119"/>
              <w:rPr>
                <w:sz w:val="18"/>
              </w:rPr>
            </w:pPr>
            <w:r>
              <w:rPr>
                <w:spacing w:val="-5"/>
                <w:sz w:val="18"/>
              </w:rPr>
              <w:t>22</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22.5%</w:t>
            </w:r>
          </w:p>
          <w:p>
            <w:pPr>
              <w:pStyle w:val="TableParagraph"/>
              <w:spacing w:before="59"/>
              <w:ind w:left="112"/>
              <w:rPr>
                <w:sz w:val="18"/>
              </w:rPr>
            </w:pPr>
            <w:r>
              <w:rPr>
                <w:sz w:val="18"/>
              </w:rPr>
              <w:t>(</w:t>
            </w:r>
            <w:r>
              <w:rPr>
                <w:spacing w:val="-2"/>
                <w:sz w:val="18"/>
              </w:rPr>
              <w:t> 20yr)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0.0320</w:t>
            </w:r>
          </w:p>
        </w:tc>
        <w:tc>
          <w:tcPr>
            <w:tcW w:w="985" w:type="dxa"/>
            <w:tcBorders>
              <w:left w:val="single" w:sz="4" w:space="0" w:color="000000"/>
              <w:right w:val="single" w:sz="4" w:space="0" w:color="000000"/>
            </w:tcBorders>
          </w:tcPr>
          <w:p>
            <w:pPr>
              <w:pStyle w:val="TableParagraph"/>
              <w:spacing w:before="62"/>
              <w:ind w:left="117"/>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62"/>
              <w:ind w:left="116"/>
              <w:rPr>
                <w:sz w:val="18"/>
              </w:rPr>
            </w:pPr>
            <w:r>
              <w:rPr>
                <w:spacing w:val="-4"/>
                <w:sz w:val="18"/>
              </w:rPr>
              <w:t>+107</w:t>
            </w:r>
          </w:p>
        </w:tc>
        <w:tc>
          <w:tcPr>
            <w:tcW w:w="4892" w:type="dxa"/>
            <w:tcBorders>
              <w:left w:val="single" w:sz="4" w:space="0" w:color="000000"/>
            </w:tcBorders>
          </w:tcPr>
          <w:p>
            <w:pPr>
              <w:pStyle w:val="TableParagraph"/>
              <w:spacing w:line="260" w:lineRule="atLeast" w:before="9"/>
              <w:ind w:left="115"/>
              <w:rPr>
                <w:sz w:val="18"/>
              </w:rPr>
            </w:pPr>
            <w:r>
              <w:rPr>
                <w:sz w:val="18"/>
              </w:rPr>
              <w:t>Wet days post-Flowering [0–3.3d] AND Soil water pre-</w:t>
            </w:r>
            <w:r>
              <w:rPr>
                <w:sz w:val="18"/>
              </w:rPr>
              <w:t>Harvest [74–231 mm] AND Cold days pre-Harvest [0–2.0d]</w:t>
            </w:r>
          </w:p>
        </w:tc>
      </w:tr>
      <w:tr>
        <w:trPr>
          <w:trHeight w:val="611" w:hRule="atLeast"/>
        </w:trPr>
        <w:tc>
          <w:tcPr>
            <w:tcW w:w="470" w:type="dxa"/>
            <w:tcBorders>
              <w:right w:val="single" w:sz="4" w:space="0" w:color="000000"/>
            </w:tcBorders>
          </w:tcPr>
          <w:p>
            <w:pPr>
              <w:pStyle w:val="TableParagraph"/>
              <w:spacing w:before="62"/>
              <w:ind w:left="119"/>
              <w:rPr>
                <w:sz w:val="18"/>
              </w:rPr>
            </w:pPr>
            <w:r>
              <w:rPr>
                <w:spacing w:val="-5"/>
                <w:sz w:val="18"/>
              </w:rPr>
              <w:t>23</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19.1%</w:t>
            </w:r>
          </w:p>
          <w:p>
            <w:pPr>
              <w:pStyle w:val="TableParagraph"/>
              <w:spacing w:before="59"/>
              <w:ind w:left="112"/>
              <w:rPr>
                <w:sz w:val="18"/>
              </w:rPr>
            </w:pPr>
            <w:r>
              <w:rPr>
                <w:sz w:val="18"/>
              </w:rPr>
              <w:t>(</w:t>
            </w:r>
            <w:r>
              <w:rPr>
                <w:spacing w:val="-2"/>
                <w:sz w:val="18"/>
              </w:rPr>
              <w:t> 17yr)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0.0340</w:t>
            </w:r>
          </w:p>
        </w:tc>
        <w:tc>
          <w:tcPr>
            <w:tcW w:w="985" w:type="dxa"/>
            <w:tcBorders>
              <w:left w:val="single" w:sz="4" w:space="0" w:color="000000"/>
              <w:right w:val="single" w:sz="4" w:space="0" w:color="000000"/>
            </w:tcBorders>
          </w:tcPr>
          <w:p>
            <w:pPr>
              <w:pStyle w:val="TableParagraph"/>
              <w:spacing w:before="62"/>
              <w:ind w:left="117"/>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62"/>
              <w:ind w:left="116"/>
              <w:rPr>
                <w:sz w:val="18"/>
              </w:rPr>
            </w:pPr>
            <w:r>
              <w:rPr>
                <w:spacing w:val="-4"/>
                <w:sz w:val="18"/>
              </w:rPr>
              <w:t>+122</w:t>
            </w:r>
          </w:p>
        </w:tc>
        <w:tc>
          <w:tcPr>
            <w:tcW w:w="4892" w:type="dxa"/>
            <w:tcBorders>
              <w:left w:val="single" w:sz="4" w:space="0" w:color="000000"/>
            </w:tcBorders>
          </w:tcPr>
          <w:p>
            <w:pPr>
              <w:pStyle w:val="TableParagraph"/>
              <w:spacing w:line="260" w:lineRule="atLeast" w:before="9"/>
              <w:ind w:left="115"/>
              <w:rPr>
                <w:sz w:val="18"/>
              </w:rPr>
            </w:pPr>
            <w:r>
              <w:rPr>
                <w:spacing w:val="-2"/>
                <w:sz w:val="18"/>
              </w:rPr>
              <w:t>Soil</w:t>
            </w:r>
            <w:r>
              <w:rPr>
                <w:spacing w:val="-8"/>
                <w:sz w:val="18"/>
              </w:rPr>
              <w:t> </w:t>
            </w:r>
            <w:r>
              <w:rPr>
                <w:spacing w:val="-2"/>
                <w:sz w:val="18"/>
              </w:rPr>
              <w:t>water</w:t>
            </w:r>
            <w:r>
              <w:rPr>
                <w:spacing w:val="-8"/>
                <w:sz w:val="18"/>
              </w:rPr>
              <w:t> </w:t>
            </w:r>
            <w:r>
              <w:rPr>
                <w:spacing w:val="-2"/>
                <w:sz w:val="18"/>
              </w:rPr>
              <w:t>pre-Harvest</w:t>
            </w:r>
            <w:r>
              <w:rPr>
                <w:spacing w:val="-8"/>
                <w:sz w:val="18"/>
              </w:rPr>
              <w:t> </w:t>
            </w:r>
            <w:r>
              <w:rPr>
                <w:spacing w:val="-2"/>
                <w:sz w:val="18"/>
              </w:rPr>
              <w:t>[74–101</w:t>
            </w:r>
            <w:r>
              <w:rPr>
                <w:spacing w:val="-8"/>
                <w:sz w:val="18"/>
              </w:rPr>
              <w:t> </w:t>
            </w:r>
            <w:r>
              <w:rPr>
                <w:spacing w:val="-2"/>
                <w:sz w:val="18"/>
              </w:rPr>
              <w:t>mm]</w:t>
            </w:r>
            <w:r>
              <w:rPr>
                <w:spacing w:val="-8"/>
                <w:sz w:val="18"/>
              </w:rPr>
              <w:t> </w:t>
            </w:r>
            <w:r>
              <w:rPr>
                <w:spacing w:val="-2"/>
                <w:sz w:val="18"/>
              </w:rPr>
              <w:t>AND</w:t>
            </w:r>
            <w:r>
              <w:rPr>
                <w:spacing w:val="-8"/>
                <w:sz w:val="18"/>
              </w:rPr>
              <w:t> </w:t>
            </w:r>
            <w:r>
              <w:rPr>
                <w:spacing w:val="-2"/>
                <w:sz w:val="18"/>
              </w:rPr>
              <w:t>Wet</w:t>
            </w:r>
            <w:r>
              <w:rPr>
                <w:spacing w:val="-8"/>
                <w:sz w:val="18"/>
              </w:rPr>
              <w:t> </w:t>
            </w:r>
            <w:r>
              <w:rPr>
                <w:spacing w:val="-2"/>
                <w:sz w:val="18"/>
              </w:rPr>
              <w:t>days</w:t>
            </w:r>
            <w:r>
              <w:rPr>
                <w:spacing w:val="-8"/>
                <w:sz w:val="18"/>
              </w:rPr>
              <w:t> </w:t>
            </w:r>
            <w:r>
              <w:rPr>
                <w:spacing w:val="-2"/>
                <w:sz w:val="18"/>
              </w:rPr>
              <w:t>post-</w:t>
            </w:r>
            <w:r>
              <w:rPr>
                <w:spacing w:val="-2"/>
                <w:sz w:val="18"/>
              </w:rPr>
              <w:t>Harvest </w:t>
            </w:r>
            <w:r>
              <w:rPr>
                <w:sz w:val="18"/>
              </w:rPr>
              <w:t>prev.yr [0–2.3d]</w:t>
            </w:r>
          </w:p>
        </w:tc>
      </w:tr>
      <w:tr>
        <w:trPr>
          <w:trHeight w:val="901" w:hRule="atLeast"/>
        </w:trPr>
        <w:tc>
          <w:tcPr>
            <w:tcW w:w="470" w:type="dxa"/>
            <w:tcBorders>
              <w:bottom w:val="single" w:sz="6" w:space="0" w:color="000000"/>
              <w:right w:val="single" w:sz="4" w:space="0" w:color="000000"/>
            </w:tcBorders>
          </w:tcPr>
          <w:p>
            <w:pPr>
              <w:pStyle w:val="TableParagraph"/>
              <w:spacing w:before="62"/>
              <w:ind w:left="119"/>
              <w:rPr>
                <w:sz w:val="18"/>
              </w:rPr>
            </w:pPr>
            <w:r>
              <w:rPr>
                <w:spacing w:val="-5"/>
                <w:sz w:val="18"/>
              </w:rPr>
              <w:t>24</w:t>
            </w:r>
          </w:p>
        </w:tc>
        <w:tc>
          <w:tcPr>
            <w:tcW w:w="1098" w:type="dxa"/>
            <w:tcBorders>
              <w:left w:val="single" w:sz="4" w:space="0" w:color="000000"/>
              <w:bottom w:val="single" w:sz="6" w:space="0" w:color="000000"/>
              <w:right w:val="single" w:sz="4" w:space="0" w:color="000000"/>
            </w:tcBorders>
          </w:tcPr>
          <w:p>
            <w:pPr>
              <w:pStyle w:val="TableParagraph"/>
              <w:spacing w:before="62"/>
              <w:ind w:left="118"/>
              <w:rPr>
                <w:sz w:val="18"/>
              </w:rPr>
            </w:pPr>
            <w:r>
              <w:rPr>
                <w:spacing w:val="-2"/>
                <w:sz w:val="18"/>
              </w:rPr>
              <w:t>20.2%</w:t>
            </w:r>
          </w:p>
          <w:p>
            <w:pPr>
              <w:pStyle w:val="TableParagraph"/>
              <w:spacing w:before="59"/>
              <w:ind w:left="112"/>
              <w:rPr>
                <w:sz w:val="18"/>
              </w:rPr>
            </w:pPr>
            <w:r>
              <w:rPr>
                <w:sz w:val="18"/>
              </w:rPr>
              <w:t>(</w:t>
            </w:r>
            <w:r>
              <w:rPr>
                <w:spacing w:val="-2"/>
                <w:sz w:val="18"/>
              </w:rPr>
              <w:t> 18yr)</w:t>
            </w:r>
          </w:p>
        </w:tc>
        <w:tc>
          <w:tcPr>
            <w:tcW w:w="928" w:type="dxa"/>
            <w:tcBorders>
              <w:left w:val="single" w:sz="4" w:space="0" w:color="000000"/>
              <w:bottom w:val="single" w:sz="6" w:space="0" w:color="000000"/>
              <w:right w:val="single" w:sz="4" w:space="0" w:color="000000"/>
            </w:tcBorders>
          </w:tcPr>
          <w:p>
            <w:pPr>
              <w:pStyle w:val="TableParagraph"/>
              <w:spacing w:before="62"/>
              <w:ind w:left="117"/>
              <w:rPr>
                <w:sz w:val="18"/>
              </w:rPr>
            </w:pPr>
            <w:r>
              <w:rPr>
                <w:spacing w:val="-2"/>
                <w:sz w:val="18"/>
              </w:rPr>
              <w:t>0.0350</w:t>
            </w:r>
          </w:p>
        </w:tc>
        <w:tc>
          <w:tcPr>
            <w:tcW w:w="985" w:type="dxa"/>
            <w:tcBorders>
              <w:left w:val="single" w:sz="4" w:space="0" w:color="000000"/>
              <w:bottom w:val="single" w:sz="6" w:space="0" w:color="000000"/>
              <w:right w:val="single" w:sz="4" w:space="0" w:color="000000"/>
            </w:tcBorders>
          </w:tcPr>
          <w:p>
            <w:pPr>
              <w:pStyle w:val="TableParagraph"/>
              <w:spacing w:before="62"/>
              <w:ind w:left="117"/>
              <w:rPr>
                <w:sz w:val="18"/>
              </w:rPr>
            </w:pPr>
            <w:r>
              <w:rPr>
                <w:spacing w:val="-4"/>
                <w:sz w:val="18"/>
              </w:rPr>
              <w:t>ABOVE</w:t>
            </w:r>
          </w:p>
        </w:tc>
        <w:tc>
          <w:tcPr>
            <w:tcW w:w="1098" w:type="dxa"/>
            <w:tcBorders>
              <w:left w:val="single" w:sz="4" w:space="0" w:color="000000"/>
              <w:bottom w:val="single" w:sz="6" w:space="0" w:color="000000"/>
              <w:right w:val="single" w:sz="4" w:space="0" w:color="000000"/>
            </w:tcBorders>
          </w:tcPr>
          <w:p>
            <w:pPr>
              <w:pStyle w:val="TableParagraph"/>
              <w:spacing w:before="62"/>
              <w:ind w:left="116"/>
              <w:rPr>
                <w:sz w:val="18"/>
              </w:rPr>
            </w:pPr>
            <w:r>
              <w:rPr>
                <w:spacing w:val="-4"/>
                <w:sz w:val="18"/>
              </w:rPr>
              <w:t>+119</w:t>
            </w:r>
          </w:p>
        </w:tc>
        <w:tc>
          <w:tcPr>
            <w:tcW w:w="4892" w:type="dxa"/>
            <w:tcBorders>
              <w:left w:val="single" w:sz="4" w:space="0" w:color="000000"/>
              <w:bottom w:val="single" w:sz="6" w:space="0" w:color="000000"/>
            </w:tcBorders>
          </w:tcPr>
          <w:p>
            <w:pPr>
              <w:pStyle w:val="TableParagraph"/>
              <w:spacing w:line="307" w:lineRule="auto" w:before="62"/>
              <w:ind w:left="115" w:right="114"/>
              <w:jc w:val="both"/>
              <w:rPr>
                <w:sz w:val="18"/>
              </w:rPr>
            </w:pPr>
            <w:r>
              <w:rPr>
                <w:sz w:val="18"/>
              </w:rPr>
              <w:t>Wet</w:t>
            </w:r>
            <w:r>
              <w:rPr>
                <w:spacing w:val="-8"/>
                <w:sz w:val="18"/>
              </w:rPr>
              <w:t> </w:t>
            </w:r>
            <w:r>
              <w:rPr>
                <w:sz w:val="18"/>
              </w:rPr>
              <w:t>days</w:t>
            </w:r>
            <w:r>
              <w:rPr>
                <w:spacing w:val="-8"/>
                <w:sz w:val="18"/>
              </w:rPr>
              <w:t> </w:t>
            </w:r>
            <w:r>
              <w:rPr>
                <w:sz w:val="18"/>
              </w:rPr>
              <w:t>post-Flowering</w:t>
            </w:r>
            <w:r>
              <w:rPr>
                <w:spacing w:val="-8"/>
                <w:sz w:val="18"/>
              </w:rPr>
              <w:t> </w:t>
            </w:r>
            <w:r>
              <w:rPr>
                <w:sz w:val="18"/>
              </w:rPr>
              <w:t>[0–3.3d]</w:t>
            </w:r>
            <w:r>
              <w:rPr>
                <w:spacing w:val="-8"/>
                <w:sz w:val="18"/>
              </w:rPr>
              <w:t> </w:t>
            </w:r>
            <w:r>
              <w:rPr>
                <w:sz w:val="18"/>
              </w:rPr>
              <w:t>AND</w:t>
            </w:r>
            <w:r>
              <w:rPr>
                <w:spacing w:val="-8"/>
                <w:sz w:val="18"/>
              </w:rPr>
              <w:t> </w:t>
            </w:r>
            <w:r>
              <w:rPr>
                <w:sz w:val="18"/>
              </w:rPr>
              <w:t>Wet</w:t>
            </w:r>
            <w:r>
              <w:rPr>
                <w:spacing w:val="-8"/>
                <w:sz w:val="18"/>
              </w:rPr>
              <w:t> </w:t>
            </w:r>
            <w:r>
              <w:rPr>
                <w:sz w:val="18"/>
              </w:rPr>
              <w:t>days</w:t>
            </w:r>
            <w:r>
              <w:rPr>
                <w:spacing w:val="-8"/>
                <w:sz w:val="18"/>
              </w:rPr>
              <w:t> </w:t>
            </w:r>
            <w:r>
              <w:rPr>
                <w:sz w:val="18"/>
              </w:rPr>
              <w:t>post-</w:t>
            </w:r>
            <w:r>
              <w:rPr>
                <w:sz w:val="18"/>
              </w:rPr>
              <w:t>Maturity [0–3.5d] AND Soil water pre-Harvest [74–231 mm] AND Cold days pre-Harvest [0–2.0d]</w:t>
            </w:r>
          </w:p>
        </w:tc>
      </w:tr>
    </w:tbl>
    <w:p>
      <w:pPr>
        <w:spacing w:before="126"/>
        <w:ind w:left="0" w:right="712" w:firstLine="0"/>
        <w:jc w:val="right"/>
        <w:rPr>
          <w:i/>
          <w:sz w:val="20"/>
        </w:rPr>
      </w:pPr>
      <w:r>
        <w:rPr>
          <w:i/>
          <w:sz w:val="20"/>
        </w:rPr>
        <w:t>Continued</w:t>
      </w:r>
      <w:r>
        <w:rPr>
          <w:i/>
          <w:spacing w:val="-7"/>
          <w:sz w:val="20"/>
        </w:rPr>
        <w:t> </w:t>
      </w:r>
      <w:r>
        <w:rPr>
          <w:i/>
          <w:sz w:val="20"/>
        </w:rPr>
        <w:t>on</w:t>
      </w:r>
      <w:r>
        <w:rPr>
          <w:i/>
          <w:spacing w:val="-7"/>
          <w:sz w:val="20"/>
        </w:rPr>
        <w:t> </w:t>
      </w:r>
      <w:r>
        <w:rPr>
          <w:i/>
          <w:sz w:val="20"/>
        </w:rPr>
        <w:t>next</w:t>
      </w:r>
      <w:r>
        <w:rPr>
          <w:i/>
          <w:spacing w:val="-7"/>
          <w:sz w:val="20"/>
        </w:rPr>
        <w:t> </w:t>
      </w:r>
      <w:r>
        <w:rPr>
          <w:i/>
          <w:spacing w:val="-4"/>
          <w:sz w:val="20"/>
        </w:rPr>
        <w:t>page</w:t>
      </w:r>
    </w:p>
    <w:p>
      <w:pPr>
        <w:spacing w:after="0"/>
        <w:jc w:val="right"/>
        <w:rPr>
          <w:i/>
          <w:sz w:val="20"/>
        </w:rPr>
        <w:sectPr>
          <w:pgSz w:w="11910" w:h="16840"/>
          <w:pgMar w:header="1160" w:footer="0" w:top="1420" w:bottom="280" w:left="1275" w:right="425"/>
        </w:sectPr>
      </w:pPr>
    </w:p>
    <w:p>
      <w:pPr>
        <w:pStyle w:val="BodyText"/>
        <w:rPr>
          <w:i/>
          <w:sz w:val="20"/>
        </w:rPr>
      </w:pPr>
    </w:p>
    <w:p>
      <w:pPr>
        <w:pStyle w:val="BodyText"/>
        <w:spacing w:before="113"/>
        <w:rPr>
          <w:i/>
          <w:sz w:val="20"/>
        </w:rPr>
      </w:pPr>
    </w:p>
    <w:p>
      <w:pPr>
        <w:spacing w:before="0"/>
        <w:ind w:left="828" w:right="0" w:firstLine="0"/>
        <w:jc w:val="left"/>
        <w:rPr>
          <w:i/>
          <w:sz w:val="20"/>
        </w:rPr>
      </w:pPr>
      <w:r>
        <w:rPr>
          <w:i/>
          <w:spacing w:val="-2"/>
          <w:sz w:val="20"/>
        </w:rPr>
        <w:t>Table</w:t>
      </w:r>
      <w:r>
        <w:rPr>
          <w:i/>
          <w:spacing w:val="-7"/>
          <w:sz w:val="20"/>
        </w:rPr>
        <w:t> </w:t>
      </w:r>
      <w:r>
        <w:rPr>
          <w:i/>
          <w:spacing w:val="-2"/>
          <w:sz w:val="20"/>
        </w:rPr>
        <w:t>A.3</w:t>
      </w:r>
      <w:r>
        <w:rPr>
          <w:i/>
          <w:spacing w:val="-6"/>
          <w:sz w:val="20"/>
        </w:rPr>
        <w:t> </w:t>
      </w:r>
      <w:r>
        <w:rPr>
          <w:i/>
          <w:spacing w:val="-2"/>
          <w:sz w:val="20"/>
        </w:rPr>
        <w:t>continued</w:t>
      </w:r>
    </w:p>
    <w:p>
      <w:pPr>
        <w:pStyle w:val="BodyText"/>
        <w:spacing w:before="11"/>
        <w:rPr>
          <w:i/>
          <w:sz w:val="3"/>
        </w:rPr>
      </w:pPr>
      <w:r>
        <w:rPr>
          <w:i/>
          <w:sz w:val="3"/>
        </w:rPr>
        <mc:AlternateContent>
          <mc:Choice Requires="wps">
            <w:drawing>
              <wp:anchor distT="0" distB="0" distL="0" distR="0" allowOverlap="1" layoutInCell="1" locked="0" behindDoc="1" simplePos="0" relativeHeight="487633408">
                <wp:simplePos x="0" y="0"/>
                <wp:positionH relativeFrom="page">
                  <wp:posOffset>1260005</wp:posOffset>
                </wp:positionH>
                <wp:positionV relativeFrom="paragraph">
                  <wp:posOffset>44125</wp:posOffset>
                </wp:positionV>
                <wp:extent cx="6012815" cy="1270"/>
                <wp:effectExtent l="0" t="0" r="0" b="0"/>
                <wp:wrapTopAndBottom/>
                <wp:docPr id="253" name="Graphic 253"/>
                <wp:cNvGraphicFramePr>
                  <a:graphicFrameLocks/>
                </wp:cNvGraphicFramePr>
                <a:graphic>
                  <a:graphicData uri="http://schemas.microsoft.com/office/word/2010/wordprocessingShape">
                    <wps:wsp>
                      <wps:cNvPr id="253" name="Graphic 253"/>
                      <wps:cNvSpPr/>
                      <wps:spPr>
                        <a:xfrm>
                          <a:off x="0" y="0"/>
                          <a:ext cx="6012815" cy="1270"/>
                        </a:xfrm>
                        <a:custGeom>
                          <a:avLst/>
                          <a:gdLst/>
                          <a:ahLst/>
                          <a:cxnLst/>
                          <a:rect l="l" t="t" r="r" b="b"/>
                          <a:pathLst>
                            <a:path w="6012815" h="0">
                              <a:moveTo>
                                <a:pt x="0" y="0"/>
                              </a:moveTo>
                              <a:lnTo>
                                <a:pt x="601228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3.474473pt;width:473.45pt;height:.1pt;mso-position-horizontal-relative:page;mso-position-vertical-relative:paragraph;z-index:-15683072;mso-wrap-distance-left:0;mso-wrap-distance-right:0" id="docshape217" coordorigin="1984,69" coordsize="9469,0" path="m1984,69l11452,69e" filled="false" stroked="true" strokeweight=".868pt" strokecolor="#000000">
                <v:path arrowok="t"/>
                <v:stroke dashstyle="solid"/>
                <w10:wrap type="topAndBottom"/>
              </v:shape>
            </w:pict>
          </mc:Fallback>
        </mc:AlternateContent>
      </w:r>
    </w:p>
    <w:p>
      <w:pPr>
        <w:pStyle w:val="BodyText"/>
        <w:spacing w:before="9"/>
        <w:rPr>
          <w:i/>
          <w:sz w:val="4"/>
        </w:rPr>
      </w:pPr>
    </w:p>
    <w:tbl>
      <w:tblPr>
        <w:tblW w:w="0" w:type="auto"/>
        <w:jc w:val="left"/>
        <w:tblInd w:w="7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70"/>
        <w:gridCol w:w="1098"/>
        <w:gridCol w:w="928"/>
        <w:gridCol w:w="985"/>
        <w:gridCol w:w="1098"/>
        <w:gridCol w:w="4892"/>
      </w:tblGrid>
      <w:tr>
        <w:trPr>
          <w:trHeight w:val="646" w:hRule="atLeast"/>
        </w:trPr>
        <w:tc>
          <w:tcPr>
            <w:tcW w:w="470" w:type="dxa"/>
            <w:tcBorders>
              <w:top w:val="nil"/>
              <w:left w:val="nil"/>
              <w:right w:val="single" w:sz="4" w:space="0" w:color="000000"/>
            </w:tcBorders>
          </w:tcPr>
          <w:p>
            <w:pPr>
              <w:pStyle w:val="TableParagraph"/>
              <w:spacing w:before="74"/>
              <w:ind w:left="119"/>
              <w:rPr>
                <w:sz w:val="18"/>
              </w:rPr>
            </w:pPr>
            <w:r>
              <w:rPr>
                <w:spacing w:val="-10"/>
                <w:sz w:val="18"/>
              </w:rPr>
              <w:t>#</w:t>
            </w:r>
          </w:p>
        </w:tc>
        <w:tc>
          <w:tcPr>
            <w:tcW w:w="1098" w:type="dxa"/>
            <w:tcBorders>
              <w:top w:val="nil"/>
              <w:left w:val="single" w:sz="4" w:space="0" w:color="000000"/>
              <w:right w:val="single" w:sz="4" w:space="0" w:color="000000"/>
            </w:tcBorders>
          </w:tcPr>
          <w:p>
            <w:pPr>
              <w:pStyle w:val="TableParagraph"/>
              <w:spacing w:before="74"/>
              <w:ind w:left="118"/>
              <w:rPr>
                <w:sz w:val="18"/>
              </w:rPr>
            </w:pPr>
            <w:r>
              <w:rPr>
                <w:spacing w:val="-2"/>
                <w:sz w:val="18"/>
              </w:rPr>
              <w:t>Support</w:t>
            </w:r>
          </w:p>
        </w:tc>
        <w:tc>
          <w:tcPr>
            <w:tcW w:w="928" w:type="dxa"/>
            <w:tcBorders>
              <w:top w:val="nil"/>
              <w:left w:val="single" w:sz="4" w:space="0" w:color="000000"/>
              <w:right w:val="single" w:sz="4" w:space="0" w:color="000000"/>
            </w:tcBorders>
          </w:tcPr>
          <w:p>
            <w:pPr>
              <w:pStyle w:val="TableParagraph"/>
              <w:spacing w:before="74"/>
              <w:ind w:left="117"/>
              <w:rPr>
                <w:sz w:val="18"/>
              </w:rPr>
            </w:pPr>
            <w:r>
              <w:rPr>
                <w:spacing w:val="-2"/>
                <w:sz w:val="18"/>
              </w:rPr>
              <w:t>p-value</w:t>
            </w:r>
          </w:p>
        </w:tc>
        <w:tc>
          <w:tcPr>
            <w:tcW w:w="985" w:type="dxa"/>
            <w:tcBorders>
              <w:top w:val="nil"/>
              <w:left w:val="single" w:sz="4" w:space="0" w:color="000000"/>
              <w:right w:val="single" w:sz="4" w:space="0" w:color="000000"/>
            </w:tcBorders>
          </w:tcPr>
          <w:p>
            <w:pPr>
              <w:pStyle w:val="TableParagraph"/>
              <w:spacing w:before="74"/>
              <w:ind w:left="117"/>
              <w:rPr>
                <w:sz w:val="18"/>
              </w:rPr>
            </w:pPr>
            <w:r>
              <w:rPr>
                <w:spacing w:val="-2"/>
                <w:sz w:val="18"/>
              </w:rPr>
              <w:t>Direction</w:t>
            </w:r>
          </w:p>
        </w:tc>
        <w:tc>
          <w:tcPr>
            <w:tcW w:w="1098" w:type="dxa"/>
            <w:tcBorders>
              <w:top w:val="nil"/>
              <w:left w:val="single" w:sz="4" w:space="0" w:color="000000"/>
              <w:right w:val="single" w:sz="4" w:space="0" w:color="000000"/>
            </w:tcBorders>
          </w:tcPr>
          <w:p>
            <w:pPr>
              <w:pStyle w:val="TableParagraph"/>
              <w:tabs>
                <w:tab w:pos="856" w:val="left" w:leader="none"/>
              </w:tabs>
              <w:spacing w:before="70"/>
              <w:ind w:left="116"/>
              <w:rPr>
                <w:rFonts w:ascii="Calibri" w:hAnsi="Calibri"/>
                <w:sz w:val="18"/>
              </w:rPr>
            </w:pPr>
            <w:r>
              <w:rPr>
                <w:spacing w:val="-4"/>
                <w:w w:val="105"/>
                <w:sz w:val="18"/>
              </w:rPr>
              <w:t>Mean</w:t>
            </w:r>
            <w:r>
              <w:rPr>
                <w:sz w:val="18"/>
              </w:rPr>
              <w:tab/>
            </w:r>
            <w:r>
              <w:rPr>
                <w:rFonts w:ascii="Calibri" w:hAnsi="Calibri"/>
                <w:spacing w:val="-10"/>
                <w:w w:val="105"/>
                <w:sz w:val="18"/>
              </w:rPr>
              <w:t>∆</w:t>
            </w:r>
          </w:p>
          <w:p>
            <w:pPr>
              <w:pStyle w:val="TableParagraph"/>
              <w:spacing w:before="50"/>
              <w:ind w:left="110"/>
              <w:rPr>
                <w:sz w:val="18"/>
              </w:rPr>
            </w:pPr>
            <w:r>
              <w:rPr>
                <w:spacing w:val="-2"/>
                <w:sz w:val="18"/>
              </w:rPr>
              <w:t>(mhl)</w:t>
            </w:r>
          </w:p>
        </w:tc>
        <w:tc>
          <w:tcPr>
            <w:tcW w:w="4892" w:type="dxa"/>
            <w:tcBorders>
              <w:top w:val="nil"/>
              <w:left w:val="single" w:sz="4" w:space="0" w:color="000000"/>
              <w:right w:val="nil"/>
            </w:tcBorders>
          </w:tcPr>
          <w:p>
            <w:pPr>
              <w:pStyle w:val="TableParagraph"/>
              <w:spacing w:before="74"/>
              <w:ind w:left="115"/>
              <w:rPr>
                <w:sz w:val="18"/>
              </w:rPr>
            </w:pPr>
            <w:r>
              <w:rPr>
                <w:sz w:val="18"/>
              </w:rPr>
              <w:t>Conditions</w:t>
            </w:r>
            <w:r>
              <w:rPr>
                <w:spacing w:val="-9"/>
                <w:sz w:val="18"/>
              </w:rPr>
              <w:t> </w:t>
            </w:r>
            <w:r>
              <w:rPr>
                <w:spacing w:val="-2"/>
                <w:sz w:val="18"/>
              </w:rPr>
              <w:t>(abbreviated)</w:t>
            </w:r>
          </w:p>
        </w:tc>
      </w:tr>
    </w:tbl>
    <w:p>
      <w:pPr>
        <w:pStyle w:val="BodyText"/>
        <w:spacing w:before="3"/>
        <w:rPr>
          <w:i/>
          <w:sz w:val="5"/>
        </w:rPr>
      </w:pPr>
    </w:p>
    <w:tbl>
      <w:tblPr>
        <w:tblW w:w="0" w:type="auto"/>
        <w:jc w:val="left"/>
        <w:tblInd w:w="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0"/>
        <w:gridCol w:w="1098"/>
        <w:gridCol w:w="928"/>
        <w:gridCol w:w="985"/>
        <w:gridCol w:w="1098"/>
        <w:gridCol w:w="4892"/>
      </w:tblGrid>
      <w:tr>
        <w:trPr>
          <w:trHeight w:val="622" w:hRule="atLeast"/>
        </w:trPr>
        <w:tc>
          <w:tcPr>
            <w:tcW w:w="470" w:type="dxa"/>
            <w:tcBorders>
              <w:right w:val="single" w:sz="4" w:space="0" w:color="000000"/>
            </w:tcBorders>
          </w:tcPr>
          <w:p>
            <w:pPr>
              <w:pStyle w:val="TableParagraph"/>
              <w:spacing w:before="74"/>
              <w:ind w:right="44"/>
              <w:jc w:val="center"/>
              <w:rPr>
                <w:sz w:val="18"/>
              </w:rPr>
            </w:pPr>
            <w:r>
              <w:rPr>
                <w:spacing w:val="-5"/>
                <w:sz w:val="18"/>
              </w:rPr>
              <w:t>25</w:t>
            </w:r>
          </w:p>
        </w:tc>
        <w:tc>
          <w:tcPr>
            <w:tcW w:w="1098" w:type="dxa"/>
            <w:tcBorders>
              <w:left w:val="single" w:sz="4" w:space="0" w:color="000000"/>
              <w:right w:val="single" w:sz="4" w:space="0" w:color="000000"/>
            </w:tcBorders>
          </w:tcPr>
          <w:p>
            <w:pPr>
              <w:pStyle w:val="TableParagraph"/>
              <w:spacing w:before="74"/>
              <w:ind w:left="118"/>
              <w:rPr>
                <w:sz w:val="18"/>
              </w:rPr>
            </w:pPr>
            <w:r>
              <w:rPr>
                <w:spacing w:val="-2"/>
                <w:sz w:val="18"/>
              </w:rPr>
              <w:t>21.3%</w:t>
            </w:r>
          </w:p>
          <w:p>
            <w:pPr>
              <w:pStyle w:val="TableParagraph"/>
              <w:spacing w:before="58"/>
              <w:ind w:left="112"/>
              <w:rPr>
                <w:sz w:val="18"/>
              </w:rPr>
            </w:pPr>
            <w:r>
              <w:rPr>
                <w:sz w:val="18"/>
              </w:rPr>
              <w:t>(</w:t>
            </w:r>
            <w:r>
              <w:rPr>
                <w:spacing w:val="-2"/>
                <w:sz w:val="18"/>
              </w:rPr>
              <w:t> 19yr)</w:t>
            </w:r>
          </w:p>
        </w:tc>
        <w:tc>
          <w:tcPr>
            <w:tcW w:w="928" w:type="dxa"/>
            <w:tcBorders>
              <w:left w:val="single" w:sz="4" w:space="0" w:color="000000"/>
              <w:right w:val="single" w:sz="4" w:space="0" w:color="000000"/>
            </w:tcBorders>
          </w:tcPr>
          <w:p>
            <w:pPr>
              <w:pStyle w:val="TableParagraph"/>
              <w:spacing w:before="74"/>
              <w:ind w:left="117"/>
              <w:rPr>
                <w:sz w:val="18"/>
              </w:rPr>
            </w:pPr>
            <w:r>
              <w:rPr>
                <w:spacing w:val="-2"/>
                <w:sz w:val="18"/>
              </w:rPr>
              <w:t>0.0370</w:t>
            </w:r>
          </w:p>
        </w:tc>
        <w:tc>
          <w:tcPr>
            <w:tcW w:w="985" w:type="dxa"/>
            <w:tcBorders>
              <w:left w:val="single" w:sz="4" w:space="0" w:color="000000"/>
              <w:right w:val="single" w:sz="4" w:space="0" w:color="000000"/>
            </w:tcBorders>
          </w:tcPr>
          <w:p>
            <w:pPr>
              <w:pStyle w:val="TableParagraph"/>
              <w:spacing w:before="74"/>
              <w:ind w:right="129"/>
              <w:jc w:val="center"/>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74"/>
              <w:ind w:left="116"/>
              <w:rPr>
                <w:sz w:val="18"/>
              </w:rPr>
            </w:pPr>
            <w:r>
              <w:rPr>
                <w:spacing w:val="-4"/>
                <w:sz w:val="18"/>
              </w:rPr>
              <w:t>+113</w:t>
            </w:r>
          </w:p>
        </w:tc>
        <w:tc>
          <w:tcPr>
            <w:tcW w:w="4892" w:type="dxa"/>
            <w:tcBorders>
              <w:left w:val="single" w:sz="4" w:space="0" w:color="000000"/>
            </w:tcBorders>
          </w:tcPr>
          <w:p>
            <w:pPr>
              <w:pStyle w:val="TableParagraph"/>
              <w:spacing w:line="260" w:lineRule="atLeast" w:before="21"/>
              <w:ind w:left="115"/>
              <w:rPr>
                <w:sz w:val="18"/>
              </w:rPr>
            </w:pPr>
            <w:r>
              <w:rPr>
                <w:sz w:val="18"/>
              </w:rPr>
              <w:t>Wet days post-Flowering [0–3.3d] AND Cold days pre-</w:t>
            </w:r>
            <w:r>
              <w:rPr>
                <w:sz w:val="18"/>
              </w:rPr>
              <w:t>Harvest </w:t>
            </w:r>
            <w:r>
              <w:rPr>
                <w:spacing w:val="-2"/>
                <w:sz w:val="18"/>
              </w:rPr>
              <w:t>[0–2.0d]</w:t>
            </w:r>
          </w:p>
        </w:tc>
      </w:tr>
      <w:tr>
        <w:trPr>
          <w:trHeight w:val="877" w:hRule="atLeast"/>
        </w:trPr>
        <w:tc>
          <w:tcPr>
            <w:tcW w:w="470" w:type="dxa"/>
            <w:tcBorders>
              <w:right w:val="single" w:sz="4" w:space="0" w:color="000000"/>
            </w:tcBorders>
          </w:tcPr>
          <w:p>
            <w:pPr>
              <w:pStyle w:val="TableParagraph"/>
              <w:spacing w:before="62"/>
              <w:ind w:right="44"/>
              <w:jc w:val="center"/>
              <w:rPr>
                <w:sz w:val="18"/>
              </w:rPr>
            </w:pPr>
            <w:r>
              <w:rPr>
                <w:spacing w:val="-5"/>
                <w:sz w:val="18"/>
              </w:rPr>
              <w:t>26</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18.0%</w:t>
            </w:r>
          </w:p>
          <w:p>
            <w:pPr>
              <w:pStyle w:val="TableParagraph"/>
              <w:spacing w:before="59"/>
              <w:ind w:left="112"/>
              <w:rPr>
                <w:sz w:val="18"/>
              </w:rPr>
            </w:pPr>
            <w:r>
              <w:rPr>
                <w:sz w:val="18"/>
              </w:rPr>
              <w:t>(</w:t>
            </w:r>
            <w:r>
              <w:rPr>
                <w:spacing w:val="-2"/>
                <w:sz w:val="18"/>
              </w:rPr>
              <w:t> 16yr)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0.0380</w:t>
            </w:r>
          </w:p>
        </w:tc>
        <w:tc>
          <w:tcPr>
            <w:tcW w:w="985" w:type="dxa"/>
            <w:tcBorders>
              <w:left w:val="single" w:sz="4" w:space="0" w:color="000000"/>
              <w:right w:val="single" w:sz="4" w:space="0" w:color="000000"/>
            </w:tcBorders>
          </w:tcPr>
          <w:p>
            <w:pPr>
              <w:pStyle w:val="TableParagraph"/>
              <w:spacing w:before="62"/>
              <w:ind w:right="129"/>
              <w:jc w:val="center"/>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62"/>
              <w:ind w:left="116"/>
              <w:rPr>
                <w:sz w:val="18"/>
              </w:rPr>
            </w:pPr>
            <w:r>
              <w:rPr>
                <w:spacing w:val="-4"/>
                <w:sz w:val="18"/>
              </w:rPr>
              <w:t>+117</w:t>
            </w:r>
          </w:p>
        </w:tc>
        <w:tc>
          <w:tcPr>
            <w:tcW w:w="4892" w:type="dxa"/>
            <w:tcBorders>
              <w:left w:val="single" w:sz="4" w:space="0" w:color="000000"/>
            </w:tcBorders>
          </w:tcPr>
          <w:p>
            <w:pPr>
              <w:pStyle w:val="TableParagraph"/>
              <w:spacing w:line="307" w:lineRule="auto" w:before="62"/>
              <w:ind w:left="115" w:right="120"/>
              <w:jc w:val="both"/>
              <w:rPr>
                <w:sz w:val="18"/>
              </w:rPr>
            </w:pPr>
            <w:r>
              <w:rPr>
                <w:sz w:val="18"/>
              </w:rPr>
              <w:t>Wet days post-Flowering [0–3.3d] AND Soil water pre-</w:t>
            </w:r>
            <w:r>
              <w:rPr>
                <w:sz w:val="18"/>
              </w:rPr>
              <w:t>Harvest [101–152</w:t>
            </w:r>
            <w:r>
              <w:rPr>
                <w:spacing w:val="-12"/>
                <w:sz w:val="18"/>
              </w:rPr>
              <w:t> </w:t>
            </w:r>
            <w:r>
              <w:rPr>
                <w:sz w:val="18"/>
              </w:rPr>
              <w:t>mm]</w:t>
            </w:r>
            <w:r>
              <w:rPr>
                <w:spacing w:val="-11"/>
                <w:sz w:val="18"/>
              </w:rPr>
              <w:t> </w:t>
            </w:r>
            <w:r>
              <w:rPr>
                <w:sz w:val="18"/>
              </w:rPr>
              <w:t>AND</w:t>
            </w:r>
            <w:r>
              <w:rPr>
                <w:spacing w:val="-11"/>
                <w:sz w:val="18"/>
              </w:rPr>
              <w:t> </w:t>
            </w:r>
            <w:r>
              <w:rPr>
                <w:sz w:val="18"/>
              </w:rPr>
              <w:t>Heat</w:t>
            </w:r>
            <w:r>
              <w:rPr>
                <w:spacing w:val="-11"/>
                <w:sz w:val="18"/>
              </w:rPr>
              <w:t> </w:t>
            </w:r>
            <w:r>
              <w:rPr>
                <w:sz w:val="18"/>
              </w:rPr>
              <w:t>days</w:t>
            </w:r>
            <w:r>
              <w:rPr>
                <w:spacing w:val="-12"/>
                <w:sz w:val="18"/>
              </w:rPr>
              <w:t> </w:t>
            </w:r>
            <w:r>
              <w:rPr>
                <w:sz w:val="18"/>
              </w:rPr>
              <w:t>pre-Maturity</w:t>
            </w:r>
            <w:r>
              <w:rPr>
                <w:spacing w:val="-11"/>
                <w:sz w:val="18"/>
              </w:rPr>
              <w:t> </w:t>
            </w:r>
            <w:r>
              <w:rPr>
                <w:sz w:val="18"/>
              </w:rPr>
              <w:t>[0–3.7d]</w:t>
            </w:r>
            <w:r>
              <w:rPr>
                <w:spacing w:val="-11"/>
                <w:sz w:val="18"/>
              </w:rPr>
              <w:t> </w:t>
            </w:r>
            <w:r>
              <w:rPr>
                <w:sz w:val="18"/>
              </w:rPr>
              <w:t>AND</w:t>
            </w:r>
            <w:r>
              <w:rPr>
                <w:spacing w:val="-11"/>
                <w:sz w:val="18"/>
              </w:rPr>
              <w:t> </w:t>
            </w:r>
            <w:r>
              <w:rPr>
                <w:sz w:val="18"/>
              </w:rPr>
              <w:t>Cold days pre-Harvest [0–2.0d]</w:t>
            </w:r>
          </w:p>
        </w:tc>
      </w:tr>
      <w:tr>
        <w:trPr>
          <w:trHeight w:val="611" w:hRule="atLeast"/>
        </w:trPr>
        <w:tc>
          <w:tcPr>
            <w:tcW w:w="470" w:type="dxa"/>
            <w:tcBorders>
              <w:right w:val="single" w:sz="4" w:space="0" w:color="000000"/>
            </w:tcBorders>
          </w:tcPr>
          <w:p>
            <w:pPr>
              <w:pStyle w:val="TableParagraph"/>
              <w:spacing w:before="62"/>
              <w:ind w:right="44"/>
              <w:jc w:val="center"/>
              <w:rPr>
                <w:sz w:val="18"/>
              </w:rPr>
            </w:pPr>
            <w:r>
              <w:rPr>
                <w:spacing w:val="-5"/>
                <w:sz w:val="18"/>
              </w:rPr>
              <w:t>27</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19.1%</w:t>
            </w:r>
          </w:p>
          <w:p>
            <w:pPr>
              <w:pStyle w:val="TableParagraph"/>
              <w:spacing w:before="59"/>
              <w:ind w:left="112"/>
              <w:rPr>
                <w:sz w:val="18"/>
              </w:rPr>
            </w:pPr>
            <w:r>
              <w:rPr>
                <w:sz w:val="18"/>
              </w:rPr>
              <w:t>(</w:t>
            </w:r>
            <w:r>
              <w:rPr>
                <w:spacing w:val="-2"/>
                <w:sz w:val="18"/>
              </w:rPr>
              <w:t> 17yr)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0.0400</w:t>
            </w:r>
          </w:p>
        </w:tc>
        <w:tc>
          <w:tcPr>
            <w:tcW w:w="985" w:type="dxa"/>
            <w:tcBorders>
              <w:left w:val="single" w:sz="4" w:space="0" w:color="000000"/>
              <w:right w:val="single" w:sz="4" w:space="0" w:color="000000"/>
            </w:tcBorders>
          </w:tcPr>
          <w:p>
            <w:pPr>
              <w:pStyle w:val="TableParagraph"/>
              <w:spacing w:before="62"/>
              <w:ind w:right="129"/>
              <w:jc w:val="center"/>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62"/>
              <w:ind w:left="116"/>
              <w:rPr>
                <w:sz w:val="18"/>
              </w:rPr>
            </w:pPr>
            <w:r>
              <w:rPr>
                <w:spacing w:val="-4"/>
                <w:sz w:val="18"/>
              </w:rPr>
              <w:t>+116</w:t>
            </w:r>
          </w:p>
        </w:tc>
        <w:tc>
          <w:tcPr>
            <w:tcW w:w="4892" w:type="dxa"/>
            <w:tcBorders>
              <w:left w:val="single" w:sz="4" w:space="0" w:color="000000"/>
            </w:tcBorders>
          </w:tcPr>
          <w:p>
            <w:pPr>
              <w:pStyle w:val="TableParagraph"/>
              <w:spacing w:line="260" w:lineRule="atLeast" w:before="9"/>
              <w:ind w:left="115"/>
              <w:rPr>
                <w:sz w:val="18"/>
              </w:rPr>
            </w:pPr>
            <w:r>
              <w:rPr>
                <w:sz w:val="18"/>
              </w:rPr>
              <w:t>Wet days post-Flowering [0–3.3d] AND Soil water pre-</w:t>
            </w:r>
            <w:r>
              <w:rPr>
                <w:sz w:val="18"/>
              </w:rPr>
              <w:t>Harvest [101–231 mm] AND Cold days pre-Harvest [0–2.0d]</w:t>
            </w:r>
          </w:p>
        </w:tc>
      </w:tr>
      <w:tr>
        <w:trPr>
          <w:trHeight w:val="611" w:hRule="atLeast"/>
        </w:trPr>
        <w:tc>
          <w:tcPr>
            <w:tcW w:w="470" w:type="dxa"/>
            <w:tcBorders>
              <w:right w:val="single" w:sz="4" w:space="0" w:color="000000"/>
            </w:tcBorders>
          </w:tcPr>
          <w:p>
            <w:pPr>
              <w:pStyle w:val="TableParagraph"/>
              <w:spacing w:before="62"/>
              <w:ind w:right="44"/>
              <w:jc w:val="center"/>
              <w:rPr>
                <w:sz w:val="18"/>
              </w:rPr>
            </w:pPr>
            <w:r>
              <w:rPr>
                <w:spacing w:val="-5"/>
                <w:sz w:val="18"/>
              </w:rPr>
              <w:t>28</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19.1%</w:t>
            </w:r>
          </w:p>
          <w:p>
            <w:pPr>
              <w:pStyle w:val="TableParagraph"/>
              <w:spacing w:before="59"/>
              <w:ind w:left="112"/>
              <w:rPr>
                <w:sz w:val="18"/>
              </w:rPr>
            </w:pPr>
            <w:r>
              <w:rPr>
                <w:sz w:val="18"/>
              </w:rPr>
              <w:t>(</w:t>
            </w:r>
            <w:r>
              <w:rPr>
                <w:spacing w:val="-2"/>
                <w:sz w:val="18"/>
              </w:rPr>
              <w:t> 17yr)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0.0410</w:t>
            </w:r>
          </w:p>
        </w:tc>
        <w:tc>
          <w:tcPr>
            <w:tcW w:w="985" w:type="dxa"/>
            <w:tcBorders>
              <w:left w:val="single" w:sz="4" w:space="0" w:color="000000"/>
              <w:right w:val="single" w:sz="4" w:space="0" w:color="000000"/>
            </w:tcBorders>
          </w:tcPr>
          <w:p>
            <w:pPr>
              <w:pStyle w:val="TableParagraph"/>
              <w:spacing w:before="62"/>
              <w:ind w:right="129"/>
              <w:jc w:val="center"/>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62"/>
              <w:ind w:left="116"/>
              <w:rPr>
                <w:sz w:val="18"/>
              </w:rPr>
            </w:pPr>
            <w:r>
              <w:rPr>
                <w:spacing w:val="-4"/>
                <w:sz w:val="18"/>
              </w:rPr>
              <w:t>+121</w:t>
            </w:r>
          </w:p>
        </w:tc>
        <w:tc>
          <w:tcPr>
            <w:tcW w:w="4892" w:type="dxa"/>
            <w:tcBorders>
              <w:left w:val="single" w:sz="4" w:space="0" w:color="000000"/>
            </w:tcBorders>
          </w:tcPr>
          <w:p>
            <w:pPr>
              <w:pStyle w:val="TableParagraph"/>
              <w:spacing w:line="260" w:lineRule="atLeast" w:before="9"/>
              <w:ind w:left="115"/>
              <w:rPr>
                <w:sz w:val="18"/>
              </w:rPr>
            </w:pPr>
            <w:r>
              <w:rPr>
                <w:sz w:val="18"/>
              </w:rPr>
              <w:t>Wet days post-Flowering [0–3.3d] AND Soil water pre-</w:t>
            </w:r>
            <w:r>
              <w:rPr>
                <w:sz w:val="18"/>
              </w:rPr>
              <w:t>Harvest [101–152 mm] AND Cold days pre-Harvest [0–2.0d]</w:t>
            </w:r>
          </w:p>
        </w:tc>
      </w:tr>
      <w:tr>
        <w:trPr>
          <w:trHeight w:val="611" w:hRule="atLeast"/>
        </w:trPr>
        <w:tc>
          <w:tcPr>
            <w:tcW w:w="470" w:type="dxa"/>
            <w:tcBorders>
              <w:right w:val="single" w:sz="4" w:space="0" w:color="000000"/>
            </w:tcBorders>
          </w:tcPr>
          <w:p>
            <w:pPr>
              <w:pStyle w:val="TableParagraph"/>
              <w:spacing w:before="62"/>
              <w:ind w:right="44"/>
              <w:jc w:val="center"/>
              <w:rPr>
                <w:sz w:val="18"/>
              </w:rPr>
            </w:pPr>
            <w:r>
              <w:rPr>
                <w:spacing w:val="-5"/>
                <w:sz w:val="18"/>
              </w:rPr>
              <w:t>29</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16.9%</w:t>
            </w:r>
          </w:p>
          <w:p>
            <w:pPr>
              <w:pStyle w:val="TableParagraph"/>
              <w:spacing w:before="59"/>
              <w:ind w:left="112"/>
              <w:rPr>
                <w:sz w:val="18"/>
              </w:rPr>
            </w:pPr>
            <w:r>
              <w:rPr>
                <w:sz w:val="18"/>
              </w:rPr>
              <w:t>(</w:t>
            </w:r>
            <w:r>
              <w:rPr>
                <w:spacing w:val="-2"/>
                <w:sz w:val="18"/>
              </w:rPr>
              <w:t> 15yr)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0.0430</w:t>
            </w:r>
          </w:p>
        </w:tc>
        <w:tc>
          <w:tcPr>
            <w:tcW w:w="985" w:type="dxa"/>
            <w:tcBorders>
              <w:left w:val="single" w:sz="4" w:space="0" w:color="000000"/>
              <w:right w:val="single" w:sz="4" w:space="0" w:color="000000"/>
            </w:tcBorders>
          </w:tcPr>
          <w:p>
            <w:pPr>
              <w:pStyle w:val="TableParagraph"/>
              <w:spacing w:before="62"/>
              <w:ind w:right="129"/>
              <w:jc w:val="center"/>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62"/>
              <w:ind w:left="116"/>
              <w:rPr>
                <w:sz w:val="18"/>
              </w:rPr>
            </w:pPr>
            <w:r>
              <w:rPr>
                <w:spacing w:val="-4"/>
                <w:sz w:val="18"/>
              </w:rPr>
              <w:t>+133</w:t>
            </w:r>
          </w:p>
        </w:tc>
        <w:tc>
          <w:tcPr>
            <w:tcW w:w="4892" w:type="dxa"/>
            <w:tcBorders>
              <w:left w:val="single" w:sz="4" w:space="0" w:color="000000"/>
            </w:tcBorders>
          </w:tcPr>
          <w:p>
            <w:pPr>
              <w:pStyle w:val="TableParagraph"/>
              <w:spacing w:line="260" w:lineRule="atLeast" w:before="9"/>
              <w:ind w:left="115"/>
              <w:rPr>
                <w:sz w:val="18"/>
              </w:rPr>
            </w:pPr>
            <w:r>
              <w:rPr>
                <w:sz w:val="18"/>
              </w:rPr>
              <w:t>Wet</w:t>
            </w:r>
            <w:r>
              <w:rPr>
                <w:spacing w:val="-8"/>
                <w:sz w:val="18"/>
              </w:rPr>
              <w:t> </w:t>
            </w:r>
            <w:r>
              <w:rPr>
                <w:sz w:val="18"/>
              </w:rPr>
              <w:t>days</w:t>
            </w:r>
            <w:r>
              <w:rPr>
                <w:spacing w:val="-8"/>
                <w:sz w:val="18"/>
              </w:rPr>
              <w:t> </w:t>
            </w:r>
            <w:r>
              <w:rPr>
                <w:sz w:val="18"/>
              </w:rPr>
              <w:t>post-Flowering</w:t>
            </w:r>
            <w:r>
              <w:rPr>
                <w:spacing w:val="-8"/>
                <w:sz w:val="18"/>
              </w:rPr>
              <w:t> </w:t>
            </w:r>
            <w:r>
              <w:rPr>
                <w:sz w:val="18"/>
              </w:rPr>
              <w:t>[0–3.3d]</w:t>
            </w:r>
            <w:r>
              <w:rPr>
                <w:spacing w:val="-8"/>
                <w:sz w:val="18"/>
              </w:rPr>
              <w:t> </w:t>
            </w:r>
            <w:r>
              <w:rPr>
                <w:sz w:val="18"/>
              </w:rPr>
              <w:t>AND</w:t>
            </w:r>
            <w:r>
              <w:rPr>
                <w:spacing w:val="-8"/>
                <w:sz w:val="18"/>
              </w:rPr>
              <w:t> </w:t>
            </w:r>
            <w:r>
              <w:rPr>
                <w:sz w:val="18"/>
              </w:rPr>
              <w:t>Wet</w:t>
            </w:r>
            <w:r>
              <w:rPr>
                <w:spacing w:val="-8"/>
                <w:sz w:val="18"/>
              </w:rPr>
              <w:t> </w:t>
            </w:r>
            <w:r>
              <w:rPr>
                <w:sz w:val="18"/>
              </w:rPr>
              <w:t>days</w:t>
            </w:r>
            <w:r>
              <w:rPr>
                <w:spacing w:val="-8"/>
                <w:sz w:val="18"/>
              </w:rPr>
              <w:t> </w:t>
            </w:r>
            <w:r>
              <w:rPr>
                <w:sz w:val="18"/>
              </w:rPr>
              <w:t>post-</w:t>
            </w:r>
            <w:r>
              <w:rPr>
                <w:sz w:val="18"/>
              </w:rPr>
              <w:t>Maturity [0–3.5d] AND Soil water pre-Harvest [101–231 mm]</w:t>
            </w:r>
          </w:p>
        </w:tc>
      </w:tr>
      <w:tr>
        <w:trPr>
          <w:trHeight w:val="611" w:hRule="atLeast"/>
        </w:trPr>
        <w:tc>
          <w:tcPr>
            <w:tcW w:w="470" w:type="dxa"/>
            <w:tcBorders>
              <w:right w:val="single" w:sz="4" w:space="0" w:color="000000"/>
            </w:tcBorders>
          </w:tcPr>
          <w:p>
            <w:pPr>
              <w:pStyle w:val="TableParagraph"/>
              <w:spacing w:before="62"/>
              <w:ind w:right="44"/>
              <w:jc w:val="center"/>
              <w:rPr>
                <w:sz w:val="18"/>
              </w:rPr>
            </w:pPr>
            <w:r>
              <w:rPr>
                <w:spacing w:val="-5"/>
                <w:sz w:val="18"/>
              </w:rPr>
              <w:t>30</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19.1%</w:t>
            </w:r>
          </w:p>
          <w:p>
            <w:pPr>
              <w:pStyle w:val="TableParagraph"/>
              <w:spacing w:before="59"/>
              <w:ind w:left="112"/>
              <w:rPr>
                <w:sz w:val="18"/>
              </w:rPr>
            </w:pPr>
            <w:r>
              <w:rPr>
                <w:sz w:val="18"/>
              </w:rPr>
              <w:t>(</w:t>
            </w:r>
            <w:r>
              <w:rPr>
                <w:spacing w:val="-2"/>
                <w:sz w:val="18"/>
              </w:rPr>
              <w:t> 17yr)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0.0440</w:t>
            </w:r>
          </w:p>
        </w:tc>
        <w:tc>
          <w:tcPr>
            <w:tcW w:w="985" w:type="dxa"/>
            <w:tcBorders>
              <w:left w:val="single" w:sz="4" w:space="0" w:color="000000"/>
              <w:right w:val="single" w:sz="4" w:space="0" w:color="000000"/>
            </w:tcBorders>
          </w:tcPr>
          <w:p>
            <w:pPr>
              <w:pStyle w:val="TableParagraph"/>
              <w:spacing w:before="62"/>
              <w:ind w:right="129"/>
              <w:jc w:val="center"/>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62"/>
              <w:ind w:left="116"/>
              <w:rPr>
                <w:sz w:val="18"/>
              </w:rPr>
            </w:pPr>
            <w:r>
              <w:rPr>
                <w:spacing w:val="-4"/>
                <w:sz w:val="18"/>
              </w:rPr>
              <w:t>+116</w:t>
            </w:r>
          </w:p>
        </w:tc>
        <w:tc>
          <w:tcPr>
            <w:tcW w:w="4892" w:type="dxa"/>
            <w:tcBorders>
              <w:left w:val="single" w:sz="4" w:space="0" w:color="000000"/>
            </w:tcBorders>
          </w:tcPr>
          <w:p>
            <w:pPr>
              <w:pStyle w:val="TableParagraph"/>
              <w:spacing w:line="260" w:lineRule="atLeast" w:before="9"/>
              <w:ind w:left="115"/>
              <w:rPr>
                <w:sz w:val="18"/>
              </w:rPr>
            </w:pPr>
            <w:r>
              <w:rPr>
                <w:sz w:val="18"/>
              </w:rPr>
              <w:t>Wet</w:t>
            </w:r>
            <w:r>
              <w:rPr>
                <w:spacing w:val="-8"/>
                <w:sz w:val="18"/>
              </w:rPr>
              <w:t> </w:t>
            </w:r>
            <w:r>
              <w:rPr>
                <w:sz w:val="18"/>
              </w:rPr>
              <w:t>days</w:t>
            </w:r>
            <w:r>
              <w:rPr>
                <w:spacing w:val="-8"/>
                <w:sz w:val="18"/>
              </w:rPr>
              <w:t> </w:t>
            </w:r>
            <w:r>
              <w:rPr>
                <w:sz w:val="18"/>
              </w:rPr>
              <w:t>post-Flowering</w:t>
            </w:r>
            <w:r>
              <w:rPr>
                <w:spacing w:val="-8"/>
                <w:sz w:val="18"/>
              </w:rPr>
              <w:t> </w:t>
            </w:r>
            <w:r>
              <w:rPr>
                <w:sz w:val="18"/>
              </w:rPr>
              <w:t>[0–3.3d]</w:t>
            </w:r>
            <w:r>
              <w:rPr>
                <w:spacing w:val="-8"/>
                <w:sz w:val="18"/>
              </w:rPr>
              <w:t> </w:t>
            </w:r>
            <w:r>
              <w:rPr>
                <w:sz w:val="18"/>
              </w:rPr>
              <w:t>AND</w:t>
            </w:r>
            <w:r>
              <w:rPr>
                <w:spacing w:val="-8"/>
                <w:sz w:val="18"/>
              </w:rPr>
              <w:t> </w:t>
            </w:r>
            <w:r>
              <w:rPr>
                <w:sz w:val="18"/>
              </w:rPr>
              <w:t>Wet</w:t>
            </w:r>
            <w:r>
              <w:rPr>
                <w:spacing w:val="-8"/>
                <w:sz w:val="18"/>
              </w:rPr>
              <w:t> </w:t>
            </w:r>
            <w:r>
              <w:rPr>
                <w:sz w:val="18"/>
              </w:rPr>
              <w:t>days</w:t>
            </w:r>
            <w:r>
              <w:rPr>
                <w:spacing w:val="-8"/>
                <w:sz w:val="18"/>
              </w:rPr>
              <w:t> </w:t>
            </w:r>
            <w:r>
              <w:rPr>
                <w:sz w:val="18"/>
              </w:rPr>
              <w:t>post-</w:t>
            </w:r>
            <w:r>
              <w:rPr>
                <w:sz w:val="18"/>
              </w:rPr>
              <w:t>Maturity [0–3.5d] AND Cold days pre-Harvest [0–2.0d]</w:t>
            </w:r>
          </w:p>
        </w:tc>
      </w:tr>
      <w:tr>
        <w:trPr>
          <w:trHeight w:val="611" w:hRule="atLeast"/>
        </w:trPr>
        <w:tc>
          <w:tcPr>
            <w:tcW w:w="470" w:type="dxa"/>
            <w:tcBorders>
              <w:right w:val="single" w:sz="4" w:space="0" w:color="000000"/>
            </w:tcBorders>
          </w:tcPr>
          <w:p>
            <w:pPr>
              <w:pStyle w:val="TableParagraph"/>
              <w:spacing w:before="62"/>
              <w:ind w:right="44"/>
              <w:jc w:val="center"/>
              <w:rPr>
                <w:sz w:val="18"/>
              </w:rPr>
            </w:pPr>
            <w:r>
              <w:rPr>
                <w:spacing w:val="-5"/>
                <w:sz w:val="18"/>
              </w:rPr>
              <w:t>31</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19.1%</w:t>
            </w:r>
          </w:p>
          <w:p>
            <w:pPr>
              <w:pStyle w:val="TableParagraph"/>
              <w:spacing w:before="59"/>
              <w:ind w:left="112"/>
              <w:rPr>
                <w:sz w:val="18"/>
              </w:rPr>
            </w:pPr>
            <w:r>
              <w:rPr>
                <w:sz w:val="18"/>
              </w:rPr>
              <w:t>(</w:t>
            </w:r>
            <w:r>
              <w:rPr>
                <w:spacing w:val="-2"/>
                <w:sz w:val="18"/>
              </w:rPr>
              <w:t> 17yr)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0.0450</w:t>
            </w:r>
          </w:p>
        </w:tc>
        <w:tc>
          <w:tcPr>
            <w:tcW w:w="985" w:type="dxa"/>
            <w:tcBorders>
              <w:left w:val="single" w:sz="4" w:space="0" w:color="000000"/>
              <w:right w:val="single" w:sz="4" w:space="0" w:color="000000"/>
            </w:tcBorders>
          </w:tcPr>
          <w:p>
            <w:pPr>
              <w:pStyle w:val="TableParagraph"/>
              <w:spacing w:before="62"/>
              <w:ind w:right="129"/>
              <w:jc w:val="center"/>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62"/>
              <w:ind w:left="116"/>
              <w:rPr>
                <w:sz w:val="18"/>
              </w:rPr>
            </w:pPr>
            <w:r>
              <w:rPr>
                <w:spacing w:val="-4"/>
                <w:sz w:val="18"/>
              </w:rPr>
              <w:t>+122</w:t>
            </w:r>
          </w:p>
        </w:tc>
        <w:tc>
          <w:tcPr>
            <w:tcW w:w="4892" w:type="dxa"/>
            <w:tcBorders>
              <w:left w:val="single" w:sz="4" w:space="0" w:color="000000"/>
            </w:tcBorders>
          </w:tcPr>
          <w:p>
            <w:pPr>
              <w:pStyle w:val="TableParagraph"/>
              <w:spacing w:line="260" w:lineRule="atLeast" w:before="9"/>
              <w:ind w:left="115"/>
              <w:rPr>
                <w:sz w:val="18"/>
              </w:rPr>
            </w:pPr>
            <w:r>
              <w:rPr>
                <w:spacing w:val="-4"/>
                <w:sz w:val="18"/>
              </w:rPr>
              <w:t>Soil water pre-Harvest [74–101 mm] AND Wet days post-</w:t>
            </w:r>
            <w:r>
              <w:rPr>
                <w:spacing w:val="-4"/>
                <w:sz w:val="18"/>
              </w:rPr>
              <w:t>Maturity </w:t>
            </w:r>
            <w:r>
              <w:rPr>
                <w:sz w:val="18"/>
              </w:rPr>
              <w:t>[0–3.5d] AND Heat days pre-Maturity [0–3.7d]</w:t>
            </w:r>
          </w:p>
        </w:tc>
      </w:tr>
      <w:tr>
        <w:trPr>
          <w:trHeight w:val="877" w:hRule="atLeast"/>
        </w:trPr>
        <w:tc>
          <w:tcPr>
            <w:tcW w:w="470" w:type="dxa"/>
            <w:tcBorders>
              <w:right w:val="single" w:sz="4" w:space="0" w:color="000000"/>
            </w:tcBorders>
          </w:tcPr>
          <w:p>
            <w:pPr>
              <w:pStyle w:val="TableParagraph"/>
              <w:spacing w:before="62"/>
              <w:ind w:right="44"/>
              <w:jc w:val="center"/>
              <w:rPr>
                <w:sz w:val="18"/>
              </w:rPr>
            </w:pPr>
            <w:r>
              <w:rPr>
                <w:spacing w:val="-5"/>
                <w:sz w:val="18"/>
              </w:rPr>
              <w:t>32</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16.9%</w:t>
            </w:r>
          </w:p>
          <w:p>
            <w:pPr>
              <w:pStyle w:val="TableParagraph"/>
              <w:spacing w:before="59"/>
              <w:ind w:left="112"/>
              <w:rPr>
                <w:sz w:val="18"/>
              </w:rPr>
            </w:pPr>
            <w:r>
              <w:rPr>
                <w:sz w:val="18"/>
              </w:rPr>
              <w:t>(</w:t>
            </w:r>
            <w:r>
              <w:rPr>
                <w:spacing w:val="-2"/>
                <w:sz w:val="18"/>
              </w:rPr>
              <w:t> 15yr)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0.0470</w:t>
            </w:r>
          </w:p>
        </w:tc>
        <w:tc>
          <w:tcPr>
            <w:tcW w:w="985" w:type="dxa"/>
            <w:tcBorders>
              <w:left w:val="single" w:sz="4" w:space="0" w:color="000000"/>
              <w:right w:val="single" w:sz="4" w:space="0" w:color="000000"/>
            </w:tcBorders>
          </w:tcPr>
          <w:p>
            <w:pPr>
              <w:pStyle w:val="TableParagraph"/>
              <w:spacing w:before="62"/>
              <w:ind w:right="129"/>
              <w:jc w:val="center"/>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62"/>
              <w:ind w:left="116"/>
              <w:rPr>
                <w:sz w:val="18"/>
              </w:rPr>
            </w:pPr>
            <w:r>
              <w:rPr>
                <w:spacing w:val="-4"/>
                <w:sz w:val="18"/>
              </w:rPr>
              <w:t>+130</w:t>
            </w:r>
          </w:p>
        </w:tc>
        <w:tc>
          <w:tcPr>
            <w:tcW w:w="4892" w:type="dxa"/>
            <w:tcBorders>
              <w:left w:val="single" w:sz="4" w:space="0" w:color="000000"/>
            </w:tcBorders>
          </w:tcPr>
          <w:p>
            <w:pPr>
              <w:pStyle w:val="TableParagraph"/>
              <w:spacing w:line="307" w:lineRule="auto" w:before="62"/>
              <w:ind w:left="115" w:right="114"/>
              <w:jc w:val="both"/>
              <w:rPr>
                <w:sz w:val="18"/>
              </w:rPr>
            </w:pPr>
            <w:r>
              <w:rPr>
                <w:spacing w:val="-4"/>
                <w:sz w:val="18"/>
              </w:rPr>
              <w:t>Soil water pre-Harvest [74–101 mm] AND Wet days post-</w:t>
            </w:r>
            <w:r>
              <w:rPr>
                <w:spacing w:val="-4"/>
                <w:sz w:val="18"/>
              </w:rPr>
              <w:t>Maturity </w:t>
            </w:r>
            <w:r>
              <w:rPr>
                <w:sz w:val="18"/>
              </w:rPr>
              <w:t>[0–3.5d]</w:t>
            </w:r>
            <w:r>
              <w:rPr>
                <w:spacing w:val="-2"/>
                <w:sz w:val="18"/>
              </w:rPr>
              <w:t> </w:t>
            </w:r>
            <w:r>
              <w:rPr>
                <w:sz w:val="18"/>
              </w:rPr>
              <w:t>AND</w:t>
            </w:r>
            <w:r>
              <w:rPr>
                <w:spacing w:val="-2"/>
                <w:sz w:val="18"/>
              </w:rPr>
              <w:t> </w:t>
            </w:r>
            <w:r>
              <w:rPr>
                <w:sz w:val="18"/>
              </w:rPr>
              <w:t>Heat</w:t>
            </w:r>
            <w:r>
              <w:rPr>
                <w:spacing w:val="-2"/>
                <w:sz w:val="18"/>
              </w:rPr>
              <w:t> </w:t>
            </w:r>
            <w:r>
              <w:rPr>
                <w:sz w:val="18"/>
              </w:rPr>
              <w:t>days</w:t>
            </w:r>
            <w:r>
              <w:rPr>
                <w:spacing w:val="-2"/>
                <w:sz w:val="18"/>
              </w:rPr>
              <w:t> </w:t>
            </w:r>
            <w:r>
              <w:rPr>
                <w:sz w:val="18"/>
              </w:rPr>
              <w:t>pre-Maturity</w:t>
            </w:r>
            <w:r>
              <w:rPr>
                <w:spacing w:val="-2"/>
                <w:sz w:val="18"/>
              </w:rPr>
              <w:t> </w:t>
            </w:r>
            <w:r>
              <w:rPr>
                <w:sz w:val="18"/>
              </w:rPr>
              <w:t>[0–3.7d]</w:t>
            </w:r>
            <w:r>
              <w:rPr>
                <w:spacing w:val="-2"/>
                <w:sz w:val="18"/>
              </w:rPr>
              <w:t> </w:t>
            </w:r>
            <w:r>
              <w:rPr>
                <w:sz w:val="18"/>
              </w:rPr>
              <w:t>AND</w:t>
            </w:r>
            <w:r>
              <w:rPr>
                <w:spacing w:val="-2"/>
                <w:sz w:val="18"/>
              </w:rPr>
              <w:t> </w:t>
            </w:r>
            <w:r>
              <w:rPr>
                <w:sz w:val="18"/>
              </w:rPr>
              <w:t>Heat</w:t>
            </w:r>
            <w:r>
              <w:rPr>
                <w:spacing w:val="-2"/>
                <w:sz w:val="18"/>
              </w:rPr>
              <w:t> </w:t>
            </w:r>
            <w:r>
              <w:rPr>
                <w:sz w:val="18"/>
              </w:rPr>
              <w:t>days post-Flowering [0–0.6d]</w:t>
            </w:r>
          </w:p>
        </w:tc>
      </w:tr>
      <w:tr>
        <w:trPr>
          <w:trHeight w:val="611" w:hRule="atLeast"/>
        </w:trPr>
        <w:tc>
          <w:tcPr>
            <w:tcW w:w="470" w:type="dxa"/>
            <w:tcBorders>
              <w:right w:val="single" w:sz="4" w:space="0" w:color="000000"/>
            </w:tcBorders>
          </w:tcPr>
          <w:p>
            <w:pPr>
              <w:pStyle w:val="TableParagraph"/>
              <w:spacing w:before="62"/>
              <w:ind w:right="44"/>
              <w:jc w:val="center"/>
              <w:rPr>
                <w:sz w:val="18"/>
              </w:rPr>
            </w:pPr>
            <w:r>
              <w:rPr>
                <w:spacing w:val="-5"/>
                <w:sz w:val="18"/>
              </w:rPr>
              <w:t>33</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18.0%</w:t>
            </w:r>
          </w:p>
          <w:p>
            <w:pPr>
              <w:pStyle w:val="TableParagraph"/>
              <w:spacing w:before="59"/>
              <w:ind w:left="112"/>
              <w:rPr>
                <w:sz w:val="18"/>
              </w:rPr>
            </w:pPr>
            <w:r>
              <w:rPr>
                <w:sz w:val="18"/>
              </w:rPr>
              <w:t>(</w:t>
            </w:r>
            <w:r>
              <w:rPr>
                <w:spacing w:val="-2"/>
                <w:sz w:val="18"/>
              </w:rPr>
              <w:t> 16yr)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0.0480</w:t>
            </w:r>
          </w:p>
        </w:tc>
        <w:tc>
          <w:tcPr>
            <w:tcW w:w="985" w:type="dxa"/>
            <w:tcBorders>
              <w:left w:val="single" w:sz="4" w:space="0" w:color="000000"/>
              <w:right w:val="single" w:sz="4" w:space="0" w:color="000000"/>
            </w:tcBorders>
          </w:tcPr>
          <w:p>
            <w:pPr>
              <w:pStyle w:val="TableParagraph"/>
              <w:spacing w:before="62"/>
              <w:ind w:right="129"/>
              <w:jc w:val="center"/>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62"/>
              <w:ind w:left="116"/>
              <w:rPr>
                <w:sz w:val="18"/>
              </w:rPr>
            </w:pPr>
            <w:r>
              <w:rPr>
                <w:spacing w:val="-4"/>
                <w:sz w:val="18"/>
              </w:rPr>
              <w:t>+121</w:t>
            </w:r>
          </w:p>
        </w:tc>
        <w:tc>
          <w:tcPr>
            <w:tcW w:w="4892" w:type="dxa"/>
            <w:tcBorders>
              <w:left w:val="single" w:sz="4" w:space="0" w:color="000000"/>
            </w:tcBorders>
          </w:tcPr>
          <w:p>
            <w:pPr>
              <w:pStyle w:val="TableParagraph"/>
              <w:spacing w:line="260" w:lineRule="atLeast" w:before="9"/>
              <w:ind w:left="115"/>
              <w:rPr>
                <w:sz w:val="18"/>
              </w:rPr>
            </w:pPr>
            <w:r>
              <w:rPr>
                <w:spacing w:val="-4"/>
                <w:sz w:val="18"/>
              </w:rPr>
              <w:t>Soil water pre-Harvest [74–101 mm] AND Wet days post-</w:t>
            </w:r>
            <w:r>
              <w:rPr>
                <w:spacing w:val="-4"/>
                <w:sz w:val="18"/>
              </w:rPr>
              <w:t>Maturity </w:t>
            </w:r>
            <w:r>
              <w:rPr>
                <w:sz w:val="18"/>
              </w:rPr>
              <w:t>[0–3.5d] AND Heat days post-Flowering [0–0.6d]</w:t>
            </w:r>
          </w:p>
        </w:tc>
      </w:tr>
      <w:tr>
        <w:trPr>
          <w:trHeight w:val="611" w:hRule="atLeast"/>
        </w:trPr>
        <w:tc>
          <w:tcPr>
            <w:tcW w:w="470" w:type="dxa"/>
            <w:tcBorders>
              <w:right w:val="single" w:sz="4" w:space="0" w:color="000000"/>
            </w:tcBorders>
          </w:tcPr>
          <w:p>
            <w:pPr>
              <w:pStyle w:val="TableParagraph"/>
              <w:spacing w:before="62"/>
              <w:ind w:right="44"/>
              <w:jc w:val="center"/>
              <w:rPr>
                <w:sz w:val="18"/>
              </w:rPr>
            </w:pPr>
            <w:r>
              <w:rPr>
                <w:spacing w:val="-5"/>
                <w:sz w:val="18"/>
              </w:rPr>
              <w:t>34</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15.7%</w:t>
            </w:r>
          </w:p>
          <w:p>
            <w:pPr>
              <w:pStyle w:val="TableParagraph"/>
              <w:spacing w:before="59"/>
              <w:ind w:left="112"/>
              <w:rPr>
                <w:sz w:val="18"/>
              </w:rPr>
            </w:pPr>
            <w:r>
              <w:rPr>
                <w:sz w:val="18"/>
              </w:rPr>
              <w:t>(</w:t>
            </w:r>
            <w:r>
              <w:rPr>
                <w:spacing w:val="-2"/>
                <w:sz w:val="18"/>
              </w:rPr>
              <w:t> 14yr)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0.0500</w:t>
            </w:r>
          </w:p>
        </w:tc>
        <w:tc>
          <w:tcPr>
            <w:tcW w:w="985" w:type="dxa"/>
            <w:tcBorders>
              <w:left w:val="single" w:sz="4" w:space="0" w:color="000000"/>
              <w:right w:val="single" w:sz="4" w:space="0" w:color="000000"/>
            </w:tcBorders>
          </w:tcPr>
          <w:p>
            <w:pPr>
              <w:pStyle w:val="TableParagraph"/>
              <w:spacing w:before="62"/>
              <w:ind w:right="129"/>
              <w:jc w:val="center"/>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62"/>
              <w:ind w:left="116"/>
              <w:rPr>
                <w:sz w:val="18"/>
              </w:rPr>
            </w:pPr>
            <w:r>
              <w:rPr>
                <w:spacing w:val="-4"/>
                <w:sz w:val="18"/>
              </w:rPr>
              <w:t>+141</w:t>
            </w:r>
          </w:p>
        </w:tc>
        <w:tc>
          <w:tcPr>
            <w:tcW w:w="4892" w:type="dxa"/>
            <w:tcBorders>
              <w:left w:val="single" w:sz="4" w:space="0" w:color="000000"/>
            </w:tcBorders>
          </w:tcPr>
          <w:p>
            <w:pPr>
              <w:pStyle w:val="TableParagraph"/>
              <w:spacing w:line="260" w:lineRule="atLeast" w:before="9"/>
              <w:ind w:left="115"/>
              <w:rPr>
                <w:sz w:val="18"/>
              </w:rPr>
            </w:pPr>
            <w:r>
              <w:rPr>
                <w:spacing w:val="-4"/>
                <w:sz w:val="18"/>
              </w:rPr>
              <w:t>Soil water pre-Harvest [74–101 mm] AND Wet days post-</w:t>
            </w:r>
            <w:r>
              <w:rPr>
                <w:spacing w:val="-4"/>
                <w:sz w:val="18"/>
              </w:rPr>
              <w:t>Maturity </w:t>
            </w:r>
            <w:r>
              <w:rPr>
                <w:spacing w:val="-2"/>
                <w:sz w:val="18"/>
              </w:rPr>
              <w:t>[0–3.5d]</w:t>
            </w:r>
          </w:p>
        </w:tc>
      </w:tr>
      <w:tr>
        <w:trPr>
          <w:trHeight w:val="1143" w:hRule="atLeast"/>
        </w:trPr>
        <w:tc>
          <w:tcPr>
            <w:tcW w:w="470" w:type="dxa"/>
            <w:tcBorders>
              <w:right w:val="single" w:sz="4" w:space="0" w:color="000000"/>
            </w:tcBorders>
          </w:tcPr>
          <w:p>
            <w:pPr>
              <w:pStyle w:val="TableParagraph"/>
              <w:spacing w:before="62"/>
              <w:ind w:right="44"/>
              <w:jc w:val="center"/>
              <w:rPr>
                <w:sz w:val="18"/>
              </w:rPr>
            </w:pPr>
            <w:r>
              <w:rPr>
                <w:spacing w:val="-5"/>
                <w:sz w:val="18"/>
              </w:rPr>
              <w:t>35</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20.2%</w:t>
            </w:r>
          </w:p>
          <w:p>
            <w:pPr>
              <w:pStyle w:val="TableParagraph"/>
              <w:spacing w:before="59"/>
              <w:ind w:left="112"/>
              <w:rPr>
                <w:sz w:val="18"/>
              </w:rPr>
            </w:pPr>
            <w:r>
              <w:rPr>
                <w:sz w:val="18"/>
              </w:rPr>
              <w:t>(</w:t>
            </w:r>
            <w:r>
              <w:rPr>
                <w:spacing w:val="-2"/>
                <w:sz w:val="18"/>
              </w:rPr>
              <w:t> 18yr)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0.0510</w:t>
            </w:r>
          </w:p>
        </w:tc>
        <w:tc>
          <w:tcPr>
            <w:tcW w:w="985" w:type="dxa"/>
            <w:tcBorders>
              <w:left w:val="single" w:sz="4" w:space="0" w:color="000000"/>
              <w:right w:val="single" w:sz="4" w:space="0" w:color="000000"/>
            </w:tcBorders>
          </w:tcPr>
          <w:p>
            <w:pPr>
              <w:pStyle w:val="TableParagraph"/>
              <w:spacing w:before="62"/>
              <w:ind w:right="129"/>
              <w:jc w:val="center"/>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62"/>
              <w:ind w:left="116"/>
              <w:rPr>
                <w:sz w:val="18"/>
              </w:rPr>
            </w:pPr>
            <w:r>
              <w:rPr>
                <w:spacing w:val="-4"/>
                <w:sz w:val="18"/>
              </w:rPr>
              <w:t>+111</w:t>
            </w:r>
          </w:p>
        </w:tc>
        <w:tc>
          <w:tcPr>
            <w:tcW w:w="4892" w:type="dxa"/>
            <w:tcBorders>
              <w:left w:val="single" w:sz="4" w:space="0" w:color="000000"/>
            </w:tcBorders>
          </w:tcPr>
          <w:p>
            <w:pPr>
              <w:pStyle w:val="TableParagraph"/>
              <w:spacing w:line="307" w:lineRule="auto" w:before="62"/>
              <w:ind w:left="115" w:right="93"/>
              <w:jc w:val="both"/>
              <w:rPr>
                <w:sz w:val="18"/>
              </w:rPr>
            </w:pPr>
            <w:r>
              <w:rPr>
                <w:sz w:val="18"/>
              </w:rPr>
              <w:t>Wet days post-Flowering [0–3.3d] AND Soil water pre-Harvest [74–231</w:t>
            </w:r>
            <w:r>
              <w:rPr>
                <w:spacing w:val="-2"/>
                <w:sz w:val="18"/>
              </w:rPr>
              <w:t> </w:t>
            </w:r>
            <w:r>
              <w:rPr>
                <w:sz w:val="18"/>
              </w:rPr>
              <w:t>mm]</w:t>
            </w:r>
            <w:r>
              <w:rPr>
                <w:spacing w:val="-2"/>
                <w:sz w:val="18"/>
              </w:rPr>
              <w:t> </w:t>
            </w:r>
            <w:r>
              <w:rPr>
                <w:sz w:val="18"/>
              </w:rPr>
              <w:t>AND</w:t>
            </w:r>
            <w:r>
              <w:rPr>
                <w:spacing w:val="-2"/>
                <w:sz w:val="18"/>
              </w:rPr>
              <w:t> </w:t>
            </w:r>
            <w:r>
              <w:rPr>
                <w:sz w:val="18"/>
              </w:rPr>
              <w:t>Wet</w:t>
            </w:r>
            <w:r>
              <w:rPr>
                <w:spacing w:val="-2"/>
                <w:sz w:val="18"/>
              </w:rPr>
              <w:t> </w:t>
            </w:r>
            <w:r>
              <w:rPr>
                <w:sz w:val="18"/>
              </w:rPr>
              <w:t>days</w:t>
            </w:r>
            <w:r>
              <w:rPr>
                <w:spacing w:val="-2"/>
                <w:sz w:val="18"/>
              </w:rPr>
              <w:t> </w:t>
            </w:r>
            <w:r>
              <w:rPr>
                <w:sz w:val="18"/>
              </w:rPr>
              <w:t>post-Maturity</w:t>
            </w:r>
            <w:r>
              <w:rPr>
                <w:spacing w:val="-2"/>
                <w:sz w:val="18"/>
              </w:rPr>
              <w:t> </w:t>
            </w:r>
            <w:r>
              <w:rPr>
                <w:sz w:val="18"/>
              </w:rPr>
              <w:t>[0–3.5d]</w:t>
            </w:r>
            <w:r>
              <w:rPr>
                <w:spacing w:val="-2"/>
                <w:sz w:val="18"/>
              </w:rPr>
              <w:t> </w:t>
            </w:r>
            <w:r>
              <w:rPr>
                <w:sz w:val="18"/>
              </w:rPr>
              <w:t>AND</w:t>
            </w:r>
            <w:r>
              <w:rPr>
                <w:spacing w:val="-2"/>
                <w:sz w:val="18"/>
              </w:rPr>
              <w:t> </w:t>
            </w:r>
            <w:r>
              <w:rPr>
                <w:sz w:val="18"/>
              </w:rPr>
              <w:t>Heat days pre-Maturity [0–3.7d] AND Heat days post-Flowering </w:t>
            </w:r>
            <w:r>
              <w:rPr>
                <w:sz w:val="18"/>
              </w:rPr>
              <w:t>[0–</w:t>
            </w:r>
            <w:r>
              <w:rPr>
                <w:spacing w:val="-2"/>
                <w:sz w:val="18"/>
              </w:rPr>
              <w:t>0.6d]</w:t>
            </w:r>
          </w:p>
        </w:tc>
      </w:tr>
      <w:tr>
        <w:trPr>
          <w:trHeight w:val="1143" w:hRule="atLeast"/>
        </w:trPr>
        <w:tc>
          <w:tcPr>
            <w:tcW w:w="470" w:type="dxa"/>
            <w:tcBorders>
              <w:right w:val="single" w:sz="4" w:space="0" w:color="000000"/>
            </w:tcBorders>
          </w:tcPr>
          <w:p>
            <w:pPr>
              <w:pStyle w:val="TableParagraph"/>
              <w:spacing w:before="62"/>
              <w:ind w:right="44"/>
              <w:jc w:val="center"/>
              <w:rPr>
                <w:sz w:val="18"/>
              </w:rPr>
            </w:pPr>
            <w:r>
              <w:rPr>
                <w:spacing w:val="-5"/>
                <w:sz w:val="18"/>
              </w:rPr>
              <w:t>36</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20.2%</w:t>
            </w:r>
          </w:p>
          <w:p>
            <w:pPr>
              <w:pStyle w:val="TableParagraph"/>
              <w:spacing w:before="59"/>
              <w:ind w:left="112"/>
              <w:rPr>
                <w:sz w:val="18"/>
              </w:rPr>
            </w:pPr>
            <w:r>
              <w:rPr>
                <w:sz w:val="18"/>
              </w:rPr>
              <w:t>(</w:t>
            </w:r>
            <w:r>
              <w:rPr>
                <w:spacing w:val="-2"/>
                <w:sz w:val="18"/>
              </w:rPr>
              <w:t> 18yr)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0.0520</w:t>
            </w:r>
          </w:p>
        </w:tc>
        <w:tc>
          <w:tcPr>
            <w:tcW w:w="985" w:type="dxa"/>
            <w:tcBorders>
              <w:left w:val="single" w:sz="4" w:space="0" w:color="000000"/>
              <w:right w:val="single" w:sz="4" w:space="0" w:color="000000"/>
            </w:tcBorders>
          </w:tcPr>
          <w:p>
            <w:pPr>
              <w:pStyle w:val="TableParagraph"/>
              <w:spacing w:before="62"/>
              <w:ind w:right="129"/>
              <w:jc w:val="center"/>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62"/>
              <w:ind w:left="116"/>
              <w:rPr>
                <w:sz w:val="18"/>
              </w:rPr>
            </w:pPr>
            <w:r>
              <w:rPr>
                <w:spacing w:val="-4"/>
                <w:sz w:val="18"/>
              </w:rPr>
              <w:t>+110</w:t>
            </w:r>
          </w:p>
        </w:tc>
        <w:tc>
          <w:tcPr>
            <w:tcW w:w="4892" w:type="dxa"/>
            <w:tcBorders>
              <w:left w:val="single" w:sz="4" w:space="0" w:color="000000"/>
            </w:tcBorders>
          </w:tcPr>
          <w:p>
            <w:pPr>
              <w:pStyle w:val="TableParagraph"/>
              <w:spacing w:line="307" w:lineRule="auto" w:before="62"/>
              <w:ind w:left="115" w:right="93"/>
              <w:jc w:val="both"/>
              <w:rPr>
                <w:sz w:val="18"/>
              </w:rPr>
            </w:pPr>
            <w:r>
              <w:rPr>
                <w:sz w:val="18"/>
              </w:rPr>
              <w:t>Wet days post-Flowering [0–3.3d] AND Soil water pre-Harvest [74–231 mm]</w:t>
            </w:r>
            <w:r>
              <w:rPr>
                <w:spacing w:val="-1"/>
                <w:sz w:val="18"/>
              </w:rPr>
              <w:t> </w:t>
            </w:r>
            <w:r>
              <w:rPr>
                <w:sz w:val="18"/>
              </w:rPr>
              <w:t>AND Heat days</w:t>
            </w:r>
            <w:r>
              <w:rPr>
                <w:spacing w:val="-1"/>
                <w:sz w:val="18"/>
              </w:rPr>
              <w:t> </w:t>
            </w:r>
            <w:r>
              <w:rPr>
                <w:sz w:val="18"/>
              </w:rPr>
              <w:t>pre-Maturity [0–3.7d] AND</w:t>
            </w:r>
            <w:r>
              <w:rPr>
                <w:spacing w:val="-1"/>
                <w:sz w:val="18"/>
              </w:rPr>
              <w:t> </w:t>
            </w:r>
            <w:r>
              <w:rPr>
                <w:sz w:val="18"/>
              </w:rPr>
              <w:t>Cold days pre-Harvest [0–2.0d] AND Heat days post-Flowering </w:t>
            </w:r>
            <w:r>
              <w:rPr>
                <w:sz w:val="18"/>
              </w:rPr>
              <w:t>[0–</w:t>
            </w:r>
            <w:r>
              <w:rPr>
                <w:spacing w:val="-2"/>
                <w:sz w:val="18"/>
              </w:rPr>
              <w:t>0.6d]</w:t>
            </w:r>
          </w:p>
        </w:tc>
      </w:tr>
      <w:tr>
        <w:trPr>
          <w:trHeight w:val="877" w:hRule="atLeast"/>
        </w:trPr>
        <w:tc>
          <w:tcPr>
            <w:tcW w:w="470" w:type="dxa"/>
            <w:tcBorders>
              <w:right w:val="single" w:sz="4" w:space="0" w:color="000000"/>
            </w:tcBorders>
          </w:tcPr>
          <w:p>
            <w:pPr>
              <w:pStyle w:val="TableParagraph"/>
              <w:spacing w:before="62"/>
              <w:ind w:right="44"/>
              <w:jc w:val="center"/>
              <w:rPr>
                <w:sz w:val="18"/>
              </w:rPr>
            </w:pPr>
            <w:r>
              <w:rPr>
                <w:spacing w:val="-5"/>
                <w:sz w:val="18"/>
              </w:rPr>
              <w:t>37</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15.7%</w:t>
            </w:r>
          </w:p>
          <w:p>
            <w:pPr>
              <w:pStyle w:val="TableParagraph"/>
              <w:spacing w:before="59"/>
              <w:ind w:left="112"/>
              <w:rPr>
                <w:sz w:val="18"/>
              </w:rPr>
            </w:pPr>
            <w:r>
              <w:rPr>
                <w:sz w:val="18"/>
              </w:rPr>
              <w:t>(</w:t>
            </w:r>
            <w:r>
              <w:rPr>
                <w:spacing w:val="-2"/>
                <w:sz w:val="18"/>
              </w:rPr>
              <w:t> 14yr)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0.0540</w:t>
            </w:r>
          </w:p>
        </w:tc>
        <w:tc>
          <w:tcPr>
            <w:tcW w:w="985" w:type="dxa"/>
            <w:tcBorders>
              <w:left w:val="single" w:sz="4" w:space="0" w:color="000000"/>
              <w:right w:val="single" w:sz="4" w:space="0" w:color="000000"/>
            </w:tcBorders>
          </w:tcPr>
          <w:p>
            <w:pPr>
              <w:pStyle w:val="TableParagraph"/>
              <w:spacing w:before="62"/>
              <w:ind w:right="129"/>
              <w:jc w:val="center"/>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62"/>
              <w:ind w:left="116"/>
              <w:rPr>
                <w:sz w:val="18"/>
              </w:rPr>
            </w:pPr>
            <w:r>
              <w:rPr>
                <w:spacing w:val="-4"/>
                <w:sz w:val="18"/>
              </w:rPr>
              <w:t>+140</w:t>
            </w:r>
          </w:p>
        </w:tc>
        <w:tc>
          <w:tcPr>
            <w:tcW w:w="4892" w:type="dxa"/>
            <w:tcBorders>
              <w:left w:val="single" w:sz="4" w:space="0" w:color="000000"/>
            </w:tcBorders>
          </w:tcPr>
          <w:p>
            <w:pPr>
              <w:pStyle w:val="TableParagraph"/>
              <w:spacing w:line="307" w:lineRule="auto" w:before="62"/>
              <w:ind w:left="115" w:right="114"/>
              <w:jc w:val="both"/>
              <w:rPr>
                <w:sz w:val="18"/>
              </w:rPr>
            </w:pPr>
            <w:r>
              <w:rPr>
                <w:sz w:val="18"/>
              </w:rPr>
              <w:t>Wet</w:t>
            </w:r>
            <w:r>
              <w:rPr>
                <w:spacing w:val="-8"/>
                <w:sz w:val="18"/>
              </w:rPr>
              <w:t> </w:t>
            </w:r>
            <w:r>
              <w:rPr>
                <w:sz w:val="18"/>
              </w:rPr>
              <w:t>days</w:t>
            </w:r>
            <w:r>
              <w:rPr>
                <w:spacing w:val="-8"/>
                <w:sz w:val="18"/>
              </w:rPr>
              <w:t> </w:t>
            </w:r>
            <w:r>
              <w:rPr>
                <w:sz w:val="18"/>
              </w:rPr>
              <w:t>post-Flowering</w:t>
            </w:r>
            <w:r>
              <w:rPr>
                <w:spacing w:val="-8"/>
                <w:sz w:val="18"/>
              </w:rPr>
              <w:t> </w:t>
            </w:r>
            <w:r>
              <w:rPr>
                <w:sz w:val="18"/>
              </w:rPr>
              <w:t>[0–3.3d]</w:t>
            </w:r>
            <w:r>
              <w:rPr>
                <w:spacing w:val="-8"/>
                <w:sz w:val="18"/>
              </w:rPr>
              <w:t> </w:t>
            </w:r>
            <w:r>
              <w:rPr>
                <w:sz w:val="18"/>
              </w:rPr>
              <w:t>AND</w:t>
            </w:r>
            <w:r>
              <w:rPr>
                <w:spacing w:val="-8"/>
                <w:sz w:val="18"/>
              </w:rPr>
              <w:t> </w:t>
            </w:r>
            <w:r>
              <w:rPr>
                <w:sz w:val="18"/>
              </w:rPr>
              <w:t>Wet</w:t>
            </w:r>
            <w:r>
              <w:rPr>
                <w:spacing w:val="-8"/>
                <w:sz w:val="18"/>
              </w:rPr>
              <w:t> </w:t>
            </w:r>
            <w:r>
              <w:rPr>
                <w:sz w:val="18"/>
              </w:rPr>
              <w:t>days</w:t>
            </w:r>
            <w:r>
              <w:rPr>
                <w:spacing w:val="-8"/>
                <w:sz w:val="18"/>
              </w:rPr>
              <w:t> </w:t>
            </w:r>
            <w:r>
              <w:rPr>
                <w:sz w:val="18"/>
              </w:rPr>
              <w:t>post-</w:t>
            </w:r>
            <w:r>
              <w:rPr>
                <w:sz w:val="18"/>
              </w:rPr>
              <w:t>Maturity [0–3.5d]</w:t>
            </w:r>
            <w:r>
              <w:rPr>
                <w:spacing w:val="-8"/>
                <w:sz w:val="18"/>
              </w:rPr>
              <w:t> </w:t>
            </w:r>
            <w:r>
              <w:rPr>
                <w:sz w:val="18"/>
              </w:rPr>
              <w:t>AND</w:t>
            </w:r>
            <w:r>
              <w:rPr>
                <w:spacing w:val="-8"/>
                <w:sz w:val="18"/>
              </w:rPr>
              <w:t> </w:t>
            </w:r>
            <w:r>
              <w:rPr>
                <w:sz w:val="18"/>
              </w:rPr>
              <w:t>Soil</w:t>
            </w:r>
            <w:r>
              <w:rPr>
                <w:spacing w:val="-8"/>
                <w:sz w:val="18"/>
              </w:rPr>
              <w:t> </w:t>
            </w:r>
            <w:r>
              <w:rPr>
                <w:sz w:val="18"/>
              </w:rPr>
              <w:t>water</w:t>
            </w:r>
            <w:r>
              <w:rPr>
                <w:spacing w:val="-8"/>
                <w:sz w:val="18"/>
              </w:rPr>
              <w:t> </w:t>
            </w:r>
            <w:r>
              <w:rPr>
                <w:sz w:val="18"/>
              </w:rPr>
              <w:t>pre-Harvest</w:t>
            </w:r>
            <w:r>
              <w:rPr>
                <w:spacing w:val="-8"/>
                <w:sz w:val="18"/>
              </w:rPr>
              <w:t> </w:t>
            </w:r>
            <w:r>
              <w:rPr>
                <w:sz w:val="18"/>
              </w:rPr>
              <w:t>[101–152</w:t>
            </w:r>
            <w:r>
              <w:rPr>
                <w:spacing w:val="-8"/>
                <w:sz w:val="18"/>
              </w:rPr>
              <w:t> </w:t>
            </w:r>
            <w:r>
              <w:rPr>
                <w:sz w:val="18"/>
              </w:rPr>
              <w:t>mm]</w:t>
            </w:r>
            <w:r>
              <w:rPr>
                <w:spacing w:val="-8"/>
                <w:sz w:val="18"/>
              </w:rPr>
              <w:t> </w:t>
            </w:r>
            <w:r>
              <w:rPr>
                <w:sz w:val="18"/>
              </w:rPr>
              <w:t>AND</w:t>
            </w:r>
            <w:r>
              <w:rPr>
                <w:spacing w:val="-8"/>
                <w:sz w:val="18"/>
              </w:rPr>
              <w:t> </w:t>
            </w:r>
            <w:r>
              <w:rPr>
                <w:sz w:val="18"/>
              </w:rPr>
              <w:t>Cold days pre-Harvest [0–2.0d]</w:t>
            </w:r>
          </w:p>
        </w:tc>
      </w:tr>
      <w:tr>
        <w:trPr>
          <w:trHeight w:val="877" w:hRule="atLeast"/>
        </w:trPr>
        <w:tc>
          <w:tcPr>
            <w:tcW w:w="470" w:type="dxa"/>
            <w:tcBorders>
              <w:right w:val="single" w:sz="4" w:space="0" w:color="000000"/>
            </w:tcBorders>
          </w:tcPr>
          <w:p>
            <w:pPr>
              <w:pStyle w:val="TableParagraph"/>
              <w:spacing w:before="62"/>
              <w:ind w:right="44"/>
              <w:jc w:val="center"/>
              <w:rPr>
                <w:sz w:val="18"/>
              </w:rPr>
            </w:pPr>
            <w:r>
              <w:rPr>
                <w:spacing w:val="-5"/>
                <w:sz w:val="18"/>
              </w:rPr>
              <w:t>38</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16.9%</w:t>
            </w:r>
          </w:p>
          <w:p>
            <w:pPr>
              <w:pStyle w:val="TableParagraph"/>
              <w:spacing w:before="59"/>
              <w:ind w:left="112"/>
              <w:rPr>
                <w:sz w:val="18"/>
              </w:rPr>
            </w:pPr>
            <w:r>
              <w:rPr>
                <w:sz w:val="18"/>
              </w:rPr>
              <w:t>(</w:t>
            </w:r>
            <w:r>
              <w:rPr>
                <w:spacing w:val="-2"/>
                <w:sz w:val="18"/>
              </w:rPr>
              <w:t> 15yr)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0.0560</w:t>
            </w:r>
          </w:p>
        </w:tc>
        <w:tc>
          <w:tcPr>
            <w:tcW w:w="985" w:type="dxa"/>
            <w:tcBorders>
              <w:left w:val="single" w:sz="4" w:space="0" w:color="000000"/>
              <w:right w:val="single" w:sz="4" w:space="0" w:color="000000"/>
            </w:tcBorders>
          </w:tcPr>
          <w:p>
            <w:pPr>
              <w:pStyle w:val="TableParagraph"/>
              <w:spacing w:before="62"/>
              <w:ind w:right="129"/>
              <w:jc w:val="center"/>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62"/>
              <w:ind w:left="116"/>
              <w:rPr>
                <w:sz w:val="18"/>
              </w:rPr>
            </w:pPr>
            <w:r>
              <w:rPr>
                <w:spacing w:val="-4"/>
                <w:sz w:val="18"/>
              </w:rPr>
              <w:t>+127</w:t>
            </w:r>
          </w:p>
        </w:tc>
        <w:tc>
          <w:tcPr>
            <w:tcW w:w="4892" w:type="dxa"/>
            <w:tcBorders>
              <w:left w:val="single" w:sz="4" w:space="0" w:color="000000"/>
            </w:tcBorders>
          </w:tcPr>
          <w:p>
            <w:pPr>
              <w:pStyle w:val="TableParagraph"/>
              <w:spacing w:line="307" w:lineRule="auto" w:before="62"/>
              <w:ind w:left="115" w:right="120"/>
              <w:jc w:val="both"/>
              <w:rPr>
                <w:sz w:val="18"/>
              </w:rPr>
            </w:pPr>
            <w:r>
              <w:rPr>
                <w:sz w:val="18"/>
              </w:rPr>
              <w:t>Wet days post-Flowering [0–3.3d] AND Soil water pre-</w:t>
            </w:r>
            <w:r>
              <w:rPr>
                <w:sz w:val="18"/>
              </w:rPr>
              <w:t>Harvest </w:t>
            </w:r>
            <w:r>
              <w:rPr>
                <w:spacing w:val="-2"/>
                <w:sz w:val="18"/>
              </w:rPr>
              <w:t>[101–231</w:t>
            </w:r>
            <w:r>
              <w:rPr>
                <w:spacing w:val="-6"/>
                <w:sz w:val="18"/>
              </w:rPr>
              <w:t> </w:t>
            </w:r>
            <w:r>
              <w:rPr>
                <w:spacing w:val="-2"/>
                <w:sz w:val="18"/>
              </w:rPr>
              <w:t>mm]</w:t>
            </w:r>
            <w:r>
              <w:rPr>
                <w:spacing w:val="-6"/>
                <w:sz w:val="18"/>
              </w:rPr>
              <w:t> </w:t>
            </w:r>
            <w:r>
              <w:rPr>
                <w:spacing w:val="-2"/>
                <w:sz w:val="18"/>
              </w:rPr>
              <w:t>AND</w:t>
            </w:r>
            <w:r>
              <w:rPr>
                <w:spacing w:val="-6"/>
                <w:sz w:val="18"/>
              </w:rPr>
              <w:t> </w:t>
            </w:r>
            <w:r>
              <w:rPr>
                <w:spacing w:val="-2"/>
                <w:sz w:val="18"/>
              </w:rPr>
              <w:t>Wet</w:t>
            </w:r>
            <w:r>
              <w:rPr>
                <w:spacing w:val="-6"/>
                <w:sz w:val="18"/>
              </w:rPr>
              <w:t> </w:t>
            </w:r>
            <w:r>
              <w:rPr>
                <w:spacing w:val="-2"/>
                <w:sz w:val="18"/>
              </w:rPr>
              <w:t>days</w:t>
            </w:r>
            <w:r>
              <w:rPr>
                <w:spacing w:val="-6"/>
                <w:sz w:val="18"/>
              </w:rPr>
              <w:t> </w:t>
            </w:r>
            <w:r>
              <w:rPr>
                <w:spacing w:val="-2"/>
                <w:sz w:val="18"/>
              </w:rPr>
              <w:t>post-Maturity</w:t>
            </w:r>
            <w:r>
              <w:rPr>
                <w:spacing w:val="-6"/>
                <w:sz w:val="18"/>
              </w:rPr>
              <w:t> </w:t>
            </w:r>
            <w:r>
              <w:rPr>
                <w:spacing w:val="-2"/>
                <w:sz w:val="18"/>
              </w:rPr>
              <w:t>[0–3.5d]</w:t>
            </w:r>
            <w:r>
              <w:rPr>
                <w:spacing w:val="-6"/>
                <w:sz w:val="18"/>
              </w:rPr>
              <w:t> </w:t>
            </w:r>
            <w:r>
              <w:rPr>
                <w:spacing w:val="-2"/>
                <w:sz w:val="18"/>
              </w:rPr>
              <w:t>AND</w:t>
            </w:r>
            <w:r>
              <w:rPr>
                <w:spacing w:val="-6"/>
                <w:sz w:val="18"/>
              </w:rPr>
              <w:t> </w:t>
            </w:r>
            <w:r>
              <w:rPr>
                <w:spacing w:val="-2"/>
                <w:sz w:val="18"/>
              </w:rPr>
              <w:t>Cold </w:t>
            </w:r>
            <w:r>
              <w:rPr>
                <w:sz w:val="18"/>
              </w:rPr>
              <w:t>days pre-Harvest [0–2.0d]</w:t>
            </w:r>
          </w:p>
        </w:tc>
      </w:tr>
      <w:tr>
        <w:trPr>
          <w:trHeight w:val="901" w:hRule="atLeast"/>
        </w:trPr>
        <w:tc>
          <w:tcPr>
            <w:tcW w:w="470" w:type="dxa"/>
            <w:tcBorders>
              <w:bottom w:val="single" w:sz="6" w:space="0" w:color="000000"/>
              <w:right w:val="single" w:sz="4" w:space="0" w:color="000000"/>
            </w:tcBorders>
          </w:tcPr>
          <w:p>
            <w:pPr>
              <w:pStyle w:val="TableParagraph"/>
              <w:spacing w:before="62"/>
              <w:ind w:right="44"/>
              <w:jc w:val="center"/>
              <w:rPr>
                <w:sz w:val="18"/>
              </w:rPr>
            </w:pPr>
            <w:r>
              <w:rPr>
                <w:spacing w:val="-5"/>
                <w:sz w:val="18"/>
              </w:rPr>
              <w:t>39</w:t>
            </w:r>
          </w:p>
        </w:tc>
        <w:tc>
          <w:tcPr>
            <w:tcW w:w="1098" w:type="dxa"/>
            <w:tcBorders>
              <w:left w:val="single" w:sz="4" w:space="0" w:color="000000"/>
              <w:bottom w:val="single" w:sz="6" w:space="0" w:color="000000"/>
              <w:right w:val="single" w:sz="4" w:space="0" w:color="000000"/>
            </w:tcBorders>
          </w:tcPr>
          <w:p>
            <w:pPr>
              <w:pStyle w:val="TableParagraph"/>
              <w:spacing w:before="62"/>
              <w:ind w:left="118"/>
              <w:rPr>
                <w:sz w:val="18"/>
              </w:rPr>
            </w:pPr>
            <w:r>
              <w:rPr>
                <w:spacing w:val="-2"/>
                <w:sz w:val="18"/>
              </w:rPr>
              <w:t>19.1%</w:t>
            </w:r>
          </w:p>
          <w:p>
            <w:pPr>
              <w:pStyle w:val="TableParagraph"/>
              <w:spacing w:before="59"/>
              <w:ind w:left="112"/>
              <w:rPr>
                <w:sz w:val="18"/>
              </w:rPr>
            </w:pPr>
            <w:r>
              <w:rPr>
                <w:sz w:val="18"/>
              </w:rPr>
              <w:t>(</w:t>
            </w:r>
            <w:r>
              <w:rPr>
                <w:spacing w:val="-2"/>
                <w:sz w:val="18"/>
              </w:rPr>
              <w:t> 17yr)</w:t>
            </w:r>
          </w:p>
        </w:tc>
        <w:tc>
          <w:tcPr>
            <w:tcW w:w="928" w:type="dxa"/>
            <w:tcBorders>
              <w:left w:val="single" w:sz="4" w:space="0" w:color="000000"/>
              <w:bottom w:val="single" w:sz="6" w:space="0" w:color="000000"/>
              <w:right w:val="single" w:sz="4" w:space="0" w:color="000000"/>
            </w:tcBorders>
          </w:tcPr>
          <w:p>
            <w:pPr>
              <w:pStyle w:val="TableParagraph"/>
              <w:spacing w:before="62"/>
              <w:ind w:left="117"/>
              <w:rPr>
                <w:sz w:val="18"/>
              </w:rPr>
            </w:pPr>
            <w:r>
              <w:rPr>
                <w:spacing w:val="-2"/>
                <w:sz w:val="18"/>
              </w:rPr>
              <w:t>0.0570</w:t>
            </w:r>
          </w:p>
        </w:tc>
        <w:tc>
          <w:tcPr>
            <w:tcW w:w="985" w:type="dxa"/>
            <w:tcBorders>
              <w:left w:val="single" w:sz="4" w:space="0" w:color="000000"/>
              <w:bottom w:val="single" w:sz="6" w:space="0" w:color="000000"/>
              <w:right w:val="single" w:sz="4" w:space="0" w:color="000000"/>
            </w:tcBorders>
          </w:tcPr>
          <w:p>
            <w:pPr>
              <w:pStyle w:val="TableParagraph"/>
              <w:spacing w:before="62"/>
              <w:ind w:right="129"/>
              <w:jc w:val="center"/>
              <w:rPr>
                <w:sz w:val="18"/>
              </w:rPr>
            </w:pPr>
            <w:r>
              <w:rPr>
                <w:spacing w:val="-4"/>
                <w:sz w:val="18"/>
              </w:rPr>
              <w:t>ABOVE</w:t>
            </w:r>
          </w:p>
        </w:tc>
        <w:tc>
          <w:tcPr>
            <w:tcW w:w="1098" w:type="dxa"/>
            <w:tcBorders>
              <w:left w:val="single" w:sz="4" w:space="0" w:color="000000"/>
              <w:bottom w:val="single" w:sz="6" w:space="0" w:color="000000"/>
              <w:right w:val="single" w:sz="4" w:space="0" w:color="000000"/>
            </w:tcBorders>
          </w:tcPr>
          <w:p>
            <w:pPr>
              <w:pStyle w:val="TableParagraph"/>
              <w:spacing w:before="62"/>
              <w:ind w:left="116"/>
              <w:rPr>
                <w:sz w:val="18"/>
              </w:rPr>
            </w:pPr>
            <w:r>
              <w:rPr>
                <w:spacing w:val="-4"/>
                <w:sz w:val="18"/>
              </w:rPr>
              <w:t>+113</w:t>
            </w:r>
          </w:p>
        </w:tc>
        <w:tc>
          <w:tcPr>
            <w:tcW w:w="4892" w:type="dxa"/>
            <w:tcBorders>
              <w:left w:val="single" w:sz="4" w:space="0" w:color="000000"/>
              <w:bottom w:val="single" w:sz="6" w:space="0" w:color="000000"/>
            </w:tcBorders>
          </w:tcPr>
          <w:p>
            <w:pPr>
              <w:pStyle w:val="TableParagraph"/>
              <w:spacing w:line="307" w:lineRule="auto" w:before="62"/>
              <w:ind w:left="115" w:right="120"/>
              <w:jc w:val="both"/>
              <w:rPr>
                <w:sz w:val="18"/>
              </w:rPr>
            </w:pPr>
            <w:r>
              <w:rPr>
                <w:sz w:val="18"/>
              </w:rPr>
              <w:t>Wet days post-Flowering [0–3.3d] AND Soil water pre-</w:t>
            </w:r>
            <w:r>
              <w:rPr>
                <w:sz w:val="18"/>
              </w:rPr>
              <w:t>Harvest [74–231</w:t>
            </w:r>
            <w:r>
              <w:rPr>
                <w:spacing w:val="-6"/>
                <w:sz w:val="18"/>
              </w:rPr>
              <w:t> </w:t>
            </w:r>
            <w:r>
              <w:rPr>
                <w:sz w:val="18"/>
              </w:rPr>
              <w:t>mm]</w:t>
            </w:r>
            <w:r>
              <w:rPr>
                <w:spacing w:val="-6"/>
                <w:sz w:val="18"/>
              </w:rPr>
              <w:t> </w:t>
            </w:r>
            <w:r>
              <w:rPr>
                <w:sz w:val="18"/>
              </w:rPr>
              <w:t>AND</w:t>
            </w:r>
            <w:r>
              <w:rPr>
                <w:spacing w:val="-6"/>
                <w:sz w:val="18"/>
              </w:rPr>
              <w:t> </w:t>
            </w:r>
            <w:r>
              <w:rPr>
                <w:sz w:val="18"/>
              </w:rPr>
              <w:t>Wet</w:t>
            </w:r>
            <w:r>
              <w:rPr>
                <w:spacing w:val="-6"/>
                <w:sz w:val="18"/>
              </w:rPr>
              <w:t> </w:t>
            </w:r>
            <w:r>
              <w:rPr>
                <w:sz w:val="18"/>
              </w:rPr>
              <w:t>days</w:t>
            </w:r>
            <w:r>
              <w:rPr>
                <w:spacing w:val="-6"/>
                <w:sz w:val="18"/>
              </w:rPr>
              <w:t> </w:t>
            </w:r>
            <w:r>
              <w:rPr>
                <w:sz w:val="18"/>
              </w:rPr>
              <w:t>post-Maturity</w:t>
            </w:r>
            <w:r>
              <w:rPr>
                <w:spacing w:val="-6"/>
                <w:sz w:val="18"/>
              </w:rPr>
              <w:t> </w:t>
            </w:r>
            <w:r>
              <w:rPr>
                <w:sz w:val="18"/>
              </w:rPr>
              <w:t>[0–3.5d]</w:t>
            </w:r>
            <w:r>
              <w:rPr>
                <w:spacing w:val="-6"/>
                <w:sz w:val="18"/>
              </w:rPr>
              <w:t> </w:t>
            </w:r>
            <w:r>
              <w:rPr>
                <w:sz w:val="18"/>
              </w:rPr>
              <w:t>AND</w:t>
            </w:r>
            <w:r>
              <w:rPr>
                <w:spacing w:val="-6"/>
                <w:sz w:val="18"/>
              </w:rPr>
              <w:t> </w:t>
            </w:r>
            <w:r>
              <w:rPr>
                <w:sz w:val="18"/>
              </w:rPr>
              <w:t>Heat days pre-Maturity [0–3.7d]</w:t>
            </w:r>
          </w:p>
        </w:tc>
      </w:tr>
    </w:tbl>
    <w:p>
      <w:pPr>
        <w:spacing w:before="126"/>
        <w:ind w:left="0" w:right="145" w:firstLine="0"/>
        <w:jc w:val="right"/>
        <w:rPr>
          <w:i/>
          <w:sz w:val="20"/>
        </w:rPr>
      </w:pPr>
      <w:r>
        <w:rPr>
          <w:i/>
          <w:sz w:val="20"/>
        </w:rPr>
        <w:t>Continued</w:t>
      </w:r>
      <w:r>
        <w:rPr>
          <w:i/>
          <w:spacing w:val="-7"/>
          <w:sz w:val="20"/>
        </w:rPr>
        <w:t> </w:t>
      </w:r>
      <w:r>
        <w:rPr>
          <w:i/>
          <w:sz w:val="20"/>
        </w:rPr>
        <w:t>on</w:t>
      </w:r>
      <w:r>
        <w:rPr>
          <w:i/>
          <w:spacing w:val="-7"/>
          <w:sz w:val="20"/>
        </w:rPr>
        <w:t> </w:t>
      </w:r>
      <w:r>
        <w:rPr>
          <w:i/>
          <w:sz w:val="20"/>
        </w:rPr>
        <w:t>next</w:t>
      </w:r>
      <w:r>
        <w:rPr>
          <w:i/>
          <w:spacing w:val="-7"/>
          <w:sz w:val="20"/>
        </w:rPr>
        <w:t> </w:t>
      </w:r>
      <w:r>
        <w:rPr>
          <w:i/>
          <w:spacing w:val="-4"/>
          <w:sz w:val="20"/>
        </w:rPr>
        <w:t>page</w:t>
      </w:r>
    </w:p>
    <w:p>
      <w:pPr>
        <w:spacing w:after="0"/>
        <w:jc w:val="right"/>
        <w:rPr>
          <w:i/>
          <w:sz w:val="20"/>
        </w:rPr>
        <w:sectPr>
          <w:pgSz w:w="11910" w:h="16840"/>
          <w:pgMar w:header="1160" w:footer="0" w:top="1420" w:bottom="280" w:left="1275" w:right="425"/>
        </w:sectPr>
      </w:pPr>
    </w:p>
    <w:p>
      <w:pPr>
        <w:pStyle w:val="BodyText"/>
        <w:rPr>
          <w:i/>
          <w:sz w:val="20"/>
        </w:rPr>
      </w:pPr>
    </w:p>
    <w:p>
      <w:pPr>
        <w:pStyle w:val="BodyText"/>
        <w:spacing w:before="113"/>
        <w:rPr>
          <w:i/>
          <w:sz w:val="20"/>
        </w:rPr>
      </w:pPr>
    </w:p>
    <w:p>
      <w:pPr>
        <w:spacing w:before="0"/>
        <w:ind w:left="261" w:right="0" w:firstLine="0"/>
        <w:jc w:val="left"/>
        <w:rPr>
          <w:i/>
          <w:sz w:val="20"/>
        </w:rPr>
      </w:pPr>
      <w:r>
        <w:rPr>
          <w:i/>
          <w:spacing w:val="-2"/>
          <w:sz w:val="20"/>
        </w:rPr>
        <w:t>Table</w:t>
      </w:r>
      <w:r>
        <w:rPr>
          <w:i/>
          <w:spacing w:val="-7"/>
          <w:sz w:val="20"/>
        </w:rPr>
        <w:t> </w:t>
      </w:r>
      <w:r>
        <w:rPr>
          <w:i/>
          <w:spacing w:val="-2"/>
          <w:sz w:val="20"/>
        </w:rPr>
        <w:t>A.3</w:t>
      </w:r>
      <w:r>
        <w:rPr>
          <w:i/>
          <w:spacing w:val="-6"/>
          <w:sz w:val="20"/>
        </w:rPr>
        <w:t> </w:t>
      </w:r>
      <w:r>
        <w:rPr>
          <w:i/>
          <w:spacing w:val="-2"/>
          <w:sz w:val="20"/>
        </w:rPr>
        <w:t>continued</w:t>
      </w:r>
    </w:p>
    <w:p>
      <w:pPr>
        <w:pStyle w:val="BodyText"/>
        <w:spacing w:before="11"/>
        <w:rPr>
          <w:i/>
          <w:sz w:val="3"/>
        </w:rPr>
      </w:pPr>
      <w:r>
        <w:rPr>
          <w:i/>
          <w:sz w:val="3"/>
        </w:rPr>
        <mc:AlternateContent>
          <mc:Choice Requires="wps">
            <w:drawing>
              <wp:anchor distT="0" distB="0" distL="0" distR="0" allowOverlap="1" layoutInCell="1" locked="0" behindDoc="1" simplePos="0" relativeHeight="487633920">
                <wp:simplePos x="0" y="0"/>
                <wp:positionH relativeFrom="page">
                  <wp:posOffset>899998</wp:posOffset>
                </wp:positionH>
                <wp:positionV relativeFrom="paragraph">
                  <wp:posOffset>44125</wp:posOffset>
                </wp:positionV>
                <wp:extent cx="6012815" cy="1270"/>
                <wp:effectExtent l="0" t="0" r="0" b="0"/>
                <wp:wrapTopAndBottom/>
                <wp:docPr id="254" name="Graphic 254"/>
                <wp:cNvGraphicFramePr>
                  <a:graphicFrameLocks/>
                </wp:cNvGraphicFramePr>
                <a:graphic>
                  <a:graphicData uri="http://schemas.microsoft.com/office/word/2010/wordprocessingShape">
                    <wps:wsp>
                      <wps:cNvPr id="254" name="Graphic 254"/>
                      <wps:cNvSpPr/>
                      <wps:spPr>
                        <a:xfrm>
                          <a:off x="0" y="0"/>
                          <a:ext cx="6012815" cy="1270"/>
                        </a:xfrm>
                        <a:custGeom>
                          <a:avLst/>
                          <a:gdLst/>
                          <a:ahLst/>
                          <a:cxnLst/>
                          <a:rect l="l" t="t" r="r" b="b"/>
                          <a:pathLst>
                            <a:path w="6012815" h="0">
                              <a:moveTo>
                                <a:pt x="0" y="0"/>
                              </a:moveTo>
                              <a:lnTo>
                                <a:pt x="601228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3.474473pt;width:473.45pt;height:.1pt;mso-position-horizontal-relative:page;mso-position-vertical-relative:paragraph;z-index:-15682560;mso-wrap-distance-left:0;mso-wrap-distance-right:0" id="docshape218" coordorigin="1417,69" coordsize="9469,0" path="m1417,69l10885,69e" filled="false" stroked="true" strokeweight=".868pt" strokecolor="#000000">
                <v:path arrowok="t"/>
                <v:stroke dashstyle="solid"/>
                <w10:wrap type="topAndBottom"/>
              </v:shape>
            </w:pict>
          </mc:Fallback>
        </mc:AlternateContent>
      </w:r>
    </w:p>
    <w:p>
      <w:pPr>
        <w:pStyle w:val="BodyText"/>
        <w:spacing w:before="9"/>
        <w:rPr>
          <w:i/>
          <w:sz w:val="4"/>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70"/>
        <w:gridCol w:w="1098"/>
        <w:gridCol w:w="928"/>
        <w:gridCol w:w="985"/>
        <w:gridCol w:w="1098"/>
        <w:gridCol w:w="4892"/>
      </w:tblGrid>
      <w:tr>
        <w:trPr>
          <w:trHeight w:val="646" w:hRule="atLeast"/>
        </w:trPr>
        <w:tc>
          <w:tcPr>
            <w:tcW w:w="470" w:type="dxa"/>
            <w:tcBorders>
              <w:top w:val="nil"/>
              <w:left w:val="nil"/>
              <w:right w:val="single" w:sz="4" w:space="0" w:color="000000"/>
            </w:tcBorders>
          </w:tcPr>
          <w:p>
            <w:pPr>
              <w:pStyle w:val="TableParagraph"/>
              <w:spacing w:before="74"/>
              <w:ind w:left="119"/>
              <w:rPr>
                <w:sz w:val="18"/>
              </w:rPr>
            </w:pPr>
            <w:r>
              <w:rPr>
                <w:spacing w:val="-10"/>
                <w:sz w:val="18"/>
              </w:rPr>
              <w:t>#</w:t>
            </w:r>
          </w:p>
        </w:tc>
        <w:tc>
          <w:tcPr>
            <w:tcW w:w="1098" w:type="dxa"/>
            <w:tcBorders>
              <w:top w:val="nil"/>
              <w:left w:val="single" w:sz="4" w:space="0" w:color="000000"/>
              <w:right w:val="single" w:sz="4" w:space="0" w:color="000000"/>
            </w:tcBorders>
          </w:tcPr>
          <w:p>
            <w:pPr>
              <w:pStyle w:val="TableParagraph"/>
              <w:spacing w:before="74"/>
              <w:ind w:left="118"/>
              <w:rPr>
                <w:sz w:val="18"/>
              </w:rPr>
            </w:pPr>
            <w:r>
              <w:rPr>
                <w:spacing w:val="-2"/>
                <w:sz w:val="18"/>
              </w:rPr>
              <w:t>Support</w:t>
            </w:r>
          </w:p>
        </w:tc>
        <w:tc>
          <w:tcPr>
            <w:tcW w:w="928" w:type="dxa"/>
            <w:tcBorders>
              <w:top w:val="nil"/>
              <w:left w:val="single" w:sz="4" w:space="0" w:color="000000"/>
              <w:right w:val="single" w:sz="4" w:space="0" w:color="000000"/>
            </w:tcBorders>
          </w:tcPr>
          <w:p>
            <w:pPr>
              <w:pStyle w:val="TableParagraph"/>
              <w:spacing w:before="74"/>
              <w:ind w:left="117"/>
              <w:rPr>
                <w:sz w:val="18"/>
              </w:rPr>
            </w:pPr>
            <w:r>
              <w:rPr>
                <w:spacing w:val="-2"/>
                <w:sz w:val="18"/>
              </w:rPr>
              <w:t>p-value</w:t>
            </w:r>
          </w:p>
        </w:tc>
        <w:tc>
          <w:tcPr>
            <w:tcW w:w="985" w:type="dxa"/>
            <w:tcBorders>
              <w:top w:val="nil"/>
              <w:left w:val="single" w:sz="4" w:space="0" w:color="000000"/>
              <w:right w:val="single" w:sz="4" w:space="0" w:color="000000"/>
            </w:tcBorders>
          </w:tcPr>
          <w:p>
            <w:pPr>
              <w:pStyle w:val="TableParagraph"/>
              <w:spacing w:before="74"/>
              <w:ind w:left="117"/>
              <w:rPr>
                <w:sz w:val="18"/>
              </w:rPr>
            </w:pPr>
            <w:r>
              <w:rPr>
                <w:spacing w:val="-2"/>
                <w:sz w:val="18"/>
              </w:rPr>
              <w:t>Direction</w:t>
            </w:r>
          </w:p>
        </w:tc>
        <w:tc>
          <w:tcPr>
            <w:tcW w:w="1098" w:type="dxa"/>
            <w:tcBorders>
              <w:top w:val="nil"/>
              <w:left w:val="single" w:sz="4" w:space="0" w:color="000000"/>
              <w:right w:val="single" w:sz="4" w:space="0" w:color="000000"/>
            </w:tcBorders>
          </w:tcPr>
          <w:p>
            <w:pPr>
              <w:pStyle w:val="TableParagraph"/>
              <w:tabs>
                <w:tab w:pos="856" w:val="left" w:leader="none"/>
              </w:tabs>
              <w:spacing w:before="70"/>
              <w:ind w:left="116"/>
              <w:rPr>
                <w:rFonts w:ascii="Calibri" w:hAnsi="Calibri"/>
                <w:sz w:val="18"/>
              </w:rPr>
            </w:pPr>
            <w:r>
              <w:rPr>
                <w:spacing w:val="-4"/>
                <w:w w:val="105"/>
                <w:sz w:val="18"/>
              </w:rPr>
              <w:t>Mean</w:t>
            </w:r>
            <w:r>
              <w:rPr>
                <w:sz w:val="18"/>
              </w:rPr>
              <w:tab/>
            </w:r>
            <w:r>
              <w:rPr>
                <w:rFonts w:ascii="Calibri" w:hAnsi="Calibri"/>
                <w:spacing w:val="-10"/>
                <w:w w:val="105"/>
                <w:sz w:val="18"/>
              </w:rPr>
              <w:t>∆</w:t>
            </w:r>
          </w:p>
          <w:p>
            <w:pPr>
              <w:pStyle w:val="TableParagraph"/>
              <w:spacing w:before="50"/>
              <w:ind w:left="110"/>
              <w:rPr>
                <w:sz w:val="18"/>
              </w:rPr>
            </w:pPr>
            <w:r>
              <w:rPr>
                <w:spacing w:val="-2"/>
                <w:sz w:val="18"/>
              </w:rPr>
              <w:t>(mhl)</w:t>
            </w:r>
          </w:p>
        </w:tc>
        <w:tc>
          <w:tcPr>
            <w:tcW w:w="4892" w:type="dxa"/>
            <w:tcBorders>
              <w:top w:val="nil"/>
              <w:left w:val="single" w:sz="4" w:space="0" w:color="000000"/>
              <w:right w:val="nil"/>
            </w:tcBorders>
          </w:tcPr>
          <w:p>
            <w:pPr>
              <w:pStyle w:val="TableParagraph"/>
              <w:spacing w:before="74"/>
              <w:ind w:left="115"/>
              <w:rPr>
                <w:sz w:val="18"/>
              </w:rPr>
            </w:pPr>
            <w:r>
              <w:rPr>
                <w:sz w:val="18"/>
              </w:rPr>
              <w:t>Conditions</w:t>
            </w:r>
            <w:r>
              <w:rPr>
                <w:spacing w:val="-9"/>
                <w:sz w:val="18"/>
              </w:rPr>
              <w:t> </w:t>
            </w:r>
            <w:r>
              <w:rPr>
                <w:spacing w:val="-2"/>
                <w:sz w:val="18"/>
              </w:rPr>
              <w:t>(abbreviated)</w:t>
            </w:r>
          </w:p>
        </w:tc>
      </w:tr>
    </w:tbl>
    <w:p>
      <w:pPr>
        <w:pStyle w:val="BodyText"/>
        <w:spacing w:before="11"/>
        <w:rPr>
          <w:i/>
          <w:sz w:val="4"/>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0"/>
        <w:gridCol w:w="1098"/>
        <w:gridCol w:w="928"/>
        <w:gridCol w:w="985"/>
        <w:gridCol w:w="1098"/>
        <w:gridCol w:w="4892"/>
      </w:tblGrid>
      <w:tr>
        <w:trPr>
          <w:trHeight w:val="888" w:hRule="atLeast"/>
        </w:trPr>
        <w:tc>
          <w:tcPr>
            <w:tcW w:w="470" w:type="dxa"/>
            <w:tcBorders>
              <w:right w:val="single" w:sz="4" w:space="0" w:color="000000"/>
            </w:tcBorders>
          </w:tcPr>
          <w:p>
            <w:pPr>
              <w:pStyle w:val="TableParagraph"/>
              <w:spacing w:before="74"/>
              <w:ind w:left="119"/>
              <w:rPr>
                <w:sz w:val="18"/>
              </w:rPr>
            </w:pPr>
            <w:r>
              <w:rPr>
                <w:spacing w:val="-5"/>
                <w:sz w:val="18"/>
              </w:rPr>
              <w:t>40</w:t>
            </w:r>
          </w:p>
        </w:tc>
        <w:tc>
          <w:tcPr>
            <w:tcW w:w="1098" w:type="dxa"/>
            <w:tcBorders>
              <w:left w:val="single" w:sz="4" w:space="0" w:color="000000"/>
              <w:right w:val="single" w:sz="4" w:space="0" w:color="000000"/>
            </w:tcBorders>
          </w:tcPr>
          <w:p>
            <w:pPr>
              <w:pStyle w:val="TableParagraph"/>
              <w:spacing w:before="74"/>
              <w:ind w:left="118"/>
              <w:rPr>
                <w:sz w:val="18"/>
              </w:rPr>
            </w:pPr>
            <w:r>
              <w:rPr>
                <w:spacing w:val="-2"/>
                <w:sz w:val="18"/>
              </w:rPr>
              <w:t>16.9%</w:t>
            </w:r>
          </w:p>
          <w:p>
            <w:pPr>
              <w:pStyle w:val="TableParagraph"/>
              <w:spacing w:before="58"/>
              <w:ind w:left="112"/>
              <w:rPr>
                <w:sz w:val="18"/>
              </w:rPr>
            </w:pPr>
            <w:r>
              <w:rPr>
                <w:sz w:val="18"/>
              </w:rPr>
              <w:t>(</w:t>
            </w:r>
            <w:r>
              <w:rPr>
                <w:spacing w:val="-2"/>
                <w:sz w:val="18"/>
              </w:rPr>
              <w:t> 15yr)</w:t>
            </w:r>
          </w:p>
        </w:tc>
        <w:tc>
          <w:tcPr>
            <w:tcW w:w="928" w:type="dxa"/>
            <w:tcBorders>
              <w:left w:val="single" w:sz="4" w:space="0" w:color="000000"/>
              <w:right w:val="single" w:sz="4" w:space="0" w:color="000000"/>
            </w:tcBorders>
          </w:tcPr>
          <w:p>
            <w:pPr>
              <w:pStyle w:val="TableParagraph"/>
              <w:spacing w:before="74"/>
              <w:ind w:left="117"/>
              <w:rPr>
                <w:sz w:val="18"/>
              </w:rPr>
            </w:pPr>
            <w:r>
              <w:rPr>
                <w:spacing w:val="-2"/>
                <w:sz w:val="18"/>
              </w:rPr>
              <w:t>0.0580</w:t>
            </w:r>
          </w:p>
        </w:tc>
        <w:tc>
          <w:tcPr>
            <w:tcW w:w="985" w:type="dxa"/>
            <w:tcBorders>
              <w:left w:val="single" w:sz="4" w:space="0" w:color="000000"/>
              <w:right w:val="single" w:sz="4" w:space="0" w:color="000000"/>
            </w:tcBorders>
          </w:tcPr>
          <w:p>
            <w:pPr>
              <w:pStyle w:val="TableParagraph"/>
              <w:spacing w:before="74"/>
              <w:ind w:left="117"/>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74"/>
              <w:ind w:left="116"/>
              <w:rPr>
                <w:sz w:val="18"/>
              </w:rPr>
            </w:pPr>
            <w:r>
              <w:rPr>
                <w:spacing w:val="-4"/>
                <w:sz w:val="18"/>
              </w:rPr>
              <w:t>+127</w:t>
            </w:r>
          </w:p>
        </w:tc>
        <w:tc>
          <w:tcPr>
            <w:tcW w:w="4892" w:type="dxa"/>
            <w:tcBorders>
              <w:left w:val="single" w:sz="4" w:space="0" w:color="000000"/>
            </w:tcBorders>
          </w:tcPr>
          <w:p>
            <w:pPr>
              <w:pStyle w:val="TableParagraph"/>
              <w:spacing w:line="307" w:lineRule="auto" w:before="74"/>
              <w:ind w:left="115" w:right="120"/>
              <w:jc w:val="both"/>
              <w:rPr>
                <w:sz w:val="18"/>
              </w:rPr>
            </w:pPr>
            <w:r>
              <w:rPr>
                <w:sz w:val="18"/>
              </w:rPr>
              <w:t>Wet days post-Flowering [0–3.3d] AND Soil water pre-</w:t>
            </w:r>
            <w:r>
              <w:rPr>
                <w:sz w:val="18"/>
              </w:rPr>
              <w:t>Harvest </w:t>
            </w:r>
            <w:r>
              <w:rPr>
                <w:spacing w:val="-2"/>
                <w:sz w:val="18"/>
              </w:rPr>
              <w:t>[101–152</w:t>
            </w:r>
            <w:r>
              <w:rPr>
                <w:spacing w:val="-5"/>
                <w:sz w:val="18"/>
              </w:rPr>
              <w:t> </w:t>
            </w:r>
            <w:r>
              <w:rPr>
                <w:spacing w:val="-2"/>
                <w:sz w:val="18"/>
              </w:rPr>
              <w:t>mm]</w:t>
            </w:r>
            <w:r>
              <w:rPr>
                <w:spacing w:val="-5"/>
                <w:sz w:val="18"/>
              </w:rPr>
              <w:t> </w:t>
            </w:r>
            <w:r>
              <w:rPr>
                <w:spacing w:val="-2"/>
                <w:sz w:val="18"/>
              </w:rPr>
              <w:t>AND</w:t>
            </w:r>
            <w:r>
              <w:rPr>
                <w:spacing w:val="-5"/>
                <w:sz w:val="18"/>
              </w:rPr>
              <w:t> </w:t>
            </w:r>
            <w:r>
              <w:rPr>
                <w:spacing w:val="-2"/>
                <w:sz w:val="18"/>
              </w:rPr>
              <w:t>Wet</w:t>
            </w:r>
            <w:r>
              <w:rPr>
                <w:spacing w:val="-5"/>
                <w:sz w:val="18"/>
              </w:rPr>
              <w:t> </w:t>
            </w:r>
            <w:r>
              <w:rPr>
                <w:spacing w:val="-2"/>
                <w:sz w:val="18"/>
              </w:rPr>
              <w:t>days</w:t>
            </w:r>
            <w:r>
              <w:rPr>
                <w:spacing w:val="-5"/>
                <w:sz w:val="18"/>
              </w:rPr>
              <w:t> </w:t>
            </w:r>
            <w:r>
              <w:rPr>
                <w:spacing w:val="-2"/>
                <w:sz w:val="18"/>
              </w:rPr>
              <w:t>post-Maturity</w:t>
            </w:r>
            <w:r>
              <w:rPr>
                <w:spacing w:val="-5"/>
                <w:sz w:val="18"/>
              </w:rPr>
              <w:t> </w:t>
            </w:r>
            <w:r>
              <w:rPr>
                <w:spacing w:val="-2"/>
                <w:sz w:val="18"/>
              </w:rPr>
              <w:t>[0–3.5d]</w:t>
            </w:r>
            <w:r>
              <w:rPr>
                <w:spacing w:val="-5"/>
                <w:sz w:val="18"/>
              </w:rPr>
              <w:t> </w:t>
            </w:r>
            <w:r>
              <w:rPr>
                <w:spacing w:val="-2"/>
                <w:sz w:val="18"/>
              </w:rPr>
              <w:t>AND</w:t>
            </w:r>
            <w:r>
              <w:rPr>
                <w:spacing w:val="-5"/>
                <w:sz w:val="18"/>
              </w:rPr>
              <w:t> </w:t>
            </w:r>
            <w:r>
              <w:rPr>
                <w:spacing w:val="-2"/>
                <w:sz w:val="18"/>
              </w:rPr>
              <w:t>Heat days</w:t>
            </w:r>
            <w:r>
              <w:rPr>
                <w:spacing w:val="1"/>
                <w:sz w:val="18"/>
              </w:rPr>
              <w:t> </w:t>
            </w:r>
            <w:r>
              <w:rPr>
                <w:spacing w:val="-2"/>
                <w:sz w:val="18"/>
              </w:rPr>
              <w:t>pre-Maturity</w:t>
            </w:r>
            <w:r>
              <w:rPr>
                <w:spacing w:val="1"/>
                <w:sz w:val="18"/>
              </w:rPr>
              <w:t> </w:t>
            </w:r>
            <w:r>
              <w:rPr>
                <w:spacing w:val="-2"/>
                <w:sz w:val="18"/>
              </w:rPr>
              <w:t>[0–3.7d]</w:t>
            </w:r>
            <w:r>
              <w:rPr>
                <w:spacing w:val="1"/>
                <w:sz w:val="18"/>
              </w:rPr>
              <w:t> </w:t>
            </w:r>
            <w:r>
              <w:rPr>
                <w:spacing w:val="-2"/>
                <w:sz w:val="18"/>
              </w:rPr>
              <w:t>AND</w:t>
            </w:r>
            <w:r>
              <w:rPr>
                <w:spacing w:val="1"/>
                <w:sz w:val="18"/>
              </w:rPr>
              <w:t> </w:t>
            </w:r>
            <w:r>
              <w:rPr>
                <w:spacing w:val="-2"/>
                <w:sz w:val="18"/>
              </w:rPr>
              <w:t>Cold</w:t>
            </w:r>
            <w:r>
              <w:rPr>
                <w:spacing w:val="1"/>
                <w:sz w:val="18"/>
              </w:rPr>
              <w:t> </w:t>
            </w:r>
            <w:r>
              <w:rPr>
                <w:spacing w:val="-2"/>
                <w:sz w:val="18"/>
              </w:rPr>
              <w:t>days</w:t>
            </w:r>
            <w:r>
              <w:rPr>
                <w:spacing w:val="1"/>
                <w:sz w:val="18"/>
              </w:rPr>
              <w:t> </w:t>
            </w:r>
            <w:r>
              <w:rPr>
                <w:spacing w:val="-2"/>
                <w:sz w:val="18"/>
              </w:rPr>
              <w:t>pre-Harvest</w:t>
            </w:r>
            <w:r>
              <w:rPr>
                <w:spacing w:val="1"/>
                <w:sz w:val="18"/>
              </w:rPr>
              <w:t> </w:t>
            </w:r>
            <w:r>
              <w:rPr>
                <w:spacing w:val="-2"/>
                <w:sz w:val="18"/>
              </w:rPr>
              <w:t>[0–2.0d]</w:t>
            </w:r>
          </w:p>
        </w:tc>
      </w:tr>
      <w:tr>
        <w:trPr>
          <w:trHeight w:val="877" w:hRule="atLeast"/>
        </w:trPr>
        <w:tc>
          <w:tcPr>
            <w:tcW w:w="470" w:type="dxa"/>
            <w:tcBorders>
              <w:right w:val="single" w:sz="4" w:space="0" w:color="000000"/>
            </w:tcBorders>
          </w:tcPr>
          <w:p>
            <w:pPr>
              <w:pStyle w:val="TableParagraph"/>
              <w:spacing w:before="62"/>
              <w:ind w:left="119"/>
              <w:rPr>
                <w:sz w:val="18"/>
              </w:rPr>
            </w:pPr>
            <w:r>
              <w:rPr>
                <w:spacing w:val="-5"/>
                <w:sz w:val="18"/>
              </w:rPr>
              <w:t>41</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16.9%</w:t>
            </w:r>
          </w:p>
          <w:p>
            <w:pPr>
              <w:pStyle w:val="TableParagraph"/>
              <w:spacing w:before="59"/>
              <w:ind w:left="112"/>
              <w:rPr>
                <w:sz w:val="18"/>
              </w:rPr>
            </w:pPr>
            <w:r>
              <w:rPr>
                <w:sz w:val="18"/>
              </w:rPr>
              <w:t>(</w:t>
            </w:r>
            <w:r>
              <w:rPr>
                <w:spacing w:val="-2"/>
                <w:sz w:val="18"/>
              </w:rPr>
              <w:t> 15yr)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0.0600</w:t>
            </w:r>
          </w:p>
        </w:tc>
        <w:tc>
          <w:tcPr>
            <w:tcW w:w="985" w:type="dxa"/>
            <w:tcBorders>
              <w:left w:val="single" w:sz="4" w:space="0" w:color="000000"/>
              <w:right w:val="single" w:sz="4" w:space="0" w:color="000000"/>
            </w:tcBorders>
          </w:tcPr>
          <w:p>
            <w:pPr>
              <w:pStyle w:val="TableParagraph"/>
              <w:spacing w:before="62"/>
              <w:ind w:left="117"/>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62"/>
              <w:ind w:left="116"/>
              <w:rPr>
                <w:sz w:val="18"/>
              </w:rPr>
            </w:pPr>
            <w:r>
              <w:rPr>
                <w:spacing w:val="-4"/>
                <w:sz w:val="18"/>
              </w:rPr>
              <w:t>+126</w:t>
            </w:r>
          </w:p>
        </w:tc>
        <w:tc>
          <w:tcPr>
            <w:tcW w:w="4892" w:type="dxa"/>
            <w:tcBorders>
              <w:left w:val="single" w:sz="4" w:space="0" w:color="000000"/>
            </w:tcBorders>
          </w:tcPr>
          <w:p>
            <w:pPr>
              <w:pStyle w:val="TableParagraph"/>
              <w:spacing w:line="307" w:lineRule="auto" w:before="62"/>
              <w:ind w:left="115" w:right="120"/>
              <w:jc w:val="both"/>
              <w:rPr>
                <w:sz w:val="18"/>
              </w:rPr>
            </w:pPr>
            <w:r>
              <w:rPr>
                <w:sz w:val="18"/>
              </w:rPr>
              <w:t>Wet days post-Flowering [0–3.3d] AND Soil water pre-</w:t>
            </w:r>
            <w:r>
              <w:rPr>
                <w:sz w:val="18"/>
              </w:rPr>
              <w:t>Harvest [74–231 mm] AND Cold days pre-Harvest [0–2.0d] AND Heat days post-Flowering [0–0.6d]</w:t>
            </w:r>
          </w:p>
        </w:tc>
      </w:tr>
      <w:tr>
        <w:trPr>
          <w:trHeight w:val="1143" w:hRule="atLeast"/>
        </w:trPr>
        <w:tc>
          <w:tcPr>
            <w:tcW w:w="470" w:type="dxa"/>
            <w:tcBorders>
              <w:right w:val="single" w:sz="4" w:space="0" w:color="000000"/>
            </w:tcBorders>
          </w:tcPr>
          <w:p>
            <w:pPr>
              <w:pStyle w:val="TableParagraph"/>
              <w:spacing w:before="62"/>
              <w:ind w:left="119"/>
              <w:rPr>
                <w:sz w:val="18"/>
              </w:rPr>
            </w:pPr>
            <w:r>
              <w:rPr>
                <w:spacing w:val="-5"/>
                <w:sz w:val="18"/>
              </w:rPr>
              <w:t>42</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16.9%</w:t>
            </w:r>
          </w:p>
          <w:p>
            <w:pPr>
              <w:pStyle w:val="TableParagraph"/>
              <w:spacing w:before="59"/>
              <w:ind w:left="112"/>
              <w:rPr>
                <w:sz w:val="18"/>
              </w:rPr>
            </w:pPr>
            <w:r>
              <w:rPr>
                <w:sz w:val="18"/>
              </w:rPr>
              <w:t>(</w:t>
            </w:r>
            <w:r>
              <w:rPr>
                <w:spacing w:val="-2"/>
                <w:sz w:val="18"/>
              </w:rPr>
              <w:t> 15yr)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0.0620</w:t>
            </w:r>
          </w:p>
        </w:tc>
        <w:tc>
          <w:tcPr>
            <w:tcW w:w="985" w:type="dxa"/>
            <w:tcBorders>
              <w:left w:val="single" w:sz="4" w:space="0" w:color="000000"/>
              <w:right w:val="single" w:sz="4" w:space="0" w:color="000000"/>
            </w:tcBorders>
          </w:tcPr>
          <w:p>
            <w:pPr>
              <w:pStyle w:val="TableParagraph"/>
              <w:spacing w:before="62"/>
              <w:ind w:left="117"/>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62"/>
              <w:ind w:left="116"/>
              <w:rPr>
                <w:sz w:val="18"/>
              </w:rPr>
            </w:pPr>
            <w:r>
              <w:rPr>
                <w:spacing w:val="-4"/>
                <w:sz w:val="18"/>
              </w:rPr>
              <w:t>+126</w:t>
            </w:r>
          </w:p>
        </w:tc>
        <w:tc>
          <w:tcPr>
            <w:tcW w:w="4892" w:type="dxa"/>
            <w:tcBorders>
              <w:left w:val="single" w:sz="4" w:space="0" w:color="000000"/>
            </w:tcBorders>
          </w:tcPr>
          <w:p>
            <w:pPr>
              <w:pStyle w:val="TableParagraph"/>
              <w:spacing w:line="307" w:lineRule="auto" w:before="62"/>
              <w:ind w:left="115" w:right="93"/>
              <w:jc w:val="both"/>
              <w:rPr>
                <w:sz w:val="18"/>
              </w:rPr>
            </w:pPr>
            <w:r>
              <w:rPr>
                <w:sz w:val="18"/>
              </w:rPr>
              <w:t>Wet days post-Flowering [0–3.3d] AND Soil water pre-Harvest [74–231</w:t>
            </w:r>
            <w:r>
              <w:rPr>
                <w:spacing w:val="-4"/>
                <w:sz w:val="18"/>
              </w:rPr>
              <w:t> </w:t>
            </w:r>
            <w:r>
              <w:rPr>
                <w:sz w:val="18"/>
              </w:rPr>
              <w:t>mm]</w:t>
            </w:r>
            <w:r>
              <w:rPr>
                <w:spacing w:val="-4"/>
                <w:sz w:val="18"/>
              </w:rPr>
              <w:t> </w:t>
            </w:r>
            <w:r>
              <w:rPr>
                <w:sz w:val="18"/>
              </w:rPr>
              <w:t>AND</w:t>
            </w:r>
            <w:r>
              <w:rPr>
                <w:spacing w:val="-4"/>
                <w:sz w:val="18"/>
              </w:rPr>
              <w:t> </w:t>
            </w:r>
            <w:r>
              <w:rPr>
                <w:sz w:val="18"/>
              </w:rPr>
              <w:t>Wet</w:t>
            </w:r>
            <w:r>
              <w:rPr>
                <w:spacing w:val="-4"/>
                <w:sz w:val="18"/>
              </w:rPr>
              <w:t> </w:t>
            </w:r>
            <w:r>
              <w:rPr>
                <w:sz w:val="18"/>
              </w:rPr>
              <w:t>days</w:t>
            </w:r>
            <w:r>
              <w:rPr>
                <w:spacing w:val="-4"/>
                <w:sz w:val="18"/>
              </w:rPr>
              <w:t> </w:t>
            </w:r>
            <w:r>
              <w:rPr>
                <w:sz w:val="18"/>
              </w:rPr>
              <w:t>post-Maturity</w:t>
            </w:r>
            <w:r>
              <w:rPr>
                <w:spacing w:val="-4"/>
                <w:sz w:val="18"/>
              </w:rPr>
              <w:t> </w:t>
            </w:r>
            <w:r>
              <w:rPr>
                <w:sz w:val="18"/>
              </w:rPr>
              <w:t>[0–3.5d]</w:t>
            </w:r>
            <w:r>
              <w:rPr>
                <w:spacing w:val="-4"/>
                <w:sz w:val="18"/>
              </w:rPr>
              <w:t> </w:t>
            </w:r>
            <w:r>
              <w:rPr>
                <w:sz w:val="18"/>
              </w:rPr>
              <w:t>AND</w:t>
            </w:r>
            <w:r>
              <w:rPr>
                <w:spacing w:val="-4"/>
                <w:sz w:val="18"/>
              </w:rPr>
              <w:t> </w:t>
            </w:r>
            <w:r>
              <w:rPr>
                <w:sz w:val="18"/>
              </w:rPr>
              <w:t>Cold days pre-Harvest [0–2.0d] AND Heat days post-Flowering </w:t>
            </w:r>
            <w:r>
              <w:rPr>
                <w:sz w:val="18"/>
              </w:rPr>
              <w:t>[0–</w:t>
            </w:r>
            <w:r>
              <w:rPr>
                <w:spacing w:val="-2"/>
                <w:sz w:val="18"/>
              </w:rPr>
              <w:t>0.6d]</w:t>
            </w:r>
          </w:p>
        </w:tc>
      </w:tr>
      <w:tr>
        <w:trPr>
          <w:trHeight w:val="877" w:hRule="atLeast"/>
        </w:trPr>
        <w:tc>
          <w:tcPr>
            <w:tcW w:w="470" w:type="dxa"/>
            <w:tcBorders>
              <w:right w:val="single" w:sz="4" w:space="0" w:color="000000"/>
            </w:tcBorders>
          </w:tcPr>
          <w:p>
            <w:pPr>
              <w:pStyle w:val="TableParagraph"/>
              <w:spacing w:before="62"/>
              <w:ind w:left="119"/>
              <w:rPr>
                <w:sz w:val="18"/>
              </w:rPr>
            </w:pPr>
            <w:r>
              <w:rPr>
                <w:spacing w:val="-5"/>
                <w:sz w:val="18"/>
              </w:rPr>
              <w:t>43</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16.9%</w:t>
            </w:r>
          </w:p>
          <w:p>
            <w:pPr>
              <w:pStyle w:val="TableParagraph"/>
              <w:spacing w:before="59"/>
              <w:ind w:left="112"/>
              <w:rPr>
                <w:sz w:val="18"/>
              </w:rPr>
            </w:pPr>
            <w:r>
              <w:rPr>
                <w:sz w:val="18"/>
              </w:rPr>
              <w:t>(</w:t>
            </w:r>
            <w:r>
              <w:rPr>
                <w:spacing w:val="-2"/>
                <w:sz w:val="18"/>
              </w:rPr>
              <w:t> 15yr)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0.0650</w:t>
            </w:r>
          </w:p>
        </w:tc>
        <w:tc>
          <w:tcPr>
            <w:tcW w:w="985" w:type="dxa"/>
            <w:tcBorders>
              <w:left w:val="single" w:sz="4" w:space="0" w:color="000000"/>
              <w:right w:val="single" w:sz="4" w:space="0" w:color="000000"/>
            </w:tcBorders>
          </w:tcPr>
          <w:p>
            <w:pPr>
              <w:pStyle w:val="TableParagraph"/>
              <w:spacing w:before="62"/>
              <w:ind w:left="117"/>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62"/>
              <w:ind w:left="116"/>
              <w:rPr>
                <w:sz w:val="18"/>
              </w:rPr>
            </w:pPr>
            <w:r>
              <w:rPr>
                <w:spacing w:val="-4"/>
                <w:sz w:val="18"/>
              </w:rPr>
              <w:t>+119</w:t>
            </w:r>
          </w:p>
        </w:tc>
        <w:tc>
          <w:tcPr>
            <w:tcW w:w="4892" w:type="dxa"/>
            <w:tcBorders>
              <w:left w:val="single" w:sz="4" w:space="0" w:color="000000"/>
            </w:tcBorders>
          </w:tcPr>
          <w:p>
            <w:pPr>
              <w:pStyle w:val="TableParagraph"/>
              <w:spacing w:line="307" w:lineRule="auto" w:before="62"/>
              <w:ind w:left="115" w:right="120"/>
              <w:jc w:val="both"/>
              <w:rPr>
                <w:sz w:val="18"/>
              </w:rPr>
            </w:pPr>
            <w:r>
              <w:rPr>
                <w:sz w:val="18"/>
              </w:rPr>
              <w:t>Wet days post-Flowering [0–3.3d] AND Soil water pre-</w:t>
            </w:r>
            <w:r>
              <w:rPr>
                <w:sz w:val="18"/>
              </w:rPr>
              <w:t>Harvest [101–231</w:t>
            </w:r>
            <w:r>
              <w:rPr>
                <w:spacing w:val="-12"/>
                <w:sz w:val="18"/>
              </w:rPr>
              <w:t> </w:t>
            </w:r>
            <w:r>
              <w:rPr>
                <w:sz w:val="18"/>
              </w:rPr>
              <w:t>mm]</w:t>
            </w:r>
            <w:r>
              <w:rPr>
                <w:spacing w:val="-11"/>
                <w:sz w:val="18"/>
              </w:rPr>
              <w:t> </w:t>
            </w:r>
            <w:r>
              <w:rPr>
                <w:sz w:val="18"/>
              </w:rPr>
              <w:t>AND</w:t>
            </w:r>
            <w:r>
              <w:rPr>
                <w:spacing w:val="-11"/>
                <w:sz w:val="18"/>
              </w:rPr>
              <w:t> </w:t>
            </w:r>
            <w:r>
              <w:rPr>
                <w:sz w:val="18"/>
              </w:rPr>
              <w:t>Heat</w:t>
            </w:r>
            <w:r>
              <w:rPr>
                <w:spacing w:val="-11"/>
                <w:sz w:val="18"/>
              </w:rPr>
              <w:t> </w:t>
            </w:r>
            <w:r>
              <w:rPr>
                <w:sz w:val="18"/>
              </w:rPr>
              <w:t>days</w:t>
            </w:r>
            <w:r>
              <w:rPr>
                <w:spacing w:val="-12"/>
                <w:sz w:val="18"/>
              </w:rPr>
              <w:t> </w:t>
            </w:r>
            <w:r>
              <w:rPr>
                <w:sz w:val="18"/>
              </w:rPr>
              <w:t>pre-Maturity</w:t>
            </w:r>
            <w:r>
              <w:rPr>
                <w:spacing w:val="-11"/>
                <w:sz w:val="18"/>
              </w:rPr>
              <w:t> </w:t>
            </w:r>
            <w:r>
              <w:rPr>
                <w:sz w:val="18"/>
              </w:rPr>
              <w:t>[0–3.7d]</w:t>
            </w:r>
            <w:r>
              <w:rPr>
                <w:spacing w:val="-11"/>
                <w:sz w:val="18"/>
              </w:rPr>
              <w:t> </w:t>
            </w:r>
            <w:r>
              <w:rPr>
                <w:sz w:val="18"/>
              </w:rPr>
              <w:t>AND</w:t>
            </w:r>
            <w:r>
              <w:rPr>
                <w:spacing w:val="-11"/>
                <w:sz w:val="18"/>
              </w:rPr>
              <w:t> </w:t>
            </w:r>
            <w:r>
              <w:rPr>
                <w:sz w:val="18"/>
              </w:rPr>
              <w:t>Cold days pre-Harvest [0–2.0d]</w:t>
            </w:r>
          </w:p>
        </w:tc>
      </w:tr>
      <w:tr>
        <w:trPr>
          <w:trHeight w:val="877" w:hRule="atLeast"/>
        </w:trPr>
        <w:tc>
          <w:tcPr>
            <w:tcW w:w="470" w:type="dxa"/>
            <w:tcBorders>
              <w:right w:val="single" w:sz="4" w:space="0" w:color="000000"/>
            </w:tcBorders>
          </w:tcPr>
          <w:p>
            <w:pPr>
              <w:pStyle w:val="TableParagraph"/>
              <w:spacing w:before="62"/>
              <w:ind w:left="119"/>
              <w:rPr>
                <w:sz w:val="18"/>
              </w:rPr>
            </w:pPr>
            <w:r>
              <w:rPr>
                <w:spacing w:val="-5"/>
                <w:sz w:val="18"/>
              </w:rPr>
              <w:t>44</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15.7%</w:t>
            </w:r>
          </w:p>
          <w:p>
            <w:pPr>
              <w:pStyle w:val="TableParagraph"/>
              <w:spacing w:before="59"/>
              <w:ind w:left="112"/>
              <w:rPr>
                <w:sz w:val="18"/>
              </w:rPr>
            </w:pPr>
            <w:r>
              <w:rPr>
                <w:sz w:val="18"/>
              </w:rPr>
              <w:t>(</w:t>
            </w:r>
            <w:r>
              <w:rPr>
                <w:spacing w:val="-2"/>
                <w:sz w:val="18"/>
              </w:rPr>
              <w:t> 14yr)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0.0680</w:t>
            </w:r>
          </w:p>
        </w:tc>
        <w:tc>
          <w:tcPr>
            <w:tcW w:w="985" w:type="dxa"/>
            <w:tcBorders>
              <w:left w:val="single" w:sz="4" w:space="0" w:color="000000"/>
              <w:right w:val="single" w:sz="4" w:space="0" w:color="000000"/>
            </w:tcBorders>
          </w:tcPr>
          <w:p>
            <w:pPr>
              <w:pStyle w:val="TableParagraph"/>
              <w:spacing w:before="62"/>
              <w:ind w:left="117"/>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62"/>
              <w:ind w:left="116"/>
              <w:rPr>
                <w:sz w:val="18"/>
              </w:rPr>
            </w:pPr>
            <w:r>
              <w:rPr>
                <w:spacing w:val="-4"/>
                <w:sz w:val="18"/>
              </w:rPr>
              <w:t>+136</w:t>
            </w:r>
          </w:p>
        </w:tc>
        <w:tc>
          <w:tcPr>
            <w:tcW w:w="4892" w:type="dxa"/>
            <w:tcBorders>
              <w:left w:val="single" w:sz="4" w:space="0" w:color="000000"/>
            </w:tcBorders>
          </w:tcPr>
          <w:p>
            <w:pPr>
              <w:pStyle w:val="TableParagraph"/>
              <w:spacing w:line="307" w:lineRule="auto" w:before="62"/>
              <w:ind w:left="115" w:right="114"/>
              <w:jc w:val="both"/>
              <w:rPr>
                <w:sz w:val="18"/>
              </w:rPr>
            </w:pPr>
            <w:r>
              <w:rPr>
                <w:sz w:val="18"/>
              </w:rPr>
              <w:t>Wet</w:t>
            </w:r>
            <w:r>
              <w:rPr>
                <w:spacing w:val="-8"/>
                <w:sz w:val="18"/>
              </w:rPr>
              <w:t> </w:t>
            </w:r>
            <w:r>
              <w:rPr>
                <w:sz w:val="18"/>
              </w:rPr>
              <w:t>days</w:t>
            </w:r>
            <w:r>
              <w:rPr>
                <w:spacing w:val="-8"/>
                <w:sz w:val="18"/>
              </w:rPr>
              <w:t> </w:t>
            </w:r>
            <w:r>
              <w:rPr>
                <w:sz w:val="18"/>
              </w:rPr>
              <w:t>post-Flowering</w:t>
            </w:r>
            <w:r>
              <w:rPr>
                <w:spacing w:val="-8"/>
                <w:sz w:val="18"/>
              </w:rPr>
              <w:t> </w:t>
            </w:r>
            <w:r>
              <w:rPr>
                <w:sz w:val="18"/>
              </w:rPr>
              <w:t>[0–3.3d]</w:t>
            </w:r>
            <w:r>
              <w:rPr>
                <w:spacing w:val="-8"/>
                <w:sz w:val="18"/>
              </w:rPr>
              <w:t> </w:t>
            </w:r>
            <w:r>
              <w:rPr>
                <w:sz w:val="18"/>
              </w:rPr>
              <w:t>AND</w:t>
            </w:r>
            <w:r>
              <w:rPr>
                <w:spacing w:val="-8"/>
                <w:sz w:val="18"/>
              </w:rPr>
              <w:t> </w:t>
            </w:r>
            <w:r>
              <w:rPr>
                <w:sz w:val="18"/>
              </w:rPr>
              <w:t>Wet</w:t>
            </w:r>
            <w:r>
              <w:rPr>
                <w:spacing w:val="-8"/>
                <w:sz w:val="18"/>
              </w:rPr>
              <w:t> </w:t>
            </w:r>
            <w:r>
              <w:rPr>
                <w:sz w:val="18"/>
              </w:rPr>
              <w:t>days</w:t>
            </w:r>
            <w:r>
              <w:rPr>
                <w:spacing w:val="-8"/>
                <w:sz w:val="18"/>
              </w:rPr>
              <w:t> </w:t>
            </w:r>
            <w:r>
              <w:rPr>
                <w:sz w:val="18"/>
              </w:rPr>
              <w:t>post-</w:t>
            </w:r>
            <w:r>
              <w:rPr>
                <w:sz w:val="18"/>
              </w:rPr>
              <w:t>Maturity [0–3.5d] AND Soil water pre-Harvest [74–231 mm] AND Heat </w:t>
            </w:r>
            <w:r>
              <w:rPr>
                <w:spacing w:val="-2"/>
                <w:sz w:val="18"/>
              </w:rPr>
              <w:t>days</w:t>
            </w:r>
            <w:r>
              <w:rPr>
                <w:spacing w:val="1"/>
                <w:sz w:val="18"/>
              </w:rPr>
              <w:t> </w:t>
            </w:r>
            <w:r>
              <w:rPr>
                <w:spacing w:val="-2"/>
                <w:sz w:val="18"/>
              </w:rPr>
              <w:t>pre-Maturity</w:t>
            </w:r>
            <w:r>
              <w:rPr>
                <w:spacing w:val="1"/>
                <w:sz w:val="18"/>
              </w:rPr>
              <w:t> </w:t>
            </w:r>
            <w:r>
              <w:rPr>
                <w:spacing w:val="-2"/>
                <w:sz w:val="18"/>
              </w:rPr>
              <w:t>[0–3.7d]</w:t>
            </w:r>
            <w:r>
              <w:rPr>
                <w:spacing w:val="1"/>
                <w:sz w:val="18"/>
              </w:rPr>
              <w:t> </w:t>
            </w:r>
            <w:r>
              <w:rPr>
                <w:spacing w:val="-2"/>
                <w:sz w:val="18"/>
              </w:rPr>
              <w:t>AND</w:t>
            </w:r>
            <w:r>
              <w:rPr>
                <w:spacing w:val="1"/>
                <w:sz w:val="18"/>
              </w:rPr>
              <w:t> </w:t>
            </w:r>
            <w:r>
              <w:rPr>
                <w:spacing w:val="-2"/>
                <w:sz w:val="18"/>
              </w:rPr>
              <w:t>Cold</w:t>
            </w:r>
            <w:r>
              <w:rPr>
                <w:spacing w:val="1"/>
                <w:sz w:val="18"/>
              </w:rPr>
              <w:t> </w:t>
            </w:r>
            <w:r>
              <w:rPr>
                <w:spacing w:val="-2"/>
                <w:sz w:val="18"/>
              </w:rPr>
              <w:t>days</w:t>
            </w:r>
            <w:r>
              <w:rPr>
                <w:spacing w:val="1"/>
                <w:sz w:val="18"/>
              </w:rPr>
              <w:t> </w:t>
            </w:r>
            <w:r>
              <w:rPr>
                <w:spacing w:val="-2"/>
                <w:sz w:val="18"/>
              </w:rPr>
              <w:t>pre-Harvest</w:t>
            </w:r>
            <w:r>
              <w:rPr>
                <w:spacing w:val="1"/>
                <w:sz w:val="18"/>
              </w:rPr>
              <w:t> </w:t>
            </w:r>
            <w:r>
              <w:rPr>
                <w:spacing w:val="-2"/>
                <w:sz w:val="18"/>
              </w:rPr>
              <w:t>[0–2.0d]</w:t>
            </w:r>
          </w:p>
        </w:tc>
      </w:tr>
      <w:tr>
        <w:trPr>
          <w:trHeight w:val="1143" w:hRule="atLeast"/>
        </w:trPr>
        <w:tc>
          <w:tcPr>
            <w:tcW w:w="470" w:type="dxa"/>
            <w:tcBorders>
              <w:right w:val="single" w:sz="4" w:space="0" w:color="000000"/>
            </w:tcBorders>
          </w:tcPr>
          <w:p>
            <w:pPr>
              <w:pStyle w:val="TableParagraph"/>
              <w:spacing w:before="62"/>
              <w:ind w:left="119"/>
              <w:rPr>
                <w:sz w:val="18"/>
              </w:rPr>
            </w:pPr>
            <w:r>
              <w:rPr>
                <w:spacing w:val="-5"/>
                <w:sz w:val="18"/>
              </w:rPr>
              <w:t>45</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15.7%</w:t>
            </w:r>
          </w:p>
          <w:p>
            <w:pPr>
              <w:pStyle w:val="TableParagraph"/>
              <w:spacing w:before="59"/>
              <w:ind w:left="112"/>
              <w:rPr>
                <w:sz w:val="18"/>
              </w:rPr>
            </w:pPr>
            <w:r>
              <w:rPr>
                <w:sz w:val="18"/>
              </w:rPr>
              <w:t>(</w:t>
            </w:r>
            <w:r>
              <w:rPr>
                <w:spacing w:val="-2"/>
                <w:sz w:val="18"/>
              </w:rPr>
              <w:t> 14yr)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0.0700</w:t>
            </w:r>
          </w:p>
        </w:tc>
        <w:tc>
          <w:tcPr>
            <w:tcW w:w="985" w:type="dxa"/>
            <w:tcBorders>
              <w:left w:val="single" w:sz="4" w:space="0" w:color="000000"/>
              <w:right w:val="single" w:sz="4" w:space="0" w:color="000000"/>
            </w:tcBorders>
          </w:tcPr>
          <w:p>
            <w:pPr>
              <w:pStyle w:val="TableParagraph"/>
              <w:spacing w:before="62"/>
              <w:ind w:left="117"/>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62"/>
              <w:ind w:left="116"/>
              <w:rPr>
                <w:sz w:val="18"/>
              </w:rPr>
            </w:pPr>
            <w:r>
              <w:rPr>
                <w:spacing w:val="-4"/>
                <w:sz w:val="18"/>
              </w:rPr>
              <w:t>+132</w:t>
            </w:r>
          </w:p>
        </w:tc>
        <w:tc>
          <w:tcPr>
            <w:tcW w:w="4892" w:type="dxa"/>
            <w:tcBorders>
              <w:left w:val="single" w:sz="4" w:space="0" w:color="000000"/>
            </w:tcBorders>
          </w:tcPr>
          <w:p>
            <w:pPr>
              <w:pStyle w:val="TableParagraph"/>
              <w:spacing w:line="307" w:lineRule="auto" w:before="62"/>
              <w:ind w:left="115" w:right="93"/>
              <w:jc w:val="both"/>
              <w:rPr>
                <w:sz w:val="18"/>
              </w:rPr>
            </w:pPr>
            <w:r>
              <w:rPr>
                <w:sz w:val="18"/>
              </w:rPr>
              <w:t>Wet days post-Flowering [0–3.3d] AND Soil water pre-Harvest [101–152</w:t>
            </w:r>
            <w:r>
              <w:rPr>
                <w:spacing w:val="-12"/>
                <w:sz w:val="18"/>
              </w:rPr>
              <w:t> </w:t>
            </w:r>
            <w:r>
              <w:rPr>
                <w:sz w:val="18"/>
              </w:rPr>
              <w:t>mm]</w:t>
            </w:r>
            <w:r>
              <w:rPr>
                <w:spacing w:val="-11"/>
                <w:sz w:val="18"/>
              </w:rPr>
              <w:t> </w:t>
            </w:r>
            <w:r>
              <w:rPr>
                <w:sz w:val="18"/>
              </w:rPr>
              <w:t>AND</w:t>
            </w:r>
            <w:r>
              <w:rPr>
                <w:spacing w:val="-11"/>
                <w:sz w:val="18"/>
              </w:rPr>
              <w:t> </w:t>
            </w:r>
            <w:r>
              <w:rPr>
                <w:sz w:val="18"/>
              </w:rPr>
              <w:t>Wet</w:t>
            </w:r>
            <w:r>
              <w:rPr>
                <w:spacing w:val="-11"/>
                <w:sz w:val="18"/>
              </w:rPr>
              <w:t> </w:t>
            </w:r>
            <w:r>
              <w:rPr>
                <w:sz w:val="18"/>
              </w:rPr>
              <w:t>days</w:t>
            </w:r>
            <w:r>
              <w:rPr>
                <w:spacing w:val="-12"/>
                <w:sz w:val="18"/>
              </w:rPr>
              <w:t> </w:t>
            </w:r>
            <w:r>
              <w:rPr>
                <w:sz w:val="18"/>
              </w:rPr>
              <w:t>post-Maturity</w:t>
            </w:r>
            <w:r>
              <w:rPr>
                <w:spacing w:val="-11"/>
                <w:sz w:val="18"/>
              </w:rPr>
              <w:t> </w:t>
            </w:r>
            <w:r>
              <w:rPr>
                <w:sz w:val="18"/>
              </w:rPr>
              <w:t>[0–3.5d]</w:t>
            </w:r>
            <w:r>
              <w:rPr>
                <w:spacing w:val="-11"/>
                <w:sz w:val="18"/>
              </w:rPr>
              <w:t> </w:t>
            </w:r>
            <w:r>
              <w:rPr>
                <w:sz w:val="18"/>
              </w:rPr>
              <w:t>AND</w:t>
            </w:r>
            <w:r>
              <w:rPr>
                <w:spacing w:val="-11"/>
                <w:sz w:val="18"/>
              </w:rPr>
              <w:t> </w:t>
            </w:r>
            <w:r>
              <w:rPr>
                <w:sz w:val="18"/>
              </w:rPr>
              <w:t>Heat days pre-Maturity [0–3.7d] AND Heat days post-Flowering </w:t>
            </w:r>
            <w:r>
              <w:rPr>
                <w:sz w:val="18"/>
              </w:rPr>
              <w:t>[0–</w:t>
            </w:r>
            <w:r>
              <w:rPr>
                <w:spacing w:val="-2"/>
                <w:sz w:val="18"/>
              </w:rPr>
              <w:t>0.6d]</w:t>
            </w:r>
          </w:p>
        </w:tc>
      </w:tr>
      <w:tr>
        <w:trPr>
          <w:trHeight w:val="877" w:hRule="atLeast"/>
        </w:trPr>
        <w:tc>
          <w:tcPr>
            <w:tcW w:w="470" w:type="dxa"/>
            <w:tcBorders>
              <w:right w:val="single" w:sz="4" w:space="0" w:color="000000"/>
            </w:tcBorders>
          </w:tcPr>
          <w:p>
            <w:pPr>
              <w:pStyle w:val="TableParagraph"/>
              <w:spacing w:before="62"/>
              <w:ind w:left="119"/>
              <w:rPr>
                <w:sz w:val="18"/>
              </w:rPr>
            </w:pPr>
            <w:r>
              <w:rPr>
                <w:spacing w:val="-5"/>
                <w:sz w:val="18"/>
              </w:rPr>
              <w:t>46</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15.7%</w:t>
            </w:r>
          </w:p>
          <w:p>
            <w:pPr>
              <w:pStyle w:val="TableParagraph"/>
              <w:spacing w:before="59"/>
              <w:ind w:left="112"/>
              <w:rPr>
                <w:sz w:val="18"/>
              </w:rPr>
            </w:pPr>
            <w:r>
              <w:rPr>
                <w:sz w:val="18"/>
              </w:rPr>
              <w:t>(</w:t>
            </w:r>
            <w:r>
              <w:rPr>
                <w:spacing w:val="-2"/>
                <w:sz w:val="18"/>
              </w:rPr>
              <w:t> 14yr)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0.0720</w:t>
            </w:r>
          </w:p>
        </w:tc>
        <w:tc>
          <w:tcPr>
            <w:tcW w:w="985" w:type="dxa"/>
            <w:tcBorders>
              <w:left w:val="single" w:sz="4" w:space="0" w:color="000000"/>
              <w:right w:val="single" w:sz="4" w:space="0" w:color="000000"/>
            </w:tcBorders>
          </w:tcPr>
          <w:p>
            <w:pPr>
              <w:pStyle w:val="TableParagraph"/>
              <w:spacing w:before="62"/>
              <w:ind w:left="117"/>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62"/>
              <w:ind w:left="116"/>
              <w:rPr>
                <w:sz w:val="18"/>
              </w:rPr>
            </w:pPr>
            <w:r>
              <w:rPr>
                <w:spacing w:val="-4"/>
                <w:sz w:val="18"/>
              </w:rPr>
              <w:t>+130</w:t>
            </w:r>
          </w:p>
        </w:tc>
        <w:tc>
          <w:tcPr>
            <w:tcW w:w="4892" w:type="dxa"/>
            <w:tcBorders>
              <w:left w:val="single" w:sz="4" w:space="0" w:color="000000"/>
            </w:tcBorders>
          </w:tcPr>
          <w:p>
            <w:pPr>
              <w:pStyle w:val="TableParagraph"/>
              <w:spacing w:line="307" w:lineRule="auto" w:before="62"/>
              <w:ind w:left="115" w:right="120"/>
              <w:jc w:val="both"/>
              <w:rPr>
                <w:sz w:val="18"/>
              </w:rPr>
            </w:pPr>
            <w:r>
              <w:rPr>
                <w:sz w:val="18"/>
              </w:rPr>
              <w:t>Wet days post-Flowering [0–3.3d] AND Soil water pre-</w:t>
            </w:r>
            <w:r>
              <w:rPr>
                <w:sz w:val="18"/>
              </w:rPr>
              <w:t>Harvest [74–101</w:t>
            </w:r>
            <w:r>
              <w:rPr>
                <w:spacing w:val="-6"/>
                <w:sz w:val="18"/>
              </w:rPr>
              <w:t> </w:t>
            </w:r>
            <w:r>
              <w:rPr>
                <w:sz w:val="18"/>
              </w:rPr>
              <w:t>mm]</w:t>
            </w:r>
            <w:r>
              <w:rPr>
                <w:spacing w:val="-6"/>
                <w:sz w:val="18"/>
              </w:rPr>
              <w:t> </w:t>
            </w:r>
            <w:r>
              <w:rPr>
                <w:sz w:val="18"/>
              </w:rPr>
              <w:t>AND</w:t>
            </w:r>
            <w:r>
              <w:rPr>
                <w:spacing w:val="-6"/>
                <w:sz w:val="18"/>
              </w:rPr>
              <w:t> </w:t>
            </w:r>
            <w:r>
              <w:rPr>
                <w:sz w:val="18"/>
              </w:rPr>
              <w:t>Wet</w:t>
            </w:r>
            <w:r>
              <w:rPr>
                <w:spacing w:val="-6"/>
                <w:sz w:val="18"/>
              </w:rPr>
              <w:t> </w:t>
            </w:r>
            <w:r>
              <w:rPr>
                <w:sz w:val="18"/>
              </w:rPr>
              <w:t>days</w:t>
            </w:r>
            <w:r>
              <w:rPr>
                <w:spacing w:val="-6"/>
                <w:sz w:val="18"/>
              </w:rPr>
              <w:t> </w:t>
            </w:r>
            <w:r>
              <w:rPr>
                <w:sz w:val="18"/>
              </w:rPr>
              <w:t>post-Maturity</w:t>
            </w:r>
            <w:r>
              <w:rPr>
                <w:spacing w:val="-6"/>
                <w:sz w:val="18"/>
              </w:rPr>
              <w:t> </w:t>
            </w:r>
            <w:r>
              <w:rPr>
                <w:sz w:val="18"/>
              </w:rPr>
              <w:t>[0–3.5d]</w:t>
            </w:r>
            <w:r>
              <w:rPr>
                <w:spacing w:val="-6"/>
                <w:sz w:val="18"/>
              </w:rPr>
              <w:t> </w:t>
            </w:r>
            <w:r>
              <w:rPr>
                <w:sz w:val="18"/>
              </w:rPr>
              <w:t>AND</w:t>
            </w:r>
            <w:r>
              <w:rPr>
                <w:spacing w:val="-6"/>
                <w:sz w:val="18"/>
              </w:rPr>
              <w:t> </w:t>
            </w:r>
            <w:r>
              <w:rPr>
                <w:sz w:val="18"/>
              </w:rPr>
              <w:t>Heat days pre-Maturity [0–3.7d]</w:t>
            </w:r>
          </w:p>
        </w:tc>
      </w:tr>
      <w:tr>
        <w:trPr>
          <w:trHeight w:val="611" w:hRule="atLeast"/>
        </w:trPr>
        <w:tc>
          <w:tcPr>
            <w:tcW w:w="470" w:type="dxa"/>
            <w:tcBorders>
              <w:right w:val="single" w:sz="4" w:space="0" w:color="000000"/>
            </w:tcBorders>
          </w:tcPr>
          <w:p>
            <w:pPr>
              <w:pStyle w:val="TableParagraph"/>
              <w:spacing w:before="62"/>
              <w:ind w:left="119"/>
              <w:rPr>
                <w:sz w:val="18"/>
              </w:rPr>
            </w:pPr>
            <w:r>
              <w:rPr>
                <w:spacing w:val="-5"/>
                <w:sz w:val="18"/>
              </w:rPr>
              <w:t>47</w:t>
            </w:r>
          </w:p>
        </w:tc>
        <w:tc>
          <w:tcPr>
            <w:tcW w:w="1098" w:type="dxa"/>
            <w:tcBorders>
              <w:left w:val="single" w:sz="4" w:space="0" w:color="000000"/>
              <w:right w:val="single" w:sz="4" w:space="0" w:color="000000"/>
            </w:tcBorders>
          </w:tcPr>
          <w:p>
            <w:pPr>
              <w:pStyle w:val="TableParagraph"/>
              <w:spacing w:before="62"/>
              <w:ind w:left="118"/>
              <w:rPr>
                <w:sz w:val="18"/>
              </w:rPr>
            </w:pPr>
            <w:r>
              <w:rPr>
                <w:spacing w:val="-2"/>
                <w:sz w:val="18"/>
              </w:rPr>
              <w:t>15.7%</w:t>
            </w:r>
          </w:p>
          <w:p>
            <w:pPr>
              <w:pStyle w:val="TableParagraph"/>
              <w:spacing w:before="59"/>
              <w:ind w:left="112"/>
              <w:rPr>
                <w:sz w:val="18"/>
              </w:rPr>
            </w:pPr>
            <w:r>
              <w:rPr>
                <w:sz w:val="18"/>
              </w:rPr>
              <w:t>(</w:t>
            </w:r>
            <w:r>
              <w:rPr>
                <w:spacing w:val="-2"/>
                <w:sz w:val="18"/>
              </w:rPr>
              <w:t> 14yr)</w:t>
            </w:r>
          </w:p>
        </w:tc>
        <w:tc>
          <w:tcPr>
            <w:tcW w:w="928" w:type="dxa"/>
            <w:tcBorders>
              <w:left w:val="single" w:sz="4" w:space="0" w:color="000000"/>
              <w:right w:val="single" w:sz="4" w:space="0" w:color="000000"/>
            </w:tcBorders>
          </w:tcPr>
          <w:p>
            <w:pPr>
              <w:pStyle w:val="TableParagraph"/>
              <w:spacing w:before="62"/>
              <w:ind w:left="117"/>
              <w:rPr>
                <w:sz w:val="18"/>
              </w:rPr>
            </w:pPr>
            <w:r>
              <w:rPr>
                <w:spacing w:val="-2"/>
                <w:sz w:val="18"/>
              </w:rPr>
              <w:t>0.0750</w:t>
            </w:r>
          </w:p>
        </w:tc>
        <w:tc>
          <w:tcPr>
            <w:tcW w:w="985" w:type="dxa"/>
            <w:tcBorders>
              <w:left w:val="single" w:sz="4" w:space="0" w:color="000000"/>
              <w:right w:val="single" w:sz="4" w:space="0" w:color="000000"/>
            </w:tcBorders>
          </w:tcPr>
          <w:p>
            <w:pPr>
              <w:pStyle w:val="TableParagraph"/>
              <w:spacing w:before="62"/>
              <w:ind w:left="117"/>
              <w:rPr>
                <w:sz w:val="18"/>
              </w:rPr>
            </w:pPr>
            <w:r>
              <w:rPr>
                <w:spacing w:val="-4"/>
                <w:sz w:val="18"/>
              </w:rPr>
              <w:t>ABOVE</w:t>
            </w:r>
          </w:p>
        </w:tc>
        <w:tc>
          <w:tcPr>
            <w:tcW w:w="1098" w:type="dxa"/>
            <w:tcBorders>
              <w:left w:val="single" w:sz="4" w:space="0" w:color="000000"/>
              <w:right w:val="single" w:sz="4" w:space="0" w:color="000000"/>
            </w:tcBorders>
          </w:tcPr>
          <w:p>
            <w:pPr>
              <w:pStyle w:val="TableParagraph"/>
              <w:spacing w:before="62"/>
              <w:ind w:left="116"/>
              <w:rPr>
                <w:sz w:val="18"/>
              </w:rPr>
            </w:pPr>
            <w:r>
              <w:rPr>
                <w:spacing w:val="-4"/>
                <w:sz w:val="18"/>
              </w:rPr>
              <w:t>+132</w:t>
            </w:r>
          </w:p>
        </w:tc>
        <w:tc>
          <w:tcPr>
            <w:tcW w:w="4892" w:type="dxa"/>
            <w:tcBorders>
              <w:left w:val="single" w:sz="4" w:space="0" w:color="000000"/>
            </w:tcBorders>
          </w:tcPr>
          <w:p>
            <w:pPr>
              <w:pStyle w:val="TableParagraph"/>
              <w:spacing w:line="260" w:lineRule="atLeast" w:before="9"/>
              <w:ind w:left="115"/>
              <w:rPr>
                <w:sz w:val="18"/>
              </w:rPr>
            </w:pPr>
            <w:r>
              <w:rPr>
                <w:spacing w:val="-2"/>
                <w:sz w:val="18"/>
              </w:rPr>
              <w:t>Soil</w:t>
            </w:r>
            <w:r>
              <w:rPr>
                <w:spacing w:val="-8"/>
                <w:sz w:val="18"/>
              </w:rPr>
              <w:t> </w:t>
            </w:r>
            <w:r>
              <w:rPr>
                <w:spacing w:val="-2"/>
                <w:sz w:val="18"/>
              </w:rPr>
              <w:t>water</w:t>
            </w:r>
            <w:r>
              <w:rPr>
                <w:spacing w:val="-8"/>
                <w:sz w:val="18"/>
              </w:rPr>
              <w:t> </w:t>
            </w:r>
            <w:r>
              <w:rPr>
                <w:spacing w:val="-2"/>
                <w:sz w:val="18"/>
              </w:rPr>
              <w:t>pre-Harvest</w:t>
            </w:r>
            <w:r>
              <w:rPr>
                <w:spacing w:val="-8"/>
                <w:sz w:val="18"/>
              </w:rPr>
              <w:t> </w:t>
            </w:r>
            <w:r>
              <w:rPr>
                <w:spacing w:val="-2"/>
                <w:sz w:val="18"/>
              </w:rPr>
              <w:t>[74–101</w:t>
            </w:r>
            <w:r>
              <w:rPr>
                <w:spacing w:val="-8"/>
                <w:sz w:val="18"/>
              </w:rPr>
              <w:t> </w:t>
            </w:r>
            <w:r>
              <w:rPr>
                <w:spacing w:val="-2"/>
                <w:sz w:val="18"/>
              </w:rPr>
              <w:t>mm]</w:t>
            </w:r>
            <w:r>
              <w:rPr>
                <w:spacing w:val="-8"/>
                <w:sz w:val="18"/>
              </w:rPr>
              <w:t> </w:t>
            </w:r>
            <w:r>
              <w:rPr>
                <w:spacing w:val="-2"/>
                <w:sz w:val="18"/>
              </w:rPr>
              <w:t>AND</w:t>
            </w:r>
            <w:r>
              <w:rPr>
                <w:spacing w:val="-8"/>
                <w:sz w:val="18"/>
              </w:rPr>
              <w:t> </w:t>
            </w:r>
            <w:r>
              <w:rPr>
                <w:spacing w:val="-2"/>
                <w:sz w:val="18"/>
              </w:rPr>
              <w:t>Wet</w:t>
            </w:r>
            <w:r>
              <w:rPr>
                <w:spacing w:val="-8"/>
                <w:sz w:val="18"/>
              </w:rPr>
              <w:t> </w:t>
            </w:r>
            <w:r>
              <w:rPr>
                <w:spacing w:val="-2"/>
                <w:sz w:val="18"/>
              </w:rPr>
              <w:t>days</w:t>
            </w:r>
            <w:r>
              <w:rPr>
                <w:spacing w:val="-8"/>
                <w:sz w:val="18"/>
              </w:rPr>
              <w:t> </w:t>
            </w:r>
            <w:r>
              <w:rPr>
                <w:spacing w:val="-2"/>
                <w:sz w:val="18"/>
              </w:rPr>
              <w:t>post-</w:t>
            </w:r>
            <w:r>
              <w:rPr>
                <w:spacing w:val="-2"/>
                <w:sz w:val="18"/>
              </w:rPr>
              <w:t>Harvest </w:t>
            </w:r>
            <w:r>
              <w:rPr>
                <w:sz w:val="18"/>
              </w:rPr>
              <w:t>prev.yr [0–2.3d] AND Cold days pre-Harvest [0–2.0d]</w:t>
            </w:r>
          </w:p>
        </w:tc>
      </w:tr>
      <w:tr>
        <w:trPr>
          <w:trHeight w:val="636" w:hRule="atLeast"/>
        </w:trPr>
        <w:tc>
          <w:tcPr>
            <w:tcW w:w="470" w:type="dxa"/>
            <w:tcBorders>
              <w:bottom w:val="single" w:sz="8" w:space="0" w:color="000000"/>
              <w:right w:val="single" w:sz="4" w:space="0" w:color="000000"/>
            </w:tcBorders>
          </w:tcPr>
          <w:p>
            <w:pPr>
              <w:pStyle w:val="TableParagraph"/>
              <w:spacing w:before="62"/>
              <w:ind w:left="119"/>
              <w:rPr>
                <w:sz w:val="18"/>
              </w:rPr>
            </w:pPr>
            <w:r>
              <w:rPr>
                <w:spacing w:val="-5"/>
                <w:sz w:val="18"/>
              </w:rPr>
              <w:t>48</w:t>
            </w:r>
          </w:p>
        </w:tc>
        <w:tc>
          <w:tcPr>
            <w:tcW w:w="1098" w:type="dxa"/>
            <w:tcBorders>
              <w:left w:val="single" w:sz="4" w:space="0" w:color="000000"/>
              <w:bottom w:val="single" w:sz="8" w:space="0" w:color="000000"/>
              <w:right w:val="single" w:sz="4" w:space="0" w:color="000000"/>
            </w:tcBorders>
          </w:tcPr>
          <w:p>
            <w:pPr>
              <w:pStyle w:val="TableParagraph"/>
              <w:spacing w:before="62"/>
              <w:ind w:left="118"/>
              <w:rPr>
                <w:sz w:val="18"/>
              </w:rPr>
            </w:pPr>
            <w:r>
              <w:rPr>
                <w:spacing w:val="-2"/>
                <w:sz w:val="18"/>
              </w:rPr>
              <w:t>16.9%</w:t>
            </w:r>
          </w:p>
          <w:p>
            <w:pPr>
              <w:pStyle w:val="TableParagraph"/>
              <w:spacing w:before="59"/>
              <w:ind w:left="112"/>
              <w:rPr>
                <w:sz w:val="18"/>
              </w:rPr>
            </w:pPr>
            <w:r>
              <w:rPr>
                <w:sz w:val="18"/>
              </w:rPr>
              <w:t>(</w:t>
            </w:r>
            <w:r>
              <w:rPr>
                <w:spacing w:val="-2"/>
                <w:sz w:val="18"/>
              </w:rPr>
              <w:t> 15yr)</w:t>
            </w:r>
          </w:p>
        </w:tc>
        <w:tc>
          <w:tcPr>
            <w:tcW w:w="928" w:type="dxa"/>
            <w:tcBorders>
              <w:left w:val="single" w:sz="4" w:space="0" w:color="000000"/>
              <w:bottom w:val="single" w:sz="8" w:space="0" w:color="000000"/>
              <w:right w:val="single" w:sz="4" w:space="0" w:color="000000"/>
            </w:tcBorders>
          </w:tcPr>
          <w:p>
            <w:pPr>
              <w:pStyle w:val="TableParagraph"/>
              <w:spacing w:before="62"/>
              <w:ind w:left="117"/>
              <w:rPr>
                <w:sz w:val="18"/>
              </w:rPr>
            </w:pPr>
            <w:r>
              <w:rPr>
                <w:spacing w:val="-2"/>
                <w:sz w:val="18"/>
              </w:rPr>
              <w:t>0.0900</w:t>
            </w:r>
          </w:p>
        </w:tc>
        <w:tc>
          <w:tcPr>
            <w:tcW w:w="985" w:type="dxa"/>
            <w:tcBorders>
              <w:left w:val="single" w:sz="4" w:space="0" w:color="000000"/>
              <w:bottom w:val="single" w:sz="8" w:space="0" w:color="000000"/>
              <w:right w:val="single" w:sz="4" w:space="0" w:color="000000"/>
            </w:tcBorders>
          </w:tcPr>
          <w:p>
            <w:pPr>
              <w:pStyle w:val="TableParagraph"/>
              <w:spacing w:before="62"/>
              <w:ind w:left="117"/>
              <w:rPr>
                <w:sz w:val="18"/>
              </w:rPr>
            </w:pPr>
            <w:r>
              <w:rPr>
                <w:spacing w:val="-2"/>
                <w:sz w:val="18"/>
              </w:rPr>
              <w:t>BELOW</w:t>
            </w:r>
          </w:p>
        </w:tc>
        <w:tc>
          <w:tcPr>
            <w:tcW w:w="1098" w:type="dxa"/>
            <w:tcBorders>
              <w:left w:val="single" w:sz="4" w:space="0" w:color="000000"/>
              <w:bottom w:val="single" w:sz="8" w:space="0" w:color="000000"/>
              <w:right w:val="single" w:sz="4" w:space="0" w:color="000000"/>
            </w:tcBorders>
          </w:tcPr>
          <w:p>
            <w:pPr>
              <w:pStyle w:val="TableParagraph"/>
              <w:spacing w:before="62"/>
              <w:ind w:left="116"/>
              <w:rPr>
                <w:sz w:val="18"/>
              </w:rPr>
            </w:pPr>
            <w:r>
              <w:rPr>
                <w:spacing w:val="-2"/>
                <w:sz w:val="18"/>
              </w:rPr>
              <w:t>-</w:t>
            </w:r>
            <w:r>
              <w:rPr>
                <w:spacing w:val="-5"/>
                <w:sz w:val="18"/>
              </w:rPr>
              <w:t>118</w:t>
            </w:r>
          </w:p>
        </w:tc>
        <w:tc>
          <w:tcPr>
            <w:tcW w:w="4892" w:type="dxa"/>
            <w:tcBorders>
              <w:left w:val="single" w:sz="4" w:space="0" w:color="000000"/>
              <w:bottom w:val="single" w:sz="8" w:space="0" w:color="000000"/>
            </w:tcBorders>
          </w:tcPr>
          <w:p>
            <w:pPr>
              <w:pStyle w:val="TableParagraph"/>
              <w:spacing w:line="307" w:lineRule="auto" w:before="62"/>
              <w:ind w:left="115"/>
              <w:rPr>
                <w:sz w:val="18"/>
              </w:rPr>
            </w:pPr>
            <w:r>
              <w:rPr>
                <w:sz w:val="18"/>
              </w:rPr>
              <w:t>LAI</w:t>
            </w:r>
            <w:r>
              <w:rPr>
                <w:spacing w:val="70"/>
                <w:sz w:val="18"/>
              </w:rPr>
              <w:t> </w:t>
            </w:r>
            <w:r>
              <w:rPr>
                <w:sz w:val="18"/>
              </w:rPr>
              <w:t>at</w:t>
            </w:r>
            <w:r>
              <w:rPr>
                <w:spacing w:val="70"/>
                <w:sz w:val="18"/>
              </w:rPr>
              <w:t> </w:t>
            </w:r>
            <w:r>
              <w:rPr>
                <w:sz w:val="18"/>
              </w:rPr>
              <w:t>Harvest</w:t>
            </w:r>
            <w:r>
              <w:rPr>
                <w:spacing w:val="70"/>
                <w:sz w:val="18"/>
              </w:rPr>
              <w:t> </w:t>
            </w:r>
            <w:r>
              <w:rPr>
                <w:sz w:val="18"/>
              </w:rPr>
              <w:t>[0.58–0.77</w:t>
            </w:r>
            <w:r>
              <w:rPr>
                <w:spacing w:val="70"/>
                <w:sz w:val="18"/>
              </w:rPr>
              <w:t> </w:t>
            </w:r>
            <w:r>
              <w:rPr>
                <w:sz w:val="18"/>
              </w:rPr>
              <w:t>m</w:t>
            </w:r>
            <w:r>
              <w:rPr>
                <w:sz w:val="18"/>
                <w:vertAlign w:val="superscript"/>
              </w:rPr>
              <w:t>2</w:t>
            </w:r>
            <w:r>
              <w:rPr>
                <w:sz w:val="18"/>
                <w:vertAlign w:val="baseline"/>
              </w:rPr>
              <w:t>/m</w:t>
            </w:r>
            <w:r>
              <w:rPr>
                <w:sz w:val="18"/>
                <w:vertAlign w:val="superscript"/>
              </w:rPr>
              <w:t>2</w:t>
            </w:r>
            <w:r>
              <w:rPr>
                <w:sz w:val="18"/>
                <w:vertAlign w:val="baseline"/>
              </w:rPr>
              <w:t>]</w:t>
            </w:r>
            <w:r>
              <w:rPr>
                <w:spacing w:val="70"/>
                <w:sz w:val="18"/>
                <w:vertAlign w:val="baseline"/>
              </w:rPr>
              <w:t> </w:t>
            </w:r>
            <w:r>
              <w:rPr>
                <w:sz w:val="18"/>
                <w:vertAlign w:val="baseline"/>
              </w:rPr>
              <w:t>AND</w:t>
            </w:r>
            <w:r>
              <w:rPr>
                <w:spacing w:val="70"/>
                <w:sz w:val="18"/>
                <w:vertAlign w:val="baseline"/>
              </w:rPr>
              <w:t> </w:t>
            </w:r>
            <w:r>
              <w:rPr>
                <w:sz w:val="18"/>
                <w:vertAlign w:val="baseline"/>
              </w:rPr>
              <w:t>Soil</w:t>
            </w:r>
            <w:r>
              <w:rPr>
                <w:spacing w:val="70"/>
                <w:sz w:val="18"/>
                <w:vertAlign w:val="baseline"/>
              </w:rPr>
              <w:t> </w:t>
            </w:r>
            <w:r>
              <w:rPr>
                <w:sz w:val="18"/>
                <w:vertAlign w:val="baseline"/>
              </w:rPr>
              <w:t>water</w:t>
            </w:r>
            <w:r>
              <w:rPr>
                <w:spacing w:val="70"/>
                <w:sz w:val="18"/>
                <w:vertAlign w:val="baseline"/>
              </w:rPr>
              <w:t> </w:t>
            </w:r>
            <w:r>
              <w:rPr>
                <w:sz w:val="18"/>
                <w:vertAlign w:val="baseline"/>
              </w:rPr>
              <w:t>post-Flowering [390–404 mm]</w:t>
            </w:r>
          </w:p>
        </w:tc>
      </w:tr>
    </w:tbl>
    <w:p>
      <w:pPr>
        <w:pStyle w:val="BodyText"/>
        <w:rPr>
          <w:i/>
          <w:sz w:val="20"/>
        </w:rPr>
      </w:pPr>
    </w:p>
    <w:p>
      <w:pPr>
        <w:pStyle w:val="BodyText"/>
        <w:spacing w:before="68"/>
        <w:rPr>
          <w:i/>
          <w:sz w:val="20"/>
        </w:rPr>
      </w:pPr>
    </w:p>
    <w:p>
      <w:pPr>
        <w:pStyle w:val="Heading2"/>
        <w:numPr>
          <w:ilvl w:val="1"/>
          <w:numId w:val="40"/>
        </w:numPr>
        <w:tabs>
          <w:tab w:pos="851" w:val="left" w:leader="none"/>
        </w:tabs>
        <w:spacing w:line="240" w:lineRule="auto" w:before="0" w:after="0"/>
        <w:ind w:left="851" w:right="0" w:hanging="709"/>
        <w:jc w:val="left"/>
      </w:pPr>
      <w:bookmarkStart w:name="A.3 CarenR — Vinho Verde Region (RVV): 2" w:id="264"/>
      <w:bookmarkEnd w:id="264"/>
      <w:r>
        <w:rPr>
          <w:b w:val="0"/>
        </w:rPr>
      </w:r>
      <w:bookmarkStart w:name="_bookmark155" w:id="265"/>
      <w:bookmarkEnd w:id="265"/>
      <w:r>
        <w:rPr>
          <w:b w:val="0"/>
        </w:rPr>
      </w:r>
      <w:r>
        <w:rPr/>
        <w:t>CarenR</w:t>
      </w:r>
      <w:r>
        <w:rPr>
          <w:spacing w:val="5"/>
        </w:rPr>
        <w:t> </w:t>
      </w:r>
      <w:r>
        <w:rPr/>
        <w:t>—</w:t>
      </w:r>
      <w:r>
        <w:rPr>
          <w:spacing w:val="6"/>
        </w:rPr>
        <w:t> </w:t>
      </w:r>
      <w:r>
        <w:rPr/>
        <w:t>Vinho</w:t>
      </w:r>
      <w:r>
        <w:rPr>
          <w:spacing w:val="5"/>
        </w:rPr>
        <w:t> </w:t>
      </w:r>
      <w:r>
        <w:rPr/>
        <w:t>Verde</w:t>
      </w:r>
      <w:r>
        <w:rPr>
          <w:spacing w:val="6"/>
        </w:rPr>
        <w:t> </w:t>
      </w:r>
      <w:r>
        <w:rPr/>
        <w:t>Region</w:t>
      </w:r>
      <w:r>
        <w:rPr>
          <w:spacing w:val="5"/>
        </w:rPr>
        <w:t> </w:t>
      </w:r>
      <w:r>
        <w:rPr/>
        <w:t>(RVV):</w:t>
      </w:r>
      <w:r>
        <w:rPr>
          <w:spacing w:val="6"/>
        </w:rPr>
        <w:t> </w:t>
      </w:r>
      <w:r>
        <w:rPr/>
        <w:t>20</w:t>
      </w:r>
      <w:r>
        <w:rPr>
          <w:spacing w:val="5"/>
        </w:rPr>
        <w:t> </w:t>
      </w:r>
      <w:r>
        <w:rPr>
          <w:spacing w:val="-2"/>
        </w:rPr>
        <w:t>Rules</w:t>
      </w:r>
    </w:p>
    <w:p>
      <w:pPr>
        <w:pStyle w:val="BodyText"/>
        <w:spacing w:line="312" w:lineRule="auto" w:before="289"/>
        <w:ind w:left="134" w:right="1557" w:hanging="1"/>
        <w:jc w:val="both"/>
      </w:pPr>
      <w:r>
        <w:rPr/>
        <w:t>All</w:t>
      </w:r>
      <w:r>
        <w:rPr>
          <w:spacing w:val="-9"/>
        </w:rPr>
        <w:t> </w:t>
      </w:r>
      <w:r>
        <w:rPr/>
        <w:t>20</w:t>
      </w:r>
      <w:r>
        <w:rPr>
          <w:spacing w:val="-9"/>
        </w:rPr>
        <w:t> </w:t>
      </w:r>
      <w:r>
        <w:rPr/>
        <w:t>RVV</w:t>
      </w:r>
      <w:r>
        <w:rPr>
          <w:spacing w:val="-9"/>
        </w:rPr>
        <w:t> </w:t>
      </w:r>
      <w:r>
        <w:rPr/>
        <w:t>rules</w:t>
      </w:r>
      <w:r>
        <w:rPr>
          <w:spacing w:val="-9"/>
        </w:rPr>
        <w:t> </w:t>
      </w:r>
      <w:r>
        <w:rPr/>
        <w:t>are</w:t>
      </w:r>
      <w:r>
        <w:rPr>
          <w:spacing w:val="-9"/>
        </w:rPr>
        <w:t> </w:t>
      </w:r>
      <w:r>
        <w:rPr/>
        <w:t>presented</w:t>
      </w:r>
      <w:r>
        <w:rPr>
          <w:spacing w:val="-9"/>
        </w:rPr>
        <w:t> </w:t>
      </w:r>
      <w:r>
        <w:rPr/>
        <w:t>below. Of</w:t>
      </w:r>
      <w:r>
        <w:rPr>
          <w:spacing w:val="-9"/>
        </w:rPr>
        <w:t> </w:t>
      </w:r>
      <w:r>
        <w:rPr/>
        <w:t>the</w:t>
      </w:r>
      <w:r>
        <w:rPr>
          <w:spacing w:val="-9"/>
        </w:rPr>
        <w:t> </w:t>
      </w:r>
      <w:r>
        <w:rPr/>
        <w:t>20</w:t>
      </w:r>
      <w:r>
        <w:rPr>
          <w:spacing w:val="-9"/>
        </w:rPr>
        <w:t> </w:t>
      </w:r>
      <w:r>
        <w:rPr/>
        <w:t>rules,</w:t>
      </w:r>
      <w:r>
        <w:rPr>
          <w:spacing w:val="-9"/>
        </w:rPr>
        <w:t> </w:t>
      </w:r>
      <w:r>
        <w:rPr/>
        <w:t>16</w:t>
      </w:r>
      <w:r>
        <w:rPr>
          <w:spacing w:val="-9"/>
        </w:rPr>
        <w:t> </w:t>
      </w:r>
      <w:r>
        <w:rPr/>
        <w:t>point</w:t>
      </w:r>
      <w:r>
        <w:rPr>
          <w:spacing w:val="-9"/>
        </w:rPr>
        <w:t> </w:t>
      </w:r>
      <w:r>
        <w:rPr/>
        <w:t>to</w:t>
      </w:r>
      <w:r>
        <w:rPr>
          <w:spacing w:val="-9"/>
        </w:rPr>
        <w:t> </w:t>
      </w:r>
      <w:r>
        <w:rPr/>
        <w:t>BELOW-trend</w:t>
      </w:r>
      <w:r>
        <w:rPr>
          <w:spacing w:val="-9"/>
        </w:rPr>
        <w:t> </w:t>
      </w:r>
      <w:r>
        <w:rPr/>
        <w:t>production</w:t>
      </w:r>
      <w:r>
        <w:rPr>
          <w:spacing w:val="-9"/>
        </w:rPr>
        <w:t> </w:t>
      </w:r>
      <w:r>
        <w:rPr/>
        <w:t>and 4 to ABOVE-trend, reflecting the strong negative structural drift of the Vinho Verde series. The dominant</w:t>
      </w:r>
      <w:r>
        <w:rPr>
          <w:spacing w:val="-14"/>
        </w:rPr>
        <w:t> </w:t>
      </w:r>
      <w:r>
        <w:rPr/>
        <w:t>features</w:t>
      </w:r>
      <w:r>
        <w:rPr>
          <w:spacing w:val="-14"/>
        </w:rPr>
        <w:t> </w:t>
      </w:r>
      <w:r>
        <w:rPr/>
        <w:t>are</w:t>
      </w:r>
      <w:r>
        <w:rPr>
          <w:spacing w:val="-14"/>
        </w:rPr>
        <w:t> </w:t>
      </w:r>
      <w:r>
        <w:rPr/>
        <w:t>heat-stress</w:t>
      </w:r>
      <w:r>
        <w:rPr>
          <w:spacing w:val="-13"/>
        </w:rPr>
        <w:t> </w:t>
      </w:r>
      <w:r>
        <w:rPr/>
        <w:t>days</w:t>
      </w:r>
      <w:r>
        <w:rPr>
          <w:spacing w:val="-14"/>
        </w:rPr>
        <w:t> </w:t>
      </w:r>
      <w:r>
        <w:rPr/>
        <w:t>around</w:t>
      </w:r>
      <w:r>
        <w:rPr>
          <w:spacing w:val="-14"/>
        </w:rPr>
        <w:t> </w:t>
      </w:r>
      <w:r>
        <w:rPr/>
        <w:t>maturity</w:t>
      </w:r>
      <w:r>
        <w:rPr>
          <w:spacing w:val="-14"/>
        </w:rPr>
        <w:t> </w:t>
      </w:r>
      <w:r>
        <w:rPr/>
        <w:t>(appearing</w:t>
      </w:r>
      <w:r>
        <w:rPr>
          <w:spacing w:val="-13"/>
        </w:rPr>
        <w:t> </w:t>
      </w:r>
      <w:r>
        <w:rPr/>
        <w:t>in</w:t>
      </w:r>
      <w:r>
        <w:rPr>
          <w:spacing w:val="-14"/>
        </w:rPr>
        <w:t> </w:t>
      </w:r>
      <w:r>
        <w:rPr/>
        <w:t>up</w:t>
      </w:r>
      <w:r>
        <w:rPr>
          <w:spacing w:val="-14"/>
        </w:rPr>
        <w:t> </w:t>
      </w:r>
      <w:r>
        <w:rPr/>
        <w:t>to</w:t>
      </w:r>
      <w:r>
        <w:rPr>
          <w:spacing w:val="-14"/>
        </w:rPr>
        <w:t> </w:t>
      </w:r>
      <w:r>
        <w:rPr/>
        <w:t>50%</w:t>
      </w:r>
      <w:r>
        <w:rPr>
          <w:spacing w:val="-13"/>
        </w:rPr>
        <w:t> </w:t>
      </w:r>
      <w:r>
        <w:rPr/>
        <w:t>of</w:t>
      </w:r>
      <w:r>
        <w:rPr>
          <w:spacing w:val="-14"/>
        </w:rPr>
        <w:t> </w:t>
      </w:r>
      <w:r>
        <w:rPr/>
        <w:t>rules),</w:t>
      </w:r>
      <w:r>
        <w:rPr>
          <w:spacing w:val="-14"/>
        </w:rPr>
        <w:t> </w:t>
      </w:r>
      <w:r>
        <w:rPr/>
        <w:t>followed by</w:t>
      </w:r>
      <w:r>
        <w:rPr>
          <w:spacing w:val="-1"/>
        </w:rPr>
        <w:t> </w:t>
      </w:r>
      <w:r>
        <w:rPr/>
        <w:t>soil</w:t>
      </w:r>
      <w:r>
        <w:rPr>
          <w:spacing w:val="-1"/>
        </w:rPr>
        <w:t> </w:t>
      </w:r>
      <w:r>
        <w:rPr/>
        <w:t>water</w:t>
      </w:r>
      <w:r>
        <w:rPr>
          <w:spacing w:val="-1"/>
        </w:rPr>
        <w:t> </w:t>
      </w:r>
      <w:r>
        <w:rPr/>
        <w:t>at</w:t>
      </w:r>
      <w:r>
        <w:rPr>
          <w:spacing w:val="-1"/>
        </w:rPr>
        <w:t> </w:t>
      </w:r>
      <w:r>
        <w:rPr/>
        <w:t>harvest</w:t>
      </w:r>
      <w:r>
        <w:rPr>
          <w:spacing w:val="-1"/>
        </w:rPr>
        <w:t> </w:t>
      </w:r>
      <w:r>
        <w:rPr/>
        <w:t>(25%)</w:t>
      </w:r>
      <w:r>
        <w:rPr>
          <w:spacing w:val="-1"/>
        </w:rPr>
        <w:t> </w:t>
      </w:r>
      <w:r>
        <w:rPr/>
        <w:t>and</w:t>
      </w:r>
      <w:r>
        <w:rPr>
          <w:spacing w:val="-1"/>
        </w:rPr>
        <w:t> </w:t>
      </w:r>
      <w:r>
        <w:rPr/>
        <w:t>cold/frost</w:t>
      </w:r>
      <w:r>
        <w:rPr>
          <w:spacing w:val="-1"/>
        </w:rPr>
        <w:t> </w:t>
      </w:r>
      <w:r>
        <w:rPr/>
        <w:t>days</w:t>
      </w:r>
      <w:r>
        <w:rPr>
          <w:spacing w:val="-1"/>
        </w:rPr>
        <w:t> </w:t>
      </w:r>
      <w:r>
        <w:rPr/>
        <w:t>at</w:t>
      </w:r>
      <w:r>
        <w:rPr>
          <w:spacing w:val="-1"/>
        </w:rPr>
        <w:t> </w:t>
      </w:r>
      <w:r>
        <w:rPr/>
        <w:t>budburst</w:t>
      </w:r>
      <w:r>
        <w:rPr>
          <w:spacing w:val="-1"/>
        </w:rPr>
        <w:t> </w:t>
      </w:r>
      <w:r>
        <w:rPr/>
        <w:t>(25%). Rules</w:t>
      </w:r>
      <w:r>
        <w:rPr>
          <w:spacing w:val="-1"/>
        </w:rPr>
        <w:t> </w:t>
      </w:r>
      <w:r>
        <w:rPr/>
        <w:t>4,</w:t>
      </w:r>
      <w:r>
        <w:rPr>
          <w:spacing w:val="-1"/>
        </w:rPr>
        <w:t> </w:t>
      </w:r>
      <w:r>
        <w:rPr/>
        <w:t>11,</w:t>
      </w:r>
      <w:r>
        <w:rPr>
          <w:spacing w:val="-1"/>
        </w:rPr>
        <w:t> </w:t>
      </w:r>
      <w:r>
        <w:rPr/>
        <w:t>16,</w:t>
      </w:r>
      <w:r>
        <w:rPr>
          <w:spacing w:val="-1"/>
        </w:rPr>
        <w:t> </w:t>
      </w:r>
      <w:r>
        <w:rPr/>
        <w:t>and</w:t>
      </w:r>
      <w:r>
        <w:rPr>
          <w:spacing w:val="-1"/>
        </w:rPr>
        <w:t> </w:t>
      </w:r>
      <w:r>
        <w:rPr/>
        <w:t>17</w:t>
      </w:r>
      <w:r>
        <w:rPr>
          <w:spacing w:val="-1"/>
        </w:rPr>
        <w:t> </w:t>
      </w:r>
      <w:r>
        <w:rPr/>
        <w:t>are </w:t>
      </w:r>
      <w:r>
        <w:rPr>
          <w:spacing w:val="-2"/>
        </w:rPr>
        <w:t>the</w:t>
      </w:r>
      <w:r>
        <w:rPr>
          <w:spacing w:val="-5"/>
        </w:rPr>
        <w:t> </w:t>
      </w:r>
      <w:r>
        <w:rPr>
          <w:spacing w:val="-2"/>
        </w:rPr>
        <w:t>four</w:t>
      </w:r>
      <w:r>
        <w:rPr>
          <w:spacing w:val="-5"/>
        </w:rPr>
        <w:t> </w:t>
      </w:r>
      <w:r>
        <w:rPr>
          <w:spacing w:val="-2"/>
        </w:rPr>
        <w:t>above-trend</w:t>
      </w:r>
      <w:r>
        <w:rPr>
          <w:spacing w:val="-5"/>
        </w:rPr>
        <w:t> </w:t>
      </w:r>
      <w:r>
        <w:rPr>
          <w:spacing w:val="-2"/>
        </w:rPr>
        <w:t>rules,</w:t>
      </w:r>
      <w:r>
        <w:rPr>
          <w:spacing w:val="-5"/>
        </w:rPr>
        <w:t> </w:t>
      </w:r>
      <w:r>
        <w:rPr>
          <w:spacing w:val="-2"/>
        </w:rPr>
        <w:t>linking</w:t>
      </w:r>
      <w:r>
        <w:rPr>
          <w:spacing w:val="-5"/>
        </w:rPr>
        <w:t> </w:t>
      </w:r>
      <w:r>
        <w:rPr>
          <w:spacing w:val="-2"/>
        </w:rPr>
        <w:t>warm</w:t>
      </w:r>
      <w:r>
        <w:rPr>
          <w:spacing w:val="-5"/>
        </w:rPr>
        <w:t> </w:t>
      </w:r>
      <w:r>
        <w:rPr>
          <w:spacing w:val="-2"/>
        </w:rPr>
        <w:t>previous-year</w:t>
      </w:r>
      <w:r>
        <w:rPr>
          <w:spacing w:val="-5"/>
        </w:rPr>
        <w:t> </w:t>
      </w:r>
      <w:r>
        <w:rPr>
          <w:spacing w:val="-2"/>
        </w:rPr>
        <w:t>budburst</w:t>
      </w:r>
      <w:r>
        <w:rPr>
          <w:spacing w:val="-5"/>
        </w:rPr>
        <w:t> </w:t>
      </w:r>
      <w:r>
        <w:rPr>
          <w:spacing w:val="-2"/>
        </w:rPr>
        <w:t>temperatures</w:t>
      </w:r>
      <w:r>
        <w:rPr>
          <w:spacing w:val="-5"/>
        </w:rPr>
        <w:t> </w:t>
      </w:r>
      <w:r>
        <w:rPr>
          <w:spacing w:val="-2"/>
        </w:rPr>
        <w:t>and</w:t>
      </w:r>
      <w:r>
        <w:rPr>
          <w:spacing w:val="-5"/>
        </w:rPr>
        <w:t> </w:t>
      </w:r>
      <w:r>
        <w:rPr>
          <w:spacing w:val="-2"/>
        </w:rPr>
        <w:t>few</w:t>
      </w:r>
      <w:r>
        <w:rPr>
          <w:spacing w:val="-5"/>
        </w:rPr>
        <w:t> </w:t>
      </w:r>
      <w:r>
        <w:rPr>
          <w:spacing w:val="-2"/>
        </w:rPr>
        <w:t>cold</w:t>
      </w:r>
      <w:r>
        <w:rPr>
          <w:spacing w:val="-5"/>
        </w:rPr>
        <w:t> </w:t>
      </w:r>
      <w:r>
        <w:rPr>
          <w:spacing w:val="-2"/>
        </w:rPr>
        <w:t>days</w:t>
      </w:r>
      <w:r>
        <w:rPr>
          <w:spacing w:val="-5"/>
        </w:rPr>
        <w:t> </w:t>
      </w:r>
      <w:r>
        <w:rPr>
          <w:spacing w:val="-2"/>
        </w:rPr>
        <w:t>at </w:t>
      </w:r>
      <w:bookmarkStart w:name="_bookmark156" w:id="266"/>
      <w:bookmarkEnd w:id="266"/>
      <w:r>
        <w:rPr/>
        <w:t>fl</w:t>
      </w:r>
      <w:r>
        <w:rPr/>
        <w:t>owering to above-trend production.</w:t>
      </w:r>
    </w:p>
    <w:p>
      <w:pPr>
        <w:pStyle w:val="BodyText"/>
        <w:spacing w:after="0" w:line="312" w:lineRule="auto"/>
        <w:jc w:val="both"/>
        <w:sectPr>
          <w:pgSz w:w="11910" w:h="16840"/>
          <w:pgMar w:header="1160" w:footer="0" w:top="1420" w:bottom="280" w:left="1275" w:right="425"/>
        </w:sectPr>
      </w:pPr>
    </w:p>
    <w:p>
      <w:pPr>
        <w:pStyle w:val="BodyText"/>
        <w:rPr>
          <w:sz w:val="20"/>
        </w:rPr>
      </w:pPr>
    </w:p>
    <w:p>
      <w:pPr>
        <w:pStyle w:val="BodyText"/>
        <w:spacing w:before="38"/>
        <w:rPr>
          <w:sz w:val="20"/>
        </w:rPr>
      </w:pPr>
    </w:p>
    <w:p>
      <w:pPr>
        <w:spacing w:before="1"/>
        <w:ind w:left="601" w:right="888" w:firstLine="0"/>
        <w:jc w:val="center"/>
        <w:rPr>
          <w:sz w:val="20"/>
        </w:rPr>
      </w:pPr>
      <w:bookmarkStart w:name="_bookmark157" w:id="267"/>
      <w:bookmarkEnd w:id="267"/>
      <w:r>
        <w:rPr/>
      </w:r>
      <w:r>
        <w:rPr>
          <w:b/>
          <w:sz w:val="20"/>
        </w:rPr>
        <w:t>Table</w:t>
      </w:r>
      <w:r>
        <w:rPr>
          <w:b/>
          <w:spacing w:val="-8"/>
          <w:sz w:val="20"/>
        </w:rPr>
        <w:t> </w:t>
      </w:r>
      <w:r>
        <w:rPr>
          <w:b/>
          <w:sz w:val="20"/>
        </w:rPr>
        <w:t>A.1:</w:t>
      </w:r>
      <w:r>
        <w:rPr>
          <w:b/>
          <w:spacing w:val="3"/>
          <w:sz w:val="20"/>
        </w:rPr>
        <w:t> </w:t>
      </w:r>
      <w:r>
        <w:rPr>
          <w:sz w:val="20"/>
        </w:rPr>
        <w:t>Top</w:t>
      </w:r>
      <w:r>
        <w:rPr>
          <w:spacing w:val="-7"/>
          <w:sz w:val="20"/>
        </w:rPr>
        <w:t> </w:t>
      </w:r>
      <w:r>
        <w:rPr>
          <w:sz w:val="20"/>
        </w:rPr>
        <w:t>10</w:t>
      </w:r>
      <w:r>
        <w:rPr>
          <w:spacing w:val="-7"/>
          <w:sz w:val="20"/>
        </w:rPr>
        <w:t> </w:t>
      </w:r>
      <w:r>
        <w:rPr>
          <w:sz w:val="20"/>
        </w:rPr>
        <w:t>CarenR</w:t>
      </w:r>
      <w:r>
        <w:rPr>
          <w:spacing w:val="-8"/>
          <w:sz w:val="20"/>
        </w:rPr>
        <w:t> </w:t>
      </w:r>
      <w:r>
        <w:rPr>
          <w:sz w:val="20"/>
        </w:rPr>
        <w:t>rules</w:t>
      </w:r>
      <w:r>
        <w:rPr>
          <w:spacing w:val="-7"/>
          <w:sz w:val="20"/>
        </w:rPr>
        <w:t> </w:t>
      </w:r>
      <w:r>
        <w:rPr>
          <w:sz w:val="20"/>
        </w:rPr>
        <w:t>for</w:t>
      </w:r>
      <w:r>
        <w:rPr>
          <w:spacing w:val="-7"/>
          <w:sz w:val="20"/>
        </w:rPr>
        <w:t> </w:t>
      </w:r>
      <w:r>
        <w:rPr>
          <w:sz w:val="20"/>
        </w:rPr>
        <w:t>the</w:t>
      </w:r>
      <w:r>
        <w:rPr>
          <w:spacing w:val="-8"/>
          <w:sz w:val="20"/>
        </w:rPr>
        <w:t> </w:t>
      </w:r>
      <w:r>
        <w:rPr>
          <w:sz w:val="20"/>
        </w:rPr>
        <w:t>Douro</w:t>
      </w:r>
      <w:r>
        <w:rPr>
          <w:spacing w:val="-7"/>
          <w:sz w:val="20"/>
        </w:rPr>
        <w:t> </w:t>
      </w:r>
      <w:r>
        <w:rPr>
          <w:sz w:val="20"/>
        </w:rPr>
        <w:t>(RDD),</w:t>
      </w:r>
      <w:r>
        <w:rPr>
          <w:spacing w:val="-7"/>
          <w:sz w:val="20"/>
        </w:rPr>
        <w:t> </w:t>
      </w:r>
      <w:r>
        <w:rPr>
          <w:sz w:val="20"/>
        </w:rPr>
        <w:t>sorted</w:t>
      </w:r>
      <w:r>
        <w:rPr>
          <w:spacing w:val="-8"/>
          <w:sz w:val="20"/>
        </w:rPr>
        <w:t> </w:t>
      </w:r>
      <w:r>
        <w:rPr>
          <w:sz w:val="20"/>
        </w:rPr>
        <w:t>by</w:t>
      </w:r>
      <w:r>
        <w:rPr>
          <w:spacing w:val="-7"/>
          <w:sz w:val="20"/>
        </w:rPr>
        <w:t> </w:t>
      </w:r>
      <w:r>
        <w:rPr>
          <w:sz w:val="20"/>
        </w:rPr>
        <w:t>KS</w:t>
      </w:r>
      <w:r>
        <w:rPr>
          <w:spacing w:val="6"/>
          <w:sz w:val="20"/>
        </w:rPr>
        <w:t> </w:t>
      </w:r>
      <w:r>
        <w:rPr>
          <w:i/>
          <w:sz w:val="20"/>
        </w:rPr>
        <w:t>p</w:t>
      </w:r>
      <w:r>
        <w:rPr>
          <w:sz w:val="20"/>
        </w:rPr>
        <w:t>-</w:t>
      </w:r>
      <w:r>
        <w:rPr>
          <w:spacing w:val="-2"/>
          <w:sz w:val="20"/>
        </w:rPr>
        <w:t>value.</w:t>
      </w:r>
    </w:p>
    <w:p>
      <w:pPr>
        <w:pStyle w:val="BodyText"/>
        <w:spacing w:before="5"/>
        <w:rPr>
          <w:sz w:val="18"/>
        </w:rPr>
      </w:pPr>
      <w:r>
        <w:rPr>
          <w:sz w:val="18"/>
        </w:rPr>
        <mc:AlternateContent>
          <mc:Choice Requires="wps">
            <w:drawing>
              <wp:anchor distT="0" distB="0" distL="0" distR="0" allowOverlap="1" layoutInCell="1" locked="0" behindDoc="1" simplePos="0" relativeHeight="487634432">
                <wp:simplePos x="0" y="0"/>
                <wp:positionH relativeFrom="page">
                  <wp:posOffset>1260005</wp:posOffset>
                </wp:positionH>
                <wp:positionV relativeFrom="paragraph">
                  <wp:posOffset>150005</wp:posOffset>
                </wp:positionV>
                <wp:extent cx="5400040" cy="1270"/>
                <wp:effectExtent l="0" t="0" r="0" b="0"/>
                <wp:wrapTopAndBottom/>
                <wp:docPr id="259" name="Graphic 259"/>
                <wp:cNvGraphicFramePr>
                  <a:graphicFrameLocks/>
                </wp:cNvGraphicFramePr>
                <a:graphic>
                  <a:graphicData uri="http://schemas.microsoft.com/office/word/2010/wordprocessingShape">
                    <wps:wsp>
                      <wps:cNvPr id="259" name="Graphic 259"/>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1.811473pt;width:425.2pt;height:.1pt;mso-position-horizontal-relative:page;mso-position-vertical-relative:paragraph;z-index:-15682048;mso-wrap-distance-left:0;mso-wrap-distance-right:0" id="docshape223" coordorigin="1984,236" coordsize="8504,0" path="m1984,236l10488,236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7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70"/>
        <w:gridCol w:w="4442"/>
        <w:gridCol w:w="757"/>
        <w:gridCol w:w="984"/>
        <w:gridCol w:w="927"/>
        <w:gridCol w:w="923"/>
      </w:tblGrid>
      <w:tr>
        <w:trPr>
          <w:trHeight w:val="824" w:hRule="atLeast"/>
        </w:trPr>
        <w:tc>
          <w:tcPr>
            <w:tcW w:w="470" w:type="dxa"/>
            <w:tcBorders>
              <w:top w:val="nil"/>
              <w:left w:val="nil"/>
              <w:right w:val="single" w:sz="4" w:space="0" w:color="000000"/>
            </w:tcBorders>
          </w:tcPr>
          <w:p>
            <w:pPr>
              <w:pStyle w:val="TableParagraph"/>
              <w:spacing w:before="31"/>
              <w:ind w:left="119"/>
              <w:rPr>
                <w:sz w:val="20"/>
              </w:rPr>
            </w:pPr>
            <w:r>
              <w:rPr>
                <w:spacing w:val="-10"/>
                <w:sz w:val="20"/>
              </w:rPr>
              <w:t>#</w:t>
            </w:r>
          </w:p>
        </w:tc>
        <w:tc>
          <w:tcPr>
            <w:tcW w:w="4442" w:type="dxa"/>
            <w:tcBorders>
              <w:top w:val="nil"/>
              <w:left w:val="single" w:sz="4" w:space="0" w:color="000000"/>
              <w:right w:val="single" w:sz="4" w:space="0" w:color="000000"/>
            </w:tcBorders>
          </w:tcPr>
          <w:p>
            <w:pPr>
              <w:pStyle w:val="TableParagraph"/>
              <w:spacing w:before="31"/>
              <w:ind w:left="118"/>
              <w:rPr>
                <w:sz w:val="20"/>
              </w:rPr>
            </w:pPr>
            <w:r>
              <w:rPr>
                <w:spacing w:val="-2"/>
                <w:sz w:val="20"/>
              </w:rPr>
              <w:t>Conditions</w:t>
            </w:r>
          </w:p>
        </w:tc>
        <w:tc>
          <w:tcPr>
            <w:tcW w:w="757" w:type="dxa"/>
            <w:tcBorders>
              <w:top w:val="nil"/>
              <w:left w:val="single" w:sz="4" w:space="0" w:color="000000"/>
              <w:right w:val="single" w:sz="4" w:space="0" w:color="000000"/>
            </w:tcBorders>
          </w:tcPr>
          <w:p>
            <w:pPr>
              <w:pStyle w:val="TableParagraph"/>
              <w:spacing w:before="31"/>
              <w:ind w:left="221"/>
              <w:rPr>
                <w:sz w:val="20"/>
              </w:rPr>
            </w:pPr>
            <w:r>
              <w:rPr>
                <w:spacing w:val="-4"/>
                <w:sz w:val="20"/>
              </w:rPr>
              <w:t>Dir.</w:t>
            </w:r>
          </w:p>
        </w:tc>
        <w:tc>
          <w:tcPr>
            <w:tcW w:w="984" w:type="dxa"/>
            <w:tcBorders>
              <w:top w:val="nil"/>
              <w:left w:val="single" w:sz="4" w:space="0" w:color="000000"/>
              <w:right w:val="single" w:sz="4" w:space="0" w:color="000000"/>
            </w:tcBorders>
          </w:tcPr>
          <w:p>
            <w:pPr>
              <w:pStyle w:val="TableParagraph"/>
              <w:spacing w:before="31"/>
              <w:ind w:left="118"/>
              <w:rPr>
                <w:sz w:val="20"/>
              </w:rPr>
            </w:pPr>
            <w:r>
              <w:rPr>
                <w:spacing w:val="-2"/>
                <w:sz w:val="20"/>
              </w:rPr>
              <w:t>Median</w:t>
            </w:r>
          </w:p>
          <w:p>
            <w:pPr>
              <w:pStyle w:val="TableParagraph"/>
              <w:spacing w:line="243" w:lineRule="exact" w:before="5"/>
              <w:ind w:left="118"/>
              <w:rPr>
                <w:rFonts w:ascii="Calibri" w:hAnsi="Calibri"/>
                <w:sz w:val="20"/>
              </w:rPr>
            </w:pPr>
            <w:r>
              <w:rPr>
                <w:rFonts w:ascii="Calibri" w:hAnsi="Calibri"/>
                <w:spacing w:val="-10"/>
                <w:w w:val="110"/>
                <w:sz w:val="20"/>
              </w:rPr>
              <w:t>∆</w:t>
            </w:r>
          </w:p>
          <w:p>
            <w:pPr>
              <w:pStyle w:val="TableParagraph"/>
              <w:spacing w:line="229" w:lineRule="exact" w:before="0"/>
              <w:ind w:left="112"/>
              <w:rPr>
                <w:sz w:val="20"/>
              </w:rPr>
            </w:pPr>
            <w:r>
              <w:rPr>
                <w:spacing w:val="-2"/>
                <w:sz w:val="20"/>
              </w:rPr>
              <w:t>(mhl)</w:t>
            </w:r>
          </w:p>
        </w:tc>
        <w:tc>
          <w:tcPr>
            <w:tcW w:w="927" w:type="dxa"/>
            <w:tcBorders>
              <w:top w:val="nil"/>
              <w:left w:val="single" w:sz="4" w:space="0" w:color="000000"/>
              <w:right w:val="single" w:sz="4" w:space="0" w:color="000000"/>
            </w:tcBorders>
          </w:tcPr>
          <w:p>
            <w:pPr>
              <w:pStyle w:val="TableParagraph"/>
              <w:spacing w:before="31"/>
              <w:ind w:left="118"/>
              <w:rPr>
                <w:sz w:val="20"/>
              </w:rPr>
            </w:pPr>
            <w:r>
              <w:rPr>
                <w:spacing w:val="-2"/>
                <w:sz w:val="20"/>
              </w:rPr>
              <w:t>Support</w:t>
            </w:r>
          </w:p>
        </w:tc>
        <w:tc>
          <w:tcPr>
            <w:tcW w:w="923" w:type="dxa"/>
            <w:tcBorders>
              <w:top w:val="nil"/>
              <w:left w:val="single" w:sz="4" w:space="0" w:color="000000"/>
              <w:right w:val="nil"/>
            </w:tcBorders>
          </w:tcPr>
          <w:p>
            <w:pPr>
              <w:pStyle w:val="TableParagraph"/>
              <w:spacing w:before="31"/>
              <w:ind w:left="119"/>
              <w:rPr>
                <w:sz w:val="20"/>
              </w:rPr>
            </w:pPr>
            <w:r>
              <w:rPr>
                <w:spacing w:val="-2"/>
                <w:sz w:val="20"/>
              </w:rPr>
              <w:t>p-</w:t>
            </w:r>
            <w:r>
              <w:rPr>
                <w:spacing w:val="-4"/>
                <w:sz w:val="20"/>
              </w:rPr>
              <w:t>value</w:t>
            </w:r>
          </w:p>
        </w:tc>
      </w:tr>
    </w:tbl>
    <w:p>
      <w:pPr>
        <w:pStyle w:val="BodyText"/>
        <w:spacing w:before="10"/>
        <w:rPr>
          <w:sz w:val="4"/>
        </w:rPr>
      </w:pPr>
    </w:p>
    <w:tbl>
      <w:tblPr>
        <w:tblW w:w="0" w:type="auto"/>
        <w:jc w:val="left"/>
        <w:tblInd w:w="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0"/>
        <w:gridCol w:w="4442"/>
        <w:gridCol w:w="757"/>
        <w:gridCol w:w="984"/>
        <w:gridCol w:w="927"/>
        <w:gridCol w:w="923"/>
      </w:tblGrid>
      <w:tr>
        <w:trPr>
          <w:trHeight w:val="518" w:hRule="atLeast"/>
        </w:trPr>
        <w:tc>
          <w:tcPr>
            <w:tcW w:w="470" w:type="dxa"/>
            <w:tcBorders>
              <w:right w:val="single" w:sz="4" w:space="0" w:color="000000"/>
            </w:tcBorders>
          </w:tcPr>
          <w:p>
            <w:pPr>
              <w:pStyle w:val="TableParagraph"/>
              <w:spacing w:before="31"/>
              <w:ind w:left="119"/>
              <w:rPr>
                <w:sz w:val="20"/>
              </w:rPr>
            </w:pPr>
            <w:r>
              <w:rPr>
                <w:spacing w:val="-10"/>
                <w:sz w:val="20"/>
              </w:rPr>
              <w:t>1</w:t>
            </w:r>
          </w:p>
        </w:tc>
        <w:tc>
          <w:tcPr>
            <w:tcW w:w="4442" w:type="dxa"/>
            <w:tcBorders>
              <w:left w:val="single" w:sz="4" w:space="0" w:color="000000"/>
              <w:right w:val="single" w:sz="4" w:space="0" w:color="000000"/>
            </w:tcBorders>
          </w:tcPr>
          <w:p>
            <w:pPr>
              <w:pStyle w:val="TableParagraph"/>
              <w:spacing w:line="240" w:lineRule="atLeast" w:before="18"/>
              <w:ind w:left="118" w:right="116"/>
              <w:rPr>
                <w:b/>
                <w:sz w:val="20"/>
              </w:rPr>
            </w:pPr>
            <w:r>
              <w:rPr>
                <w:b/>
                <w:sz w:val="20"/>
              </w:rPr>
              <w:t>Wet</w:t>
            </w:r>
            <w:r>
              <w:rPr>
                <w:b/>
                <w:spacing w:val="-8"/>
                <w:sz w:val="20"/>
              </w:rPr>
              <w:t> </w:t>
            </w:r>
            <w:r>
              <w:rPr>
                <w:b/>
                <w:sz w:val="20"/>
              </w:rPr>
              <w:t>days</w:t>
            </w:r>
            <w:r>
              <w:rPr>
                <w:b/>
                <w:spacing w:val="-8"/>
                <w:sz w:val="20"/>
              </w:rPr>
              <w:t> </w:t>
            </w:r>
            <w:r>
              <w:rPr>
                <w:b/>
                <w:sz w:val="20"/>
              </w:rPr>
              <w:t>post-Flowering</w:t>
            </w:r>
            <w:r>
              <w:rPr>
                <w:b/>
                <w:spacing w:val="-8"/>
                <w:sz w:val="20"/>
              </w:rPr>
              <w:t> </w:t>
            </w:r>
            <w:r>
              <w:rPr>
                <w:b/>
                <w:sz w:val="20"/>
              </w:rPr>
              <w:t>[0–3.3d]</w:t>
            </w:r>
            <w:r>
              <w:rPr>
                <w:b/>
                <w:spacing w:val="-8"/>
                <w:sz w:val="20"/>
              </w:rPr>
              <w:t> </w:t>
            </w:r>
            <w:r>
              <w:rPr>
                <w:b/>
                <w:sz w:val="20"/>
              </w:rPr>
              <w:t>AND</w:t>
            </w:r>
            <w:r>
              <w:rPr>
                <w:b/>
                <w:spacing w:val="-8"/>
                <w:sz w:val="20"/>
              </w:rPr>
              <w:t> </w:t>
            </w:r>
            <w:r>
              <w:rPr>
                <w:b/>
                <w:sz w:val="20"/>
              </w:rPr>
              <w:t>Wet</w:t>
            </w:r>
            <w:r>
              <w:rPr>
                <w:b/>
                <w:spacing w:val="-8"/>
                <w:sz w:val="20"/>
              </w:rPr>
              <w:t> </w:t>
            </w:r>
            <w:r>
              <w:rPr>
                <w:b/>
                <w:sz w:val="20"/>
              </w:rPr>
              <w:t>days post-Maturity [0–3.5d]</w:t>
            </w:r>
          </w:p>
        </w:tc>
        <w:tc>
          <w:tcPr>
            <w:tcW w:w="757" w:type="dxa"/>
            <w:tcBorders>
              <w:left w:val="single" w:sz="4" w:space="0" w:color="000000"/>
              <w:right w:val="single" w:sz="4" w:space="0" w:color="000000"/>
            </w:tcBorders>
          </w:tcPr>
          <w:p>
            <w:pPr>
              <w:pStyle w:val="TableParagraph"/>
              <w:spacing w:before="49"/>
              <w:ind w:left="85"/>
              <w:jc w:val="center"/>
              <w:rPr>
                <w:sz w:val="18"/>
              </w:rPr>
            </w:pPr>
            <w:r>
              <w:rPr>
                <w:spacing w:val="-4"/>
                <w:sz w:val="18"/>
              </w:rPr>
              <w:t>ABOVE</w:t>
            </w:r>
          </w:p>
        </w:tc>
        <w:tc>
          <w:tcPr>
            <w:tcW w:w="984" w:type="dxa"/>
            <w:tcBorders>
              <w:left w:val="single" w:sz="4" w:space="0" w:color="000000"/>
              <w:right w:val="single" w:sz="4" w:space="0" w:color="000000"/>
            </w:tcBorders>
          </w:tcPr>
          <w:p>
            <w:pPr>
              <w:pStyle w:val="TableParagraph"/>
              <w:spacing w:before="31"/>
              <w:ind w:left="118"/>
              <w:rPr>
                <w:sz w:val="20"/>
              </w:rPr>
            </w:pPr>
            <w:r>
              <w:rPr>
                <w:spacing w:val="-4"/>
                <w:sz w:val="20"/>
              </w:rPr>
              <w:t>+121</w:t>
            </w:r>
          </w:p>
        </w:tc>
        <w:tc>
          <w:tcPr>
            <w:tcW w:w="927" w:type="dxa"/>
            <w:tcBorders>
              <w:left w:val="single" w:sz="4" w:space="0" w:color="000000"/>
              <w:right w:val="single" w:sz="4" w:space="0" w:color="000000"/>
            </w:tcBorders>
          </w:tcPr>
          <w:p>
            <w:pPr>
              <w:pStyle w:val="TableParagraph"/>
              <w:spacing w:before="31"/>
              <w:ind w:left="118"/>
              <w:rPr>
                <w:sz w:val="20"/>
              </w:rPr>
            </w:pPr>
            <w:r>
              <w:rPr>
                <w:spacing w:val="-2"/>
                <w:sz w:val="20"/>
              </w:rPr>
              <w:t>28.1%</w:t>
            </w:r>
          </w:p>
        </w:tc>
        <w:tc>
          <w:tcPr>
            <w:tcW w:w="923" w:type="dxa"/>
            <w:tcBorders>
              <w:left w:val="single" w:sz="4" w:space="0" w:color="000000"/>
            </w:tcBorders>
          </w:tcPr>
          <w:p>
            <w:pPr>
              <w:pStyle w:val="TableParagraph"/>
              <w:spacing w:before="31"/>
              <w:ind w:left="119"/>
              <w:rPr>
                <w:sz w:val="20"/>
              </w:rPr>
            </w:pPr>
            <w:r>
              <w:rPr>
                <w:spacing w:val="-2"/>
                <w:sz w:val="20"/>
              </w:rPr>
              <w:t>0.0043</w:t>
            </w:r>
          </w:p>
        </w:tc>
      </w:tr>
      <w:tr>
        <w:trPr>
          <w:trHeight w:val="503" w:hRule="atLeast"/>
        </w:trPr>
        <w:tc>
          <w:tcPr>
            <w:tcW w:w="470" w:type="dxa"/>
            <w:tcBorders>
              <w:right w:val="single" w:sz="4" w:space="0" w:color="000000"/>
            </w:tcBorders>
          </w:tcPr>
          <w:p>
            <w:pPr>
              <w:pStyle w:val="TableParagraph"/>
              <w:spacing w:before="0"/>
              <w:rPr>
                <w:sz w:val="18"/>
              </w:rPr>
            </w:pPr>
          </w:p>
        </w:tc>
        <w:tc>
          <w:tcPr>
            <w:tcW w:w="4442" w:type="dxa"/>
            <w:tcBorders>
              <w:left w:val="single" w:sz="4" w:space="0" w:color="000000"/>
              <w:right w:val="single" w:sz="4" w:space="0" w:color="000000"/>
            </w:tcBorders>
          </w:tcPr>
          <w:p>
            <w:pPr>
              <w:pStyle w:val="TableParagraph"/>
              <w:spacing w:line="249" w:lineRule="auto" w:before="0"/>
              <w:ind w:left="118" w:hanging="8"/>
              <w:rPr>
                <w:i/>
                <w:sz w:val="20"/>
              </w:rPr>
            </w:pPr>
            <w:r>
              <w:rPr>
                <w:i/>
                <w:spacing w:val="-4"/>
                <w:sz w:val="20"/>
              </w:rPr>
              <w:t>Dry</w:t>
            </w:r>
            <w:r>
              <w:rPr>
                <w:i/>
                <w:spacing w:val="-5"/>
                <w:sz w:val="20"/>
              </w:rPr>
              <w:t> </w:t>
            </w:r>
            <w:r>
              <w:rPr>
                <w:i/>
                <w:spacing w:val="-4"/>
                <w:sz w:val="20"/>
              </w:rPr>
              <w:t>post-flowering</w:t>
            </w:r>
            <w:r>
              <w:rPr>
                <w:i/>
                <w:spacing w:val="-6"/>
                <w:sz w:val="20"/>
              </w:rPr>
              <w:t> </w:t>
            </w:r>
            <w:r>
              <w:rPr>
                <w:i/>
                <w:spacing w:val="-4"/>
                <w:sz w:val="20"/>
              </w:rPr>
              <w:t>conditions</w:t>
            </w:r>
            <w:r>
              <w:rPr>
                <w:i/>
                <w:spacing w:val="-5"/>
                <w:sz w:val="20"/>
              </w:rPr>
              <w:t> </w:t>
            </w:r>
            <w:r>
              <w:rPr>
                <w:i/>
                <w:spacing w:val="-4"/>
                <w:sz w:val="20"/>
              </w:rPr>
              <w:t>reduce</w:t>
            </w:r>
            <w:r>
              <w:rPr>
                <w:i/>
                <w:spacing w:val="-5"/>
                <w:sz w:val="20"/>
              </w:rPr>
              <w:t> </w:t>
            </w:r>
            <w:r>
              <w:rPr>
                <w:i/>
                <w:spacing w:val="-4"/>
                <w:sz w:val="20"/>
              </w:rPr>
              <w:t>disease</w:t>
            </w:r>
            <w:r>
              <w:rPr>
                <w:i/>
                <w:spacing w:val="-5"/>
                <w:sz w:val="20"/>
              </w:rPr>
              <w:t> </w:t>
            </w:r>
            <w:r>
              <w:rPr>
                <w:i/>
                <w:spacing w:val="-4"/>
                <w:sz w:val="20"/>
              </w:rPr>
              <w:t>pressure</w:t>
            </w:r>
            <w:r>
              <w:rPr>
                <w:i/>
                <w:spacing w:val="-4"/>
                <w:sz w:val="20"/>
              </w:rPr>
              <w:t> </w:t>
            </w:r>
            <w:r>
              <w:rPr>
                <w:i/>
                <w:sz w:val="20"/>
              </w:rPr>
              <w:t>and promote fruit set in the Douro.</w:t>
            </w:r>
          </w:p>
        </w:tc>
        <w:tc>
          <w:tcPr>
            <w:tcW w:w="757" w:type="dxa"/>
            <w:tcBorders>
              <w:left w:val="single" w:sz="4" w:space="0" w:color="000000"/>
              <w:right w:val="single" w:sz="4" w:space="0" w:color="000000"/>
            </w:tcBorders>
          </w:tcPr>
          <w:p>
            <w:pPr>
              <w:pStyle w:val="TableParagraph"/>
              <w:spacing w:before="0"/>
              <w:rPr>
                <w:sz w:val="18"/>
              </w:rPr>
            </w:pPr>
          </w:p>
        </w:tc>
        <w:tc>
          <w:tcPr>
            <w:tcW w:w="984" w:type="dxa"/>
            <w:tcBorders>
              <w:left w:val="single" w:sz="4" w:space="0" w:color="000000"/>
              <w:right w:val="single" w:sz="4" w:space="0" w:color="000000"/>
            </w:tcBorders>
          </w:tcPr>
          <w:p>
            <w:pPr>
              <w:pStyle w:val="TableParagraph"/>
              <w:spacing w:before="0"/>
              <w:rPr>
                <w:sz w:val="18"/>
              </w:rPr>
            </w:pPr>
          </w:p>
        </w:tc>
        <w:tc>
          <w:tcPr>
            <w:tcW w:w="927" w:type="dxa"/>
            <w:tcBorders>
              <w:left w:val="single" w:sz="4" w:space="0" w:color="000000"/>
              <w:right w:val="single" w:sz="4" w:space="0" w:color="000000"/>
            </w:tcBorders>
          </w:tcPr>
          <w:p>
            <w:pPr>
              <w:pStyle w:val="TableParagraph"/>
              <w:spacing w:before="0"/>
              <w:rPr>
                <w:sz w:val="18"/>
              </w:rPr>
            </w:pPr>
          </w:p>
        </w:tc>
        <w:tc>
          <w:tcPr>
            <w:tcW w:w="923" w:type="dxa"/>
            <w:tcBorders>
              <w:left w:val="single" w:sz="4" w:space="0" w:color="000000"/>
            </w:tcBorders>
          </w:tcPr>
          <w:p>
            <w:pPr>
              <w:pStyle w:val="TableParagraph"/>
              <w:spacing w:before="0"/>
              <w:rPr>
                <w:sz w:val="18"/>
              </w:rPr>
            </w:pPr>
          </w:p>
        </w:tc>
      </w:tr>
      <w:tr>
        <w:trPr>
          <w:trHeight w:val="524" w:hRule="atLeast"/>
        </w:trPr>
        <w:tc>
          <w:tcPr>
            <w:tcW w:w="470" w:type="dxa"/>
            <w:tcBorders>
              <w:right w:val="single" w:sz="4" w:space="0" w:color="000000"/>
            </w:tcBorders>
          </w:tcPr>
          <w:p>
            <w:pPr>
              <w:pStyle w:val="TableParagraph"/>
              <w:spacing w:before="37"/>
              <w:ind w:left="119"/>
              <w:rPr>
                <w:sz w:val="20"/>
              </w:rPr>
            </w:pPr>
            <w:r>
              <w:rPr>
                <w:spacing w:val="-10"/>
                <w:sz w:val="20"/>
              </w:rPr>
              <w:t>2</w:t>
            </w:r>
          </w:p>
        </w:tc>
        <w:tc>
          <w:tcPr>
            <w:tcW w:w="4442" w:type="dxa"/>
            <w:tcBorders>
              <w:left w:val="single" w:sz="4" w:space="0" w:color="000000"/>
              <w:right w:val="single" w:sz="4" w:space="0" w:color="000000"/>
            </w:tcBorders>
          </w:tcPr>
          <w:p>
            <w:pPr>
              <w:pStyle w:val="TableParagraph"/>
              <w:spacing w:line="240" w:lineRule="atLeast" w:before="20"/>
              <w:ind w:left="118"/>
              <w:rPr>
                <w:b/>
                <w:sz w:val="20"/>
              </w:rPr>
            </w:pPr>
            <w:r>
              <w:rPr>
                <w:b/>
                <w:sz w:val="20"/>
              </w:rPr>
              <w:t>LAI</w:t>
            </w:r>
            <w:r>
              <w:rPr>
                <w:b/>
                <w:spacing w:val="-11"/>
                <w:sz w:val="20"/>
              </w:rPr>
              <w:t> </w:t>
            </w:r>
            <w:r>
              <w:rPr>
                <w:b/>
                <w:sz w:val="20"/>
              </w:rPr>
              <w:t>at</w:t>
            </w:r>
            <w:r>
              <w:rPr>
                <w:b/>
                <w:spacing w:val="-11"/>
                <w:sz w:val="20"/>
              </w:rPr>
              <w:t> </w:t>
            </w:r>
            <w:r>
              <w:rPr>
                <w:b/>
                <w:sz w:val="20"/>
              </w:rPr>
              <w:t>Flowering</w:t>
            </w:r>
            <w:r>
              <w:rPr>
                <w:b/>
                <w:spacing w:val="-11"/>
                <w:sz w:val="20"/>
              </w:rPr>
              <w:t> </w:t>
            </w:r>
            <w:r>
              <w:rPr>
                <w:b/>
                <w:sz w:val="20"/>
              </w:rPr>
              <w:t>[0.74–0.88</w:t>
            </w:r>
            <w:r>
              <w:rPr>
                <w:b/>
                <w:spacing w:val="-11"/>
                <w:sz w:val="20"/>
              </w:rPr>
              <w:t> </w:t>
            </w:r>
            <w:r>
              <w:rPr>
                <w:b/>
                <w:sz w:val="20"/>
              </w:rPr>
              <w:t>m</w:t>
            </w:r>
            <w:r>
              <w:rPr>
                <w:position w:val="7"/>
                <w:sz w:val="14"/>
              </w:rPr>
              <w:t>2</w:t>
            </w:r>
            <w:r>
              <w:rPr>
                <w:b/>
                <w:sz w:val="20"/>
              </w:rPr>
              <w:t>/m</w:t>
            </w:r>
            <w:r>
              <w:rPr>
                <w:position w:val="7"/>
                <w:sz w:val="14"/>
              </w:rPr>
              <w:t>2</w:t>
            </w:r>
            <w:r>
              <w:rPr>
                <w:b/>
                <w:sz w:val="20"/>
              </w:rPr>
              <w:t>]</w:t>
            </w:r>
            <w:r>
              <w:rPr>
                <w:b/>
                <w:spacing w:val="-11"/>
                <w:sz w:val="20"/>
              </w:rPr>
              <w:t> </w:t>
            </w:r>
            <w:r>
              <w:rPr>
                <w:b/>
                <w:sz w:val="20"/>
              </w:rPr>
              <w:t>AND</w:t>
            </w:r>
            <w:r>
              <w:rPr>
                <w:b/>
                <w:spacing w:val="-11"/>
                <w:sz w:val="20"/>
              </w:rPr>
              <w:t> </w:t>
            </w:r>
            <w:r>
              <w:rPr>
                <w:b/>
                <w:sz w:val="20"/>
              </w:rPr>
              <w:t>Soil</w:t>
            </w:r>
            <w:r>
              <w:rPr>
                <w:b/>
                <w:spacing w:val="-11"/>
                <w:sz w:val="20"/>
              </w:rPr>
              <w:t> </w:t>
            </w:r>
            <w:r>
              <w:rPr>
                <w:b/>
                <w:sz w:val="20"/>
              </w:rPr>
              <w:t>wa-ter post-Flowering [390–404 mm]</w:t>
            </w:r>
          </w:p>
        </w:tc>
        <w:tc>
          <w:tcPr>
            <w:tcW w:w="757" w:type="dxa"/>
            <w:tcBorders>
              <w:left w:val="single" w:sz="4" w:space="0" w:color="000000"/>
              <w:right w:val="single" w:sz="4" w:space="0" w:color="000000"/>
            </w:tcBorders>
          </w:tcPr>
          <w:p>
            <w:pPr>
              <w:pStyle w:val="TableParagraph"/>
              <w:spacing w:before="56"/>
              <w:ind w:left="107"/>
              <w:jc w:val="center"/>
              <w:rPr>
                <w:sz w:val="18"/>
              </w:rPr>
            </w:pPr>
            <w:r>
              <w:rPr>
                <w:spacing w:val="-2"/>
                <w:sz w:val="18"/>
              </w:rPr>
              <w:t>BELOW</w:t>
            </w:r>
          </w:p>
        </w:tc>
        <w:tc>
          <w:tcPr>
            <w:tcW w:w="984" w:type="dxa"/>
            <w:tcBorders>
              <w:left w:val="single" w:sz="4" w:space="0" w:color="000000"/>
              <w:right w:val="single" w:sz="4" w:space="0" w:color="000000"/>
            </w:tcBorders>
          </w:tcPr>
          <w:p>
            <w:pPr>
              <w:pStyle w:val="TableParagraph"/>
              <w:spacing w:before="37"/>
              <w:ind w:left="118"/>
              <w:rPr>
                <w:sz w:val="20"/>
              </w:rPr>
            </w:pPr>
            <w:r>
              <w:rPr>
                <w:spacing w:val="-2"/>
                <w:sz w:val="20"/>
              </w:rPr>
              <w:t>-</w:t>
            </w:r>
            <w:r>
              <w:rPr>
                <w:spacing w:val="-5"/>
                <w:sz w:val="20"/>
              </w:rPr>
              <w:t>131</w:t>
            </w:r>
          </w:p>
        </w:tc>
        <w:tc>
          <w:tcPr>
            <w:tcW w:w="927" w:type="dxa"/>
            <w:tcBorders>
              <w:left w:val="single" w:sz="4" w:space="0" w:color="000000"/>
              <w:right w:val="single" w:sz="4" w:space="0" w:color="000000"/>
            </w:tcBorders>
          </w:tcPr>
          <w:p>
            <w:pPr>
              <w:pStyle w:val="TableParagraph"/>
              <w:spacing w:before="37"/>
              <w:ind w:left="118"/>
              <w:rPr>
                <w:sz w:val="20"/>
              </w:rPr>
            </w:pPr>
            <w:r>
              <w:rPr>
                <w:spacing w:val="-2"/>
                <w:sz w:val="20"/>
              </w:rPr>
              <w:t>20.2%</w:t>
            </w:r>
          </w:p>
        </w:tc>
        <w:tc>
          <w:tcPr>
            <w:tcW w:w="923" w:type="dxa"/>
            <w:tcBorders>
              <w:left w:val="single" w:sz="4" w:space="0" w:color="000000"/>
            </w:tcBorders>
          </w:tcPr>
          <w:p>
            <w:pPr>
              <w:pStyle w:val="TableParagraph"/>
              <w:spacing w:before="37"/>
              <w:ind w:left="119"/>
              <w:rPr>
                <w:sz w:val="20"/>
              </w:rPr>
            </w:pPr>
            <w:r>
              <w:rPr>
                <w:spacing w:val="-2"/>
                <w:sz w:val="20"/>
              </w:rPr>
              <w:t>0.0084</w:t>
            </w:r>
          </w:p>
        </w:tc>
      </w:tr>
      <w:tr>
        <w:trPr>
          <w:trHeight w:val="503" w:hRule="atLeast"/>
        </w:trPr>
        <w:tc>
          <w:tcPr>
            <w:tcW w:w="470" w:type="dxa"/>
            <w:tcBorders>
              <w:right w:val="single" w:sz="4" w:space="0" w:color="000000"/>
            </w:tcBorders>
          </w:tcPr>
          <w:p>
            <w:pPr>
              <w:pStyle w:val="TableParagraph"/>
              <w:spacing w:before="0"/>
              <w:rPr>
                <w:sz w:val="18"/>
              </w:rPr>
            </w:pPr>
          </w:p>
        </w:tc>
        <w:tc>
          <w:tcPr>
            <w:tcW w:w="4442" w:type="dxa"/>
            <w:tcBorders>
              <w:left w:val="single" w:sz="4" w:space="0" w:color="000000"/>
              <w:right w:val="single" w:sz="4" w:space="0" w:color="000000"/>
            </w:tcBorders>
          </w:tcPr>
          <w:p>
            <w:pPr>
              <w:pStyle w:val="TableParagraph"/>
              <w:spacing w:line="249" w:lineRule="auto" w:before="0"/>
              <w:ind w:left="118" w:hanging="7"/>
              <w:rPr>
                <w:i/>
                <w:sz w:val="20"/>
              </w:rPr>
            </w:pPr>
            <w:r>
              <w:rPr>
                <w:i/>
                <w:sz w:val="20"/>
              </w:rPr>
              <w:t>Elevated canopy vigour with high soil moisture </w:t>
            </w:r>
            <w:r>
              <w:rPr>
                <w:i/>
                <w:sz w:val="20"/>
              </w:rPr>
              <w:t>at</w:t>
            </w:r>
            <w:r>
              <w:rPr>
                <w:i/>
                <w:sz w:val="20"/>
              </w:rPr>
              <w:t> </w:t>
            </w:r>
            <w:r>
              <w:rPr>
                <w:i/>
                <w:spacing w:val="-4"/>
                <w:sz w:val="20"/>
              </w:rPr>
              <w:t>flowering</w:t>
            </w:r>
            <w:r>
              <w:rPr>
                <w:i/>
                <w:spacing w:val="6"/>
                <w:sz w:val="20"/>
              </w:rPr>
              <w:t> </w:t>
            </w:r>
            <w:r>
              <w:rPr>
                <w:i/>
                <w:spacing w:val="-4"/>
                <w:sz w:val="20"/>
              </w:rPr>
              <w:t>drives</w:t>
            </w:r>
            <w:r>
              <w:rPr>
                <w:i/>
                <w:spacing w:val="6"/>
                <w:sz w:val="20"/>
              </w:rPr>
              <w:t> </w:t>
            </w:r>
            <w:r>
              <w:rPr>
                <w:i/>
                <w:spacing w:val="-4"/>
                <w:sz w:val="20"/>
              </w:rPr>
              <w:t>vegetative-over-reproductive</w:t>
            </w:r>
            <w:r>
              <w:rPr>
                <w:i/>
                <w:spacing w:val="7"/>
                <w:sz w:val="20"/>
              </w:rPr>
              <w:t> </w:t>
            </w:r>
            <w:r>
              <w:rPr>
                <w:i/>
                <w:spacing w:val="-4"/>
                <w:sz w:val="20"/>
              </w:rPr>
              <w:t>growth.</w:t>
            </w:r>
          </w:p>
        </w:tc>
        <w:tc>
          <w:tcPr>
            <w:tcW w:w="757" w:type="dxa"/>
            <w:tcBorders>
              <w:left w:val="single" w:sz="4" w:space="0" w:color="000000"/>
              <w:right w:val="single" w:sz="4" w:space="0" w:color="000000"/>
            </w:tcBorders>
          </w:tcPr>
          <w:p>
            <w:pPr>
              <w:pStyle w:val="TableParagraph"/>
              <w:spacing w:before="0"/>
              <w:rPr>
                <w:sz w:val="18"/>
              </w:rPr>
            </w:pPr>
          </w:p>
        </w:tc>
        <w:tc>
          <w:tcPr>
            <w:tcW w:w="984" w:type="dxa"/>
            <w:tcBorders>
              <w:left w:val="single" w:sz="4" w:space="0" w:color="000000"/>
              <w:right w:val="single" w:sz="4" w:space="0" w:color="000000"/>
            </w:tcBorders>
          </w:tcPr>
          <w:p>
            <w:pPr>
              <w:pStyle w:val="TableParagraph"/>
              <w:spacing w:before="0"/>
              <w:rPr>
                <w:sz w:val="18"/>
              </w:rPr>
            </w:pPr>
          </w:p>
        </w:tc>
        <w:tc>
          <w:tcPr>
            <w:tcW w:w="927" w:type="dxa"/>
            <w:tcBorders>
              <w:left w:val="single" w:sz="4" w:space="0" w:color="000000"/>
              <w:right w:val="single" w:sz="4" w:space="0" w:color="000000"/>
            </w:tcBorders>
          </w:tcPr>
          <w:p>
            <w:pPr>
              <w:pStyle w:val="TableParagraph"/>
              <w:spacing w:before="0"/>
              <w:rPr>
                <w:sz w:val="18"/>
              </w:rPr>
            </w:pPr>
          </w:p>
        </w:tc>
        <w:tc>
          <w:tcPr>
            <w:tcW w:w="923" w:type="dxa"/>
            <w:tcBorders>
              <w:left w:val="single" w:sz="4" w:space="0" w:color="000000"/>
            </w:tcBorders>
          </w:tcPr>
          <w:p>
            <w:pPr>
              <w:pStyle w:val="TableParagraph"/>
              <w:spacing w:before="0"/>
              <w:rPr>
                <w:sz w:val="18"/>
              </w:rPr>
            </w:pPr>
          </w:p>
        </w:tc>
      </w:tr>
      <w:tr>
        <w:trPr>
          <w:trHeight w:val="763" w:hRule="atLeast"/>
        </w:trPr>
        <w:tc>
          <w:tcPr>
            <w:tcW w:w="470" w:type="dxa"/>
            <w:tcBorders>
              <w:right w:val="single" w:sz="4" w:space="0" w:color="000000"/>
            </w:tcBorders>
          </w:tcPr>
          <w:p>
            <w:pPr>
              <w:pStyle w:val="TableParagraph"/>
              <w:spacing w:before="37"/>
              <w:ind w:left="119"/>
              <w:rPr>
                <w:sz w:val="20"/>
              </w:rPr>
            </w:pPr>
            <w:r>
              <w:rPr>
                <w:spacing w:val="-10"/>
                <w:sz w:val="20"/>
              </w:rPr>
              <w:t>3</w:t>
            </w:r>
          </w:p>
        </w:tc>
        <w:tc>
          <w:tcPr>
            <w:tcW w:w="4442" w:type="dxa"/>
            <w:tcBorders>
              <w:left w:val="single" w:sz="4" w:space="0" w:color="000000"/>
              <w:right w:val="single" w:sz="4" w:space="0" w:color="000000"/>
            </w:tcBorders>
          </w:tcPr>
          <w:p>
            <w:pPr>
              <w:pStyle w:val="TableParagraph"/>
              <w:spacing w:line="240" w:lineRule="atLeast" w:before="24"/>
              <w:ind w:left="118" w:right="83"/>
              <w:jc w:val="both"/>
              <w:rPr>
                <w:b/>
                <w:sz w:val="20"/>
              </w:rPr>
            </w:pPr>
            <w:r>
              <w:rPr>
                <w:b/>
                <w:sz w:val="20"/>
              </w:rPr>
              <w:t>Wet</w:t>
            </w:r>
            <w:r>
              <w:rPr>
                <w:b/>
                <w:spacing w:val="-3"/>
                <w:sz w:val="20"/>
              </w:rPr>
              <w:t> </w:t>
            </w:r>
            <w:r>
              <w:rPr>
                <w:b/>
                <w:sz w:val="20"/>
              </w:rPr>
              <w:t>days</w:t>
            </w:r>
            <w:r>
              <w:rPr>
                <w:b/>
                <w:spacing w:val="-3"/>
                <w:sz w:val="20"/>
              </w:rPr>
              <w:t> </w:t>
            </w:r>
            <w:r>
              <w:rPr>
                <w:b/>
                <w:sz w:val="20"/>
              </w:rPr>
              <w:t>post-Flowering</w:t>
            </w:r>
            <w:r>
              <w:rPr>
                <w:b/>
                <w:spacing w:val="-3"/>
                <w:sz w:val="20"/>
              </w:rPr>
              <w:t> </w:t>
            </w:r>
            <w:r>
              <w:rPr>
                <w:b/>
                <w:sz w:val="20"/>
              </w:rPr>
              <w:t>[0–3.3d]</w:t>
            </w:r>
            <w:r>
              <w:rPr>
                <w:b/>
                <w:spacing w:val="-3"/>
                <w:sz w:val="20"/>
              </w:rPr>
              <w:t> </w:t>
            </w:r>
            <w:r>
              <w:rPr>
                <w:b/>
                <w:sz w:val="20"/>
              </w:rPr>
              <w:t>AND</w:t>
            </w:r>
            <w:r>
              <w:rPr>
                <w:b/>
                <w:spacing w:val="-3"/>
                <w:sz w:val="20"/>
              </w:rPr>
              <w:t> </w:t>
            </w:r>
            <w:r>
              <w:rPr>
                <w:b/>
                <w:sz w:val="20"/>
              </w:rPr>
              <w:t>Wet</w:t>
            </w:r>
            <w:r>
              <w:rPr>
                <w:b/>
                <w:spacing w:val="-3"/>
                <w:sz w:val="20"/>
              </w:rPr>
              <w:t> </w:t>
            </w:r>
            <w:r>
              <w:rPr>
                <w:b/>
                <w:sz w:val="20"/>
              </w:rPr>
              <w:t>days post-Maturity [0–3.5d] AND Heat days </w:t>
            </w:r>
            <w:r>
              <w:rPr>
                <w:b/>
                <w:sz w:val="20"/>
              </w:rPr>
              <w:t>post-Flowering [0–0.6d]</w:t>
            </w:r>
          </w:p>
        </w:tc>
        <w:tc>
          <w:tcPr>
            <w:tcW w:w="757" w:type="dxa"/>
            <w:tcBorders>
              <w:left w:val="single" w:sz="4" w:space="0" w:color="000000"/>
              <w:right w:val="single" w:sz="4" w:space="0" w:color="000000"/>
            </w:tcBorders>
          </w:tcPr>
          <w:p>
            <w:pPr>
              <w:pStyle w:val="TableParagraph"/>
              <w:spacing w:before="56"/>
              <w:ind w:left="85"/>
              <w:jc w:val="center"/>
              <w:rPr>
                <w:sz w:val="18"/>
              </w:rPr>
            </w:pPr>
            <w:r>
              <w:rPr>
                <w:spacing w:val="-4"/>
                <w:sz w:val="18"/>
              </w:rPr>
              <w:t>ABOVE</w:t>
            </w:r>
          </w:p>
        </w:tc>
        <w:tc>
          <w:tcPr>
            <w:tcW w:w="984" w:type="dxa"/>
            <w:tcBorders>
              <w:left w:val="single" w:sz="4" w:space="0" w:color="000000"/>
              <w:right w:val="single" w:sz="4" w:space="0" w:color="000000"/>
            </w:tcBorders>
          </w:tcPr>
          <w:p>
            <w:pPr>
              <w:pStyle w:val="TableParagraph"/>
              <w:spacing w:before="37"/>
              <w:ind w:left="118"/>
              <w:rPr>
                <w:sz w:val="20"/>
              </w:rPr>
            </w:pPr>
            <w:r>
              <w:rPr>
                <w:spacing w:val="-4"/>
                <w:sz w:val="20"/>
              </w:rPr>
              <w:t>+113</w:t>
            </w:r>
          </w:p>
        </w:tc>
        <w:tc>
          <w:tcPr>
            <w:tcW w:w="927" w:type="dxa"/>
            <w:tcBorders>
              <w:left w:val="single" w:sz="4" w:space="0" w:color="000000"/>
              <w:right w:val="single" w:sz="4" w:space="0" w:color="000000"/>
            </w:tcBorders>
          </w:tcPr>
          <w:p>
            <w:pPr>
              <w:pStyle w:val="TableParagraph"/>
              <w:spacing w:before="37"/>
              <w:ind w:left="118"/>
              <w:rPr>
                <w:sz w:val="20"/>
              </w:rPr>
            </w:pPr>
            <w:r>
              <w:rPr>
                <w:spacing w:val="-2"/>
                <w:sz w:val="20"/>
              </w:rPr>
              <w:t>25.8%</w:t>
            </w:r>
          </w:p>
        </w:tc>
        <w:tc>
          <w:tcPr>
            <w:tcW w:w="923" w:type="dxa"/>
            <w:tcBorders>
              <w:left w:val="single" w:sz="4" w:space="0" w:color="000000"/>
            </w:tcBorders>
          </w:tcPr>
          <w:p>
            <w:pPr>
              <w:pStyle w:val="TableParagraph"/>
              <w:spacing w:before="37"/>
              <w:ind w:left="119"/>
              <w:rPr>
                <w:sz w:val="20"/>
              </w:rPr>
            </w:pPr>
            <w:r>
              <w:rPr>
                <w:spacing w:val="-2"/>
                <w:sz w:val="20"/>
              </w:rPr>
              <w:t>0.0089</w:t>
            </w:r>
          </w:p>
        </w:tc>
      </w:tr>
      <w:tr>
        <w:trPr>
          <w:trHeight w:val="503" w:hRule="atLeast"/>
        </w:trPr>
        <w:tc>
          <w:tcPr>
            <w:tcW w:w="470" w:type="dxa"/>
            <w:tcBorders>
              <w:right w:val="single" w:sz="4" w:space="0" w:color="000000"/>
            </w:tcBorders>
          </w:tcPr>
          <w:p>
            <w:pPr>
              <w:pStyle w:val="TableParagraph"/>
              <w:spacing w:before="0"/>
              <w:rPr>
                <w:sz w:val="18"/>
              </w:rPr>
            </w:pPr>
          </w:p>
        </w:tc>
        <w:tc>
          <w:tcPr>
            <w:tcW w:w="4442" w:type="dxa"/>
            <w:tcBorders>
              <w:left w:val="single" w:sz="4" w:space="0" w:color="000000"/>
              <w:right w:val="single" w:sz="4" w:space="0" w:color="000000"/>
            </w:tcBorders>
          </w:tcPr>
          <w:p>
            <w:pPr>
              <w:pStyle w:val="TableParagraph"/>
              <w:spacing w:line="249" w:lineRule="auto" w:before="0"/>
              <w:ind w:left="118" w:hanging="7"/>
              <w:rPr>
                <w:i/>
                <w:sz w:val="20"/>
              </w:rPr>
            </w:pPr>
            <w:r>
              <w:rPr>
                <w:i/>
                <w:sz w:val="20"/>
              </w:rPr>
              <w:t>Refines</w:t>
            </w:r>
            <w:r>
              <w:rPr>
                <w:i/>
                <w:spacing w:val="28"/>
                <w:sz w:val="20"/>
              </w:rPr>
              <w:t> </w:t>
            </w:r>
            <w:r>
              <w:rPr>
                <w:i/>
                <w:sz w:val="20"/>
              </w:rPr>
              <w:t>Rule</w:t>
            </w:r>
            <w:r>
              <w:rPr>
                <w:i/>
                <w:spacing w:val="28"/>
                <w:sz w:val="20"/>
              </w:rPr>
              <w:t> </w:t>
            </w:r>
            <w:r>
              <w:rPr>
                <w:i/>
                <w:sz w:val="20"/>
              </w:rPr>
              <w:t>1:</w:t>
            </w:r>
            <w:r>
              <w:rPr>
                <w:i/>
                <w:spacing w:val="40"/>
                <w:sz w:val="20"/>
              </w:rPr>
              <w:t> </w:t>
            </w:r>
            <w:r>
              <w:rPr>
                <w:i/>
                <w:sz w:val="20"/>
              </w:rPr>
              <w:t>dry</w:t>
            </w:r>
            <w:r>
              <w:rPr>
                <w:i/>
                <w:spacing w:val="28"/>
                <w:sz w:val="20"/>
              </w:rPr>
              <w:t> </w:t>
            </w:r>
            <w:r>
              <w:rPr>
                <w:i/>
                <w:sz w:val="20"/>
              </w:rPr>
              <w:t>and</w:t>
            </w:r>
            <w:r>
              <w:rPr>
                <w:i/>
                <w:spacing w:val="28"/>
                <w:sz w:val="20"/>
              </w:rPr>
              <w:t> </w:t>
            </w:r>
            <w:r>
              <w:rPr>
                <w:i/>
                <w:sz w:val="20"/>
              </w:rPr>
              <w:t>thermally</w:t>
            </w:r>
            <w:r>
              <w:rPr>
                <w:i/>
                <w:spacing w:val="28"/>
                <w:sz w:val="20"/>
              </w:rPr>
              <w:t> </w:t>
            </w:r>
            <w:r>
              <w:rPr>
                <w:i/>
                <w:sz w:val="20"/>
              </w:rPr>
              <w:t>moderate</w:t>
            </w:r>
            <w:r>
              <w:rPr>
                <w:i/>
                <w:spacing w:val="28"/>
                <w:sz w:val="20"/>
              </w:rPr>
              <w:t> </w:t>
            </w:r>
            <w:r>
              <w:rPr>
                <w:i/>
                <w:sz w:val="20"/>
              </w:rPr>
              <w:t>post-flowering window.</w:t>
            </w:r>
          </w:p>
        </w:tc>
        <w:tc>
          <w:tcPr>
            <w:tcW w:w="757" w:type="dxa"/>
            <w:tcBorders>
              <w:left w:val="single" w:sz="4" w:space="0" w:color="000000"/>
              <w:right w:val="single" w:sz="4" w:space="0" w:color="000000"/>
            </w:tcBorders>
          </w:tcPr>
          <w:p>
            <w:pPr>
              <w:pStyle w:val="TableParagraph"/>
              <w:spacing w:before="0"/>
              <w:rPr>
                <w:sz w:val="18"/>
              </w:rPr>
            </w:pPr>
          </w:p>
        </w:tc>
        <w:tc>
          <w:tcPr>
            <w:tcW w:w="984" w:type="dxa"/>
            <w:tcBorders>
              <w:left w:val="single" w:sz="4" w:space="0" w:color="000000"/>
              <w:right w:val="single" w:sz="4" w:space="0" w:color="000000"/>
            </w:tcBorders>
          </w:tcPr>
          <w:p>
            <w:pPr>
              <w:pStyle w:val="TableParagraph"/>
              <w:spacing w:before="0"/>
              <w:rPr>
                <w:sz w:val="18"/>
              </w:rPr>
            </w:pPr>
          </w:p>
        </w:tc>
        <w:tc>
          <w:tcPr>
            <w:tcW w:w="927" w:type="dxa"/>
            <w:tcBorders>
              <w:left w:val="single" w:sz="4" w:space="0" w:color="000000"/>
              <w:right w:val="single" w:sz="4" w:space="0" w:color="000000"/>
            </w:tcBorders>
          </w:tcPr>
          <w:p>
            <w:pPr>
              <w:pStyle w:val="TableParagraph"/>
              <w:spacing w:before="0"/>
              <w:rPr>
                <w:sz w:val="18"/>
              </w:rPr>
            </w:pPr>
          </w:p>
        </w:tc>
        <w:tc>
          <w:tcPr>
            <w:tcW w:w="923" w:type="dxa"/>
            <w:tcBorders>
              <w:left w:val="single" w:sz="4" w:space="0" w:color="000000"/>
            </w:tcBorders>
          </w:tcPr>
          <w:p>
            <w:pPr>
              <w:pStyle w:val="TableParagraph"/>
              <w:spacing w:before="0"/>
              <w:rPr>
                <w:sz w:val="18"/>
              </w:rPr>
            </w:pPr>
          </w:p>
        </w:tc>
      </w:tr>
      <w:tr>
        <w:trPr>
          <w:trHeight w:val="763" w:hRule="atLeast"/>
        </w:trPr>
        <w:tc>
          <w:tcPr>
            <w:tcW w:w="470" w:type="dxa"/>
            <w:tcBorders>
              <w:right w:val="single" w:sz="4" w:space="0" w:color="000000"/>
            </w:tcBorders>
          </w:tcPr>
          <w:p>
            <w:pPr>
              <w:pStyle w:val="TableParagraph"/>
              <w:spacing w:before="37"/>
              <w:ind w:left="119"/>
              <w:rPr>
                <w:sz w:val="20"/>
              </w:rPr>
            </w:pPr>
            <w:r>
              <w:rPr>
                <w:spacing w:val="-10"/>
                <w:sz w:val="20"/>
              </w:rPr>
              <w:t>4</w:t>
            </w:r>
          </w:p>
        </w:tc>
        <w:tc>
          <w:tcPr>
            <w:tcW w:w="4442" w:type="dxa"/>
            <w:tcBorders>
              <w:left w:val="single" w:sz="4" w:space="0" w:color="000000"/>
              <w:right w:val="single" w:sz="4" w:space="0" w:color="000000"/>
            </w:tcBorders>
          </w:tcPr>
          <w:p>
            <w:pPr>
              <w:pStyle w:val="TableParagraph"/>
              <w:spacing w:line="240" w:lineRule="atLeast" w:before="24"/>
              <w:ind w:left="118" w:right="116"/>
              <w:jc w:val="both"/>
              <w:rPr>
                <w:b/>
                <w:sz w:val="20"/>
              </w:rPr>
            </w:pPr>
            <w:r>
              <w:rPr>
                <w:b/>
                <w:sz w:val="20"/>
              </w:rPr>
              <w:t>Soil water pre-Harvest [74–101 mm] AND </w:t>
            </w:r>
            <w:r>
              <w:rPr>
                <w:b/>
                <w:sz w:val="20"/>
              </w:rPr>
              <w:t>Wet </w:t>
            </w:r>
            <w:r>
              <w:rPr>
                <w:b/>
                <w:spacing w:val="-2"/>
                <w:sz w:val="20"/>
              </w:rPr>
              <w:t>days</w:t>
            </w:r>
            <w:r>
              <w:rPr>
                <w:b/>
                <w:spacing w:val="-9"/>
                <w:sz w:val="20"/>
              </w:rPr>
              <w:t> </w:t>
            </w:r>
            <w:r>
              <w:rPr>
                <w:b/>
                <w:spacing w:val="-2"/>
                <w:sz w:val="20"/>
              </w:rPr>
              <w:t>post-Harvest</w:t>
            </w:r>
            <w:r>
              <w:rPr>
                <w:b/>
                <w:spacing w:val="-9"/>
                <w:sz w:val="20"/>
              </w:rPr>
              <w:t> </w:t>
            </w:r>
            <w:r>
              <w:rPr>
                <w:b/>
                <w:spacing w:val="-2"/>
                <w:sz w:val="20"/>
              </w:rPr>
              <w:t>prev.yr</w:t>
            </w:r>
            <w:r>
              <w:rPr>
                <w:b/>
                <w:spacing w:val="-9"/>
                <w:sz w:val="20"/>
              </w:rPr>
              <w:t> </w:t>
            </w:r>
            <w:r>
              <w:rPr>
                <w:b/>
                <w:spacing w:val="-2"/>
                <w:sz w:val="20"/>
              </w:rPr>
              <w:t>[0–2.3d]</w:t>
            </w:r>
            <w:r>
              <w:rPr>
                <w:b/>
                <w:spacing w:val="-9"/>
                <w:sz w:val="20"/>
              </w:rPr>
              <w:t> </w:t>
            </w:r>
            <w:r>
              <w:rPr>
                <w:b/>
                <w:spacing w:val="-2"/>
                <w:sz w:val="20"/>
              </w:rPr>
              <w:t>AND</w:t>
            </w:r>
            <w:r>
              <w:rPr>
                <w:b/>
                <w:spacing w:val="-9"/>
                <w:sz w:val="20"/>
              </w:rPr>
              <w:t> </w:t>
            </w:r>
            <w:r>
              <w:rPr>
                <w:b/>
                <w:spacing w:val="-2"/>
                <w:sz w:val="20"/>
              </w:rPr>
              <w:t>Wet</w:t>
            </w:r>
            <w:r>
              <w:rPr>
                <w:b/>
                <w:spacing w:val="-9"/>
                <w:sz w:val="20"/>
              </w:rPr>
              <w:t> </w:t>
            </w:r>
            <w:r>
              <w:rPr>
                <w:b/>
                <w:spacing w:val="-2"/>
                <w:sz w:val="20"/>
              </w:rPr>
              <w:t>days </w:t>
            </w:r>
            <w:r>
              <w:rPr>
                <w:b/>
                <w:sz w:val="20"/>
              </w:rPr>
              <w:t>post-Maturity [0–3.5d]</w:t>
            </w:r>
          </w:p>
        </w:tc>
        <w:tc>
          <w:tcPr>
            <w:tcW w:w="757" w:type="dxa"/>
            <w:tcBorders>
              <w:left w:val="single" w:sz="4" w:space="0" w:color="000000"/>
              <w:right w:val="single" w:sz="4" w:space="0" w:color="000000"/>
            </w:tcBorders>
          </w:tcPr>
          <w:p>
            <w:pPr>
              <w:pStyle w:val="TableParagraph"/>
              <w:spacing w:before="56"/>
              <w:ind w:left="85"/>
              <w:jc w:val="center"/>
              <w:rPr>
                <w:sz w:val="18"/>
              </w:rPr>
            </w:pPr>
            <w:r>
              <w:rPr>
                <w:spacing w:val="-4"/>
                <w:sz w:val="18"/>
              </w:rPr>
              <w:t>ABOVE</w:t>
            </w:r>
          </w:p>
        </w:tc>
        <w:tc>
          <w:tcPr>
            <w:tcW w:w="984" w:type="dxa"/>
            <w:tcBorders>
              <w:left w:val="single" w:sz="4" w:space="0" w:color="000000"/>
              <w:right w:val="single" w:sz="4" w:space="0" w:color="000000"/>
            </w:tcBorders>
          </w:tcPr>
          <w:p>
            <w:pPr>
              <w:pStyle w:val="TableParagraph"/>
              <w:spacing w:before="37"/>
              <w:ind w:left="118"/>
              <w:rPr>
                <w:sz w:val="20"/>
              </w:rPr>
            </w:pPr>
            <w:r>
              <w:rPr>
                <w:spacing w:val="-4"/>
                <w:sz w:val="20"/>
              </w:rPr>
              <w:t>+192</w:t>
            </w:r>
          </w:p>
        </w:tc>
        <w:tc>
          <w:tcPr>
            <w:tcW w:w="927" w:type="dxa"/>
            <w:tcBorders>
              <w:left w:val="single" w:sz="4" w:space="0" w:color="000000"/>
              <w:right w:val="single" w:sz="4" w:space="0" w:color="000000"/>
            </w:tcBorders>
          </w:tcPr>
          <w:p>
            <w:pPr>
              <w:pStyle w:val="TableParagraph"/>
              <w:spacing w:before="37"/>
              <w:ind w:left="118"/>
              <w:rPr>
                <w:sz w:val="20"/>
              </w:rPr>
            </w:pPr>
            <w:r>
              <w:rPr>
                <w:spacing w:val="-2"/>
                <w:sz w:val="20"/>
              </w:rPr>
              <w:t>21.3%</w:t>
            </w:r>
          </w:p>
        </w:tc>
        <w:tc>
          <w:tcPr>
            <w:tcW w:w="923" w:type="dxa"/>
            <w:tcBorders>
              <w:left w:val="single" w:sz="4" w:space="0" w:color="000000"/>
            </w:tcBorders>
          </w:tcPr>
          <w:p>
            <w:pPr>
              <w:pStyle w:val="TableParagraph"/>
              <w:spacing w:before="37"/>
              <w:ind w:left="119"/>
              <w:rPr>
                <w:sz w:val="20"/>
              </w:rPr>
            </w:pPr>
            <w:r>
              <w:rPr>
                <w:spacing w:val="-2"/>
                <w:sz w:val="20"/>
              </w:rPr>
              <w:t>0.0095</w:t>
            </w:r>
          </w:p>
        </w:tc>
      </w:tr>
      <w:tr>
        <w:trPr>
          <w:trHeight w:val="742" w:hRule="atLeast"/>
        </w:trPr>
        <w:tc>
          <w:tcPr>
            <w:tcW w:w="470" w:type="dxa"/>
            <w:tcBorders>
              <w:right w:val="single" w:sz="4" w:space="0" w:color="000000"/>
            </w:tcBorders>
          </w:tcPr>
          <w:p>
            <w:pPr>
              <w:pStyle w:val="TableParagraph"/>
              <w:spacing w:before="0"/>
              <w:rPr>
                <w:sz w:val="18"/>
              </w:rPr>
            </w:pPr>
          </w:p>
        </w:tc>
        <w:tc>
          <w:tcPr>
            <w:tcW w:w="4442" w:type="dxa"/>
            <w:tcBorders>
              <w:left w:val="single" w:sz="4" w:space="0" w:color="000000"/>
              <w:right w:val="single" w:sz="4" w:space="0" w:color="000000"/>
            </w:tcBorders>
          </w:tcPr>
          <w:p>
            <w:pPr>
              <w:pStyle w:val="TableParagraph"/>
              <w:spacing w:line="249" w:lineRule="auto" w:before="0"/>
              <w:ind w:left="118" w:right="83" w:hanging="9"/>
              <w:jc w:val="both"/>
              <w:rPr>
                <w:i/>
                <w:sz w:val="20"/>
              </w:rPr>
            </w:pPr>
            <w:r>
              <w:rPr>
                <w:i/>
                <w:sz w:val="20"/>
              </w:rPr>
              <w:t>Multi-year rule: moderate soil water stress with dry</w:t>
            </w:r>
            <w:r>
              <w:rPr>
                <w:i/>
                <w:sz w:val="20"/>
              </w:rPr>
              <w:t> previous-year</w:t>
            </w:r>
            <w:r>
              <w:rPr>
                <w:i/>
                <w:spacing w:val="-13"/>
                <w:sz w:val="20"/>
              </w:rPr>
              <w:t> </w:t>
            </w:r>
            <w:r>
              <w:rPr>
                <w:i/>
                <w:sz w:val="20"/>
              </w:rPr>
              <w:t>post-harvest</w:t>
            </w:r>
            <w:r>
              <w:rPr>
                <w:i/>
                <w:spacing w:val="-12"/>
                <w:sz w:val="20"/>
              </w:rPr>
              <w:t> </w:t>
            </w:r>
            <w:r>
              <w:rPr>
                <w:i/>
                <w:sz w:val="20"/>
              </w:rPr>
              <w:t>window</w:t>
            </w:r>
            <w:r>
              <w:rPr>
                <w:i/>
                <w:spacing w:val="-13"/>
                <w:sz w:val="20"/>
              </w:rPr>
              <w:t> </w:t>
            </w:r>
            <w:r>
              <w:rPr>
                <w:i/>
                <w:sz w:val="20"/>
              </w:rPr>
              <w:t>captures</w:t>
            </w:r>
            <w:r>
              <w:rPr>
                <w:i/>
                <w:spacing w:val="-12"/>
                <w:sz w:val="20"/>
              </w:rPr>
              <w:t> </w:t>
            </w:r>
            <w:r>
              <w:rPr>
                <w:i/>
                <w:sz w:val="20"/>
              </w:rPr>
              <w:t>a</w:t>
            </w:r>
            <w:r>
              <w:rPr>
                <w:i/>
                <w:spacing w:val="-13"/>
                <w:sz w:val="20"/>
              </w:rPr>
              <w:t> </w:t>
            </w:r>
            <w:r>
              <w:rPr>
                <w:i/>
                <w:sz w:val="20"/>
              </w:rPr>
              <w:t>carry-over vine reserve mechanism.</w:t>
            </w:r>
          </w:p>
        </w:tc>
        <w:tc>
          <w:tcPr>
            <w:tcW w:w="757" w:type="dxa"/>
            <w:tcBorders>
              <w:left w:val="single" w:sz="4" w:space="0" w:color="000000"/>
              <w:right w:val="single" w:sz="4" w:space="0" w:color="000000"/>
            </w:tcBorders>
          </w:tcPr>
          <w:p>
            <w:pPr>
              <w:pStyle w:val="TableParagraph"/>
              <w:spacing w:before="0"/>
              <w:rPr>
                <w:sz w:val="18"/>
              </w:rPr>
            </w:pPr>
          </w:p>
        </w:tc>
        <w:tc>
          <w:tcPr>
            <w:tcW w:w="984" w:type="dxa"/>
            <w:tcBorders>
              <w:left w:val="single" w:sz="4" w:space="0" w:color="000000"/>
              <w:right w:val="single" w:sz="4" w:space="0" w:color="000000"/>
            </w:tcBorders>
          </w:tcPr>
          <w:p>
            <w:pPr>
              <w:pStyle w:val="TableParagraph"/>
              <w:spacing w:before="0"/>
              <w:rPr>
                <w:sz w:val="18"/>
              </w:rPr>
            </w:pPr>
          </w:p>
        </w:tc>
        <w:tc>
          <w:tcPr>
            <w:tcW w:w="927" w:type="dxa"/>
            <w:tcBorders>
              <w:left w:val="single" w:sz="4" w:space="0" w:color="000000"/>
              <w:right w:val="single" w:sz="4" w:space="0" w:color="000000"/>
            </w:tcBorders>
          </w:tcPr>
          <w:p>
            <w:pPr>
              <w:pStyle w:val="TableParagraph"/>
              <w:spacing w:before="0"/>
              <w:rPr>
                <w:sz w:val="18"/>
              </w:rPr>
            </w:pPr>
          </w:p>
        </w:tc>
        <w:tc>
          <w:tcPr>
            <w:tcW w:w="923" w:type="dxa"/>
            <w:tcBorders>
              <w:left w:val="single" w:sz="4" w:space="0" w:color="000000"/>
            </w:tcBorders>
          </w:tcPr>
          <w:p>
            <w:pPr>
              <w:pStyle w:val="TableParagraph"/>
              <w:spacing w:before="0"/>
              <w:rPr>
                <w:sz w:val="18"/>
              </w:rPr>
            </w:pPr>
          </w:p>
        </w:tc>
      </w:tr>
      <w:tr>
        <w:trPr>
          <w:trHeight w:val="524" w:hRule="atLeast"/>
        </w:trPr>
        <w:tc>
          <w:tcPr>
            <w:tcW w:w="470" w:type="dxa"/>
            <w:tcBorders>
              <w:right w:val="single" w:sz="4" w:space="0" w:color="000000"/>
            </w:tcBorders>
          </w:tcPr>
          <w:p>
            <w:pPr>
              <w:pStyle w:val="TableParagraph"/>
              <w:spacing w:before="37"/>
              <w:ind w:left="119"/>
              <w:rPr>
                <w:sz w:val="20"/>
              </w:rPr>
            </w:pPr>
            <w:r>
              <w:rPr>
                <w:spacing w:val="-10"/>
                <w:sz w:val="20"/>
              </w:rPr>
              <w:t>5</w:t>
            </w:r>
          </w:p>
        </w:tc>
        <w:tc>
          <w:tcPr>
            <w:tcW w:w="4442" w:type="dxa"/>
            <w:tcBorders>
              <w:left w:val="single" w:sz="4" w:space="0" w:color="000000"/>
              <w:right w:val="single" w:sz="4" w:space="0" w:color="000000"/>
            </w:tcBorders>
          </w:tcPr>
          <w:p>
            <w:pPr>
              <w:pStyle w:val="TableParagraph"/>
              <w:spacing w:line="240" w:lineRule="atLeast" w:before="24"/>
              <w:ind w:left="118" w:right="116"/>
              <w:rPr>
                <w:b/>
                <w:sz w:val="20"/>
              </w:rPr>
            </w:pPr>
            <w:r>
              <w:rPr>
                <w:b/>
                <w:sz w:val="20"/>
              </w:rPr>
              <w:t>Wet</w:t>
            </w:r>
            <w:r>
              <w:rPr>
                <w:b/>
                <w:spacing w:val="-13"/>
                <w:sz w:val="20"/>
              </w:rPr>
              <w:t> </w:t>
            </w:r>
            <w:r>
              <w:rPr>
                <w:b/>
                <w:sz w:val="20"/>
              </w:rPr>
              <w:t>days</w:t>
            </w:r>
            <w:r>
              <w:rPr>
                <w:b/>
                <w:spacing w:val="-12"/>
                <w:sz w:val="20"/>
              </w:rPr>
              <w:t> </w:t>
            </w:r>
            <w:r>
              <w:rPr>
                <w:b/>
                <w:sz w:val="20"/>
              </w:rPr>
              <w:t>post-Flowering</w:t>
            </w:r>
            <w:r>
              <w:rPr>
                <w:b/>
                <w:spacing w:val="-13"/>
                <w:sz w:val="20"/>
              </w:rPr>
              <w:t> </w:t>
            </w:r>
            <w:r>
              <w:rPr>
                <w:b/>
                <w:sz w:val="20"/>
              </w:rPr>
              <w:t>[0–3.3d]</w:t>
            </w:r>
            <w:r>
              <w:rPr>
                <w:b/>
                <w:spacing w:val="-12"/>
                <w:sz w:val="20"/>
              </w:rPr>
              <w:t> </w:t>
            </w:r>
            <w:r>
              <w:rPr>
                <w:b/>
                <w:sz w:val="20"/>
              </w:rPr>
              <w:t>AND</w:t>
            </w:r>
            <w:r>
              <w:rPr>
                <w:b/>
                <w:spacing w:val="-13"/>
                <w:sz w:val="20"/>
              </w:rPr>
              <w:t> </w:t>
            </w:r>
            <w:r>
              <w:rPr>
                <w:b/>
                <w:sz w:val="20"/>
              </w:rPr>
              <w:t>Heat</w:t>
            </w:r>
            <w:r>
              <w:rPr>
                <w:b/>
                <w:spacing w:val="-12"/>
                <w:sz w:val="20"/>
              </w:rPr>
              <w:t> </w:t>
            </w:r>
            <w:r>
              <w:rPr>
                <w:b/>
                <w:sz w:val="20"/>
              </w:rPr>
              <w:t>days pre-Maturity [0–3.7d]</w:t>
            </w:r>
          </w:p>
        </w:tc>
        <w:tc>
          <w:tcPr>
            <w:tcW w:w="757" w:type="dxa"/>
            <w:tcBorders>
              <w:left w:val="single" w:sz="4" w:space="0" w:color="000000"/>
              <w:right w:val="single" w:sz="4" w:space="0" w:color="000000"/>
            </w:tcBorders>
          </w:tcPr>
          <w:p>
            <w:pPr>
              <w:pStyle w:val="TableParagraph"/>
              <w:spacing w:before="56"/>
              <w:ind w:left="85"/>
              <w:jc w:val="center"/>
              <w:rPr>
                <w:sz w:val="18"/>
              </w:rPr>
            </w:pPr>
            <w:r>
              <w:rPr>
                <w:spacing w:val="-4"/>
                <w:sz w:val="18"/>
              </w:rPr>
              <w:t>ABOVE</w:t>
            </w:r>
          </w:p>
        </w:tc>
        <w:tc>
          <w:tcPr>
            <w:tcW w:w="984" w:type="dxa"/>
            <w:tcBorders>
              <w:left w:val="single" w:sz="4" w:space="0" w:color="000000"/>
              <w:right w:val="single" w:sz="4" w:space="0" w:color="000000"/>
            </w:tcBorders>
          </w:tcPr>
          <w:p>
            <w:pPr>
              <w:pStyle w:val="TableParagraph"/>
              <w:spacing w:before="37"/>
              <w:ind w:left="118"/>
              <w:rPr>
                <w:sz w:val="20"/>
              </w:rPr>
            </w:pPr>
            <w:r>
              <w:rPr>
                <w:spacing w:val="-4"/>
                <w:sz w:val="20"/>
              </w:rPr>
              <w:t>+115</w:t>
            </w:r>
          </w:p>
        </w:tc>
        <w:tc>
          <w:tcPr>
            <w:tcW w:w="927" w:type="dxa"/>
            <w:tcBorders>
              <w:left w:val="single" w:sz="4" w:space="0" w:color="000000"/>
              <w:right w:val="single" w:sz="4" w:space="0" w:color="000000"/>
            </w:tcBorders>
          </w:tcPr>
          <w:p>
            <w:pPr>
              <w:pStyle w:val="TableParagraph"/>
              <w:spacing w:before="37"/>
              <w:ind w:left="118"/>
              <w:rPr>
                <w:sz w:val="20"/>
              </w:rPr>
            </w:pPr>
            <w:r>
              <w:rPr>
                <w:spacing w:val="-2"/>
                <w:sz w:val="20"/>
              </w:rPr>
              <w:t>24.7%</w:t>
            </w:r>
          </w:p>
        </w:tc>
        <w:tc>
          <w:tcPr>
            <w:tcW w:w="923" w:type="dxa"/>
            <w:tcBorders>
              <w:left w:val="single" w:sz="4" w:space="0" w:color="000000"/>
            </w:tcBorders>
          </w:tcPr>
          <w:p>
            <w:pPr>
              <w:pStyle w:val="TableParagraph"/>
              <w:spacing w:before="37"/>
              <w:ind w:left="119"/>
              <w:rPr>
                <w:sz w:val="20"/>
              </w:rPr>
            </w:pPr>
            <w:r>
              <w:rPr>
                <w:spacing w:val="-2"/>
                <w:sz w:val="20"/>
              </w:rPr>
              <w:t>0.0110</w:t>
            </w:r>
          </w:p>
        </w:tc>
      </w:tr>
      <w:tr>
        <w:trPr>
          <w:trHeight w:val="503" w:hRule="atLeast"/>
        </w:trPr>
        <w:tc>
          <w:tcPr>
            <w:tcW w:w="470" w:type="dxa"/>
            <w:tcBorders>
              <w:right w:val="single" w:sz="4" w:space="0" w:color="000000"/>
            </w:tcBorders>
          </w:tcPr>
          <w:p>
            <w:pPr>
              <w:pStyle w:val="TableParagraph"/>
              <w:spacing w:before="0"/>
              <w:rPr>
                <w:sz w:val="18"/>
              </w:rPr>
            </w:pPr>
          </w:p>
        </w:tc>
        <w:tc>
          <w:tcPr>
            <w:tcW w:w="4442" w:type="dxa"/>
            <w:tcBorders>
              <w:left w:val="single" w:sz="4" w:space="0" w:color="000000"/>
              <w:right w:val="single" w:sz="4" w:space="0" w:color="000000"/>
            </w:tcBorders>
          </w:tcPr>
          <w:p>
            <w:pPr>
              <w:pStyle w:val="TableParagraph"/>
              <w:spacing w:line="249" w:lineRule="auto" w:before="0"/>
              <w:ind w:left="40" w:firstLine="70"/>
              <w:rPr>
                <w:i/>
                <w:sz w:val="20"/>
              </w:rPr>
            </w:pPr>
            <w:r>
              <w:rPr>
                <w:i/>
                <w:sz w:val="20"/>
              </w:rPr>
              <w:t>Dry</w:t>
            </w:r>
            <w:r>
              <w:rPr>
                <w:i/>
                <w:spacing w:val="-12"/>
                <w:sz w:val="20"/>
              </w:rPr>
              <w:t> </w:t>
            </w:r>
            <w:r>
              <w:rPr>
                <w:i/>
                <w:sz w:val="20"/>
              </w:rPr>
              <w:t>flowering</w:t>
            </w:r>
            <w:r>
              <w:rPr>
                <w:i/>
                <w:spacing w:val="-13"/>
                <w:sz w:val="20"/>
              </w:rPr>
              <w:t> </w:t>
            </w:r>
            <w:r>
              <w:rPr>
                <w:i/>
                <w:sz w:val="20"/>
              </w:rPr>
              <w:t>with</w:t>
            </w:r>
            <w:r>
              <w:rPr>
                <w:i/>
                <w:spacing w:val="-12"/>
                <w:sz w:val="20"/>
              </w:rPr>
              <w:t> </w:t>
            </w:r>
            <w:r>
              <w:rPr>
                <w:i/>
                <w:sz w:val="20"/>
              </w:rPr>
              <w:t>bounded</w:t>
            </w:r>
            <w:r>
              <w:rPr>
                <w:i/>
                <w:spacing w:val="-12"/>
                <w:sz w:val="20"/>
              </w:rPr>
              <w:t> </w:t>
            </w:r>
            <w:r>
              <w:rPr>
                <w:i/>
                <w:sz w:val="20"/>
              </w:rPr>
              <w:t>pre-veraison</w:t>
            </w:r>
            <w:r>
              <w:rPr>
                <w:i/>
                <w:spacing w:val="-12"/>
                <w:sz w:val="20"/>
              </w:rPr>
              <w:t> </w:t>
            </w:r>
            <w:r>
              <w:rPr>
                <w:i/>
                <w:sz w:val="20"/>
              </w:rPr>
              <w:t>heat</w:t>
            </w:r>
            <w:r>
              <w:rPr>
                <w:i/>
                <w:spacing w:val="-12"/>
                <w:sz w:val="20"/>
              </w:rPr>
              <w:t> </w:t>
            </w:r>
            <w:r>
              <w:rPr>
                <w:i/>
                <w:sz w:val="20"/>
              </w:rPr>
              <w:t>—</w:t>
            </w:r>
            <w:r>
              <w:rPr>
                <w:i/>
                <w:spacing w:val="-13"/>
                <w:sz w:val="20"/>
              </w:rPr>
              <w:t> </w:t>
            </w:r>
            <w:r>
              <w:rPr>
                <w:i/>
                <w:sz w:val="20"/>
              </w:rPr>
              <w:t>the</w:t>
            </w:r>
            <w:r>
              <w:rPr>
                <w:i/>
                <w:sz w:val="20"/>
              </w:rPr>
              <w:t> “warm but not extreme” pattern.</w:t>
            </w:r>
          </w:p>
        </w:tc>
        <w:tc>
          <w:tcPr>
            <w:tcW w:w="757" w:type="dxa"/>
            <w:tcBorders>
              <w:left w:val="single" w:sz="4" w:space="0" w:color="000000"/>
              <w:right w:val="single" w:sz="4" w:space="0" w:color="000000"/>
            </w:tcBorders>
          </w:tcPr>
          <w:p>
            <w:pPr>
              <w:pStyle w:val="TableParagraph"/>
              <w:spacing w:before="0"/>
              <w:rPr>
                <w:sz w:val="18"/>
              </w:rPr>
            </w:pPr>
          </w:p>
        </w:tc>
        <w:tc>
          <w:tcPr>
            <w:tcW w:w="984" w:type="dxa"/>
            <w:tcBorders>
              <w:left w:val="single" w:sz="4" w:space="0" w:color="000000"/>
              <w:right w:val="single" w:sz="4" w:space="0" w:color="000000"/>
            </w:tcBorders>
          </w:tcPr>
          <w:p>
            <w:pPr>
              <w:pStyle w:val="TableParagraph"/>
              <w:spacing w:before="0"/>
              <w:rPr>
                <w:sz w:val="18"/>
              </w:rPr>
            </w:pPr>
          </w:p>
        </w:tc>
        <w:tc>
          <w:tcPr>
            <w:tcW w:w="927" w:type="dxa"/>
            <w:tcBorders>
              <w:left w:val="single" w:sz="4" w:space="0" w:color="000000"/>
              <w:right w:val="single" w:sz="4" w:space="0" w:color="000000"/>
            </w:tcBorders>
          </w:tcPr>
          <w:p>
            <w:pPr>
              <w:pStyle w:val="TableParagraph"/>
              <w:spacing w:before="0"/>
              <w:rPr>
                <w:sz w:val="18"/>
              </w:rPr>
            </w:pPr>
          </w:p>
        </w:tc>
        <w:tc>
          <w:tcPr>
            <w:tcW w:w="923" w:type="dxa"/>
            <w:tcBorders>
              <w:left w:val="single" w:sz="4" w:space="0" w:color="000000"/>
            </w:tcBorders>
          </w:tcPr>
          <w:p>
            <w:pPr>
              <w:pStyle w:val="TableParagraph"/>
              <w:spacing w:before="0"/>
              <w:rPr>
                <w:sz w:val="18"/>
              </w:rPr>
            </w:pPr>
          </w:p>
        </w:tc>
      </w:tr>
      <w:tr>
        <w:trPr>
          <w:trHeight w:val="763" w:hRule="atLeast"/>
        </w:trPr>
        <w:tc>
          <w:tcPr>
            <w:tcW w:w="470" w:type="dxa"/>
            <w:tcBorders>
              <w:right w:val="single" w:sz="4" w:space="0" w:color="000000"/>
            </w:tcBorders>
          </w:tcPr>
          <w:p>
            <w:pPr>
              <w:pStyle w:val="TableParagraph"/>
              <w:spacing w:before="37"/>
              <w:ind w:left="119"/>
              <w:rPr>
                <w:sz w:val="20"/>
              </w:rPr>
            </w:pPr>
            <w:r>
              <w:rPr>
                <w:spacing w:val="-10"/>
                <w:sz w:val="20"/>
              </w:rPr>
              <w:t>6</w:t>
            </w:r>
          </w:p>
        </w:tc>
        <w:tc>
          <w:tcPr>
            <w:tcW w:w="4442" w:type="dxa"/>
            <w:tcBorders>
              <w:left w:val="single" w:sz="4" w:space="0" w:color="000000"/>
              <w:right w:val="single" w:sz="4" w:space="0" w:color="000000"/>
            </w:tcBorders>
          </w:tcPr>
          <w:p>
            <w:pPr>
              <w:pStyle w:val="TableParagraph"/>
              <w:spacing w:line="240" w:lineRule="atLeast" w:before="24"/>
              <w:ind w:left="118" w:right="83"/>
              <w:jc w:val="both"/>
              <w:rPr>
                <w:b/>
                <w:sz w:val="20"/>
              </w:rPr>
            </w:pPr>
            <w:r>
              <w:rPr>
                <w:b/>
                <w:sz w:val="20"/>
              </w:rPr>
              <w:t>Wet days post-Flowering [0–3.3d] AND Heat</w:t>
            </w:r>
            <w:r>
              <w:rPr>
                <w:b/>
                <w:spacing w:val="40"/>
                <w:sz w:val="20"/>
              </w:rPr>
              <w:t> </w:t>
            </w:r>
            <w:r>
              <w:rPr>
                <w:b/>
                <w:sz w:val="20"/>
              </w:rPr>
              <w:t>days pre-Maturity [0–3.7d] AND Heat days </w:t>
            </w:r>
            <w:r>
              <w:rPr>
                <w:b/>
                <w:sz w:val="20"/>
              </w:rPr>
              <w:t>post-Flowering [0–0.6d]</w:t>
            </w:r>
          </w:p>
        </w:tc>
        <w:tc>
          <w:tcPr>
            <w:tcW w:w="757" w:type="dxa"/>
            <w:tcBorders>
              <w:left w:val="single" w:sz="4" w:space="0" w:color="000000"/>
              <w:right w:val="single" w:sz="4" w:space="0" w:color="000000"/>
            </w:tcBorders>
          </w:tcPr>
          <w:p>
            <w:pPr>
              <w:pStyle w:val="TableParagraph"/>
              <w:spacing w:before="56"/>
              <w:ind w:left="85"/>
              <w:jc w:val="center"/>
              <w:rPr>
                <w:sz w:val="18"/>
              </w:rPr>
            </w:pPr>
            <w:r>
              <w:rPr>
                <w:spacing w:val="-4"/>
                <w:sz w:val="18"/>
              </w:rPr>
              <w:t>ABOVE</w:t>
            </w:r>
          </w:p>
        </w:tc>
        <w:tc>
          <w:tcPr>
            <w:tcW w:w="984" w:type="dxa"/>
            <w:tcBorders>
              <w:left w:val="single" w:sz="4" w:space="0" w:color="000000"/>
              <w:right w:val="single" w:sz="4" w:space="0" w:color="000000"/>
            </w:tcBorders>
          </w:tcPr>
          <w:p>
            <w:pPr>
              <w:pStyle w:val="TableParagraph"/>
              <w:spacing w:before="37"/>
              <w:ind w:left="118"/>
              <w:rPr>
                <w:sz w:val="20"/>
              </w:rPr>
            </w:pPr>
            <w:r>
              <w:rPr>
                <w:spacing w:val="-4"/>
                <w:sz w:val="20"/>
              </w:rPr>
              <w:t>+117</w:t>
            </w:r>
          </w:p>
        </w:tc>
        <w:tc>
          <w:tcPr>
            <w:tcW w:w="927" w:type="dxa"/>
            <w:tcBorders>
              <w:left w:val="single" w:sz="4" w:space="0" w:color="000000"/>
              <w:right w:val="single" w:sz="4" w:space="0" w:color="000000"/>
            </w:tcBorders>
          </w:tcPr>
          <w:p>
            <w:pPr>
              <w:pStyle w:val="TableParagraph"/>
              <w:spacing w:before="37"/>
              <w:ind w:left="118"/>
              <w:rPr>
                <w:sz w:val="20"/>
              </w:rPr>
            </w:pPr>
            <w:r>
              <w:rPr>
                <w:spacing w:val="-2"/>
                <w:sz w:val="20"/>
              </w:rPr>
              <w:t>23.6%</w:t>
            </w:r>
          </w:p>
        </w:tc>
        <w:tc>
          <w:tcPr>
            <w:tcW w:w="923" w:type="dxa"/>
            <w:tcBorders>
              <w:left w:val="single" w:sz="4" w:space="0" w:color="000000"/>
            </w:tcBorders>
          </w:tcPr>
          <w:p>
            <w:pPr>
              <w:pStyle w:val="TableParagraph"/>
              <w:spacing w:before="37"/>
              <w:ind w:left="119"/>
              <w:rPr>
                <w:sz w:val="20"/>
              </w:rPr>
            </w:pPr>
            <w:r>
              <w:rPr>
                <w:spacing w:val="-2"/>
                <w:sz w:val="20"/>
              </w:rPr>
              <w:t>0.0120</w:t>
            </w:r>
          </w:p>
        </w:tc>
      </w:tr>
      <w:tr>
        <w:trPr>
          <w:trHeight w:val="503" w:hRule="atLeast"/>
        </w:trPr>
        <w:tc>
          <w:tcPr>
            <w:tcW w:w="470" w:type="dxa"/>
            <w:tcBorders>
              <w:right w:val="single" w:sz="4" w:space="0" w:color="000000"/>
            </w:tcBorders>
          </w:tcPr>
          <w:p>
            <w:pPr>
              <w:pStyle w:val="TableParagraph"/>
              <w:spacing w:before="0"/>
              <w:rPr>
                <w:sz w:val="18"/>
              </w:rPr>
            </w:pPr>
          </w:p>
        </w:tc>
        <w:tc>
          <w:tcPr>
            <w:tcW w:w="4442" w:type="dxa"/>
            <w:tcBorders>
              <w:left w:val="single" w:sz="4" w:space="0" w:color="000000"/>
              <w:right w:val="single" w:sz="4" w:space="0" w:color="000000"/>
            </w:tcBorders>
          </w:tcPr>
          <w:p>
            <w:pPr>
              <w:pStyle w:val="TableParagraph"/>
              <w:spacing w:line="249" w:lineRule="auto" w:before="0"/>
              <w:ind w:left="118" w:hanging="12"/>
              <w:rPr>
                <w:i/>
                <w:sz w:val="20"/>
              </w:rPr>
            </w:pPr>
            <w:r>
              <w:rPr>
                <w:i/>
                <w:sz w:val="20"/>
              </w:rPr>
              <w:t>Three-condition</w:t>
            </w:r>
            <w:r>
              <w:rPr>
                <w:i/>
                <w:spacing w:val="-13"/>
                <w:sz w:val="20"/>
              </w:rPr>
              <w:t> </w:t>
            </w:r>
            <w:r>
              <w:rPr>
                <w:i/>
                <w:sz w:val="20"/>
              </w:rPr>
              <w:t>refinement</w:t>
            </w:r>
            <w:r>
              <w:rPr>
                <w:i/>
                <w:spacing w:val="-12"/>
                <w:sz w:val="20"/>
              </w:rPr>
              <w:t> </w:t>
            </w:r>
            <w:r>
              <w:rPr>
                <w:i/>
                <w:sz w:val="20"/>
              </w:rPr>
              <w:t>of</w:t>
            </w:r>
            <w:r>
              <w:rPr>
                <w:i/>
                <w:spacing w:val="-13"/>
                <w:sz w:val="20"/>
              </w:rPr>
              <w:t> </w:t>
            </w:r>
            <w:r>
              <w:rPr>
                <w:i/>
                <w:sz w:val="20"/>
              </w:rPr>
              <w:t>the</w:t>
            </w:r>
            <w:r>
              <w:rPr>
                <w:i/>
                <w:spacing w:val="-12"/>
                <w:sz w:val="20"/>
              </w:rPr>
              <w:t> </w:t>
            </w:r>
            <w:r>
              <w:rPr>
                <w:i/>
                <w:sz w:val="20"/>
              </w:rPr>
              <w:t>dry-and-</w:t>
            </w:r>
            <w:r>
              <w:rPr>
                <w:i/>
                <w:sz w:val="20"/>
              </w:rPr>
              <w:t>moderate-heat pattern.</w:t>
            </w:r>
          </w:p>
        </w:tc>
        <w:tc>
          <w:tcPr>
            <w:tcW w:w="757" w:type="dxa"/>
            <w:tcBorders>
              <w:left w:val="single" w:sz="4" w:space="0" w:color="000000"/>
              <w:right w:val="single" w:sz="4" w:space="0" w:color="000000"/>
            </w:tcBorders>
          </w:tcPr>
          <w:p>
            <w:pPr>
              <w:pStyle w:val="TableParagraph"/>
              <w:spacing w:before="0"/>
              <w:rPr>
                <w:sz w:val="18"/>
              </w:rPr>
            </w:pPr>
          </w:p>
        </w:tc>
        <w:tc>
          <w:tcPr>
            <w:tcW w:w="984" w:type="dxa"/>
            <w:tcBorders>
              <w:left w:val="single" w:sz="4" w:space="0" w:color="000000"/>
              <w:right w:val="single" w:sz="4" w:space="0" w:color="000000"/>
            </w:tcBorders>
          </w:tcPr>
          <w:p>
            <w:pPr>
              <w:pStyle w:val="TableParagraph"/>
              <w:spacing w:before="0"/>
              <w:rPr>
                <w:sz w:val="18"/>
              </w:rPr>
            </w:pPr>
          </w:p>
        </w:tc>
        <w:tc>
          <w:tcPr>
            <w:tcW w:w="927" w:type="dxa"/>
            <w:tcBorders>
              <w:left w:val="single" w:sz="4" w:space="0" w:color="000000"/>
              <w:right w:val="single" w:sz="4" w:space="0" w:color="000000"/>
            </w:tcBorders>
          </w:tcPr>
          <w:p>
            <w:pPr>
              <w:pStyle w:val="TableParagraph"/>
              <w:spacing w:before="0"/>
              <w:rPr>
                <w:sz w:val="18"/>
              </w:rPr>
            </w:pPr>
          </w:p>
        </w:tc>
        <w:tc>
          <w:tcPr>
            <w:tcW w:w="923" w:type="dxa"/>
            <w:tcBorders>
              <w:left w:val="single" w:sz="4" w:space="0" w:color="000000"/>
            </w:tcBorders>
          </w:tcPr>
          <w:p>
            <w:pPr>
              <w:pStyle w:val="TableParagraph"/>
              <w:spacing w:before="0"/>
              <w:rPr>
                <w:sz w:val="18"/>
              </w:rPr>
            </w:pPr>
          </w:p>
        </w:tc>
      </w:tr>
      <w:tr>
        <w:trPr>
          <w:trHeight w:val="763" w:hRule="atLeast"/>
        </w:trPr>
        <w:tc>
          <w:tcPr>
            <w:tcW w:w="470" w:type="dxa"/>
            <w:tcBorders>
              <w:right w:val="single" w:sz="4" w:space="0" w:color="000000"/>
            </w:tcBorders>
          </w:tcPr>
          <w:p>
            <w:pPr>
              <w:pStyle w:val="TableParagraph"/>
              <w:spacing w:before="37"/>
              <w:ind w:left="119"/>
              <w:rPr>
                <w:sz w:val="20"/>
              </w:rPr>
            </w:pPr>
            <w:r>
              <w:rPr>
                <w:spacing w:val="-10"/>
                <w:sz w:val="20"/>
              </w:rPr>
              <w:t>7</w:t>
            </w:r>
          </w:p>
        </w:tc>
        <w:tc>
          <w:tcPr>
            <w:tcW w:w="4442" w:type="dxa"/>
            <w:tcBorders>
              <w:left w:val="single" w:sz="4" w:space="0" w:color="000000"/>
              <w:right w:val="single" w:sz="4" w:space="0" w:color="000000"/>
            </w:tcBorders>
          </w:tcPr>
          <w:p>
            <w:pPr>
              <w:pStyle w:val="TableParagraph"/>
              <w:spacing w:line="240" w:lineRule="atLeast" w:before="24"/>
              <w:ind w:left="118" w:right="83"/>
              <w:jc w:val="both"/>
              <w:rPr>
                <w:b/>
                <w:sz w:val="20"/>
              </w:rPr>
            </w:pPr>
            <w:r>
              <w:rPr>
                <w:b/>
                <w:sz w:val="20"/>
              </w:rPr>
              <w:t>Wet days post-Flowering [0–3.3d] AND Soil </w:t>
            </w:r>
            <w:r>
              <w:rPr>
                <w:b/>
                <w:sz w:val="20"/>
              </w:rPr>
              <w:t>wa-ter</w:t>
            </w:r>
            <w:r>
              <w:rPr>
                <w:b/>
                <w:spacing w:val="-13"/>
                <w:sz w:val="20"/>
              </w:rPr>
              <w:t> </w:t>
            </w:r>
            <w:r>
              <w:rPr>
                <w:b/>
                <w:sz w:val="20"/>
              </w:rPr>
              <w:t>pre-Harvest</w:t>
            </w:r>
            <w:r>
              <w:rPr>
                <w:b/>
                <w:spacing w:val="-12"/>
                <w:sz w:val="20"/>
              </w:rPr>
              <w:t> </w:t>
            </w:r>
            <w:r>
              <w:rPr>
                <w:b/>
                <w:sz w:val="20"/>
              </w:rPr>
              <w:t>[74–231</w:t>
            </w:r>
            <w:r>
              <w:rPr>
                <w:b/>
                <w:spacing w:val="-13"/>
                <w:sz w:val="20"/>
              </w:rPr>
              <w:t> </w:t>
            </w:r>
            <w:r>
              <w:rPr>
                <w:b/>
                <w:sz w:val="20"/>
              </w:rPr>
              <w:t>mm]</w:t>
            </w:r>
            <w:r>
              <w:rPr>
                <w:b/>
                <w:spacing w:val="-12"/>
                <w:sz w:val="20"/>
              </w:rPr>
              <w:t> </w:t>
            </w:r>
            <w:r>
              <w:rPr>
                <w:b/>
                <w:sz w:val="20"/>
              </w:rPr>
              <w:t>AND</w:t>
            </w:r>
            <w:r>
              <w:rPr>
                <w:b/>
                <w:spacing w:val="-13"/>
                <w:sz w:val="20"/>
              </w:rPr>
              <w:t> </w:t>
            </w:r>
            <w:r>
              <w:rPr>
                <w:b/>
                <w:sz w:val="20"/>
              </w:rPr>
              <w:t>Heat</w:t>
            </w:r>
            <w:r>
              <w:rPr>
                <w:b/>
                <w:spacing w:val="-12"/>
                <w:sz w:val="20"/>
              </w:rPr>
              <w:t> </w:t>
            </w:r>
            <w:r>
              <w:rPr>
                <w:b/>
                <w:sz w:val="20"/>
              </w:rPr>
              <w:t>days</w:t>
            </w:r>
            <w:r>
              <w:rPr>
                <w:b/>
                <w:spacing w:val="-13"/>
                <w:sz w:val="20"/>
              </w:rPr>
              <w:t> </w:t>
            </w:r>
            <w:r>
              <w:rPr>
                <w:b/>
                <w:sz w:val="20"/>
              </w:rPr>
              <w:t>pre-Maturity [0–3.7d]</w:t>
            </w:r>
          </w:p>
        </w:tc>
        <w:tc>
          <w:tcPr>
            <w:tcW w:w="757" w:type="dxa"/>
            <w:tcBorders>
              <w:left w:val="single" w:sz="4" w:space="0" w:color="000000"/>
              <w:right w:val="single" w:sz="4" w:space="0" w:color="000000"/>
            </w:tcBorders>
          </w:tcPr>
          <w:p>
            <w:pPr>
              <w:pStyle w:val="TableParagraph"/>
              <w:spacing w:before="56"/>
              <w:ind w:left="85"/>
              <w:jc w:val="center"/>
              <w:rPr>
                <w:sz w:val="18"/>
              </w:rPr>
            </w:pPr>
            <w:r>
              <w:rPr>
                <w:spacing w:val="-4"/>
                <w:sz w:val="18"/>
              </w:rPr>
              <w:t>ABOVE</w:t>
            </w:r>
          </w:p>
        </w:tc>
        <w:tc>
          <w:tcPr>
            <w:tcW w:w="984" w:type="dxa"/>
            <w:tcBorders>
              <w:left w:val="single" w:sz="4" w:space="0" w:color="000000"/>
              <w:right w:val="single" w:sz="4" w:space="0" w:color="000000"/>
            </w:tcBorders>
          </w:tcPr>
          <w:p>
            <w:pPr>
              <w:pStyle w:val="TableParagraph"/>
              <w:spacing w:before="37"/>
              <w:ind w:left="118"/>
              <w:rPr>
                <w:sz w:val="20"/>
              </w:rPr>
            </w:pPr>
            <w:r>
              <w:rPr>
                <w:spacing w:val="-4"/>
                <w:sz w:val="20"/>
              </w:rPr>
              <w:t>+115</w:t>
            </w:r>
          </w:p>
        </w:tc>
        <w:tc>
          <w:tcPr>
            <w:tcW w:w="927" w:type="dxa"/>
            <w:tcBorders>
              <w:left w:val="single" w:sz="4" w:space="0" w:color="000000"/>
              <w:right w:val="single" w:sz="4" w:space="0" w:color="000000"/>
            </w:tcBorders>
          </w:tcPr>
          <w:p>
            <w:pPr>
              <w:pStyle w:val="TableParagraph"/>
              <w:spacing w:before="37"/>
              <w:ind w:left="118"/>
              <w:rPr>
                <w:sz w:val="20"/>
              </w:rPr>
            </w:pPr>
            <w:r>
              <w:rPr>
                <w:spacing w:val="-2"/>
                <w:sz w:val="20"/>
              </w:rPr>
              <w:t>21.3%</w:t>
            </w:r>
          </w:p>
        </w:tc>
        <w:tc>
          <w:tcPr>
            <w:tcW w:w="923" w:type="dxa"/>
            <w:tcBorders>
              <w:left w:val="single" w:sz="4" w:space="0" w:color="000000"/>
            </w:tcBorders>
          </w:tcPr>
          <w:p>
            <w:pPr>
              <w:pStyle w:val="TableParagraph"/>
              <w:spacing w:before="37"/>
              <w:ind w:left="119"/>
              <w:rPr>
                <w:sz w:val="20"/>
              </w:rPr>
            </w:pPr>
            <w:r>
              <w:rPr>
                <w:spacing w:val="-2"/>
                <w:sz w:val="20"/>
              </w:rPr>
              <w:t>0.0130</w:t>
            </w:r>
          </w:p>
        </w:tc>
      </w:tr>
      <w:tr>
        <w:trPr>
          <w:trHeight w:val="503" w:hRule="atLeast"/>
        </w:trPr>
        <w:tc>
          <w:tcPr>
            <w:tcW w:w="470" w:type="dxa"/>
            <w:tcBorders>
              <w:right w:val="single" w:sz="4" w:space="0" w:color="000000"/>
            </w:tcBorders>
          </w:tcPr>
          <w:p>
            <w:pPr>
              <w:pStyle w:val="TableParagraph"/>
              <w:spacing w:before="0"/>
              <w:rPr>
                <w:sz w:val="18"/>
              </w:rPr>
            </w:pPr>
          </w:p>
        </w:tc>
        <w:tc>
          <w:tcPr>
            <w:tcW w:w="4442" w:type="dxa"/>
            <w:tcBorders>
              <w:left w:val="single" w:sz="4" w:space="0" w:color="000000"/>
              <w:right w:val="single" w:sz="4" w:space="0" w:color="000000"/>
            </w:tcBorders>
          </w:tcPr>
          <w:p>
            <w:pPr>
              <w:pStyle w:val="TableParagraph"/>
              <w:spacing w:line="249" w:lineRule="auto" w:before="0"/>
              <w:ind w:left="118" w:hanging="7"/>
              <w:rPr>
                <w:i/>
                <w:sz w:val="20"/>
              </w:rPr>
            </w:pPr>
            <w:r>
              <w:rPr>
                <w:i/>
                <w:sz w:val="20"/>
              </w:rPr>
              <w:t>Post-flowering</w:t>
            </w:r>
            <w:r>
              <w:rPr>
                <w:i/>
                <w:spacing w:val="-13"/>
                <w:sz w:val="20"/>
              </w:rPr>
              <w:t> </w:t>
            </w:r>
            <w:r>
              <w:rPr>
                <w:i/>
                <w:sz w:val="20"/>
              </w:rPr>
              <w:t>dryness</w:t>
            </w:r>
            <w:r>
              <w:rPr>
                <w:i/>
                <w:spacing w:val="-12"/>
                <w:sz w:val="20"/>
              </w:rPr>
              <w:t> </w:t>
            </w:r>
            <w:r>
              <w:rPr>
                <w:i/>
                <w:sz w:val="20"/>
              </w:rPr>
              <w:t>combined</w:t>
            </w:r>
            <w:r>
              <w:rPr>
                <w:i/>
                <w:spacing w:val="-13"/>
                <w:sz w:val="20"/>
              </w:rPr>
              <w:t> </w:t>
            </w:r>
            <w:r>
              <w:rPr>
                <w:i/>
                <w:sz w:val="20"/>
              </w:rPr>
              <w:t>with</w:t>
            </w:r>
            <w:r>
              <w:rPr>
                <w:i/>
                <w:spacing w:val="-12"/>
                <w:sz w:val="20"/>
              </w:rPr>
              <w:t> </w:t>
            </w:r>
            <w:r>
              <w:rPr>
                <w:i/>
                <w:sz w:val="20"/>
              </w:rPr>
              <w:t>moderate</w:t>
            </w:r>
            <w:r>
              <w:rPr>
                <w:i/>
                <w:spacing w:val="-13"/>
                <w:sz w:val="20"/>
              </w:rPr>
              <w:t> </w:t>
            </w:r>
            <w:r>
              <w:rPr>
                <w:i/>
                <w:sz w:val="20"/>
              </w:rPr>
              <w:t>pre-</w:t>
            </w:r>
            <w:r>
              <w:rPr>
                <w:i/>
                <w:spacing w:val="-4"/>
                <w:sz w:val="20"/>
              </w:rPr>
              <w:t>harvest</w:t>
            </w:r>
            <w:r>
              <w:rPr>
                <w:i/>
                <w:spacing w:val="-3"/>
                <w:sz w:val="20"/>
              </w:rPr>
              <w:t> </w:t>
            </w:r>
            <w:r>
              <w:rPr>
                <w:i/>
                <w:spacing w:val="-4"/>
                <w:sz w:val="20"/>
              </w:rPr>
              <w:t>soil</w:t>
            </w:r>
            <w:r>
              <w:rPr>
                <w:i/>
                <w:spacing w:val="-3"/>
                <w:sz w:val="20"/>
              </w:rPr>
              <w:t> </w:t>
            </w:r>
            <w:r>
              <w:rPr>
                <w:i/>
                <w:spacing w:val="-4"/>
                <w:sz w:val="20"/>
              </w:rPr>
              <w:t>water</w:t>
            </w:r>
            <w:r>
              <w:rPr>
                <w:i/>
                <w:spacing w:val="-3"/>
                <w:sz w:val="20"/>
              </w:rPr>
              <w:t> </w:t>
            </w:r>
            <w:r>
              <w:rPr>
                <w:i/>
                <w:spacing w:val="-4"/>
                <w:sz w:val="20"/>
              </w:rPr>
              <w:t>—</w:t>
            </w:r>
            <w:r>
              <w:rPr>
                <w:i/>
                <w:spacing w:val="-3"/>
                <w:sz w:val="20"/>
              </w:rPr>
              <w:t> </w:t>
            </w:r>
            <w:r>
              <w:rPr>
                <w:i/>
                <w:spacing w:val="-4"/>
                <w:sz w:val="20"/>
              </w:rPr>
              <w:t>two</w:t>
            </w:r>
            <w:r>
              <w:rPr>
                <w:i/>
                <w:spacing w:val="-3"/>
                <w:sz w:val="20"/>
              </w:rPr>
              <w:t> </w:t>
            </w:r>
            <w:r>
              <w:rPr>
                <w:i/>
                <w:spacing w:val="-4"/>
                <w:sz w:val="20"/>
              </w:rPr>
              <w:t>independent</w:t>
            </w:r>
            <w:r>
              <w:rPr>
                <w:i/>
                <w:spacing w:val="-2"/>
                <w:sz w:val="20"/>
              </w:rPr>
              <w:t> </w:t>
            </w:r>
            <w:r>
              <w:rPr>
                <w:i/>
                <w:spacing w:val="-4"/>
                <w:sz w:val="20"/>
              </w:rPr>
              <w:t>dryness</w:t>
            </w:r>
            <w:r>
              <w:rPr>
                <w:i/>
                <w:spacing w:val="-3"/>
                <w:sz w:val="20"/>
              </w:rPr>
              <w:t> </w:t>
            </w:r>
            <w:r>
              <w:rPr>
                <w:i/>
                <w:spacing w:val="-4"/>
                <w:sz w:val="20"/>
              </w:rPr>
              <w:t>signals.</w:t>
            </w:r>
          </w:p>
        </w:tc>
        <w:tc>
          <w:tcPr>
            <w:tcW w:w="757" w:type="dxa"/>
            <w:tcBorders>
              <w:left w:val="single" w:sz="4" w:space="0" w:color="000000"/>
              <w:right w:val="single" w:sz="4" w:space="0" w:color="000000"/>
            </w:tcBorders>
          </w:tcPr>
          <w:p>
            <w:pPr>
              <w:pStyle w:val="TableParagraph"/>
              <w:spacing w:before="0"/>
              <w:rPr>
                <w:sz w:val="18"/>
              </w:rPr>
            </w:pPr>
          </w:p>
        </w:tc>
        <w:tc>
          <w:tcPr>
            <w:tcW w:w="984" w:type="dxa"/>
            <w:tcBorders>
              <w:left w:val="single" w:sz="4" w:space="0" w:color="000000"/>
              <w:right w:val="single" w:sz="4" w:space="0" w:color="000000"/>
            </w:tcBorders>
          </w:tcPr>
          <w:p>
            <w:pPr>
              <w:pStyle w:val="TableParagraph"/>
              <w:spacing w:before="0"/>
              <w:rPr>
                <w:sz w:val="18"/>
              </w:rPr>
            </w:pPr>
          </w:p>
        </w:tc>
        <w:tc>
          <w:tcPr>
            <w:tcW w:w="927" w:type="dxa"/>
            <w:tcBorders>
              <w:left w:val="single" w:sz="4" w:space="0" w:color="000000"/>
              <w:right w:val="single" w:sz="4" w:space="0" w:color="000000"/>
            </w:tcBorders>
          </w:tcPr>
          <w:p>
            <w:pPr>
              <w:pStyle w:val="TableParagraph"/>
              <w:spacing w:before="0"/>
              <w:rPr>
                <w:sz w:val="18"/>
              </w:rPr>
            </w:pPr>
          </w:p>
        </w:tc>
        <w:tc>
          <w:tcPr>
            <w:tcW w:w="923" w:type="dxa"/>
            <w:tcBorders>
              <w:left w:val="single" w:sz="4" w:space="0" w:color="000000"/>
            </w:tcBorders>
          </w:tcPr>
          <w:p>
            <w:pPr>
              <w:pStyle w:val="TableParagraph"/>
              <w:spacing w:before="0"/>
              <w:rPr>
                <w:sz w:val="18"/>
              </w:rPr>
            </w:pPr>
          </w:p>
        </w:tc>
      </w:tr>
      <w:tr>
        <w:trPr>
          <w:trHeight w:val="763" w:hRule="atLeast"/>
        </w:trPr>
        <w:tc>
          <w:tcPr>
            <w:tcW w:w="470" w:type="dxa"/>
            <w:tcBorders>
              <w:right w:val="single" w:sz="4" w:space="0" w:color="000000"/>
            </w:tcBorders>
          </w:tcPr>
          <w:p>
            <w:pPr>
              <w:pStyle w:val="TableParagraph"/>
              <w:spacing w:before="37"/>
              <w:ind w:left="119"/>
              <w:rPr>
                <w:sz w:val="20"/>
              </w:rPr>
            </w:pPr>
            <w:r>
              <w:rPr>
                <w:spacing w:val="-10"/>
                <w:sz w:val="20"/>
              </w:rPr>
              <w:t>8</w:t>
            </w:r>
          </w:p>
        </w:tc>
        <w:tc>
          <w:tcPr>
            <w:tcW w:w="4442" w:type="dxa"/>
            <w:tcBorders>
              <w:left w:val="single" w:sz="4" w:space="0" w:color="000000"/>
              <w:right w:val="single" w:sz="4" w:space="0" w:color="000000"/>
            </w:tcBorders>
          </w:tcPr>
          <w:p>
            <w:pPr>
              <w:pStyle w:val="TableParagraph"/>
              <w:spacing w:line="240" w:lineRule="atLeast" w:before="24"/>
              <w:ind w:left="118" w:right="83"/>
              <w:jc w:val="both"/>
              <w:rPr>
                <w:b/>
                <w:sz w:val="20"/>
              </w:rPr>
            </w:pPr>
            <w:r>
              <w:rPr>
                <w:b/>
                <w:sz w:val="20"/>
              </w:rPr>
              <w:t>Wet</w:t>
            </w:r>
            <w:r>
              <w:rPr>
                <w:b/>
                <w:spacing w:val="-13"/>
                <w:sz w:val="20"/>
              </w:rPr>
              <w:t> </w:t>
            </w:r>
            <w:r>
              <w:rPr>
                <w:b/>
                <w:sz w:val="20"/>
              </w:rPr>
              <w:t>days</w:t>
            </w:r>
            <w:r>
              <w:rPr>
                <w:b/>
                <w:spacing w:val="-12"/>
                <w:sz w:val="20"/>
              </w:rPr>
              <w:t> </w:t>
            </w:r>
            <w:r>
              <w:rPr>
                <w:b/>
                <w:sz w:val="20"/>
              </w:rPr>
              <w:t>post-Flowering</w:t>
            </w:r>
            <w:r>
              <w:rPr>
                <w:b/>
                <w:spacing w:val="-13"/>
                <w:sz w:val="20"/>
              </w:rPr>
              <w:t> </w:t>
            </w:r>
            <w:r>
              <w:rPr>
                <w:b/>
                <w:sz w:val="20"/>
              </w:rPr>
              <w:t>[0–3.3d]</w:t>
            </w:r>
            <w:r>
              <w:rPr>
                <w:b/>
                <w:spacing w:val="-12"/>
                <w:sz w:val="20"/>
              </w:rPr>
              <w:t> </w:t>
            </w:r>
            <w:r>
              <w:rPr>
                <w:b/>
                <w:sz w:val="20"/>
              </w:rPr>
              <w:t>AND</w:t>
            </w:r>
            <w:r>
              <w:rPr>
                <w:b/>
                <w:spacing w:val="-13"/>
                <w:sz w:val="20"/>
              </w:rPr>
              <w:t> </w:t>
            </w:r>
            <w:r>
              <w:rPr>
                <w:b/>
                <w:sz w:val="20"/>
              </w:rPr>
              <w:t>Soil</w:t>
            </w:r>
            <w:r>
              <w:rPr>
                <w:b/>
                <w:spacing w:val="-12"/>
                <w:sz w:val="20"/>
              </w:rPr>
              <w:t> </w:t>
            </w:r>
            <w:r>
              <w:rPr>
                <w:b/>
                <w:sz w:val="20"/>
              </w:rPr>
              <w:t>water pre-Harvest [101–152 mm] AND Wet days </w:t>
            </w:r>
            <w:r>
              <w:rPr>
                <w:b/>
                <w:sz w:val="20"/>
              </w:rPr>
              <w:t>post-Maturity [0–3.5d]</w:t>
            </w:r>
          </w:p>
        </w:tc>
        <w:tc>
          <w:tcPr>
            <w:tcW w:w="757" w:type="dxa"/>
            <w:tcBorders>
              <w:left w:val="single" w:sz="4" w:space="0" w:color="000000"/>
              <w:right w:val="single" w:sz="4" w:space="0" w:color="000000"/>
            </w:tcBorders>
          </w:tcPr>
          <w:p>
            <w:pPr>
              <w:pStyle w:val="TableParagraph"/>
              <w:spacing w:before="56"/>
              <w:ind w:left="85"/>
              <w:jc w:val="center"/>
              <w:rPr>
                <w:sz w:val="18"/>
              </w:rPr>
            </w:pPr>
            <w:r>
              <w:rPr>
                <w:spacing w:val="-4"/>
                <w:sz w:val="18"/>
              </w:rPr>
              <w:t>ABOVE</w:t>
            </w:r>
          </w:p>
        </w:tc>
        <w:tc>
          <w:tcPr>
            <w:tcW w:w="984" w:type="dxa"/>
            <w:tcBorders>
              <w:left w:val="single" w:sz="4" w:space="0" w:color="000000"/>
              <w:right w:val="single" w:sz="4" w:space="0" w:color="000000"/>
            </w:tcBorders>
          </w:tcPr>
          <w:p>
            <w:pPr>
              <w:pStyle w:val="TableParagraph"/>
              <w:spacing w:before="37"/>
              <w:ind w:left="118"/>
              <w:rPr>
                <w:sz w:val="20"/>
              </w:rPr>
            </w:pPr>
            <w:r>
              <w:rPr>
                <w:spacing w:val="-4"/>
                <w:sz w:val="20"/>
              </w:rPr>
              <w:t>+128</w:t>
            </w:r>
          </w:p>
        </w:tc>
        <w:tc>
          <w:tcPr>
            <w:tcW w:w="927" w:type="dxa"/>
            <w:tcBorders>
              <w:left w:val="single" w:sz="4" w:space="0" w:color="000000"/>
              <w:right w:val="single" w:sz="4" w:space="0" w:color="000000"/>
            </w:tcBorders>
          </w:tcPr>
          <w:p>
            <w:pPr>
              <w:pStyle w:val="TableParagraph"/>
              <w:spacing w:before="37"/>
              <w:ind w:left="118"/>
              <w:rPr>
                <w:sz w:val="20"/>
              </w:rPr>
            </w:pPr>
            <w:r>
              <w:rPr>
                <w:spacing w:val="-2"/>
                <w:sz w:val="20"/>
              </w:rPr>
              <w:t>19.1%</w:t>
            </w:r>
          </w:p>
        </w:tc>
        <w:tc>
          <w:tcPr>
            <w:tcW w:w="923" w:type="dxa"/>
            <w:tcBorders>
              <w:left w:val="single" w:sz="4" w:space="0" w:color="000000"/>
            </w:tcBorders>
          </w:tcPr>
          <w:p>
            <w:pPr>
              <w:pStyle w:val="TableParagraph"/>
              <w:spacing w:before="37"/>
              <w:ind w:left="119"/>
              <w:rPr>
                <w:sz w:val="20"/>
              </w:rPr>
            </w:pPr>
            <w:r>
              <w:rPr>
                <w:spacing w:val="-2"/>
                <w:sz w:val="20"/>
              </w:rPr>
              <w:t>0.0140</w:t>
            </w:r>
          </w:p>
        </w:tc>
      </w:tr>
      <w:tr>
        <w:trPr>
          <w:trHeight w:val="503" w:hRule="atLeast"/>
        </w:trPr>
        <w:tc>
          <w:tcPr>
            <w:tcW w:w="470" w:type="dxa"/>
            <w:tcBorders>
              <w:right w:val="single" w:sz="4" w:space="0" w:color="000000"/>
            </w:tcBorders>
          </w:tcPr>
          <w:p>
            <w:pPr>
              <w:pStyle w:val="TableParagraph"/>
              <w:spacing w:before="0"/>
              <w:rPr>
                <w:sz w:val="18"/>
              </w:rPr>
            </w:pPr>
          </w:p>
        </w:tc>
        <w:tc>
          <w:tcPr>
            <w:tcW w:w="4442" w:type="dxa"/>
            <w:tcBorders>
              <w:left w:val="single" w:sz="4" w:space="0" w:color="000000"/>
              <w:right w:val="single" w:sz="4" w:space="0" w:color="000000"/>
            </w:tcBorders>
          </w:tcPr>
          <w:p>
            <w:pPr>
              <w:pStyle w:val="TableParagraph"/>
              <w:spacing w:line="249" w:lineRule="auto" w:before="0"/>
              <w:ind w:left="118" w:right="111" w:hanging="9"/>
              <w:rPr>
                <w:i/>
                <w:sz w:val="20"/>
              </w:rPr>
            </w:pPr>
            <w:r>
              <w:rPr>
                <w:i/>
                <w:sz w:val="20"/>
              </w:rPr>
              <w:t>Mid-range</w:t>
            </w:r>
            <w:r>
              <w:rPr>
                <w:i/>
                <w:spacing w:val="-13"/>
                <w:sz w:val="20"/>
              </w:rPr>
              <w:t> </w:t>
            </w:r>
            <w:r>
              <w:rPr>
                <w:i/>
                <w:sz w:val="20"/>
              </w:rPr>
              <w:t>harvest</w:t>
            </w:r>
            <w:r>
              <w:rPr>
                <w:i/>
                <w:spacing w:val="-12"/>
                <w:sz w:val="20"/>
              </w:rPr>
              <w:t> </w:t>
            </w:r>
            <w:r>
              <w:rPr>
                <w:i/>
                <w:sz w:val="20"/>
              </w:rPr>
              <w:t>soil</w:t>
            </w:r>
            <w:r>
              <w:rPr>
                <w:i/>
                <w:spacing w:val="-13"/>
                <w:sz w:val="20"/>
              </w:rPr>
              <w:t> </w:t>
            </w:r>
            <w:r>
              <w:rPr>
                <w:i/>
                <w:sz w:val="20"/>
              </w:rPr>
              <w:t>water</w:t>
            </w:r>
            <w:r>
              <w:rPr>
                <w:i/>
                <w:spacing w:val="-12"/>
                <w:sz w:val="20"/>
              </w:rPr>
              <w:t> </w:t>
            </w:r>
            <w:r>
              <w:rPr>
                <w:i/>
                <w:sz w:val="20"/>
              </w:rPr>
              <w:t>with</w:t>
            </w:r>
            <w:r>
              <w:rPr>
                <w:i/>
                <w:spacing w:val="-13"/>
                <w:sz w:val="20"/>
              </w:rPr>
              <w:t> </w:t>
            </w:r>
            <w:r>
              <w:rPr>
                <w:i/>
                <w:sz w:val="20"/>
              </w:rPr>
              <w:t>dry</w:t>
            </w:r>
            <w:r>
              <w:rPr>
                <w:i/>
                <w:spacing w:val="-12"/>
                <w:sz w:val="20"/>
              </w:rPr>
              <w:t> </w:t>
            </w:r>
            <w:r>
              <w:rPr>
                <w:i/>
                <w:sz w:val="20"/>
              </w:rPr>
              <w:t>post-</w:t>
            </w:r>
            <w:r>
              <w:rPr>
                <w:i/>
                <w:sz w:val="20"/>
              </w:rPr>
              <w:t>flowering</w:t>
            </w:r>
            <w:r>
              <w:rPr>
                <w:i/>
                <w:sz w:val="20"/>
              </w:rPr>
              <w:t> and post-maturity windows.</w:t>
            </w:r>
          </w:p>
        </w:tc>
        <w:tc>
          <w:tcPr>
            <w:tcW w:w="757" w:type="dxa"/>
            <w:tcBorders>
              <w:left w:val="single" w:sz="4" w:space="0" w:color="000000"/>
              <w:right w:val="single" w:sz="4" w:space="0" w:color="000000"/>
            </w:tcBorders>
          </w:tcPr>
          <w:p>
            <w:pPr>
              <w:pStyle w:val="TableParagraph"/>
              <w:spacing w:before="0"/>
              <w:rPr>
                <w:sz w:val="18"/>
              </w:rPr>
            </w:pPr>
          </w:p>
        </w:tc>
        <w:tc>
          <w:tcPr>
            <w:tcW w:w="984" w:type="dxa"/>
            <w:tcBorders>
              <w:left w:val="single" w:sz="4" w:space="0" w:color="000000"/>
              <w:right w:val="single" w:sz="4" w:space="0" w:color="000000"/>
            </w:tcBorders>
          </w:tcPr>
          <w:p>
            <w:pPr>
              <w:pStyle w:val="TableParagraph"/>
              <w:spacing w:before="0"/>
              <w:rPr>
                <w:sz w:val="18"/>
              </w:rPr>
            </w:pPr>
          </w:p>
        </w:tc>
        <w:tc>
          <w:tcPr>
            <w:tcW w:w="927" w:type="dxa"/>
            <w:tcBorders>
              <w:left w:val="single" w:sz="4" w:space="0" w:color="000000"/>
              <w:right w:val="single" w:sz="4" w:space="0" w:color="000000"/>
            </w:tcBorders>
          </w:tcPr>
          <w:p>
            <w:pPr>
              <w:pStyle w:val="TableParagraph"/>
              <w:spacing w:before="0"/>
              <w:rPr>
                <w:sz w:val="18"/>
              </w:rPr>
            </w:pPr>
          </w:p>
        </w:tc>
        <w:tc>
          <w:tcPr>
            <w:tcW w:w="923" w:type="dxa"/>
            <w:tcBorders>
              <w:left w:val="single" w:sz="4" w:space="0" w:color="000000"/>
            </w:tcBorders>
          </w:tcPr>
          <w:p>
            <w:pPr>
              <w:pStyle w:val="TableParagraph"/>
              <w:spacing w:before="0"/>
              <w:rPr>
                <w:sz w:val="18"/>
              </w:rPr>
            </w:pPr>
          </w:p>
        </w:tc>
      </w:tr>
      <w:tr>
        <w:trPr>
          <w:trHeight w:val="1002" w:hRule="atLeast"/>
        </w:trPr>
        <w:tc>
          <w:tcPr>
            <w:tcW w:w="470" w:type="dxa"/>
            <w:tcBorders>
              <w:right w:val="single" w:sz="4" w:space="0" w:color="000000"/>
            </w:tcBorders>
          </w:tcPr>
          <w:p>
            <w:pPr>
              <w:pStyle w:val="TableParagraph"/>
              <w:spacing w:before="37"/>
              <w:ind w:left="119"/>
              <w:rPr>
                <w:sz w:val="20"/>
              </w:rPr>
            </w:pPr>
            <w:r>
              <w:rPr>
                <w:spacing w:val="-10"/>
                <w:sz w:val="20"/>
              </w:rPr>
              <w:t>9</w:t>
            </w:r>
          </w:p>
        </w:tc>
        <w:tc>
          <w:tcPr>
            <w:tcW w:w="4442" w:type="dxa"/>
            <w:tcBorders>
              <w:left w:val="single" w:sz="4" w:space="0" w:color="000000"/>
              <w:right w:val="single" w:sz="4" w:space="0" w:color="000000"/>
            </w:tcBorders>
          </w:tcPr>
          <w:p>
            <w:pPr>
              <w:pStyle w:val="TableParagraph"/>
              <w:spacing w:line="240" w:lineRule="atLeast" w:before="23"/>
              <w:ind w:left="118" w:right="83"/>
              <w:jc w:val="both"/>
              <w:rPr>
                <w:b/>
                <w:sz w:val="20"/>
              </w:rPr>
            </w:pPr>
            <w:r>
              <w:rPr>
                <w:b/>
                <w:sz w:val="20"/>
              </w:rPr>
              <w:t>Wet days post-Flowering [0–3.3d] AND Soil </w:t>
            </w:r>
            <w:r>
              <w:rPr>
                <w:b/>
                <w:sz w:val="20"/>
              </w:rPr>
              <w:t>wa-ter</w:t>
            </w:r>
            <w:r>
              <w:rPr>
                <w:b/>
                <w:spacing w:val="-13"/>
                <w:sz w:val="20"/>
              </w:rPr>
              <w:t> </w:t>
            </w:r>
            <w:r>
              <w:rPr>
                <w:b/>
                <w:sz w:val="20"/>
              </w:rPr>
              <w:t>pre-Harvest</w:t>
            </w:r>
            <w:r>
              <w:rPr>
                <w:b/>
                <w:spacing w:val="-12"/>
                <w:sz w:val="20"/>
              </w:rPr>
              <w:t> </w:t>
            </w:r>
            <w:r>
              <w:rPr>
                <w:b/>
                <w:sz w:val="20"/>
              </w:rPr>
              <w:t>[74–231</w:t>
            </w:r>
            <w:r>
              <w:rPr>
                <w:b/>
                <w:spacing w:val="-13"/>
                <w:sz w:val="20"/>
              </w:rPr>
              <w:t> </w:t>
            </w:r>
            <w:r>
              <w:rPr>
                <w:b/>
                <w:sz w:val="20"/>
              </w:rPr>
              <w:t>mm]</w:t>
            </w:r>
            <w:r>
              <w:rPr>
                <w:b/>
                <w:spacing w:val="-12"/>
                <w:sz w:val="20"/>
              </w:rPr>
              <w:t> </w:t>
            </w:r>
            <w:r>
              <w:rPr>
                <w:b/>
                <w:sz w:val="20"/>
              </w:rPr>
              <w:t>AND</w:t>
            </w:r>
            <w:r>
              <w:rPr>
                <w:b/>
                <w:spacing w:val="-13"/>
                <w:sz w:val="20"/>
              </w:rPr>
              <w:t> </w:t>
            </w:r>
            <w:r>
              <w:rPr>
                <w:b/>
                <w:sz w:val="20"/>
              </w:rPr>
              <w:t>Heat</w:t>
            </w:r>
            <w:r>
              <w:rPr>
                <w:b/>
                <w:spacing w:val="-12"/>
                <w:sz w:val="20"/>
              </w:rPr>
              <w:t> </w:t>
            </w:r>
            <w:r>
              <w:rPr>
                <w:b/>
                <w:sz w:val="20"/>
              </w:rPr>
              <w:t>days</w:t>
            </w:r>
            <w:r>
              <w:rPr>
                <w:b/>
                <w:spacing w:val="-13"/>
                <w:sz w:val="20"/>
              </w:rPr>
              <w:t> </w:t>
            </w:r>
            <w:r>
              <w:rPr>
                <w:b/>
                <w:sz w:val="20"/>
              </w:rPr>
              <w:t>pre-Maturity</w:t>
            </w:r>
            <w:r>
              <w:rPr>
                <w:b/>
                <w:spacing w:val="-11"/>
                <w:sz w:val="20"/>
              </w:rPr>
              <w:t> </w:t>
            </w:r>
            <w:r>
              <w:rPr>
                <w:b/>
                <w:sz w:val="20"/>
              </w:rPr>
              <w:t>[0–3.7d]</w:t>
            </w:r>
            <w:r>
              <w:rPr>
                <w:b/>
                <w:spacing w:val="-12"/>
                <w:sz w:val="20"/>
              </w:rPr>
              <w:t> </w:t>
            </w:r>
            <w:r>
              <w:rPr>
                <w:b/>
                <w:sz w:val="20"/>
              </w:rPr>
              <w:t>AND</w:t>
            </w:r>
            <w:r>
              <w:rPr>
                <w:b/>
                <w:spacing w:val="-11"/>
                <w:sz w:val="20"/>
              </w:rPr>
              <w:t> </w:t>
            </w:r>
            <w:r>
              <w:rPr>
                <w:b/>
                <w:sz w:val="20"/>
              </w:rPr>
              <w:t>Heat</w:t>
            </w:r>
            <w:r>
              <w:rPr>
                <w:b/>
                <w:spacing w:val="-12"/>
                <w:sz w:val="20"/>
              </w:rPr>
              <w:t> </w:t>
            </w:r>
            <w:r>
              <w:rPr>
                <w:b/>
                <w:sz w:val="20"/>
              </w:rPr>
              <w:t>days</w:t>
            </w:r>
            <w:r>
              <w:rPr>
                <w:b/>
                <w:spacing w:val="-11"/>
                <w:sz w:val="20"/>
              </w:rPr>
              <w:t> </w:t>
            </w:r>
            <w:r>
              <w:rPr>
                <w:b/>
                <w:sz w:val="20"/>
              </w:rPr>
              <w:t>post-Flowering </w:t>
            </w:r>
            <w:r>
              <w:rPr>
                <w:b/>
                <w:spacing w:val="-2"/>
                <w:sz w:val="20"/>
              </w:rPr>
              <w:t>[0–0.6d]</w:t>
            </w:r>
          </w:p>
        </w:tc>
        <w:tc>
          <w:tcPr>
            <w:tcW w:w="757" w:type="dxa"/>
            <w:tcBorders>
              <w:left w:val="single" w:sz="4" w:space="0" w:color="000000"/>
              <w:right w:val="single" w:sz="4" w:space="0" w:color="000000"/>
            </w:tcBorders>
          </w:tcPr>
          <w:p>
            <w:pPr>
              <w:pStyle w:val="TableParagraph"/>
              <w:spacing w:before="56"/>
              <w:ind w:left="85"/>
              <w:jc w:val="center"/>
              <w:rPr>
                <w:sz w:val="18"/>
              </w:rPr>
            </w:pPr>
            <w:r>
              <w:rPr>
                <w:spacing w:val="-4"/>
                <w:sz w:val="18"/>
              </w:rPr>
              <w:t>ABOVE</w:t>
            </w:r>
          </w:p>
        </w:tc>
        <w:tc>
          <w:tcPr>
            <w:tcW w:w="984" w:type="dxa"/>
            <w:tcBorders>
              <w:left w:val="single" w:sz="4" w:space="0" w:color="000000"/>
              <w:right w:val="single" w:sz="4" w:space="0" w:color="000000"/>
            </w:tcBorders>
          </w:tcPr>
          <w:p>
            <w:pPr>
              <w:pStyle w:val="TableParagraph"/>
              <w:spacing w:before="37"/>
              <w:ind w:left="118"/>
              <w:rPr>
                <w:sz w:val="20"/>
              </w:rPr>
            </w:pPr>
            <w:r>
              <w:rPr>
                <w:spacing w:val="-4"/>
                <w:sz w:val="20"/>
              </w:rPr>
              <w:t>+116</w:t>
            </w:r>
          </w:p>
        </w:tc>
        <w:tc>
          <w:tcPr>
            <w:tcW w:w="927" w:type="dxa"/>
            <w:tcBorders>
              <w:left w:val="single" w:sz="4" w:space="0" w:color="000000"/>
              <w:right w:val="single" w:sz="4" w:space="0" w:color="000000"/>
            </w:tcBorders>
          </w:tcPr>
          <w:p>
            <w:pPr>
              <w:pStyle w:val="TableParagraph"/>
              <w:spacing w:before="37"/>
              <w:ind w:left="118"/>
              <w:rPr>
                <w:sz w:val="20"/>
              </w:rPr>
            </w:pPr>
            <w:r>
              <w:rPr>
                <w:spacing w:val="-2"/>
                <w:sz w:val="20"/>
              </w:rPr>
              <w:t>23.6%</w:t>
            </w:r>
          </w:p>
        </w:tc>
        <w:tc>
          <w:tcPr>
            <w:tcW w:w="923" w:type="dxa"/>
            <w:tcBorders>
              <w:left w:val="single" w:sz="4" w:space="0" w:color="000000"/>
            </w:tcBorders>
          </w:tcPr>
          <w:p>
            <w:pPr>
              <w:pStyle w:val="TableParagraph"/>
              <w:spacing w:before="37"/>
              <w:ind w:left="119"/>
              <w:rPr>
                <w:sz w:val="20"/>
              </w:rPr>
            </w:pPr>
            <w:r>
              <w:rPr>
                <w:spacing w:val="-2"/>
                <w:sz w:val="20"/>
              </w:rPr>
              <w:t>0.0150</w:t>
            </w:r>
          </w:p>
        </w:tc>
      </w:tr>
      <w:tr>
        <w:trPr>
          <w:trHeight w:val="503" w:hRule="atLeast"/>
        </w:trPr>
        <w:tc>
          <w:tcPr>
            <w:tcW w:w="470" w:type="dxa"/>
            <w:tcBorders>
              <w:right w:val="single" w:sz="4" w:space="0" w:color="000000"/>
            </w:tcBorders>
          </w:tcPr>
          <w:p>
            <w:pPr>
              <w:pStyle w:val="TableParagraph"/>
              <w:spacing w:before="0"/>
              <w:rPr>
                <w:sz w:val="18"/>
              </w:rPr>
            </w:pPr>
          </w:p>
        </w:tc>
        <w:tc>
          <w:tcPr>
            <w:tcW w:w="4442" w:type="dxa"/>
            <w:tcBorders>
              <w:left w:val="single" w:sz="4" w:space="0" w:color="000000"/>
              <w:right w:val="single" w:sz="4" w:space="0" w:color="000000"/>
            </w:tcBorders>
          </w:tcPr>
          <w:p>
            <w:pPr>
              <w:pStyle w:val="TableParagraph"/>
              <w:spacing w:line="249" w:lineRule="auto" w:before="0"/>
              <w:ind w:left="118" w:hanging="13"/>
              <w:rPr>
                <w:i/>
                <w:sz w:val="20"/>
              </w:rPr>
            </w:pPr>
            <w:r>
              <w:rPr>
                <w:i/>
                <w:sz w:val="20"/>
              </w:rPr>
              <w:t>Four-condition</w:t>
            </w:r>
            <w:r>
              <w:rPr>
                <w:i/>
                <w:spacing w:val="-9"/>
                <w:sz w:val="20"/>
              </w:rPr>
              <w:t> </w:t>
            </w:r>
            <w:r>
              <w:rPr>
                <w:i/>
                <w:sz w:val="20"/>
              </w:rPr>
              <w:t>rule</w:t>
            </w:r>
            <w:r>
              <w:rPr>
                <w:i/>
                <w:spacing w:val="-9"/>
                <w:sz w:val="20"/>
              </w:rPr>
              <w:t> </w:t>
            </w:r>
            <w:r>
              <w:rPr>
                <w:i/>
                <w:sz w:val="20"/>
              </w:rPr>
              <w:t>combining</w:t>
            </w:r>
            <w:r>
              <w:rPr>
                <w:i/>
                <w:spacing w:val="-9"/>
                <w:sz w:val="20"/>
              </w:rPr>
              <w:t> </w:t>
            </w:r>
            <w:r>
              <w:rPr>
                <w:i/>
                <w:sz w:val="20"/>
              </w:rPr>
              <w:t>all</w:t>
            </w:r>
            <w:r>
              <w:rPr>
                <w:i/>
                <w:spacing w:val="-9"/>
                <w:sz w:val="20"/>
              </w:rPr>
              <w:t> </w:t>
            </w:r>
            <w:r>
              <w:rPr>
                <w:i/>
                <w:sz w:val="20"/>
              </w:rPr>
              <w:t>three</w:t>
            </w:r>
            <w:r>
              <w:rPr>
                <w:i/>
                <w:spacing w:val="-9"/>
                <w:sz w:val="20"/>
              </w:rPr>
              <w:t> </w:t>
            </w:r>
            <w:r>
              <w:rPr>
                <w:i/>
                <w:sz w:val="20"/>
              </w:rPr>
              <w:t>primary</w:t>
            </w:r>
            <w:r>
              <w:rPr>
                <w:i/>
                <w:spacing w:val="-9"/>
                <w:sz w:val="20"/>
              </w:rPr>
              <w:t> </w:t>
            </w:r>
            <w:r>
              <w:rPr>
                <w:i/>
                <w:sz w:val="20"/>
              </w:rPr>
              <w:t>sig-nals; narrowest statistically valid subgroup.</w:t>
            </w:r>
          </w:p>
        </w:tc>
        <w:tc>
          <w:tcPr>
            <w:tcW w:w="757" w:type="dxa"/>
            <w:tcBorders>
              <w:left w:val="single" w:sz="4" w:space="0" w:color="000000"/>
              <w:right w:val="single" w:sz="4" w:space="0" w:color="000000"/>
            </w:tcBorders>
          </w:tcPr>
          <w:p>
            <w:pPr>
              <w:pStyle w:val="TableParagraph"/>
              <w:spacing w:before="0"/>
              <w:rPr>
                <w:sz w:val="18"/>
              </w:rPr>
            </w:pPr>
          </w:p>
        </w:tc>
        <w:tc>
          <w:tcPr>
            <w:tcW w:w="984" w:type="dxa"/>
            <w:tcBorders>
              <w:left w:val="single" w:sz="4" w:space="0" w:color="000000"/>
              <w:right w:val="single" w:sz="4" w:space="0" w:color="000000"/>
            </w:tcBorders>
          </w:tcPr>
          <w:p>
            <w:pPr>
              <w:pStyle w:val="TableParagraph"/>
              <w:spacing w:before="0"/>
              <w:rPr>
                <w:sz w:val="18"/>
              </w:rPr>
            </w:pPr>
          </w:p>
        </w:tc>
        <w:tc>
          <w:tcPr>
            <w:tcW w:w="927" w:type="dxa"/>
            <w:tcBorders>
              <w:left w:val="single" w:sz="4" w:space="0" w:color="000000"/>
              <w:right w:val="single" w:sz="4" w:space="0" w:color="000000"/>
            </w:tcBorders>
          </w:tcPr>
          <w:p>
            <w:pPr>
              <w:pStyle w:val="TableParagraph"/>
              <w:spacing w:before="0"/>
              <w:rPr>
                <w:sz w:val="18"/>
              </w:rPr>
            </w:pPr>
          </w:p>
        </w:tc>
        <w:tc>
          <w:tcPr>
            <w:tcW w:w="923" w:type="dxa"/>
            <w:tcBorders>
              <w:left w:val="single" w:sz="4" w:space="0" w:color="000000"/>
            </w:tcBorders>
          </w:tcPr>
          <w:p>
            <w:pPr>
              <w:pStyle w:val="TableParagraph"/>
              <w:spacing w:before="0"/>
              <w:rPr>
                <w:sz w:val="18"/>
              </w:rPr>
            </w:pPr>
          </w:p>
        </w:tc>
      </w:tr>
      <w:tr>
        <w:trPr>
          <w:trHeight w:val="1002" w:hRule="atLeast"/>
        </w:trPr>
        <w:tc>
          <w:tcPr>
            <w:tcW w:w="470" w:type="dxa"/>
            <w:tcBorders>
              <w:right w:val="single" w:sz="4" w:space="0" w:color="000000"/>
            </w:tcBorders>
          </w:tcPr>
          <w:p>
            <w:pPr>
              <w:pStyle w:val="TableParagraph"/>
              <w:spacing w:before="37"/>
              <w:ind w:left="119"/>
              <w:rPr>
                <w:sz w:val="20"/>
              </w:rPr>
            </w:pPr>
            <w:r>
              <w:rPr>
                <w:spacing w:val="-5"/>
                <w:sz w:val="20"/>
              </w:rPr>
              <w:t>10</w:t>
            </w:r>
          </w:p>
        </w:tc>
        <w:tc>
          <w:tcPr>
            <w:tcW w:w="4442" w:type="dxa"/>
            <w:tcBorders>
              <w:left w:val="single" w:sz="4" w:space="0" w:color="000000"/>
              <w:right w:val="single" w:sz="4" w:space="0" w:color="000000"/>
            </w:tcBorders>
          </w:tcPr>
          <w:p>
            <w:pPr>
              <w:pStyle w:val="TableParagraph"/>
              <w:spacing w:line="240" w:lineRule="atLeast" w:before="23"/>
              <w:ind w:left="118" w:right="83"/>
              <w:jc w:val="both"/>
              <w:rPr>
                <w:b/>
                <w:sz w:val="20"/>
              </w:rPr>
            </w:pPr>
            <w:r>
              <w:rPr>
                <w:b/>
                <w:sz w:val="20"/>
              </w:rPr>
              <w:t>Wet</w:t>
            </w:r>
            <w:r>
              <w:rPr>
                <w:b/>
                <w:spacing w:val="-13"/>
                <w:sz w:val="20"/>
              </w:rPr>
              <w:t> </w:t>
            </w:r>
            <w:r>
              <w:rPr>
                <w:b/>
                <w:sz w:val="20"/>
              </w:rPr>
              <w:t>days</w:t>
            </w:r>
            <w:r>
              <w:rPr>
                <w:b/>
                <w:spacing w:val="-12"/>
                <w:sz w:val="20"/>
              </w:rPr>
              <w:t> </w:t>
            </w:r>
            <w:r>
              <w:rPr>
                <w:b/>
                <w:sz w:val="20"/>
              </w:rPr>
              <w:t>post-Flowering</w:t>
            </w:r>
            <w:r>
              <w:rPr>
                <w:b/>
                <w:spacing w:val="-13"/>
                <w:sz w:val="20"/>
              </w:rPr>
              <w:t> </w:t>
            </w:r>
            <w:r>
              <w:rPr>
                <w:b/>
                <w:sz w:val="20"/>
              </w:rPr>
              <w:t>[0–3.3d]</w:t>
            </w:r>
            <w:r>
              <w:rPr>
                <w:b/>
                <w:spacing w:val="-12"/>
                <w:sz w:val="20"/>
              </w:rPr>
              <w:t> </w:t>
            </w:r>
            <w:r>
              <w:rPr>
                <w:b/>
                <w:sz w:val="20"/>
              </w:rPr>
              <w:t>AND</w:t>
            </w:r>
            <w:r>
              <w:rPr>
                <w:b/>
                <w:spacing w:val="-13"/>
                <w:sz w:val="20"/>
              </w:rPr>
              <w:t> </w:t>
            </w:r>
            <w:r>
              <w:rPr>
                <w:b/>
                <w:sz w:val="20"/>
              </w:rPr>
              <w:t>Soil</w:t>
            </w:r>
            <w:r>
              <w:rPr>
                <w:b/>
                <w:spacing w:val="-12"/>
                <w:sz w:val="20"/>
              </w:rPr>
              <w:t> </w:t>
            </w:r>
            <w:r>
              <w:rPr>
                <w:b/>
                <w:sz w:val="20"/>
              </w:rPr>
              <w:t>water pre-Harvest [101–231 mm] AND Heat days </w:t>
            </w:r>
            <w:r>
              <w:rPr>
                <w:b/>
                <w:sz w:val="20"/>
              </w:rPr>
              <w:t>pre-Maturity</w:t>
            </w:r>
            <w:r>
              <w:rPr>
                <w:b/>
                <w:spacing w:val="-11"/>
                <w:sz w:val="20"/>
              </w:rPr>
              <w:t> </w:t>
            </w:r>
            <w:r>
              <w:rPr>
                <w:b/>
                <w:sz w:val="20"/>
              </w:rPr>
              <w:t>[0–3.7d]</w:t>
            </w:r>
            <w:r>
              <w:rPr>
                <w:b/>
                <w:spacing w:val="-12"/>
                <w:sz w:val="20"/>
              </w:rPr>
              <w:t> </w:t>
            </w:r>
            <w:r>
              <w:rPr>
                <w:b/>
                <w:sz w:val="20"/>
              </w:rPr>
              <w:t>AND</w:t>
            </w:r>
            <w:r>
              <w:rPr>
                <w:b/>
                <w:spacing w:val="-11"/>
                <w:sz w:val="20"/>
              </w:rPr>
              <w:t> </w:t>
            </w:r>
            <w:r>
              <w:rPr>
                <w:b/>
                <w:sz w:val="20"/>
              </w:rPr>
              <w:t>Heat</w:t>
            </w:r>
            <w:r>
              <w:rPr>
                <w:b/>
                <w:spacing w:val="-12"/>
                <w:sz w:val="20"/>
              </w:rPr>
              <w:t> </w:t>
            </w:r>
            <w:r>
              <w:rPr>
                <w:b/>
                <w:sz w:val="20"/>
              </w:rPr>
              <w:t>days</w:t>
            </w:r>
            <w:r>
              <w:rPr>
                <w:b/>
                <w:spacing w:val="-11"/>
                <w:sz w:val="20"/>
              </w:rPr>
              <w:t> </w:t>
            </w:r>
            <w:r>
              <w:rPr>
                <w:b/>
                <w:sz w:val="20"/>
              </w:rPr>
              <w:t>post-Flowering </w:t>
            </w:r>
            <w:r>
              <w:rPr>
                <w:b/>
                <w:spacing w:val="-2"/>
                <w:sz w:val="20"/>
              </w:rPr>
              <w:t>[0–0.6d]</w:t>
            </w:r>
          </w:p>
        </w:tc>
        <w:tc>
          <w:tcPr>
            <w:tcW w:w="757" w:type="dxa"/>
            <w:tcBorders>
              <w:left w:val="single" w:sz="4" w:space="0" w:color="000000"/>
              <w:right w:val="single" w:sz="4" w:space="0" w:color="000000"/>
            </w:tcBorders>
          </w:tcPr>
          <w:p>
            <w:pPr>
              <w:pStyle w:val="TableParagraph"/>
              <w:spacing w:before="56"/>
              <w:ind w:left="85"/>
              <w:jc w:val="center"/>
              <w:rPr>
                <w:sz w:val="18"/>
              </w:rPr>
            </w:pPr>
            <w:r>
              <w:rPr>
                <w:spacing w:val="-4"/>
                <w:sz w:val="18"/>
              </w:rPr>
              <w:t>ABOVE</w:t>
            </w:r>
          </w:p>
        </w:tc>
        <w:tc>
          <w:tcPr>
            <w:tcW w:w="984" w:type="dxa"/>
            <w:tcBorders>
              <w:left w:val="single" w:sz="4" w:space="0" w:color="000000"/>
              <w:right w:val="single" w:sz="4" w:space="0" w:color="000000"/>
            </w:tcBorders>
          </w:tcPr>
          <w:p>
            <w:pPr>
              <w:pStyle w:val="TableParagraph"/>
              <w:spacing w:before="37"/>
              <w:ind w:left="118"/>
              <w:rPr>
                <w:sz w:val="20"/>
              </w:rPr>
            </w:pPr>
            <w:r>
              <w:rPr>
                <w:spacing w:val="-4"/>
                <w:sz w:val="20"/>
              </w:rPr>
              <w:t>+117</w:t>
            </w:r>
          </w:p>
        </w:tc>
        <w:tc>
          <w:tcPr>
            <w:tcW w:w="927" w:type="dxa"/>
            <w:tcBorders>
              <w:left w:val="single" w:sz="4" w:space="0" w:color="000000"/>
              <w:right w:val="single" w:sz="4" w:space="0" w:color="000000"/>
            </w:tcBorders>
          </w:tcPr>
          <w:p>
            <w:pPr>
              <w:pStyle w:val="TableParagraph"/>
              <w:spacing w:before="37"/>
              <w:ind w:left="118"/>
              <w:rPr>
                <w:sz w:val="20"/>
              </w:rPr>
            </w:pPr>
            <w:r>
              <w:rPr>
                <w:spacing w:val="-2"/>
                <w:sz w:val="20"/>
              </w:rPr>
              <w:t>20.2%</w:t>
            </w:r>
          </w:p>
        </w:tc>
        <w:tc>
          <w:tcPr>
            <w:tcW w:w="923" w:type="dxa"/>
            <w:tcBorders>
              <w:left w:val="single" w:sz="4" w:space="0" w:color="000000"/>
            </w:tcBorders>
          </w:tcPr>
          <w:p>
            <w:pPr>
              <w:pStyle w:val="TableParagraph"/>
              <w:spacing w:before="37"/>
              <w:ind w:left="119"/>
              <w:rPr>
                <w:sz w:val="20"/>
              </w:rPr>
            </w:pPr>
            <w:r>
              <w:rPr>
                <w:spacing w:val="-2"/>
                <w:sz w:val="20"/>
              </w:rPr>
              <w:t>0.0160</w:t>
            </w:r>
          </w:p>
        </w:tc>
      </w:tr>
      <w:tr>
        <w:trPr>
          <w:trHeight w:val="307" w:hRule="atLeast"/>
        </w:trPr>
        <w:tc>
          <w:tcPr>
            <w:tcW w:w="470" w:type="dxa"/>
            <w:tcBorders>
              <w:bottom w:val="single" w:sz="8" w:space="0" w:color="000000"/>
              <w:right w:val="single" w:sz="4" w:space="0" w:color="000000"/>
            </w:tcBorders>
          </w:tcPr>
          <w:p>
            <w:pPr>
              <w:pStyle w:val="TableParagraph"/>
              <w:spacing w:before="0"/>
              <w:rPr>
                <w:sz w:val="18"/>
              </w:rPr>
            </w:pPr>
          </w:p>
        </w:tc>
        <w:tc>
          <w:tcPr>
            <w:tcW w:w="4442" w:type="dxa"/>
            <w:tcBorders>
              <w:left w:val="single" w:sz="4" w:space="0" w:color="000000"/>
              <w:bottom w:val="single" w:sz="8" w:space="0" w:color="000000"/>
              <w:right w:val="single" w:sz="4" w:space="0" w:color="000000"/>
            </w:tcBorders>
          </w:tcPr>
          <w:p>
            <w:pPr>
              <w:pStyle w:val="TableParagraph"/>
              <w:spacing w:line="221" w:lineRule="exact" w:before="0"/>
              <w:ind w:left="106"/>
              <w:rPr>
                <w:i/>
                <w:sz w:val="20"/>
              </w:rPr>
            </w:pPr>
            <w:r>
              <w:rPr>
                <w:i/>
                <w:sz w:val="20"/>
              </w:rPr>
              <w:t>Variant</w:t>
            </w:r>
            <w:r>
              <w:rPr>
                <w:i/>
                <w:spacing w:val="-8"/>
                <w:sz w:val="20"/>
              </w:rPr>
              <w:t> </w:t>
            </w:r>
            <w:r>
              <w:rPr>
                <w:i/>
                <w:sz w:val="20"/>
              </w:rPr>
              <w:t>of</w:t>
            </w:r>
            <w:r>
              <w:rPr>
                <w:i/>
                <w:spacing w:val="-7"/>
                <w:sz w:val="20"/>
              </w:rPr>
              <w:t> </w:t>
            </w:r>
            <w:r>
              <w:rPr>
                <w:i/>
                <w:sz w:val="20"/>
              </w:rPr>
              <w:t>Rule</w:t>
            </w:r>
            <w:r>
              <w:rPr>
                <w:i/>
                <w:spacing w:val="-8"/>
                <w:sz w:val="20"/>
              </w:rPr>
              <w:t> </w:t>
            </w:r>
            <w:r>
              <w:rPr>
                <w:i/>
                <w:sz w:val="20"/>
              </w:rPr>
              <w:t>9</w:t>
            </w:r>
            <w:r>
              <w:rPr>
                <w:i/>
                <w:spacing w:val="-7"/>
                <w:sz w:val="20"/>
              </w:rPr>
              <w:t> </w:t>
            </w:r>
            <w:r>
              <w:rPr>
                <w:i/>
                <w:sz w:val="20"/>
              </w:rPr>
              <w:t>with</w:t>
            </w:r>
            <w:r>
              <w:rPr>
                <w:i/>
                <w:spacing w:val="-7"/>
                <w:sz w:val="20"/>
              </w:rPr>
              <w:t> </w:t>
            </w:r>
            <w:r>
              <w:rPr>
                <w:i/>
                <w:sz w:val="20"/>
              </w:rPr>
              <w:t>wider</w:t>
            </w:r>
            <w:r>
              <w:rPr>
                <w:i/>
                <w:spacing w:val="-8"/>
                <w:sz w:val="20"/>
              </w:rPr>
              <w:t> </w:t>
            </w:r>
            <w:r>
              <w:rPr>
                <w:i/>
                <w:sz w:val="20"/>
              </w:rPr>
              <w:t>soil</w:t>
            </w:r>
            <w:r>
              <w:rPr>
                <w:i/>
                <w:spacing w:val="-7"/>
                <w:sz w:val="20"/>
              </w:rPr>
              <w:t> </w:t>
            </w:r>
            <w:r>
              <w:rPr>
                <w:i/>
                <w:sz w:val="20"/>
              </w:rPr>
              <w:t>water</w:t>
            </w:r>
            <w:r>
              <w:rPr>
                <w:i/>
                <w:spacing w:val="-7"/>
                <w:sz w:val="20"/>
              </w:rPr>
              <w:t> </w:t>
            </w:r>
            <w:r>
              <w:rPr>
                <w:i/>
                <w:spacing w:val="-2"/>
                <w:sz w:val="20"/>
              </w:rPr>
              <w:t>range.</w:t>
            </w:r>
          </w:p>
        </w:tc>
        <w:tc>
          <w:tcPr>
            <w:tcW w:w="757" w:type="dxa"/>
            <w:tcBorders>
              <w:left w:val="single" w:sz="4" w:space="0" w:color="000000"/>
              <w:bottom w:val="single" w:sz="8" w:space="0" w:color="000000"/>
              <w:right w:val="single" w:sz="4" w:space="0" w:color="000000"/>
            </w:tcBorders>
          </w:tcPr>
          <w:p>
            <w:pPr>
              <w:pStyle w:val="TableParagraph"/>
              <w:spacing w:before="0"/>
              <w:rPr>
                <w:sz w:val="18"/>
              </w:rPr>
            </w:pPr>
          </w:p>
        </w:tc>
        <w:tc>
          <w:tcPr>
            <w:tcW w:w="984" w:type="dxa"/>
            <w:tcBorders>
              <w:left w:val="single" w:sz="4" w:space="0" w:color="000000"/>
              <w:bottom w:val="single" w:sz="8" w:space="0" w:color="000000"/>
              <w:right w:val="single" w:sz="4" w:space="0" w:color="000000"/>
            </w:tcBorders>
          </w:tcPr>
          <w:p>
            <w:pPr>
              <w:pStyle w:val="TableParagraph"/>
              <w:spacing w:before="0"/>
              <w:rPr>
                <w:sz w:val="18"/>
              </w:rPr>
            </w:pPr>
          </w:p>
        </w:tc>
        <w:tc>
          <w:tcPr>
            <w:tcW w:w="927" w:type="dxa"/>
            <w:tcBorders>
              <w:left w:val="single" w:sz="4" w:space="0" w:color="000000"/>
              <w:bottom w:val="single" w:sz="8" w:space="0" w:color="000000"/>
              <w:right w:val="single" w:sz="4" w:space="0" w:color="000000"/>
            </w:tcBorders>
          </w:tcPr>
          <w:p>
            <w:pPr>
              <w:pStyle w:val="TableParagraph"/>
              <w:spacing w:before="0"/>
              <w:rPr>
                <w:sz w:val="18"/>
              </w:rPr>
            </w:pPr>
          </w:p>
        </w:tc>
        <w:tc>
          <w:tcPr>
            <w:tcW w:w="923" w:type="dxa"/>
            <w:tcBorders>
              <w:left w:val="single" w:sz="4" w:space="0" w:color="000000"/>
              <w:bottom w:val="single" w:sz="8" w:space="0" w:color="000000"/>
            </w:tcBorders>
          </w:tcPr>
          <w:p>
            <w:pPr>
              <w:pStyle w:val="TableParagraph"/>
              <w:spacing w:before="0"/>
              <w:rPr>
                <w:sz w:val="18"/>
              </w:rPr>
            </w:pPr>
          </w:p>
        </w:tc>
      </w:tr>
    </w:tbl>
    <w:p>
      <w:pPr>
        <w:pStyle w:val="TableParagraph"/>
        <w:spacing w:after="0"/>
        <w:rPr>
          <w:sz w:val="18"/>
        </w:rPr>
        <w:sectPr>
          <w:headerReference w:type="default" r:id="rId111"/>
          <w:headerReference w:type="even" r:id="rId112"/>
          <w:pgSz w:w="11910" w:h="16840"/>
          <w:pgMar w:header="1160" w:footer="0" w:top="1420" w:bottom="280" w:left="1275" w:right="425"/>
          <w:pgNumType w:start="87"/>
        </w:sectPr>
      </w:pPr>
    </w:p>
    <w:p>
      <w:pPr>
        <w:pStyle w:val="BodyText"/>
        <w:rPr>
          <w:sz w:val="20"/>
        </w:rPr>
      </w:pPr>
    </w:p>
    <w:p>
      <w:pPr>
        <w:pStyle w:val="BodyText"/>
        <w:spacing w:before="58"/>
        <w:rPr>
          <w:sz w:val="20"/>
        </w:rPr>
      </w:pPr>
    </w:p>
    <w:p>
      <w:pPr>
        <w:spacing w:before="0"/>
        <w:ind w:left="601" w:right="1058" w:firstLine="0"/>
        <w:jc w:val="center"/>
        <w:rPr>
          <w:sz w:val="20"/>
        </w:rPr>
      </w:pPr>
      <w:r>
        <w:rPr>
          <w:b/>
          <w:sz w:val="20"/>
        </w:rPr>
        <w:t>Table</w:t>
      </w:r>
      <w:r>
        <w:rPr>
          <w:b/>
          <w:spacing w:val="-11"/>
          <w:sz w:val="20"/>
        </w:rPr>
        <w:t> </w:t>
      </w:r>
      <w:r>
        <w:rPr>
          <w:b/>
          <w:sz w:val="20"/>
        </w:rPr>
        <w:t>A.4: </w:t>
      </w:r>
      <w:r>
        <w:rPr>
          <w:sz w:val="20"/>
        </w:rPr>
        <w:t>Complete</w:t>
      </w:r>
      <w:r>
        <w:rPr>
          <w:spacing w:val="-10"/>
          <w:sz w:val="20"/>
        </w:rPr>
        <w:t> </w:t>
      </w:r>
      <w:r>
        <w:rPr>
          <w:sz w:val="20"/>
        </w:rPr>
        <w:t>CarenR</w:t>
      </w:r>
      <w:r>
        <w:rPr>
          <w:spacing w:val="-11"/>
          <w:sz w:val="20"/>
        </w:rPr>
        <w:t> </w:t>
      </w:r>
      <w:r>
        <w:rPr>
          <w:sz w:val="20"/>
        </w:rPr>
        <w:t>rule</w:t>
      </w:r>
      <w:r>
        <w:rPr>
          <w:spacing w:val="-10"/>
          <w:sz w:val="20"/>
        </w:rPr>
        <w:t> </w:t>
      </w:r>
      <w:r>
        <w:rPr>
          <w:sz w:val="20"/>
        </w:rPr>
        <w:t>listing</w:t>
      </w:r>
      <w:r>
        <w:rPr>
          <w:spacing w:val="-10"/>
          <w:sz w:val="20"/>
        </w:rPr>
        <w:t> </w:t>
      </w:r>
      <w:r>
        <w:rPr>
          <w:sz w:val="20"/>
        </w:rPr>
        <w:t>for</w:t>
      </w:r>
      <w:r>
        <w:rPr>
          <w:spacing w:val="-10"/>
          <w:sz w:val="20"/>
        </w:rPr>
        <w:t> </w:t>
      </w:r>
      <w:r>
        <w:rPr>
          <w:sz w:val="20"/>
        </w:rPr>
        <w:t>the</w:t>
      </w:r>
      <w:r>
        <w:rPr>
          <w:spacing w:val="-10"/>
          <w:sz w:val="20"/>
        </w:rPr>
        <w:t> </w:t>
      </w:r>
      <w:r>
        <w:rPr>
          <w:sz w:val="20"/>
        </w:rPr>
        <w:t>Vinho</w:t>
      </w:r>
      <w:r>
        <w:rPr>
          <w:spacing w:val="-11"/>
          <w:sz w:val="20"/>
        </w:rPr>
        <w:t> </w:t>
      </w:r>
      <w:r>
        <w:rPr>
          <w:sz w:val="20"/>
        </w:rPr>
        <w:t>Verde</w:t>
      </w:r>
      <w:r>
        <w:rPr>
          <w:spacing w:val="-10"/>
          <w:sz w:val="20"/>
        </w:rPr>
        <w:t> </w:t>
      </w:r>
      <w:r>
        <w:rPr>
          <w:sz w:val="20"/>
        </w:rPr>
        <w:t>(RVV)</w:t>
      </w:r>
      <w:r>
        <w:rPr>
          <w:spacing w:val="-10"/>
          <w:sz w:val="20"/>
        </w:rPr>
        <w:t> </w:t>
      </w:r>
      <w:r>
        <w:rPr>
          <w:sz w:val="20"/>
        </w:rPr>
        <w:t>region: all</w:t>
      </w:r>
      <w:r>
        <w:rPr>
          <w:spacing w:val="-11"/>
          <w:sz w:val="20"/>
        </w:rPr>
        <w:t> </w:t>
      </w:r>
      <w:r>
        <w:rPr>
          <w:sz w:val="20"/>
        </w:rPr>
        <w:t>20</w:t>
      </w:r>
      <w:r>
        <w:rPr>
          <w:spacing w:val="-10"/>
          <w:sz w:val="20"/>
        </w:rPr>
        <w:t> </w:t>
      </w:r>
      <w:r>
        <w:rPr>
          <w:spacing w:val="-2"/>
          <w:sz w:val="20"/>
        </w:rPr>
        <w:t>rules.</w:t>
      </w:r>
    </w:p>
    <w:p>
      <w:pPr>
        <w:pStyle w:val="BodyText"/>
        <w:spacing w:before="5"/>
        <w:rPr>
          <w:sz w:val="18"/>
        </w:rPr>
      </w:pPr>
      <w:r>
        <w:rPr>
          <w:sz w:val="18"/>
        </w:rPr>
        <mc:AlternateContent>
          <mc:Choice Requires="wps">
            <w:drawing>
              <wp:anchor distT="0" distB="0" distL="0" distR="0" allowOverlap="1" layoutInCell="1" locked="0" behindDoc="1" simplePos="0" relativeHeight="487634944">
                <wp:simplePos x="0" y="0"/>
                <wp:positionH relativeFrom="page">
                  <wp:posOffset>899998</wp:posOffset>
                </wp:positionH>
                <wp:positionV relativeFrom="paragraph">
                  <wp:posOffset>150158</wp:posOffset>
                </wp:positionV>
                <wp:extent cx="6012815" cy="1270"/>
                <wp:effectExtent l="0" t="0" r="0" b="0"/>
                <wp:wrapTopAndBottom/>
                <wp:docPr id="260" name="Graphic 260"/>
                <wp:cNvGraphicFramePr>
                  <a:graphicFrameLocks/>
                </wp:cNvGraphicFramePr>
                <a:graphic>
                  <a:graphicData uri="http://schemas.microsoft.com/office/word/2010/wordprocessingShape">
                    <wps:wsp>
                      <wps:cNvPr id="260" name="Graphic 260"/>
                      <wps:cNvSpPr/>
                      <wps:spPr>
                        <a:xfrm>
                          <a:off x="0" y="0"/>
                          <a:ext cx="6012815" cy="1270"/>
                        </a:xfrm>
                        <a:custGeom>
                          <a:avLst/>
                          <a:gdLst/>
                          <a:ahLst/>
                          <a:cxnLst/>
                          <a:rect l="l" t="t" r="r" b="b"/>
                          <a:pathLst>
                            <a:path w="6012815" h="0">
                              <a:moveTo>
                                <a:pt x="0" y="0"/>
                              </a:moveTo>
                              <a:lnTo>
                                <a:pt x="601228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1.823473pt;width:473.45pt;height:.1pt;mso-position-horizontal-relative:page;mso-position-vertical-relative:paragraph;z-index:-15681536;mso-wrap-distance-left:0;mso-wrap-distance-right:0" id="docshape224" coordorigin="1417,236" coordsize="9469,0" path="m1417,236l10885,236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70"/>
        <w:gridCol w:w="1098"/>
        <w:gridCol w:w="928"/>
        <w:gridCol w:w="985"/>
        <w:gridCol w:w="1098"/>
        <w:gridCol w:w="4892"/>
      </w:tblGrid>
      <w:tr>
        <w:trPr>
          <w:trHeight w:val="563" w:hRule="atLeast"/>
        </w:trPr>
        <w:tc>
          <w:tcPr>
            <w:tcW w:w="470" w:type="dxa"/>
            <w:tcBorders>
              <w:top w:val="nil"/>
              <w:left w:val="nil"/>
              <w:right w:val="single" w:sz="4" w:space="0" w:color="000000"/>
            </w:tcBorders>
          </w:tcPr>
          <w:p>
            <w:pPr>
              <w:pStyle w:val="TableParagraph"/>
              <w:spacing w:before="59"/>
              <w:ind w:left="119"/>
              <w:rPr>
                <w:sz w:val="16"/>
              </w:rPr>
            </w:pPr>
            <w:r>
              <w:rPr>
                <w:spacing w:val="-10"/>
                <w:sz w:val="16"/>
              </w:rPr>
              <w:t>#</w:t>
            </w:r>
          </w:p>
        </w:tc>
        <w:tc>
          <w:tcPr>
            <w:tcW w:w="1098" w:type="dxa"/>
            <w:tcBorders>
              <w:top w:val="nil"/>
              <w:left w:val="single" w:sz="4" w:space="0" w:color="000000"/>
              <w:right w:val="single" w:sz="4" w:space="0" w:color="000000"/>
            </w:tcBorders>
          </w:tcPr>
          <w:p>
            <w:pPr>
              <w:pStyle w:val="TableParagraph"/>
              <w:spacing w:before="59"/>
              <w:ind w:left="118"/>
              <w:rPr>
                <w:sz w:val="16"/>
              </w:rPr>
            </w:pPr>
            <w:r>
              <w:rPr>
                <w:spacing w:val="-2"/>
                <w:sz w:val="16"/>
              </w:rPr>
              <w:t>Support</w:t>
            </w:r>
          </w:p>
        </w:tc>
        <w:tc>
          <w:tcPr>
            <w:tcW w:w="928" w:type="dxa"/>
            <w:tcBorders>
              <w:top w:val="nil"/>
              <w:left w:val="single" w:sz="4" w:space="0" w:color="000000"/>
              <w:right w:val="single" w:sz="4" w:space="0" w:color="000000"/>
            </w:tcBorders>
          </w:tcPr>
          <w:p>
            <w:pPr>
              <w:pStyle w:val="TableParagraph"/>
              <w:spacing w:before="59"/>
              <w:ind w:left="117"/>
              <w:rPr>
                <w:sz w:val="16"/>
              </w:rPr>
            </w:pPr>
            <w:r>
              <w:rPr>
                <w:spacing w:val="-2"/>
                <w:sz w:val="16"/>
              </w:rPr>
              <w:t>p-value</w:t>
            </w:r>
          </w:p>
        </w:tc>
        <w:tc>
          <w:tcPr>
            <w:tcW w:w="985" w:type="dxa"/>
            <w:tcBorders>
              <w:top w:val="nil"/>
              <w:left w:val="single" w:sz="4" w:space="0" w:color="000000"/>
              <w:right w:val="single" w:sz="4" w:space="0" w:color="000000"/>
            </w:tcBorders>
          </w:tcPr>
          <w:p>
            <w:pPr>
              <w:pStyle w:val="TableParagraph"/>
              <w:spacing w:before="59"/>
              <w:ind w:left="117"/>
              <w:rPr>
                <w:sz w:val="16"/>
              </w:rPr>
            </w:pPr>
            <w:r>
              <w:rPr>
                <w:spacing w:val="-2"/>
                <w:sz w:val="16"/>
              </w:rPr>
              <w:t>Direction</w:t>
            </w:r>
          </w:p>
        </w:tc>
        <w:tc>
          <w:tcPr>
            <w:tcW w:w="1098" w:type="dxa"/>
            <w:tcBorders>
              <w:top w:val="nil"/>
              <w:left w:val="single" w:sz="4" w:space="0" w:color="000000"/>
              <w:right w:val="single" w:sz="4" w:space="0" w:color="000000"/>
            </w:tcBorders>
          </w:tcPr>
          <w:p>
            <w:pPr>
              <w:pStyle w:val="TableParagraph"/>
              <w:tabs>
                <w:tab w:pos="869" w:val="left" w:leader="none"/>
              </w:tabs>
              <w:spacing w:before="56"/>
              <w:ind w:left="116"/>
              <w:rPr>
                <w:rFonts w:ascii="Calibri" w:hAnsi="Calibri"/>
                <w:sz w:val="16"/>
              </w:rPr>
            </w:pPr>
            <w:r>
              <w:rPr>
                <w:spacing w:val="-4"/>
                <w:w w:val="105"/>
                <w:sz w:val="16"/>
              </w:rPr>
              <w:t>Mean</w:t>
            </w:r>
            <w:r>
              <w:rPr>
                <w:sz w:val="16"/>
              </w:rPr>
              <w:tab/>
            </w:r>
            <w:r>
              <w:rPr>
                <w:rFonts w:ascii="Calibri" w:hAnsi="Calibri"/>
                <w:spacing w:val="-10"/>
                <w:w w:val="105"/>
                <w:sz w:val="16"/>
              </w:rPr>
              <w:t>∆</w:t>
            </w:r>
          </w:p>
          <w:p>
            <w:pPr>
              <w:pStyle w:val="TableParagraph"/>
              <w:spacing w:before="38"/>
              <w:ind w:left="111"/>
              <w:rPr>
                <w:sz w:val="16"/>
              </w:rPr>
            </w:pPr>
            <w:r>
              <w:rPr>
                <w:spacing w:val="-2"/>
                <w:sz w:val="16"/>
              </w:rPr>
              <w:t>(mhl)</w:t>
            </w:r>
          </w:p>
        </w:tc>
        <w:tc>
          <w:tcPr>
            <w:tcW w:w="4892" w:type="dxa"/>
            <w:tcBorders>
              <w:top w:val="nil"/>
              <w:left w:val="single" w:sz="4" w:space="0" w:color="000000"/>
              <w:right w:val="nil"/>
            </w:tcBorders>
          </w:tcPr>
          <w:p>
            <w:pPr>
              <w:pStyle w:val="TableParagraph"/>
              <w:spacing w:before="59"/>
              <w:ind w:left="115"/>
              <w:rPr>
                <w:sz w:val="16"/>
              </w:rPr>
            </w:pPr>
            <w:r>
              <w:rPr>
                <w:sz w:val="16"/>
              </w:rPr>
              <w:t>Conditions</w:t>
            </w:r>
            <w:r>
              <w:rPr>
                <w:spacing w:val="-9"/>
                <w:sz w:val="16"/>
              </w:rPr>
              <w:t> </w:t>
            </w:r>
            <w:r>
              <w:rPr>
                <w:spacing w:val="-2"/>
                <w:sz w:val="16"/>
              </w:rPr>
              <w:t>(abbreviated)</w:t>
            </w:r>
          </w:p>
        </w:tc>
      </w:tr>
    </w:tbl>
    <w:p>
      <w:pPr>
        <w:pStyle w:val="BodyText"/>
        <w:spacing w:before="10"/>
        <w:rPr>
          <w:sz w:val="4"/>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0"/>
        <w:gridCol w:w="1098"/>
        <w:gridCol w:w="928"/>
        <w:gridCol w:w="985"/>
        <w:gridCol w:w="1098"/>
        <w:gridCol w:w="4892"/>
      </w:tblGrid>
      <w:tr>
        <w:trPr>
          <w:trHeight w:val="766" w:hRule="atLeast"/>
        </w:trPr>
        <w:tc>
          <w:tcPr>
            <w:tcW w:w="470" w:type="dxa"/>
            <w:tcBorders>
              <w:right w:val="single" w:sz="4" w:space="0" w:color="000000"/>
            </w:tcBorders>
          </w:tcPr>
          <w:p>
            <w:pPr>
              <w:pStyle w:val="TableParagraph"/>
              <w:spacing w:before="59"/>
              <w:ind w:left="119"/>
              <w:rPr>
                <w:sz w:val="16"/>
              </w:rPr>
            </w:pPr>
            <w:r>
              <w:rPr>
                <w:spacing w:val="-10"/>
                <w:sz w:val="16"/>
              </w:rPr>
              <w:t>1</w:t>
            </w:r>
          </w:p>
        </w:tc>
        <w:tc>
          <w:tcPr>
            <w:tcW w:w="1098" w:type="dxa"/>
            <w:tcBorders>
              <w:left w:val="single" w:sz="4" w:space="0" w:color="000000"/>
              <w:right w:val="single" w:sz="4" w:space="0" w:color="000000"/>
            </w:tcBorders>
          </w:tcPr>
          <w:p>
            <w:pPr>
              <w:pStyle w:val="TableParagraph"/>
              <w:spacing w:before="59"/>
              <w:ind w:left="118"/>
              <w:rPr>
                <w:sz w:val="16"/>
              </w:rPr>
            </w:pPr>
            <w:r>
              <w:rPr>
                <w:spacing w:val="-2"/>
                <w:sz w:val="16"/>
              </w:rPr>
              <w:t>21.2%</w:t>
            </w:r>
          </w:p>
          <w:p>
            <w:pPr>
              <w:pStyle w:val="TableParagraph"/>
              <w:spacing w:before="46"/>
              <w:ind w:left="113"/>
              <w:rPr>
                <w:sz w:val="16"/>
              </w:rPr>
            </w:pPr>
            <w:r>
              <w:rPr>
                <w:sz w:val="16"/>
              </w:rPr>
              <w:t>(</w:t>
            </w:r>
            <w:r>
              <w:rPr>
                <w:spacing w:val="-2"/>
                <w:sz w:val="16"/>
              </w:rPr>
              <w:t> </w:t>
            </w:r>
            <w:r>
              <w:rPr>
                <w:spacing w:val="-4"/>
                <w:sz w:val="16"/>
              </w:rPr>
              <w:t>17yr)</w:t>
            </w:r>
          </w:p>
        </w:tc>
        <w:tc>
          <w:tcPr>
            <w:tcW w:w="928" w:type="dxa"/>
            <w:tcBorders>
              <w:left w:val="single" w:sz="4" w:space="0" w:color="000000"/>
              <w:right w:val="single" w:sz="4" w:space="0" w:color="000000"/>
            </w:tcBorders>
          </w:tcPr>
          <w:p>
            <w:pPr>
              <w:pStyle w:val="TableParagraph"/>
              <w:spacing w:before="59"/>
              <w:ind w:left="117"/>
              <w:rPr>
                <w:sz w:val="16"/>
              </w:rPr>
            </w:pPr>
            <w:r>
              <w:rPr>
                <w:spacing w:val="-2"/>
                <w:sz w:val="16"/>
              </w:rPr>
              <w:t>0.0198</w:t>
            </w:r>
          </w:p>
        </w:tc>
        <w:tc>
          <w:tcPr>
            <w:tcW w:w="985" w:type="dxa"/>
            <w:tcBorders>
              <w:left w:val="single" w:sz="4" w:space="0" w:color="000000"/>
              <w:right w:val="single" w:sz="4" w:space="0" w:color="000000"/>
            </w:tcBorders>
          </w:tcPr>
          <w:p>
            <w:pPr>
              <w:pStyle w:val="TableParagraph"/>
              <w:spacing w:before="59"/>
              <w:ind w:left="117"/>
              <w:rPr>
                <w:sz w:val="16"/>
              </w:rPr>
            </w:pPr>
            <w:r>
              <w:rPr>
                <w:spacing w:val="-2"/>
                <w:sz w:val="16"/>
              </w:rPr>
              <w:t>BELOW</w:t>
            </w:r>
          </w:p>
        </w:tc>
        <w:tc>
          <w:tcPr>
            <w:tcW w:w="1098" w:type="dxa"/>
            <w:tcBorders>
              <w:left w:val="single" w:sz="4" w:space="0" w:color="000000"/>
              <w:right w:val="single" w:sz="4" w:space="0" w:color="000000"/>
            </w:tcBorders>
          </w:tcPr>
          <w:p>
            <w:pPr>
              <w:pStyle w:val="TableParagraph"/>
              <w:spacing w:before="59"/>
              <w:ind w:left="116"/>
              <w:rPr>
                <w:sz w:val="16"/>
              </w:rPr>
            </w:pPr>
            <w:r>
              <w:rPr>
                <w:spacing w:val="-2"/>
                <w:sz w:val="16"/>
              </w:rPr>
              <w:t>-</w:t>
            </w:r>
            <w:r>
              <w:rPr>
                <w:spacing w:val="-5"/>
                <w:sz w:val="16"/>
              </w:rPr>
              <w:t>338</w:t>
            </w:r>
          </w:p>
        </w:tc>
        <w:tc>
          <w:tcPr>
            <w:tcW w:w="4892" w:type="dxa"/>
            <w:tcBorders>
              <w:left w:val="single" w:sz="4" w:space="0" w:color="000000"/>
            </w:tcBorders>
          </w:tcPr>
          <w:p>
            <w:pPr>
              <w:pStyle w:val="TableParagraph"/>
              <w:spacing w:line="230" w:lineRule="atLeast" w:before="13"/>
              <w:ind w:left="110" w:right="120" w:firstLine="5"/>
              <w:jc w:val="both"/>
              <w:rPr>
                <w:sz w:val="16"/>
              </w:rPr>
            </w:pPr>
            <w:r>
              <w:rPr>
                <w:spacing w:val="-2"/>
                <w:sz w:val="16"/>
              </w:rPr>
              <w:t>Soil</w:t>
            </w:r>
            <w:r>
              <w:rPr>
                <w:spacing w:val="-7"/>
                <w:sz w:val="16"/>
              </w:rPr>
              <w:t> </w:t>
            </w:r>
            <w:r>
              <w:rPr>
                <w:spacing w:val="-2"/>
                <w:sz w:val="16"/>
              </w:rPr>
              <w:t>water</w:t>
            </w:r>
            <w:r>
              <w:rPr>
                <w:spacing w:val="-7"/>
                <w:sz w:val="16"/>
              </w:rPr>
              <w:t> </w:t>
            </w:r>
            <w:r>
              <w:rPr>
                <w:spacing w:val="-2"/>
                <w:sz w:val="16"/>
              </w:rPr>
              <w:t>pre-Harvest</w:t>
            </w:r>
            <w:r>
              <w:rPr>
                <w:spacing w:val="-7"/>
                <w:sz w:val="16"/>
              </w:rPr>
              <w:t> </w:t>
            </w:r>
            <w:r>
              <w:rPr>
                <w:spacing w:val="-2"/>
                <w:sz w:val="16"/>
              </w:rPr>
              <w:t>[61–97</w:t>
            </w:r>
            <w:r>
              <w:rPr>
                <w:spacing w:val="-7"/>
                <w:sz w:val="16"/>
              </w:rPr>
              <w:t> </w:t>
            </w:r>
            <w:r>
              <w:rPr>
                <w:spacing w:val="-2"/>
                <w:sz w:val="16"/>
              </w:rPr>
              <w:t>mm]</w:t>
            </w:r>
            <w:r>
              <w:rPr>
                <w:spacing w:val="-7"/>
                <w:sz w:val="16"/>
              </w:rPr>
              <w:t> </w:t>
            </w:r>
            <w:r>
              <w:rPr>
                <w:spacing w:val="-2"/>
                <w:sz w:val="16"/>
              </w:rPr>
              <w:t>AND</w:t>
            </w:r>
            <w:r>
              <w:rPr>
                <w:spacing w:val="-7"/>
                <w:sz w:val="16"/>
              </w:rPr>
              <w:t> </w:t>
            </w:r>
            <w:r>
              <w:rPr>
                <w:spacing w:val="-2"/>
                <w:sz w:val="16"/>
              </w:rPr>
              <w:t>Heat</w:t>
            </w:r>
            <w:r>
              <w:rPr>
                <w:spacing w:val="-7"/>
                <w:sz w:val="16"/>
              </w:rPr>
              <w:t> </w:t>
            </w:r>
            <w:r>
              <w:rPr>
                <w:spacing w:val="-2"/>
                <w:sz w:val="16"/>
              </w:rPr>
              <w:t>days</w:t>
            </w:r>
            <w:r>
              <w:rPr>
                <w:spacing w:val="-7"/>
                <w:sz w:val="16"/>
              </w:rPr>
              <w:t> </w:t>
            </w:r>
            <w:r>
              <w:rPr>
                <w:spacing w:val="-2"/>
                <w:sz w:val="16"/>
              </w:rPr>
              <w:t>pre-Maturity</w:t>
            </w:r>
            <w:r>
              <w:rPr>
                <w:spacing w:val="-7"/>
                <w:sz w:val="16"/>
              </w:rPr>
              <w:t> </w:t>
            </w:r>
            <w:r>
              <w:rPr>
                <w:spacing w:val="-2"/>
                <w:sz w:val="16"/>
              </w:rPr>
              <w:t>[0–</w:t>
            </w:r>
            <w:r>
              <w:rPr>
                <w:spacing w:val="-2"/>
                <w:sz w:val="16"/>
              </w:rPr>
              <w:t>1.9d]</w:t>
            </w:r>
            <w:r>
              <w:rPr>
                <w:spacing w:val="40"/>
                <w:sz w:val="16"/>
              </w:rPr>
              <w:t> </w:t>
            </w:r>
            <w:r>
              <w:rPr>
                <w:sz w:val="16"/>
              </w:rPr>
              <w:t>AND Heat days post-Maturity [0–2.4d] AND Heat days post-Flowering</w:t>
            </w:r>
            <w:r>
              <w:rPr>
                <w:spacing w:val="40"/>
                <w:sz w:val="16"/>
              </w:rPr>
              <w:t> </w:t>
            </w:r>
            <w:r>
              <w:rPr>
                <w:spacing w:val="-2"/>
                <w:sz w:val="16"/>
              </w:rPr>
              <w:t>[0–1.1d]</w:t>
            </w:r>
          </w:p>
        </w:tc>
      </w:tr>
      <w:tr>
        <w:trPr>
          <w:trHeight w:val="528" w:hRule="atLeast"/>
        </w:trPr>
        <w:tc>
          <w:tcPr>
            <w:tcW w:w="470" w:type="dxa"/>
            <w:tcBorders>
              <w:right w:val="single" w:sz="4" w:space="0" w:color="000000"/>
            </w:tcBorders>
          </w:tcPr>
          <w:p>
            <w:pPr>
              <w:pStyle w:val="TableParagraph"/>
              <w:spacing w:before="51"/>
              <w:ind w:left="119"/>
              <w:rPr>
                <w:sz w:val="16"/>
              </w:rPr>
            </w:pPr>
            <w:r>
              <w:rPr>
                <w:spacing w:val="-10"/>
                <w:sz w:val="16"/>
              </w:rPr>
              <w:t>2</w:t>
            </w:r>
          </w:p>
        </w:tc>
        <w:tc>
          <w:tcPr>
            <w:tcW w:w="1098" w:type="dxa"/>
            <w:tcBorders>
              <w:left w:val="single" w:sz="4" w:space="0" w:color="000000"/>
              <w:right w:val="single" w:sz="4" w:space="0" w:color="000000"/>
            </w:tcBorders>
          </w:tcPr>
          <w:p>
            <w:pPr>
              <w:pStyle w:val="TableParagraph"/>
              <w:spacing w:before="51"/>
              <w:ind w:left="118"/>
              <w:rPr>
                <w:sz w:val="16"/>
              </w:rPr>
            </w:pPr>
            <w:r>
              <w:rPr>
                <w:spacing w:val="-2"/>
                <w:sz w:val="16"/>
              </w:rPr>
              <w:t>21.2%</w:t>
            </w:r>
          </w:p>
          <w:p>
            <w:pPr>
              <w:pStyle w:val="TableParagraph"/>
              <w:spacing w:before="45"/>
              <w:ind w:left="113"/>
              <w:rPr>
                <w:sz w:val="16"/>
              </w:rPr>
            </w:pPr>
            <w:r>
              <w:rPr>
                <w:sz w:val="16"/>
              </w:rPr>
              <w:t>(</w:t>
            </w:r>
            <w:r>
              <w:rPr>
                <w:spacing w:val="-2"/>
                <w:sz w:val="16"/>
              </w:rPr>
              <w:t> </w:t>
            </w:r>
            <w:r>
              <w:rPr>
                <w:spacing w:val="-4"/>
                <w:sz w:val="16"/>
              </w:rPr>
              <w:t>17yr)</w:t>
            </w:r>
          </w:p>
        </w:tc>
        <w:tc>
          <w:tcPr>
            <w:tcW w:w="928" w:type="dxa"/>
            <w:tcBorders>
              <w:left w:val="single" w:sz="4" w:space="0" w:color="000000"/>
              <w:right w:val="single" w:sz="4" w:space="0" w:color="000000"/>
            </w:tcBorders>
          </w:tcPr>
          <w:p>
            <w:pPr>
              <w:pStyle w:val="TableParagraph"/>
              <w:spacing w:before="51"/>
              <w:ind w:left="117"/>
              <w:rPr>
                <w:sz w:val="16"/>
              </w:rPr>
            </w:pPr>
            <w:r>
              <w:rPr>
                <w:spacing w:val="-2"/>
                <w:sz w:val="16"/>
              </w:rPr>
              <w:t>0.0216</w:t>
            </w:r>
          </w:p>
        </w:tc>
        <w:tc>
          <w:tcPr>
            <w:tcW w:w="985" w:type="dxa"/>
            <w:tcBorders>
              <w:left w:val="single" w:sz="4" w:space="0" w:color="000000"/>
              <w:right w:val="single" w:sz="4" w:space="0" w:color="000000"/>
            </w:tcBorders>
          </w:tcPr>
          <w:p>
            <w:pPr>
              <w:pStyle w:val="TableParagraph"/>
              <w:spacing w:before="51"/>
              <w:ind w:left="117"/>
              <w:rPr>
                <w:sz w:val="16"/>
              </w:rPr>
            </w:pPr>
            <w:r>
              <w:rPr>
                <w:spacing w:val="-2"/>
                <w:sz w:val="16"/>
              </w:rPr>
              <w:t>BELOW</w:t>
            </w:r>
          </w:p>
        </w:tc>
        <w:tc>
          <w:tcPr>
            <w:tcW w:w="1098" w:type="dxa"/>
            <w:tcBorders>
              <w:left w:val="single" w:sz="4" w:space="0" w:color="000000"/>
              <w:right w:val="single" w:sz="4" w:space="0" w:color="000000"/>
            </w:tcBorders>
          </w:tcPr>
          <w:p>
            <w:pPr>
              <w:pStyle w:val="TableParagraph"/>
              <w:spacing w:before="51"/>
              <w:ind w:left="116"/>
              <w:rPr>
                <w:sz w:val="16"/>
              </w:rPr>
            </w:pPr>
            <w:r>
              <w:rPr>
                <w:spacing w:val="-2"/>
                <w:sz w:val="16"/>
              </w:rPr>
              <w:t>-</w:t>
            </w:r>
            <w:r>
              <w:rPr>
                <w:spacing w:val="-5"/>
                <w:sz w:val="16"/>
              </w:rPr>
              <w:t>268</w:t>
            </w:r>
          </w:p>
        </w:tc>
        <w:tc>
          <w:tcPr>
            <w:tcW w:w="4892" w:type="dxa"/>
            <w:tcBorders>
              <w:left w:val="single" w:sz="4" w:space="0" w:color="000000"/>
            </w:tcBorders>
          </w:tcPr>
          <w:p>
            <w:pPr>
              <w:pStyle w:val="TableParagraph"/>
              <w:spacing w:line="208" w:lineRule="auto" w:before="29"/>
              <w:ind w:left="115"/>
              <w:rPr>
                <w:sz w:val="16"/>
              </w:rPr>
            </w:pPr>
            <w:r>
              <w:rPr>
                <w:sz w:val="16"/>
              </w:rPr>
              <w:t>Temp centred on Flowering [13.8–17.1</w:t>
            </w:r>
            <w:r>
              <w:rPr>
                <w:rFonts w:ascii="Meiryo UI" w:hAnsi="Meiryo UI"/>
                <w:i/>
                <w:sz w:val="16"/>
                <w:vertAlign w:val="superscript"/>
              </w:rPr>
              <w:t>◦</w:t>
            </w:r>
            <w:r>
              <w:rPr>
                <w:sz w:val="16"/>
                <w:vertAlign w:val="baseline"/>
              </w:rPr>
              <w:t>C] AND Temp post-Flowering</w:t>
            </w:r>
            <w:r>
              <w:rPr>
                <w:spacing w:val="40"/>
                <w:sz w:val="16"/>
                <w:vertAlign w:val="baseline"/>
              </w:rPr>
              <w:t> </w:t>
            </w:r>
            <w:r>
              <w:rPr>
                <w:sz w:val="16"/>
                <w:vertAlign w:val="baseline"/>
              </w:rPr>
              <w:t>[12.6–17.5</w:t>
            </w:r>
            <w:r>
              <w:rPr>
                <w:rFonts w:ascii="Meiryo UI" w:hAnsi="Meiryo UI"/>
                <w:i/>
                <w:sz w:val="16"/>
                <w:vertAlign w:val="superscript"/>
              </w:rPr>
              <w:t>◦</w:t>
            </w:r>
            <w:r>
              <w:rPr>
                <w:sz w:val="16"/>
                <w:vertAlign w:val="baseline"/>
              </w:rPr>
              <w:t>C] AND Wet-soil days post-Flowering prev.yr [17.5–20d]</w:t>
            </w:r>
          </w:p>
        </w:tc>
      </w:tr>
      <w:tr>
        <w:trPr>
          <w:trHeight w:val="528" w:hRule="atLeast"/>
        </w:trPr>
        <w:tc>
          <w:tcPr>
            <w:tcW w:w="470" w:type="dxa"/>
            <w:tcBorders>
              <w:right w:val="single" w:sz="4" w:space="0" w:color="000000"/>
            </w:tcBorders>
          </w:tcPr>
          <w:p>
            <w:pPr>
              <w:pStyle w:val="TableParagraph"/>
              <w:spacing w:before="51"/>
              <w:ind w:left="119"/>
              <w:rPr>
                <w:sz w:val="16"/>
              </w:rPr>
            </w:pPr>
            <w:r>
              <w:rPr>
                <w:spacing w:val="-10"/>
                <w:sz w:val="16"/>
              </w:rPr>
              <w:t>3</w:t>
            </w:r>
          </w:p>
        </w:tc>
        <w:tc>
          <w:tcPr>
            <w:tcW w:w="1098" w:type="dxa"/>
            <w:tcBorders>
              <w:left w:val="single" w:sz="4" w:space="0" w:color="000000"/>
              <w:right w:val="single" w:sz="4" w:space="0" w:color="000000"/>
            </w:tcBorders>
          </w:tcPr>
          <w:p>
            <w:pPr>
              <w:pStyle w:val="TableParagraph"/>
              <w:spacing w:before="51"/>
              <w:ind w:left="118"/>
              <w:rPr>
                <w:sz w:val="16"/>
              </w:rPr>
            </w:pPr>
            <w:r>
              <w:rPr>
                <w:spacing w:val="-2"/>
                <w:sz w:val="16"/>
              </w:rPr>
              <w:t>27.5%</w:t>
            </w:r>
          </w:p>
          <w:p>
            <w:pPr>
              <w:pStyle w:val="TableParagraph"/>
              <w:spacing w:before="45"/>
              <w:ind w:left="113"/>
              <w:rPr>
                <w:sz w:val="16"/>
              </w:rPr>
            </w:pPr>
            <w:r>
              <w:rPr>
                <w:sz w:val="16"/>
              </w:rPr>
              <w:t>(</w:t>
            </w:r>
            <w:r>
              <w:rPr>
                <w:spacing w:val="-2"/>
                <w:sz w:val="16"/>
              </w:rPr>
              <w:t> </w:t>
            </w:r>
            <w:r>
              <w:rPr>
                <w:spacing w:val="-4"/>
                <w:sz w:val="16"/>
              </w:rPr>
              <w:t>22yr)</w:t>
            </w:r>
          </w:p>
        </w:tc>
        <w:tc>
          <w:tcPr>
            <w:tcW w:w="928" w:type="dxa"/>
            <w:tcBorders>
              <w:left w:val="single" w:sz="4" w:space="0" w:color="000000"/>
              <w:right w:val="single" w:sz="4" w:space="0" w:color="000000"/>
            </w:tcBorders>
          </w:tcPr>
          <w:p>
            <w:pPr>
              <w:pStyle w:val="TableParagraph"/>
              <w:spacing w:before="51"/>
              <w:ind w:left="117"/>
              <w:rPr>
                <w:sz w:val="16"/>
              </w:rPr>
            </w:pPr>
            <w:r>
              <w:rPr>
                <w:spacing w:val="-2"/>
                <w:sz w:val="16"/>
              </w:rPr>
              <w:t>0.0294</w:t>
            </w:r>
          </w:p>
        </w:tc>
        <w:tc>
          <w:tcPr>
            <w:tcW w:w="985" w:type="dxa"/>
            <w:tcBorders>
              <w:left w:val="single" w:sz="4" w:space="0" w:color="000000"/>
              <w:right w:val="single" w:sz="4" w:space="0" w:color="000000"/>
            </w:tcBorders>
          </w:tcPr>
          <w:p>
            <w:pPr>
              <w:pStyle w:val="TableParagraph"/>
              <w:spacing w:before="51"/>
              <w:ind w:left="117"/>
              <w:rPr>
                <w:sz w:val="16"/>
              </w:rPr>
            </w:pPr>
            <w:r>
              <w:rPr>
                <w:spacing w:val="-2"/>
                <w:sz w:val="16"/>
              </w:rPr>
              <w:t>BELOW</w:t>
            </w:r>
          </w:p>
        </w:tc>
        <w:tc>
          <w:tcPr>
            <w:tcW w:w="1098" w:type="dxa"/>
            <w:tcBorders>
              <w:left w:val="single" w:sz="4" w:space="0" w:color="000000"/>
              <w:right w:val="single" w:sz="4" w:space="0" w:color="000000"/>
            </w:tcBorders>
          </w:tcPr>
          <w:p>
            <w:pPr>
              <w:pStyle w:val="TableParagraph"/>
              <w:spacing w:before="51"/>
              <w:ind w:left="116"/>
              <w:rPr>
                <w:sz w:val="16"/>
              </w:rPr>
            </w:pPr>
            <w:r>
              <w:rPr>
                <w:spacing w:val="-2"/>
                <w:sz w:val="16"/>
              </w:rPr>
              <w:t>-</w:t>
            </w:r>
            <w:r>
              <w:rPr>
                <w:spacing w:val="-5"/>
                <w:sz w:val="16"/>
              </w:rPr>
              <w:t>365</w:t>
            </w:r>
          </w:p>
        </w:tc>
        <w:tc>
          <w:tcPr>
            <w:tcW w:w="4892" w:type="dxa"/>
            <w:tcBorders>
              <w:left w:val="single" w:sz="4" w:space="0" w:color="000000"/>
            </w:tcBorders>
          </w:tcPr>
          <w:p>
            <w:pPr>
              <w:pStyle w:val="TableParagraph"/>
              <w:spacing w:line="230" w:lineRule="atLeast" w:before="5"/>
              <w:ind w:left="115"/>
              <w:rPr>
                <w:sz w:val="16"/>
              </w:rPr>
            </w:pPr>
            <w:r>
              <w:rPr>
                <w:sz w:val="16"/>
              </w:rPr>
              <w:t>Soil</w:t>
            </w:r>
            <w:r>
              <w:rPr>
                <w:spacing w:val="-4"/>
                <w:sz w:val="16"/>
              </w:rPr>
              <w:t> </w:t>
            </w:r>
            <w:r>
              <w:rPr>
                <w:sz w:val="16"/>
              </w:rPr>
              <w:t>water</w:t>
            </w:r>
            <w:r>
              <w:rPr>
                <w:spacing w:val="-4"/>
                <w:sz w:val="16"/>
              </w:rPr>
              <w:t> </w:t>
            </w:r>
            <w:r>
              <w:rPr>
                <w:sz w:val="16"/>
              </w:rPr>
              <w:t>post-Flowering</w:t>
            </w:r>
            <w:r>
              <w:rPr>
                <w:spacing w:val="-4"/>
                <w:sz w:val="16"/>
              </w:rPr>
              <w:t> </w:t>
            </w:r>
            <w:r>
              <w:rPr>
                <w:sz w:val="16"/>
              </w:rPr>
              <w:t>[143–234</w:t>
            </w:r>
            <w:r>
              <w:rPr>
                <w:spacing w:val="-4"/>
                <w:sz w:val="16"/>
              </w:rPr>
              <w:t> </w:t>
            </w:r>
            <w:r>
              <w:rPr>
                <w:sz w:val="16"/>
              </w:rPr>
              <w:t>mm]</w:t>
            </w:r>
            <w:r>
              <w:rPr>
                <w:spacing w:val="-4"/>
                <w:sz w:val="16"/>
              </w:rPr>
              <w:t> </w:t>
            </w:r>
            <w:r>
              <w:rPr>
                <w:sz w:val="16"/>
              </w:rPr>
              <w:t>AND</w:t>
            </w:r>
            <w:r>
              <w:rPr>
                <w:spacing w:val="-4"/>
                <w:sz w:val="16"/>
              </w:rPr>
              <w:t> </w:t>
            </w:r>
            <w:r>
              <w:rPr>
                <w:sz w:val="16"/>
              </w:rPr>
              <w:t>Heat</w:t>
            </w:r>
            <w:r>
              <w:rPr>
                <w:spacing w:val="-4"/>
                <w:sz w:val="16"/>
              </w:rPr>
              <w:t> </w:t>
            </w:r>
            <w:r>
              <w:rPr>
                <w:sz w:val="16"/>
              </w:rPr>
              <w:t>days</w:t>
            </w:r>
            <w:r>
              <w:rPr>
                <w:spacing w:val="-4"/>
                <w:sz w:val="16"/>
              </w:rPr>
              <w:t> </w:t>
            </w:r>
            <w:r>
              <w:rPr>
                <w:sz w:val="16"/>
              </w:rPr>
              <w:t>post-Maturity</w:t>
            </w:r>
            <w:r>
              <w:rPr>
                <w:spacing w:val="40"/>
                <w:sz w:val="16"/>
              </w:rPr>
              <w:t> </w:t>
            </w:r>
            <w:r>
              <w:rPr>
                <w:spacing w:val="-2"/>
                <w:sz w:val="16"/>
              </w:rPr>
              <w:t>[0–2.4d]</w:t>
            </w:r>
          </w:p>
        </w:tc>
      </w:tr>
      <w:tr>
        <w:trPr>
          <w:trHeight w:val="528" w:hRule="atLeast"/>
        </w:trPr>
        <w:tc>
          <w:tcPr>
            <w:tcW w:w="470" w:type="dxa"/>
            <w:tcBorders>
              <w:right w:val="single" w:sz="4" w:space="0" w:color="000000"/>
            </w:tcBorders>
          </w:tcPr>
          <w:p>
            <w:pPr>
              <w:pStyle w:val="TableParagraph"/>
              <w:spacing w:before="51"/>
              <w:ind w:left="119"/>
              <w:rPr>
                <w:sz w:val="16"/>
              </w:rPr>
            </w:pPr>
            <w:r>
              <w:rPr>
                <w:spacing w:val="-10"/>
                <w:sz w:val="16"/>
              </w:rPr>
              <w:t>4</w:t>
            </w:r>
          </w:p>
        </w:tc>
        <w:tc>
          <w:tcPr>
            <w:tcW w:w="1098" w:type="dxa"/>
            <w:tcBorders>
              <w:left w:val="single" w:sz="4" w:space="0" w:color="000000"/>
              <w:right w:val="single" w:sz="4" w:space="0" w:color="000000"/>
            </w:tcBorders>
          </w:tcPr>
          <w:p>
            <w:pPr>
              <w:pStyle w:val="TableParagraph"/>
              <w:spacing w:before="51"/>
              <w:ind w:left="118"/>
              <w:rPr>
                <w:sz w:val="16"/>
              </w:rPr>
            </w:pPr>
            <w:r>
              <w:rPr>
                <w:spacing w:val="-2"/>
                <w:sz w:val="16"/>
              </w:rPr>
              <w:t>25.0%</w:t>
            </w:r>
          </w:p>
          <w:p>
            <w:pPr>
              <w:pStyle w:val="TableParagraph"/>
              <w:spacing w:before="45"/>
              <w:ind w:left="113"/>
              <w:rPr>
                <w:sz w:val="16"/>
              </w:rPr>
            </w:pPr>
            <w:r>
              <w:rPr>
                <w:sz w:val="16"/>
              </w:rPr>
              <w:t>(</w:t>
            </w:r>
            <w:r>
              <w:rPr>
                <w:spacing w:val="-2"/>
                <w:sz w:val="16"/>
              </w:rPr>
              <w:t> </w:t>
            </w:r>
            <w:r>
              <w:rPr>
                <w:spacing w:val="-4"/>
                <w:sz w:val="16"/>
              </w:rPr>
              <w:t>20yr)</w:t>
            </w:r>
          </w:p>
        </w:tc>
        <w:tc>
          <w:tcPr>
            <w:tcW w:w="928" w:type="dxa"/>
            <w:tcBorders>
              <w:left w:val="single" w:sz="4" w:space="0" w:color="000000"/>
              <w:right w:val="single" w:sz="4" w:space="0" w:color="000000"/>
            </w:tcBorders>
          </w:tcPr>
          <w:p>
            <w:pPr>
              <w:pStyle w:val="TableParagraph"/>
              <w:spacing w:before="51"/>
              <w:ind w:left="117"/>
              <w:rPr>
                <w:sz w:val="16"/>
              </w:rPr>
            </w:pPr>
            <w:r>
              <w:rPr>
                <w:spacing w:val="-2"/>
                <w:sz w:val="16"/>
              </w:rPr>
              <w:t>0.0298</w:t>
            </w:r>
          </w:p>
        </w:tc>
        <w:tc>
          <w:tcPr>
            <w:tcW w:w="985" w:type="dxa"/>
            <w:tcBorders>
              <w:left w:val="single" w:sz="4" w:space="0" w:color="000000"/>
              <w:right w:val="single" w:sz="4" w:space="0" w:color="000000"/>
            </w:tcBorders>
          </w:tcPr>
          <w:p>
            <w:pPr>
              <w:pStyle w:val="TableParagraph"/>
              <w:spacing w:before="51"/>
              <w:ind w:left="117"/>
              <w:rPr>
                <w:sz w:val="16"/>
              </w:rPr>
            </w:pPr>
            <w:r>
              <w:rPr>
                <w:spacing w:val="-4"/>
                <w:sz w:val="16"/>
              </w:rPr>
              <w:t>ABOVE</w:t>
            </w:r>
          </w:p>
        </w:tc>
        <w:tc>
          <w:tcPr>
            <w:tcW w:w="1098" w:type="dxa"/>
            <w:tcBorders>
              <w:left w:val="single" w:sz="4" w:space="0" w:color="000000"/>
              <w:right w:val="single" w:sz="4" w:space="0" w:color="000000"/>
            </w:tcBorders>
          </w:tcPr>
          <w:p>
            <w:pPr>
              <w:pStyle w:val="TableParagraph"/>
              <w:spacing w:before="51"/>
              <w:ind w:left="116"/>
              <w:rPr>
                <w:sz w:val="16"/>
              </w:rPr>
            </w:pPr>
            <w:r>
              <w:rPr>
                <w:spacing w:val="-4"/>
                <w:sz w:val="16"/>
              </w:rPr>
              <w:t>+311</w:t>
            </w:r>
          </w:p>
        </w:tc>
        <w:tc>
          <w:tcPr>
            <w:tcW w:w="4892" w:type="dxa"/>
            <w:tcBorders>
              <w:left w:val="single" w:sz="4" w:space="0" w:color="000000"/>
            </w:tcBorders>
          </w:tcPr>
          <w:p>
            <w:pPr>
              <w:pStyle w:val="TableParagraph"/>
              <w:spacing w:line="252" w:lineRule="auto" w:before="3"/>
              <w:ind w:left="115"/>
              <w:rPr>
                <w:sz w:val="16"/>
              </w:rPr>
            </w:pPr>
            <w:r>
              <w:rPr>
                <w:spacing w:val="-2"/>
                <w:sz w:val="16"/>
              </w:rPr>
              <w:t>Temp</w:t>
            </w:r>
            <w:r>
              <w:rPr>
                <w:spacing w:val="-8"/>
                <w:sz w:val="16"/>
              </w:rPr>
              <w:t> </w:t>
            </w:r>
            <w:r>
              <w:rPr>
                <w:spacing w:val="-2"/>
                <w:sz w:val="16"/>
              </w:rPr>
              <w:t>post-Budburst</w:t>
            </w:r>
            <w:r>
              <w:rPr>
                <w:spacing w:val="-8"/>
                <w:sz w:val="16"/>
              </w:rPr>
              <w:t> </w:t>
            </w:r>
            <w:r>
              <w:rPr>
                <w:spacing w:val="-2"/>
                <w:sz w:val="16"/>
              </w:rPr>
              <w:t>prev.yr</w:t>
            </w:r>
            <w:r>
              <w:rPr>
                <w:spacing w:val="-8"/>
                <w:sz w:val="16"/>
              </w:rPr>
              <w:t> </w:t>
            </w:r>
            <w:r>
              <w:rPr>
                <w:spacing w:val="-2"/>
                <w:sz w:val="16"/>
              </w:rPr>
              <w:t>[11.2–13.5</w:t>
            </w:r>
            <w:r>
              <w:rPr>
                <w:rFonts w:ascii="Meiryo UI" w:hAnsi="Meiryo UI"/>
                <w:i/>
                <w:spacing w:val="-2"/>
                <w:sz w:val="16"/>
                <w:vertAlign w:val="superscript"/>
              </w:rPr>
              <w:t>◦</w:t>
            </w:r>
            <w:r>
              <w:rPr>
                <w:spacing w:val="-2"/>
                <w:sz w:val="16"/>
                <w:vertAlign w:val="baseline"/>
              </w:rPr>
              <w:t>C]</w:t>
            </w:r>
            <w:r>
              <w:rPr>
                <w:spacing w:val="-8"/>
                <w:sz w:val="16"/>
                <w:vertAlign w:val="baseline"/>
              </w:rPr>
              <w:t> </w:t>
            </w:r>
            <w:r>
              <w:rPr>
                <w:spacing w:val="-2"/>
                <w:sz w:val="16"/>
                <w:vertAlign w:val="baseline"/>
              </w:rPr>
              <w:t>AND</w:t>
            </w:r>
            <w:r>
              <w:rPr>
                <w:spacing w:val="-8"/>
                <w:sz w:val="16"/>
                <w:vertAlign w:val="baseline"/>
              </w:rPr>
              <w:t> </w:t>
            </w:r>
            <w:r>
              <w:rPr>
                <w:spacing w:val="-2"/>
                <w:sz w:val="16"/>
                <w:vertAlign w:val="baseline"/>
              </w:rPr>
              <w:t>Cold</w:t>
            </w:r>
            <w:r>
              <w:rPr>
                <w:spacing w:val="-8"/>
                <w:sz w:val="16"/>
                <w:vertAlign w:val="baseline"/>
              </w:rPr>
              <w:t> </w:t>
            </w:r>
            <w:r>
              <w:rPr>
                <w:spacing w:val="-2"/>
                <w:sz w:val="16"/>
                <w:vertAlign w:val="baseline"/>
              </w:rPr>
              <w:t>days</w:t>
            </w:r>
            <w:r>
              <w:rPr>
                <w:spacing w:val="-8"/>
                <w:sz w:val="16"/>
                <w:vertAlign w:val="baseline"/>
              </w:rPr>
              <w:t> </w:t>
            </w:r>
            <w:r>
              <w:rPr>
                <w:spacing w:val="-2"/>
                <w:sz w:val="16"/>
                <w:vertAlign w:val="baseline"/>
              </w:rPr>
              <w:t>centred</w:t>
            </w:r>
            <w:r>
              <w:rPr>
                <w:spacing w:val="-8"/>
                <w:sz w:val="16"/>
                <w:vertAlign w:val="baseline"/>
              </w:rPr>
              <w:t> </w:t>
            </w:r>
            <w:r>
              <w:rPr>
                <w:spacing w:val="-2"/>
                <w:sz w:val="16"/>
                <w:vertAlign w:val="baseline"/>
              </w:rPr>
              <w:t>Flow-</w:t>
            </w:r>
            <w:r>
              <w:rPr>
                <w:sz w:val="16"/>
                <w:vertAlign w:val="baseline"/>
              </w:rPr>
              <w:t>ering [0–3.4d] AND Heat days post-Flowering [0–1.1d]</w:t>
            </w:r>
          </w:p>
        </w:tc>
      </w:tr>
      <w:tr>
        <w:trPr>
          <w:trHeight w:val="528" w:hRule="atLeast"/>
        </w:trPr>
        <w:tc>
          <w:tcPr>
            <w:tcW w:w="470" w:type="dxa"/>
            <w:tcBorders>
              <w:right w:val="single" w:sz="4" w:space="0" w:color="000000"/>
            </w:tcBorders>
          </w:tcPr>
          <w:p>
            <w:pPr>
              <w:pStyle w:val="TableParagraph"/>
              <w:spacing w:before="51"/>
              <w:ind w:left="119"/>
              <w:rPr>
                <w:sz w:val="16"/>
              </w:rPr>
            </w:pPr>
            <w:r>
              <w:rPr>
                <w:spacing w:val="-10"/>
                <w:sz w:val="16"/>
              </w:rPr>
              <w:t>5</w:t>
            </w:r>
          </w:p>
        </w:tc>
        <w:tc>
          <w:tcPr>
            <w:tcW w:w="1098" w:type="dxa"/>
            <w:tcBorders>
              <w:left w:val="single" w:sz="4" w:space="0" w:color="000000"/>
              <w:right w:val="single" w:sz="4" w:space="0" w:color="000000"/>
            </w:tcBorders>
          </w:tcPr>
          <w:p>
            <w:pPr>
              <w:pStyle w:val="TableParagraph"/>
              <w:spacing w:before="51"/>
              <w:ind w:left="118"/>
              <w:rPr>
                <w:sz w:val="16"/>
              </w:rPr>
            </w:pPr>
            <w:r>
              <w:rPr>
                <w:spacing w:val="-2"/>
                <w:sz w:val="16"/>
              </w:rPr>
              <w:t>23.8%</w:t>
            </w:r>
          </w:p>
          <w:p>
            <w:pPr>
              <w:pStyle w:val="TableParagraph"/>
              <w:spacing w:before="45"/>
              <w:ind w:left="113"/>
              <w:rPr>
                <w:sz w:val="16"/>
              </w:rPr>
            </w:pPr>
            <w:r>
              <w:rPr>
                <w:sz w:val="16"/>
              </w:rPr>
              <w:t>(</w:t>
            </w:r>
            <w:r>
              <w:rPr>
                <w:spacing w:val="-2"/>
                <w:sz w:val="16"/>
              </w:rPr>
              <w:t> </w:t>
            </w:r>
            <w:r>
              <w:rPr>
                <w:spacing w:val="-4"/>
                <w:sz w:val="16"/>
              </w:rPr>
              <w:t>19yr)</w:t>
            </w:r>
          </w:p>
        </w:tc>
        <w:tc>
          <w:tcPr>
            <w:tcW w:w="928" w:type="dxa"/>
            <w:tcBorders>
              <w:left w:val="single" w:sz="4" w:space="0" w:color="000000"/>
              <w:right w:val="single" w:sz="4" w:space="0" w:color="000000"/>
            </w:tcBorders>
          </w:tcPr>
          <w:p>
            <w:pPr>
              <w:pStyle w:val="TableParagraph"/>
              <w:spacing w:before="51"/>
              <w:ind w:left="117"/>
              <w:rPr>
                <w:sz w:val="16"/>
              </w:rPr>
            </w:pPr>
            <w:r>
              <w:rPr>
                <w:spacing w:val="-2"/>
                <w:sz w:val="16"/>
              </w:rPr>
              <w:t>0.0299</w:t>
            </w:r>
          </w:p>
        </w:tc>
        <w:tc>
          <w:tcPr>
            <w:tcW w:w="985" w:type="dxa"/>
            <w:tcBorders>
              <w:left w:val="single" w:sz="4" w:space="0" w:color="000000"/>
              <w:right w:val="single" w:sz="4" w:space="0" w:color="000000"/>
            </w:tcBorders>
          </w:tcPr>
          <w:p>
            <w:pPr>
              <w:pStyle w:val="TableParagraph"/>
              <w:spacing w:before="51"/>
              <w:ind w:left="117"/>
              <w:rPr>
                <w:sz w:val="16"/>
              </w:rPr>
            </w:pPr>
            <w:r>
              <w:rPr>
                <w:spacing w:val="-2"/>
                <w:sz w:val="16"/>
              </w:rPr>
              <w:t>BELOW</w:t>
            </w:r>
          </w:p>
        </w:tc>
        <w:tc>
          <w:tcPr>
            <w:tcW w:w="1098" w:type="dxa"/>
            <w:tcBorders>
              <w:left w:val="single" w:sz="4" w:space="0" w:color="000000"/>
              <w:right w:val="single" w:sz="4" w:space="0" w:color="000000"/>
            </w:tcBorders>
          </w:tcPr>
          <w:p>
            <w:pPr>
              <w:pStyle w:val="TableParagraph"/>
              <w:spacing w:before="51"/>
              <w:ind w:left="116"/>
              <w:rPr>
                <w:sz w:val="16"/>
              </w:rPr>
            </w:pPr>
            <w:r>
              <w:rPr>
                <w:spacing w:val="-2"/>
                <w:sz w:val="16"/>
              </w:rPr>
              <w:t>-</w:t>
            </w:r>
            <w:r>
              <w:rPr>
                <w:spacing w:val="-5"/>
                <w:sz w:val="16"/>
              </w:rPr>
              <w:t>292</w:t>
            </w:r>
          </w:p>
        </w:tc>
        <w:tc>
          <w:tcPr>
            <w:tcW w:w="4892" w:type="dxa"/>
            <w:tcBorders>
              <w:left w:val="single" w:sz="4" w:space="0" w:color="000000"/>
            </w:tcBorders>
          </w:tcPr>
          <w:p>
            <w:pPr>
              <w:pStyle w:val="TableParagraph"/>
              <w:spacing w:before="3"/>
              <w:ind w:left="115"/>
              <w:rPr>
                <w:sz w:val="16"/>
              </w:rPr>
            </w:pPr>
            <w:r>
              <w:rPr>
                <w:sz w:val="16"/>
              </w:rPr>
              <w:t>Temp</w:t>
            </w:r>
            <w:r>
              <w:rPr>
                <w:spacing w:val="2"/>
                <w:sz w:val="16"/>
              </w:rPr>
              <w:t> </w:t>
            </w:r>
            <w:r>
              <w:rPr>
                <w:sz w:val="16"/>
              </w:rPr>
              <w:t>post-Flowering</w:t>
            </w:r>
            <w:r>
              <w:rPr>
                <w:spacing w:val="3"/>
                <w:sz w:val="16"/>
              </w:rPr>
              <w:t> </w:t>
            </w:r>
            <w:r>
              <w:rPr>
                <w:sz w:val="16"/>
              </w:rPr>
              <w:t>[12.6–17.5</w:t>
            </w:r>
            <w:r>
              <w:rPr>
                <w:rFonts w:ascii="Meiryo UI" w:hAnsi="Meiryo UI"/>
                <w:i/>
                <w:sz w:val="16"/>
                <w:vertAlign w:val="superscript"/>
              </w:rPr>
              <w:t>◦</w:t>
            </w:r>
            <w:r>
              <w:rPr>
                <w:sz w:val="16"/>
                <w:vertAlign w:val="baseline"/>
              </w:rPr>
              <w:t>C]</w:t>
            </w:r>
            <w:r>
              <w:rPr>
                <w:spacing w:val="2"/>
                <w:sz w:val="16"/>
                <w:vertAlign w:val="baseline"/>
              </w:rPr>
              <w:t> </w:t>
            </w:r>
            <w:r>
              <w:rPr>
                <w:sz w:val="16"/>
                <w:vertAlign w:val="baseline"/>
              </w:rPr>
              <w:t>AND</w:t>
            </w:r>
            <w:r>
              <w:rPr>
                <w:spacing w:val="3"/>
                <w:sz w:val="16"/>
                <w:vertAlign w:val="baseline"/>
              </w:rPr>
              <w:t> </w:t>
            </w:r>
            <w:r>
              <w:rPr>
                <w:sz w:val="16"/>
                <w:vertAlign w:val="baseline"/>
              </w:rPr>
              <w:t>Heat</w:t>
            </w:r>
            <w:r>
              <w:rPr>
                <w:spacing w:val="3"/>
                <w:sz w:val="16"/>
                <w:vertAlign w:val="baseline"/>
              </w:rPr>
              <w:t> </w:t>
            </w:r>
            <w:r>
              <w:rPr>
                <w:sz w:val="16"/>
                <w:vertAlign w:val="baseline"/>
              </w:rPr>
              <w:t>days</w:t>
            </w:r>
            <w:r>
              <w:rPr>
                <w:spacing w:val="2"/>
                <w:sz w:val="16"/>
                <w:vertAlign w:val="baseline"/>
              </w:rPr>
              <w:t> </w:t>
            </w:r>
            <w:r>
              <w:rPr>
                <w:sz w:val="16"/>
                <w:vertAlign w:val="baseline"/>
              </w:rPr>
              <w:t>post-Maturity</w:t>
            </w:r>
            <w:r>
              <w:rPr>
                <w:spacing w:val="3"/>
                <w:sz w:val="16"/>
                <w:vertAlign w:val="baseline"/>
              </w:rPr>
              <w:t> </w:t>
            </w:r>
            <w:r>
              <w:rPr>
                <w:spacing w:val="-5"/>
                <w:sz w:val="16"/>
                <w:vertAlign w:val="baseline"/>
              </w:rPr>
              <w:t>[0–</w:t>
            </w:r>
          </w:p>
          <w:p>
            <w:pPr>
              <w:pStyle w:val="TableParagraph"/>
              <w:spacing w:before="13"/>
              <w:ind w:left="115"/>
              <w:rPr>
                <w:sz w:val="16"/>
              </w:rPr>
            </w:pPr>
            <w:r>
              <w:rPr>
                <w:spacing w:val="-2"/>
                <w:sz w:val="16"/>
              </w:rPr>
              <w:t>2.4d]</w:t>
            </w:r>
            <w:r>
              <w:rPr>
                <w:spacing w:val="3"/>
                <w:sz w:val="16"/>
              </w:rPr>
              <w:t> </w:t>
            </w:r>
            <w:r>
              <w:rPr>
                <w:spacing w:val="-2"/>
                <w:sz w:val="16"/>
              </w:rPr>
              <w:t>AND</w:t>
            </w:r>
            <w:r>
              <w:rPr>
                <w:spacing w:val="4"/>
                <w:sz w:val="16"/>
              </w:rPr>
              <w:t> </w:t>
            </w:r>
            <w:r>
              <w:rPr>
                <w:spacing w:val="-2"/>
                <w:sz w:val="16"/>
              </w:rPr>
              <w:t>Wet-soil</w:t>
            </w:r>
            <w:r>
              <w:rPr>
                <w:spacing w:val="4"/>
                <w:sz w:val="16"/>
              </w:rPr>
              <w:t> </w:t>
            </w:r>
            <w:r>
              <w:rPr>
                <w:spacing w:val="-2"/>
                <w:sz w:val="16"/>
              </w:rPr>
              <w:t>days</w:t>
            </w:r>
            <w:r>
              <w:rPr>
                <w:spacing w:val="3"/>
                <w:sz w:val="16"/>
              </w:rPr>
              <w:t> </w:t>
            </w:r>
            <w:r>
              <w:rPr>
                <w:spacing w:val="-2"/>
                <w:sz w:val="16"/>
              </w:rPr>
              <w:t>post-Flowering</w:t>
            </w:r>
            <w:r>
              <w:rPr>
                <w:spacing w:val="4"/>
                <w:sz w:val="16"/>
              </w:rPr>
              <w:t> </w:t>
            </w:r>
            <w:r>
              <w:rPr>
                <w:spacing w:val="-2"/>
                <w:sz w:val="16"/>
              </w:rPr>
              <w:t>prev.yr</w:t>
            </w:r>
            <w:r>
              <w:rPr>
                <w:spacing w:val="4"/>
                <w:sz w:val="16"/>
              </w:rPr>
              <w:t> </w:t>
            </w:r>
            <w:r>
              <w:rPr>
                <w:spacing w:val="-2"/>
                <w:sz w:val="16"/>
              </w:rPr>
              <w:t>[17.5–</w:t>
            </w:r>
            <w:r>
              <w:rPr>
                <w:spacing w:val="-4"/>
                <w:sz w:val="16"/>
              </w:rPr>
              <w:t>20d]</w:t>
            </w:r>
          </w:p>
        </w:tc>
      </w:tr>
      <w:tr>
        <w:trPr>
          <w:trHeight w:val="528" w:hRule="atLeast"/>
        </w:trPr>
        <w:tc>
          <w:tcPr>
            <w:tcW w:w="470" w:type="dxa"/>
            <w:tcBorders>
              <w:right w:val="single" w:sz="4" w:space="0" w:color="000000"/>
            </w:tcBorders>
          </w:tcPr>
          <w:p>
            <w:pPr>
              <w:pStyle w:val="TableParagraph"/>
              <w:spacing w:before="51"/>
              <w:ind w:left="119"/>
              <w:rPr>
                <w:sz w:val="16"/>
              </w:rPr>
            </w:pPr>
            <w:r>
              <w:rPr>
                <w:spacing w:val="-10"/>
                <w:sz w:val="16"/>
              </w:rPr>
              <w:t>6</w:t>
            </w:r>
          </w:p>
        </w:tc>
        <w:tc>
          <w:tcPr>
            <w:tcW w:w="1098" w:type="dxa"/>
            <w:tcBorders>
              <w:left w:val="single" w:sz="4" w:space="0" w:color="000000"/>
              <w:right w:val="single" w:sz="4" w:space="0" w:color="000000"/>
            </w:tcBorders>
          </w:tcPr>
          <w:p>
            <w:pPr>
              <w:pStyle w:val="TableParagraph"/>
              <w:spacing w:before="51"/>
              <w:ind w:left="118"/>
              <w:rPr>
                <w:sz w:val="16"/>
              </w:rPr>
            </w:pPr>
            <w:r>
              <w:rPr>
                <w:spacing w:val="-2"/>
                <w:sz w:val="16"/>
              </w:rPr>
              <w:t>26.2%</w:t>
            </w:r>
          </w:p>
          <w:p>
            <w:pPr>
              <w:pStyle w:val="TableParagraph"/>
              <w:spacing w:before="45"/>
              <w:ind w:left="113"/>
              <w:rPr>
                <w:sz w:val="16"/>
              </w:rPr>
            </w:pPr>
            <w:r>
              <w:rPr>
                <w:sz w:val="16"/>
              </w:rPr>
              <w:t>(</w:t>
            </w:r>
            <w:r>
              <w:rPr>
                <w:spacing w:val="-2"/>
                <w:sz w:val="16"/>
              </w:rPr>
              <w:t> </w:t>
            </w:r>
            <w:r>
              <w:rPr>
                <w:spacing w:val="-4"/>
                <w:sz w:val="16"/>
              </w:rPr>
              <w:t>21yr)</w:t>
            </w:r>
          </w:p>
        </w:tc>
        <w:tc>
          <w:tcPr>
            <w:tcW w:w="928" w:type="dxa"/>
            <w:tcBorders>
              <w:left w:val="single" w:sz="4" w:space="0" w:color="000000"/>
              <w:right w:val="single" w:sz="4" w:space="0" w:color="000000"/>
            </w:tcBorders>
          </w:tcPr>
          <w:p>
            <w:pPr>
              <w:pStyle w:val="TableParagraph"/>
              <w:spacing w:before="51"/>
              <w:ind w:left="117"/>
              <w:rPr>
                <w:sz w:val="16"/>
              </w:rPr>
            </w:pPr>
            <w:r>
              <w:rPr>
                <w:spacing w:val="-2"/>
                <w:sz w:val="16"/>
              </w:rPr>
              <w:t>0.0356</w:t>
            </w:r>
          </w:p>
        </w:tc>
        <w:tc>
          <w:tcPr>
            <w:tcW w:w="985" w:type="dxa"/>
            <w:tcBorders>
              <w:left w:val="single" w:sz="4" w:space="0" w:color="000000"/>
              <w:right w:val="single" w:sz="4" w:space="0" w:color="000000"/>
            </w:tcBorders>
          </w:tcPr>
          <w:p>
            <w:pPr>
              <w:pStyle w:val="TableParagraph"/>
              <w:spacing w:before="51"/>
              <w:ind w:left="117"/>
              <w:rPr>
                <w:sz w:val="16"/>
              </w:rPr>
            </w:pPr>
            <w:r>
              <w:rPr>
                <w:spacing w:val="-2"/>
                <w:sz w:val="16"/>
              </w:rPr>
              <w:t>BELOW</w:t>
            </w:r>
          </w:p>
        </w:tc>
        <w:tc>
          <w:tcPr>
            <w:tcW w:w="1098" w:type="dxa"/>
            <w:tcBorders>
              <w:left w:val="single" w:sz="4" w:space="0" w:color="000000"/>
              <w:right w:val="single" w:sz="4" w:space="0" w:color="000000"/>
            </w:tcBorders>
          </w:tcPr>
          <w:p>
            <w:pPr>
              <w:pStyle w:val="TableParagraph"/>
              <w:spacing w:before="51"/>
              <w:ind w:left="116"/>
              <w:rPr>
                <w:sz w:val="16"/>
              </w:rPr>
            </w:pPr>
            <w:r>
              <w:rPr>
                <w:spacing w:val="-2"/>
                <w:sz w:val="16"/>
              </w:rPr>
              <w:t>-</w:t>
            </w:r>
            <w:r>
              <w:rPr>
                <w:spacing w:val="-5"/>
                <w:sz w:val="16"/>
              </w:rPr>
              <w:t>387</w:t>
            </w:r>
          </w:p>
        </w:tc>
        <w:tc>
          <w:tcPr>
            <w:tcW w:w="4892" w:type="dxa"/>
            <w:tcBorders>
              <w:left w:val="single" w:sz="4" w:space="0" w:color="000000"/>
            </w:tcBorders>
          </w:tcPr>
          <w:p>
            <w:pPr>
              <w:pStyle w:val="TableParagraph"/>
              <w:spacing w:line="230" w:lineRule="atLeast" w:before="5"/>
              <w:ind w:left="115"/>
              <w:rPr>
                <w:sz w:val="16"/>
              </w:rPr>
            </w:pPr>
            <w:r>
              <w:rPr>
                <w:sz w:val="16"/>
              </w:rPr>
              <w:t>Rainfall</w:t>
            </w:r>
            <w:r>
              <w:rPr>
                <w:spacing w:val="-10"/>
                <w:sz w:val="16"/>
              </w:rPr>
              <w:t> </w:t>
            </w:r>
            <w:r>
              <w:rPr>
                <w:sz w:val="16"/>
              </w:rPr>
              <w:t>post-Flowering</w:t>
            </w:r>
            <w:r>
              <w:rPr>
                <w:spacing w:val="-10"/>
                <w:sz w:val="16"/>
              </w:rPr>
              <w:t> </w:t>
            </w:r>
            <w:r>
              <w:rPr>
                <w:sz w:val="16"/>
              </w:rPr>
              <w:t>[20.7–121</w:t>
            </w:r>
            <w:r>
              <w:rPr>
                <w:spacing w:val="-10"/>
                <w:sz w:val="16"/>
              </w:rPr>
              <w:t> </w:t>
            </w:r>
            <w:r>
              <w:rPr>
                <w:sz w:val="16"/>
              </w:rPr>
              <w:t>mm]</w:t>
            </w:r>
            <w:r>
              <w:rPr>
                <w:spacing w:val="-10"/>
                <w:sz w:val="16"/>
              </w:rPr>
              <w:t> </w:t>
            </w:r>
            <w:r>
              <w:rPr>
                <w:sz w:val="16"/>
              </w:rPr>
              <w:t>AND</w:t>
            </w:r>
            <w:r>
              <w:rPr>
                <w:spacing w:val="-10"/>
                <w:sz w:val="16"/>
              </w:rPr>
              <w:t> </w:t>
            </w:r>
            <w:r>
              <w:rPr>
                <w:sz w:val="16"/>
              </w:rPr>
              <w:t>LAI</w:t>
            </w:r>
            <w:r>
              <w:rPr>
                <w:spacing w:val="-10"/>
                <w:sz w:val="16"/>
              </w:rPr>
              <w:t> </w:t>
            </w:r>
            <w:r>
              <w:rPr>
                <w:sz w:val="16"/>
              </w:rPr>
              <w:t>at</w:t>
            </w:r>
            <w:r>
              <w:rPr>
                <w:spacing w:val="-10"/>
                <w:sz w:val="16"/>
              </w:rPr>
              <w:t> </w:t>
            </w:r>
            <w:r>
              <w:rPr>
                <w:sz w:val="16"/>
              </w:rPr>
              <w:t>Harvest</w:t>
            </w:r>
            <w:r>
              <w:rPr>
                <w:spacing w:val="-10"/>
                <w:sz w:val="16"/>
              </w:rPr>
              <w:t> </w:t>
            </w:r>
            <w:r>
              <w:rPr>
                <w:sz w:val="16"/>
              </w:rPr>
              <w:t>[1.29–2.52</w:t>
            </w:r>
            <w:r>
              <w:rPr>
                <w:spacing w:val="40"/>
                <w:sz w:val="16"/>
              </w:rPr>
              <w:t> </w:t>
            </w:r>
            <w:r>
              <w:rPr>
                <w:sz w:val="16"/>
              </w:rPr>
              <w:t>m</w:t>
            </w:r>
            <w:r>
              <w:rPr>
                <w:sz w:val="16"/>
                <w:vertAlign w:val="superscript"/>
              </w:rPr>
              <w:t>2</w:t>
            </w:r>
            <w:r>
              <w:rPr>
                <w:sz w:val="16"/>
                <w:vertAlign w:val="baseline"/>
              </w:rPr>
              <w:t>/m</w:t>
            </w:r>
            <w:r>
              <w:rPr>
                <w:sz w:val="16"/>
                <w:vertAlign w:val="superscript"/>
              </w:rPr>
              <w:t>2</w:t>
            </w:r>
            <w:r>
              <w:rPr>
                <w:sz w:val="16"/>
                <w:vertAlign w:val="baseline"/>
              </w:rPr>
              <w:t>] AND Heat days post-Flowering [0–1.3d]</w:t>
            </w:r>
          </w:p>
        </w:tc>
      </w:tr>
      <w:tr>
        <w:trPr>
          <w:trHeight w:val="528" w:hRule="atLeast"/>
        </w:trPr>
        <w:tc>
          <w:tcPr>
            <w:tcW w:w="470" w:type="dxa"/>
            <w:tcBorders>
              <w:right w:val="single" w:sz="4" w:space="0" w:color="000000"/>
            </w:tcBorders>
          </w:tcPr>
          <w:p>
            <w:pPr>
              <w:pStyle w:val="TableParagraph"/>
              <w:spacing w:before="51"/>
              <w:ind w:left="119"/>
              <w:rPr>
                <w:sz w:val="16"/>
              </w:rPr>
            </w:pPr>
            <w:r>
              <w:rPr>
                <w:spacing w:val="-10"/>
                <w:sz w:val="16"/>
              </w:rPr>
              <w:t>7</w:t>
            </w:r>
          </w:p>
        </w:tc>
        <w:tc>
          <w:tcPr>
            <w:tcW w:w="1098" w:type="dxa"/>
            <w:tcBorders>
              <w:left w:val="single" w:sz="4" w:space="0" w:color="000000"/>
              <w:right w:val="single" w:sz="4" w:space="0" w:color="000000"/>
            </w:tcBorders>
          </w:tcPr>
          <w:p>
            <w:pPr>
              <w:pStyle w:val="TableParagraph"/>
              <w:spacing w:before="51"/>
              <w:ind w:left="118"/>
              <w:rPr>
                <w:sz w:val="16"/>
              </w:rPr>
            </w:pPr>
            <w:r>
              <w:rPr>
                <w:spacing w:val="-2"/>
                <w:sz w:val="16"/>
              </w:rPr>
              <w:t>26.2%</w:t>
            </w:r>
          </w:p>
          <w:p>
            <w:pPr>
              <w:pStyle w:val="TableParagraph"/>
              <w:spacing w:before="45"/>
              <w:ind w:left="113"/>
              <w:rPr>
                <w:sz w:val="16"/>
              </w:rPr>
            </w:pPr>
            <w:r>
              <w:rPr>
                <w:sz w:val="16"/>
              </w:rPr>
              <w:t>(</w:t>
            </w:r>
            <w:r>
              <w:rPr>
                <w:spacing w:val="-2"/>
                <w:sz w:val="16"/>
              </w:rPr>
              <w:t> </w:t>
            </w:r>
            <w:r>
              <w:rPr>
                <w:spacing w:val="-4"/>
                <w:sz w:val="16"/>
              </w:rPr>
              <w:t>21yr)</w:t>
            </w:r>
          </w:p>
        </w:tc>
        <w:tc>
          <w:tcPr>
            <w:tcW w:w="928" w:type="dxa"/>
            <w:tcBorders>
              <w:left w:val="single" w:sz="4" w:space="0" w:color="000000"/>
              <w:right w:val="single" w:sz="4" w:space="0" w:color="000000"/>
            </w:tcBorders>
          </w:tcPr>
          <w:p>
            <w:pPr>
              <w:pStyle w:val="TableParagraph"/>
              <w:spacing w:before="51"/>
              <w:ind w:left="117"/>
              <w:rPr>
                <w:sz w:val="16"/>
              </w:rPr>
            </w:pPr>
            <w:r>
              <w:rPr>
                <w:spacing w:val="-2"/>
                <w:sz w:val="16"/>
              </w:rPr>
              <w:t>0.0356</w:t>
            </w:r>
          </w:p>
        </w:tc>
        <w:tc>
          <w:tcPr>
            <w:tcW w:w="985" w:type="dxa"/>
            <w:tcBorders>
              <w:left w:val="single" w:sz="4" w:space="0" w:color="000000"/>
              <w:right w:val="single" w:sz="4" w:space="0" w:color="000000"/>
            </w:tcBorders>
          </w:tcPr>
          <w:p>
            <w:pPr>
              <w:pStyle w:val="TableParagraph"/>
              <w:spacing w:before="51"/>
              <w:ind w:left="117"/>
              <w:rPr>
                <w:sz w:val="16"/>
              </w:rPr>
            </w:pPr>
            <w:r>
              <w:rPr>
                <w:spacing w:val="-2"/>
                <w:sz w:val="16"/>
              </w:rPr>
              <w:t>BELOW</w:t>
            </w:r>
          </w:p>
        </w:tc>
        <w:tc>
          <w:tcPr>
            <w:tcW w:w="1098" w:type="dxa"/>
            <w:tcBorders>
              <w:left w:val="single" w:sz="4" w:space="0" w:color="000000"/>
              <w:right w:val="single" w:sz="4" w:space="0" w:color="000000"/>
            </w:tcBorders>
          </w:tcPr>
          <w:p>
            <w:pPr>
              <w:pStyle w:val="TableParagraph"/>
              <w:spacing w:before="51"/>
              <w:ind w:left="116"/>
              <w:rPr>
                <w:sz w:val="16"/>
              </w:rPr>
            </w:pPr>
            <w:r>
              <w:rPr>
                <w:spacing w:val="-2"/>
                <w:sz w:val="16"/>
              </w:rPr>
              <w:t>-</w:t>
            </w:r>
            <w:r>
              <w:rPr>
                <w:spacing w:val="-5"/>
                <w:sz w:val="16"/>
              </w:rPr>
              <w:t>387</w:t>
            </w:r>
          </w:p>
        </w:tc>
        <w:tc>
          <w:tcPr>
            <w:tcW w:w="4892" w:type="dxa"/>
            <w:tcBorders>
              <w:left w:val="single" w:sz="4" w:space="0" w:color="000000"/>
            </w:tcBorders>
          </w:tcPr>
          <w:p>
            <w:pPr>
              <w:pStyle w:val="TableParagraph"/>
              <w:spacing w:line="230" w:lineRule="atLeast" w:before="5"/>
              <w:ind w:left="115"/>
              <w:rPr>
                <w:sz w:val="16"/>
              </w:rPr>
            </w:pPr>
            <w:r>
              <w:rPr>
                <w:sz w:val="16"/>
              </w:rPr>
              <w:t>Rainfall</w:t>
            </w:r>
            <w:r>
              <w:rPr>
                <w:spacing w:val="-10"/>
                <w:sz w:val="16"/>
              </w:rPr>
              <w:t> </w:t>
            </w:r>
            <w:r>
              <w:rPr>
                <w:sz w:val="16"/>
              </w:rPr>
              <w:t>post-Flowering</w:t>
            </w:r>
            <w:r>
              <w:rPr>
                <w:spacing w:val="-10"/>
                <w:sz w:val="16"/>
              </w:rPr>
              <w:t> </w:t>
            </w:r>
            <w:r>
              <w:rPr>
                <w:sz w:val="16"/>
              </w:rPr>
              <w:t>[20.7–121</w:t>
            </w:r>
            <w:r>
              <w:rPr>
                <w:spacing w:val="-10"/>
                <w:sz w:val="16"/>
              </w:rPr>
              <w:t> </w:t>
            </w:r>
            <w:r>
              <w:rPr>
                <w:sz w:val="16"/>
              </w:rPr>
              <w:t>mm]</w:t>
            </w:r>
            <w:r>
              <w:rPr>
                <w:spacing w:val="-10"/>
                <w:sz w:val="16"/>
              </w:rPr>
              <w:t> </w:t>
            </w:r>
            <w:r>
              <w:rPr>
                <w:sz w:val="16"/>
              </w:rPr>
              <w:t>AND</w:t>
            </w:r>
            <w:r>
              <w:rPr>
                <w:spacing w:val="-10"/>
                <w:sz w:val="16"/>
              </w:rPr>
              <w:t> </w:t>
            </w:r>
            <w:r>
              <w:rPr>
                <w:sz w:val="16"/>
              </w:rPr>
              <w:t>LAI</w:t>
            </w:r>
            <w:r>
              <w:rPr>
                <w:spacing w:val="-10"/>
                <w:sz w:val="16"/>
              </w:rPr>
              <w:t> </w:t>
            </w:r>
            <w:r>
              <w:rPr>
                <w:sz w:val="16"/>
              </w:rPr>
              <w:t>at</w:t>
            </w:r>
            <w:r>
              <w:rPr>
                <w:spacing w:val="-10"/>
                <w:sz w:val="16"/>
              </w:rPr>
              <w:t> </w:t>
            </w:r>
            <w:r>
              <w:rPr>
                <w:sz w:val="16"/>
              </w:rPr>
              <w:t>Harvest</w:t>
            </w:r>
            <w:r>
              <w:rPr>
                <w:spacing w:val="-10"/>
                <w:sz w:val="16"/>
              </w:rPr>
              <w:t> </w:t>
            </w:r>
            <w:r>
              <w:rPr>
                <w:sz w:val="16"/>
              </w:rPr>
              <w:t>[1.29–2.52</w:t>
            </w:r>
            <w:r>
              <w:rPr>
                <w:spacing w:val="40"/>
                <w:sz w:val="16"/>
              </w:rPr>
              <w:t> </w:t>
            </w:r>
            <w:r>
              <w:rPr>
                <w:sz w:val="16"/>
              </w:rPr>
              <w:t>m</w:t>
            </w:r>
            <w:r>
              <w:rPr>
                <w:sz w:val="16"/>
                <w:vertAlign w:val="superscript"/>
              </w:rPr>
              <w:t>2</w:t>
            </w:r>
            <w:r>
              <w:rPr>
                <w:sz w:val="16"/>
                <w:vertAlign w:val="baseline"/>
              </w:rPr>
              <w:t>/m</w:t>
            </w:r>
            <w:r>
              <w:rPr>
                <w:sz w:val="16"/>
                <w:vertAlign w:val="superscript"/>
              </w:rPr>
              <w:t>2</w:t>
            </w:r>
            <w:r>
              <w:rPr>
                <w:sz w:val="16"/>
                <w:vertAlign w:val="baseline"/>
              </w:rPr>
              <w:t>] AND Heat days post-Flowering (20d window) [0–1.1d]</w:t>
            </w:r>
          </w:p>
        </w:tc>
      </w:tr>
      <w:tr>
        <w:trPr>
          <w:trHeight w:val="528" w:hRule="atLeast"/>
        </w:trPr>
        <w:tc>
          <w:tcPr>
            <w:tcW w:w="470" w:type="dxa"/>
            <w:tcBorders>
              <w:right w:val="single" w:sz="4" w:space="0" w:color="000000"/>
            </w:tcBorders>
          </w:tcPr>
          <w:p>
            <w:pPr>
              <w:pStyle w:val="TableParagraph"/>
              <w:spacing w:before="51"/>
              <w:ind w:left="119"/>
              <w:rPr>
                <w:sz w:val="16"/>
              </w:rPr>
            </w:pPr>
            <w:r>
              <w:rPr>
                <w:spacing w:val="-10"/>
                <w:sz w:val="16"/>
              </w:rPr>
              <w:t>8</w:t>
            </w:r>
          </w:p>
        </w:tc>
        <w:tc>
          <w:tcPr>
            <w:tcW w:w="1098" w:type="dxa"/>
            <w:tcBorders>
              <w:left w:val="single" w:sz="4" w:space="0" w:color="000000"/>
              <w:right w:val="single" w:sz="4" w:space="0" w:color="000000"/>
            </w:tcBorders>
          </w:tcPr>
          <w:p>
            <w:pPr>
              <w:pStyle w:val="TableParagraph"/>
              <w:spacing w:before="51"/>
              <w:ind w:left="118"/>
              <w:rPr>
                <w:sz w:val="16"/>
              </w:rPr>
            </w:pPr>
            <w:r>
              <w:rPr>
                <w:spacing w:val="-2"/>
                <w:sz w:val="16"/>
              </w:rPr>
              <w:t>22.5%</w:t>
            </w:r>
          </w:p>
          <w:p>
            <w:pPr>
              <w:pStyle w:val="TableParagraph"/>
              <w:spacing w:before="45"/>
              <w:ind w:left="113"/>
              <w:rPr>
                <w:sz w:val="16"/>
              </w:rPr>
            </w:pPr>
            <w:r>
              <w:rPr>
                <w:sz w:val="16"/>
              </w:rPr>
              <w:t>(</w:t>
            </w:r>
            <w:r>
              <w:rPr>
                <w:spacing w:val="-2"/>
                <w:sz w:val="16"/>
              </w:rPr>
              <w:t> </w:t>
            </w:r>
            <w:r>
              <w:rPr>
                <w:spacing w:val="-4"/>
                <w:sz w:val="16"/>
              </w:rPr>
              <w:t>18yr)</w:t>
            </w:r>
          </w:p>
        </w:tc>
        <w:tc>
          <w:tcPr>
            <w:tcW w:w="928" w:type="dxa"/>
            <w:tcBorders>
              <w:left w:val="single" w:sz="4" w:space="0" w:color="000000"/>
              <w:right w:val="single" w:sz="4" w:space="0" w:color="000000"/>
            </w:tcBorders>
          </w:tcPr>
          <w:p>
            <w:pPr>
              <w:pStyle w:val="TableParagraph"/>
              <w:spacing w:before="51"/>
              <w:ind w:left="117"/>
              <w:rPr>
                <w:sz w:val="16"/>
              </w:rPr>
            </w:pPr>
            <w:r>
              <w:rPr>
                <w:spacing w:val="-2"/>
                <w:sz w:val="16"/>
              </w:rPr>
              <w:t>0.0357</w:t>
            </w:r>
          </w:p>
        </w:tc>
        <w:tc>
          <w:tcPr>
            <w:tcW w:w="985" w:type="dxa"/>
            <w:tcBorders>
              <w:left w:val="single" w:sz="4" w:space="0" w:color="000000"/>
              <w:right w:val="single" w:sz="4" w:space="0" w:color="000000"/>
            </w:tcBorders>
          </w:tcPr>
          <w:p>
            <w:pPr>
              <w:pStyle w:val="TableParagraph"/>
              <w:spacing w:before="51"/>
              <w:ind w:left="117"/>
              <w:rPr>
                <w:sz w:val="16"/>
              </w:rPr>
            </w:pPr>
            <w:r>
              <w:rPr>
                <w:spacing w:val="-2"/>
                <w:sz w:val="16"/>
              </w:rPr>
              <w:t>BELOW</w:t>
            </w:r>
          </w:p>
        </w:tc>
        <w:tc>
          <w:tcPr>
            <w:tcW w:w="1098" w:type="dxa"/>
            <w:tcBorders>
              <w:left w:val="single" w:sz="4" w:space="0" w:color="000000"/>
              <w:right w:val="single" w:sz="4" w:space="0" w:color="000000"/>
            </w:tcBorders>
          </w:tcPr>
          <w:p>
            <w:pPr>
              <w:pStyle w:val="TableParagraph"/>
              <w:spacing w:before="51"/>
              <w:ind w:left="116"/>
              <w:rPr>
                <w:sz w:val="16"/>
              </w:rPr>
            </w:pPr>
            <w:r>
              <w:rPr>
                <w:spacing w:val="-2"/>
                <w:sz w:val="16"/>
              </w:rPr>
              <w:t>-</w:t>
            </w:r>
            <w:r>
              <w:rPr>
                <w:spacing w:val="-5"/>
                <w:sz w:val="16"/>
              </w:rPr>
              <w:t>332</w:t>
            </w:r>
          </w:p>
        </w:tc>
        <w:tc>
          <w:tcPr>
            <w:tcW w:w="4892" w:type="dxa"/>
            <w:tcBorders>
              <w:left w:val="single" w:sz="4" w:space="0" w:color="000000"/>
            </w:tcBorders>
          </w:tcPr>
          <w:p>
            <w:pPr>
              <w:pStyle w:val="TableParagraph"/>
              <w:spacing w:line="230" w:lineRule="atLeast" w:before="5"/>
              <w:ind w:left="115"/>
              <w:rPr>
                <w:sz w:val="16"/>
              </w:rPr>
            </w:pPr>
            <w:r>
              <w:rPr>
                <w:sz w:val="16"/>
              </w:rPr>
              <w:t>LAI</w:t>
            </w:r>
            <w:r>
              <w:rPr>
                <w:spacing w:val="40"/>
                <w:sz w:val="16"/>
              </w:rPr>
              <w:t> </w:t>
            </w:r>
            <w:r>
              <w:rPr>
                <w:sz w:val="16"/>
              </w:rPr>
              <w:t>pre-Flowering</w:t>
            </w:r>
            <w:r>
              <w:rPr>
                <w:spacing w:val="40"/>
                <w:sz w:val="16"/>
              </w:rPr>
              <w:t> </w:t>
            </w:r>
            <w:r>
              <w:rPr>
                <w:sz w:val="16"/>
              </w:rPr>
              <w:t>prev.yr</w:t>
            </w:r>
            <w:r>
              <w:rPr>
                <w:spacing w:val="40"/>
                <w:sz w:val="16"/>
              </w:rPr>
              <w:t> </w:t>
            </w:r>
            <w:r>
              <w:rPr>
                <w:sz w:val="16"/>
              </w:rPr>
              <w:t>[2.16–2.21</w:t>
            </w:r>
            <w:r>
              <w:rPr>
                <w:spacing w:val="40"/>
                <w:sz w:val="16"/>
              </w:rPr>
              <w:t> </w:t>
            </w:r>
            <w:r>
              <w:rPr>
                <w:sz w:val="16"/>
              </w:rPr>
              <w:t>m</w:t>
            </w:r>
            <w:r>
              <w:rPr>
                <w:sz w:val="16"/>
                <w:vertAlign w:val="superscript"/>
              </w:rPr>
              <w:t>2</w:t>
            </w:r>
            <w:r>
              <w:rPr>
                <w:sz w:val="16"/>
                <w:vertAlign w:val="baseline"/>
              </w:rPr>
              <w:t>/m</w:t>
            </w:r>
            <w:r>
              <w:rPr>
                <w:sz w:val="16"/>
                <w:vertAlign w:val="superscript"/>
              </w:rPr>
              <w:t>2</w:t>
            </w:r>
            <w:r>
              <w:rPr>
                <w:sz w:val="16"/>
                <w:vertAlign w:val="baseline"/>
              </w:rPr>
              <w:t>]</w:t>
            </w:r>
            <w:r>
              <w:rPr>
                <w:spacing w:val="40"/>
                <w:sz w:val="16"/>
                <w:vertAlign w:val="baseline"/>
              </w:rPr>
              <w:t> </w:t>
            </w:r>
            <w:r>
              <w:rPr>
                <w:sz w:val="16"/>
                <w:vertAlign w:val="baseline"/>
              </w:rPr>
              <w:t>AND</w:t>
            </w:r>
            <w:r>
              <w:rPr>
                <w:spacing w:val="40"/>
                <w:sz w:val="16"/>
                <w:vertAlign w:val="baseline"/>
              </w:rPr>
              <w:t> </w:t>
            </w:r>
            <w:r>
              <w:rPr>
                <w:sz w:val="16"/>
                <w:vertAlign w:val="baseline"/>
              </w:rPr>
              <w:t>Heat</w:t>
            </w:r>
            <w:r>
              <w:rPr>
                <w:spacing w:val="40"/>
                <w:sz w:val="16"/>
                <w:vertAlign w:val="baseline"/>
              </w:rPr>
              <w:t> </w:t>
            </w:r>
            <w:r>
              <w:rPr>
                <w:sz w:val="16"/>
                <w:vertAlign w:val="baseline"/>
              </w:rPr>
              <w:t>days</w:t>
            </w:r>
            <w:r>
              <w:rPr>
                <w:spacing w:val="40"/>
                <w:sz w:val="16"/>
                <w:vertAlign w:val="baseline"/>
              </w:rPr>
              <w:t> </w:t>
            </w:r>
            <w:r>
              <w:rPr>
                <w:sz w:val="16"/>
                <w:vertAlign w:val="baseline"/>
              </w:rPr>
              <w:t>pre-Maturity [0–1.9d] AND Heat days post-Maturity [0–2.4d]</w:t>
            </w:r>
          </w:p>
        </w:tc>
      </w:tr>
      <w:tr>
        <w:trPr>
          <w:trHeight w:val="757" w:hRule="atLeast"/>
        </w:trPr>
        <w:tc>
          <w:tcPr>
            <w:tcW w:w="470" w:type="dxa"/>
            <w:tcBorders>
              <w:right w:val="single" w:sz="4" w:space="0" w:color="000000"/>
            </w:tcBorders>
          </w:tcPr>
          <w:p>
            <w:pPr>
              <w:pStyle w:val="TableParagraph"/>
              <w:spacing w:before="51"/>
              <w:ind w:left="119"/>
              <w:rPr>
                <w:sz w:val="16"/>
              </w:rPr>
            </w:pPr>
            <w:r>
              <w:rPr>
                <w:spacing w:val="-10"/>
                <w:sz w:val="16"/>
              </w:rPr>
              <w:t>9</w:t>
            </w:r>
          </w:p>
        </w:tc>
        <w:tc>
          <w:tcPr>
            <w:tcW w:w="1098" w:type="dxa"/>
            <w:tcBorders>
              <w:left w:val="single" w:sz="4" w:space="0" w:color="000000"/>
              <w:right w:val="single" w:sz="4" w:space="0" w:color="000000"/>
            </w:tcBorders>
          </w:tcPr>
          <w:p>
            <w:pPr>
              <w:pStyle w:val="TableParagraph"/>
              <w:spacing w:before="51"/>
              <w:ind w:left="118"/>
              <w:rPr>
                <w:sz w:val="16"/>
              </w:rPr>
            </w:pPr>
            <w:r>
              <w:rPr>
                <w:spacing w:val="-2"/>
                <w:sz w:val="16"/>
              </w:rPr>
              <w:t>20.0%</w:t>
            </w:r>
          </w:p>
          <w:p>
            <w:pPr>
              <w:pStyle w:val="TableParagraph"/>
              <w:spacing w:before="45"/>
              <w:ind w:left="113"/>
              <w:rPr>
                <w:sz w:val="16"/>
              </w:rPr>
            </w:pPr>
            <w:r>
              <w:rPr>
                <w:sz w:val="16"/>
              </w:rPr>
              <w:t>(</w:t>
            </w:r>
            <w:r>
              <w:rPr>
                <w:spacing w:val="-2"/>
                <w:sz w:val="16"/>
              </w:rPr>
              <w:t> </w:t>
            </w:r>
            <w:r>
              <w:rPr>
                <w:spacing w:val="-4"/>
                <w:sz w:val="16"/>
              </w:rPr>
              <w:t>16yr)</w:t>
            </w:r>
          </w:p>
        </w:tc>
        <w:tc>
          <w:tcPr>
            <w:tcW w:w="928" w:type="dxa"/>
            <w:tcBorders>
              <w:left w:val="single" w:sz="4" w:space="0" w:color="000000"/>
              <w:right w:val="single" w:sz="4" w:space="0" w:color="000000"/>
            </w:tcBorders>
          </w:tcPr>
          <w:p>
            <w:pPr>
              <w:pStyle w:val="TableParagraph"/>
              <w:spacing w:before="51"/>
              <w:ind w:left="117"/>
              <w:rPr>
                <w:sz w:val="16"/>
              </w:rPr>
            </w:pPr>
            <w:r>
              <w:rPr>
                <w:spacing w:val="-2"/>
                <w:sz w:val="16"/>
              </w:rPr>
              <w:t>0.0370</w:t>
            </w:r>
          </w:p>
        </w:tc>
        <w:tc>
          <w:tcPr>
            <w:tcW w:w="985" w:type="dxa"/>
            <w:tcBorders>
              <w:left w:val="single" w:sz="4" w:space="0" w:color="000000"/>
              <w:right w:val="single" w:sz="4" w:space="0" w:color="000000"/>
            </w:tcBorders>
          </w:tcPr>
          <w:p>
            <w:pPr>
              <w:pStyle w:val="TableParagraph"/>
              <w:spacing w:before="51"/>
              <w:ind w:left="117"/>
              <w:rPr>
                <w:sz w:val="16"/>
              </w:rPr>
            </w:pPr>
            <w:r>
              <w:rPr>
                <w:spacing w:val="-2"/>
                <w:sz w:val="16"/>
              </w:rPr>
              <w:t>BELOW</w:t>
            </w:r>
          </w:p>
        </w:tc>
        <w:tc>
          <w:tcPr>
            <w:tcW w:w="1098" w:type="dxa"/>
            <w:tcBorders>
              <w:left w:val="single" w:sz="4" w:space="0" w:color="000000"/>
              <w:right w:val="single" w:sz="4" w:space="0" w:color="000000"/>
            </w:tcBorders>
          </w:tcPr>
          <w:p>
            <w:pPr>
              <w:pStyle w:val="TableParagraph"/>
              <w:spacing w:before="51"/>
              <w:ind w:left="116"/>
              <w:rPr>
                <w:sz w:val="16"/>
              </w:rPr>
            </w:pPr>
            <w:r>
              <w:rPr>
                <w:spacing w:val="-2"/>
                <w:sz w:val="16"/>
              </w:rPr>
              <w:t>-</w:t>
            </w:r>
            <w:r>
              <w:rPr>
                <w:spacing w:val="-5"/>
                <w:sz w:val="16"/>
              </w:rPr>
              <w:t>387</w:t>
            </w:r>
          </w:p>
        </w:tc>
        <w:tc>
          <w:tcPr>
            <w:tcW w:w="4892" w:type="dxa"/>
            <w:tcBorders>
              <w:left w:val="single" w:sz="4" w:space="0" w:color="000000"/>
            </w:tcBorders>
          </w:tcPr>
          <w:p>
            <w:pPr>
              <w:pStyle w:val="TableParagraph"/>
              <w:spacing w:line="230" w:lineRule="atLeast" w:before="5"/>
              <w:ind w:left="115" w:right="93"/>
              <w:jc w:val="both"/>
              <w:rPr>
                <w:sz w:val="16"/>
              </w:rPr>
            </w:pPr>
            <w:r>
              <w:rPr>
                <w:sz w:val="16"/>
              </w:rPr>
              <w:t>Rainfall</w:t>
            </w:r>
            <w:r>
              <w:rPr>
                <w:spacing w:val="-7"/>
                <w:sz w:val="16"/>
              </w:rPr>
              <w:t> </w:t>
            </w:r>
            <w:r>
              <w:rPr>
                <w:sz w:val="16"/>
              </w:rPr>
              <w:t>post-Flowering</w:t>
            </w:r>
            <w:r>
              <w:rPr>
                <w:spacing w:val="-7"/>
                <w:sz w:val="16"/>
              </w:rPr>
              <w:t> </w:t>
            </w:r>
            <w:r>
              <w:rPr>
                <w:sz w:val="16"/>
              </w:rPr>
              <w:t>[20.7–121</w:t>
            </w:r>
            <w:r>
              <w:rPr>
                <w:spacing w:val="-7"/>
                <w:sz w:val="16"/>
              </w:rPr>
              <w:t> </w:t>
            </w:r>
            <w:r>
              <w:rPr>
                <w:sz w:val="16"/>
              </w:rPr>
              <w:t>mm]</w:t>
            </w:r>
            <w:r>
              <w:rPr>
                <w:spacing w:val="-7"/>
                <w:sz w:val="16"/>
              </w:rPr>
              <w:t> </w:t>
            </w:r>
            <w:r>
              <w:rPr>
                <w:sz w:val="16"/>
              </w:rPr>
              <w:t>AND</w:t>
            </w:r>
            <w:r>
              <w:rPr>
                <w:spacing w:val="-7"/>
                <w:sz w:val="16"/>
              </w:rPr>
              <w:t> </w:t>
            </w:r>
            <w:r>
              <w:rPr>
                <w:sz w:val="16"/>
              </w:rPr>
              <w:t>LAI</w:t>
            </w:r>
            <w:r>
              <w:rPr>
                <w:spacing w:val="-7"/>
                <w:sz w:val="16"/>
              </w:rPr>
              <w:t> </w:t>
            </w:r>
            <w:r>
              <w:rPr>
                <w:sz w:val="16"/>
              </w:rPr>
              <w:t>at</w:t>
            </w:r>
            <w:r>
              <w:rPr>
                <w:spacing w:val="-7"/>
                <w:sz w:val="16"/>
              </w:rPr>
              <w:t> </w:t>
            </w:r>
            <w:r>
              <w:rPr>
                <w:sz w:val="16"/>
              </w:rPr>
              <w:t>Harvest</w:t>
            </w:r>
            <w:r>
              <w:rPr>
                <w:spacing w:val="-7"/>
                <w:sz w:val="16"/>
              </w:rPr>
              <w:t> </w:t>
            </w:r>
            <w:r>
              <w:rPr>
                <w:sz w:val="16"/>
              </w:rPr>
              <w:t>[1.29–2.52</w:t>
            </w:r>
            <w:r>
              <w:rPr>
                <w:spacing w:val="40"/>
                <w:sz w:val="16"/>
              </w:rPr>
              <w:t> </w:t>
            </w:r>
            <w:r>
              <w:rPr>
                <w:sz w:val="16"/>
              </w:rPr>
              <w:t>m</w:t>
            </w:r>
            <w:r>
              <w:rPr>
                <w:sz w:val="16"/>
                <w:vertAlign w:val="superscript"/>
              </w:rPr>
              <w:t>2</w:t>
            </w:r>
            <w:r>
              <w:rPr>
                <w:sz w:val="16"/>
                <w:vertAlign w:val="baseline"/>
              </w:rPr>
              <w:t>/m</w:t>
            </w:r>
            <w:r>
              <w:rPr>
                <w:sz w:val="16"/>
                <w:vertAlign w:val="superscript"/>
              </w:rPr>
              <w:t>2</w:t>
            </w:r>
            <w:r>
              <w:rPr>
                <w:sz w:val="16"/>
                <w:vertAlign w:val="baseline"/>
              </w:rPr>
              <w:t>] AND Heat days post-Maturity [0–2.4d] AND Heat days post-Flowering</w:t>
            </w:r>
            <w:r>
              <w:rPr>
                <w:spacing w:val="-3"/>
                <w:sz w:val="16"/>
                <w:vertAlign w:val="baseline"/>
              </w:rPr>
              <w:t> </w:t>
            </w:r>
            <w:r>
              <w:rPr>
                <w:sz w:val="16"/>
                <w:vertAlign w:val="baseline"/>
              </w:rPr>
              <w:t>[0–1.1d]</w:t>
            </w:r>
          </w:p>
        </w:tc>
      </w:tr>
      <w:tr>
        <w:trPr>
          <w:trHeight w:val="528" w:hRule="atLeast"/>
        </w:trPr>
        <w:tc>
          <w:tcPr>
            <w:tcW w:w="470" w:type="dxa"/>
            <w:tcBorders>
              <w:right w:val="single" w:sz="4" w:space="0" w:color="000000"/>
            </w:tcBorders>
          </w:tcPr>
          <w:p>
            <w:pPr>
              <w:pStyle w:val="TableParagraph"/>
              <w:spacing w:before="51"/>
              <w:ind w:left="119"/>
              <w:rPr>
                <w:sz w:val="16"/>
              </w:rPr>
            </w:pPr>
            <w:r>
              <w:rPr>
                <w:spacing w:val="-5"/>
                <w:sz w:val="16"/>
              </w:rPr>
              <w:t>10</w:t>
            </w:r>
          </w:p>
        </w:tc>
        <w:tc>
          <w:tcPr>
            <w:tcW w:w="1098" w:type="dxa"/>
            <w:tcBorders>
              <w:left w:val="single" w:sz="4" w:space="0" w:color="000000"/>
              <w:right w:val="single" w:sz="4" w:space="0" w:color="000000"/>
            </w:tcBorders>
          </w:tcPr>
          <w:p>
            <w:pPr>
              <w:pStyle w:val="TableParagraph"/>
              <w:spacing w:before="51"/>
              <w:ind w:left="118"/>
              <w:rPr>
                <w:sz w:val="16"/>
              </w:rPr>
            </w:pPr>
            <w:r>
              <w:rPr>
                <w:spacing w:val="-2"/>
                <w:sz w:val="16"/>
              </w:rPr>
              <w:t>21.2%</w:t>
            </w:r>
          </w:p>
          <w:p>
            <w:pPr>
              <w:pStyle w:val="TableParagraph"/>
              <w:spacing w:before="45"/>
              <w:ind w:left="113"/>
              <w:rPr>
                <w:sz w:val="16"/>
              </w:rPr>
            </w:pPr>
            <w:r>
              <w:rPr>
                <w:sz w:val="16"/>
              </w:rPr>
              <w:t>(</w:t>
            </w:r>
            <w:r>
              <w:rPr>
                <w:spacing w:val="-2"/>
                <w:sz w:val="16"/>
              </w:rPr>
              <w:t> </w:t>
            </w:r>
            <w:r>
              <w:rPr>
                <w:spacing w:val="-4"/>
                <w:sz w:val="16"/>
              </w:rPr>
              <w:t>17yr)</w:t>
            </w:r>
          </w:p>
        </w:tc>
        <w:tc>
          <w:tcPr>
            <w:tcW w:w="928" w:type="dxa"/>
            <w:tcBorders>
              <w:left w:val="single" w:sz="4" w:space="0" w:color="000000"/>
              <w:right w:val="single" w:sz="4" w:space="0" w:color="000000"/>
            </w:tcBorders>
          </w:tcPr>
          <w:p>
            <w:pPr>
              <w:pStyle w:val="TableParagraph"/>
              <w:spacing w:before="51"/>
              <w:ind w:left="117"/>
              <w:rPr>
                <w:sz w:val="16"/>
              </w:rPr>
            </w:pPr>
            <w:r>
              <w:rPr>
                <w:spacing w:val="-2"/>
                <w:sz w:val="16"/>
              </w:rPr>
              <w:t>0.0401</w:t>
            </w:r>
          </w:p>
        </w:tc>
        <w:tc>
          <w:tcPr>
            <w:tcW w:w="985" w:type="dxa"/>
            <w:tcBorders>
              <w:left w:val="single" w:sz="4" w:space="0" w:color="000000"/>
              <w:right w:val="single" w:sz="4" w:space="0" w:color="000000"/>
            </w:tcBorders>
          </w:tcPr>
          <w:p>
            <w:pPr>
              <w:pStyle w:val="TableParagraph"/>
              <w:spacing w:before="51"/>
              <w:ind w:left="117"/>
              <w:rPr>
                <w:sz w:val="16"/>
              </w:rPr>
            </w:pPr>
            <w:r>
              <w:rPr>
                <w:spacing w:val="-2"/>
                <w:sz w:val="16"/>
              </w:rPr>
              <w:t>BELOW</w:t>
            </w:r>
          </w:p>
        </w:tc>
        <w:tc>
          <w:tcPr>
            <w:tcW w:w="1098" w:type="dxa"/>
            <w:tcBorders>
              <w:left w:val="single" w:sz="4" w:space="0" w:color="000000"/>
              <w:right w:val="single" w:sz="4" w:space="0" w:color="000000"/>
            </w:tcBorders>
          </w:tcPr>
          <w:p>
            <w:pPr>
              <w:pStyle w:val="TableParagraph"/>
              <w:spacing w:before="51"/>
              <w:ind w:left="116"/>
              <w:rPr>
                <w:sz w:val="16"/>
              </w:rPr>
            </w:pPr>
            <w:r>
              <w:rPr>
                <w:spacing w:val="-2"/>
                <w:sz w:val="16"/>
              </w:rPr>
              <w:t>-</w:t>
            </w:r>
            <w:r>
              <w:rPr>
                <w:spacing w:val="-5"/>
                <w:sz w:val="16"/>
              </w:rPr>
              <w:t>338</w:t>
            </w:r>
          </w:p>
        </w:tc>
        <w:tc>
          <w:tcPr>
            <w:tcW w:w="4892" w:type="dxa"/>
            <w:tcBorders>
              <w:left w:val="single" w:sz="4" w:space="0" w:color="000000"/>
            </w:tcBorders>
          </w:tcPr>
          <w:p>
            <w:pPr>
              <w:pStyle w:val="TableParagraph"/>
              <w:spacing w:before="51"/>
              <w:ind w:left="115"/>
              <w:rPr>
                <w:sz w:val="16"/>
              </w:rPr>
            </w:pPr>
            <w:r>
              <w:rPr>
                <w:sz w:val="16"/>
              </w:rPr>
              <w:t>Soil</w:t>
            </w:r>
            <w:r>
              <w:rPr>
                <w:spacing w:val="13"/>
                <w:sz w:val="16"/>
              </w:rPr>
              <w:t> </w:t>
            </w:r>
            <w:r>
              <w:rPr>
                <w:sz w:val="16"/>
              </w:rPr>
              <w:t>water</w:t>
            </w:r>
            <w:r>
              <w:rPr>
                <w:spacing w:val="13"/>
                <w:sz w:val="16"/>
              </w:rPr>
              <w:t> </w:t>
            </w:r>
            <w:r>
              <w:rPr>
                <w:sz w:val="16"/>
              </w:rPr>
              <w:t>pre-Harvest</w:t>
            </w:r>
            <w:r>
              <w:rPr>
                <w:spacing w:val="13"/>
                <w:sz w:val="16"/>
              </w:rPr>
              <w:t> </w:t>
            </w:r>
            <w:r>
              <w:rPr>
                <w:sz w:val="16"/>
              </w:rPr>
              <w:t>[61–97</w:t>
            </w:r>
            <w:r>
              <w:rPr>
                <w:spacing w:val="14"/>
                <w:sz w:val="16"/>
              </w:rPr>
              <w:t> </w:t>
            </w:r>
            <w:r>
              <w:rPr>
                <w:sz w:val="16"/>
              </w:rPr>
              <w:t>mm]</w:t>
            </w:r>
            <w:r>
              <w:rPr>
                <w:spacing w:val="14"/>
                <w:sz w:val="16"/>
              </w:rPr>
              <w:t> </w:t>
            </w:r>
            <w:r>
              <w:rPr>
                <w:sz w:val="16"/>
              </w:rPr>
              <w:t>AND</w:t>
            </w:r>
            <w:r>
              <w:rPr>
                <w:spacing w:val="12"/>
                <w:sz w:val="16"/>
              </w:rPr>
              <w:t> </w:t>
            </w:r>
            <w:r>
              <w:rPr>
                <w:sz w:val="16"/>
              </w:rPr>
              <w:t>Heat</w:t>
            </w:r>
            <w:r>
              <w:rPr>
                <w:spacing w:val="14"/>
                <w:sz w:val="16"/>
              </w:rPr>
              <w:t> </w:t>
            </w:r>
            <w:r>
              <w:rPr>
                <w:sz w:val="16"/>
              </w:rPr>
              <w:t>days</w:t>
            </w:r>
            <w:r>
              <w:rPr>
                <w:spacing w:val="14"/>
                <w:sz w:val="16"/>
              </w:rPr>
              <w:t> </w:t>
            </w:r>
            <w:r>
              <w:rPr>
                <w:sz w:val="16"/>
              </w:rPr>
              <w:t>post-Maturity</w:t>
            </w:r>
            <w:r>
              <w:rPr>
                <w:spacing w:val="13"/>
                <w:sz w:val="16"/>
              </w:rPr>
              <w:t> </w:t>
            </w:r>
            <w:r>
              <w:rPr>
                <w:spacing w:val="-5"/>
                <w:sz w:val="16"/>
              </w:rPr>
              <w:t>[0–</w:t>
            </w:r>
          </w:p>
          <w:p>
            <w:pPr>
              <w:pStyle w:val="TableParagraph"/>
              <w:spacing w:before="45"/>
              <w:ind w:left="115"/>
              <w:rPr>
                <w:sz w:val="16"/>
              </w:rPr>
            </w:pPr>
            <w:r>
              <w:rPr>
                <w:sz w:val="16"/>
              </w:rPr>
              <w:t>2.4d]</w:t>
            </w:r>
            <w:r>
              <w:rPr>
                <w:spacing w:val="-7"/>
                <w:sz w:val="16"/>
              </w:rPr>
              <w:t> </w:t>
            </w:r>
            <w:r>
              <w:rPr>
                <w:sz w:val="16"/>
              </w:rPr>
              <w:t>AND</w:t>
            </w:r>
            <w:r>
              <w:rPr>
                <w:spacing w:val="-7"/>
                <w:sz w:val="16"/>
              </w:rPr>
              <w:t> </w:t>
            </w:r>
            <w:r>
              <w:rPr>
                <w:sz w:val="16"/>
              </w:rPr>
              <w:t>Heat</w:t>
            </w:r>
            <w:r>
              <w:rPr>
                <w:spacing w:val="-7"/>
                <w:sz w:val="16"/>
              </w:rPr>
              <w:t> </w:t>
            </w:r>
            <w:r>
              <w:rPr>
                <w:sz w:val="16"/>
              </w:rPr>
              <w:t>days</w:t>
            </w:r>
            <w:r>
              <w:rPr>
                <w:spacing w:val="-6"/>
                <w:sz w:val="16"/>
              </w:rPr>
              <w:t> </w:t>
            </w:r>
            <w:r>
              <w:rPr>
                <w:sz w:val="16"/>
              </w:rPr>
              <w:t>post-Flowering</w:t>
            </w:r>
            <w:r>
              <w:rPr>
                <w:spacing w:val="-7"/>
                <w:sz w:val="16"/>
              </w:rPr>
              <w:t> </w:t>
            </w:r>
            <w:r>
              <w:rPr>
                <w:sz w:val="16"/>
              </w:rPr>
              <w:t>[0–</w:t>
            </w:r>
            <w:r>
              <w:rPr>
                <w:spacing w:val="-2"/>
                <w:sz w:val="16"/>
              </w:rPr>
              <w:t>1.1d]</w:t>
            </w:r>
          </w:p>
        </w:tc>
      </w:tr>
      <w:tr>
        <w:trPr>
          <w:trHeight w:val="528" w:hRule="atLeast"/>
        </w:trPr>
        <w:tc>
          <w:tcPr>
            <w:tcW w:w="470" w:type="dxa"/>
            <w:tcBorders>
              <w:right w:val="single" w:sz="4" w:space="0" w:color="000000"/>
            </w:tcBorders>
          </w:tcPr>
          <w:p>
            <w:pPr>
              <w:pStyle w:val="TableParagraph"/>
              <w:spacing w:before="51"/>
              <w:ind w:left="119"/>
              <w:rPr>
                <w:sz w:val="16"/>
              </w:rPr>
            </w:pPr>
            <w:r>
              <w:rPr>
                <w:spacing w:val="-5"/>
                <w:sz w:val="16"/>
              </w:rPr>
              <w:t>11</w:t>
            </w:r>
          </w:p>
        </w:tc>
        <w:tc>
          <w:tcPr>
            <w:tcW w:w="1098" w:type="dxa"/>
            <w:tcBorders>
              <w:left w:val="single" w:sz="4" w:space="0" w:color="000000"/>
              <w:right w:val="single" w:sz="4" w:space="0" w:color="000000"/>
            </w:tcBorders>
          </w:tcPr>
          <w:p>
            <w:pPr>
              <w:pStyle w:val="TableParagraph"/>
              <w:spacing w:before="51"/>
              <w:ind w:left="118"/>
              <w:rPr>
                <w:sz w:val="16"/>
              </w:rPr>
            </w:pPr>
            <w:r>
              <w:rPr>
                <w:spacing w:val="-2"/>
                <w:sz w:val="16"/>
              </w:rPr>
              <w:t>18.8%</w:t>
            </w:r>
          </w:p>
          <w:p>
            <w:pPr>
              <w:pStyle w:val="TableParagraph"/>
              <w:spacing w:before="45"/>
              <w:ind w:left="113"/>
              <w:rPr>
                <w:sz w:val="16"/>
              </w:rPr>
            </w:pPr>
            <w:r>
              <w:rPr>
                <w:sz w:val="16"/>
              </w:rPr>
              <w:t>(</w:t>
            </w:r>
            <w:r>
              <w:rPr>
                <w:spacing w:val="-2"/>
                <w:sz w:val="16"/>
              </w:rPr>
              <w:t> </w:t>
            </w:r>
            <w:r>
              <w:rPr>
                <w:spacing w:val="-4"/>
                <w:sz w:val="16"/>
              </w:rPr>
              <w:t>15yr)</w:t>
            </w:r>
          </w:p>
        </w:tc>
        <w:tc>
          <w:tcPr>
            <w:tcW w:w="928" w:type="dxa"/>
            <w:tcBorders>
              <w:left w:val="single" w:sz="4" w:space="0" w:color="000000"/>
              <w:right w:val="single" w:sz="4" w:space="0" w:color="000000"/>
            </w:tcBorders>
          </w:tcPr>
          <w:p>
            <w:pPr>
              <w:pStyle w:val="TableParagraph"/>
              <w:spacing w:before="51"/>
              <w:ind w:left="117"/>
              <w:rPr>
                <w:sz w:val="16"/>
              </w:rPr>
            </w:pPr>
            <w:r>
              <w:rPr>
                <w:spacing w:val="-2"/>
                <w:sz w:val="16"/>
              </w:rPr>
              <w:t>0.0418</w:t>
            </w:r>
          </w:p>
        </w:tc>
        <w:tc>
          <w:tcPr>
            <w:tcW w:w="985" w:type="dxa"/>
            <w:tcBorders>
              <w:left w:val="single" w:sz="4" w:space="0" w:color="000000"/>
              <w:right w:val="single" w:sz="4" w:space="0" w:color="000000"/>
            </w:tcBorders>
          </w:tcPr>
          <w:p>
            <w:pPr>
              <w:pStyle w:val="TableParagraph"/>
              <w:spacing w:before="51"/>
              <w:ind w:left="117"/>
              <w:rPr>
                <w:sz w:val="16"/>
              </w:rPr>
            </w:pPr>
            <w:r>
              <w:rPr>
                <w:spacing w:val="-2"/>
                <w:sz w:val="16"/>
              </w:rPr>
              <w:t>BELOW</w:t>
            </w:r>
          </w:p>
        </w:tc>
        <w:tc>
          <w:tcPr>
            <w:tcW w:w="1098" w:type="dxa"/>
            <w:tcBorders>
              <w:left w:val="single" w:sz="4" w:space="0" w:color="000000"/>
              <w:right w:val="single" w:sz="4" w:space="0" w:color="000000"/>
            </w:tcBorders>
          </w:tcPr>
          <w:p>
            <w:pPr>
              <w:pStyle w:val="TableParagraph"/>
              <w:spacing w:before="51"/>
              <w:ind w:left="116"/>
              <w:rPr>
                <w:sz w:val="16"/>
              </w:rPr>
            </w:pPr>
            <w:r>
              <w:rPr>
                <w:spacing w:val="-2"/>
                <w:sz w:val="16"/>
              </w:rPr>
              <w:t>-</w:t>
            </w:r>
            <w:r>
              <w:rPr>
                <w:spacing w:val="-5"/>
                <w:sz w:val="16"/>
              </w:rPr>
              <w:t>330</w:t>
            </w:r>
          </w:p>
        </w:tc>
        <w:tc>
          <w:tcPr>
            <w:tcW w:w="4892" w:type="dxa"/>
            <w:tcBorders>
              <w:left w:val="single" w:sz="4" w:space="0" w:color="000000"/>
            </w:tcBorders>
          </w:tcPr>
          <w:p>
            <w:pPr>
              <w:pStyle w:val="TableParagraph"/>
              <w:spacing w:line="230" w:lineRule="atLeast" w:before="5"/>
              <w:ind w:left="115"/>
              <w:rPr>
                <w:sz w:val="16"/>
              </w:rPr>
            </w:pPr>
            <w:r>
              <w:rPr>
                <w:sz w:val="16"/>
              </w:rPr>
              <w:t>LAI</w:t>
            </w:r>
            <w:r>
              <w:rPr>
                <w:spacing w:val="34"/>
                <w:sz w:val="16"/>
              </w:rPr>
              <w:t> </w:t>
            </w:r>
            <w:r>
              <w:rPr>
                <w:sz w:val="16"/>
              </w:rPr>
              <w:t>pre-Flowering</w:t>
            </w:r>
            <w:r>
              <w:rPr>
                <w:spacing w:val="34"/>
                <w:sz w:val="16"/>
              </w:rPr>
              <w:t> </w:t>
            </w:r>
            <w:r>
              <w:rPr>
                <w:sz w:val="16"/>
              </w:rPr>
              <w:t>prev.yr</w:t>
            </w:r>
            <w:r>
              <w:rPr>
                <w:spacing w:val="34"/>
                <w:sz w:val="16"/>
              </w:rPr>
              <w:t> </w:t>
            </w:r>
            <w:r>
              <w:rPr>
                <w:sz w:val="16"/>
              </w:rPr>
              <w:t>[2.16–2.21</w:t>
            </w:r>
            <w:r>
              <w:rPr>
                <w:spacing w:val="34"/>
                <w:sz w:val="16"/>
              </w:rPr>
              <w:t> </w:t>
            </w:r>
            <w:r>
              <w:rPr>
                <w:sz w:val="16"/>
              </w:rPr>
              <w:t>m</w:t>
            </w:r>
            <w:r>
              <w:rPr>
                <w:sz w:val="16"/>
                <w:vertAlign w:val="superscript"/>
              </w:rPr>
              <w:t>2</w:t>
            </w:r>
            <w:r>
              <w:rPr>
                <w:sz w:val="16"/>
                <w:vertAlign w:val="baseline"/>
              </w:rPr>
              <w:t>/m</w:t>
            </w:r>
            <w:r>
              <w:rPr>
                <w:sz w:val="16"/>
                <w:vertAlign w:val="superscript"/>
              </w:rPr>
              <w:t>2</w:t>
            </w:r>
            <w:r>
              <w:rPr>
                <w:sz w:val="16"/>
                <w:vertAlign w:val="baseline"/>
              </w:rPr>
              <w:t>]</w:t>
            </w:r>
            <w:r>
              <w:rPr>
                <w:spacing w:val="34"/>
                <w:sz w:val="16"/>
                <w:vertAlign w:val="baseline"/>
              </w:rPr>
              <w:t> </w:t>
            </w:r>
            <w:r>
              <w:rPr>
                <w:sz w:val="16"/>
                <w:vertAlign w:val="baseline"/>
              </w:rPr>
              <w:t>AND</w:t>
            </w:r>
            <w:r>
              <w:rPr>
                <w:spacing w:val="34"/>
                <w:sz w:val="16"/>
                <w:vertAlign w:val="baseline"/>
              </w:rPr>
              <w:t> </w:t>
            </w:r>
            <w:r>
              <w:rPr>
                <w:sz w:val="16"/>
                <w:vertAlign w:val="baseline"/>
              </w:rPr>
              <w:t>Heat</w:t>
            </w:r>
            <w:r>
              <w:rPr>
                <w:spacing w:val="34"/>
                <w:sz w:val="16"/>
                <w:vertAlign w:val="baseline"/>
              </w:rPr>
              <w:t> </w:t>
            </w:r>
            <w:r>
              <w:rPr>
                <w:sz w:val="16"/>
                <w:vertAlign w:val="baseline"/>
              </w:rPr>
              <w:t>days</w:t>
            </w:r>
            <w:r>
              <w:rPr>
                <w:spacing w:val="34"/>
                <w:sz w:val="16"/>
                <w:vertAlign w:val="baseline"/>
              </w:rPr>
              <w:t> </w:t>
            </w:r>
            <w:r>
              <w:rPr>
                <w:sz w:val="16"/>
                <w:vertAlign w:val="baseline"/>
              </w:rPr>
              <w:t>post-Maturity</w:t>
            </w:r>
            <w:r>
              <w:rPr>
                <w:spacing w:val="-3"/>
                <w:sz w:val="16"/>
                <w:vertAlign w:val="baseline"/>
              </w:rPr>
              <w:t> </w:t>
            </w:r>
            <w:r>
              <w:rPr>
                <w:sz w:val="16"/>
                <w:vertAlign w:val="baseline"/>
              </w:rPr>
              <w:t>[0–2.4d]</w:t>
            </w:r>
          </w:p>
        </w:tc>
      </w:tr>
      <w:tr>
        <w:trPr>
          <w:trHeight w:val="528" w:hRule="atLeast"/>
        </w:trPr>
        <w:tc>
          <w:tcPr>
            <w:tcW w:w="470" w:type="dxa"/>
            <w:tcBorders>
              <w:right w:val="single" w:sz="4" w:space="0" w:color="000000"/>
            </w:tcBorders>
          </w:tcPr>
          <w:p>
            <w:pPr>
              <w:pStyle w:val="TableParagraph"/>
              <w:spacing w:before="51"/>
              <w:ind w:left="119"/>
              <w:rPr>
                <w:sz w:val="16"/>
              </w:rPr>
            </w:pPr>
            <w:r>
              <w:rPr>
                <w:spacing w:val="-5"/>
                <w:sz w:val="16"/>
              </w:rPr>
              <w:t>12</w:t>
            </w:r>
          </w:p>
        </w:tc>
        <w:tc>
          <w:tcPr>
            <w:tcW w:w="1098" w:type="dxa"/>
            <w:tcBorders>
              <w:left w:val="single" w:sz="4" w:space="0" w:color="000000"/>
              <w:right w:val="single" w:sz="4" w:space="0" w:color="000000"/>
            </w:tcBorders>
          </w:tcPr>
          <w:p>
            <w:pPr>
              <w:pStyle w:val="TableParagraph"/>
              <w:spacing w:before="51"/>
              <w:ind w:left="118"/>
              <w:rPr>
                <w:sz w:val="16"/>
              </w:rPr>
            </w:pPr>
            <w:r>
              <w:rPr>
                <w:spacing w:val="-2"/>
                <w:sz w:val="16"/>
              </w:rPr>
              <w:t>20.0%</w:t>
            </w:r>
          </w:p>
          <w:p>
            <w:pPr>
              <w:pStyle w:val="TableParagraph"/>
              <w:spacing w:before="45"/>
              <w:ind w:left="113"/>
              <w:rPr>
                <w:sz w:val="16"/>
              </w:rPr>
            </w:pPr>
            <w:r>
              <w:rPr>
                <w:sz w:val="16"/>
              </w:rPr>
              <w:t>(</w:t>
            </w:r>
            <w:r>
              <w:rPr>
                <w:spacing w:val="-2"/>
                <w:sz w:val="16"/>
              </w:rPr>
              <w:t> </w:t>
            </w:r>
            <w:r>
              <w:rPr>
                <w:spacing w:val="-4"/>
                <w:sz w:val="16"/>
              </w:rPr>
              <w:t>16yr)</w:t>
            </w:r>
          </w:p>
        </w:tc>
        <w:tc>
          <w:tcPr>
            <w:tcW w:w="928" w:type="dxa"/>
            <w:tcBorders>
              <w:left w:val="single" w:sz="4" w:space="0" w:color="000000"/>
              <w:right w:val="single" w:sz="4" w:space="0" w:color="000000"/>
            </w:tcBorders>
          </w:tcPr>
          <w:p>
            <w:pPr>
              <w:pStyle w:val="TableParagraph"/>
              <w:spacing w:before="51"/>
              <w:ind w:left="117"/>
              <w:rPr>
                <w:sz w:val="16"/>
              </w:rPr>
            </w:pPr>
            <w:r>
              <w:rPr>
                <w:spacing w:val="-2"/>
                <w:sz w:val="16"/>
              </w:rPr>
              <w:t>0.0430</w:t>
            </w:r>
          </w:p>
        </w:tc>
        <w:tc>
          <w:tcPr>
            <w:tcW w:w="985" w:type="dxa"/>
            <w:tcBorders>
              <w:left w:val="single" w:sz="4" w:space="0" w:color="000000"/>
              <w:right w:val="single" w:sz="4" w:space="0" w:color="000000"/>
            </w:tcBorders>
          </w:tcPr>
          <w:p>
            <w:pPr>
              <w:pStyle w:val="TableParagraph"/>
              <w:spacing w:before="51"/>
              <w:ind w:left="117"/>
              <w:rPr>
                <w:sz w:val="16"/>
              </w:rPr>
            </w:pPr>
            <w:r>
              <w:rPr>
                <w:spacing w:val="-2"/>
                <w:sz w:val="16"/>
              </w:rPr>
              <w:t>BELOW</w:t>
            </w:r>
          </w:p>
        </w:tc>
        <w:tc>
          <w:tcPr>
            <w:tcW w:w="1098" w:type="dxa"/>
            <w:tcBorders>
              <w:left w:val="single" w:sz="4" w:space="0" w:color="000000"/>
              <w:right w:val="single" w:sz="4" w:space="0" w:color="000000"/>
            </w:tcBorders>
          </w:tcPr>
          <w:p>
            <w:pPr>
              <w:pStyle w:val="TableParagraph"/>
              <w:spacing w:before="51"/>
              <w:ind w:left="116"/>
              <w:rPr>
                <w:sz w:val="16"/>
              </w:rPr>
            </w:pPr>
            <w:r>
              <w:rPr>
                <w:spacing w:val="-2"/>
                <w:sz w:val="16"/>
              </w:rPr>
              <w:t>-</w:t>
            </w:r>
            <w:r>
              <w:rPr>
                <w:spacing w:val="-5"/>
                <w:sz w:val="16"/>
              </w:rPr>
              <w:t>392</w:t>
            </w:r>
          </w:p>
        </w:tc>
        <w:tc>
          <w:tcPr>
            <w:tcW w:w="4892" w:type="dxa"/>
            <w:tcBorders>
              <w:left w:val="single" w:sz="4" w:space="0" w:color="000000"/>
            </w:tcBorders>
          </w:tcPr>
          <w:p>
            <w:pPr>
              <w:pStyle w:val="TableParagraph"/>
              <w:spacing w:line="230" w:lineRule="atLeast" w:before="5"/>
              <w:ind w:left="115"/>
              <w:rPr>
                <w:sz w:val="16"/>
              </w:rPr>
            </w:pPr>
            <w:r>
              <w:rPr>
                <w:sz w:val="16"/>
              </w:rPr>
              <w:t>Rainfall</w:t>
            </w:r>
            <w:r>
              <w:rPr>
                <w:spacing w:val="-10"/>
                <w:sz w:val="16"/>
              </w:rPr>
              <w:t> </w:t>
            </w:r>
            <w:r>
              <w:rPr>
                <w:sz w:val="16"/>
              </w:rPr>
              <w:t>post-Flowering</w:t>
            </w:r>
            <w:r>
              <w:rPr>
                <w:spacing w:val="-10"/>
                <w:sz w:val="16"/>
              </w:rPr>
              <w:t> </w:t>
            </w:r>
            <w:r>
              <w:rPr>
                <w:sz w:val="16"/>
              </w:rPr>
              <w:t>[20.7–121</w:t>
            </w:r>
            <w:r>
              <w:rPr>
                <w:spacing w:val="-10"/>
                <w:sz w:val="16"/>
              </w:rPr>
              <w:t> </w:t>
            </w:r>
            <w:r>
              <w:rPr>
                <w:sz w:val="16"/>
              </w:rPr>
              <w:t>mm]</w:t>
            </w:r>
            <w:r>
              <w:rPr>
                <w:spacing w:val="-10"/>
                <w:sz w:val="16"/>
              </w:rPr>
              <w:t> </w:t>
            </w:r>
            <w:r>
              <w:rPr>
                <w:sz w:val="16"/>
              </w:rPr>
              <w:t>AND</w:t>
            </w:r>
            <w:r>
              <w:rPr>
                <w:spacing w:val="-10"/>
                <w:sz w:val="16"/>
              </w:rPr>
              <w:t> </w:t>
            </w:r>
            <w:r>
              <w:rPr>
                <w:sz w:val="16"/>
              </w:rPr>
              <w:t>LAI</w:t>
            </w:r>
            <w:r>
              <w:rPr>
                <w:spacing w:val="-10"/>
                <w:sz w:val="16"/>
              </w:rPr>
              <w:t> </w:t>
            </w:r>
            <w:r>
              <w:rPr>
                <w:sz w:val="16"/>
              </w:rPr>
              <w:t>at</w:t>
            </w:r>
            <w:r>
              <w:rPr>
                <w:spacing w:val="-10"/>
                <w:sz w:val="16"/>
              </w:rPr>
              <w:t> </w:t>
            </w:r>
            <w:r>
              <w:rPr>
                <w:sz w:val="16"/>
              </w:rPr>
              <w:t>Harvest</w:t>
            </w:r>
            <w:r>
              <w:rPr>
                <w:spacing w:val="-10"/>
                <w:sz w:val="16"/>
              </w:rPr>
              <w:t> </w:t>
            </w:r>
            <w:r>
              <w:rPr>
                <w:sz w:val="16"/>
              </w:rPr>
              <w:t>[1.29–2.52</w:t>
            </w:r>
            <w:r>
              <w:rPr>
                <w:spacing w:val="40"/>
                <w:sz w:val="16"/>
              </w:rPr>
              <w:t> </w:t>
            </w:r>
            <w:r>
              <w:rPr>
                <w:spacing w:val="-2"/>
                <w:sz w:val="16"/>
              </w:rPr>
              <w:t>m</w:t>
            </w:r>
            <w:r>
              <w:rPr>
                <w:spacing w:val="-2"/>
                <w:sz w:val="16"/>
                <w:vertAlign w:val="superscript"/>
              </w:rPr>
              <w:t>2</w:t>
            </w:r>
            <w:r>
              <w:rPr>
                <w:spacing w:val="-2"/>
                <w:sz w:val="16"/>
                <w:vertAlign w:val="baseline"/>
              </w:rPr>
              <w:t>/m</w:t>
            </w:r>
            <w:r>
              <w:rPr>
                <w:spacing w:val="-2"/>
                <w:sz w:val="16"/>
                <w:vertAlign w:val="superscript"/>
              </w:rPr>
              <w:t>2</w:t>
            </w:r>
            <w:r>
              <w:rPr>
                <w:spacing w:val="-2"/>
                <w:sz w:val="16"/>
                <w:vertAlign w:val="baseline"/>
              </w:rPr>
              <w:t>]</w:t>
            </w:r>
          </w:p>
        </w:tc>
      </w:tr>
      <w:tr>
        <w:trPr>
          <w:trHeight w:val="528" w:hRule="atLeast"/>
        </w:trPr>
        <w:tc>
          <w:tcPr>
            <w:tcW w:w="470" w:type="dxa"/>
            <w:tcBorders>
              <w:right w:val="single" w:sz="4" w:space="0" w:color="000000"/>
            </w:tcBorders>
          </w:tcPr>
          <w:p>
            <w:pPr>
              <w:pStyle w:val="TableParagraph"/>
              <w:spacing w:before="51"/>
              <w:ind w:left="119"/>
              <w:rPr>
                <w:sz w:val="16"/>
              </w:rPr>
            </w:pPr>
            <w:r>
              <w:rPr>
                <w:spacing w:val="-5"/>
                <w:sz w:val="16"/>
              </w:rPr>
              <w:t>13</w:t>
            </w:r>
          </w:p>
        </w:tc>
        <w:tc>
          <w:tcPr>
            <w:tcW w:w="1098" w:type="dxa"/>
            <w:tcBorders>
              <w:left w:val="single" w:sz="4" w:space="0" w:color="000000"/>
              <w:right w:val="single" w:sz="4" w:space="0" w:color="000000"/>
            </w:tcBorders>
          </w:tcPr>
          <w:p>
            <w:pPr>
              <w:pStyle w:val="TableParagraph"/>
              <w:spacing w:before="51"/>
              <w:ind w:left="118"/>
              <w:rPr>
                <w:sz w:val="16"/>
              </w:rPr>
            </w:pPr>
            <w:r>
              <w:rPr>
                <w:spacing w:val="-2"/>
                <w:sz w:val="16"/>
              </w:rPr>
              <w:t>21.2%</w:t>
            </w:r>
          </w:p>
          <w:p>
            <w:pPr>
              <w:pStyle w:val="TableParagraph"/>
              <w:spacing w:before="45"/>
              <w:ind w:left="113"/>
              <w:rPr>
                <w:sz w:val="16"/>
              </w:rPr>
            </w:pPr>
            <w:r>
              <w:rPr>
                <w:sz w:val="16"/>
              </w:rPr>
              <w:t>(</w:t>
            </w:r>
            <w:r>
              <w:rPr>
                <w:spacing w:val="-2"/>
                <w:sz w:val="16"/>
              </w:rPr>
              <w:t> </w:t>
            </w:r>
            <w:r>
              <w:rPr>
                <w:spacing w:val="-4"/>
                <w:sz w:val="16"/>
              </w:rPr>
              <w:t>17yr)</w:t>
            </w:r>
          </w:p>
        </w:tc>
        <w:tc>
          <w:tcPr>
            <w:tcW w:w="928" w:type="dxa"/>
            <w:tcBorders>
              <w:left w:val="single" w:sz="4" w:space="0" w:color="000000"/>
              <w:right w:val="single" w:sz="4" w:space="0" w:color="000000"/>
            </w:tcBorders>
          </w:tcPr>
          <w:p>
            <w:pPr>
              <w:pStyle w:val="TableParagraph"/>
              <w:spacing w:before="51"/>
              <w:ind w:left="117"/>
              <w:rPr>
                <w:sz w:val="16"/>
              </w:rPr>
            </w:pPr>
            <w:r>
              <w:rPr>
                <w:spacing w:val="-2"/>
                <w:sz w:val="16"/>
              </w:rPr>
              <w:t>0.0433</w:t>
            </w:r>
          </w:p>
        </w:tc>
        <w:tc>
          <w:tcPr>
            <w:tcW w:w="985" w:type="dxa"/>
            <w:tcBorders>
              <w:left w:val="single" w:sz="4" w:space="0" w:color="000000"/>
              <w:right w:val="single" w:sz="4" w:space="0" w:color="000000"/>
            </w:tcBorders>
          </w:tcPr>
          <w:p>
            <w:pPr>
              <w:pStyle w:val="TableParagraph"/>
              <w:spacing w:before="51"/>
              <w:ind w:left="117"/>
              <w:rPr>
                <w:sz w:val="16"/>
              </w:rPr>
            </w:pPr>
            <w:r>
              <w:rPr>
                <w:spacing w:val="-2"/>
                <w:sz w:val="16"/>
              </w:rPr>
              <w:t>BELOW</w:t>
            </w:r>
          </w:p>
        </w:tc>
        <w:tc>
          <w:tcPr>
            <w:tcW w:w="1098" w:type="dxa"/>
            <w:tcBorders>
              <w:left w:val="single" w:sz="4" w:space="0" w:color="000000"/>
              <w:right w:val="single" w:sz="4" w:space="0" w:color="000000"/>
            </w:tcBorders>
          </w:tcPr>
          <w:p>
            <w:pPr>
              <w:pStyle w:val="TableParagraph"/>
              <w:spacing w:before="51"/>
              <w:ind w:left="116"/>
              <w:rPr>
                <w:sz w:val="16"/>
              </w:rPr>
            </w:pPr>
            <w:r>
              <w:rPr>
                <w:spacing w:val="-2"/>
                <w:sz w:val="16"/>
              </w:rPr>
              <w:t>-</w:t>
            </w:r>
            <w:r>
              <w:rPr>
                <w:spacing w:val="-5"/>
                <w:sz w:val="16"/>
              </w:rPr>
              <w:t>320</w:t>
            </w:r>
          </w:p>
        </w:tc>
        <w:tc>
          <w:tcPr>
            <w:tcW w:w="4892" w:type="dxa"/>
            <w:tcBorders>
              <w:left w:val="single" w:sz="4" w:space="0" w:color="000000"/>
            </w:tcBorders>
          </w:tcPr>
          <w:p>
            <w:pPr>
              <w:pStyle w:val="TableParagraph"/>
              <w:spacing w:line="230" w:lineRule="atLeast" w:before="5"/>
              <w:ind w:left="110" w:firstLine="5"/>
              <w:rPr>
                <w:sz w:val="16"/>
              </w:rPr>
            </w:pPr>
            <w:r>
              <w:rPr>
                <w:spacing w:val="-2"/>
                <w:sz w:val="16"/>
              </w:rPr>
              <w:t>Soil</w:t>
            </w:r>
            <w:r>
              <w:rPr>
                <w:spacing w:val="-7"/>
                <w:sz w:val="16"/>
              </w:rPr>
              <w:t> </w:t>
            </w:r>
            <w:r>
              <w:rPr>
                <w:spacing w:val="-2"/>
                <w:sz w:val="16"/>
              </w:rPr>
              <w:t>water</w:t>
            </w:r>
            <w:r>
              <w:rPr>
                <w:spacing w:val="-7"/>
                <w:sz w:val="16"/>
              </w:rPr>
              <w:t> </w:t>
            </w:r>
            <w:r>
              <w:rPr>
                <w:spacing w:val="-2"/>
                <w:sz w:val="16"/>
              </w:rPr>
              <w:t>pre-Harvest</w:t>
            </w:r>
            <w:r>
              <w:rPr>
                <w:spacing w:val="-7"/>
                <w:sz w:val="16"/>
              </w:rPr>
              <w:t> </w:t>
            </w:r>
            <w:r>
              <w:rPr>
                <w:spacing w:val="-2"/>
                <w:sz w:val="16"/>
              </w:rPr>
              <w:t>[61–97</w:t>
            </w:r>
            <w:r>
              <w:rPr>
                <w:spacing w:val="-7"/>
                <w:sz w:val="16"/>
              </w:rPr>
              <w:t> </w:t>
            </w:r>
            <w:r>
              <w:rPr>
                <w:spacing w:val="-2"/>
                <w:sz w:val="16"/>
              </w:rPr>
              <w:t>mm]</w:t>
            </w:r>
            <w:r>
              <w:rPr>
                <w:spacing w:val="-7"/>
                <w:sz w:val="16"/>
              </w:rPr>
              <w:t> </w:t>
            </w:r>
            <w:r>
              <w:rPr>
                <w:spacing w:val="-2"/>
                <w:sz w:val="16"/>
              </w:rPr>
              <w:t>AND</w:t>
            </w:r>
            <w:r>
              <w:rPr>
                <w:spacing w:val="-7"/>
                <w:sz w:val="16"/>
              </w:rPr>
              <w:t> </w:t>
            </w:r>
            <w:r>
              <w:rPr>
                <w:spacing w:val="-2"/>
                <w:sz w:val="16"/>
              </w:rPr>
              <w:t>Heat</w:t>
            </w:r>
            <w:r>
              <w:rPr>
                <w:spacing w:val="-7"/>
                <w:sz w:val="16"/>
              </w:rPr>
              <w:t> </w:t>
            </w:r>
            <w:r>
              <w:rPr>
                <w:spacing w:val="-2"/>
                <w:sz w:val="16"/>
              </w:rPr>
              <w:t>days</w:t>
            </w:r>
            <w:r>
              <w:rPr>
                <w:spacing w:val="-7"/>
                <w:sz w:val="16"/>
              </w:rPr>
              <w:t> </w:t>
            </w:r>
            <w:r>
              <w:rPr>
                <w:spacing w:val="-2"/>
                <w:sz w:val="16"/>
              </w:rPr>
              <w:t>pre-Maturity</w:t>
            </w:r>
            <w:r>
              <w:rPr>
                <w:spacing w:val="-7"/>
                <w:sz w:val="16"/>
              </w:rPr>
              <w:t> </w:t>
            </w:r>
            <w:r>
              <w:rPr>
                <w:spacing w:val="-2"/>
                <w:sz w:val="16"/>
              </w:rPr>
              <w:t>[0–</w:t>
            </w:r>
            <w:r>
              <w:rPr>
                <w:spacing w:val="-2"/>
                <w:sz w:val="16"/>
              </w:rPr>
              <w:t>1.9d]</w:t>
            </w:r>
            <w:r>
              <w:rPr>
                <w:spacing w:val="40"/>
                <w:sz w:val="16"/>
              </w:rPr>
              <w:t> </w:t>
            </w:r>
            <w:r>
              <w:rPr>
                <w:sz w:val="16"/>
              </w:rPr>
              <w:t>AND Heat days post-Flowering [0–1.1d]</w:t>
            </w:r>
          </w:p>
        </w:tc>
      </w:tr>
      <w:tr>
        <w:trPr>
          <w:trHeight w:val="528" w:hRule="atLeast"/>
        </w:trPr>
        <w:tc>
          <w:tcPr>
            <w:tcW w:w="470" w:type="dxa"/>
            <w:tcBorders>
              <w:right w:val="single" w:sz="4" w:space="0" w:color="000000"/>
            </w:tcBorders>
          </w:tcPr>
          <w:p>
            <w:pPr>
              <w:pStyle w:val="TableParagraph"/>
              <w:spacing w:before="51"/>
              <w:ind w:left="119"/>
              <w:rPr>
                <w:sz w:val="16"/>
              </w:rPr>
            </w:pPr>
            <w:r>
              <w:rPr>
                <w:spacing w:val="-5"/>
                <w:sz w:val="16"/>
              </w:rPr>
              <w:t>14</w:t>
            </w:r>
          </w:p>
        </w:tc>
        <w:tc>
          <w:tcPr>
            <w:tcW w:w="1098" w:type="dxa"/>
            <w:tcBorders>
              <w:left w:val="single" w:sz="4" w:space="0" w:color="000000"/>
              <w:right w:val="single" w:sz="4" w:space="0" w:color="000000"/>
            </w:tcBorders>
          </w:tcPr>
          <w:p>
            <w:pPr>
              <w:pStyle w:val="TableParagraph"/>
              <w:spacing w:before="51"/>
              <w:ind w:left="118"/>
              <w:rPr>
                <w:sz w:val="16"/>
              </w:rPr>
            </w:pPr>
            <w:r>
              <w:rPr>
                <w:spacing w:val="-2"/>
                <w:sz w:val="16"/>
              </w:rPr>
              <w:t>21.2%</w:t>
            </w:r>
          </w:p>
          <w:p>
            <w:pPr>
              <w:pStyle w:val="TableParagraph"/>
              <w:spacing w:before="45"/>
              <w:ind w:left="113"/>
              <w:rPr>
                <w:sz w:val="16"/>
              </w:rPr>
            </w:pPr>
            <w:r>
              <w:rPr>
                <w:sz w:val="16"/>
              </w:rPr>
              <w:t>(</w:t>
            </w:r>
            <w:r>
              <w:rPr>
                <w:spacing w:val="-2"/>
                <w:sz w:val="16"/>
              </w:rPr>
              <w:t> </w:t>
            </w:r>
            <w:r>
              <w:rPr>
                <w:spacing w:val="-4"/>
                <w:sz w:val="16"/>
              </w:rPr>
              <w:t>17yr)</w:t>
            </w:r>
          </w:p>
        </w:tc>
        <w:tc>
          <w:tcPr>
            <w:tcW w:w="928" w:type="dxa"/>
            <w:tcBorders>
              <w:left w:val="single" w:sz="4" w:space="0" w:color="000000"/>
              <w:right w:val="single" w:sz="4" w:space="0" w:color="000000"/>
            </w:tcBorders>
          </w:tcPr>
          <w:p>
            <w:pPr>
              <w:pStyle w:val="TableParagraph"/>
              <w:spacing w:before="51"/>
              <w:ind w:left="117"/>
              <w:rPr>
                <w:sz w:val="16"/>
              </w:rPr>
            </w:pPr>
            <w:r>
              <w:rPr>
                <w:spacing w:val="-2"/>
                <w:sz w:val="16"/>
              </w:rPr>
              <w:t>0.0450</w:t>
            </w:r>
          </w:p>
        </w:tc>
        <w:tc>
          <w:tcPr>
            <w:tcW w:w="985" w:type="dxa"/>
            <w:tcBorders>
              <w:left w:val="single" w:sz="4" w:space="0" w:color="000000"/>
              <w:right w:val="single" w:sz="4" w:space="0" w:color="000000"/>
            </w:tcBorders>
          </w:tcPr>
          <w:p>
            <w:pPr>
              <w:pStyle w:val="TableParagraph"/>
              <w:spacing w:before="51"/>
              <w:ind w:left="117"/>
              <w:rPr>
                <w:sz w:val="16"/>
              </w:rPr>
            </w:pPr>
            <w:r>
              <w:rPr>
                <w:spacing w:val="-2"/>
                <w:sz w:val="16"/>
              </w:rPr>
              <w:t>BELOW</w:t>
            </w:r>
          </w:p>
        </w:tc>
        <w:tc>
          <w:tcPr>
            <w:tcW w:w="1098" w:type="dxa"/>
            <w:tcBorders>
              <w:left w:val="single" w:sz="4" w:space="0" w:color="000000"/>
              <w:right w:val="single" w:sz="4" w:space="0" w:color="000000"/>
            </w:tcBorders>
          </w:tcPr>
          <w:p>
            <w:pPr>
              <w:pStyle w:val="TableParagraph"/>
              <w:spacing w:before="51"/>
              <w:ind w:left="116"/>
              <w:rPr>
                <w:sz w:val="16"/>
              </w:rPr>
            </w:pPr>
            <w:r>
              <w:rPr>
                <w:spacing w:val="-2"/>
                <w:sz w:val="16"/>
              </w:rPr>
              <w:t>-</w:t>
            </w:r>
            <w:r>
              <w:rPr>
                <w:spacing w:val="-5"/>
                <w:sz w:val="16"/>
              </w:rPr>
              <w:t>338</w:t>
            </w:r>
          </w:p>
        </w:tc>
        <w:tc>
          <w:tcPr>
            <w:tcW w:w="4892" w:type="dxa"/>
            <w:tcBorders>
              <w:left w:val="single" w:sz="4" w:space="0" w:color="000000"/>
            </w:tcBorders>
          </w:tcPr>
          <w:p>
            <w:pPr>
              <w:pStyle w:val="TableParagraph"/>
              <w:spacing w:line="230" w:lineRule="atLeast" w:before="5"/>
              <w:ind w:left="110" w:firstLine="5"/>
              <w:rPr>
                <w:sz w:val="16"/>
              </w:rPr>
            </w:pPr>
            <w:r>
              <w:rPr>
                <w:spacing w:val="-2"/>
                <w:sz w:val="16"/>
              </w:rPr>
              <w:t>Soil</w:t>
            </w:r>
            <w:r>
              <w:rPr>
                <w:spacing w:val="-7"/>
                <w:sz w:val="16"/>
              </w:rPr>
              <w:t> </w:t>
            </w:r>
            <w:r>
              <w:rPr>
                <w:spacing w:val="-2"/>
                <w:sz w:val="16"/>
              </w:rPr>
              <w:t>water</w:t>
            </w:r>
            <w:r>
              <w:rPr>
                <w:spacing w:val="-7"/>
                <w:sz w:val="16"/>
              </w:rPr>
              <w:t> </w:t>
            </w:r>
            <w:r>
              <w:rPr>
                <w:spacing w:val="-2"/>
                <w:sz w:val="16"/>
              </w:rPr>
              <w:t>pre-Harvest</w:t>
            </w:r>
            <w:r>
              <w:rPr>
                <w:spacing w:val="-7"/>
                <w:sz w:val="16"/>
              </w:rPr>
              <w:t> </w:t>
            </w:r>
            <w:r>
              <w:rPr>
                <w:spacing w:val="-2"/>
                <w:sz w:val="16"/>
              </w:rPr>
              <w:t>[61–97</w:t>
            </w:r>
            <w:r>
              <w:rPr>
                <w:spacing w:val="-7"/>
                <w:sz w:val="16"/>
              </w:rPr>
              <w:t> </w:t>
            </w:r>
            <w:r>
              <w:rPr>
                <w:spacing w:val="-2"/>
                <w:sz w:val="16"/>
              </w:rPr>
              <w:t>mm]</w:t>
            </w:r>
            <w:r>
              <w:rPr>
                <w:spacing w:val="-7"/>
                <w:sz w:val="16"/>
              </w:rPr>
              <w:t> </w:t>
            </w:r>
            <w:r>
              <w:rPr>
                <w:spacing w:val="-2"/>
                <w:sz w:val="16"/>
              </w:rPr>
              <w:t>AND</w:t>
            </w:r>
            <w:r>
              <w:rPr>
                <w:spacing w:val="-7"/>
                <w:sz w:val="16"/>
              </w:rPr>
              <w:t> </w:t>
            </w:r>
            <w:r>
              <w:rPr>
                <w:spacing w:val="-2"/>
                <w:sz w:val="16"/>
              </w:rPr>
              <w:t>Heat</w:t>
            </w:r>
            <w:r>
              <w:rPr>
                <w:spacing w:val="-7"/>
                <w:sz w:val="16"/>
              </w:rPr>
              <w:t> </w:t>
            </w:r>
            <w:r>
              <w:rPr>
                <w:spacing w:val="-2"/>
                <w:sz w:val="16"/>
              </w:rPr>
              <w:t>days</w:t>
            </w:r>
            <w:r>
              <w:rPr>
                <w:spacing w:val="-7"/>
                <w:sz w:val="16"/>
              </w:rPr>
              <w:t> </w:t>
            </w:r>
            <w:r>
              <w:rPr>
                <w:spacing w:val="-2"/>
                <w:sz w:val="16"/>
              </w:rPr>
              <w:t>pre-Maturity</w:t>
            </w:r>
            <w:r>
              <w:rPr>
                <w:spacing w:val="-7"/>
                <w:sz w:val="16"/>
              </w:rPr>
              <w:t> </w:t>
            </w:r>
            <w:r>
              <w:rPr>
                <w:spacing w:val="-2"/>
                <w:sz w:val="16"/>
              </w:rPr>
              <w:t>[0–</w:t>
            </w:r>
            <w:r>
              <w:rPr>
                <w:spacing w:val="-2"/>
                <w:sz w:val="16"/>
              </w:rPr>
              <w:t>1.9d]</w:t>
            </w:r>
            <w:r>
              <w:rPr>
                <w:spacing w:val="40"/>
                <w:sz w:val="16"/>
              </w:rPr>
              <w:t> </w:t>
            </w:r>
            <w:r>
              <w:rPr>
                <w:sz w:val="16"/>
              </w:rPr>
              <w:t>AND Heat days post-Maturity [0–2.4d]</w:t>
            </w:r>
          </w:p>
        </w:tc>
      </w:tr>
      <w:tr>
        <w:trPr>
          <w:trHeight w:val="528" w:hRule="atLeast"/>
        </w:trPr>
        <w:tc>
          <w:tcPr>
            <w:tcW w:w="470" w:type="dxa"/>
            <w:tcBorders>
              <w:right w:val="single" w:sz="4" w:space="0" w:color="000000"/>
            </w:tcBorders>
          </w:tcPr>
          <w:p>
            <w:pPr>
              <w:pStyle w:val="TableParagraph"/>
              <w:spacing w:before="51"/>
              <w:ind w:left="119"/>
              <w:rPr>
                <w:sz w:val="16"/>
              </w:rPr>
            </w:pPr>
            <w:r>
              <w:rPr>
                <w:spacing w:val="-5"/>
                <w:sz w:val="16"/>
              </w:rPr>
              <w:t>15</w:t>
            </w:r>
          </w:p>
        </w:tc>
        <w:tc>
          <w:tcPr>
            <w:tcW w:w="1098" w:type="dxa"/>
            <w:tcBorders>
              <w:left w:val="single" w:sz="4" w:space="0" w:color="000000"/>
              <w:right w:val="single" w:sz="4" w:space="0" w:color="000000"/>
            </w:tcBorders>
          </w:tcPr>
          <w:p>
            <w:pPr>
              <w:pStyle w:val="TableParagraph"/>
              <w:spacing w:before="51"/>
              <w:ind w:left="118"/>
              <w:rPr>
                <w:sz w:val="16"/>
              </w:rPr>
            </w:pPr>
            <w:r>
              <w:rPr>
                <w:spacing w:val="-2"/>
                <w:sz w:val="16"/>
              </w:rPr>
              <w:t>18.8%</w:t>
            </w:r>
          </w:p>
          <w:p>
            <w:pPr>
              <w:pStyle w:val="TableParagraph"/>
              <w:spacing w:before="45"/>
              <w:ind w:left="113"/>
              <w:rPr>
                <w:sz w:val="16"/>
              </w:rPr>
            </w:pPr>
            <w:r>
              <w:rPr>
                <w:sz w:val="16"/>
              </w:rPr>
              <w:t>(</w:t>
            </w:r>
            <w:r>
              <w:rPr>
                <w:spacing w:val="-2"/>
                <w:sz w:val="16"/>
              </w:rPr>
              <w:t> </w:t>
            </w:r>
            <w:r>
              <w:rPr>
                <w:spacing w:val="-4"/>
                <w:sz w:val="16"/>
              </w:rPr>
              <w:t>15yr)</w:t>
            </w:r>
          </w:p>
        </w:tc>
        <w:tc>
          <w:tcPr>
            <w:tcW w:w="928" w:type="dxa"/>
            <w:tcBorders>
              <w:left w:val="single" w:sz="4" w:space="0" w:color="000000"/>
              <w:right w:val="single" w:sz="4" w:space="0" w:color="000000"/>
            </w:tcBorders>
          </w:tcPr>
          <w:p>
            <w:pPr>
              <w:pStyle w:val="TableParagraph"/>
              <w:spacing w:before="51"/>
              <w:ind w:left="117"/>
              <w:rPr>
                <w:sz w:val="16"/>
              </w:rPr>
            </w:pPr>
            <w:r>
              <w:rPr>
                <w:spacing w:val="-2"/>
                <w:sz w:val="16"/>
              </w:rPr>
              <w:t>0.0500</w:t>
            </w:r>
          </w:p>
        </w:tc>
        <w:tc>
          <w:tcPr>
            <w:tcW w:w="985" w:type="dxa"/>
            <w:tcBorders>
              <w:left w:val="single" w:sz="4" w:space="0" w:color="000000"/>
              <w:right w:val="single" w:sz="4" w:space="0" w:color="000000"/>
            </w:tcBorders>
          </w:tcPr>
          <w:p>
            <w:pPr>
              <w:pStyle w:val="TableParagraph"/>
              <w:spacing w:before="51"/>
              <w:ind w:left="117"/>
              <w:rPr>
                <w:sz w:val="16"/>
              </w:rPr>
            </w:pPr>
            <w:r>
              <w:rPr>
                <w:spacing w:val="-2"/>
                <w:sz w:val="16"/>
              </w:rPr>
              <w:t>BELOW</w:t>
            </w:r>
          </w:p>
        </w:tc>
        <w:tc>
          <w:tcPr>
            <w:tcW w:w="1098" w:type="dxa"/>
            <w:tcBorders>
              <w:left w:val="single" w:sz="4" w:space="0" w:color="000000"/>
              <w:right w:val="single" w:sz="4" w:space="0" w:color="000000"/>
            </w:tcBorders>
          </w:tcPr>
          <w:p>
            <w:pPr>
              <w:pStyle w:val="TableParagraph"/>
              <w:spacing w:before="51"/>
              <w:ind w:left="116"/>
              <w:rPr>
                <w:sz w:val="16"/>
              </w:rPr>
            </w:pPr>
            <w:r>
              <w:rPr>
                <w:spacing w:val="-2"/>
                <w:sz w:val="16"/>
              </w:rPr>
              <w:t>-</w:t>
            </w:r>
            <w:r>
              <w:rPr>
                <w:spacing w:val="-5"/>
                <w:sz w:val="16"/>
              </w:rPr>
              <w:t>382</w:t>
            </w:r>
          </w:p>
        </w:tc>
        <w:tc>
          <w:tcPr>
            <w:tcW w:w="4892" w:type="dxa"/>
            <w:tcBorders>
              <w:left w:val="single" w:sz="4" w:space="0" w:color="000000"/>
            </w:tcBorders>
          </w:tcPr>
          <w:p>
            <w:pPr>
              <w:pStyle w:val="TableParagraph"/>
              <w:spacing w:line="230" w:lineRule="atLeast" w:before="5"/>
              <w:ind w:left="115"/>
              <w:rPr>
                <w:sz w:val="16"/>
              </w:rPr>
            </w:pPr>
            <w:r>
              <w:rPr>
                <w:sz w:val="16"/>
              </w:rPr>
              <w:t>Rainfall</w:t>
            </w:r>
            <w:r>
              <w:rPr>
                <w:spacing w:val="-10"/>
                <w:sz w:val="16"/>
              </w:rPr>
              <w:t> </w:t>
            </w:r>
            <w:r>
              <w:rPr>
                <w:sz w:val="16"/>
              </w:rPr>
              <w:t>post-Flowering</w:t>
            </w:r>
            <w:r>
              <w:rPr>
                <w:spacing w:val="-10"/>
                <w:sz w:val="16"/>
              </w:rPr>
              <w:t> </w:t>
            </w:r>
            <w:r>
              <w:rPr>
                <w:sz w:val="16"/>
              </w:rPr>
              <w:t>[20.7–121</w:t>
            </w:r>
            <w:r>
              <w:rPr>
                <w:spacing w:val="-10"/>
                <w:sz w:val="16"/>
              </w:rPr>
              <w:t> </w:t>
            </w:r>
            <w:r>
              <w:rPr>
                <w:sz w:val="16"/>
              </w:rPr>
              <w:t>mm]</w:t>
            </w:r>
            <w:r>
              <w:rPr>
                <w:spacing w:val="-10"/>
                <w:sz w:val="16"/>
              </w:rPr>
              <w:t> </w:t>
            </w:r>
            <w:r>
              <w:rPr>
                <w:sz w:val="16"/>
              </w:rPr>
              <w:t>AND</w:t>
            </w:r>
            <w:r>
              <w:rPr>
                <w:spacing w:val="-10"/>
                <w:sz w:val="16"/>
              </w:rPr>
              <w:t> </w:t>
            </w:r>
            <w:r>
              <w:rPr>
                <w:sz w:val="16"/>
              </w:rPr>
              <w:t>LAI</w:t>
            </w:r>
            <w:r>
              <w:rPr>
                <w:spacing w:val="-10"/>
                <w:sz w:val="16"/>
              </w:rPr>
              <w:t> </w:t>
            </w:r>
            <w:r>
              <w:rPr>
                <w:sz w:val="16"/>
              </w:rPr>
              <w:t>at</w:t>
            </w:r>
            <w:r>
              <w:rPr>
                <w:spacing w:val="-10"/>
                <w:sz w:val="16"/>
              </w:rPr>
              <w:t> </w:t>
            </w:r>
            <w:r>
              <w:rPr>
                <w:sz w:val="16"/>
              </w:rPr>
              <w:t>Harvest</w:t>
            </w:r>
            <w:r>
              <w:rPr>
                <w:spacing w:val="-10"/>
                <w:sz w:val="16"/>
              </w:rPr>
              <w:t> </w:t>
            </w:r>
            <w:r>
              <w:rPr>
                <w:sz w:val="16"/>
              </w:rPr>
              <w:t>[1.29–2.52</w:t>
            </w:r>
            <w:r>
              <w:rPr>
                <w:spacing w:val="40"/>
                <w:sz w:val="16"/>
              </w:rPr>
              <w:t> </w:t>
            </w:r>
            <w:r>
              <w:rPr>
                <w:sz w:val="16"/>
              </w:rPr>
              <w:t>m</w:t>
            </w:r>
            <w:r>
              <w:rPr>
                <w:sz w:val="16"/>
                <w:vertAlign w:val="superscript"/>
              </w:rPr>
              <w:t>2</w:t>
            </w:r>
            <w:r>
              <w:rPr>
                <w:sz w:val="16"/>
                <w:vertAlign w:val="baseline"/>
              </w:rPr>
              <w:t>/m</w:t>
            </w:r>
            <w:r>
              <w:rPr>
                <w:sz w:val="16"/>
                <w:vertAlign w:val="superscript"/>
              </w:rPr>
              <w:t>2</w:t>
            </w:r>
            <w:r>
              <w:rPr>
                <w:sz w:val="16"/>
                <w:vertAlign w:val="baseline"/>
              </w:rPr>
              <w:t>] AND Heat days post-Maturity [0–2.4d]</w:t>
            </w:r>
          </w:p>
        </w:tc>
      </w:tr>
      <w:tr>
        <w:trPr>
          <w:trHeight w:val="528" w:hRule="atLeast"/>
        </w:trPr>
        <w:tc>
          <w:tcPr>
            <w:tcW w:w="470" w:type="dxa"/>
            <w:tcBorders>
              <w:right w:val="single" w:sz="4" w:space="0" w:color="000000"/>
            </w:tcBorders>
          </w:tcPr>
          <w:p>
            <w:pPr>
              <w:pStyle w:val="TableParagraph"/>
              <w:spacing w:before="51"/>
              <w:ind w:left="119"/>
              <w:rPr>
                <w:sz w:val="16"/>
              </w:rPr>
            </w:pPr>
            <w:r>
              <w:rPr>
                <w:spacing w:val="-5"/>
                <w:sz w:val="16"/>
              </w:rPr>
              <w:t>16</w:t>
            </w:r>
          </w:p>
        </w:tc>
        <w:tc>
          <w:tcPr>
            <w:tcW w:w="1098" w:type="dxa"/>
            <w:tcBorders>
              <w:left w:val="single" w:sz="4" w:space="0" w:color="000000"/>
              <w:right w:val="single" w:sz="4" w:space="0" w:color="000000"/>
            </w:tcBorders>
          </w:tcPr>
          <w:p>
            <w:pPr>
              <w:pStyle w:val="TableParagraph"/>
              <w:spacing w:before="51"/>
              <w:ind w:left="118"/>
              <w:rPr>
                <w:sz w:val="16"/>
              </w:rPr>
            </w:pPr>
            <w:r>
              <w:rPr>
                <w:spacing w:val="-2"/>
                <w:sz w:val="16"/>
              </w:rPr>
              <w:t>22.5%</w:t>
            </w:r>
          </w:p>
          <w:p>
            <w:pPr>
              <w:pStyle w:val="TableParagraph"/>
              <w:spacing w:before="45"/>
              <w:ind w:left="113"/>
              <w:rPr>
                <w:sz w:val="16"/>
              </w:rPr>
            </w:pPr>
            <w:r>
              <w:rPr>
                <w:sz w:val="16"/>
              </w:rPr>
              <w:t>(</w:t>
            </w:r>
            <w:r>
              <w:rPr>
                <w:spacing w:val="-2"/>
                <w:sz w:val="16"/>
              </w:rPr>
              <w:t> </w:t>
            </w:r>
            <w:r>
              <w:rPr>
                <w:spacing w:val="-4"/>
                <w:sz w:val="16"/>
              </w:rPr>
              <w:t>18yr)</w:t>
            </w:r>
          </w:p>
        </w:tc>
        <w:tc>
          <w:tcPr>
            <w:tcW w:w="928" w:type="dxa"/>
            <w:tcBorders>
              <w:left w:val="single" w:sz="4" w:space="0" w:color="000000"/>
              <w:right w:val="single" w:sz="4" w:space="0" w:color="000000"/>
            </w:tcBorders>
          </w:tcPr>
          <w:p>
            <w:pPr>
              <w:pStyle w:val="TableParagraph"/>
              <w:spacing w:before="51"/>
              <w:ind w:left="117"/>
              <w:rPr>
                <w:sz w:val="16"/>
              </w:rPr>
            </w:pPr>
            <w:r>
              <w:rPr>
                <w:spacing w:val="-2"/>
                <w:sz w:val="16"/>
              </w:rPr>
              <w:t>0.0514</w:t>
            </w:r>
          </w:p>
        </w:tc>
        <w:tc>
          <w:tcPr>
            <w:tcW w:w="985" w:type="dxa"/>
            <w:tcBorders>
              <w:left w:val="single" w:sz="4" w:space="0" w:color="000000"/>
              <w:right w:val="single" w:sz="4" w:space="0" w:color="000000"/>
            </w:tcBorders>
          </w:tcPr>
          <w:p>
            <w:pPr>
              <w:pStyle w:val="TableParagraph"/>
              <w:spacing w:before="51"/>
              <w:ind w:left="117"/>
              <w:rPr>
                <w:sz w:val="16"/>
              </w:rPr>
            </w:pPr>
            <w:r>
              <w:rPr>
                <w:spacing w:val="-2"/>
                <w:sz w:val="16"/>
              </w:rPr>
              <w:t>BELOW</w:t>
            </w:r>
          </w:p>
        </w:tc>
        <w:tc>
          <w:tcPr>
            <w:tcW w:w="1098" w:type="dxa"/>
            <w:tcBorders>
              <w:left w:val="single" w:sz="4" w:space="0" w:color="000000"/>
              <w:right w:val="single" w:sz="4" w:space="0" w:color="000000"/>
            </w:tcBorders>
          </w:tcPr>
          <w:p>
            <w:pPr>
              <w:pStyle w:val="TableParagraph"/>
              <w:spacing w:before="51"/>
              <w:ind w:left="116"/>
              <w:rPr>
                <w:sz w:val="16"/>
              </w:rPr>
            </w:pPr>
            <w:r>
              <w:rPr>
                <w:spacing w:val="-2"/>
                <w:sz w:val="16"/>
              </w:rPr>
              <w:t>-</w:t>
            </w:r>
            <w:r>
              <w:rPr>
                <w:spacing w:val="-5"/>
                <w:sz w:val="16"/>
              </w:rPr>
              <w:t>289</w:t>
            </w:r>
          </w:p>
        </w:tc>
        <w:tc>
          <w:tcPr>
            <w:tcW w:w="4892" w:type="dxa"/>
            <w:tcBorders>
              <w:left w:val="single" w:sz="4" w:space="0" w:color="000000"/>
            </w:tcBorders>
          </w:tcPr>
          <w:p>
            <w:pPr>
              <w:pStyle w:val="TableParagraph"/>
              <w:spacing w:line="230" w:lineRule="atLeast" w:before="5"/>
              <w:ind w:left="115"/>
              <w:rPr>
                <w:sz w:val="16"/>
              </w:rPr>
            </w:pPr>
            <w:r>
              <w:rPr>
                <w:sz w:val="16"/>
              </w:rPr>
              <w:t>Soil</w:t>
            </w:r>
            <w:r>
              <w:rPr>
                <w:spacing w:val="-4"/>
                <w:sz w:val="16"/>
              </w:rPr>
              <w:t> </w:t>
            </w:r>
            <w:r>
              <w:rPr>
                <w:sz w:val="16"/>
              </w:rPr>
              <w:t>water</w:t>
            </w:r>
            <w:r>
              <w:rPr>
                <w:spacing w:val="-4"/>
                <w:sz w:val="16"/>
              </w:rPr>
              <w:t> </w:t>
            </w:r>
            <w:r>
              <w:rPr>
                <w:sz w:val="16"/>
              </w:rPr>
              <w:t>post-Flowering</w:t>
            </w:r>
            <w:r>
              <w:rPr>
                <w:spacing w:val="-4"/>
                <w:sz w:val="16"/>
              </w:rPr>
              <w:t> </w:t>
            </w:r>
            <w:r>
              <w:rPr>
                <w:sz w:val="16"/>
              </w:rPr>
              <w:t>[143–234</w:t>
            </w:r>
            <w:r>
              <w:rPr>
                <w:spacing w:val="-4"/>
                <w:sz w:val="16"/>
              </w:rPr>
              <w:t> </w:t>
            </w:r>
            <w:r>
              <w:rPr>
                <w:sz w:val="16"/>
              </w:rPr>
              <w:t>mm]</w:t>
            </w:r>
            <w:r>
              <w:rPr>
                <w:spacing w:val="-4"/>
                <w:sz w:val="16"/>
              </w:rPr>
              <w:t> </w:t>
            </w:r>
            <w:r>
              <w:rPr>
                <w:sz w:val="16"/>
              </w:rPr>
              <w:t>AND</w:t>
            </w:r>
            <w:r>
              <w:rPr>
                <w:spacing w:val="-4"/>
                <w:sz w:val="16"/>
              </w:rPr>
              <w:t> </w:t>
            </w:r>
            <w:r>
              <w:rPr>
                <w:sz w:val="16"/>
              </w:rPr>
              <w:t>Heat</w:t>
            </w:r>
            <w:r>
              <w:rPr>
                <w:spacing w:val="-4"/>
                <w:sz w:val="16"/>
              </w:rPr>
              <w:t> </w:t>
            </w:r>
            <w:r>
              <w:rPr>
                <w:sz w:val="16"/>
              </w:rPr>
              <w:t>days</w:t>
            </w:r>
            <w:r>
              <w:rPr>
                <w:spacing w:val="-4"/>
                <w:sz w:val="16"/>
              </w:rPr>
              <w:t> </w:t>
            </w:r>
            <w:r>
              <w:rPr>
                <w:sz w:val="16"/>
              </w:rPr>
              <w:t>post-Maturity</w:t>
            </w:r>
            <w:r>
              <w:rPr>
                <w:spacing w:val="40"/>
                <w:sz w:val="16"/>
              </w:rPr>
              <w:t> </w:t>
            </w:r>
            <w:r>
              <w:rPr>
                <w:sz w:val="16"/>
              </w:rPr>
              <w:t>[0–2.4d] AND Heat days post-Flowering [0–1.1d]</w:t>
            </w:r>
          </w:p>
        </w:tc>
      </w:tr>
      <w:tr>
        <w:trPr>
          <w:trHeight w:val="528" w:hRule="atLeast"/>
        </w:trPr>
        <w:tc>
          <w:tcPr>
            <w:tcW w:w="470" w:type="dxa"/>
            <w:tcBorders>
              <w:right w:val="single" w:sz="4" w:space="0" w:color="000000"/>
            </w:tcBorders>
          </w:tcPr>
          <w:p>
            <w:pPr>
              <w:pStyle w:val="TableParagraph"/>
              <w:spacing w:before="51"/>
              <w:ind w:left="119"/>
              <w:rPr>
                <w:sz w:val="16"/>
              </w:rPr>
            </w:pPr>
            <w:r>
              <w:rPr>
                <w:spacing w:val="-5"/>
                <w:sz w:val="16"/>
              </w:rPr>
              <w:t>17</w:t>
            </w:r>
          </w:p>
        </w:tc>
        <w:tc>
          <w:tcPr>
            <w:tcW w:w="1098" w:type="dxa"/>
            <w:tcBorders>
              <w:left w:val="single" w:sz="4" w:space="0" w:color="000000"/>
              <w:right w:val="single" w:sz="4" w:space="0" w:color="000000"/>
            </w:tcBorders>
          </w:tcPr>
          <w:p>
            <w:pPr>
              <w:pStyle w:val="TableParagraph"/>
              <w:spacing w:before="51"/>
              <w:ind w:left="118"/>
              <w:rPr>
                <w:sz w:val="16"/>
              </w:rPr>
            </w:pPr>
            <w:r>
              <w:rPr>
                <w:spacing w:val="-2"/>
                <w:sz w:val="16"/>
              </w:rPr>
              <w:t>21.2%</w:t>
            </w:r>
          </w:p>
          <w:p>
            <w:pPr>
              <w:pStyle w:val="TableParagraph"/>
              <w:spacing w:before="45"/>
              <w:ind w:left="113"/>
              <w:rPr>
                <w:sz w:val="16"/>
              </w:rPr>
            </w:pPr>
            <w:r>
              <w:rPr>
                <w:sz w:val="16"/>
              </w:rPr>
              <w:t>(</w:t>
            </w:r>
            <w:r>
              <w:rPr>
                <w:spacing w:val="-2"/>
                <w:sz w:val="16"/>
              </w:rPr>
              <w:t> </w:t>
            </w:r>
            <w:r>
              <w:rPr>
                <w:spacing w:val="-4"/>
                <w:sz w:val="16"/>
              </w:rPr>
              <w:t>17yr)</w:t>
            </w:r>
          </w:p>
        </w:tc>
        <w:tc>
          <w:tcPr>
            <w:tcW w:w="928" w:type="dxa"/>
            <w:tcBorders>
              <w:left w:val="single" w:sz="4" w:space="0" w:color="000000"/>
              <w:right w:val="single" w:sz="4" w:space="0" w:color="000000"/>
            </w:tcBorders>
          </w:tcPr>
          <w:p>
            <w:pPr>
              <w:pStyle w:val="TableParagraph"/>
              <w:spacing w:before="51"/>
              <w:ind w:left="117"/>
              <w:rPr>
                <w:sz w:val="16"/>
              </w:rPr>
            </w:pPr>
            <w:r>
              <w:rPr>
                <w:spacing w:val="-2"/>
                <w:sz w:val="16"/>
              </w:rPr>
              <w:t>0.0520</w:t>
            </w:r>
          </w:p>
        </w:tc>
        <w:tc>
          <w:tcPr>
            <w:tcW w:w="985" w:type="dxa"/>
            <w:tcBorders>
              <w:left w:val="single" w:sz="4" w:space="0" w:color="000000"/>
              <w:right w:val="single" w:sz="4" w:space="0" w:color="000000"/>
            </w:tcBorders>
          </w:tcPr>
          <w:p>
            <w:pPr>
              <w:pStyle w:val="TableParagraph"/>
              <w:spacing w:before="51"/>
              <w:ind w:left="117"/>
              <w:rPr>
                <w:sz w:val="16"/>
              </w:rPr>
            </w:pPr>
            <w:r>
              <w:rPr>
                <w:spacing w:val="-2"/>
                <w:sz w:val="16"/>
              </w:rPr>
              <w:t>BELOW</w:t>
            </w:r>
          </w:p>
        </w:tc>
        <w:tc>
          <w:tcPr>
            <w:tcW w:w="1098" w:type="dxa"/>
            <w:tcBorders>
              <w:left w:val="single" w:sz="4" w:space="0" w:color="000000"/>
              <w:right w:val="single" w:sz="4" w:space="0" w:color="000000"/>
            </w:tcBorders>
          </w:tcPr>
          <w:p>
            <w:pPr>
              <w:pStyle w:val="TableParagraph"/>
              <w:spacing w:before="51"/>
              <w:ind w:left="116"/>
              <w:rPr>
                <w:sz w:val="16"/>
              </w:rPr>
            </w:pPr>
            <w:r>
              <w:rPr>
                <w:spacing w:val="-2"/>
                <w:sz w:val="16"/>
              </w:rPr>
              <w:t>-</w:t>
            </w:r>
            <w:r>
              <w:rPr>
                <w:spacing w:val="-5"/>
                <w:sz w:val="16"/>
              </w:rPr>
              <w:t>338</w:t>
            </w:r>
          </w:p>
        </w:tc>
        <w:tc>
          <w:tcPr>
            <w:tcW w:w="4892" w:type="dxa"/>
            <w:tcBorders>
              <w:left w:val="single" w:sz="4" w:space="0" w:color="000000"/>
            </w:tcBorders>
          </w:tcPr>
          <w:p>
            <w:pPr>
              <w:pStyle w:val="TableParagraph"/>
              <w:spacing w:line="230" w:lineRule="atLeast" w:before="5"/>
              <w:ind w:left="115"/>
              <w:rPr>
                <w:sz w:val="16"/>
              </w:rPr>
            </w:pPr>
            <w:r>
              <w:rPr>
                <w:sz w:val="16"/>
              </w:rPr>
              <w:t>Soil water pre-Harvest [61–97 mm] AND Heat days post-Maturity </w:t>
            </w:r>
            <w:r>
              <w:rPr>
                <w:sz w:val="16"/>
              </w:rPr>
              <w:t>[0–</w:t>
            </w:r>
            <w:r>
              <w:rPr>
                <w:spacing w:val="-2"/>
                <w:sz w:val="16"/>
              </w:rPr>
              <w:t>2.4d]</w:t>
            </w:r>
          </w:p>
        </w:tc>
      </w:tr>
      <w:tr>
        <w:trPr>
          <w:trHeight w:val="528" w:hRule="atLeast"/>
        </w:trPr>
        <w:tc>
          <w:tcPr>
            <w:tcW w:w="470" w:type="dxa"/>
            <w:tcBorders>
              <w:right w:val="single" w:sz="4" w:space="0" w:color="000000"/>
            </w:tcBorders>
          </w:tcPr>
          <w:p>
            <w:pPr>
              <w:pStyle w:val="TableParagraph"/>
              <w:spacing w:before="51"/>
              <w:ind w:left="119"/>
              <w:rPr>
                <w:sz w:val="16"/>
              </w:rPr>
            </w:pPr>
            <w:r>
              <w:rPr>
                <w:spacing w:val="-5"/>
                <w:sz w:val="16"/>
              </w:rPr>
              <w:t>18</w:t>
            </w:r>
          </w:p>
        </w:tc>
        <w:tc>
          <w:tcPr>
            <w:tcW w:w="1098" w:type="dxa"/>
            <w:tcBorders>
              <w:left w:val="single" w:sz="4" w:space="0" w:color="000000"/>
              <w:right w:val="single" w:sz="4" w:space="0" w:color="000000"/>
            </w:tcBorders>
          </w:tcPr>
          <w:p>
            <w:pPr>
              <w:pStyle w:val="TableParagraph"/>
              <w:spacing w:before="51"/>
              <w:ind w:left="118"/>
              <w:rPr>
                <w:sz w:val="16"/>
              </w:rPr>
            </w:pPr>
            <w:r>
              <w:rPr>
                <w:spacing w:val="-2"/>
                <w:sz w:val="16"/>
              </w:rPr>
              <w:t>21.2%</w:t>
            </w:r>
          </w:p>
          <w:p>
            <w:pPr>
              <w:pStyle w:val="TableParagraph"/>
              <w:spacing w:before="45"/>
              <w:ind w:left="113"/>
              <w:rPr>
                <w:sz w:val="16"/>
              </w:rPr>
            </w:pPr>
            <w:r>
              <w:rPr>
                <w:sz w:val="16"/>
              </w:rPr>
              <w:t>(</w:t>
            </w:r>
            <w:r>
              <w:rPr>
                <w:spacing w:val="-2"/>
                <w:sz w:val="16"/>
              </w:rPr>
              <w:t> </w:t>
            </w:r>
            <w:r>
              <w:rPr>
                <w:spacing w:val="-4"/>
                <w:sz w:val="16"/>
              </w:rPr>
              <w:t>17yr)</w:t>
            </w:r>
          </w:p>
        </w:tc>
        <w:tc>
          <w:tcPr>
            <w:tcW w:w="928" w:type="dxa"/>
            <w:tcBorders>
              <w:left w:val="single" w:sz="4" w:space="0" w:color="000000"/>
              <w:right w:val="single" w:sz="4" w:space="0" w:color="000000"/>
            </w:tcBorders>
          </w:tcPr>
          <w:p>
            <w:pPr>
              <w:pStyle w:val="TableParagraph"/>
              <w:spacing w:before="51"/>
              <w:ind w:left="117"/>
              <w:rPr>
                <w:sz w:val="16"/>
              </w:rPr>
            </w:pPr>
            <w:r>
              <w:rPr>
                <w:spacing w:val="-2"/>
                <w:sz w:val="16"/>
              </w:rPr>
              <w:t>0.0550</w:t>
            </w:r>
          </w:p>
        </w:tc>
        <w:tc>
          <w:tcPr>
            <w:tcW w:w="985" w:type="dxa"/>
            <w:tcBorders>
              <w:left w:val="single" w:sz="4" w:space="0" w:color="000000"/>
              <w:right w:val="single" w:sz="4" w:space="0" w:color="000000"/>
            </w:tcBorders>
          </w:tcPr>
          <w:p>
            <w:pPr>
              <w:pStyle w:val="TableParagraph"/>
              <w:spacing w:before="51"/>
              <w:ind w:left="117"/>
              <w:rPr>
                <w:sz w:val="16"/>
              </w:rPr>
            </w:pPr>
            <w:r>
              <w:rPr>
                <w:spacing w:val="-2"/>
                <w:sz w:val="16"/>
              </w:rPr>
              <w:t>BELOW</w:t>
            </w:r>
          </w:p>
        </w:tc>
        <w:tc>
          <w:tcPr>
            <w:tcW w:w="1098" w:type="dxa"/>
            <w:tcBorders>
              <w:left w:val="single" w:sz="4" w:space="0" w:color="000000"/>
              <w:right w:val="single" w:sz="4" w:space="0" w:color="000000"/>
            </w:tcBorders>
          </w:tcPr>
          <w:p>
            <w:pPr>
              <w:pStyle w:val="TableParagraph"/>
              <w:spacing w:before="51"/>
              <w:ind w:left="116"/>
              <w:rPr>
                <w:sz w:val="16"/>
              </w:rPr>
            </w:pPr>
            <w:r>
              <w:rPr>
                <w:spacing w:val="-2"/>
                <w:sz w:val="16"/>
              </w:rPr>
              <w:t>-</w:t>
            </w:r>
            <w:r>
              <w:rPr>
                <w:spacing w:val="-5"/>
                <w:sz w:val="16"/>
              </w:rPr>
              <w:t>338</w:t>
            </w:r>
          </w:p>
        </w:tc>
        <w:tc>
          <w:tcPr>
            <w:tcW w:w="4892" w:type="dxa"/>
            <w:tcBorders>
              <w:left w:val="single" w:sz="4" w:space="0" w:color="000000"/>
            </w:tcBorders>
          </w:tcPr>
          <w:p>
            <w:pPr>
              <w:pStyle w:val="TableParagraph"/>
              <w:spacing w:line="230" w:lineRule="atLeast" w:before="5"/>
              <w:ind w:left="103" w:firstLine="11"/>
              <w:rPr>
                <w:sz w:val="16"/>
              </w:rPr>
            </w:pPr>
            <w:r>
              <w:rPr>
                <w:sz w:val="16"/>
              </w:rPr>
              <w:t>Soil water pre-Harvest [61–97 mm] AND Heat days post-Flowering [0–</w:t>
            </w:r>
            <w:r>
              <w:rPr>
                <w:spacing w:val="-2"/>
                <w:sz w:val="16"/>
              </w:rPr>
              <w:t>1.1d]</w:t>
            </w:r>
          </w:p>
        </w:tc>
      </w:tr>
      <w:tr>
        <w:trPr>
          <w:trHeight w:val="528" w:hRule="atLeast"/>
        </w:trPr>
        <w:tc>
          <w:tcPr>
            <w:tcW w:w="470" w:type="dxa"/>
            <w:tcBorders>
              <w:right w:val="single" w:sz="4" w:space="0" w:color="000000"/>
            </w:tcBorders>
          </w:tcPr>
          <w:p>
            <w:pPr>
              <w:pStyle w:val="TableParagraph"/>
              <w:spacing w:before="51"/>
              <w:ind w:left="119"/>
              <w:rPr>
                <w:sz w:val="16"/>
              </w:rPr>
            </w:pPr>
            <w:r>
              <w:rPr>
                <w:spacing w:val="-5"/>
                <w:sz w:val="16"/>
              </w:rPr>
              <w:t>19</w:t>
            </w:r>
          </w:p>
        </w:tc>
        <w:tc>
          <w:tcPr>
            <w:tcW w:w="1098" w:type="dxa"/>
            <w:tcBorders>
              <w:left w:val="single" w:sz="4" w:space="0" w:color="000000"/>
              <w:right w:val="single" w:sz="4" w:space="0" w:color="000000"/>
            </w:tcBorders>
          </w:tcPr>
          <w:p>
            <w:pPr>
              <w:pStyle w:val="TableParagraph"/>
              <w:spacing w:before="51"/>
              <w:ind w:left="118"/>
              <w:rPr>
                <w:sz w:val="16"/>
              </w:rPr>
            </w:pPr>
            <w:r>
              <w:rPr>
                <w:spacing w:val="-2"/>
                <w:sz w:val="16"/>
              </w:rPr>
              <w:t>18.8%</w:t>
            </w:r>
          </w:p>
          <w:p>
            <w:pPr>
              <w:pStyle w:val="TableParagraph"/>
              <w:spacing w:before="45"/>
              <w:ind w:left="113"/>
              <w:rPr>
                <w:sz w:val="16"/>
              </w:rPr>
            </w:pPr>
            <w:r>
              <w:rPr>
                <w:sz w:val="16"/>
              </w:rPr>
              <w:t>(</w:t>
            </w:r>
            <w:r>
              <w:rPr>
                <w:spacing w:val="-2"/>
                <w:sz w:val="16"/>
              </w:rPr>
              <w:t> </w:t>
            </w:r>
            <w:r>
              <w:rPr>
                <w:spacing w:val="-4"/>
                <w:sz w:val="16"/>
              </w:rPr>
              <w:t>15yr)</w:t>
            </w:r>
          </w:p>
        </w:tc>
        <w:tc>
          <w:tcPr>
            <w:tcW w:w="928" w:type="dxa"/>
            <w:tcBorders>
              <w:left w:val="single" w:sz="4" w:space="0" w:color="000000"/>
              <w:right w:val="single" w:sz="4" w:space="0" w:color="000000"/>
            </w:tcBorders>
          </w:tcPr>
          <w:p>
            <w:pPr>
              <w:pStyle w:val="TableParagraph"/>
              <w:spacing w:before="51"/>
              <w:ind w:left="117"/>
              <w:rPr>
                <w:sz w:val="16"/>
              </w:rPr>
            </w:pPr>
            <w:r>
              <w:rPr>
                <w:spacing w:val="-2"/>
                <w:sz w:val="16"/>
              </w:rPr>
              <w:t>0.0600</w:t>
            </w:r>
          </w:p>
        </w:tc>
        <w:tc>
          <w:tcPr>
            <w:tcW w:w="985" w:type="dxa"/>
            <w:tcBorders>
              <w:left w:val="single" w:sz="4" w:space="0" w:color="000000"/>
              <w:right w:val="single" w:sz="4" w:space="0" w:color="000000"/>
            </w:tcBorders>
          </w:tcPr>
          <w:p>
            <w:pPr>
              <w:pStyle w:val="TableParagraph"/>
              <w:spacing w:before="51"/>
              <w:ind w:left="117"/>
              <w:rPr>
                <w:sz w:val="16"/>
              </w:rPr>
            </w:pPr>
            <w:r>
              <w:rPr>
                <w:spacing w:val="-2"/>
                <w:sz w:val="16"/>
              </w:rPr>
              <w:t>BELOW</w:t>
            </w:r>
          </w:p>
        </w:tc>
        <w:tc>
          <w:tcPr>
            <w:tcW w:w="1098" w:type="dxa"/>
            <w:tcBorders>
              <w:left w:val="single" w:sz="4" w:space="0" w:color="000000"/>
              <w:right w:val="single" w:sz="4" w:space="0" w:color="000000"/>
            </w:tcBorders>
          </w:tcPr>
          <w:p>
            <w:pPr>
              <w:pStyle w:val="TableParagraph"/>
              <w:spacing w:before="51"/>
              <w:ind w:left="116"/>
              <w:rPr>
                <w:sz w:val="16"/>
              </w:rPr>
            </w:pPr>
            <w:r>
              <w:rPr>
                <w:spacing w:val="-2"/>
                <w:sz w:val="16"/>
              </w:rPr>
              <w:t>-</w:t>
            </w:r>
            <w:r>
              <w:rPr>
                <w:spacing w:val="-5"/>
                <w:sz w:val="16"/>
              </w:rPr>
              <w:t>289</w:t>
            </w:r>
          </w:p>
        </w:tc>
        <w:tc>
          <w:tcPr>
            <w:tcW w:w="4892" w:type="dxa"/>
            <w:tcBorders>
              <w:left w:val="single" w:sz="4" w:space="0" w:color="000000"/>
            </w:tcBorders>
          </w:tcPr>
          <w:p>
            <w:pPr>
              <w:pStyle w:val="TableParagraph"/>
              <w:spacing w:line="230" w:lineRule="atLeast" w:before="5"/>
              <w:ind w:left="115"/>
              <w:rPr>
                <w:sz w:val="16"/>
              </w:rPr>
            </w:pPr>
            <w:r>
              <w:rPr>
                <w:sz w:val="16"/>
              </w:rPr>
              <w:t>Soil</w:t>
            </w:r>
            <w:r>
              <w:rPr>
                <w:spacing w:val="-4"/>
                <w:sz w:val="16"/>
              </w:rPr>
              <w:t> </w:t>
            </w:r>
            <w:r>
              <w:rPr>
                <w:sz w:val="16"/>
              </w:rPr>
              <w:t>water</w:t>
            </w:r>
            <w:r>
              <w:rPr>
                <w:spacing w:val="-4"/>
                <w:sz w:val="16"/>
              </w:rPr>
              <w:t> </w:t>
            </w:r>
            <w:r>
              <w:rPr>
                <w:sz w:val="16"/>
              </w:rPr>
              <w:t>post-Flowering</w:t>
            </w:r>
            <w:r>
              <w:rPr>
                <w:spacing w:val="-4"/>
                <w:sz w:val="16"/>
              </w:rPr>
              <w:t> </w:t>
            </w:r>
            <w:r>
              <w:rPr>
                <w:sz w:val="16"/>
              </w:rPr>
              <w:t>[143–234</w:t>
            </w:r>
            <w:r>
              <w:rPr>
                <w:spacing w:val="-4"/>
                <w:sz w:val="16"/>
              </w:rPr>
              <w:t> </w:t>
            </w:r>
            <w:r>
              <w:rPr>
                <w:sz w:val="16"/>
              </w:rPr>
              <w:t>mm]</w:t>
            </w:r>
            <w:r>
              <w:rPr>
                <w:spacing w:val="-4"/>
                <w:sz w:val="16"/>
              </w:rPr>
              <w:t> </w:t>
            </w:r>
            <w:r>
              <w:rPr>
                <w:sz w:val="16"/>
              </w:rPr>
              <w:t>AND</w:t>
            </w:r>
            <w:r>
              <w:rPr>
                <w:spacing w:val="-4"/>
                <w:sz w:val="16"/>
              </w:rPr>
              <w:t> </w:t>
            </w:r>
            <w:r>
              <w:rPr>
                <w:sz w:val="16"/>
              </w:rPr>
              <w:t>Heat</w:t>
            </w:r>
            <w:r>
              <w:rPr>
                <w:spacing w:val="-4"/>
                <w:sz w:val="16"/>
              </w:rPr>
              <w:t> </w:t>
            </w:r>
            <w:r>
              <w:rPr>
                <w:sz w:val="16"/>
              </w:rPr>
              <w:t>days</w:t>
            </w:r>
            <w:r>
              <w:rPr>
                <w:spacing w:val="-4"/>
                <w:sz w:val="16"/>
              </w:rPr>
              <w:t> </w:t>
            </w:r>
            <w:r>
              <w:rPr>
                <w:sz w:val="16"/>
              </w:rPr>
              <w:t>post-Maturity</w:t>
            </w:r>
            <w:r>
              <w:rPr>
                <w:spacing w:val="40"/>
                <w:sz w:val="16"/>
              </w:rPr>
              <w:t> </w:t>
            </w:r>
            <w:r>
              <w:rPr>
                <w:sz w:val="16"/>
              </w:rPr>
              <w:t>[0–2.4d] AND Wet-soil days post-Flowering prev.yr [17.5–20d]</w:t>
            </w:r>
          </w:p>
        </w:tc>
      </w:tr>
      <w:tr>
        <w:trPr>
          <w:trHeight w:val="555" w:hRule="atLeast"/>
        </w:trPr>
        <w:tc>
          <w:tcPr>
            <w:tcW w:w="470" w:type="dxa"/>
            <w:tcBorders>
              <w:bottom w:val="single" w:sz="8" w:space="0" w:color="000000"/>
              <w:right w:val="single" w:sz="4" w:space="0" w:color="000000"/>
            </w:tcBorders>
          </w:tcPr>
          <w:p>
            <w:pPr>
              <w:pStyle w:val="TableParagraph"/>
              <w:spacing w:before="51"/>
              <w:ind w:left="119"/>
              <w:rPr>
                <w:sz w:val="16"/>
              </w:rPr>
            </w:pPr>
            <w:r>
              <w:rPr>
                <w:spacing w:val="-5"/>
                <w:sz w:val="16"/>
              </w:rPr>
              <w:t>20</w:t>
            </w:r>
          </w:p>
        </w:tc>
        <w:tc>
          <w:tcPr>
            <w:tcW w:w="1098" w:type="dxa"/>
            <w:tcBorders>
              <w:left w:val="single" w:sz="4" w:space="0" w:color="000000"/>
              <w:bottom w:val="single" w:sz="8" w:space="0" w:color="000000"/>
              <w:right w:val="single" w:sz="4" w:space="0" w:color="000000"/>
            </w:tcBorders>
          </w:tcPr>
          <w:p>
            <w:pPr>
              <w:pStyle w:val="TableParagraph"/>
              <w:spacing w:before="51"/>
              <w:ind w:left="118"/>
              <w:rPr>
                <w:sz w:val="16"/>
              </w:rPr>
            </w:pPr>
            <w:r>
              <w:rPr>
                <w:spacing w:val="-2"/>
                <w:sz w:val="16"/>
              </w:rPr>
              <w:t>23.8%</w:t>
            </w:r>
          </w:p>
          <w:p>
            <w:pPr>
              <w:pStyle w:val="TableParagraph"/>
              <w:spacing w:before="45"/>
              <w:ind w:left="113"/>
              <w:rPr>
                <w:sz w:val="16"/>
              </w:rPr>
            </w:pPr>
            <w:r>
              <w:rPr>
                <w:sz w:val="16"/>
              </w:rPr>
              <w:t>(</w:t>
            </w:r>
            <w:r>
              <w:rPr>
                <w:spacing w:val="-2"/>
                <w:sz w:val="16"/>
              </w:rPr>
              <w:t> </w:t>
            </w:r>
            <w:r>
              <w:rPr>
                <w:spacing w:val="-4"/>
                <w:sz w:val="16"/>
              </w:rPr>
              <w:t>19yr)</w:t>
            </w:r>
          </w:p>
        </w:tc>
        <w:tc>
          <w:tcPr>
            <w:tcW w:w="928" w:type="dxa"/>
            <w:tcBorders>
              <w:left w:val="single" w:sz="4" w:space="0" w:color="000000"/>
              <w:bottom w:val="single" w:sz="8" w:space="0" w:color="000000"/>
              <w:right w:val="single" w:sz="4" w:space="0" w:color="000000"/>
            </w:tcBorders>
          </w:tcPr>
          <w:p>
            <w:pPr>
              <w:pStyle w:val="TableParagraph"/>
              <w:spacing w:before="51"/>
              <w:ind w:left="117"/>
              <w:rPr>
                <w:sz w:val="16"/>
              </w:rPr>
            </w:pPr>
            <w:r>
              <w:rPr>
                <w:spacing w:val="-2"/>
                <w:sz w:val="16"/>
              </w:rPr>
              <w:t>0.0620</w:t>
            </w:r>
          </w:p>
        </w:tc>
        <w:tc>
          <w:tcPr>
            <w:tcW w:w="985" w:type="dxa"/>
            <w:tcBorders>
              <w:left w:val="single" w:sz="4" w:space="0" w:color="000000"/>
              <w:bottom w:val="single" w:sz="8" w:space="0" w:color="000000"/>
              <w:right w:val="single" w:sz="4" w:space="0" w:color="000000"/>
            </w:tcBorders>
          </w:tcPr>
          <w:p>
            <w:pPr>
              <w:pStyle w:val="TableParagraph"/>
              <w:spacing w:before="51"/>
              <w:ind w:left="117"/>
              <w:rPr>
                <w:sz w:val="16"/>
              </w:rPr>
            </w:pPr>
            <w:r>
              <w:rPr>
                <w:spacing w:val="-2"/>
                <w:sz w:val="16"/>
              </w:rPr>
              <w:t>BELOW</w:t>
            </w:r>
          </w:p>
        </w:tc>
        <w:tc>
          <w:tcPr>
            <w:tcW w:w="1098" w:type="dxa"/>
            <w:tcBorders>
              <w:left w:val="single" w:sz="4" w:space="0" w:color="000000"/>
              <w:bottom w:val="single" w:sz="8" w:space="0" w:color="000000"/>
              <w:right w:val="single" w:sz="4" w:space="0" w:color="000000"/>
            </w:tcBorders>
          </w:tcPr>
          <w:p>
            <w:pPr>
              <w:pStyle w:val="TableParagraph"/>
              <w:spacing w:before="51"/>
              <w:ind w:left="116"/>
              <w:rPr>
                <w:sz w:val="16"/>
              </w:rPr>
            </w:pPr>
            <w:r>
              <w:rPr>
                <w:spacing w:val="-2"/>
                <w:sz w:val="16"/>
              </w:rPr>
              <w:t>-</w:t>
            </w:r>
            <w:r>
              <w:rPr>
                <w:spacing w:val="-5"/>
                <w:sz w:val="16"/>
              </w:rPr>
              <w:t>246</w:t>
            </w:r>
          </w:p>
        </w:tc>
        <w:tc>
          <w:tcPr>
            <w:tcW w:w="4892" w:type="dxa"/>
            <w:tcBorders>
              <w:left w:val="single" w:sz="4" w:space="0" w:color="000000"/>
              <w:bottom w:val="single" w:sz="8" w:space="0" w:color="000000"/>
            </w:tcBorders>
          </w:tcPr>
          <w:p>
            <w:pPr>
              <w:pStyle w:val="TableParagraph"/>
              <w:spacing w:line="252" w:lineRule="auto" w:before="3"/>
              <w:ind w:left="115"/>
              <w:rPr>
                <w:sz w:val="16"/>
              </w:rPr>
            </w:pPr>
            <w:r>
              <w:rPr>
                <w:sz w:val="16"/>
              </w:rPr>
              <w:t>Temp post-Flowering [12.6–17.5</w:t>
            </w:r>
            <w:r>
              <w:rPr>
                <w:rFonts w:ascii="Meiryo UI" w:hAnsi="Meiryo UI"/>
                <w:i/>
                <w:sz w:val="16"/>
                <w:vertAlign w:val="superscript"/>
              </w:rPr>
              <w:t>◦</w:t>
            </w:r>
            <w:r>
              <w:rPr>
                <w:sz w:val="16"/>
                <w:vertAlign w:val="baseline"/>
              </w:rPr>
              <w:t>C] AND Heat days post-Maturity </w:t>
            </w:r>
            <w:r>
              <w:rPr>
                <w:sz w:val="16"/>
                <w:vertAlign w:val="baseline"/>
              </w:rPr>
              <w:t>[0–</w:t>
            </w:r>
            <w:r>
              <w:rPr>
                <w:spacing w:val="-2"/>
                <w:sz w:val="16"/>
                <w:vertAlign w:val="baseline"/>
              </w:rPr>
              <w:t>2.4d]</w:t>
            </w:r>
          </w:p>
        </w:tc>
      </w:tr>
    </w:tbl>
    <w:p>
      <w:pPr>
        <w:pStyle w:val="TableParagraph"/>
        <w:spacing w:after="0" w:line="252" w:lineRule="auto"/>
        <w:rPr>
          <w:sz w:val="16"/>
        </w:rPr>
        <w:sectPr>
          <w:pgSz w:w="11910" w:h="16840"/>
          <w:pgMar w:header="1160" w:footer="0" w:top="1420" w:bottom="280" w:left="1275" w:right="425"/>
        </w:sectPr>
      </w:pPr>
    </w:p>
    <w:p>
      <w:pPr>
        <w:pStyle w:val="BodyText"/>
        <w:spacing w:before="153"/>
        <w:rPr>
          <w:sz w:val="28"/>
        </w:rPr>
      </w:pPr>
    </w:p>
    <w:p>
      <w:pPr>
        <w:pStyle w:val="Heading2"/>
        <w:numPr>
          <w:ilvl w:val="1"/>
          <w:numId w:val="40"/>
        </w:numPr>
        <w:tabs>
          <w:tab w:pos="1418" w:val="left" w:leader="none"/>
        </w:tabs>
        <w:spacing w:line="240" w:lineRule="auto" w:before="1" w:after="0"/>
        <w:ind w:left="1418" w:right="0" w:hanging="709"/>
        <w:jc w:val="left"/>
      </w:pPr>
      <w:bookmarkStart w:name="A.4 RIPPER Classification Rules: Both Re" w:id="268"/>
      <w:bookmarkEnd w:id="268"/>
      <w:r>
        <w:rPr>
          <w:b w:val="0"/>
        </w:rPr>
      </w:r>
      <w:bookmarkStart w:name="_bookmark158" w:id="269"/>
      <w:bookmarkEnd w:id="269"/>
      <w:r>
        <w:rPr>
          <w:b w:val="0"/>
        </w:rPr>
      </w:r>
      <w:r>
        <w:rPr/>
        <w:t>RIPPER</w:t>
      </w:r>
      <w:r>
        <w:rPr>
          <w:spacing w:val="16"/>
        </w:rPr>
        <w:t> </w:t>
      </w:r>
      <w:r>
        <w:rPr/>
        <w:t>Classification</w:t>
      </w:r>
      <w:r>
        <w:rPr>
          <w:spacing w:val="16"/>
        </w:rPr>
        <w:t> </w:t>
      </w:r>
      <w:r>
        <w:rPr/>
        <w:t>Rules:</w:t>
      </w:r>
      <w:r>
        <w:rPr>
          <w:spacing w:val="36"/>
        </w:rPr>
        <w:t> </w:t>
      </w:r>
      <w:r>
        <w:rPr/>
        <w:t>Both</w:t>
      </w:r>
      <w:r>
        <w:rPr>
          <w:spacing w:val="16"/>
        </w:rPr>
        <w:t> </w:t>
      </w:r>
      <w:r>
        <w:rPr>
          <w:spacing w:val="-2"/>
        </w:rPr>
        <w:t>Regions</w:t>
      </w:r>
    </w:p>
    <w:p>
      <w:pPr>
        <w:pStyle w:val="BodyText"/>
        <w:spacing w:before="36"/>
        <w:rPr>
          <w:b/>
          <w:sz w:val="28"/>
        </w:rPr>
      </w:pPr>
    </w:p>
    <w:p>
      <w:pPr>
        <w:pStyle w:val="BodyText"/>
        <w:spacing w:before="1"/>
        <w:ind w:left="709"/>
        <w:jc w:val="both"/>
      </w:pPr>
      <w:r>
        <w:rPr/>
        <w:t>RIPPER</w:t>
      </w:r>
      <w:r>
        <w:rPr>
          <w:spacing w:val="9"/>
        </w:rPr>
        <w:t> </w:t>
      </w:r>
      <w:r>
        <w:rPr/>
        <w:t>discovers</w:t>
      </w:r>
      <w:r>
        <w:rPr>
          <w:spacing w:val="10"/>
        </w:rPr>
        <w:t> </w:t>
      </w:r>
      <w:r>
        <w:rPr/>
        <w:t>an</w:t>
      </w:r>
      <w:r>
        <w:rPr>
          <w:spacing w:val="9"/>
        </w:rPr>
        <w:t> </w:t>
      </w:r>
      <w:r>
        <w:rPr/>
        <w:t>ordered</w:t>
      </w:r>
      <w:r>
        <w:rPr>
          <w:spacing w:val="10"/>
        </w:rPr>
        <w:t> </w:t>
      </w:r>
      <w:r>
        <w:rPr/>
        <w:t>rule</w:t>
      </w:r>
      <w:r>
        <w:rPr>
          <w:spacing w:val="10"/>
        </w:rPr>
        <w:t> </w:t>
      </w:r>
      <w:r>
        <w:rPr/>
        <w:t>list</w:t>
      </w:r>
      <w:r>
        <w:rPr>
          <w:spacing w:val="9"/>
        </w:rPr>
        <w:t> </w:t>
      </w:r>
      <w:r>
        <w:rPr/>
        <w:t>for</w:t>
      </w:r>
      <w:r>
        <w:rPr>
          <w:spacing w:val="10"/>
        </w:rPr>
        <w:t> </w:t>
      </w:r>
      <w:r>
        <w:rPr/>
        <w:t>tertile-discretised</w:t>
      </w:r>
      <w:r>
        <w:rPr>
          <w:spacing w:val="10"/>
        </w:rPr>
        <w:t> </w:t>
      </w:r>
      <w:r>
        <w:rPr/>
        <w:t>production</w:t>
      </w:r>
      <w:r>
        <w:rPr>
          <w:spacing w:val="9"/>
        </w:rPr>
        <w:t> </w:t>
      </w:r>
      <w:r>
        <w:rPr/>
        <w:t>classes</w:t>
      </w:r>
      <w:r>
        <w:rPr>
          <w:spacing w:val="10"/>
        </w:rPr>
        <w:t> </w:t>
      </w:r>
      <w:r>
        <w:rPr/>
        <w:t>(Low</w:t>
      </w:r>
      <w:r>
        <w:rPr>
          <w:spacing w:val="9"/>
        </w:rPr>
        <w:t> </w:t>
      </w:r>
      <w:r>
        <w:rPr/>
        <w:t>/</w:t>
      </w:r>
      <w:r>
        <w:rPr>
          <w:spacing w:val="10"/>
        </w:rPr>
        <w:t> </w:t>
      </w:r>
      <w:r>
        <w:rPr>
          <w:spacing w:val="-2"/>
        </w:rPr>
        <w:t>Medium</w:t>
      </w:r>
    </w:p>
    <w:p>
      <w:pPr>
        <w:pStyle w:val="BodyText"/>
        <w:spacing w:line="312" w:lineRule="auto" w:before="75"/>
        <w:ind w:left="709" w:right="952" w:hanging="7"/>
        <w:jc w:val="both"/>
      </w:pPr>
      <w:r>
        <w:rPr/>
        <w:t>/ High).</w:t>
      </w:r>
      <w:r>
        <w:rPr>
          <w:spacing w:val="40"/>
        </w:rPr>
        <w:t> </w:t>
      </w:r>
      <w:r>
        <w:rPr/>
        <w:t>Class boundaries: RDD, Low &lt; 975 mhl, Medium 975–1,239 mhl, High &gt; 1,239 mhl; </w:t>
      </w:r>
      <w:r>
        <w:rPr>
          <w:spacing w:val="-2"/>
        </w:rPr>
        <w:t>RVV,</w:t>
      </w:r>
      <w:r>
        <w:rPr>
          <w:spacing w:val="-12"/>
        </w:rPr>
        <w:t> </w:t>
      </w:r>
      <w:r>
        <w:rPr>
          <w:spacing w:val="-2"/>
        </w:rPr>
        <w:t>Low</w:t>
      </w:r>
      <w:r>
        <w:rPr>
          <w:spacing w:val="-11"/>
        </w:rPr>
        <w:t> </w:t>
      </w:r>
      <w:r>
        <w:rPr>
          <w:spacing w:val="-2"/>
        </w:rPr>
        <w:t>&lt;</w:t>
      </w:r>
      <w:r>
        <w:rPr>
          <w:spacing w:val="-12"/>
        </w:rPr>
        <w:t> </w:t>
      </w:r>
      <w:r>
        <w:rPr>
          <w:spacing w:val="-2"/>
        </w:rPr>
        <w:t>1,090</w:t>
      </w:r>
      <w:r>
        <w:rPr>
          <w:spacing w:val="-11"/>
        </w:rPr>
        <w:t> </w:t>
      </w:r>
      <w:r>
        <w:rPr>
          <w:spacing w:val="-2"/>
        </w:rPr>
        <w:t>mhl,</w:t>
      </w:r>
      <w:r>
        <w:rPr>
          <w:spacing w:val="-11"/>
        </w:rPr>
        <w:t> </w:t>
      </w:r>
      <w:r>
        <w:rPr>
          <w:spacing w:val="-2"/>
        </w:rPr>
        <w:t>Medium</w:t>
      </w:r>
      <w:r>
        <w:rPr>
          <w:spacing w:val="-12"/>
        </w:rPr>
        <w:t> </w:t>
      </w:r>
      <w:r>
        <w:rPr>
          <w:spacing w:val="-2"/>
        </w:rPr>
        <w:t>1,090–1,900</w:t>
      </w:r>
      <w:r>
        <w:rPr>
          <w:spacing w:val="-11"/>
        </w:rPr>
        <w:t> </w:t>
      </w:r>
      <w:r>
        <w:rPr>
          <w:spacing w:val="-2"/>
        </w:rPr>
        <w:t>mhl,</w:t>
      </w:r>
      <w:r>
        <w:rPr>
          <w:spacing w:val="-11"/>
        </w:rPr>
        <w:t> </w:t>
      </w:r>
      <w:r>
        <w:rPr>
          <w:spacing w:val="-2"/>
        </w:rPr>
        <w:t>High</w:t>
      </w:r>
      <w:r>
        <w:rPr>
          <w:spacing w:val="-12"/>
        </w:rPr>
        <w:t> </w:t>
      </w:r>
      <w:r>
        <w:rPr>
          <w:spacing w:val="-2"/>
        </w:rPr>
        <w:t>&gt;</w:t>
      </w:r>
      <w:r>
        <w:rPr>
          <w:spacing w:val="-11"/>
        </w:rPr>
        <w:t> </w:t>
      </w:r>
      <w:r>
        <w:rPr>
          <w:spacing w:val="-2"/>
        </w:rPr>
        <w:t>1,900</w:t>
      </w:r>
      <w:r>
        <w:rPr>
          <w:spacing w:val="-12"/>
        </w:rPr>
        <w:t> </w:t>
      </w:r>
      <w:r>
        <w:rPr>
          <w:spacing w:val="-2"/>
        </w:rPr>
        <w:t>mhl.</w:t>
      </w:r>
      <w:r>
        <w:rPr/>
        <w:t> </w:t>
      </w:r>
      <w:r>
        <w:rPr>
          <w:spacing w:val="-2"/>
        </w:rPr>
        <w:t>Rules</w:t>
      </w:r>
      <w:r>
        <w:rPr>
          <w:spacing w:val="-12"/>
        </w:rPr>
        <w:t> </w:t>
      </w:r>
      <w:r>
        <w:rPr>
          <w:spacing w:val="-2"/>
        </w:rPr>
        <w:t>are</w:t>
      </w:r>
      <w:r>
        <w:rPr>
          <w:spacing w:val="-11"/>
        </w:rPr>
        <w:t> </w:t>
      </w:r>
      <w:r>
        <w:rPr>
          <w:spacing w:val="-2"/>
        </w:rPr>
        <w:t>evaluated</w:t>
      </w:r>
      <w:r>
        <w:rPr>
          <w:spacing w:val="-12"/>
        </w:rPr>
        <w:t> </w:t>
      </w:r>
      <w:r>
        <w:rPr>
          <w:spacing w:val="-2"/>
        </w:rPr>
        <w:t>in</w:t>
      </w:r>
      <w:r>
        <w:rPr>
          <w:spacing w:val="-11"/>
        </w:rPr>
        <w:t> </w:t>
      </w:r>
      <w:r>
        <w:rPr>
          <w:spacing w:val="-2"/>
        </w:rPr>
        <w:t>order; </w:t>
      </w:r>
      <w:r>
        <w:rPr/>
        <w:t>the</w:t>
      </w:r>
      <w:r>
        <w:rPr>
          <w:spacing w:val="-2"/>
        </w:rPr>
        <w:t> </w:t>
      </w:r>
      <w:r>
        <w:rPr/>
        <w:t>first</w:t>
      </w:r>
      <w:r>
        <w:rPr>
          <w:spacing w:val="-2"/>
        </w:rPr>
        <w:t> </w:t>
      </w:r>
      <w:r>
        <w:rPr/>
        <w:t>matching</w:t>
      </w:r>
      <w:r>
        <w:rPr>
          <w:spacing w:val="-2"/>
        </w:rPr>
        <w:t> </w:t>
      </w:r>
      <w:r>
        <w:rPr/>
        <w:t>rule</w:t>
      </w:r>
      <w:r>
        <w:rPr>
          <w:spacing w:val="-2"/>
        </w:rPr>
        <w:t> </w:t>
      </w:r>
      <w:r>
        <w:rPr/>
        <w:t>applies. The</w:t>
      </w:r>
      <w:r>
        <w:rPr>
          <w:spacing w:val="-2"/>
        </w:rPr>
        <w:t> </w:t>
      </w:r>
      <w:r>
        <w:rPr/>
        <w:t>default</w:t>
      </w:r>
      <w:r>
        <w:rPr>
          <w:spacing w:val="-2"/>
        </w:rPr>
        <w:t> </w:t>
      </w:r>
      <w:r>
        <w:rPr/>
        <w:t>rule</w:t>
      </w:r>
      <w:r>
        <w:rPr>
          <w:spacing w:val="-2"/>
        </w:rPr>
        <w:t> </w:t>
      </w:r>
      <w:r>
        <w:rPr/>
        <w:t>covers</w:t>
      </w:r>
      <w:r>
        <w:rPr>
          <w:spacing w:val="-2"/>
        </w:rPr>
        <w:t> </w:t>
      </w:r>
      <w:r>
        <w:rPr/>
        <w:t>all</w:t>
      </w:r>
      <w:r>
        <w:rPr>
          <w:spacing w:val="-2"/>
        </w:rPr>
        <w:t> </w:t>
      </w:r>
      <w:r>
        <w:rPr/>
        <w:t>years</w:t>
      </w:r>
      <w:r>
        <w:rPr>
          <w:spacing w:val="-2"/>
        </w:rPr>
        <w:t> </w:t>
      </w:r>
      <w:r>
        <w:rPr/>
        <w:t>not</w:t>
      </w:r>
      <w:r>
        <w:rPr>
          <w:spacing w:val="-2"/>
        </w:rPr>
        <w:t> </w:t>
      </w:r>
      <w:r>
        <w:rPr/>
        <w:t>matched</w:t>
      </w:r>
      <w:r>
        <w:rPr>
          <w:spacing w:val="-2"/>
        </w:rPr>
        <w:t> </w:t>
      </w:r>
      <w:r>
        <w:rPr/>
        <w:t>by</w:t>
      </w:r>
      <w:r>
        <w:rPr>
          <w:spacing w:val="-2"/>
        </w:rPr>
        <w:t> </w:t>
      </w:r>
      <w:r>
        <w:rPr/>
        <w:t>any</w:t>
      </w:r>
      <w:r>
        <w:rPr>
          <w:spacing w:val="-2"/>
        </w:rPr>
        <w:t> </w:t>
      </w:r>
      <w:r>
        <w:rPr/>
        <w:t>explicit</w:t>
      </w:r>
      <w:r>
        <w:rPr>
          <w:spacing w:val="-2"/>
        </w:rPr>
        <w:t> </w:t>
      </w:r>
      <w:r>
        <w:rPr/>
        <w:t>rule. Cross-validated accuracy is reported per region at the rule-list level; individual rule precision is </w:t>
      </w:r>
      <w:bookmarkStart w:name="_bookmark159" w:id="270"/>
      <w:bookmarkEnd w:id="270"/>
      <w:r>
        <w:rPr/>
        <w:t>training</w:t>
      </w:r>
      <w:r>
        <w:rPr/>
        <w:t>-set precision.</w:t>
      </w:r>
    </w:p>
    <w:p>
      <w:pPr>
        <w:pStyle w:val="BodyText"/>
        <w:spacing w:before="84"/>
      </w:pPr>
    </w:p>
    <w:p>
      <w:pPr>
        <w:spacing w:before="0"/>
        <w:ind w:left="3108" w:right="0" w:firstLine="0"/>
        <w:jc w:val="left"/>
        <w:rPr>
          <w:sz w:val="20"/>
        </w:rPr>
      </w:pPr>
      <w:r>
        <w:rPr>
          <w:b/>
          <w:sz w:val="20"/>
        </w:rPr>
        <w:t>Table</w:t>
      </w:r>
      <w:r>
        <w:rPr>
          <w:b/>
          <w:spacing w:val="-10"/>
          <w:sz w:val="20"/>
        </w:rPr>
        <w:t> </w:t>
      </w:r>
      <w:r>
        <w:rPr>
          <w:b/>
          <w:sz w:val="20"/>
        </w:rPr>
        <w:t>A.5:</w:t>
      </w:r>
      <w:r>
        <w:rPr>
          <w:b/>
          <w:spacing w:val="-1"/>
          <w:sz w:val="20"/>
        </w:rPr>
        <w:t> </w:t>
      </w:r>
      <w:r>
        <w:rPr>
          <w:sz w:val="20"/>
        </w:rPr>
        <w:t>RIPPER</w:t>
      </w:r>
      <w:r>
        <w:rPr>
          <w:spacing w:val="-10"/>
          <w:sz w:val="20"/>
        </w:rPr>
        <w:t> </w:t>
      </w:r>
      <w:r>
        <w:rPr>
          <w:sz w:val="20"/>
        </w:rPr>
        <w:t>classification</w:t>
      </w:r>
      <w:r>
        <w:rPr>
          <w:spacing w:val="-10"/>
          <w:sz w:val="20"/>
        </w:rPr>
        <w:t> </w:t>
      </w:r>
      <w:r>
        <w:rPr>
          <w:sz w:val="20"/>
        </w:rPr>
        <w:t>rules</w:t>
      </w:r>
      <w:r>
        <w:rPr>
          <w:spacing w:val="-10"/>
          <w:sz w:val="20"/>
        </w:rPr>
        <w:t> </w:t>
      </w:r>
      <w:r>
        <w:rPr>
          <w:sz w:val="20"/>
        </w:rPr>
        <w:t>for</w:t>
      </w:r>
      <w:r>
        <w:rPr>
          <w:spacing w:val="-10"/>
          <w:sz w:val="20"/>
        </w:rPr>
        <w:t> </w:t>
      </w:r>
      <w:r>
        <w:rPr>
          <w:sz w:val="20"/>
        </w:rPr>
        <w:t>both</w:t>
      </w:r>
      <w:r>
        <w:rPr>
          <w:spacing w:val="-10"/>
          <w:sz w:val="20"/>
        </w:rPr>
        <w:t> </w:t>
      </w:r>
      <w:r>
        <w:rPr>
          <w:spacing w:val="-2"/>
          <w:sz w:val="20"/>
        </w:rPr>
        <w:t>regions.</w:t>
      </w:r>
    </w:p>
    <w:p>
      <w:pPr>
        <w:pStyle w:val="BodyText"/>
        <w:spacing w:before="5"/>
        <w:rPr>
          <w:sz w:val="18"/>
        </w:rPr>
      </w:pPr>
      <w:r>
        <w:rPr>
          <w:sz w:val="18"/>
        </w:rPr>
        <mc:AlternateContent>
          <mc:Choice Requires="wps">
            <w:drawing>
              <wp:anchor distT="0" distB="0" distL="0" distR="0" allowOverlap="1" layoutInCell="1" locked="0" behindDoc="1" simplePos="0" relativeHeight="487635456">
                <wp:simplePos x="0" y="0"/>
                <wp:positionH relativeFrom="page">
                  <wp:posOffset>1260005</wp:posOffset>
                </wp:positionH>
                <wp:positionV relativeFrom="paragraph">
                  <wp:posOffset>150263</wp:posOffset>
                </wp:positionV>
                <wp:extent cx="5917565" cy="1270"/>
                <wp:effectExtent l="0" t="0" r="0" b="0"/>
                <wp:wrapTopAndBottom/>
                <wp:docPr id="265" name="Graphic 265"/>
                <wp:cNvGraphicFramePr>
                  <a:graphicFrameLocks/>
                </wp:cNvGraphicFramePr>
                <a:graphic>
                  <a:graphicData uri="http://schemas.microsoft.com/office/word/2010/wordprocessingShape">
                    <wps:wsp>
                      <wps:cNvPr id="265" name="Graphic 265"/>
                      <wps:cNvSpPr/>
                      <wps:spPr>
                        <a:xfrm>
                          <a:off x="0" y="0"/>
                          <a:ext cx="5917565" cy="1270"/>
                        </a:xfrm>
                        <a:custGeom>
                          <a:avLst/>
                          <a:gdLst/>
                          <a:ahLst/>
                          <a:cxnLst/>
                          <a:rect l="l" t="t" r="r" b="b"/>
                          <a:pathLst>
                            <a:path w="5917565" h="0">
                              <a:moveTo>
                                <a:pt x="0" y="0"/>
                              </a:moveTo>
                              <a:lnTo>
                                <a:pt x="591717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1.831752pt;width:465.95pt;height:.1pt;mso-position-horizontal-relative:page;mso-position-vertical-relative:paragraph;z-index:-15681024;mso-wrap-distance-left:0;mso-wrap-distance-right:0" id="docshape229" coordorigin="1984,237" coordsize="9319,0" path="m1984,237l11303,237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7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70"/>
        <w:gridCol w:w="814"/>
        <w:gridCol w:w="2628"/>
        <w:gridCol w:w="1097"/>
        <w:gridCol w:w="1040"/>
        <w:gridCol w:w="1040"/>
        <w:gridCol w:w="2227"/>
      </w:tblGrid>
      <w:tr>
        <w:trPr>
          <w:trHeight w:val="646" w:hRule="atLeast"/>
        </w:trPr>
        <w:tc>
          <w:tcPr>
            <w:tcW w:w="470" w:type="dxa"/>
            <w:tcBorders>
              <w:top w:val="nil"/>
              <w:left w:val="nil"/>
              <w:right w:val="single" w:sz="4" w:space="0" w:color="000000"/>
            </w:tcBorders>
          </w:tcPr>
          <w:p>
            <w:pPr>
              <w:pStyle w:val="TableParagraph"/>
              <w:spacing w:before="74"/>
              <w:ind w:left="119"/>
              <w:rPr>
                <w:sz w:val="18"/>
              </w:rPr>
            </w:pPr>
            <w:r>
              <w:rPr>
                <w:spacing w:val="-10"/>
                <w:sz w:val="18"/>
              </w:rPr>
              <w:t>#</w:t>
            </w:r>
          </w:p>
        </w:tc>
        <w:tc>
          <w:tcPr>
            <w:tcW w:w="814" w:type="dxa"/>
            <w:tcBorders>
              <w:top w:val="nil"/>
              <w:left w:val="single" w:sz="4" w:space="0" w:color="000000"/>
              <w:right w:val="single" w:sz="4" w:space="0" w:color="000000"/>
            </w:tcBorders>
          </w:tcPr>
          <w:p>
            <w:pPr>
              <w:pStyle w:val="TableParagraph"/>
              <w:spacing w:before="74"/>
              <w:ind w:left="118"/>
              <w:rPr>
                <w:sz w:val="18"/>
              </w:rPr>
            </w:pPr>
            <w:r>
              <w:rPr>
                <w:spacing w:val="-2"/>
                <w:sz w:val="18"/>
              </w:rPr>
              <w:t>Region</w:t>
            </w:r>
          </w:p>
        </w:tc>
        <w:tc>
          <w:tcPr>
            <w:tcW w:w="2628" w:type="dxa"/>
            <w:tcBorders>
              <w:top w:val="nil"/>
              <w:left w:val="single" w:sz="4" w:space="0" w:color="000000"/>
              <w:right w:val="single" w:sz="4" w:space="0" w:color="000000"/>
            </w:tcBorders>
          </w:tcPr>
          <w:p>
            <w:pPr>
              <w:pStyle w:val="TableParagraph"/>
              <w:spacing w:before="74"/>
              <w:ind w:left="118"/>
              <w:rPr>
                <w:sz w:val="18"/>
              </w:rPr>
            </w:pPr>
            <w:r>
              <w:rPr>
                <w:spacing w:val="-2"/>
                <w:sz w:val="18"/>
              </w:rPr>
              <w:t>Conditions</w:t>
            </w:r>
          </w:p>
        </w:tc>
        <w:tc>
          <w:tcPr>
            <w:tcW w:w="1097" w:type="dxa"/>
            <w:tcBorders>
              <w:top w:val="nil"/>
              <w:left w:val="single" w:sz="4" w:space="0" w:color="000000"/>
              <w:right w:val="single" w:sz="4" w:space="0" w:color="000000"/>
            </w:tcBorders>
          </w:tcPr>
          <w:p>
            <w:pPr>
              <w:pStyle w:val="TableParagraph"/>
              <w:spacing w:before="74"/>
              <w:ind w:left="118"/>
              <w:rPr>
                <w:sz w:val="18"/>
              </w:rPr>
            </w:pPr>
            <w:r>
              <w:rPr>
                <w:spacing w:val="-2"/>
                <w:sz w:val="18"/>
              </w:rPr>
              <w:t>Prediction</w:t>
            </w:r>
          </w:p>
        </w:tc>
        <w:tc>
          <w:tcPr>
            <w:tcW w:w="1040" w:type="dxa"/>
            <w:tcBorders>
              <w:top w:val="nil"/>
              <w:left w:val="single" w:sz="4" w:space="0" w:color="000000"/>
              <w:right w:val="single" w:sz="4" w:space="0" w:color="000000"/>
            </w:tcBorders>
          </w:tcPr>
          <w:p>
            <w:pPr>
              <w:pStyle w:val="TableParagraph"/>
              <w:spacing w:before="74"/>
              <w:ind w:left="119"/>
              <w:rPr>
                <w:sz w:val="18"/>
              </w:rPr>
            </w:pPr>
            <w:r>
              <w:rPr>
                <w:spacing w:val="-2"/>
                <w:sz w:val="18"/>
              </w:rPr>
              <w:t>Support</w:t>
            </w:r>
          </w:p>
        </w:tc>
        <w:tc>
          <w:tcPr>
            <w:tcW w:w="1040" w:type="dxa"/>
            <w:tcBorders>
              <w:top w:val="nil"/>
              <w:left w:val="single" w:sz="4" w:space="0" w:color="000000"/>
              <w:right w:val="single" w:sz="4" w:space="0" w:color="000000"/>
            </w:tcBorders>
          </w:tcPr>
          <w:p>
            <w:pPr>
              <w:pStyle w:val="TableParagraph"/>
              <w:spacing w:line="307" w:lineRule="auto" w:before="74"/>
              <w:ind w:left="113" w:firstLine="5"/>
              <w:rPr>
                <w:sz w:val="18"/>
              </w:rPr>
            </w:pPr>
            <w:r>
              <w:rPr>
                <w:spacing w:val="-2"/>
                <w:sz w:val="18"/>
              </w:rPr>
              <w:t>Precision (train)</w:t>
            </w:r>
          </w:p>
        </w:tc>
        <w:tc>
          <w:tcPr>
            <w:tcW w:w="2227" w:type="dxa"/>
            <w:tcBorders>
              <w:top w:val="nil"/>
              <w:left w:val="single" w:sz="4" w:space="0" w:color="000000"/>
              <w:right w:val="nil"/>
            </w:tcBorders>
          </w:tcPr>
          <w:p>
            <w:pPr>
              <w:pStyle w:val="TableParagraph"/>
              <w:spacing w:before="74"/>
              <w:ind w:left="120"/>
              <w:rPr>
                <w:sz w:val="18"/>
              </w:rPr>
            </w:pPr>
            <w:r>
              <w:rPr>
                <w:sz w:val="18"/>
              </w:rPr>
              <w:t>CV</w:t>
            </w:r>
            <w:r>
              <w:rPr>
                <w:spacing w:val="-4"/>
                <w:sz w:val="18"/>
              </w:rPr>
              <w:t> </w:t>
            </w:r>
            <w:r>
              <w:rPr>
                <w:spacing w:val="-2"/>
                <w:sz w:val="18"/>
              </w:rPr>
              <w:t>Accuracy</w:t>
            </w:r>
          </w:p>
        </w:tc>
      </w:tr>
    </w:tbl>
    <w:p>
      <w:pPr>
        <w:pStyle w:val="BodyText"/>
        <w:spacing w:before="11"/>
        <w:rPr>
          <w:sz w:val="4"/>
        </w:rPr>
      </w:pPr>
    </w:p>
    <w:tbl>
      <w:tblPr>
        <w:tblW w:w="0" w:type="auto"/>
        <w:jc w:val="left"/>
        <w:tblInd w:w="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0"/>
        <w:gridCol w:w="814"/>
        <w:gridCol w:w="2628"/>
        <w:gridCol w:w="1097"/>
        <w:gridCol w:w="1040"/>
        <w:gridCol w:w="1040"/>
        <w:gridCol w:w="2227"/>
      </w:tblGrid>
      <w:tr>
        <w:trPr>
          <w:trHeight w:val="307" w:hRule="atLeast"/>
        </w:trPr>
        <w:tc>
          <w:tcPr>
            <w:tcW w:w="470" w:type="dxa"/>
            <w:tcBorders>
              <w:right w:val="single" w:sz="4" w:space="0" w:color="000000"/>
            </w:tcBorders>
          </w:tcPr>
          <w:p>
            <w:pPr>
              <w:pStyle w:val="TableParagraph"/>
              <w:spacing w:before="74"/>
              <w:ind w:left="119"/>
              <w:rPr>
                <w:sz w:val="18"/>
              </w:rPr>
            </w:pPr>
            <w:r>
              <w:rPr>
                <w:spacing w:val="-10"/>
                <w:sz w:val="18"/>
              </w:rPr>
              <w:t>1</w:t>
            </w:r>
          </w:p>
        </w:tc>
        <w:tc>
          <w:tcPr>
            <w:tcW w:w="814" w:type="dxa"/>
            <w:tcBorders>
              <w:left w:val="single" w:sz="4" w:space="0" w:color="000000"/>
              <w:right w:val="single" w:sz="4" w:space="0" w:color="000000"/>
            </w:tcBorders>
          </w:tcPr>
          <w:p>
            <w:pPr>
              <w:pStyle w:val="TableParagraph"/>
              <w:spacing w:before="74"/>
              <w:ind w:left="118"/>
              <w:rPr>
                <w:sz w:val="18"/>
              </w:rPr>
            </w:pPr>
            <w:r>
              <w:rPr>
                <w:spacing w:val="-5"/>
                <w:sz w:val="18"/>
              </w:rPr>
              <w:t>RDD</w:t>
            </w:r>
          </w:p>
        </w:tc>
        <w:tc>
          <w:tcPr>
            <w:tcW w:w="2628" w:type="dxa"/>
            <w:vMerge w:val="restart"/>
            <w:tcBorders>
              <w:left w:val="single" w:sz="4" w:space="0" w:color="000000"/>
              <w:bottom w:val="single" w:sz="8" w:space="0" w:color="000000"/>
              <w:right w:val="single" w:sz="4" w:space="0" w:color="000000"/>
            </w:tcBorders>
          </w:tcPr>
          <w:p>
            <w:pPr>
              <w:pStyle w:val="TableParagraph"/>
              <w:spacing w:line="228" w:lineRule="auto" w:before="82"/>
              <w:ind w:left="118"/>
              <w:rPr>
                <w:sz w:val="18"/>
              </w:rPr>
            </w:pPr>
            <w:r>
              <w:rPr>
                <w:sz w:val="18"/>
              </w:rPr>
              <w:t>Mean</w:t>
            </w:r>
            <w:r>
              <w:rPr>
                <w:spacing w:val="25"/>
                <w:sz w:val="18"/>
              </w:rPr>
              <w:t> </w:t>
            </w:r>
            <w:r>
              <w:rPr>
                <w:sz w:val="18"/>
              </w:rPr>
              <w:t>temp</w:t>
            </w:r>
            <w:r>
              <w:rPr>
                <w:spacing w:val="25"/>
                <w:sz w:val="18"/>
              </w:rPr>
              <w:t> </w:t>
            </w:r>
            <w:r>
              <w:rPr>
                <w:sz w:val="18"/>
              </w:rPr>
              <w:t>at</w:t>
            </w:r>
            <w:r>
              <w:rPr>
                <w:spacing w:val="25"/>
                <w:sz w:val="18"/>
              </w:rPr>
              <w:t> </w:t>
            </w:r>
            <w:r>
              <w:rPr>
                <w:sz w:val="18"/>
              </w:rPr>
              <w:t>Harvest</w:t>
            </w:r>
            <w:r>
              <w:rPr>
                <w:spacing w:val="25"/>
                <w:sz w:val="18"/>
              </w:rPr>
              <w:t> </w:t>
            </w:r>
            <w:r>
              <w:rPr>
                <w:sz w:val="18"/>
              </w:rPr>
              <w:t>(10d</w:t>
            </w:r>
            <w:r>
              <w:rPr>
                <w:spacing w:val="25"/>
                <w:sz w:val="18"/>
              </w:rPr>
              <w:t> </w:t>
            </w:r>
            <w:r>
              <w:rPr>
                <w:sz w:val="18"/>
              </w:rPr>
              <w:t>be-fore) in [21.2–22.8 </w:t>
            </w:r>
            <w:r>
              <w:rPr>
                <w:rFonts w:ascii="Meiryo UI" w:hAnsi="Meiryo UI"/>
                <w:i/>
                <w:position w:val="7"/>
                <w:sz w:val="14"/>
              </w:rPr>
              <w:t>◦</w:t>
            </w:r>
            <w:r>
              <w:rPr>
                <w:sz w:val="18"/>
              </w:rPr>
              <w:t>C]</w:t>
            </w:r>
          </w:p>
          <w:p>
            <w:pPr>
              <w:pStyle w:val="TableParagraph"/>
              <w:spacing w:before="83"/>
              <w:ind w:left="113" w:right="86" w:firstLine="4"/>
              <w:jc w:val="both"/>
              <w:rPr>
                <w:sz w:val="18"/>
              </w:rPr>
            </w:pPr>
            <w:r>
              <w:rPr>
                <w:sz w:val="18"/>
              </w:rPr>
              <w:t>LAI at Budburst (10d before) </w:t>
            </w:r>
            <w:r>
              <w:rPr>
                <w:rFonts w:ascii="Meiryo UI" w:hAnsi="Meiryo UI"/>
                <w:i/>
                <w:sz w:val="18"/>
              </w:rPr>
              <w:t>≥</w:t>
            </w:r>
            <w:r>
              <w:rPr>
                <w:rFonts w:ascii="Meiryo UI" w:hAnsi="Meiryo UI"/>
                <w:i/>
                <w:sz w:val="18"/>
              </w:rPr>
              <w:t> </w:t>
            </w:r>
            <w:r>
              <w:rPr>
                <w:sz w:val="18"/>
              </w:rPr>
              <w:t>0.0016 AND Mean temp at </w:t>
            </w:r>
            <w:r>
              <w:rPr>
                <w:sz w:val="18"/>
              </w:rPr>
              <w:t>Har-vest (20d before) </w:t>
            </w:r>
            <w:r>
              <w:rPr>
                <w:rFonts w:ascii="Meiryo UI" w:hAnsi="Meiryo UI"/>
                <w:i/>
                <w:sz w:val="18"/>
              </w:rPr>
              <w:t>≥</w:t>
            </w:r>
            <w:r>
              <w:rPr>
                <w:rFonts w:ascii="Meiryo UI" w:hAnsi="Meiryo UI"/>
                <w:i/>
                <w:spacing w:val="-1"/>
                <w:sz w:val="18"/>
              </w:rPr>
              <w:t> </w:t>
            </w:r>
            <w:r>
              <w:rPr>
                <w:sz w:val="18"/>
              </w:rPr>
              <w:t>23.1 </w:t>
            </w:r>
            <w:r>
              <w:rPr>
                <w:rFonts w:ascii="Meiryo UI" w:hAnsi="Meiryo UI"/>
                <w:i/>
                <w:position w:val="7"/>
                <w:sz w:val="14"/>
              </w:rPr>
              <w:t>◦</w:t>
            </w:r>
            <w:r>
              <w:rPr>
                <w:sz w:val="18"/>
              </w:rPr>
              <w:t>C</w:t>
            </w:r>
          </w:p>
          <w:p>
            <w:pPr>
              <w:pStyle w:val="TableParagraph"/>
              <w:spacing w:line="220" w:lineRule="auto" w:before="122"/>
              <w:ind w:left="113" w:right="86" w:firstLine="4"/>
              <w:jc w:val="both"/>
              <w:rPr>
                <w:sz w:val="18"/>
              </w:rPr>
            </w:pPr>
            <w:r>
              <w:rPr>
                <w:sz w:val="18"/>
              </w:rPr>
              <w:t>Cold days at Flowering (15d </w:t>
            </w:r>
            <w:r>
              <w:rPr>
                <w:sz w:val="18"/>
              </w:rPr>
              <w:t>be-</w:t>
            </w:r>
            <w:r>
              <w:rPr>
                <w:spacing w:val="-4"/>
                <w:sz w:val="18"/>
              </w:rPr>
              <w:t>fore)</w:t>
            </w:r>
            <w:r>
              <w:rPr>
                <w:spacing w:val="-8"/>
                <w:sz w:val="18"/>
              </w:rPr>
              <w:t> </w:t>
            </w:r>
            <w:r>
              <w:rPr>
                <w:rFonts w:ascii="Meiryo UI" w:hAnsi="Meiryo UI"/>
                <w:i/>
                <w:spacing w:val="-4"/>
                <w:sz w:val="18"/>
              </w:rPr>
              <w:t>≤</w:t>
            </w:r>
            <w:r>
              <w:rPr>
                <w:rFonts w:ascii="Meiryo UI" w:hAnsi="Meiryo UI"/>
                <w:i/>
                <w:spacing w:val="-11"/>
                <w:sz w:val="18"/>
              </w:rPr>
              <w:t> </w:t>
            </w:r>
            <w:r>
              <w:rPr>
                <w:spacing w:val="-4"/>
                <w:sz w:val="18"/>
              </w:rPr>
              <w:t>3</w:t>
            </w:r>
            <w:r>
              <w:rPr>
                <w:spacing w:val="-7"/>
                <w:sz w:val="18"/>
              </w:rPr>
              <w:t> </w:t>
            </w:r>
            <w:r>
              <w:rPr>
                <w:spacing w:val="-4"/>
                <w:sz w:val="18"/>
              </w:rPr>
              <w:t>AND</w:t>
            </w:r>
            <w:r>
              <w:rPr>
                <w:spacing w:val="-8"/>
                <w:sz w:val="18"/>
              </w:rPr>
              <w:t> </w:t>
            </w:r>
            <w:r>
              <w:rPr>
                <w:spacing w:val="-4"/>
                <w:sz w:val="18"/>
              </w:rPr>
              <w:t>Mean</w:t>
            </w:r>
            <w:r>
              <w:rPr>
                <w:spacing w:val="-7"/>
                <w:sz w:val="18"/>
              </w:rPr>
              <w:t> </w:t>
            </w:r>
            <w:r>
              <w:rPr>
                <w:spacing w:val="-4"/>
                <w:sz w:val="18"/>
              </w:rPr>
              <w:t>temp</w:t>
            </w:r>
            <w:r>
              <w:rPr>
                <w:spacing w:val="-7"/>
                <w:sz w:val="18"/>
              </w:rPr>
              <w:t> </w:t>
            </w:r>
            <w:r>
              <w:rPr>
                <w:spacing w:val="-4"/>
                <w:sz w:val="18"/>
              </w:rPr>
              <w:t>at</w:t>
            </w:r>
            <w:r>
              <w:rPr>
                <w:spacing w:val="-7"/>
                <w:sz w:val="18"/>
              </w:rPr>
              <w:t> </w:t>
            </w:r>
            <w:r>
              <w:rPr>
                <w:spacing w:val="-4"/>
                <w:sz w:val="18"/>
              </w:rPr>
              <w:t>Har-</w:t>
            </w:r>
            <w:r>
              <w:rPr>
                <w:sz w:val="18"/>
              </w:rPr>
              <w:t>vest (20d before) </w:t>
            </w:r>
            <w:r>
              <w:rPr>
                <w:rFonts w:ascii="Meiryo UI" w:hAnsi="Meiryo UI"/>
                <w:i/>
                <w:sz w:val="18"/>
              </w:rPr>
              <w:t>≤</w:t>
            </w:r>
            <w:r>
              <w:rPr>
                <w:rFonts w:ascii="Meiryo UI" w:hAnsi="Meiryo UI"/>
                <w:i/>
                <w:spacing w:val="-1"/>
                <w:sz w:val="18"/>
              </w:rPr>
              <w:t> </w:t>
            </w:r>
            <w:r>
              <w:rPr>
                <w:sz w:val="18"/>
              </w:rPr>
              <w:t>21.3 </w:t>
            </w:r>
            <w:r>
              <w:rPr>
                <w:rFonts w:ascii="Meiryo UI" w:hAnsi="Meiryo UI"/>
                <w:i/>
                <w:position w:val="7"/>
                <w:sz w:val="14"/>
              </w:rPr>
              <w:t>◦</w:t>
            </w:r>
            <w:r>
              <w:rPr>
                <w:sz w:val="18"/>
              </w:rPr>
              <w:t>C</w:t>
            </w:r>
          </w:p>
          <w:p>
            <w:pPr>
              <w:pStyle w:val="TableParagraph"/>
              <w:spacing w:before="106"/>
              <w:ind w:left="118"/>
              <w:rPr>
                <w:sz w:val="18"/>
              </w:rPr>
            </w:pPr>
            <w:r>
              <w:rPr>
                <w:sz w:val="18"/>
              </w:rPr>
              <w:t>(default,</w:t>
            </w:r>
            <w:r>
              <w:rPr>
                <w:spacing w:val="-6"/>
                <w:sz w:val="18"/>
              </w:rPr>
              <w:t> </w:t>
            </w:r>
            <w:r>
              <w:rPr>
                <w:sz w:val="18"/>
              </w:rPr>
              <w:t>all</w:t>
            </w:r>
            <w:r>
              <w:rPr>
                <w:spacing w:val="-6"/>
                <w:sz w:val="18"/>
              </w:rPr>
              <w:t> </w:t>
            </w:r>
            <w:r>
              <w:rPr>
                <w:sz w:val="18"/>
              </w:rPr>
              <w:t>other</w:t>
            </w:r>
            <w:r>
              <w:rPr>
                <w:spacing w:val="-5"/>
                <w:sz w:val="18"/>
              </w:rPr>
              <w:t> </w:t>
            </w:r>
            <w:r>
              <w:rPr>
                <w:spacing w:val="-2"/>
                <w:sz w:val="18"/>
              </w:rPr>
              <w:t>years)</w:t>
            </w:r>
          </w:p>
          <w:p>
            <w:pPr>
              <w:pStyle w:val="TableParagraph"/>
              <w:spacing w:line="213" w:lineRule="auto" w:before="110"/>
              <w:ind w:left="111" w:right="116" w:firstLine="6"/>
              <w:jc w:val="both"/>
              <w:rPr>
                <w:rFonts w:ascii="Meiryo UI" w:hAnsi="Meiryo UI"/>
                <w:i/>
                <w:sz w:val="18"/>
              </w:rPr>
            </w:pPr>
            <w:r>
              <w:rPr>
                <w:sz w:val="18"/>
              </w:rPr>
              <w:t>LAI at Flowering prev.yr </w:t>
            </w:r>
            <w:r>
              <w:rPr>
                <w:rFonts w:ascii="Meiryo UI" w:hAnsi="Meiryo UI"/>
                <w:i/>
                <w:sz w:val="18"/>
              </w:rPr>
              <w:t>≥</w:t>
            </w:r>
            <w:r>
              <w:rPr>
                <w:rFonts w:ascii="Meiryo UI" w:hAnsi="Meiryo UI"/>
                <w:i/>
                <w:spacing w:val="-3"/>
                <w:sz w:val="18"/>
              </w:rPr>
              <w:t> </w:t>
            </w:r>
            <w:r>
              <w:rPr>
                <w:sz w:val="18"/>
              </w:rPr>
              <w:t>2.4 AND</w:t>
            </w:r>
            <w:r>
              <w:rPr>
                <w:spacing w:val="31"/>
                <w:sz w:val="18"/>
              </w:rPr>
              <w:t> </w:t>
            </w:r>
            <w:r>
              <w:rPr>
                <w:sz w:val="18"/>
              </w:rPr>
              <w:t>Budburst</w:t>
            </w:r>
            <w:r>
              <w:rPr>
                <w:spacing w:val="32"/>
                <w:sz w:val="18"/>
              </w:rPr>
              <w:t> </w:t>
            </w:r>
            <w:r>
              <w:rPr>
                <w:sz w:val="18"/>
              </w:rPr>
              <w:t>temp</w:t>
            </w:r>
            <w:r>
              <w:rPr>
                <w:spacing w:val="32"/>
                <w:sz w:val="18"/>
              </w:rPr>
              <w:t> </w:t>
            </w:r>
            <w:r>
              <w:rPr>
                <w:sz w:val="18"/>
              </w:rPr>
              <w:t>prev.yr</w:t>
            </w:r>
            <w:r>
              <w:rPr>
                <w:spacing w:val="32"/>
                <w:sz w:val="18"/>
              </w:rPr>
              <w:t> </w:t>
            </w:r>
            <w:r>
              <w:rPr>
                <w:rFonts w:ascii="Meiryo UI" w:hAnsi="Meiryo UI"/>
                <w:i/>
                <w:spacing w:val="-10"/>
                <w:sz w:val="18"/>
              </w:rPr>
              <w:t>≥</w:t>
            </w:r>
          </w:p>
          <w:p>
            <w:pPr>
              <w:pStyle w:val="TableParagraph"/>
              <w:spacing w:line="239" w:lineRule="exact" w:before="0"/>
              <w:ind w:left="104"/>
              <w:rPr>
                <w:sz w:val="18"/>
              </w:rPr>
            </w:pPr>
            <w:r>
              <w:rPr>
                <w:sz w:val="18"/>
              </w:rPr>
              <w:t>13.3</w:t>
            </w:r>
            <w:r>
              <w:rPr>
                <w:rFonts w:ascii="Meiryo UI" w:hAnsi="Meiryo UI"/>
                <w:i/>
                <w:position w:val="7"/>
                <w:sz w:val="14"/>
              </w:rPr>
              <w:t>◦</w:t>
            </w:r>
            <w:r>
              <w:rPr>
                <w:sz w:val="18"/>
              </w:rPr>
              <w:t>C</w:t>
            </w:r>
            <w:r>
              <w:rPr>
                <w:spacing w:val="-5"/>
                <w:sz w:val="18"/>
              </w:rPr>
              <w:t> </w:t>
            </w:r>
            <w:r>
              <w:rPr>
                <w:sz w:val="18"/>
              </w:rPr>
              <w:t>AND</w:t>
            </w:r>
            <w:r>
              <w:rPr>
                <w:spacing w:val="-5"/>
                <w:sz w:val="18"/>
              </w:rPr>
              <w:t> </w:t>
            </w:r>
            <w:r>
              <w:rPr>
                <w:sz w:val="18"/>
              </w:rPr>
              <w:t>Rainfall</w:t>
            </w:r>
            <w:r>
              <w:rPr>
                <w:spacing w:val="-4"/>
                <w:sz w:val="18"/>
              </w:rPr>
              <w:t> </w:t>
            </w:r>
            <w:r>
              <w:rPr>
                <w:sz w:val="18"/>
              </w:rPr>
              <w:t>at</w:t>
            </w:r>
            <w:r>
              <w:rPr>
                <w:spacing w:val="-5"/>
                <w:sz w:val="18"/>
              </w:rPr>
              <w:t> </w:t>
            </w:r>
            <w:r>
              <w:rPr>
                <w:spacing w:val="-2"/>
                <w:sz w:val="18"/>
              </w:rPr>
              <w:t>Flower-</w:t>
            </w:r>
          </w:p>
          <w:p>
            <w:pPr>
              <w:pStyle w:val="TableParagraph"/>
              <w:spacing w:before="5"/>
              <w:ind w:left="118"/>
              <w:jc w:val="both"/>
              <w:rPr>
                <w:sz w:val="18"/>
              </w:rPr>
            </w:pPr>
            <w:r>
              <w:rPr>
                <w:sz w:val="18"/>
              </w:rPr>
              <w:t>ing</w:t>
            </w:r>
            <w:r>
              <w:rPr>
                <w:spacing w:val="-9"/>
                <w:sz w:val="18"/>
              </w:rPr>
              <w:t> </w:t>
            </w:r>
            <w:r>
              <w:rPr>
                <w:rFonts w:ascii="Meiryo UI" w:hAnsi="Meiryo UI"/>
                <w:i/>
                <w:sz w:val="18"/>
              </w:rPr>
              <w:t>≤</w:t>
            </w:r>
            <w:r>
              <w:rPr>
                <w:rFonts w:ascii="Meiryo UI" w:hAnsi="Meiryo UI"/>
                <w:i/>
                <w:spacing w:val="-17"/>
                <w:sz w:val="18"/>
              </w:rPr>
              <w:t> </w:t>
            </w:r>
            <w:r>
              <w:rPr>
                <w:sz w:val="18"/>
              </w:rPr>
              <w:t>15.9</w:t>
            </w:r>
            <w:r>
              <w:rPr>
                <w:spacing w:val="-5"/>
                <w:sz w:val="18"/>
              </w:rPr>
              <w:t> mm</w:t>
            </w:r>
          </w:p>
          <w:p>
            <w:pPr>
              <w:pStyle w:val="TableParagraph"/>
              <w:spacing w:line="220" w:lineRule="auto" w:before="115"/>
              <w:ind w:left="118" w:right="86"/>
              <w:jc w:val="both"/>
              <w:rPr>
                <w:sz w:val="18"/>
              </w:rPr>
            </w:pPr>
            <w:r>
              <w:rPr>
                <w:sz w:val="18"/>
              </w:rPr>
              <w:t>Mean</w:t>
            </w:r>
            <w:r>
              <w:rPr>
                <w:spacing w:val="-11"/>
                <w:sz w:val="18"/>
              </w:rPr>
              <w:t> </w:t>
            </w:r>
            <w:r>
              <w:rPr>
                <w:sz w:val="18"/>
              </w:rPr>
              <w:t>temp</w:t>
            </w:r>
            <w:r>
              <w:rPr>
                <w:spacing w:val="-11"/>
                <w:sz w:val="18"/>
              </w:rPr>
              <w:t> </w:t>
            </w:r>
            <w:r>
              <w:rPr>
                <w:sz w:val="18"/>
              </w:rPr>
              <w:t>at</w:t>
            </w:r>
            <w:r>
              <w:rPr>
                <w:spacing w:val="-11"/>
                <w:sz w:val="18"/>
              </w:rPr>
              <w:t> </w:t>
            </w:r>
            <w:r>
              <w:rPr>
                <w:sz w:val="18"/>
              </w:rPr>
              <w:t>Flowering</w:t>
            </w:r>
            <w:r>
              <w:rPr>
                <w:spacing w:val="-11"/>
                <w:sz w:val="18"/>
              </w:rPr>
              <w:t> </w:t>
            </w:r>
            <w:r>
              <w:rPr>
                <w:sz w:val="18"/>
              </w:rPr>
              <w:t>(10d</w:t>
            </w:r>
            <w:r>
              <w:rPr>
                <w:spacing w:val="-11"/>
                <w:sz w:val="18"/>
              </w:rPr>
              <w:t> </w:t>
            </w:r>
            <w:r>
              <w:rPr>
                <w:sz w:val="18"/>
              </w:rPr>
              <w:t>be-</w:t>
            </w:r>
            <w:r>
              <w:rPr>
                <w:spacing w:val="-8"/>
                <w:sz w:val="18"/>
              </w:rPr>
              <w:t>fore)</w:t>
            </w:r>
            <w:r>
              <w:rPr>
                <w:spacing w:val="-4"/>
                <w:sz w:val="18"/>
              </w:rPr>
              <w:t> </w:t>
            </w:r>
            <w:r>
              <w:rPr>
                <w:rFonts w:ascii="Meiryo UI" w:hAnsi="Meiryo UI"/>
                <w:i/>
                <w:spacing w:val="-8"/>
                <w:sz w:val="18"/>
              </w:rPr>
              <w:t>≥</w:t>
            </w:r>
            <w:r>
              <w:rPr>
                <w:rFonts w:ascii="Meiryo UI" w:hAnsi="Meiryo UI"/>
                <w:i/>
                <w:spacing w:val="-7"/>
                <w:sz w:val="18"/>
              </w:rPr>
              <w:t> </w:t>
            </w:r>
            <w:r>
              <w:rPr>
                <w:spacing w:val="-8"/>
                <w:sz w:val="18"/>
              </w:rPr>
              <w:t>19.3</w:t>
            </w:r>
            <w:r>
              <w:rPr>
                <w:rFonts w:ascii="Meiryo UI" w:hAnsi="Meiryo UI"/>
                <w:i/>
                <w:spacing w:val="-8"/>
                <w:position w:val="7"/>
                <w:sz w:val="14"/>
              </w:rPr>
              <w:t>◦</w:t>
            </w:r>
            <w:r>
              <w:rPr>
                <w:spacing w:val="-8"/>
                <w:sz w:val="18"/>
              </w:rPr>
              <w:t>C</w:t>
            </w:r>
            <w:r>
              <w:rPr>
                <w:spacing w:val="-3"/>
                <w:sz w:val="18"/>
              </w:rPr>
              <w:t> </w:t>
            </w:r>
            <w:r>
              <w:rPr>
                <w:spacing w:val="-8"/>
                <w:sz w:val="18"/>
              </w:rPr>
              <w:t>AND</w:t>
            </w:r>
            <w:r>
              <w:rPr>
                <w:spacing w:val="-4"/>
                <w:sz w:val="18"/>
              </w:rPr>
              <w:t> </w:t>
            </w:r>
            <w:r>
              <w:rPr>
                <w:spacing w:val="-8"/>
                <w:sz w:val="18"/>
              </w:rPr>
              <w:t>LAI</w:t>
            </w:r>
            <w:r>
              <w:rPr>
                <w:spacing w:val="-3"/>
                <w:sz w:val="18"/>
              </w:rPr>
              <w:t> </w:t>
            </w:r>
            <w:r>
              <w:rPr>
                <w:spacing w:val="-8"/>
                <w:sz w:val="18"/>
              </w:rPr>
              <w:t>at</w:t>
            </w:r>
            <w:r>
              <w:rPr>
                <w:spacing w:val="-3"/>
                <w:sz w:val="18"/>
              </w:rPr>
              <w:t> </w:t>
            </w:r>
            <w:r>
              <w:rPr>
                <w:spacing w:val="-8"/>
                <w:sz w:val="18"/>
              </w:rPr>
              <w:t>Flow-</w:t>
            </w:r>
            <w:r>
              <w:rPr>
                <w:sz w:val="18"/>
              </w:rPr>
              <w:t>ering (10d before) </w:t>
            </w:r>
            <w:r>
              <w:rPr>
                <w:rFonts w:ascii="Meiryo UI" w:hAnsi="Meiryo UI"/>
                <w:i/>
                <w:sz w:val="18"/>
              </w:rPr>
              <w:t>≥ </w:t>
            </w:r>
            <w:r>
              <w:rPr>
                <w:sz w:val="18"/>
              </w:rPr>
              <w:t>2.2</w:t>
            </w:r>
          </w:p>
          <w:p>
            <w:pPr>
              <w:pStyle w:val="TableParagraph"/>
              <w:spacing w:before="106"/>
              <w:ind w:left="118"/>
              <w:rPr>
                <w:sz w:val="18"/>
              </w:rPr>
            </w:pPr>
            <w:r>
              <w:rPr>
                <w:spacing w:val="-4"/>
                <w:sz w:val="18"/>
              </w:rPr>
              <w:t>Soil</w:t>
            </w:r>
            <w:r>
              <w:rPr>
                <w:spacing w:val="-5"/>
                <w:sz w:val="18"/>
              </w:rPr>
              <w:t> </w:t>
            </w:r>
            <w:r>
              <w:rPr>
                <w:spacing w:val="-4"/>
                <w:sz w:val="18"/>
              </w:rPr>
              <w:t>water</w:t>
            </w:r>
            <w:r>
              <w:rPr>
                <w:spacing w:val="-5"/>
                <w:sz w:val="18"/>
              </w:rPr>
              <w:t> </w:t>
            </w:r>
            <w:r>
              <w:rPr>
                <w:spacing w:val="-4"/>
                <w:sz w:val="18"/>
              </w:rPr>
              <w:t>at Flowering</w:t>
            </w:r>
            <w:r>
              <w:rPr>
                <w:spacing w:val="-5"/>
                <w:sz w:val="18"/>
              </w:rPr>
              <w:t> </w:t>
            </w:r>
            <w:r>
              <w:rPr>
                <w:spacing w:val="-4"/>
                <w:sz w:val="18"/>
              </w:rPr>
              <w:t>(30d after)</w:t>
            </w:r>
          </w:p>
          <w:p>
            <w:pPr>
              <w:pStyle w:val="TableParagraph"/>
              <w:spacing w:line="201" w:lineRule="auto" w:before="41"/>
              <w:ind w:left="118" w:right="116"/>
              <w:jc w:val="both"/>
              <w:rPr>
                <w:sz w:val="18"/>
              </w:rPr>
            </w:pPr>
            <w:r>
              <w:rPr>
                <w:rFonts w:ascii="Meiryo UI" w:hAnsi="Meiryo UI"/>
                <w:i/>
                <w:sz w:val="18"/>
              </w:rPr>
              <w:t>≤</w:t>
            </w:r>
            <w:r>
              <w:rPr>
                <w:rFonts w:ascii="Meiryo UI" w:hAnsi="Meiryo UI"/>
                <w:i/>
                <w:spacing w:val="-16"/>
                <w:sz w:val="18"/>
              </w:rPr>
              <w:t> </w:t>
            </w:r>
            <w:r>
              <w:rPr>
                <w:sz w:val="18"/>
              </w:rPr>
              <w:t>123.6</w:t>
            </w:r>
            <w:r>
              <w:rPr>
                <w:spacing w:val="-11"/>
                <w:sz w:val="18"/>
              </w:rPr>
              <w:t> </w:t>
            </w:r>
            <w:r>
              <w:rPr>
                <w:sz w:val="18"/>
              </w:rPr>
              <w:t>mm</w:t>
            </w:r>
            <w:r>
              <w:rPr>
                <w:spacing w:val="-11"/>
                <w:sz w:val="18"/>
              </w:rPr>
              <w:t> </w:t>
            </w:r>
            <w:r>
              <w:rPr>
                <w:sz w:val="18"/>
              </w:rPr>
              <w:t>AND</w:t>
            </w:r>
            <w:r>
              <w:rPr>
                <w:spacing w:val="-9"/>
                <w:sz w:val="18"/>
              </w:rPr>
              <w:t> </w:t>
            </w:r>
            <w:r>
              <w:rPr>
                <w:sz w:val="18"/>
              </w:rPr>
              <w:t>Mean</w:t>
            </w:r>
            <w:r>
              <w:rPr>
                <w:spacing w:val="-8"/>
                <w:sz w:val="18"/>
              </w:rPr>
              <w:t> </w:t>
            </w:r>
            <w:r>
              <w:rPr>
                <w:sz w:val="18"/>
              </w:rPr>
              <w:t>temp</w:t>
            </w:r>
            <w:r>
              <w:rPr>
                <w:spacing w:val="-8"/>
                <w:sz w:val="18"/>
              </w:rPr>
              <w:t> </w:t>
            </w:r>
            <w:r>
              <w:rPr>
                <w:sz w:val="18"/>
              </w:rPr>
              <w:t>at Flowering</w:t>
            </w:r>
            <w:r>
              <w:rPr>
                <w:spacing w:val="-7"/>
                <w:sz w:val="18"/>
              </w:rPr>
              <w:t> </w:t>
            </w:r>
            <w:r>
              <w:rPr>
                <w:sz w:val="18"/>
              </w:rPr>
              <w:t>(15d</w:t>
            </w:r>
            <w:r>
              <w:rPr>
                <w:spacing w:val="-4"/>
                <w:sz w:val="18"/>
              </w:rPr>
              <w:t> </w:t>
            </w:r>
            <w:r>
              <w:rPr>
                <w:sz w:val="18"/>
              </w:rPr>
              <w:t>after)</w:t>
            </w:r>
            <w:r>
              <w:rPr>
                <w:spacing w:val="-4"/>
                <w:sz w:val="18"/>
              </w:rPr>
              <w:t> </w:t>
            </w:r>
            <w:r>
              <w:rPr>
                <w:rFonts w:ascii="Meiryo UI" w:hAnsi="Meiryo UI"/>
                <w:i/>
                <w:sz w:val="18"/>
              </w:rPr>
              <w:t>≥</w:t>
            </w:r>
            <w:r>
              <w:rPr>
                <w:rFonts w:ascii="Meiryo UI" w:hAnsi="Meiryo UI"/>
                <w:i/>
                <w:spacing w:val="-17"/>
                <w:sz w:val="18"/>
              </w:rPr>
              <w:t> </w:t>
            </w:r>
            <w:r>
              <w:rPr>
                <w:sz w:val="18"/>
              </w:rPr>
              <w:t>16.6</w:t>
            </w:r>
            <w:r>
              <w:rPr>
                <w:rFonts w:ascii="Meiryo UI" w:hAnsi="Meiryo UI"/>
                <w:i/>
                <w:position w:val="7"/>
                <w:sz w:val="14"/>
              </w:rPr>
              <w:t>◦</w:t>
            </w:r>
            <w:r>
              <w:rPr>
                <w:sz w:val="18"/>
              </w:rPr>
              <w:t>C</w:t>
            </w:r>
          </w:p>
          <w:p>
            <w:pPr>
              <w:pStyle w:val="TableParagraph"/>
              <w:spacing w:before="110"/>
              <w:ind w:left="118"/>
              <w:rPr>
                <w:sz w:val="18"/>
              </w:rPr>
            </w:pPr>
            <w:r>
              <w:rPr>
                <w:sz w:val="18"/>
              </w:rPr>
              <w:t>(default,</w:t>
            </w:r>
            <w:r>
              <w:rPr>
                <w:spacing w:val="-6"/>
                <w:sz w:val="18"/>
              </w:rPr>
              <w:t> </w:t>
            </w:r>
            <w:r>
              <w:rPr>
                <w:sz w:val="18"/>
              </w:rPr>
              <w:t>all</w:t>
            </w:r>
            <w:r>
              <w:rPr>
                <w:spacing w:val="-6"/>
                <w:sz w:val="18"/>
              </w:rPr>
              <w:t> </w:t>
            </w:r>
            <w:r>
              <w:rPr>
                <w:sz w:val="18"/>
              </w:rPr>
              <w:t>other</w:t>
            </w:r>
            <w:r>
              <w:rPr>
                <w:spacing w:val="-5"/>
                <w:sz w:val="18"/>
              </w:rPr>
              <w:t> </w:t>
            </w:r>
            <w:r>
              <w:rPr>
                <w:spacing w:val="-2"/>
                <w:sz w:val="18"/>
              </w:rPr>
              <w:t>years)</w:t>
            </w:r>
          </w:p>
        </w:tc>
        <w:tc>
          <w:tcPr>
            <w:tcW w:w="1097" w:type="dxa"/>
            <w:tcBorders>
              <w:left w:val="single" w:sz="4" w:space="0" w:color="000000"/>
              <w:right w:val="single" w:sz="4" w:space="0" w:color="000000"/>
            </w:tcBorders>
          </w:tcPr>
          <w:p>
            <w:pPr>
              <w:pStyle w:val="TableParagraph"/>
              <w:spacing w:before="74"/>
              <w:ind w:left="118"/>
              <w:rPr>
                <w:sz w:val="18"/>
              </w:rPr>
            </w:pPr>
            <w:r>
              <w:rPr>
                <w:spacing w:val="-2"/>
                <w:sz w:val="18"/>
              </w:rPr>
              <w:t>MEDIUM</w:t>
            </w:r>
          </w:p>
        </w:tc>
        <w:tc>
          <w:tcPr>
            <w:tcW w:w="1040" w:type="dxa"/>
            <w:tcBorders>
              <w:left w:val="single" w:sz="4" w:space="0" w:color="000000"/>
              <w:right w:val="single" w:sz="4" w:space="0" w:color="000000"/>
            </w:tcBorders>
          </w:tcPr>
          <w:p>
            <w:pPr>
              <w:pStyle w:val="TableParagraph"/>
              <w:spacing w:before="74"/>
              <w:ind w:left="119"/>
              <w:rPr>
                <w:sz w:val="18"/>
              </w:rPr>
            </w:pPr>
            <w:r>
              <w:rPr>
                <w:spacing w:val="-2"/>
                <w:sz w:val="18"/>
              </w:rPr>
              <w:t>21.3%</w:t>
            </w:r>
          </w:p>
        </w:tc>
        <w:tc>
          <w:tcPr>
            <w:tcW w:w="1040" w:type="dxa"/>
            <w:tcBorders>
              <w:left w:val="single" w:sz="4" w:space="0" w:color="000000"/>
              <w:right w:val="single" w:sz="4" w:space="0" w:color="000000"/>
            </w:tcBorders>
          </w:tcPr>
          <w:p>
            <w:pPr>
              <w:pStyle w:val="TableParagraph"/>
              <w:spacing w:before="74"/>
              <w:ind w:left="119"/>
              <w:rPr>
                <w:sz w:val="18"/>
              </w:rPr>
            </w:pPr>
            <w:r>
              <w:rPr>
                <w:spacing w:val="-2"/>
                <w:sz w:val="18"/>
              </w:rPr>
              <w:t>73.7%</w:t>
            </w:r>
          </w:p>
        </w:tc>
        <w:tc>
          <w:tcPr>
            <w:tcW w:w="2227" w:type="dxa"/>
            <w:tcBorders>
              <w:left w:val="single" w:sz="4" w:space="0" w:color="000000"/>
            </w:tcBorders>
          </w:tcPr>
          <w:p>
            <w:pPr>
              <w:pStyle w:val="TableParagraph"/>
              <w:spacing w:before="74"/>
              <w:ind w:left="120"/>
              <w:rPr>
                <w:sz w:val="18"/>
              </w:rPr>
            </w:pPr>
            <w:r>
              <w:rPr>
                <w:spacing w:val="-10"/>
                <w:sz w:val="18"/>
              </w:rPr>
              <w:t>—</w:t>
            </w:r>
          </w:p>
        </w:tc>
      </w:tr>
      <w:tr>
        <w:trPr>
          <w:trHeight w:val="285" w:hRule="atLeast"/>
        </w:trPr>
        <w:tc>
          <w:tcPr>
            <w:tcW w:w="470" w:type="dxa"/>
            <w:tcBorders>
              <w:right w:val="single" w:sz="4" w:space="0" w:color="000000"/>
            </w:tcBorders>
          </w:tcPr>
          <w:p>
            <w:pPr>
              <w:pStyle w:val="TableParagraph"/>
              <w:spacing w:before="0"/>
              <w:rPr>
                <w:sz w:val="20"/>
              </w:rPr>
            </w:pPr>
          </w:p>
        </w:tc>
        <w:tc>
          <w:tcPr>
            <w:tcW w:w="814" w:type="dxa"/>
            <w:tcBorders>
              <w:left w:val="single" w:sz="4" w:space="0" w:color="000000"/>
              <w:right w:val="single" w:sz="4" w:space="0" w:color="000000"/>
            </w:tcBorders>
          </w:tcPr>
          <w:p>
            <w:pPr>
              <w:pStyle w:val="TableParagraph"/>
              <w:spacing w:before="0"/>
              <w:rPr>
                <w:sz w:val="20"/>
              </w:rPr>
            </w:pPr>
          </w:p>
        </w:tc>
        <w:tc>
          <w:tcPr>
            <w:tcW w:w="2628" w:type="dxa"/>
            <w:vMerge/>
            <w:tcBorders>
              <w:top w:val="nil"/>
              <w:left w:val="single" w:sz="4" w:space="0" w:color="000000"/>
              <w:bottom w:val="single" w:sz="8" w:space="0" w:color="000000"/>
              <w:right w:val="single" w:sz="4" w:space="0" w:color="000000"/>
            </w:tcBorders>
          </w:tcPr>
          <w:p>
            <w:pPr>
              <w:rPr>
                <w:sz w:val="2"/>
                <w:szCs w:val="2"/>
              </w:rPr>
            </w:pPr>
          </w:p>
        </w:tc>
        <w:tc>
          <w:tcPr>
            <w:tcW w:w="1097" w:type="dxa"/>
            <w:tcBorders>
              <w:left w:val="single" w:sz="4" w:space="0" w:color="000000"/>
              <w:right w:val="single" w:sz="4" w:space="0" w:color="000000"/>
            </w:tcBorders>
          </w:tcPr>
          <w:p>
            <w:pPr>
              <w:pStyle w:val="TableParagraph"/>
              <w:spacing w:before="0"/>
              <w:rPr>
                <w:sz w:val="20"/>
              </w:rPr>
            </w:pPr>
          </w:p>
        </w:tc>
        <w:tc>
          <w:tcPr>
            <w:tcW w:w="1040" w:type="dxa"/>
            <w:tcBorders>
              <w:left w:val="single" w:sz="4" w:space="0" w:color="000000"/>
              <w:right w:val="single" w:sz="4" w:space="0" w:color="000000"/>
            </w:tcBorders>
          </w:tcPr>
          <w:p>
            <w:pPr>
              <w:pStyle w:val="TableParagraph"/>
              <w:spacing w:before="12"/>
              <w:ind w:left="113"/>
              <w:rPr>
                <w:sz w:val="18"/>
              </w:rPr>
            </w:pPr>
            <w:r>
              <w:rPr>
                <w:spacing w:val="-2"/>
                <w:sz w:val="18"/>
              </w:rPr>
              <w:t>(19yr)</w:t>
            </w:r>
          </w:p>
        </w:tc>
        <w:tc>
          <w:tcPr>
            <w:tcW w:w="1040" w:type="dxa"/>
            <w:tcBorders>
              <w:left w:val="single" w:sz="4" w:space="0" w:color="000000"/>
              <w:right w:val="single" w:sz="4" w:space="0" w:color="000000"/>
            </w:tcBorders>
          </w:tcPr>
          <w:p>
            <w:pPr>
              <w:pStyle w:val="TableParagraph"/>
              <w:spacing w:before="0"/>
              <w:rPr>
                <w:sz w:val="20"/>
              </w:rPr>
            </w:pPr>
          </w:p>
        </w:tc>
        <w:tc>
          <w:tcPr>
            <w:tcW w:w="2227" w:type="dxa"/>
            <w:tcBorders>
              <w:left w:val="single" w:sz="4" w:space="0" w:color="000000"/>
            </w:tcBorders>
          </w:tcPr>
          <w:p>
            <w:pPr>
              <w:pStyle w:val="TableParagraph"/>
              <w:spacing w:before="0"/>
              <w:rPr>
                <w:sz w:val="20"/>
              </w:rPr>
            </w:pPr>
          </w:p>
        </w:tc>
      </w:tr>
      <w:tr>
        <w:trPr>
          <w:trHeight w:val="285" w:hRule="atLeast"/>
        </w:trPr>
        <w:tc>
          <w:tcPr>
            <w:tcW w:w="470" w:type="dxa"/>
            <w:tcBorders>
              <w:right w:val="single" w:sz="4" w:space="0" w:color="000000"/>
            </w:tcBorders>
          </w:tcPr>
          <w:p>
            <w:pPr>
              <w:pStyle w:val="TableParagraph"/>
              <w:spacing w:before="52"/>
              <w:ind w:left="119"/>
              <w:rPr>
                <w:sz w:val="18"/>
              </w:rPr>
            </w:pPr>
            <w:r>
              <w:rPr>
                <w:spacing w:val="-10"/>
                <w:sz w:val="18"/>
              </w:rPr>
              <w:t>2</w:t>
            </w:r>
          </w:p>
        </w:tc>
        <w:tc>
          <w:tcPr>
            <w:tcW w:w="814" w:type="dxa"/>
            <w:tcBorders>
              <w:left w:val="single" w:sz="4" w:space="0" w:color="000000"/>
              <w:right w:val="single" w:sz="4" w:space="0" w:color="000000"/>
            </w:tcBorders>
          </w:tcPr>
          <w:p>
            <w:pPr>
              <w:pStyle w:val="TableParagraph"/>
              <w:spacing w:before="52"/>
              <w:ind w:left="118"/>
              <w:rPr>
                <w:sz w:val="18"/>
              </w:rPr>
            </w:pPr>
            <w:r>
              <w:rPr>
                <w:spacing w:val="-5"/>
                <w:sz w:val="18"/>
              </w:rPr>
              <w:t>RDD</w:t>
            </w:r>
          </w:p>
        </w:tc>
        <w:tc>
          <w:tcPr>
            <w:tcW w:w="2628" w:type="dxa"/>
            <w:vMerge/>
            <w:tcBorders>
              <w:top w:val="nil"/>
              <w:left w:val="single" w:sz="4" w:space="0" w:color="000000"/>
              <w:bottom w:val="single" w:sz="8" w:space="0" w:color="000000"/>
              <w:right w:val="single" w:sz="4" w:space="0" w:color="000000"/>
            </w:tcBorders>
          </w:tcPr>
          <w:p>
            <w:pPr>
              <w:rPr>
                <w:sz w:val="2"/>
                <w:szCs w:val="2"/>
              </w:rPr>
            </w:pPr>
          </w:p>
        </w:tc>
        <w:tc>
          <w:tcPr>
            <w:tcW w:w="1097" w:type="dxa"/>
            <w:tcBorders>
              <w:left w:val="single" w:sz="4" w:space="0" w:color="000000"/>
              <w:right w:val="single" w:sz="4" w:space="0" w:color="000000"/>
            </w:tcBorders>
          </w:tcPr>
          <w:p>
            <w:pPr>
              <w:pStyle w:val="TableParagraph"/>
              <w:spacing w:before="52"/>
              <w:ind w:left="118"/>
              <w:rPr>
                <w:sz w:val="18"/>
              </w:rPr>
            </w:pPr>
            <w:r>
              <w:rPr>
                <w:spacing w:val="-4"/>
                <w:sz w:val="18"/>
              </w:rPr>
              <w:t>HIGH</w:t>
            </w:r>
          </w:p>
        </w:tc>
        <w:tc>
          <w:tcPr>
            <w:tcW w:w="1040" w:type="dxa"/>
            <w:tcBorders>
              <w:left w:val="single" w:sz="4" w:space="0" w:color="000000"/>
              <w:right w:val="single" w:sz="4" w:space="0" w:color="000000"/>
            </w:tcBorders>
          </w:tcPr>
          <w:p>
            <w:pPr>
              <w:pStyle w:val="TableParagraph"/>
              <w:spacing w:before="52"/>
              <w:ind w:left="119"/>
              <w:rPr>
                <w:sz w:val="18"/>
              </w:rPr>
            </w:pPr>
            <w:r>
              <w:rPr>
                <w:spacing w:val="-2"/>
                <w:sz w:val="18"/>
              </w:rPr>
              <w:t>19.1%</w:t>
            </w:r>
          </w:p>
        </w:tc>
        <w:tc>
          <w:tcPr>
            <w:tcW w:w="1040" w:type="dxa"/>
            <w:tcBorders>
              <w:left w:val="single" w:sz="4" w:space="0" w:color="000000"/>
              <w:right w:val="single" w:sz="4" w:space="0" w:color="000000"/>
            </w:tcBorders>
          </w:tcPr>
          <w:p>
            <w:pPr>
              <w:pStyle w:val="TableParagraph"/>
              <w:spacing w:before="52"/>
              <w:ind w:left="119"/>
              <w:rPr>
                <w:sz w:val="18"/>
              </w:rPr>
            </w:pPr>
            <w:r>
              <w:rPr>
                <w:spacing w:val="-2"/>
                <w:sz w:val="18"/>
              </w:rPr>
              <w:t>76.5%</w:t>
            </w:r>
          </w:p>
        </w:tc>
        <w:tc>
          <w:tcPr>
            <w:tcW w:w="2227" w:type="dxa"/>
            <w:tcBorders>
              <w:left w:val="single" w:sz="4" w:space="0" w:color="000000"/>
            </w:tcBorders>
          </w:tcPr>
          <w:p>
            <w:pPr>
              <w:pStyle w:val="TableParagraph"/>
              <w:spacing w:before="52"/>
              <w:ind w:left="120"/>
              <w:rPr>
                <w:sz w:val="18"/>
              </w:rPr>
            </w:pPr>
            <w:r>
              <w:rPr>
                <w:spacing w:val="-10"/>
                <w:sz w:val="18"/>
              </w:rPr>
              <w:t>—</w:t>
            </w:r>
          </w:p>
        </w:tc>
      </w:tr>
      <w:tr>
        <w:trPr>
          <w:trHeight w:val="418" w:hRule="atLeast"/>
        </w:trPr>
        <w:tc>
          <w:tcPr>
            <w:tcW w:w="470" w:type="dxa"/>
            <w:tcBorders>
              <w:right w:val="single" w:sz="4" w:space="0" w:color="000000"/>
            </w:tcBorders>
          </w:tcPr>
          <w:p>
            <w:pPr>
              <w:pStyle w:val="TableParagraph"/>
              <w:spacing w:before="0"/>
              <w:rPr>
                <w:sz w:val="20"/>
              </w:rPr>
            </w:pPr>
          </w:p>
        </w:tc>
        <w:tc>
          <w:tcPr>
            <w:tcW w:w="814" w:type="dxa"/>
            <w:tcBorders>
              <w:left w:val="single" w:sz="4" w:space="0" w:color="000000"/>
              <w:right w:val="single" w:sz="4" w:space="0" w:color="000000"/>
            </w:tcBorders>
          </w:tcPr>
          <w:p>
            <w:pPr>
              <w:pStyle w:val="TableParagraph"/>
              <w:spacing w:before="0"/>
              <w:rPr>
                <w:sz w:val="20"/>
              </w:rPr>
            </w:pPr>
          </w:p>
        </w:tc>
        <w:tc>
          <w:tcPr>
            <w:tcW w:w="2628" w:type="dxa"/>
            <w:vMerge/>
            <w:tcBorders>
              <w:top w:val="nil"/>
              <w:left w:val="single" w:sz="4" w:space="0" w:color="000000"/>
              <w:bottom w:val="single" w:sz="8" w:space="0" w:color="000000"/>
              <w:right w:val="single" w:sz="4" w:space="0" w:color="000000"/>
            </w:tcBorders>
          </w:tcPr>
          <w:p>
            <w:pPr>
              <w:rPr>
                <w:sz w:val="2"/>
                <w:szCs w:val="2"/>
              </w:rPr>
            </w:pPr>
          </w:p>
        </w:tc>
        <w:tc>
          <w:tcPr>
            <w:tcW w:w="1097" w:type="dxa"/>
            <w:tcBorders>
              <w:left w:val="single" w:sz="4" w:space="0" w:color="000000"/>
              <w:right w:val="single" w:sz="4" w:space="0" w:color="000000"/>
            </w:tcBorders>
          </w:tcPr>
          <w:p>
            <w:pPr>
              <w:pStyle w:val="TableParagraph"/>
              <w:spacing w:before="0"/>
              <w:rPr>
                <w:sz w:val="20"/>
              </w:rPr>
            </w:pPr>
          </w:p>
        </w:tc>
        <w:tc>
          <w:tcPr>
            <w:tcW w:w="1040" w:type="dxa"/>
            <w:tcBorders>
              <w:left w:val="single" w:sz="4" w:space="0" w:color="000000"/>
              <w:right w:val="single" w:sz="4" w:space="0" w:color="000000"/>
            </w:tcBorders>
          </w:tcPr>
          <w:p>
            <w:pPr>
              <w:pStyle w:val="TableParagraph"/>
              <w:spacing w:before="12"/>
              <w:ind w:left="113"/>
              <w:rPr>
                <w:sz w:val="18"/>
              </w:rPr>
            </w:pPr>
            <w:r>
              <w:rPr>
                <w:spacing w:val="-2"/>
                <w:sz w:val="18"/>
              </w:rPr>
              <w:t>(17yr)</w:t>
            </w:r>
          </w:p>
        </w:tc>
        <w:tc>
          <w:tcPr>
            <w:tcW w:w="1040" w:type="dxa"/>
            <w:tcBorders>
              <w:left w:val="single" w:sz="4" w:space="0" w:color="000000"/>
              <w:right w:val="single" w:sz="4" w:space="0" w:color="000000"/>
            </w:tcBorders>
          </w:tcPr>
          <w:p>
            <w:pPr>
              <w:pStyle w:val="TableParagraph"/>
              <w:spacing w:before="0"/>
              <w:rPr>
                <w:sz w:val="20"/>
              </w:rPr>
            </w:pPr>
          </w:p>
        </w:tc>
        <w:tc>
          <w:tcPr>
            <w:tcW w:w="2227" w:type="dxa"/>
            <w:tcBorders>
              <w:left w:val="single" w:sz="4" w:space="0" w:color="000000"/>
            </w:tcBorders>
          </w:tcPr>
          <w:p>
            <w:pPr>
              <w:pStyle w:val="TableParagraph"/>
              <w:spacing w:before="0"/>
              <w:rPr>
                <w:sz w:val="20"/>
              </w:rPr>
            </w:pPr>
          </w:p>
        </w:tc>
      </w:tr>
      <w:tr>
        <w:trPr>
          <w:trHeight w:val="716" w:hRule="atLeast"/>
        </w:trPr>
        <w:tc>
          <w:tcPr>
            <w:tcW w:w="470" w:type="dxa"/>
            <w:tcBorders>
              <w:right w:val="single" w:sz="4" w:space="0" w:color="000000"/>
            </w:tcBorders>
          </w:tcPr>
          <w:p>
            <w:pPr>
              <w:pStyle w:val="TableParagraph"/>
              <w:spacing w:before="185"/>
              <w:ind w:left="119"/>
              <w:rPr>
                <w:sz w:val="18"/>
              </w:rPr>
            </w:pPr>
            <w:r>
              <w:rPr>
                <w:spacing w:val="-10"/>
                <w:sz w:val="18"/>
              </w:rPr>
              <w:t>3</w:t>
            </w:r>
          </w:p>
        </w:tc>
        <w:tc>
          <w:tcPr>
            <w:tcW w:w="814" w:type="dxa"/>
            <w:tcBorders>
              <w:left w:val="single" w:sz="4" w:space="0" w:color="000000"/>
              <w:right w:val="single" w:sz="4" w:space="0" w:color="000000"/>
            </w:tcBorders>
          </w:tcPr>
          <w:p>
            <w:pPr>
              <w:pStyle w:val="TableParagraph"/>
              <w:spacing w:before="185"/>
              <w:ind w:left="118"/>
              <w:rPr>
                <w:sz w:val="18"/>
              </w:rPr>
            </w:pPr>
            <w:r>
              <w:rPr>
                <w:spacing w:val="-5"/>
                <w:sz w:val="18"/>
              </w:rPr>
              <w:t>RDD</w:t>
            </w:r>
          </w:p>
        </w:tc>
        <w:tc>
          <w:tcPr>
            <w:tcW w:w="2628" w:type="dxa"/>
            <w:vMerge/>
            <w:tcBorders>
              <w:top w:val="nil"/>
              <w:left w:val="single" w:sz="4" w:space="0" w:color="000000"/>
              <w:bottom w:val="single" w:sz="8" w:space="0" w:color="000000"/>
              <w:right w:val="single" w:sz="4" w:space="0" w:color="000000"/>
            </w:tcBorders>
          </w:tcPr>
          <w:p>
            <w:pPr>
              <w:rPr>
                <w:sz w:val="2"/>
                <w:szCs w:val="2"/>
              </w:rPr>
            </w:pPr>
          </w:p>
        </w:tc>
        <w:tc>
          <w:tcPr>
            <w:tcW w:w="1097" w:type="dxa"/>
            <w:tcBorders>
              <w:left w:val="single" w:sz="4" w:space="0" w:color="000000"/>
              <w:right w:val="single" w:sz="4" w:space="0" w:color="000000"/>
            </w:tcBorders>
          </w:tcPr>
          <w:p>
            <w:pPr>
              <w:pStyle w:val="TableParagraph"/>
              <w:spacing w:before="185"/>
              <w:ind w:left="118"/>
              <w:rPr>
                <w:sz w:val="18"/>
              </w:rPr>
            </w:pPr>
            <w:r>
              <w:rPr>
                <w:spacing w:val="-4"/>
                <w:sz w:val="18"/>
              </w:rPr>
              <w:t>HIGH</w:t>
            </w:r>
          </w:p>
        </w:tc>
        <w:tc>
          <w:tcPr>
            <w:tcW w:w="1040" w:type="dxa"/>
            <w:tcBorders>
              <w:left w:val="single" w:sz="4" w:space="0" w:color="000000"/>
              <w:right w:val="single" w:sz="4" w:space="0" w:color="000000"/>
            </w:tcBorders>
          </w:tcPr>
          <w:p>
            <w:pPr>
              <w:pStyle w:val="TableParagraph"/>
              <w:spacing w:before="185"/>
              <w:ind w:left="119"/>
              <w:rPr>
                <w:sz w:val="18"/>
              </w:rPr>
            </w:pPr>
            <w:r>
              <w:rPr>
                <w:sz w:val="18"/>
              </w:rPr>
              <w:t>6.7%</w:t>
            </w:r>
            <w:r>
              <w:rPr>
                <w:spacing w:val="-5"/>
                <w:sz w:val="18"/>
              </w:rPr>
              <w:t> </w:t>
            </w:r>
            <w:r>
              <w:rPr>
                <w:spacing w:val="-2"/>
                <w:sz w:val="18"/>
              </w:rPr>
              <w:t>(6yr)</w:t>
            </w:r>
          </w:p>
        </w:tc>
        <w:tc>
          <w:tcPr>
            <w:tcW w:w="1040" w:type="dxa"/>
            <w:tcBorders>
              <w:left w:val="single" w:sz="4" w:space="0" w:color="000000"/>
              <w:right w:val="single" w:sz="4" w:space="0" w:color="000000"/>
            </w:tcBorders>
          </w:tcPr>
          <w:p>
            <w:pPr>
              <w:pStyle w:val="TableParagraph"/>
              <w:spacing w:before="185"/>
              <w:ind w:left="119"/>
              <w:rPr>
                <w:sz w:val="18"/>
              </w:rPr>
            </w:pPr>
            <w:r>
              <w:rPr>
                <w:spacing w:val="-4"/>
                <w:sz w:val="18"/>
              </w:rPr>
              <w:t>100%</w:t>
            </w:r>
          </w:p>
        </w:tc>
        <w:tc>
          <w:tcPr>
            <w:tcW w:w="2227" w:type="dxa"/>
            <w:tcBorders>
              <w:left w:val="single" w:sz="4" w:space="0" w:color="000000"/>
            </w:tcBorders>
          </w:tcPr>
          <w:p>
            <w:pPr>
              <w:pStyle w:val="TableParagraph"/>
              <w:spacing w:before="185"/>
              <w:ind w:left="120"/>
              <w:rPr>
                <w:sz w:val="18"/>
              </w:rPr>
            </w:pPr>
            <w:r>
              <w:rPr>
                <w:spacing w:val="-10"/>
                <w:sz w:val="18"/>
              </w:rPr>
              <w:t>—</w:t>
            </w:r>
          </w:p>
        </w:tc>
      </w:tr>
      <w:tr>
        <w:trPr>
          <w:trHeight w:val="600" w:hRule="atLeast"/>
        </w:trPr>
        <w:tc>
          <w:tcPr>
            <w:tcW w:w="470" w:type="dxa"/>
            <w:tcBorders>
              <w:right w:val="single" w:sz="4" w:space="0" w:color="000000"/>
            </w:tcBorders>
          </w:tcPr>
          <w:p>
            <w:pPr>
              <w:pStyle w:val="TableParagraph"/>
              <w:spacing w:before="119"/>
              <w:rPr>
                <w:sz w:val="18"/>
              </w:rPr>
            </w:pPr>
          </w:p>
          <w:p>
            <w:pPr>
              <w:pStyle w:val="TableParagraph"/>
              <w:spacing w:before="0"/>
              <w:ind w:left="119"/>
              <w:rPr>
                <w:sz w:val="18"/>
              </w:rPr>
            </w:pPr>
            <w:r>
              <w:rPr>
                <w:spacing w:val="-10"/>
                <w:sz w:val="18"/>
              </w:rPr>
              <w:t>4</w:t>
            </w:r>
          </w:p>
        </w:tc>
        <w:tc>
          <w:tcPr>
            <w:tcW w:w="814" w:type="dxa"/>
            <w:tcBorders>
              <w:left w:val="single" w:sz="4" w:space="0" w:color="000000"/>
              <w:right w:val="single" w:sz="4" w:space="0" w:color="000000"/>
            </w:tcBorders>
          </w:tcPr>
          <w:p>
            <w:pPr>
              <w:pStyle w:val="TableParagraph"/>
              <w:spacing w:before="119"/>
              <w:rPr>
                <w:sz w:val="18"/>
              </w:rPr>
            </w:pPr>
          </w:p>
          <w:p>
            <w:pPr>
              <w:pStyle w:val="TableParagraph"/>
              <w:spacing w:before="0"/>
              <w:ind w:left="118"/>
              <w:rPr>
                <w:sz w:val="18"/>
              </w:rPr>
            </w:pPr>
            <w:r>
              <w:rPr>
                <w:spacing w:val="-5"/>
                <w:sz w:val="18"/>
              </w:rPr>
              <w:t>RDD</w:t>
            </w:r>
          </w:p>
        </w:tc>
        <w:tc>
          <w:tcPr>
            <w:tcW w:w="2628" w:type="dxa"/>
            <w:vMerge/>
            <w:tcBorders>
              <w:top w:val="nil"/>
              <w:left w:val="single" w:sz="4" w:space="0" w:color="000000"/>
              <w:bottom w:val="single" w:sz="8" w:space="0" w:color="000000"/>
              <w:right w:val="single" w:sz="4" w:space="0" w:color="000000"/>
            </w:tcBorders>
          </w:tcPr>
          <w:p>
            <w:pPr>
              <w:rPr>
                <w:sz w:val="2"/>
                <w:szCs w:val="2"/>
              </w:rPr>
            </w:pPr>
          </w:p>
        </w:tc>
        <w:tc>
          <w:tcPr>
            <w:tcW w:w="1097" w:type="dxa"/>
            <w:tcBorders>
              <w:left w:val="single" w:sz="4" w:space="0" w:color="000000"/>
              <w:right w:val="single" w:sz="4" w:space="0" w:color="000000"/>
            </w:tcBorders>
          </w:tcPr>
          <w:p>
            <w:pPr>
              <w:pStyle w:val="TableParagraph"/>
              <w:spacing w:before="119"/>
              <w:rPr>
                <w:sz w:val="18"/>
              </w:rPr>
            </w:pPr>
          </w:p>
          <w:p>
            <w:pPr>
              <w:pStyle w:val="TableParagraph"/>
              <w:spacing w:before="0"/>
              <w:ind w:left="118"/>
              <w:rPr>
                <w:sz w:val="18"/>
              </w:rPr>
            </w:pPr>
            <w:r>
              <w:rPr>
                <w:spacing w:val="-5"/>
                <w:sz w:val="18"/>
              </w:rPr>
              <w:t>LOW</w:t>
            </w:r>
          </w:p>
        </w:tc>
        <w:tc>
          <w:tcPr>
            <w:tcW w:w="1040" w:type="dxa"/>
            <w:tcBorders>
              <w:left w:val="single" w:sz="4" w:space="0" w:color="000000"/>
              <w:right w:val="single" w:sz="4" w:space="0" w:color="000000"/>
            </w:tcBorders>
          </w:tcPr>
          <w:p>
            <w:pPr>
              <w:pStyle w:val="TableParagraph"/>
              <w:spacing w:before="119"/>
              <w:rPr>
                <w:sz w:val="18"/>
              </w:rPr>
            </w:pPr>
          </w:p>
          <w:p>
            <w:pPr>
              <w:pStyle w:val="TableParagraph"/>
              <w:spacing w:before="0"/>
              <w:ind w:left="119"/>
              <w:rPr>
                <w:sz w:val="18"/>
              </w:rPr>
            </w:pPr>
            <w:r>
              <w:rPr>
                <w:spacing w:val="-10"/>
                <w:sz w:val="18"/>
              </w:rPr>
              <w:t>—</w:t>
            </w:r>
          </w:p>
        </w:tc>
        <w:tc>
          <w:tcPr>
            <w:tcW w:w="1040" w:type="dxa"/>
            <w:tcBorders>
              <w:left w:val="single" w:sz="4" w:space="0" w:color="000000"/>
              <w:right w:val="single" w:sz="4" w:space="0" w:color="000000"/>
            </w:tcBorders>
          </w:tcPr>
          <w:p>
            <w:pPr>
              <w:pStyle w:val="TableParagraph"/>
              <w:spacing w:before="119"/>
              <w:rPr>
                <w:sz w:val="18"/>
              </w:rPr>
            </w:pPr>
          </w:p>
          <w:p>
            <w:pPr>
              <w:pStyle w:val="TableParagraph"/>
              <w:spacing w:before="0"/>
              <w:ind w:left="119"/>
              <w:rPr>
                <w:sz w:val="18"/>
              </w:rPr>
            </w:pPr>
            <w:r>
              <w:rPr>
                <w:spacing w:val="-10"/>
                <w:sz w:val="18"/>
              </w:rPr>
              <w:t>—</w:t>
            </w:r>
          </w:p>
        </w:tc>
        <w:tc>
          <w:tcPr>
            <w:tcW w:w="2227" w:type="dxa"/>
            <w:tcBorders>
              <w:left w:val="single" w:sz="4" w:space="0" w:color="000000"/>
            </w:tcBorders>
          </w:tcPr>
          <w:p>
            <w:pPr>
              <w:pStyle w:val="TableParagraph"/>
              <w:spacing w:before="119"/>
              <w:rPr>
                <w:sz w:val="18"/>
              </w:rPr>
            </w:pPr>
          </w:p>
          <w:p>
            <w:pPr>
              <w:pStyle w:val="TableParagraph"/>
              <w:spacing w:before="0"/>
              <w:ind w:left="120"/>
              <w:rPr>
                <w:sz w:val="18"/>
              </w:rPr>
            </w:pPr>
            <w:r>
              <w:rPr>
                <w:sz w:val="18"/>
              </w:rPr>
              <w:t>42%</w:t>
            </w:r>
            <w:r>
              <w:rPr>
                <w:spacing w:val="-9"/>
                <w:sz w:val="18"/>
              </w:rPr>
              <w:t> </w:t>
            </w:r>
            <w:r>
              <w:rPr>
                <w:sz w:val="18"/>
              </w:rPr>
              <w:t>overall</w:t>
            </w:r>
            <w:r>
              <w:rPr>
                <w:spacing w:val="-8"/>
                <w:sz w:val="18"/>
              </w:rPr>
              <w:t> </w:t>
            </w:r>
            <w:r>
              <w:rPr>
                <w:spacing w:val="-2"/>
                <w:sz w:val="18"/>
              </w:rPr>
              <w:t>(</w:t>
            </w:r>
            <w:r>
              <w:rPr>
                <w:i/>
                <w:spacing w:val="-2"/>
                <w:sz w:val="18"/>
              </w:rPr>
              <w:t>κ</w:t>
            </w:r>
            <w:r>
              <w:rPr>
                <w:spacing w:val="-2"/>
                <w:sz w:val="18"/>
              </w:rPr>
              <w:t>=0.06)</w:t>
            </w:r>
          </w:p>
        </w:tc>
      </w:tr>
      <w:tr>
        <w:trPr>
          <w:trHeight w:val="284" w:hRule="atLeast"/>
        </w:trPr>
        <w:tc>
          <w:tcPr>
            <w:tcW w:w="470" w:type="dxa"/>
            <w:tcBorders>
              <w:right w:val="single" w:sz="4" w:space="0" w:color="000000"/>
            </w:tcBorders>
          </w:tcPr>
          <w:p>
            <w:pPr>
              <w:pStyle w:val="TableParagraph"/>
              <w:spacing w:before="51"/>
              <w:ind w:left="119"/>
              <w:rPr>
                <w:sz w:val="18"/>
              </w:rPr>
            </w:pPr>
            <w:r>
              <w:rPr>
                <w:spacing w:val="-10"/>
                <w:sz w:val="18"/>
              </w:rPr>
              <w:t>1</w:t>
            </w:r>
          </w:p>
        </w:tc>
        <w:tc>
          <w:tcPr>
            <w:tcW w:w="814" w:type="dxa"/>
            <w:tcBorders>
              <w:left w:val="single" w:sz="4" w:space="0" w:color="000000"/>
              <w:right w:val="single" w:sz="4" w:space="0" w:color="000000"/>
            </w:tcBorders>
          </w:tcPr>
          <w:p>
            <w:pPr>
              <w:pStyle w:val="TableParagraph"/>
              <w:spacing w:before="51"/>
              <w:ind w:left="118"/>
              <w:rPr>
                <w:sz w:val="18"/>
              </w:rPr>
            </w:pPr>
            <w:r>
              <w:rPr>
                <w:spacing w:val="-5"/>
                <w:sz w:val="18"/>
              </w:rPr>
              <w:t>RVV</w:t>
            </w:r>
          </w:p>
        </w:tc>
        <w:tc>
          <w:tcPr>
            <w:tcW w:w="2628" w:type="dxa"/>
            <w:vMerge/>
            <w:tcBorders>
              <w:top w:val="nil"/>
              <w:left w:val="single" w:sz="4" w:space="0" w:color="000000"/>
              <w:bottom w:val="single" w:sz="8" w:space="0" w:color="000000"/>
              <w:right w:val="single" w:sz="4" w:space="0" w:color="000000"/>
            </w:tcBorders>
          </w:tcPr>
          <w:p>
            <w:pPr>
              <w:rPr>
                <w:sz w:val="2"/>
                <w:szCs w:val="2"/>
              </w:rPr>
            </w:pPr>
          </w:p>
        </w:tc>
        <w:tc>
          <w:tcPr>
            <w:tcW w:w="1097" w:type="dxa"/>
            <w:tcBorders>
              <w:left w:val="single" w:sz="4" w:space="0" w:color="000000"/>
              <w:right w:val="single" w:sz="4" w:space="0" w:color="000000"/>
            </w:tcBorders>
          </w:tcPr>
          <w:p>
            <w:pPr>
              <w:pStyle w:val="TableParagraph"/>
              <w:spacing w:before="51"/>
              <w:ind w:left="118"/>
              <w:rPr>
                <w:sz w:val="18"/>
              </w:rPr>
            </w:pPr>
            <w:r>
              <w:rPr>
                <w:spacing w:val="-2"/>
                <w:sz w:val="18"/>
              </w:rPr>
              <w:t>MEDIUM</w:t>
            </w:r>
          </w:p>
        </w:tc>
        <w:tc>
          <w:tcPr>
            <w:tcW w:w="1040" w:type="dxa"/>
            <w:tcBorders>
              <w:left w:val="single" w:sz="4" w:space="0" w:color="000000"/>
              <w:right w:val="single" w:sz="4" w:space="0" w:color="000000"/>
            </w:tcBorders>
          </w:tcPr>
          <w:p>
            <w:pPr>
              <w:pStyle w:val="TableParagraph"/>
              <w:spacing w:before="51"/>
              <w:ind w:left="119"/>
              <w:rPr>
                <w:sz w:val="18"/>
              </w:rPr>
            </w:pPr>
            <w:r>
              <w:rPr>
                <w:spacing w:val="-2"/>
                <w:sz w:val="18"/>
              </w:rPr>
              <w:t>16.2%</w:t>
            </w:r>
          </w:p>
        </w:tc>
        <w:tc>
          <w:tcPr>
            <w:tcW w:w="1040" w:type="dxa"/>
            <w:tcBorders>
              <w:left w:val="single" w:sz="4" w:space="0" w:color="000000"/>
              <w:right w:val="single" w:sz="4" w:space="0" w:color="000000"/>
            </w:tcBorders>
          </w:tcPr>
          <w:p>
            <w:pPr>
              <w:pStyle w:val="TableParagraph"/>
              <w:spacing w:before="51"/>
              <w:ind w:left="119"/>
              <w:rPr>
                <w:sz w:val="18"/>
              </w:rPr>
            </w:pPr>
            <w:r>
              <w:rPr>
                <w:spacing w:val="-2"/>
                <w:sz w:val="18"/>
              </w:rPr>
              <w:t>92.3%</w:t>
            </w:r>
          </w:p>
        </w:tc>
        <w:tc>
          <w:tcPr>
            <w:tcW w:w="2227" w:type="dxa"/>
            <w:tcBorders>
              <w:left w:val="single" w:sz="4" w:space="0" w:color="000000"/>
            </w:tcBorders>
          </w:tcPr>
          <w:p>
            <w:pPr>
              <w:pStyle w:val="TableParagraph"/>
              <w:spacing w:before="51"/>
              <w:ind w:left="120"/>
              <w:rPr>
                <w:sz w:val="18"/>
              </w:rPr>
            </w:pPr>
            <w:r>
              <w:rPr>
                <w:spacing w:val="-10"/>
                <w:sz w:val="18"/>
              </w:rPr>
              <w:t>—</w:t>
            </w:r>
          </w:p>
        </w:tc>
      </w:tr>
      <w:tr>
        <w:trPr>
          <w:trHeight w:val="551" w:hRule="atLeast"/>
        </w:trPr>
        <w:tc>
          <w:tcPr>
            <w:tcW w:w="470" w:type="dxa"/>
            <w:tcBorders>
              <w:right w:val="single" w:sz="4" w:space="0" w:color="000000"/>
            </w:tcBorders>
          </w:tcPr>
          <w:p>
            <w:pPr>
              <w:pStyle w:val="TableParagraph"/>
              <w:spacing w:before="0"/>
              <w:rPr>
                <w:sz w:val="20"/>
              </w:rPr>
            </w:pPr>
          </w:p>
        </w:tc>
        <w:tc>
          <w:tcPr>
            <w:tcW w:w="814" w:type="dxa"/>
            <w:tcBorders>
              <w:left w:val="single" w:sz="4" w:space="0" w:color="000000"/>
              <w:right w:val="single" w:sz="4" w:space="0" w:color="000000"/>
            </w:tcBorders>
          </w:tcPr>
          <w:p>
            <w:pPr>
              <w:pStyle w:val="TableParagraph"/>
              <w:spacing w:before="0"/>
              <w:rPr>
                <w:sz w:val="20"/>
              </w:rPr>
            </w:pPr>
          </w:p>
        </w:tc>
        <w:tc>
          <w:tcPr>
            <w:tcW w:w="2628" w:type="dxa"/>
            <w:vMerge/>
            <w:tcBorders>
              <w:top w:val="nil"/>
              <w:left w:val="single" w:sz="4" w:space="0" w:color="000000"/>
              <w:bottom w:val="single" w:sz="8" w:space="0" w:color="000000"/>
              <w:right w:val="single" w:sz="4" w:space="0" w:color="000000"/>
            </w:tcBorders>
          </w:tcPr>
          <w:p>
            <w:pPr>
              <w:rPr>
                <w:sz w:val="2"/>
                <w:szCs w:val="2"/>
              </w:rPr>
            </w:pPr>
          </w:p>
        </w:tc>
        <w:tc>
          <w:tcPr>
            <w:tcW w:w="1097" w:type="dxa"/>
            <w:tcBorders>
              <w:left w:val="single" w:sz="4" w:space="0" w:color="000000"/>
              <w:right w:val="single" w:sz="4" w:space="0" w:color="000000"/>
            </w:tcBorders>
          </w:tcPr>
          <w:p>
            <w:pPr>
              <w:pStyle w:val="TableParagraph"/>
              <w:spacing w:before="0"/>
              <w:rPr>
                <w:sz w:val="20"/>
              </w:rPr>
            </w:pPr>
          </w:p>
        </w:tc>
        <w:tc>
          <w:tcPr>
            <w:tcW w:w="1040" w:type="dxa"/>
            <w:tcBorders>
              <w:left w:val="single" w:sz="4" w:space="0" w:color="000000"/>
              <w:right w:val="single" w:sz="4" w:space="0" w:color="000000"/>
            </w:tcBorders>
          </w:tcPr>
          <w:p>
            <w:pPr>
              <w:pStyle w:val="TableParagraph"/>
              <w:spacing w:before="12"/>
              <w:ind w:left="113"/>
              <w:rPr>
                <w:sz w:val="18"/>
              </w:rPr>
            </w:pPr>
            <w:r>
              <w:rPr>
                <w:spacing w:val="-2"/>
                <w:sz w:val="18"/>
              </w:rPr>
              <w:t>(13yr)</w:t>
            </w:r>
          </w:p>
        </w:tc>
        <w:tc>
          <w:tcPr>
            <w:tcW w:w="1040" w:type="dxa"/>
            <w:tcBorders>
              <w:left w:val="single" w:sz="4" w:space="0" w:color="000000"/>
              <w:right w:val="single" w:sz="4" w:space="0" w:color="000000"/>
            </w:tcBorders>
          </w:tcPr>
          <w:p>
            <w:pPr>
              <w:pStyle w:val="TableParagraph"/>
              <w:spacing w:before="0"/>
              <w:rPr>
                <w:sz w:val="20"/>
              </w:rPr>
            </w:pPr>
          </w:p>
        </w:tc>
        <w:tc>
          <w:tcPr>
            <w:tcW w:w="2227" w:type="dxa"/>
            <w:tcBorders>
              <w:left w:val="single" w:sz="4" w:space="0" w:color="000000"/>
            </w:tcBorders>
          </w:tcPr>
          <w:p>
            <w:pPr>
              <w:pStyle w:val="TableParagraph"/>
              <w:spacing w:before="0"/>
              <w:rPr>
                <w:sz w:val="20"/>
              </w:rPr>
            </w:pPr>
          </w:p>
        </w:tc>
      </w:tr>
      <w:tr>
        <w:trPr>
          <w:trHeight w:val="551" w:hRule="atLeast"/>
        </w:trPr>
        <w:tc>
          <w:tcPr>
            <w:tcW w:w="470" w:type="dxa"/>
            <w:tcBorders>
              <w:right w:val="single" w:sz="4" w:space="0" w:color="000000"/>
            </w:tcBorders>
          </w:tcPr>
          <w:p>
            <w:pPr>
              <w:pStyle w:val="TableParagraph"/>
              <w:spacing w:before="111"/>
              <w:rPr>
                <w:sz w:val="18"/>
              </w:rPr>
            </w:pPr>
          </w:p>
          <w:p>
            <w:pPr>
              <w:pStyle w:val="TableParagraph"/>
              <w:spacing w:before="0"/>
              <w:ind w:left="119"/>
              <w:rPr>
                <w:sz w:val="18"/>
              </w:rPr>
            </w:pPr>
            <w:r>
              <w:rPr>
                <w:spacing w:val="-10"/>
                <w:sz w:val="18"/>
              </w:rPr>
              <w:t>2</w:t>
            </w:r>
          </w:p>
        </w:tc>
        <w:tc>
          <w:tcPr>
            <w:tcW w:w="814" w:type="dxa"/>
            <w:tcBorders>
              <w:left w:val="single" w:sz="4" w:space="0" w:color="000000"/>
              <w:right w:val="single" w:sz="4" w:space="0" w:color="000000"/>
            </w:tcBorders>
          </w:tcPr>
          <w:p>
            <w:pPr>
              <w:pStyle w:val="TableParagraph"/>
              <w:spacing w:before="111"/>
              <w:rPr>
                <w:sz w:val="18"/>
              </w:rPr>
            </w:pPr>
          </w:p>
          <w:p>
            <w:pPr>
              <w:pStyle w:val="TableParagraph"/>
              <w:spacing w:before="0"/>
              <w:ind w:left="118"/>
              <w:rPr>
                <w:sz w:val="18"/>
              </w:rPr>
            </w:pPr>
            <w:r>
              <w:rPr>
                <w:spacing w:val="-5"/>
                <w:sz w:val="18"/>
              </w:rPr>
              <w:t>RVV</w:t>
            </w:r>
          </w:p>
        </w:tc>
        <w:tc>
          <w:tcPr>
            <w:tcW w:w="2628" w:type="dxa"/>
            <w:vMerge/>
            <w:tcBorders>
              <w:top w:val="nil"/>
              <w:left w:val="single" w:sz="4" w:space="0" w:color="000000"/>
              <w:bottom w:val="single" w:sz="8" w:space="0" w:color="000000"/>
              <w:right w:val="single" w:sz="4" w:space="0" w:color="000000"/>
            </w:tcBorders>
          </w:tcPr>
          <w:p>
            <w:pPr>
              <w:rPr>
                <w:sz w:val="2"/>
                <w:szCs w:val="2"/>
              </w:rPr>
            </w:pPr>
          </w:p>
        </w:tc>
        <w:tc>
          <w:tcPr>
            <w:tcW w:w="1097" w:type="dxa"/>
            <w:tcBorders>
              <w:left w:val="single" w:sz="4" w:space="0" w:color="000000"/>
              <w:right w:val="single" w:sz="4" w:space="0" w:color="000000"/>
            </w:tcBorders>
          </w:tcPr>
          <w:p>
            <w:pPr>
              <w:pStyle w:val="TableParagraph"/>
              <w:spacing w:before="111"/>
              <w:rPr>
                <w:sz w:val="18"/>
              </w:rPr>
            </w:pPr>
          </w:p>
          <w:p>
            <w:pPr>
              <w:pStyle w:val="TableParagraph"/>
              <w:spacing w:before="0"/>
              <w:ind w:left="118"/>
              <w:rPr>
                <w:sz w:val="18"/>
              </w:rPr>
            </w:pPr>
            <w:r>
              <w:rPr>
                <w:spacing w:val="-2"/>
                <w:sz w:val="18"/>
              </w:rPr>
              <w:t>MEDIUM</w:t>
            </w:r>
          </w:p>
        </w:tc>
        <w:tc>
          <w:tcPr>
            <w:tcW w:w="1040" w:type="dxa"/>
            <w:tcBorders>
              <w:left w:val="single" w:sz="4" w:space="0" w:color="000000"/>
              <w:right w:val="single" w:sz="4" w:space="0" w:color="000000"/>
            </w:tcBorders>
          </w:tcPr>
          <w:p>
            <w:pPr>
              <w:pStyle w:val="TableParagraph"/>
              <w:spacing w:before="111"/>
              <w:rPr>
                <w:sz w:val="18"/>
              </w:rPr>
            </w:pPr>
          </w:p>
          <w:p>
            <w:pPr>
              <w:pStyle w:val="TableParagraph"/>
              <w:spacing w:before="0"/>
              <w:ind w:left="119"/>
              <w:rPr>
                <w:sz w:val="18"/>
              </w:rPr>
            </w:pPr>
            <w:r>
              <w:rPr>
                <w:spacing w:val="-2"/>
                <w:sz w:val="18"/>
              </w:rPr>
              <w:t>11.2%</w:t>
            </w:r>
          </w:p>
        </w:tc>
        <w:tc>
          <w:tcPr>
            <w:tcW w:w="1040" w:type="dxa"/>
            <w:tcBorders>
              <w:left w:val="single" w:sz="4" w:space="0" w:color="000000"/>
              <w:right w:val="single" w:sz="4" w:space="0" w:color="000000"/>
            </w:tcBorders>
          </w:tcPr>
          <w:p>
            <w:pPr>
              <w:pStyle w:val="TableParagraph"/>
              <w:spacing w:before="111"/>
              <w:rPr>
                <w:sz w:val="18"/>
              </w:rPr>
            </w:pPr>
          </w:p>
          <w:p>
            <w:pPr>
              <w:pStyle w:val="TableParagraph"/>
              <w:spacing w:before="0"/>
              <w:ind w:left="119"/>
              <w:rPr>
                <w:sz w:val="18"/>
              </w:rPr>
            </w:pPr>
            <w:r>
              <w:rPr>
                <w:spacing w:val="-2"/>
                <w:sz w:val="18"/>
              </w:rPr>
              <w:t>88.9%</w:t>
            </w:r>
          </w:p>
        </w:tc>
        <w:tc>
          <w:tcPr>
            <w:tcW w:w="2227" w:type="dxa"/>
            <w:tcBorders>
              <w:left w:val="single" w:sz="4" w:space="0" w:color="000000"/>
            </w:tcBorders>
          </w:tcPr>
          <w:p>
            <w:pPr>
              <w:pStyle w:val="TableParagraph"/>
              <w:spacing w:before="111"/>
              <w:rPr>
                <w:sz w:val="18"/>
              </w:rPr>
            </w:pPr>
          </w:p>
          <w:p>
            <w:pPr>
              <w:pStyle w:val="TableParagraph"/>
              <w:spacing w:before="0"/>
              <w:ind w:left="120"/>
              <w:rPr>
                <w:sz w:val="18"/>
              </w:rPr>
            </w:pPr>
            <w:r>
              <w:rPr>
                <w:spacing w:val="-10"/>
                <w:sz w:val="18"/>
              </w:rPr>
              <w:t>—</w:t>
            </w:r>
          </w:p>
        </w:tc>
      </w:tr>
      <w:tr>
        <w:trPr>
          <w:trHeight w:val="418" w:hRule="atLeast"/>
        </w:trPr>
        <w:tc>
          <w:tcPr>
            <w:tcW w:w="470" w:type="dxa"/>
            <w:tcBorders>
              <w:right w:val="single" w:sz="4" w:space="0" w:color="000000"/>
            </w:tcBorders>
          </w:tcPr>
          <w:p>
            <w:pPr>
              <w:pStyle w:val="TableParagraph"/>
              <w:spacing w:before="0"/>
              <w:rPr>
                <w:sz w:val="20"/>
              </w:rPr>
            </w:pPr>
          </w:p>
        </w:tc>
        <w:tc>
          <w:tcPr>
            <w:tcW w:w="814" w:type="dxa"/>
            <w:tcBorders>
              <w:left w:val="single" w:sz="4" w:space="0" w:color="000000"/>
              <w:right w:val="single" w:sz="4" w:space="0" w:color="000000"/>
            </w:tcBorders>
          </w:tcPr>
          <w:p>
            <w:pPr>
              <w:pStyle w:val="TableParagraph"/>
              <w:spacing w:before="0"/>
              <w:rPr>
                <w:sz w:val="20"/>
              </w:rPr>
            </w:pPr>
          </w:p>
        </w:tc>
        <w:tc>
          <w:tcPr>
            <w:tcW w:w="2628" w:type="dxa"/>
            <w:vMerge/>
            <w:tcBorders>
              <w:top w:val="nil"/>
              <w:left w:val="single" w:sz="4" w:space="0" w:color="000000"/>
              <w:bottom w:val="single" w:sz="8" w:space="0" w:color="000000"/>
              <w:right w:val="single" w:sz="4" w:space="0" w:color="000000"/>
            </w:tcBorders>
          </w:tcPr>
          <w:p>
            <w:pPr>
              <w:rPr>
                <w:sz w:val="2"/>
                <w:szCs w:val="2"/>
              </w:rPr>
            </w:pPr>
          </w:p>
        </w:tc>
        <w:tc>
          <w:tcPr>
            <w:tcW w:w="1097" w:type="dxa"/>
            <w:tcBorders>
              <w:left w:val="single" w:sz="4" w:space="0" w:color="000000"/>
              <w:right w:val="single" w:sz="4" w:space="0" w:color="000000"/>
            </w:tcBorders>
          </w:tcPr>
          <w:p>
            <w:pPr>
              <w:pStyle w:val="TableParagraph"/>
              <w:spacing w:before="0"/>
              <w:rPr>
                <w:sz w:val="20"/>
              </w:rPr>
            </w:pPr>
          </w:p>
        </w:tc>
        <w:tc>
          <w:tcPr>
            <w:tcW w:w="1040" w:type="dxa"/>
            <w:tcBorders>
              <w:left w:val="single" w:sz="4" w:space="0" w:color="000000"/>
              <w:right w:val="single" w:sz="4" w:space="0" w:color="000000"/>
            </w:tcBorders>
          </w:tcPr>
          <w:p>
            <w:pPr>
              <w:pStyle w:val="TableParagraph"/>
              <w:spacing w:before="12"/>
              <w:ind w:left="113"/>
              <w:rPr>
                <w:sz w:val="18"/>
              </w:rPr>
            </w:pPr>
            <w:r>
              <w:rPr>
                <w:spacing w:val="-2"/>
                <w:sz w:val="18"/>
              </w:rPr>
              <w:t>(9yr)</w:t>
            </w:r>
          </w:p>
        </w:tc>
        <w:tc>
          <w:tcPr>
            <w:tcW w:w="1040" w:type="dxa"/>
            <w:tcBorders>
              <w:left w:val="single" w:sz="4" w:space="0" w:color="000000"/>
              <w:right w:val="single" w:sz="4" w:space="0" w:color="000000"/>
            </w:tcBorders>
          </w:tcPr>
          <w:p>
            <w:pPr>
              <w:pStyle w:val="TableParagraph"/>
              <w:spacing w:before="0"/>
              <w:rPr>
                <w:sz w:val="20"/>
              </w:rPr>
            </w:pPr>
          </w:p>
        </w:tc>
        <w:tc>
          <w:tcPr>
            <w:tcW w:w="2227" w:type="dxa"/>
            <w:tcBorders>
              <w:left w:val="single" w:sz="4" w:space="0" w:color="000000"/>
            </w:tcBorders>
          </w:tcPr>
          <w:p>
            <w:pPr>
              <w:pStyle w:val="TableParagraph"/>
              <w:spacing w:before="0"/>
              <w:rPr>
                <w:sz w:val="20"/>
              </w:rPr>
            </w:pPr>
          </w:p>
        </w:tc>
      </w:tr>
      <w:tr>
        <w:trPr>
          <w:trHeight w:val="418" w:hRule="atLeast"/>
        </w:trPr>
        <w:tc>
          <w:tcPr>
            <w:tcW w:w="470" w:type="dxa"/>
            <w:tcBorders>
              <w:right w:val="single" w:sz="4" w:space="0" w:color="000000"/>
            </w:tcBorders>
          </w:tcPr>
          <w:p>
            <w:pPr>
              <w:pStyle w:val="TableParagraph"/>
              <w:spacing w:before="185"/>
              <w:ind w:left="119"/>
              <w:rPr>
                <w:sz w:val="18"/>
              </w:rPr>
            </w:pPr>
            <w:r>
              <w:rPr>
                <w:spacing w:val="-10"/>
                <w:sz w:val="18"/>
              </w:rPr>
              <w:t>3</w:t>
            </w:r>
          </w:p>
        </w:tc>
        <w:tc>
          <w:tcPr>
            <w:tcW w:w="814" w:type="dxa"/>
            <w:tcBorders>
              <w:left w:val="single" w:sz="4" w:space="0" w:color="000000"/>
              <w:right w:val="single" w:sz="4" w:space="0" w:color="000000"/>
            </w:tcBorders>
          </w:tcPr>
          <w:p>
            <w:pPr>
              <w:pStyle w:val="TableParagraph"/>
              <w:spacing w:before="185"/>
              <w:ind w:left="118"/>
              <w:rPr>
                <w:sz w:val="18"/>
              </w:rPr>
            </w:pPr>
            <w:r>
              <w:rPr>
                <w:spacing w:val="-5"/>
                <w:sz w:val="18"/>
              </w:rPr>
              <w:t>RVV</w:t>
            </w:r>
          </w:p>
        </w:tc>
        <w:tc>
          <w:tcPr>
            <w:tcW w:w="2628" w:type="dxa"/>
            <w:vMerge/>
            <w:tcBorders>
              <w:top w:val="nil"/>
              <w:left w:val="single" w:sz="4" w:space="0" w:color="000000"/>
              <w:bottom w:val="single" w:sz="8" w:space="0" w:color="000000"/>
              <w:right w:val="single" w:sz="4" w:space="0" w:color="000000"/>
            </w:tcBorders>
          </w:tcPr>
          <w:p>
            <w:pPr>
              <w:rPr>
                <w:sz w:val="2"/>
                <w:szCs w:val="2"/>
              </w:rPr>
            </w:pPr>
          </w:p>
        </w:tc>
        <w:tc>
          <w:tcPr>
            <w:tcW w:w="1097" w:type="dxa"/>
            <w:tcBorders>
              <w:left w:val="single" w:sz="4" w:space="0" w:color="000000"/>
              <w:right w:val="single" w:sz="4" w:space="0" w:color="000000"/>
            </w:tcBorders>
          </w:tcPr>
          <w:p>
            <w:pPr>
              <w:pStyle w:val="TableParagraph"/>
              <w:spacing w:before="185"/>
              <w:ind w:left="118"/>
              <w:rPr>
                <w:sz w:val="18"/>
              </w:rPr>
            </w:pPr>
            <w:r>
              <w:rPr>
                <w:spacing w:val="-4"/>
                <w:sz w:val="18"/>
              </w:rPr>
              <w:t>HIGH</w:t>
            </w:r>
          </w:p>
        </w:tc>
        <w:tc>
          <w:tcPr>
            <w:tcW w:w="1040" w:type="dxa"/>
            <w:tcBorders>
              <w:left w:val="single" w:sz="4" w:space="0" w:color="000000"/>
              <w:right w:val="single" w:sz="4" w:space="0" w:color="000000"/>
            </w:tcBorders>
          </w:tcPr>
          <w:p>
            <w:pPr>
              <w:pStyle w:val="TableParagraph"/>
              <w:spacing w:before="185"/>
              <w:ind w:left="119"/>
              <w:rPr>
                <w:sz w:val="18"/>
              </w:rPr>
            </w:pPr>
            <w:r>
              <w:rPr>
                <w:spacing w:val="-2"/>
                <w:sz w:val="18"/>
              </w:rPr>
              <w:t>26.2%</w:t>
            </w:r>
          </w:p>
        </w:tc>
        <w:tc>
          <w:tcPr>
            <w:tcW w:w="1040" w:type="dxa"/>
            <w:tcBorders>
              <w:left w:val="single" w:sz="4" w:space="0" w:color="000000"/>
              <w:right w:val="single" w:sz="4" w:space="0" w:color="000000"/>
            </w:tcBorders>
          </w:tcPr>
          <w:p>
            <w:pPr>
              <w:pStyle w:val="TableParagraph"/>
              <w:spacing w:before="185"/>
              <w:ind w:left="119"/>
              <w:rPr>
                <w:sz w:val="18"/>
              </w:rPr>
            </w:pPr>
            <w:r>
              <w:rPr>
                <w:spacing w:val="-2"/>
                <w:sz w:val="18"/>
              </w:rPr>
              <w:t>85.7%</w:t>
            </w:r>
          </w:p>
        </w:tc>
        <w:tc>
          <w:tcPr>
            <w:tcW w:w="2227" w:type="dxa"/>
            <w:tcBorders>
              <w:left w:val="single" w:sz="4" w:space="0" w:color="000000"/>
            </w:tcBorders>
          </w:tcPr>
          <w:p>
            <w:pPr>
              <w:pStyle w:val="TableParagraph"/>
              <w:spacing w:before="185"/>
              <w:ind w:left="120"/>
              <w:rPr>
                <w:sz w:val="18"/>
              </w:rPr>
            </w:pPr>
            <w:r>
              <w:rPr>
                <w:spacing w:val="-10"/>
                <w:sz w:val="18"/>
              </w:rPr>
              <w:t>—</w:t>
            </w:r>
          </w:p>
        </w:tc>
      </w:tr>
      <w:tr>
        <w:trPr>
          <w:trHeight w:val="410" w:hRule="atLeast"/>
        </w:trPr>
        <w:tc>
          <w:tcPr>
            <w:tcW w:w="470" w:type="dxa"/>
            <w:tcBorders>
              <w:right w:val="single" w:sz="4" w:space="0" w:color="000000"/>
            </w:tcBorders>
          </w:tcPr>
          <w:p>
            <w:pPr>
              <w:pStyle w:val="TableParagraph"/>
              <w:spacing w:before="0"/>
              <w:rPr>
                <w:sz w:val="20"/>
              </w:rPr>
            </w:pPr>
          </w:p>
        </w:tc>
        <w:tc>
          <w:tcPr>
            <w:tcW w:w="814" w:type="dxa"/>
            <w:tcBorders>
              <w:left w:val="single" w:sz="4" w:space="0" w:color="000000"/>
              <w:right w:val="single" w:sz="4" w:space="0" w:color="000000"/>
            </w:tcBorders>
          </w:tcPr>
          <w:p>
            <w:pPr>
              <w:pStyle w:val="TableParagraph"/>
              <w:spacing w:before="0"/>
              <w:rPr>
                <w:sz w:val="20"/>
              </w:rPr>
            </w:pPr>
          </w:p>
        </w:tc>
        <w:tc>
          <w:tcPr>
            <w:tcW w:w="2628" w:type="dxa"/>
            <w:vMerge/>
            <w:tcBorders>
              <w:top w:val="nil"/>
              <w:left w:val="single" w:sz="4" w:space="0" w:color="000000"/>
              <w:bottom w:val="single" w:sz="8" w:space="0" w:color="000000"/>
              <w:right w:val="single" w:sz="4" w:space="0" w:color="000000"/>
            </w:tcBorders>
          </w:tcPr>
          <w:p>
            <w:pPr>
              <w:rPr>
                <w:sz w:val="2"/>
                <w:szCs w:val="2"/>
              </w:rPr>
            </w:pPr>
          </w:p>
        </w:tc>
        <w:tc>
          <w:tcPr>
            <w:tcW w:w="1097" w:type="dxa"/>
            <w:tcBorders>
              <w:left w:val="single" w:sz="4" w:space="0" w:color="000000"/>
              <w:right w:val="single" w:sz="4" w:space="0" w:color="000000"/>
            </w:tcBorders>
          </w:tcPr>
          <w:p>
            <w:pPr>
              <w:pStyle w:val="TableParagraph"/>
              <w:spacing w:before="0"/>
              <w:rPr>
                <w:sz w:val="20"/>
              </w:rPr>
            </w:pPr>
          </w:p>
        </w:tc>
        <w:tc>
          <w:tcPr>
            <w:tcW w:w="1040" w:type="dxa"/>
            <w:tcBorders>
              <w:left w:val="single" w:sz="4" w:space="0" w:color="000000"/>
              <w:right w:val="single" w:sz="4" w:space="0" w:color="000000"/>
            </w:tcBorders>
          </w:tcPr>
          <w:p>
            <w:pPr>
              <w:pStyle w:val="TableParagraph"/>
              <w:spacing w:before="12"/>
              <w:ind w:left="113"/>
              <w:rPr>
                <w:sz w:val="18"/>
              </w:rPr>
            </w:pPr>
            <w:r>
              <w:rPr>
                <w:spacing w:val="-2"/>
                <w:sz w:val="18"/>
              </w:rPr>
              <w:t>(21yr)</w:t>
            </w:r>
          </w:p>
        </w:tc>
        <w:tc>
          <w:tcPr>
            <w:tcW w:w="1040" w:type="dxa"/>
            <w:tcBorders>
              <w:left w:val="single" w:sz="4" w:space="0" w:color="000000"/>
              <w:right w:val="single" w:sz="4" w:space="0" w:color="000000"/>
            </w:tcBorders>
          </w:tcPr>
          <w:p>
            <w:pPr>
              <w:pStyle w:val="TableParagraph"/>
              <w:spacing w:before="0"/>
              <w:rPr>
                <w:sz w:val="20"/>
              </w:rPr>
            </w:pPr>
          </w:p>
        </w:tc>
        <w:tc>
          <w:tcPr>
            <w:tcW w:w="2227" w:type="dxa"/>
            <w:tcBorders>
              <w:left w:val="single" w:sz="4" w:space="0" w:color="000000"/>
            </w:tcBorders>
          </w:tcPr>
          <w:p>
            <w:pPr>
              <w:pStyle w:val="TableParagraph"/>
              <w:spacing w:before="0"/>
              <w:rPr>
                <w:sz w:val="20"/>
              </w:rPr>
            </w:pPr>
          </w:p>
        </w:tc>
      </w:tr>
      <w:tr>
        <w:trPr>
          <w:trHeight w:val="501" w:hRule="atLeast"/>
        </w:trPr>
        <w:tc>
          <w:tcPr>
            <w:tcW w:w="470" w:type="dxa"/>
            <w:tcBorders>
              <w:bottom w:val="single" w:sz="8" w:space="0" w:color="000000"/>
              <w:right w:val="single" w:sz="4" w:space="0" w:color="000000"/>
            </w:tcBorders>
          </w:tcPr>
          <w:p>
            <w:pPr>
              <w:pStyle w:val="TableParagraph"/>
              <w:spacing w:before="193"/>
              <w:ind w:left="119"/>
              <w:rPr>
                <w:sz w:val="18"/>
              </w:rPr>
            </w:pPr>
            <w:r>
              <w:rPr>
                <w:spacing w:val="-10"/>
                <w:sz w:val="18"/>
              </w:rPr>
              <w:t>4</w:t>
            </w:r>
          </w:p>
        </w:tc>
        <w:tc>
          <w:tcPr>
            <w:tcW w:w="814" w:type="dxa"/>
            <w:tcBorders>
              <w:left w:val="single" w:sz="4" w:space="0" w:color="000000"/>
              <w:bottom w:val="single" w:sz="8" w:space="0" w:color="000000"/>
              <w:right w:val="single" w:sz="4" w:space="0" w:color="000000"/>
            </w:tcBorders>
          </w:tcPr>
          <w:p>
            <w:pPr>
              <w:pStyle w:val="TableParagraph"/>
              <w:spacing w:before="193"/>
              <w:ind w:left="118"/>
              <w:rPr>
                <w:sz w:val="18"/>
              </w:rPr>
            </w:pPr>
            <w:r>
              <w:rPr>
                <w:spacing w:val="-5"/>
                <w:sz w:val="18"/>
              </w:rPr>
              <w:t>RVV</w:t>
            </w:r>
          </w:p>
        </w:tc>
        <w:tc>
          <w:tcPr>
            <w:tcW w:w="2628" w:type="dxa"/>
            <w:vMerge/>
            <w:tcBorders>
              <w:top w:val="nil"/>
              <w:left w:val="single" w:sz="4" w:space="0" w:color="000000"/>
              <w:bottom w:val="single" w:sz="8" w:space="0" w:color="000000"/>
              <w:right w:val="single" w:sz="4" w:space="0" w:color="000000"/>
            </w:tcBorders>
          </w:tcPr>
          <w:p>
            <w:pPr>
              <w:rPr>
                <w:sz w:val="2"/>
                <w:szCs w:val="2"/>
              </w:rPr>
            </w:pPr>
          </w:p>
        </w:tc>
        <w:tc>
          <w:tcPr>
            <w:tcW w:w="1097" w:type="dxa"/>
            <w:tcBorders>
              <w:left w:val="single" w:sz="4" w:space="0" w:color="000000"/>
              <w:bottom w:val="single" w:sz="8" w:space="0" w:color="000000"/>
              <w:right w:val="single" w:sz="4" w:space="0" w:color="000000"/>
            </w:tcBorders>
          </w:tcPr>
          <w:p>
            <w:pPr>
              <w:pStyle w:val="TableParagraph"/>
              <w:spacing w:before="193"/>
              <w:ind w:left="118"/>
              <w:rPr>
                <w:sz w:val="18"/>
              </w:rPr>
            </w:pPr>
            <w:r>
              <w:rPr>
                <w:spacing w:val="-5"/>
                <w:sz w:val="18"/>
              </w:rPr>
              <w:t>LOW</w:t>
            </w:r>
          </w:p>
        </w:tc>
        <w:tc>
          <w:tcPr>
            <w:tcW w:w="1040" w:type="dxa"/>
            <w:tcBorders>
              <w:left w:val="single" w:sz="4" w:space="0" w:color="000000"/>
              <w:bottom w:val="single" w:sz="8" w:space="0" w:color="000000"/>
              <w:right w:val="single" w:sz="4" w:space="0" w:color="000000"/>
            </w:tcBorders>
          </w:tcPr>
          <w:p>
            <w:pPr>
              <w:pStyle w:val="TableParagraph"/>
              <w:spacing w:before="193"/>
              <w:ind w:left="119"/>
              <w:rPr>
                <w:sz w:val="18"/>
              </w:rPr>
            </w:pPr>
            <w:r>
              <w:rPr>
                <w:spacing w:val="-10"/>
                <w:sz w:val="18"/>
              </w:rPr>
              <w:t>—</w:t>
            </w:r>
          </w:p>
        </w:tc>
        <w:tc>
          <w:tcPr>
            <w:tcW w:w="1040" w:type="dxa"/>
            <w:tcBorders>
              <w:left w:val="single" w:sz="4" w:space="0" w:color="000000"/>
              <w:bottom w:val="single" w:sz="8" w:space="0" w:color="000000"/>
              <w:right w:val="single" w:sz="4" w:space="0" w:color="000000"/>
            </w:tcBorders>
          </w:tcPr>
          <w:p>
            <w:pPr>
              <w:pStyle w:val="TableParagraph"/>
              <w:spacing w:before="193"/>
              <w:ind w:left="119"/>
              <w:rPr>
                <w:sz w:val="18"/>
              </w:rPr>
            </w:pPr>
            <w:r>
              <w:rPr>
                <w:spacing w:val="-10"/>
                <w:sz w:val="18"/>
              </w:rPr>
              <w:t>—</w:t>
            </w:r>
          </w:p>
        </w:tc>
        <w:tc>
          <w:tcPr>
            <w:tcW w:w="2227" w:type="dxa"/>
            <w:tcBorders>
              <w:left w:val="single" w:sz="4" w:space="0" w:color="000000"/>
              <w:bottom w:val="single" w:sz="8" w:space="0" w:color="000000"/>
            </w:tcBorders>
          </w:tcPr>
          <w:p>
            <w:pPr>
              <w:pStyle w:val="TableParagraph"/>
              <w:spacing w:before="193"/>
              <w:ind w:left="120"/>
              <w:rPr>
                <w:sz w:val="18"/>
              </w:rPr>
            </w:pPr>
            <w:r>
              <w:rPr>
                <w:sz w:val="18"/>
              </w:rPr>
              <w:t>35%</w:t>
            </w:r>
            <w:r>
              <w:rPr>
                <w:spacing w:val="-9"/>
                <w:sz w:val="18"/>
              </w:rPr>
              <w:t> </w:t>
            </w:r>
            <w:r>
              <w:rPr>
                <w:sz w:val="18"/>
              </w:rPr>
              <w:t>overall</w:t>
            </w:r>
            <w:r>
              <w:rPr>
                <w:spacing w:val="-8"/>
                <w:sz w:val="18"/>
              </w:rPr>
              <w:t> </w:t>
            </w:r>
            <w:r>
              <w:rPr>
                <w:spacing w:val="-2"/>
                <w:sz w:val="18"/>
              </w:rPr>
              <w:t>(</w:t>
            </w:r>
            <w:r>
              <w:rPr>
                <w:i/>
                <w:spacing w:val="-2"/>
                <w:sz w:val="18"/>
              </w:rPr>
              <w:t>κ</w:t>
            </w:r>
            <w:r>
              <w:rPr>
                <w:spacing w:val="-2"/>
                <w:sz w:val="18"/>
              </w:rPr>
              <w:t>=0.19)</w:t>
            </w:r>
          </w:p>
        </w:tc>
      </w:tr>
    </w:tbl>
    <w:p>
      <w:pPr>
        <w:pStyle w:val="BodyText"/>
        <w:rPr>
          <w:sz w:val="20"/>
        </w:rPr>
      </w:pPr>
    </w:p>
    <w:p>
      <w:pPr>
        <w:pStyle w:val="BodyText"/>
        <w:rPr>
          <w:sz w:val="20"/>
        </w:rPr>
      </w:pPr>
    </w:p>
    <w:p>
      <w:pPr>
        <w:pStyle w:val="BodyText"/>
        <w:spacing w:before="52"/>
        <w:rPr>
          <w:sz w:val="20"/>
        </w:rPr>
      </w:pPr>
    </w:p>
    <w:p>
      <w:pPr>
        <w:pStyle w:val="Heading2"/>
        <w:numPr>
          <w:ilvl w:val="1"/>
          <w:numId w:val="40"/>
        </w:numPr>
        <w:tabs>
          <w:tab w:pos="1418" w:val="left" w:leader="none"/>
        </w:tabs>
        <w:spacing w:line="240" w:lineRule="auto" w:before="0" w:after="0"/>
        <w:ind w:left="1418" w:right="0" w:hanging="709"/>
        <w:jc w:val="left"/>
      </w:pPr>
      <w:bookmarkStart w:name="A.5 M5Rules Piecewise Linear Rules: Both" w:id="271"/>
      <w:bookmarkEnd w:id="271"/>
      <w:r>
        <w:rPr>
          <w:b w:val="0"/>
        </w:rPr>
      </w:r>
      <w:bookmarkStart w:name="_bookmark160" w:id="272"/>
      <w:bookmarkEnd w:id="272"/>
      <w:r>
        <w:rPr>
          <w:b w:val="0"/>
        </w:rPr>
      </w:r>
      <w:r>
        <w:rPr/>
        <w:t>M5Rules</w:t>
      </w:r>
      <w:r>
        <w:rPr>
          <w:spacing w:val="17"/>
        </w:rPr>
        <w:t> </w:t>
      </w:r>
      <w:r>
        <w:rPr/>
        <w:t>Piecewise</w:t>
      </w:r>
      <w:r>
        <w:rPr>
          <w:spacing w:val="18"/>
        </w:rPr>
        <w:t> </w:t>
      </w:r>
      <w:r>
        <w:rPr/>
        <w:t>Linear</w:t>
      </w:r>
      <w:r>
        <w:rPr>
          <w:spacing w:val="17"/>
        </w:rPr>
        <w:t> </w:t>
      </w:r>
      <w:r>
        <w:rPr/>
        <w:t>Rules:</w:t>
      </w:r>
      <w:r>
        <w:rPr>
          <w:spacing w:val="39"/>
        </w:rPr>
        <w:t> </w:t>
      </w:r>
      <w:r>
        <w:rPr/>
        <w:t>Both</w:t>
      </w:r>
      <w:r>
        <w:rPr>
          <w:spacing w:val="18"/>
        </w:rPr>
        <w:t> </w:t>
      </w:r>
      <w:r>
        <w:rPr>
          <w:spacing w:val="-2"/>
        </w:rPr>
        <w:t>Regions</w:t>
      </w:r>
    </w:p>
    <w:p>
      <w:pPr>
        <w:pStyle w:val="BodyText"/>
        <w:spacing w:before="37"/>
        <w:rPr>
          <w:b/>
          <w:sz w:val="28"/>
        </w:rPr>
      </w:pPr>
    </w:p>
    <w:p>
      <w:pPr>
        <w:pStyle w:val="BodyText"/>
        <w:spacing w:line="312" w:lineRule="auto"/>
        <w:ind w:left="701" w:right="952" w:firstLine="7"/>
        <w:jc w:val="both"/>
      </w:pPr>
      <w:r>
        <w:rPr/>
        <w:t>M5Rules</w:t>
      </w:r>
      <w:r>
        <w:rPr>
          <w:spacing w:val="36"/>
        </w:rPr>
        <w:t> </w:t>
      </w:r>
      <w:r>
        <w:rPr/>
        <w:t>collapsed</w:t>
      </w:r>
      <w:r>
        <w:rPr>
          <w:spacing w:val="37"/>
        </w:rPr>
        <w:t> </w:t>
      </w:r>
      <w:r>
        <w:rPr/>
        <w:t>to</w:t>
      </w:r>
      <w:r>
        <w:rPr>
          <w:spacing w:val="36"/>
        </w:rPr>
        <w:t> </w:t>
      </w:r>
      <w:r>
        <w:rPr/>
        <w:t>global</w:t>
      </w:r>
      <w:r>
        <w:rPr>
          <w:spacing w:val="36"/>
        </w:rPr>
        <w:t> </w:t>
      </w:r>
      <w:r>
        <w:rPr/>
        <w:t>linear</w:t>
      </w:r>
      <w:r>
        <w:rPr>
          <w:spacing w:val="37"/>
        </w:rPr>
        <w:t> </w:t>
      </w:r>
      <w:r>
        <w:rPr/>
        <w:t>models</w:t>
      </w:r>
      <w:r>
        <w:rPr>
          <w:spacing w:val="36"/>
        </w:rPr>
        <w:t> </w:t>
      </w:r>
      <w:r>
        <w:rPr/>
        <w:t>in</w:t>
      </w:r>
      <w:r>
        <w:rPr>
          <w:spacing w:val="36"/>
        </w:rPr>
        <w:t> </w:t>
      </w:r>
      <w:r>
        <w:rPr/>
        <w:t>both</w:t>
      </w:r>
      <w:r>
        <w:rPr>
          <w:spacing w:val="37"/>
        </w:rPr>
        <w:t> </w:t>
      </w:r>
      <w:r>
        <w:rPr/>
        <w:t>regions</w:t>
      </w:r>
      <w:r>
        <w:rPr>
          <w:spacing w:val="36"/>
        </w:rPr>
        <w:t> </w:t>
      </w:r>
      <w:r>
        <w:rPr/>
        <w:t>(no</w:t>
      </w:r>
      <w:r>
        <w:rPr>
          <w:spacing w:val="37"/>
        </w:rPr>
        <w:t> </w:t>
      </w:r>
      <w:r>
        <w:rPr/>
        <w:t>beneficial</w:t>
      </w:r>
      <w:r>
        <w:rPr>
          <w:spacing w:val="36"/>
        </w:rPr>
        <w:t> </w:t>
      </w:r>
      <w:r>
        <w:rPr/>
        <w:t>split</w:t>
      </w:r>
      <w:r>
        <w:rPr>
          <w:spacing w:val="36"/>
        </w:rPr>
        <w:t> </w:t>
      </w:r>
      <w:r>
        <w:rPr/>
        <w:t>found).</w:t>
      </w:r>
      <w:r>
        <w:rPr>
          <w:spacing w:val="80"/>
        </w:rPr>
        <w:t> </w:t>
      </w:r>
      <w:r>
        <w:rPr/>
        <w:t>The rules below present the full linear model for each region.</w:t>
      </w:r>
      <w:r>
        <w:rPr>
          <w:spacing w:val="38"/>
        </w:rPr>
        <w:t> </w:t>
      </w:r>
      <w:r>
        <w:rPr/>
        <w:t>All coefficients apply to standardised features; swa_hv_y1_b20 appears in both regional models with a negative coefficient, consistent with CarenR’s finding that moderate harvest soil water stress promotes above-trend production. Cross-validated R</w:t>
      </w:r>
      <w:r>
        <w:rPr>
          <w:vertAlign w:val="superscript"/>
        </w:rPr>
        <w:t>2</w:t>
      </w:r>
      <w:r>
        <w:rPr>
          <w:vertAlign w:val="baseline"/>
        </w:rPr>
        <w:t>: RDD = 0.004, RVV = -0.07.</w:t>
      </w:r>
    </w:p>
    <w:p>
      <w:pPr>
        <w:pStyle w:val="BodyText"/>
        <w:spacing w:after="0" w:line="312" w:lineRule="auto"/>
        <w:jc w:val="both"/>
        <w:sectPr>
          <w:headerReference w:type="default" r:id="rId113"/>
          <w:headerReference w:type="even" r:id="rId114"/>
          <w:pgSz w:w="11910" w:h="16840"/>
          <w:pgMar w:header="1160" w:footer="0" w:top="1420" w:bottom="280" w:left="1275" w:right="425"/>
          <w:pgNumType w:start="89"/>
        </w:sectPr>
      </w:pPr>
    </w:p>
    <w:p>
      <w:pPr>
        <w:pStyle w:val="BodyText"/>
        <w:spacing w:before="237"/>
        <w:rPr>
          <w:sz w:val="24"/>
        </w:rPr>
      </w:pPr>
    </w:p>
    <w:p>
      <w:pPr>
        <w:pStyle w:val="Heading3"/>
        <w:numPr>
          <w:ilvl w:val="2"/>
          <w:numId w:val="40"/>
        </w:numPr>
        <w:tabs>
          <w:tab w:pos="912" w:val="left" w:leader="none"/>
        </w:tabs>
        <w:spacing w:line="240" w:lineRule="auto" w:before="0" w:after="0"/>
        <w:ind w:left="912" w:right="0" w:hanging="770"/>
        <w:jc w:val="left"/>
      </w:pPr>
      <w:bookmarkStart w:name="A.5.1 RDD: 2 Rules" w:id="273"/>
      <w:bookmarkEnd w:id="273"/>
      <w:r>
        <w:rPr>
          <w:b w:val="0"/>
        </w:rPr>
      </w:r>
      <w:bookmarkStart w:name="_bookmark161" w:id="274"/>
      <w:bookmarkEnd w:id="274"/>
      <w:r>
        <w:rPr>
          <w:b w:val="0"/>
        </w:rPr>
      </w:r>
      <w:r>
        <w:rPr/>
        <w:t>RDD:</w:t>
      </w:r>
      <w:r>
        <w:rPr>
          <w:spacing w:val="-5"/>
        </w:rPr>
        <w:t> </w:t>
      </w:r>
      <w:r>
        <w:rPr/>
        <w:t>2</w:t>
      </w:r>
      <w:r>
        <w:rPr>
          <w:spacing w:val="-5"/>
        </w:rPr>
        <w:t> </w:t>
      </w:r>
      <w:r>
        <w:rPr>
          <w:spacing w:val="-2"/>
        </w:rPr>
        <w:t>Rules</w:t>
      </w:r>
    </w:p>
    <w:p>
      <w:pPr>
        <w:pStyle w:val="BodyText"/>
        <w:spacing w:line="346" w:lineRule="exact" w:before="153"/>
        <w:ind w:left="142"/>
        <w:jc w:val="both"/>
      </w:pPr>
      <w:r>
        <w:rPr>
          <w:spacing w:val="-6"/>
        </w:rPr>
        <w:t>Rule</w:t>
      </w:r>
      <w:r>
        <w:rPr>
          <w:spacing w:val="-4"/>
        </w:rPr>
        <w:t> </w:t>
      </w:r>
      <w:r>
        <w:rPr>
          <w:spacing w:val="-6"/>
        </w:rPr>
        <w:t>1</w:t>
      </w:r>
      <w:r>
        <w:rPr>
          <w:spacing w:val="-3"/>
        </w:rPr>
        <w:t> </w:t>
      </w:r>
      <w:r>
        <w:rPr>
          <w:spacing w:val="-6"/>
        </w:rPr>
        <w:t>(conditional):</w:t>
      </w:r>
      <w:r>
        <w:rPr>
          <w:spacing w:val="20"/>
        </w:rPr>
        <w:t> </w:t>
      </w:r>
      <w:r>
        <w:rPr>
          <w:spacing w:val="-6"/>
        </w:rPr>
        <w:t>IF</w:t>
      </w:r>
      <w:r>
        <w:rPr>
          <w:spacing w:val="-3"/>
        </w:rPr>
        <w:t> </w:t>
      </w:r>
      <w:r>
        <w:rPr>
          <w:spacing w:val="-6"/>
        </w:rPr>
        <w:t>Mean</w:t>
      </w:r>
      <w:r>
        <w:rPr>
          <w:spacing w:val="-4"/>
        </w:rPr>
        <w:t> </w:t>
      </w:r>
      <w:r>
        <w:rPr>
          <w:spacing w:val="-6"/>
        </w:rPr>
        <w:t>temp</w:t>
      </w:r>
      <w:r>
        <w:rPr>
          <w:spacing w:val="-3"/>
        </w:rPr>
        <w:t> </w:t>
      </w:r>
      <w:r>
        <w:rPr>
          <w:spacing w:val="-6"/>
        </w:rPr>
        <w:t>pre-Flowering</w:t>
      </w:r>
      <w:r>
        <w:rPr>
          <w:spacing w:val="-3"/>
        </w:rPr>
        <w:t> </w:t>
      </w:r>
      <w:r>
        <w:rPr>
          <w:spacing w:val="-6"/>
        </w:rPr>
        <w:t>prev.yr</w:t>
      </w:r>
      <w:r>
        <w:rPr>
          <w:spacing w:val="-3"/>
        </w:rPr>
        <w:t> </w:t>
      </w:r>
      <w:r>
        <w:rPr>
          <w:spacing w:val="-6"/>
        </w:rPr>
        <w:t>&gt;</w:t>
      </w:r>
      <w:r>
        <w:rPr>
          <w:spacing w:val="-3"/>
        </w:rPr>
        <w:t> </w:t>
      </w:r>
      <w:r>
        <w:rPr>
          <w:spacing w:val="-6"/>
        </w:rPr>
        <w:t>16.03</w:t>
      </w:r>
      <w:r>
        <w:rPr>
          <w:rFonts w:ascii="Meiryo UI" w:hAnsi="Meiryo UI"/>
          <w:i/>
          <w:spacing w:val="-6"/>
          <w:vertAlign w:val="superscript"/>
        </w:rPr>
        <w:t>◦</w:t>
      </w:r>
      <w:r>
        <w:rPr>
          <w:spacing w:val="-6"/>
          <w:vertAlign w:val="baseline"/>
        </w:rPr>
        <w:t>C</w:t>
      </w:r>
      <w:r>
        <w:rPr>
          <w:spacing w:val="-3"/>
          <w:vertAlign w:val="baseline"/>
        </w:rPr>
        <w:t> </w:t>
      </w:r>
      <w:r>
        <w:rPr>
          <w:spacing w:val="-6"/>
          <w:vertAlign w:val="baseline"/>
        </w:rPr>
        <w:t>AND</w:t>
      </w:r>
      <w:r>
        <w:rPr>
          <w:spacing w:val="-4"/>
          <w:vertAlign w:val="baseline"/>
        </w:rPr>
        <w:t> </w:t>
      </w:r>
      <w:r>
        <w:rPr>
          <w:spacing w:val="-6"/>
          <w:vertAlign w:val="baseline"/>
        </w:rPr>
        <w:t>Wet</w:t>
      </w:r>
      <w:r>
        <w:rPr>
          <w:spacing w:val="-3"/>
          <w:vertAlign w:val="baseline"/>
        </w:rPr>
        <w:t> </w:t>
      </w:r>
      <w:r>
        <w:rPr>
          <w:spacing w:val="-6"/>
          <w:vertAlign w:val="baseline"/>
        </w:rPr>
        <w:t>days</w:t>
      </w:r>
      <w:r>
        <w:rPr>
          <w:spacing w:val="-3"/>
          <w:vertAlign w:val="baseline"/>
        </w:rPr>
        <w:t> </w:t>
      </w:r>
      <w:r>
        <w:rPr>
          <w:spacing w:val="-6"/>
          <w:vertAlign w:val="baseline"/>
        </w:rPr>
        <w:t>post-Flowering</w:t>
      </w:r>
    </w:p>
    <w:p>
      <w:pPr>
        <w:spacing w:line="329" w:lineRule="exact" w:before="0"/>
        <w:ind w:left="142" w:right="0" w:firstLine="0"/>
        <w:jc w:val="both"/>
        <w:rPr>
          <w:sz w:val="22"/>
        </w:rPr>
      </w:pPr>
      <w:r>
        <w:rPr>
          <w:rFonts w:ascii="Meiryo UI" w:hAnsi="Meiryo UI"/>
          <w:i/>
          <w:spacing w:val="-10"/>
          <w:sz w:val="22"/>
        </w:rPr>
        <w:t>≤</w:t>
      </w:r>
      <w:r>
        <w:rPr>
          <w:rFonts w:ascii="Meiryo UI" w:hAnsi="Meiryo UI"/>
          <w:i/>
          <w:spacing w:val="-20"/>
          <w:sz w:val="22"/>
        </w:rPr>
        <w:t> </w:t>
      </w:r>
      <w:r>
        <w:rPr>
          <w:spacing w:val="-4"/>
          <w:sz w:val="22"/>
        </w:rPr>
        <w:t>3.5d</w:t>
      </w:r>
    </w:p>
    <w:p>
      <w:pPr>
        <w:pStyle w:val="BodyText"/>
        <w:spacing w:line="216" w:lineRule="auto" w:before="10"/>
        <w:ind w:left="142" w:right="1521" w:firstLine="338"/>
        <w:jc w:val="both"/>
      </w:pPr>
      <w:r>
        <w:rPr/>
        <w:t>THEN</w:t>
      </w:r>
      <w:r>
        <w:rPr>
          <w:spacing w:val="-7"/>
        </w:rPr>
        <w:t> </w:t>
      </w:r>
      <w:r>
        <w:rPr/>
        <w:t>production</w:t>
      </w:r>
      <w:r>
        <w:rPr>
          <w:spacing w:val="-1"/>
        </w:rPr>
        <w:t> </w:t>
      </w:r>
      <w:r>
        <w:rPr/>
        <w:t>residual</w:t>
      </w:r>
      <w:r>
        <w:rPr>
          <w:spacing w:val="-1"/>
        </w:rPr>
        <w:t> </w:t>
      </w:r>
      <w:r>
        <w:rPr/>
        <w:t>=</w:t>
      </w:r>
      <w:r>
        <w:rPr>
          <w:spacing w:val="-1"/>
        </w:rPr>
        <w:t> </w:t>
      </w:r>
      <w:r>
        <w:rPr/>
        <w:t>45.23</w:t>
      </w:r>
      <w:r>
        <w:rPr>
          <w:spacing w:val="-1"/>
        </w:rPr>
        <w:t> </w:t>
      </w:r>
      <w:r>
        <w:rPr>
          <w:rFonts w:ascii="Meiryo UI" w:hAnsi="Meiryo UI"/>
          <w:i/>
        </w:rPr>
        <w:t>×</w:t>
      </w:r>
      <w:r>
        <w:rPr>
          <w:rFonts w:ascii="Meiryo UI" w:hAnsi="Meiryo UI"/>
          <w:i/>
          <w:spacing w:val="-19"/>
        </w:rPr>
        <w:t> </w:t>
      </w:r>
      <w:r>
        <w:rPr/>
        <w:t>tm_fl_y1_b10</w:t>
      </w:r>
      <w:r>
        <w:rPr>
          <w:spacing w:val="-1"/>
        </w:rPr>
        <w:t> </w:t>
      </w:r>
      <w:r>
        <w:rPr/>
        <w:t>+</w:t>
      </w:r>
      <w:r>
        <w:rPr>
          <w:spacing w:val="-1"/>
        </w:rPr>
        <w:t> </w:t>
      </w:r>
      <w:r>
        <w:rPr/>
        <w:t>23.43</w:t>
      </w:r>
      <w:r>
        <w:rPr>
          <w:spacing w:val="-1"/>
        </w:rPr>
        <w:t> </w:t>
      </w:r>
      <w:r>
        <w:rPr>
          <w:rFonts w:ascii="Meiryo UI" w:hAnsi="Meiryo UI"/>
          <w:i/>
        </w:rPr>
        <w:t>×</w:t>
      </w:r>
      <w:r>
        <w:rPr>
          <w:rFonts w:ascii="Meiryo UI" w:hAnsi="Meiryo UI"/>
          <w:i/>
          <w:spacing w:val="-19"/>
        </w:rPr>
        <w:t> </w:t>
      </w:r>
      <w:r>
        <w:rPr/>
        <w:t>tm_fl_y0_b10</w:t>
      </w:r>
      <w:r>
        <w:rPr>
          <w:spacing w:val="-1"/>
        </w:rPr>
        <w:t> </w:t>
      </w:r>
      <w:r>
        <w:rPr/>
        <w:t>-</w:t>
      </w:r>
      <w:r>
        <w:rPr>
          <w:spacing w:val="-1"/>
        </w:rPr>
        <w:t> </w:t>
      </w:r>
      <w:r>
        <w:rPr/>
        <w:t>52.17</w:t>
      </w:r>
      <w:r>
        <w:rPr>
          <w:spacing w:val="-1"/>
        </w:rPr>
        <w:t> </w:t>
      </w:r>
      <w:r>
        <w:rPr>
          <w:rFonts w:ascii="Meiryo UI" w:hAnsi="Meiryo UI"/>
          <w:i/>
        </w:rPr>
        <w:t>×</w:t>
      </w:r>
      <w:r>
        <w:rPr>
          <w:rFonts w:ascii="Meiryo UI" w:hAnsi="Meiryo UI"/>
          <w:i/>
          <w:spacing w:val="-19"/>
        </w:rPr>
        <w:t> </w:t>
      </w:r>
      <w:r>
        <w:rPr/>
        <w:t>tm_ bb_y0_a30 - 9.18 </w:t>
      </w:r>
      <w:r>
        <w:rPr>
          <w:rFonts w:ascii="Meiryo UI" w:hAnsi="Meiryo UI"/>
          <w:i/>
        </w:rPr>
        <w:t>×</w:t>
      </w:r>
      <w:r>
        <w:rPr>
          <w:rFonts w:ascii="Meiryo UI" w:hAnsi="Meiryo UI"/>
          <w:i/>
          <w:spacing w:val="-11"/>
        </w:rPr>
        <w:t> </w:t>
      </w:r>
      <w:r>
        <w:rPr/>
        <w:t>tm_sm_y0_a20 + 8.80 </w:t>
      </w:r>
      <w:r>
        <w:rPr>
          <w:rFonts w:ascii="Meiryo UI" w:hAnsi="Meiryo UI"/>
          <w:i/>
        </w:rPr>
        <w:t>×</w:t>
      </w:r>
      <w:r>
        <w:rPr>
          <w:rFonts w:ascii="Meiryo UI" w:hAnsi="Meiryo UI"/>
          <w:i/>
          <w:spacing w:val="-11"/>
        </w:rPr>
        <w:t> </w:t>
      </w:r>
      <w:r>
        <w:rPr/>
        <w:t>tm_hv_y1_c10 + 7.31 </w:t>
      </w:r>
      <w:r>
        <w:rPr>
          <w:rFonts w:ascii="Meiryo UI" w:hAnsi="Meiryo UI"/>
          <w:i/>
        </w:rPr>
        <w:t>×</w:t>
      </w:r>
      <w:r>
        <w:rPr>
          <w:rFonts w:ascii="Meiryo UI" w:hAnsi="Meiryo UI"/>
          <w:i/>
          <w:spacing w:val="-11"/>
        </w:rPr>
        <w:t> </w:t>
      </w:r>
      <w:r>
        <w:rPr/>
        <w:t>tn_hv_y0_a30 - 3.45 </w:t>
      </w:r>
      <w:r>
        <w:rPr>
          <w:rFonts w:ascii="Meiryo UI" w:hAnsi="Meiryo UI"/>
          <w:i/>
        </w:rPr>
        <w:t>×</w:t>
      </w:r>
      <w:r>
        <w:rPr>
          <w:rFonts w:ascii="Meiryo UI" w:hAnsi="Meiryo UI"/>
          <w:i/>
        </w:rPr>
        <w:t> </w:t>
      </w:r>
      <w:r>
        <w:rPr/>
        <w:t>cold_days_fl + 675.75 </w:t>
      </w:r>
      <w:r>
        <w:rPr>
          <w:rFonts w:ascii="Meiryo UI" w:hAnsi="Meiryo UI"/>
          <w:i/>
        </w:rPr>
        <w:t>×</w:t>
      </w:r>
      <w:r>
        <w:rPr>
          <w:rFonts w:ascii="Meiryo UI" w:hAnsi="Meiryo UI"/>
          <w:i/>
          <w:spacing w:val="-19"/>
        </w:rPr>
        <w:t> </w:t>
      </w:r>
      <w:r>
        <w:rPr/>
        <w:t>iaf_fl_y1_b10 + 285.85 </w:t>
      </w:r>
      <w:r>
        <w:rPr>
          <w:rFonts w:ascii="Meiryo UI" w:hAnsi="Meiryo UI"/>
          <w:i/>
        </w:rPr>
        <w:t>×</w:t>
      </w:r>
      <w:r>
        <w:rPr>
          <w:rFonts w:ascii="Meiryo UI" w:hAnsi="Meiryo UI"/>
          <w:i/>
          <w:spacing w:val="-19"/>
        </w:rPr>
        <w:t> </w:t>
      </w:r>
      <w:r>
        <w:rPr/>
        <w:t>iaf_fl_y1_b30 + 2319.99 </w:t>
      </w:r>
      <w:r>
        <w:rPr>
          <w:rFonts w:ascii="Meiryo UI" w:hAnsi="Meiryo UI"/>
          <w:i/>
        </w:rPr>
        <w:t>×</w:t>
      </w:r>
      <w:r>
        <w:rPr>
          <w:rFonts w:ascii="Meiryo UI" w:hAnsi="Meiryo UI"/>
          <w:i/>
          <w:spacing w:val="-19"/>
        </w:rPr>
        <w:t> </w:t>
      </w:r>
      <w:r>
        <w:rPr/>
        <w:t>iaf_fl_y0_b20 - 2474.55 </w:t>
      </w:r>
      <w:r>
        <w:rPr>
          <w:rFonts w:ascii="Meiryo UI" w:hAnsi="Meiryo UI"/>
          <w:i/>
        </w:rPr>
        <w:t>×</w:t>
      </w:r>
      <w:r>
        <w:rPr>
          <w:rFonts w:ascii="Meiryo UI" w:hAnsi="Meiryo UI"/>
          <w:i/>
          <w:spacing w:val="-10"/>
        </w:rPr>
        <w:t> </w:t>
      </w:r>
      <w:r>
        <w:rPr/>
        <w:t>iaf_fl_y0_b30 - 0.44 </w:t>
      </w:r>
      <w:r>
        <w:rPr>
          <w:rFonts w:ascii="Meiryo UI" w:hAnsi="Meiryo UI"/>
          <w:i/>
        </w:rPr>
        <w:t>×</w:t>
      </w:r>
      <w:r>
        <w:rPr>
          <w:rFonts w:ascii="Meiryo UI" w:hAnsi="Meiryo UI"/>
          <w:i/>
          <w:spacing w:val="-10"/>
        </w:rPr>
        <w:t> </w:t>
      </w:r>
      <w:r>
        <w:rPr/>
        <w:t>swa_hv_y1_b20 - 1023.61</w:t>
      </w:r>
    </w:p>
    <w:p>
      <w:pPr>
        <w:pStyle w:val="BodyText"/>
        <w:spacing w:before="46"/>
        <w:ind w:left="481"/>
      </w:pPr>
      <w:r>
        <w:rPr/>
        <w:t>Rule</w:t>
      </w:r>
      <w:r>
        <w:rPr>
          <w:spacing w:val="-6"/>
        </w:rPr>
        <w:t> </w:t>
      </w:r>
      <w:r>
        <w:rPr/>
        <w:t>2</w:t>
      </w:r>
      <w:r>
        <w:rPr>
          <w:spacing w:val="-5"/>
        </w:rPr>
        <w:t> </w:t>
      </w:r>
      <w:r>
        <w:rPr/>
        <w:t>(default):</w:t>
      </w:r>
      <w:r>
        <w:rPr>
          <w:spacing w:val="6"/>
        </w:rPr>
        <w:t> </w:t>
      </w:r>
      <w:r>
        <w:rPr/>
        <w:t>all</w:t>
      </w:r>
      <w:r>
        <w:rPr>
          <w:spacing w:val="-5"/>
        </w:rPr>
        <w:t> </w:t>
      </w:r>
      <w:r>
        <w:rPr/>
        <w:t>other</w:t>
      </w:r>
      <w:r>
        <w:rPr>
          <w:spacing w:val="-6"/>
        </w:rPr>
        <w:t> </w:t>
      </w:r>
      <w:r>
        <w:rPr>
          <w:spacing w:val="-2"/>
        </w:rPr>
        <w:t>years</w:t>
      </w:r>
    </w:p>
    <w:p>
      <w:pPr>
        <w:pStyle w:val="BodyText"/>
        <w:spacing w:line="216" w:lineRule="auto" w:before="37"/>
        <w:ind w:left="134" w:right="1520" w:firstLine="346"/>
        <w:jc w:val="both"/>
      </w:pPr>
      <w:r>
        <w:rPr/>
        <w:t>THEN</w:t>
      </w:r>
      <w:r>
        <w:rPr>
          <w:spacing w:val="-13"/>
        </w:rPr>
        <w:t> </w:t>
      </w:r>
      <w:r>
        <w:rPr/>
        <w:t>production</w:t>
      </w:r>
      <w:r>
        <w:rPr>
          <w:spacing w:val="-2"/>
        </w:rPr>
        <w:t> </w:t>
      </w:r>
      <w:r>
        <w:rPr/>
        <w:t>residual</w:t>
      </w:r>
      <w:r>
        <w:rPr>
          <w:spacing w:val="-3"/>
        </w:rPr>
        <w:t> </w:t>
      </w:r>
      <w:r>
        <w:rPr/>
        <w:t>=</w:t>
      </w:r>
      <w:r>
        <w:rPr>
          <w:spacing w:val="-3"/>
        </w:rPr>
        <w:t> </w:t>
      </w:r>
      <w:r>
        <w:rPr/>
        <w:t>66.45</w:t>
      </w:r>
      <w:r>
        <w:rPr>
          <w:spacing w:val="-3"/>
        </w:rPr>
        <w:t> </w:t>
      </w:r>
      <w:r>
        <w:rPr>
          <w:rFonts w:ascii="Meiryo UI" w:hAnsi="Meiryo UI"/>
          <w:i/>
        </w:rPr>
        <w:t>×</w:t>
      </w:r>
      <w:r>
        <w:rPr>
          <w:rFonts w:ascii="Meiryo UI" w:hAnsi="Meiryo UI"/>
          <w:i/>
          <w:spacing w:val="-19"/>
        </w:rPr>
        <w:t> </w:t>
      </w:r>
      <w:r>
        <w:rPr/>
        <w:t>tm_fl_y1_b10</w:t>
      </w:r>
      <w:r>
        <w:rPr>
          <w:spacing w:val="-2"/>
        </w:rPr>
        <w:t> </w:t>
      </w:r>
      <w:r>
        <w:rPr/>
        <w:t>-</w:t>
      </w:r>
      <w:r>
        <w:rPr>
          <w:spacing w:val="-3"/>
        </w:rPr>
        <w:t> </w:t>
      </w:r>
      <w:r>
        <w:rPr/>
        <w:t>97.63</w:t>
      </w:r>
      <w:r>
        <w:rPr>
          <w:spacing w:val="-3"/>
        </w:rPr>
        <w:t> </w:t>
      </w:r>
      <w:r>
        <w:rPr>
          <w:rFonts w:ascii="Meiryo UI" w:hAnsi="Meiryo UI"/>
          <w:i/>
        </w:rPr>
        <w:t>×</w:t>
      </w:r>
      <w:r>
        <w:rPr>
          <w:rFonts w:ascii="Meiryo UI" w:hAnsi="Meiryo UI"/>
          <w:i/>
          <w:spacing w:val="-19"/>
        </w:rPr>
        <w:t> </w:t>
      </w:r>
      <w:r>
        <w:rPr/>
        <w:t>tm_bb_y0_a30</w:t>
      </w:r>
      <w:r>
        <w:rPr>
          <w:spacing w:val="-2"/>
        </w:rPr>
        <w:t> </w:t>
      </w:r>
      <w:r>
        <w:rPr/>
        <w:t>-</w:t>
      </w:r>
      <w:r>
        <w:rPr>
          <w:spacing w:val="-3"/>
        </w:rPr>
        <w:t> </w:t>
      </w:r>
      <w:r>
        <w:rPr/>
        <w:t>38.54</w:t>
      </w:r>
      <w:r>
        <w:rPr>
          <w:spacing w:val="-3"/>
        </w:rPr>
        <w:t> </w:t>
      </w:r>
      <w:r>
        <w:rPr>
          <w:rFonts w:ascii="Meiryo UI" w:hAnsi="Meiryo UI"/>
          <w:i/>
        </w:rPr>
        <w:t>×</w:t>
      </w:r>
      <w:r>
        <w:rPr>
          <w:rFonts w:ascii="Meiryo UI" w:hAnsi="Meiryo UI"/>
          <w:i/>
          <w:spacing w:val="-19"/>
        </w:rPr>
        <w:t> </w:t>
      </w:r>
      <w:r>
        <w:rPr/>
        <w:t>tm_ sm_y0_a20 + 39.62 </w:t>
      </w:r>
      <w:r>
        <w:rPr>
          <w:rFonts w:ascii="Meiryo UI" w:hAnsi="Meiryo UI"/>
          <w:i/>
        </w:rPr>
        <w:t>×</w:t>
      </w:r>
      <w:r>
        <w:rPr>
          <w:rFonts w:ascii="Meiryo UI" w:hAnsi="Meiryo UI"/>
          <w:i/>
          <w:spacing w:val="-15"/>
        </w:rPr>
        <w:t> </w:t>
      </w:r>
      <w:r>
        <w:rPr/>
        <w:t>tm_hv_y0_a30 + 1394.73 </w:t>
      </w:r>
      <w:r>
        <w:rPr>
          <w:rFonts w:ascii="Meiryo UI" w:hAnsi="Meiryo UI"/>
          <w:i/>
        </w:rPr>
        <w:t>×</w:t>
      </w:r>
      <w:r>
        <w:rPr>
          <w:rFonts w:ascii="Meiryo UI" w:hAnsi="Meiryo UI"/>
          <w:i/>
          <w:spacing w:val="-15"/>
        </w:rPr>
        <w:t> </w:t>
      </w:r>
      <w:r>
        <w:rPr/>
        <w:t>iaf_fl_y1_b20 + 4138.60 </w:t>
      </w:r>
      <w:r>
        <w:rPr>
          <w:rFonts w:ascii="Meiryo UI" w:hAnsi="Meiryo UI"/>
          <w:i/>
        </w:rPr>
        <w:t>×</w:t>
      </w:r>
      <w:r>
        <w:rPr>
          <w:rFonts w:ascii="Meiryo UI" w:hAnsi="Meiryo UI"/>
          <w:i/>
          <w:spacing w:val="-15"/>
        </w:rPr>
        <w:t> </w:t>
      </w:r>
      <w:r>
        <w:rPr/>
        <w:t>iaf_fl_y0_b10 - 4199.43 </w:t>
      </w:r>
      <w:r>
        <w:rPr>
          <w:rFonts w:ascii="Meiryo UI" w:hAnsi="Meiryo UI"/>
          <w:i/>
        </w:rPr>
        <w:t>×</w:t>
      </w:r>
      <w:r>
        <w:rPr>
          <w:rFonts w:ascii="Meiryo UI" w:hAnsi="Meiryo UI"/>
          <w:i/>
          <w:spacing w:val="-10"/>
        </w:rPr>
        <w:t> </w:t>
      </w:r>
      <w:r>
        <w:rPr/>
        <w:t>iaf_fl_y0_b20 - 2.30 </w:t>
      </w:r>
      <w:r>
        <w:rPr>
          <w:rFonts w:ascii="Meiryo UI" w:hAnsi="Meiryo UI"/>
          <w:i/>
        </w:rPr>
        <w:t>×</w:t>
      </w:r>
      <w:r>
        <w:rPr>
          <w:rFonts w:ascii="Meiryo UI" w:hAnsi="Meiryo UI"/>
          <w:i/>
          <w:spacing w:val="-10"/>
        </w:rPr>
        <w:t> </w:t>
      </w:r>
      <w:r>
        <w:rPr/>
        <w:t>swa_hv_y1_b20 - 408.09</w:t>
      </w:r>
    </w:p>
    <w:p>
      <w:pPr>
        <w:pStyle w:val="BodyText"/>
        <w:spacing w:before="101"/>
      </w:pPr>
    </w:p>
    <w:p>
      <w:pPr>
        <w:pStyle w:val="Heading3"/>
        <w:numPr>
          <w:ilvl w:val="2"/>
          <w:numId w:val="40"/>
        </w:numPr>
        <w:tabs>
          <w:tab w:pos="912" w:val="left" w:leader="none"/>
        </w:tabs>
        <w:spacing w:line="240" w:lineRule="auto" w:before="0" w:after="0"/>
        <w:ind w:left="912" w:right="0" w:hanging="770"/>
        <w:jc w:val="left"/>
      </w:pPr>
      <w:bookmarkStart w:name="A.5.2 RVV: 3 Rules" w:id="275"/>
      <w:bookmarkEnd w:id="275"/>
      <w:r>
        <w:rPr>
          <w:b w:val="0"/>
        </w:rPr>
      </w:r>
      <w:bookmarkStart w:name="_bookmark162" w:id="276"/>
      <w:bookmarkEnd w:id="276"/>
      <w:r>
        <w:rPr>
          <w:b w:val="0"/>
        </w:rPr>
      </w:r>
      <w:r>
        <w:rPr>
          <w:spacing w:val="-6"/>
        </w:rPr>
        <w:t>RVV:</w:t>
      </w:r>
      <w:r>
        <w:rPr>
          <w:spacing w:val="-8"/>
        </w:rPr>
        <w:t> </w:t>
      </w:r>
      <w:r>
        <w:rPr>
          <w:spacing w:val="-6"/>
        </w:rPr>
        <w:t>3</w:t>
      </w:r>
      <w:r>
        <w:rPr>
          <w:spacing w:val="-8"/>
        </w:rPr>
        <w:t> </w:t>
      </w:r>
      <w:r>
        <w:rPr>
          <w:spacing w:val="-6"/>
        </w:rPr>
        <w:t>Rules</w:t>
      </w:r>
    </w:p>
    <w:p>
      <w:pPr>
        <w:pStyle w:val="BodyText"/>
        <w:spacing w:before="218"/>
        <w:ind w:left="142"/>
        <w:jc w:val="both"/>
      </w:pPr>
      <w:r>
        <w:rPr/>
        <w:t>Rule</w:t>
      </w:r>
      <w:r>
        <w:rPr>
          <w:spacing w:val="-8"/>
        </w:rPr>
        <w:t> </w:t>
      </w:r>
      <w:r>
        <w:rPr/>
        <w:t>1</w:t>
      </w:r>
      <w:r>
        <w:rPr>
          <w:spacing w:val="-7"/>
        </w:rPr>
        <w:t> </w:t>
      </w:r>
      <w:r>
        <w:rPr/>
        <w:t>(conditional):</w:t>
      </w:r>
      <w:r>
        <w:rPr>
          <w:spacing w:val="5"/>
        </w:rPr>
        <w:t> </w:t>
      </w:r>
      <w:r>
        <w:rPr/>
        <w:t>IF</w:t>
      </w:r>
      <w:r>
        <w:rPr>
          <w:spacing w:val="-7"/>
        </w:rPr>
        <w:t> </w:t>
      </w:r>
      <w:r>
        <w:rPr/>
        <w:t>Soil</w:t>
      </w:r>
      <w:r>
        <w:rPr>
          <w:spacing w:val="-7"/>
        </w:rPr>
        <w:t> </w:t>
      </w:r>
      <w:r>
        <w:rPr/>
        <w:t>water</w:t>
      </w:r>
      <w:r>
        <w:rPr>
          <w:spacing w:val="-7"/>
        </w:rPr>
        <w:t> </w:t>
      </w:r>
      <w:r>
        <w:rPr/>
        <w:t>post-Flowering</w:t>
      </w:r>
      <w:r>
        <w:rPr>
          <w:spacing w:val="-8"/>
        </w:rPr>
        <w:t> </w:t>
      </w:r>
      <w:r>
        <w:rPr/>
        <w:t>&gt;</w:t>
      </w:r>
      <w:r>
        <w:rPr>
          <w:spacing w:val="-7"/>
        </w:rPr>
        <w:t> </w:t>
      </w:r>
      <w:r>
        <w:rPr/>
        <w:t>131.4</w:t>
      </w:r>
      <w:r>
        <w:rPr>
          <w:spacing w:val="-7"/>
        </w:rPr>
        <w:t> </w:t>
      </w:r>
      <w:r>
        <w:rPr>
          <w:spacing w:val="-5"/>
        </w:rPr>
        <w:t>mm</w:t>
      </w:r>
    </w:p>
    <w:p>
      <w:pPr>
        <w:pStyle w:val="BodyText"/>
        <w:spacing w:line="237" w:lineRule="auto" w:before="13"/>
        <w:ind w:left="142" w:right="1526" w:firstLine="338"/>
        <w:jc w:val="both"/>
      </w:pPr>
      <w:r>
        <w:rPr/>
        <w:t>THEN production residual = -13.26 </w:t>
      </w:r>
      <w:r>
        <w:rPr>
          <w:rFonts w:ascii="Meiryo UI" w:hAnsi="Meiryo UI"/>
          <w:i/>
        </w:rPr>
        <w:t>× </w:t>
      </w:r>
      <w:r>
        <w:rPr/>
        <w:t>tm_fl_y0_b10 - 40.72 </w:t>
      </w:r>
      <w:r>
        <w:rPr>
          <w:rFonts w:ascii="Meiryo UI" w:hAnsi="Meiryo UI"/>
          <w:i/>
        </w:rPr>
        <w:t>× </w:t>
      </w:r>
      <w:r>
        <w:rPr/>
        <w:t>tm_fl_y0_a10 + 17.16 </w:t>
      </w:r>
      <w:r>
        <w:rPr>
          <w:rFonts w:ascii="Meiryo UI" w:hAnsi="Meiryo UI"/>
          <w:i/>
        </w:rPr>
        <w:t>×</w:t>
      </w:r>
      <w:r>
        <w:rPr>
          <w:rFonts w:ascii="Meiryo UI" w:hAnsi="Meiryo UI"/>
          <w:i/>
        </w:rPr>
        <w:t> </w:t>
      </w:r>
      <w:r>
        <w:rPr/>
        <w:t>tm_sm_y0_a20</w:t>
      </w:r>
      <w:r>
        <w:rPr>
          <w:spacing w:val="-14"/>
        </w:rPr>
        <w:t> </w:t>
      </w:r>
      <w:r>
        <w:rPr/>
        <w:t>-</w:t>
      </w:r>
      <w:r>
        <w:rPr>
          <w:spacing w:val="-4"/>
        </w:rPr>
        <w:t> </w:t>
      </w:r>
      <w:r>
        <w:rPr/>
        <w:t>24.87</w:t>
      </w:r>
      <w:r>
        <w:rPr>
          <w:spacing w:val="-3"/>
        </w:rPr>
        <w:t> </w:t>
      </w:r>
      <w:r>
        <w:rPr>
          <w:rFonts w:ascii="Meiryo UI" w:hAnsi="Meiryo UI"/>
          <w:i/>
        </w:rPr>
        <w:t>×</w:t>
      </w:r>
      <w:r>
        <w:rPr>
          <w:rFonts w:ascii="Meiryo UI" w:hAnsi="Meiryo UI"/>
          <w:i/>
          <w:spacing w:val="-19"/>
        </w:rPr>
        <w:t> </w:t>
      </w:r>
      <w:r>
        <w:rPr/>
        <w:t>tm_hv_y1_b20</w:t>
      </w:r>
      <w:r>
        <w:rPr>
          <w:spacing w:val="-3"/>
        </w:rPr>
        <w:t> </w:t>
      </w:r>
      <w:r>
        <w:rPr/>
        <w:t>-</w:t>
      </w:r>
      <w:r>
        <w:rPr>
          <w:spacing w:val="-3"/>
        </w:rPr>
        <w:t> </w:t>
      </w:r>
      <w:r>
        <w:rPr/>
        <w:t>2063.79</w:t>
      </w:r>
      <w:r>
        <w:rPr>
          <w:spacing w:val="-3"/>
        </w:rPr>
        <w:t> </w:t>
      </w:r>
      <w:r>
        <w:rPr>
          <w:rFonts w:ascii="Meiryo UI" w:hAnsi="Meiryo UI"/>
          <w:i/>
        </w:rPr>
        <w:t>×</w:t>
      </w:r>
      <w:r>
        <w:rPr>
          <w:rFonts w:ascii="Meiryo UI" w:hAnsi="Meiryo UI"/>
          <w:i/>
          <w:spacing w:val="-19"/>
        </w:rPr>
        <w:t> </w:t>
      </w:r>
      <w:r>
        <w:rPr/>
        <w:t>iaf_bb_y1_c10</w:t>
      </w:r>
      <w:r>
        <w:rPr>
          <w:spacing w:val="-3"/>
        </w:rPr>
        <w:t> </w:t>
      </w:r>
      <w:r>
        <w:rPr/>
        <w:t>-</w:t>
      </w:r>
      <w:r>
        <w:rPr>
          <w:spacing w:val="-3"/>
        </w:rPr>
        <w:t> </w:t>
      </w:r>
      <w:r>
        <w:rPr/>
        <w:t>8.12</w:t>
      </w:r>
      <w:r>
        <w:rPr>
          <w:spacing w:val="-3"/>
        </w:rPr>
        <w:t> </w:t>
      </w:r>
      <w:r>
        <w:rPr>
          <w:rFonts w:ascii="Meiryo UI" w:hAnsi="Meiryo UI"/>
          <w:i/>
        </w:rPr>
        <w:t>×</w:t>
      </w:r>
      <w:r>
        <w:rPr>
          <w:rFonts w:ascii="Meiryo UI" w:hAnsi="Meiryo UI"/>
          <w:i/>
          <w:spacing w:val="-19"/>
        </w:rPr>
        <w:t> </w:t>
      </w:r>
      <w:r>
        <w:rPr/>
        <w:t>swa_fl_y1_a30</w:t>
      </w:r>
      <w:r>
        <w:rPr>
          <w:spacing w:val="-3"/>
        </w:rPr>
        <w:t> </w:t>
      </w:r>
      <w:r>
        <w:rPr/>
        <w:t>+ </w:t>
      </w:r>
      <w:r>
        <w:rPr>
          <w:spacing w:val="-2"/>
        </w:rPr>
        <w:t>2419.77</w:t>
      </w:r>
    </w:p>
    <w:p>
      <w:pPr>
        <w:pStyle w:val="BodyText"/>
        <w:spacing w:line="346" w:lineRule="exact" w:before="14"/>
        <w:ind w:left="481"/>
      </w:pPr>
      <w:r>
        <w:rPr/>
        <w:t>Rule</w:t>
      </w:r>
      <w:r>
        <w:rPr>
          <w:spacing w:val="-7"/>
        </w:rPr>
        <w:t> </w:t>
      </w:r>
      <w:r>
        <w:rPr/>
        <w:t>2</w:t>
      </w:r>
      <w:r>
        <w:rPr>
          <w:spacing w:val="-6"/>
        </w:rPr>
        <w:t> </w:t>
      </w:r>
      <w:r>
        <w:rPr/>
        <w:t>(conditional):</w:t>
      </w:r>
      <w:r>
        <w:rPr>
          <w:spacing w:val="5"/>
        </w:rPr>
        <w:t> </w:t>
      </w:r>
      <w:r>
        <w:rPr/>
        <w:t>IF</w:t>
      </w:r>
      <w:r>
        <w:rPr>
          <w:spacing w:val="-6"/>
        </w:rPr>
        <w:t> </w:t>
      </w:r>
      <w:r>
        <w:rPr/>
        <w:t>Mean</w:t>
      </w:r>
      <w:r>
        <w:rPr>
          <w:spacing w:val="-7"/>
        </w:rPr>
        <w:t> </w:t>
      </w:r>
      <w:r>
        <w:rPr/>
        <w:t>temp</w:t>
      </w:r>
      <w:r>
        <w:rPr>
          <w:spacing w:val="-6"/>
        </w:rPr>
        <w:t> </w:t>
      </w:r>
      <w:r>
        <w:rPr/>
        <w:t>pre-Harvest</w:t>
      </w:r>
      <w:r>
        <w:rPr>
          <w:spacing w:val="-6"/>
        </w:rPr>
        <w:t> </w:t>
      </w:r>
      <w:r>
        <w:rPr/>
        <w:t>&gt;</w:t>
      </w:r>
      <w:r>
        <w:rPr>
          <w:spacing w:val="-7"/>
        </w:rPr>
        <w:t> </w:t>
      </w:r>
      <w:r>
        <w:rPr>
          <w:spacing w:val="-2"/>
        </w:rPr>
        <w:t>16.76</w:t>
      </w:r>
      <w:r>
        <w:rPr>
          <w:rFonts w:ascii="Meiryo UI" w:hAnsi="Meiryo UI"/>
          <w:i/>
          <w:spacing w:val="-2"/>
          <w:vertAlign w:val="superscript"/>
        </w:rPr>
        <w:t>◦</w:t>
      </w:r>
      <w:r>
        <w:rPr>
          <w:spacing w:val="-2"/>
          <w:vertAlign w:val="baseline"/>
        </w:rPr>
        <w:t>C</w:t>
      </w:r>
    </w:p>
    <w:p>
      <w:pPr>
        <w:pStyle w:val="BodyText"/>
        <w:spacing w:line="216" w:lineRule="auto" w:before="10"/>
        <w:ind w:left="142" w:right="1546" w:firstLine="338"/>
        <w:jc w:val="both"/>
      </w:pPr>
      <w:r>
        <w:rPr/>
        <w:t>THEN</w:t>
      </w:r>
      <w:r>
        <w:rPr>
          <w:spacing w:val="-8"/>
        </w:rPr>
        <w:t> </w:t>
      </w:r>
      <w:r>
        <w:rPr/>
        <w:t>production</w:t>
      </w:r>
      <w:r>
        <w:rPr>
          <w:spacing w:val="-2"/>
        </w:rPr>
        <w:t> </w:t>
      </w:r>
      <w:r>
        <w:rPr/>
        <w:t>residual</w:t>
      </w:r>
      <w:r>
        <w:rPr>
          <w:spacing w:val="-2"/>
        </w:rPr>
        <w:t> </w:t>
      </w:r>
      <w:r>
        <w:rPr/>
        <w:t>=</w:t>
      </w:r>
      <w:r>
        <w:rPr>
          <w:spacing w:val="-2"/>
        </w:rPr>
        <w:t> </w:t>
      </w:r>
      <w:r>
        <w:rPr/>
        <w:t>24.11</w:t>
      </w:r>
      <w:r>
        <w:rPr>
          <w:spacing w:val="-2"/>
        </w:rPr>
        <w:t> </w:t>
      </w:r>
      <w:r>
        <w:rPr>
          <w:rFonts w:ascii="Meiryo UI" w:hAnsi="Meiryo UI"/>
          <w:i/>
        </w:rPr>
        <w:t>×</w:t>
      </w:r>
      <w:r>
        <w:rPr>
          <w:rFonts w:ascii="Meiryo UI" w:hAnsi="Meiryo UI"/>
          <w:i/>
          <w:spacing w:val="-19"/>
        </w:rPr>
        <w:t> </w:t>
      </w:r>
      <w:r>
        <w:rPr/>
        <w:t>tm_fl_y1_c15</w:t>
      </w:r>
      <w:r>
        <w:rPr>
          <w:spacing w:val="-2"/>
        </w:rPr>
        <w:t> </w:t>
      </w:r>
      <w:r>
        <w:rPr/>
        <w:t>-</w:t>
      </w:r>
      <w:r>
        <w:rPr>
          <w:spacing w:val="-2"/>
        </w:rPr>
        <w:t> </w:t>
      </w:r>
      <w:r>
        <w:rPr/>
        <w:t>24.09</w:t>
      </w:r>
      <w:r>
        <w:rPr>
          <w:spacing w:val="-2"/>
        </w:rPr>
        <w:t> </w:t>
      </w:r>
      <w:r>
        <w:rPr>
          <w:rFonts w:ascii="Meiryo UI" w:hAnsi="Meiryo UI"/>
          <w:i/>
        </w:rPr>
        <w:t>×</w:t>
      </w:r>
      <w:r>
        <w:rPr>
          <w:rFonts w:ascii="Meiryo UI" w:hAnsi="Meiryo UI"/>
          <w:i/>
          <w:spacing w:val="-19"/>
        </w:rPr>
        <w:t> </w:t>
      </w:r>
      <w:r>
        <w:rPr/>
        <w:t>tm_fl_y0_b10</w:t>
      </w:r>
      <w:r>
        <w:rPr>
          <w:spacing w:val="-2"/>
        </w:rPr>
        <w:t> </w:t>
      </w:r>
      <w:r>
        <w:rPr/>
        <w:t>+</w:t>
      </w:r>
      <w:r>
        <w:rPr>
          <w:spacing w:val="-2"/>
        </w:rPr>
        <w:t> </w:t>
      </w:r>
      <w:r>
        <w:rPr/>
        <w:t>46.70</w:t>
      </w:r>
      <w:r>
        <w:rPr>
          <w:spacing w:val="-2"/>
        </w:rPr>
        <w:t> </w:t>
      </w:r>
      <w:r>
        <w:rPr>
          <w:rFonts w:ascii="Meiryo UI" w:hAnsi="Meiryo UI"/>
          <w:i/>
        </w:rPr>
        <w:t>×</w:t>
      </w:r>
      <w:r>
        <w:rPr>
          <w:rFonts w:ascii="Meiryo UI" w:hAnsi="Meiryo UI"/>
          <w:i/>
          <w:spacing w:val="-19"/>
        </w:rPr>
        <w:t> </w:t>
      </w:r>
      <w:r>
        <w:rPr/>
        <w:t>tm_ sm_y0_a20</w:t>
      </w:r>
      <w:r>
        <w:rPr>
          <w:spacing w:val="-14"/>
        </w:rPr>
        <w:t> </w:t>
      </w:r>
      <w:r>
        <w:rPr/>
        <w:t>-</w:t>
      </w:r>
      <w:r>
        <w:rPr>
          <w:spacing w:val="-14"/>
        </w:rPr>
        <w:t> </w:t>
      </w:r>
      <w:r>
        <w:rPr/>
        <w:t>49.55</w:t>
      </w:r>
      <w:r>
        <w:rPr>
          <w:spacing w:val="-14"/>
        </w:rPr>
        <w:t> </w:t>
      </w:r>
      <w:r>
        <w:rPr>
          <w:rFonts w:ascii="Meiryo UI" w:hAnsi="Meiryo UI"/>
          <w:i/>
        </w:rPr>
        <w:t>×</w:t>
      </w:r>
      <w:r>
        <w:rPr>
          <w:rFonts w:ascii="Meiryo UI" w:hAnsi="Meiryo UI"/>
          <w:i/>
          <w:spacing w:val="-21"/>
        </w:rPr>
        <w:t> </w:t>
      </w:r>
      <w:r>
        <w:rPr/>
        <w:t>tm_hv_y1_b20</w:t>
      </w:r>
      <w:r>
        <w:rPr>
          <w:spacing w:val="-11"/>
        </w:rPr>
        <w:t> </w:t>
      </w:r>
      <w:r>
        <w:rPr/>
        <w:t>+</w:t>
      </w:r>
      <w:r>
        <w:rPr>
          <w:spacing w:val="-8"/>
        </w:rPr>
        <w:t> </w:t>
      </w:r>
      <w:r>
        <w:rPr/>
        <w:t>5.10</w:t>
      </w:r>
      <w:r>
        <w:rPr>
          <w:spacing w:val="-7"/>
        </w:rPr>
        <w:t> </w:t>
      </w:r>
      <w:r>
        <w:rPr>
          <w:rFonts w:ascii="Meiryo UI" w:hAnsi="Meiryo UI"/>
          <w:i/>
        </w:rPr>
        <w:t>×</w:t>
      </w:r>
      <w:r>
        <w:rPr>
          <w:rFonts w:ascii="Meiryo UI" w:hAnsi="Meiryo UI"/>
          <w:i/>
          <w:spacing w:val="-21"/>
        </w:rPr>
        <w:t> </w:t>
      </w:r>
      <w:r>
        <w:rPr/>
        <w:t>rf_hv_y0_a10</w:t>
      </w:r>
      <w:r>
        <w:rPr>
          <w:spacing w:val="-8"/>
        </w:rPr>
        <w:t> </w:t>
      </w:r>
      <w:r>
        <w:rPr/>
        <w:t>-</w:t>
      </w:r>
      <w:r>
        <w:rPr>
          <w:spacing w:val="-8"/>
        </w:rPr>
        <w:t> </w:t>
      </w:r>
      <w:r>
        <w:rPr/>
        <w:t>1.74</w:t>
      </w:r>
      <w:r>
        <w:rPr>
          <w:spacing w:val="-8"/>
        </w:rPr>
        <w:t> </w:t>
      </w:r>
      <w:r>
        <w:rPr>
          <w:rFonts w:ascii="Meiryo UI" w:hAnsi="Meiryo UI"/>
          <w:i/>
        </w:rPr>
        <w:t>×</w:t>
      </w:r>
      <w:r>
        <w:rPr>
          <w:rFonts w:ascii="Meiryo UI" w:hAnsi="Meiryo UI"/>
          <w:i/>
          <w:spacing w:val="-21"/>
        </w:rPr>
        <w:t> </w:t>
      </w:r>
      <w:r>
        <w:rPr/>
        <w:t>swa_hv_y1_b20</w:t>
      </w:r>
      <w:r>
        <w:rPr>
          <w:spacing w:val="-8"/>
        </w:rPr>
        <w:t> </w:t>
      </w:r>
      <w:r>
        <w:rPr/>
        <w:t>+</w:t>
      </w:r>
      <w:r>
        <w:rPr>
          <w:spacing w:val="-8"/>
        </w:rPr>
        <w:t> </w:t>
      </w:r>
      <w:r>
        <w:rPr>
          <w:spacing w:val="-2"/>
        </w:rPr>
        <w:t>227.87</w:t>
      </w:r>
    </w:p>
    <w:p>
      <w:pPr>
        <w:pStyle w:val="BodyText"/>
        <w:spacing w:before="42"/>
        <w:ind w:left="481"/>
      </w:pPr>
      <w:r>
        <w:rPr/>
        <w:t>Rule</w:t>
      </w:r>
      <w:r>
        <w:rPr>
          <w:spacing w:val="-6"/>
        </w:rPr>
        <w:t> </w:t>
      </w:r>
      <w:r>
        <w:rPr/>
        <w:t>3</w:t>
      </w:r>
      <w:r>
        <w:rPr>
          <w:spacing w:val="-5"/>
        </w:rPr>
        <w:t> </w:t>
      </w:r>
      <w:r>
        <w:rPr/>
        <w:t>(default):</w:t>
      </w:r>
      <w:r>
        <w:rPr>
          <w:spacing w:val="6"/>
        </w:rPr>
        <w:t> </w:t>
      </w:r>
      <w:r>
        <w:rPr/>
        <w:t>all</w:t>
      </w:r>
      <w:r>
        <w:rPr>
          <w:spacing w:val="-5"/>
        </w:rPr>
        <w:t> </w:t>
      </w:r>
      <w:r>
        <w:rPr/>
        <w:t>other</w:t>
      </w:r>
      <w:r>
        <w:rPr>
          <w:spacing w:val="-6"/>
        </w:rPr>
        <w:t> </w:t>
      </w:r>
      <w:r>
        <w:rPr>
          <w:spacing w:val="-2"/>
        </w:rPr>
        <w:t>years</w:t>
      </w:r>
    </w:p>
    <w:p>
      <w:pPr>
        <w:pStyle w:val="BodyText"/>
        <w:spacing w:before="10"/>
        <w:ind w:left="481"/>
      </w:pPr>
      <w:r>
        <w:rPr/>
        <w:t>THEN</w:t>
      </w:r>
      <w:r>
        <w:rPr>
          <w:spacing w:val="-14"/>
        </w:rPr>
        <w:t> </w:t>
      </w:r>
      <w:r>
        <w:rPr/>
        <w:t>production</w:t>
      </w:r>
      <w:r>
        <w:rPr>
          <w:spacing w:val="-13"/>
        </w:rPr>
        <w:t> </w:t>
      </w:r>
      <w:r>
        <w:rPr/>
        <w:t>residual</w:t>
      </w:r>
      <w:r>
        <w:rPr>
          <w:spacing w:val="-9"/>
        </w:rPr>
        <w:t> </w:t>
      </w:r>
      <w:r>
        <w:rPr/>
        <w:t>=</w:t>
      </w:r>
      <w:r>
        <w:rPr>
          <w:spacing w:val="-9"/>
        </w:rPr>
        <w:t> </w:t>
      </w:r>
      <w:r>
        <w:rPr/>
        <w:t>-151.60</w:t>
      </w:r>
      <w:r>
        <w:rPr>
          <w:spacing w:val="-10"/>
        </w:rPr>
        <w:t> </w:t>
      </w:r>
      <w:r>
        <w:rPr>
          <w:rFonts w:ascii="Meiryo UI" w:hAnsi="Meiryo UI"/>
          <w:i/>
        </w:rPr>
        <w:t>×</w:t>
      </w:r>
      <w:r>
        <w:rPr>
          <w:rFonts w:ascii="Meiryo UI" w:hAnsi="Meiryo UI"/>
          <w:i/>
          <w:spacing w:val="-21"/>
        </w:rPr>
        <w:t> </w:t>
      </w:r>
      <w:r>
        <w:rPr/>
        <w:t>tm_fl_y0_b10</w:t>
      </w:r>
      <w:r>
        <w:rPr>
          <w:spacing w:val="-9"/>
        </w:rPr>
        <w:t> </w:t>
      </w:r>
      <w:r>
        <w:rPr/>
        <w:t>+</w:t>
      </w:r>
      <w:r>
        <w:rPr>
          <w:spacing w:val="-9"/>
        </w:rPr>
        <w:t> </w:t>
      </w:r>
      <w:r>
        <w:rPr>
          <w:spacing w:val="-2"/>
        </w:rPr>
        <w:t>3455.29</w:t>
      </w:r>
    </w:p>
    <w:p>
      <w:pPr>
        <w:pStyle w:val="BodyText"/>
        <w:spacing w:line="312" w:lineRule="auto" w:before="31"/>
        <w:ind w:left="142" w:right="1553" w:firstLine="338"/>
        <w:jc w:val="both"/>
      </w:pPr>
      <w:r>
        <w:rPr/>
        <w:t>Features use the notation of Section </w:t>
      </w:r>
      <w:hyperlink w:history="true" w:anchor="_bookmark61">
        <w:r>
          <w:rPr>
            <w:color w:val="8B2C18"/>
          </w:rPr>
          <w:t>3.11.1</w:t>
        </w:r>
      </w:hyperlink>
      <w:r>
        <w:rPr/>
        <w:t>; the intercept is the constant term of each linear </w:t>
      </w:r>
      <w:r>
        <w:rPr>
          <w:spacing w:val="-2"/>
        </w:rPr>
        <w:t>model.</w:t>
      </w:r>
    </w:p>
    <w:p>
      <w:pPr>
        <w:pStyle w:val="BodyText"/>
        <w:spacing w:after="0" w:line="312" w:lineRule="auto"/>
        <w:jc w:val="both"/>
        <w:sectPr>
          <w:pgSz w:w="11910" w:h="16840"/>
          <w:pgMar w:header="1160" w:footer="0" w:top="1420" w:bottom="280" w:left="1275" w:right="425"/>
        </w:sectPr>
      </w:pPr>
    </w:p>
    <w:p>
      <w:pPr>
        <w:pStyle w:val="BodyText"/>
        <w:rPr>
          <w:sz w:val="41"/>
        </w:rPr>
      </w:pPr>
    </w:p>
    <w:p>
      <w:pPr>
        <w:pStyle w:val="BodyText"/>
        <w:rPr>
          <w:sz w:val="41"/>
        </w:rPr>
      </w:pPr>
    </w:p>
    <w:p>
      <w:pPr>
        <w:pStyle w:val="BodyText"/>
        <w:spacing w:before="32"/>
        <w:rPr>
          <w:sz w:val="41"/>
        </w:rPr>
      </w:pPr>
    </w:p>
    <w:p>
      <w:pPr>
        <w:spacing w:before="0"/>
        <w:ind w:left="694" w:right="0" w:firstLine="0"/>
        <w:jc w:val="left"/>
        <w:rPr>
          <w:b/>
          <w:sz w:val="41"/>
        </w:rPr>
      </w:pPr>
      <w:bookmarkStart w:name="B Exploratory Data Analysis" w:id="277"/>
      <w:bookmarkEnd w:id="277"/>
      <w:r>
        <w:rPr/>
      </w:r>
      <w:bookmarkStart w:name="_bookmark163" w:id="278"/>
      <w:bookmarkEnd w:id="278"/>
      <w:r>
        <w:rPr/>
      </w:r>
      <w:r>
        <w:rPr>
          <w:b/>
          <w:sz w:val="41"/>
        </w:rPr>
        <w:t>Appendix</w:t>
      </w:r>
      <w:r>
        <w:rPr>
          <w:b/>
          <w:spacing w:val="-11"/>
          <w:sz w:val="41"/>
        </w:rPr>
        <w:t> </w:t>
      </w:r>
      <w:r>
        <w:rPr>
          <w:b/>
          <w:spacing w:val="-10"/>
          <w:sz w:val="41"/>
        </w:rPr>
        <w:t>B</w:t>
      </w:r>
    </w:p>
    <w:p>
      <w:pPr>
        <w:pStyle w:val="BodyText"/>
        <w:spacing w:before="113"/>
        <w:rPr>
          <w:b/>
          <w:sz w:val="41"/>
        </w:rPr>
      </w:pPr>
    </w:p>
    <w:p>
      <w:pPr>
        <w:pStyle w:val="Heading1"/>
      </w:pPr>
      <w:r>
        <w:rPr/>
        <w:t>Exploratory</w:t>
      </w:r>
      <w:r>
        <w:rPr>
          <w:spacing w:val="18"/>
        </w:rPr>
        <w:t> </w:t>
      </w:r>
      <w:r>
        <w:rPr/>
        <w:t>Data</w:t>
      </w:r>
      <w:r>
        <w:rPr>
          <w:spacing w:val="19"/>
        </w:rPr>
        <w:t> </w:t>
      </w:r>
      <w:r>
        <w:rPr>
          <w:spacing w:val="-2"/>
        </w:rPr>
        <w:t>Analysis</w:t>
      </w:r>
    </w:p>
    <w:p>
      <w:pPr>
        <w:pStyle w:val="BodyText"/>
        <w:spacing w:before="258"/>
        <w:rPr>
          <w:b/>
          <w:sz w:val="49"/>
        </w:rPr>
      </w:pPr>
    </w:p>
    <w:p>
      <w:pPr>
        <w:pStyle w:val="BodyText"/>
        <w:spacing w:line="312" w:lineRule="auto"/>
        <w:ind w:left="709" w:right="975" w:hanging="7"/>
        <w:jc w:val="both"/>
      </w:pPr>
      <w:r>
        <w:rPr>
          <w:spacing w:val="-2"/>
        </w:rPr>
        <w:t>This</w:t>
      </w:r>
      <w:r>
        <w:rPr>
          <w:spacing w:val="-12"/>
        </w:rPr>
        <w:t> </w:t>
      </w:r>
      <w:r>
        <w:rPr>
          <w:spacing w:val="-2"/>
        </w:rPr>
        <w:t>appendix</w:t>
      </w:r>
      <w:r>
        <w:rPr>
          <w:spacing w:val="-12"/>
        </w:rPr>
        <w:t> </w:t>
      </w:r>
      <w:r>
        <w:rPr>
          <w:spacing w:val="-2"/>
        </w:rPr>
        <w:t>presents</w:t>
      </w:r>
      <w:r>
        <w:rPr>
          <w:spacing w:val="-12"/>
        </w:rPr>
        <w:t> </w:t>
      </w:r>
      <w:r>
        <w:rPr>
          <w:spacing w:val="-2"/>
        </w:rPr>
        <w:t>the</w:t>
      </w:r>
      <w:r>
        <w:rPr>
          <w:spacing w:val="-11"/>
        </w:rPr>
        <w:t> </w:t>
      </w:r>
      <w:r>
        <w:rPr>
          <w:spacing w:val="-2"/>
        </w:rPr>
        <w:t>exploratory</w:t>
      </w:r>
      <w:r>
        <w:rPr>
          <w:spacing w:val="-12"/>
        </w:rPr>
        <w:t> </w:t>
      </w:r>
      <w:r>
        <w:rPr>
          <w:spacing w:val="-2"/>
        </w:rPr>
        <w:t>data</w:t>
      </w:r>
      <w:r>
        <w:rPr>
          <w:spacing w:val="-12"/>
        </w:rPr>
        <w:t> </w:t>
      </w:r>
      <w:r>
        <w:rPr>
          <w:spacing w:val="-2"/>
        </w:rPr>
        <w:t>analysis</w:t>
      </w:r>
      <w:r>
        <w:rPr>
          <w:spacing w:val="-12"/>
        </w:rPr>
        <w:t> </w:t>
      </w:r>
      <w:r>
        <w:rPr>
          <w:spacing w:val="-2"/>
        </w:rPr>
        <w:t>of</w:t>
      </w:r>
      <w:r>
        <w:rPr>
          <w:spacing w:val="-11"/>
        </w:rPr>
        <w:t> </w:t>
      </w:r>
      <w:r>
        <w:rPr>
          <w:spacing w:val="-2"/>
        </w:rPr>
        <w:t>the</w:t>
      </w:r>
      <w:r>
        <w:rPr>
          <w:spacing w:val="-12"/>
        </w:rPr>
        <w:t> </w:t>
      </w:r>
      <w:r>
        <w:rPr>
          <w:spacing w:val="-2"/>
        </w:rPr>
        <w:t>two</w:t>
      </w:r>
      <w:r>
        <w:rPr>
          <w:spacing w:val="-12"/>
        </w:rPr>
        <w:t> </w:t>
      </w:r>
      <w:r>
        <w:rPr>
          <w:spacing w:val="-2"/>
        </w:rPr>
        <w:t>regional</w:t>
      </w:r>
      <w:r>
        <w:rPr>
          <w:spacing w:val="-12"/>
        </w:rPr>
        <w:t> </w:t>
      </w:r>
      <w:r>
        <w:rPr>
          <w:spacing w:val="-2"/>
        </w:rPr>
        <w:t>datasets.</w:t>
      </w:r>
      <w:r>
        <w:rPr>
          <w:spacing w:val="2"/>
        </w:rPr>
        <w:t> </w:t>
      </w:r>
      <w:r>
        <w:rPr>
          <w:spacing w:val="-2"/>
        </w:rPr>
        <w:t>The</w:t>
      </w:r>
      <w:r>
        <w:rPr>
          <w:spacing w:val="-11"/>
        </w:rPr>
        <w:t> </w:t>
      </w:r>
      <w:r>
        <w:rPr>
          <w:spacing w:val="-2"/>
        </w:rPr>
        <w:t>analyses</w:t>
      </w:r>
      <w:r>
        <w:rPr>
          <w:spacing w:val="-12"/>
        </w:rPr>
        <w:t> </w:t>
      </w:r>
      <w:r>
        <w:rPr>
          <w:spacing w:val="-2"/>
        </w:rPr>
        <w:t>were </w:t>
      </w:r>
      <w:r>
        <w:rPr/>
        <w:t>conducted prior to model development and informed several key methodological decisions: the choice</w:t>
      </w:r>
      <w:r>
        <w:rPr>
          <w:spacing w:val="-14"/>
        </w:rPr>
        <w:t> </w:t>
      </w:r>
      <w:r>
        <w:rPr/>
        <w:t>of</w:t>
      </w:r>
      <w:r>
        <w:rPr>
          <w:spacing w:val="-14"/>
        </w:rPr>
        <w:t> </w:t>
      </w:r>
      <w:r>
        <w:rPr/>
        <w:t>linear</w:t>
      </w:r>
      <w:r>
        <w:rPr>
          <w:spacing w:val="-14"/>
        </w:rPr>
        <w:t> </w:t>
      </w:r>
      <w:r>
        <w:rPr/>
        <w:t>detrending,</w:t>
      </w:r>
      <w:r>
        <w:rPr>
          <w:spacing w:val="-13"/>
        </w:rPr>
        <w:t> </w:t>
      </w:r>
      <w:r>
        <w:rPr/>
        <w:t>the</w:t>
      </w:r>
      <w:r>
        <w:rPr>
          <w:spacing w:val="-14"/>
        </w:rPr>
        <w:t> </w:t>
      </w:r>
      <w:r>
        <w:rPr/>
        <w:t>inclusion</w:t>
      </w:r>
      <w:r>
        <w:rPr>
          <w:spacing w:val="-14"/>
        </w:rPr>
        <w:t> </w:t>
      </w:r>
      <w:r>
        <w:rPr/>
        <w:t>of</w:t>
      </w:r>
      <w:r>
        <w:rPr>
          <w:spacing w:val="-14"/>
        </w:rPr>
        <w:t> </w:t>
      </w:r>
      <w:r>
        <w:rPr/>
        <w:t>previous-year</w:t>
      </w:r>
      <w:r>
        <w:rPr>
          <w:spacing w:val="-13"/>
        </w:rPr>
        <w:t> </w:t>
      </w:r>
      <w:r>
        <w:rPr/>
        <w:t>(y0)</w:t>
      </w:r>
      <w:r>
        <w:rPr>
          <w:spacing w:val="-14"/>
        </w:rPr>
        <w:t> </w:t>
      </w:r>
      <w:r>
        <w:rPr/>
        <w:t>features,</w:t>
      </w:r>
      <w:r>
        <w:rPr>
          <w:spacing w:val="-14"/>
        </w:rPr>
        <w:t> </w:t>
      </w:r>
      <w:r>
        <w:rPr/>
        <w:t>the</w:t>
      </w:r>
      <w:r>
        <w:rPr>
          <w:spacing w:val="-14"/>
        </w:rPr>
        <w:t> </w:t>
      </w:r>
      <w:r>
        <w:rPr/>
        <w:t>identification</w:t>
      </w:r>
      <w:r>
        <w:rPr>
          <w:spacing w:val="-13"/>
        </w:rPr>
        <w:t> </w:t>
      </w:r>
      <w:r>
        <w:rPr/>
        <w:t>of</w:t>
      </w:r>
      <w:r>
        <w:rPr>
          <w:spacing w:val="-14"/>
        </w:rPr>
        <w:t> </w:t>
      </w:r>
      <w:r>
        <w:rPr/>
        <w:t>likely </w:t>
      </w:r>
      <w:r>
        <w:rPr>
          <w:spacing w:val="-2"/>
        </w:rPr>
        <w:t>era-confounded</w:t>
      </w:r>
      <w:r>
        <w:rPr>
          <w:spacing w:val="-6"/>
        </w:rPr>
        <w:t> </w:t>
      </w:r>
      <w:r>
        <w:rPr>
          <w:spacing w:val="-2"/>
        </w:rPr>
        <w:t>variables,</w:t>
      </w:r>
      <w:r>
        <w:rPr>
          <w:spacing w:val="-6"/>
        </w:rPr>
        <w:t> </w:t>
      </w:r>
      <w:r>
        <w:rPr>
          <w:spacing w:val="-2"/>
        </w:rPr>
        <w:t>and</w:t>
      </w:r>
      <w:r>
        <w:rPr>
          <w:spacing w:val="-6"/>
        </w:rPr>
        <w:t> </w:t>
      </w:r>
      <w:r>
        <w:rPr>
          <w:spacing w:val="-2"/>
        </w:rPr>
        <w:t>the</w:t>
      </w:r>
      <w:r>
        <w:rPr>
          <w:spacing w:val="-6"/>
        </w:rPr>
        <w:t> </w:t>
      </w:r>
      <w:r>
        <w:rPr>
          <w:spacing w:val="-2"/>
        </w:rPr>
        <w:t>feature</w:t>
      </w:r>
      <w:r>
        <w:rPr>
          <w:spacing w:val="-6"/>
        </w:rPr>
        <w:t> </w:t>
      </w:r>
      <w:r>
        <w:rPr>
          <w:spacing w:val="-2"/>
        </w:rPr>
        <w:t>selection</w:t>
      </w:r>
      <w:r>
        <w:rPr>
          <w:spacing w:val="-6"/>
        </w:rPr>
        <w:t> </w:t>
      </w:r>
      <w:r>
        <w:rPr>
          <w:spacing w:val="-2"/>
        </w:rPr>
        <w:t>strategy</w:t>
      </w:r>
      <w:r>
        <w:rPr>
          <w:spacing w:val="-6"/>
        </w:rPr>
        <w:t> </w:t>
      </w:r>
      <w:r>
        <w:rPr>
          <w:spacing w:val="-2"/>
        </w:rPr>
        <w:t>for</w:t>
      </w:r>
      <w:r>
        <w:rPr>
          <w:spacing w:val="-6"/>
        </w:rPr>
        <w:t> </w:t>
      </w:r>
      <w:r>
        <w:rPr>
          <w:spacing w:val="-2"/>
        </w:rPr>
        <w:t>CarenR.</w:t>
      </w:r>
      <w:r>
        <w:rPr>
          <w:spacing w:val="-6"/>
        </w:rPr>
        <w:t> </w:t>
      </w:r>
      <w:r>
        <w:rPr>
          <w:spacing w:val="-2"/>
        </w:rPr>
        <w:t>All</w:t>
      </w:r>
      <w:r>
        <w:rPr>
          <w:spacing w:val="-6"/>
        </w:rPr>
        <w:t> </w:t>
      </w:r>
      <w:r>
        <w:rPr>
          <w:spacing w:val="-2"/>
        </w:rPr>
        <w:t>statistics</w:t>
      </w:r>
      <w:r>
        <w:rPr>
          <w:spacing w:val="-6"/>
        </w:rPr>
        <w:t> </w:t>
      </w:r>
      <w:r>
        <w:rPr>
          <w:spacing w:val="-2"/>
        </w:rPr>
        <w:t>are</w:t>
      </w:r>
      <w:r>
        <w:rPr>
          <w:spacing w:val="-6"/>
        </w:rPr>
        <w:t> </w:t>
      </w:r>
      <w:r>
        <w:rPr>
          <w:spacing w:val="-2"/>
        </w:rPr>
        <w:t>computed from</w:t>
      </w:r>
      <w:r>
        <w:rPr>
          <w:spacing w:val="-12"/>
        </w:rPr>
        <w:t> </w:t>
      </w:r>
      <w:r>
        <w:rPr>
          <w:spacing w:val="-2"/>
        </w:rPr>
        <w:t>the</w:t>
      </w:r>
      <w:r>
        <w:rPr>
          <w:spacing w:val="-12"/>
        </w:rPr>
        <w:t> </w:t>
      </w:r>
      <w:r>
        <w:rPr>
          <w:spacing w:val="-2"/>
        </w:rPr>
        <w:t>final</w:t>
      </w:r>
      <w:r>
        <w:rPr>
          <w:spacing w:val="-12"/>
        </w:rPr>
        <w:t> </w:t>
      </w:r>
      <w:r>
        <w:rPr>
          <w:spacing w:val="-2"/>
        </w:rPr>
        <w:t>curated</w:t>
      </w:r>
      <w:r>
        <w:rPr>
          <w:spacing w:val="-11"/>
        </w:rPr>
        <w:t> </w:t>
      </w:r>
      <w:r>
        <w:rPr>
          <w:spacing w:val="-2"/>
        </w:rPr>
        <w:t>datasets</w:t>
      </w:r>
      <w:r>
        <w:rPr>
          <w:spacing w:val="-12"/>
        </w:rPr>
        <w:t> </w:t>
      </w:r>
      <w:r>
        <w:rPr>
          <w:spacing w:val="-2"/>
        </w:rPr>
        <w:t>(dataPrep_cont_dataset_rdd.csv</w:t>
      </w:r>
      <w:r>
        <w:rPr>
          <w:spacing w:val="-12"/>
        </w:rPr>
        <w:t> </w:t>
      </w:r>
      <w:r>
        <w:rPr>
          <w:spacing w:val="-2"/>
        </w:rPr>
        <w:t>and</w:t>
      </w:r>
      <w:r>
        <w:rPr>
          <w:spacing w:val="-12"/>
        </w:rPr>
        <w:t> </w:t>
      </w:r>
      <w:r>
        <w:rPr>
          <w:spacing w:val="-2"/>
        </w:rPr>
        <w:t>dataPrep_cont_dataset_rvv.csv) </w:t>
      </w:r>
      <w:r>
        <w:rPr/>
        <w:t>unless otherwise noted.</w:t>
      </w:r>
    </w:p>
    <w:p>
      <w:pPr>
        <w:pStyle w:val="BodyText"/>
        <w:spacing w:before="182"/>
      </w:pPr>
    </w:p>
    <w:p>
      <w:pPr>
        <w:pStyle w:val="Heading2"/>
        <w:numPr>
          <w:ilvl w:val="1"/>
          <w:numId w:val="41"/>
        </w:numPr>
        <w:tabs>
          <w:tab w:pos="1402" w:val="left" w:leader="none"/>
        </w:tabs>
        <w:spacing w:line="240" w:lineRule="auto" w:before="0" w:after="0"/>
        <w:ind w:left="1402" w:right="0" w:hanging="693"/>
        <w:jc w:val="left"/>
      </w:pPr>
      <w:bookmarkStart w:name="B.1 Wine Production: Descriptive Statist" w:id="279"/>
      <w:bookmarkEnd w:id="279"/>
      <w:r>
        <w:rPr>
          <w:b w:val="0"/>
        </w:rPr>
      </w:r>
      <w:bookmarkStart w:name="_bookmark164" w:id="280"/>
      <w:bookmarkEnd w:id="280"/>
      <w:r>
        <w:rPr>
          <w:b w:val="0"/>
        </w:rPr>
      </w:r>
      <w:r>
        <w:rPr/>
        <w:t>Wine</w:t>
      </w:r>
      <w:r>
        <w:rPr>
          <w:spacing w:val="16"/>
        </w:rPr>
        <w:t> </w:t>
      </w:r>
      <w:r>
        <w:rPr/>
        <w:t>Production:</w:t>
      </w:r>
      <w:r>
        <w:rPr>
          <w:spacing w:val="37"/>
        </w:rPr>
        <w:t> </w:t>
      </w:r>
      <w:r>
        <w:rPr/>
        <w:t>Descriptive</w:t>
      </w:r>
      <w:r>
        <w:rPr>
          <w:spacing w:val="17"/>
        </w:rPr>
        <w:t> </w:t>
      </w:r>
      <w:r>
        <w:rPr/>
        <w:t>Statistics</w:t>
      </w:r>
      <w:r>
        <w:rPr>
          <w:spacing w:val="16"/>
        </w:rPr>
        <w:t> </w:t>
      </w:r>
      <w:r>
        <w:rPr/>
        <w:t>and</w:t>
      </w:r>
      <w:r>
        <w:rPr>
          <w:spacing w:val="16"/>
        </w:rPr>
        <w:t> </w:t>
      </w:r>
      <w:r>
        <w:rPr>
          <w:spacing w:val="-2"/>
        </w:rPr>
        <w:t>Trends</w:t>
      </w:r>
    </w:p>
    <w:p>
      <w:pPr>
        <w:pStyle w:val="BodyText"/>
        <w:spacing w:line="312" w:lineRule="auto" w:before="302"/>
        <w:ind w:left="709" w:right="990" w:hanging="7"/>
        <w:jc w:val="both"/>
      </w:pPr>
      <w:r>
        <w:rPr/>
        <w:t>Table</w:t>
      </w:r>
      <w:r>
        <w:rPr>
          <w:spacing w:val="-1"/>
        </w:rPr>
        <w:t> </w:t>
      </w:r>
      <w:hyperlink w:history="true" w:anchor="_bookmark165">
        <w:r>
          <w:rPr>
            <w:color w:val="8B2C18"/>
          </w:rPr>
          <w:t>B.1</w:t>
        </w:r>
      </w:hyperlink>
      <w:r>
        <w:rPr>
          <w:color w:val="8B2C18"/>
          <w:spacing w:val="-1"/>
        </w:rPr>
        <w:t> </w:t>
      </w:r>
      <w:r>
        <w:rPr/>
        <w:t>presents</w:t>
      </w:r>
      <w:r>
        <w:rPr>
          <w:spacing w:val="-1"/>
        </w:rPr>
        <w:t> </w:t>
      </w:r>
      <w:r>
        <w:rPr/>
        <w:t>the</w:t>
      </w:r>
      <w:r>
        <w:rPr>
          <w:spacing w:val="-1"/>
        </w:rPr>
        <w:t> </w:t>
      </w:r>
      <w:r>
        <w:rPr/>
        <w:t>key</w:t>
      </w:r>
      <w:r>
        <w:rPr>
          <w:spacing w:val="-1"/>
        </w:rPr>
        <w:t> </w:t>
      </w:r>
      <w:r>
        <w:rPr/>
        <w:t>descriptive</w:t>
      </w:r>
      <w:r>
        <w:rPr>
          <w:spacing w:val="-1"/>
        </w:rPr>
        <w:t> </w:t>
      </w:r>
      <w:r>
        <w:rPr/>
        <w:t>statistics</w:t>
      </w:r>
      <w:r>
        <w:rPr>
          <w:spacing w:val="-1"/>
        </w:rPr>
        <w:t> </w:t>
      </w:r>
      <w:r>
        <w:rPr/>
        <w:t>for</w:t>
      </w:r>
      <w:r>
        <w:rPr>
          <w:spacing w:val="-1"/>
        </w:rPr>
        <w:t> </w:t>
      </w:r>
      <w:r>
        <w:rPr/>
        <w:t>wine</w:t>
      </w:r>
      <w:r>
        <w:rPr>
          <w:spacing w:val="-1"/>
        </w:rPr>
        <w:t> </w:t>
      </w:r>
      <w:r>
        <w:rPr/>
        <w:t>production</w:t>
      </w:r>
      <w:r>
        <w:rPr>
          <w:spacing w:val="-1"/>
        </w:rPr>
        <w:t> </w:t>
      </w:r>
      <w:r>
        <w:rPr/>
        <w:t>in</w:t>
      </w:r>
      <w:r>
        <w:rPr>
          <w:spacing w:val="-1"/>
        </w:rPr>
        <w:t> </w:t>
      </w:r>
      <w:r>
        <w:rPr/>
        <w:t>both</w:t>
      </w:r>
      <w:r>
        <w:rPr>
          <w:spacing w:val="-1"/>
        </w:rPr>
        <w:t> </w:t>
      </w:r>
      <w:r>
        <w:rPr/>
        <w:t>regions</w:t>
      </w:r>
      <w:r>
        <w:rPr>
          <w:spacing w:val="-1"/>
        </w:rPr>
        <w:t> </w:t>
      </w:r>
      <w:r>
        <w:rPr/>
        <w:t>over</w:t>
      </w:r>
      <w:r>
        <w:rPr>
          <w:spacing w:val="-1"/>
        </w:rPr>
        <w:t> </w:t>
      </w:r>
      <w:r>
        <w:rPr/>
        <w:t>the</w:t>
      </w:r>
      <w:r>
        <w:rPr>
          <w:spacing w:val="-1"/>
        </w:rPr>
        <w:t> </w:t>
      </w:r>
      <w:r>
        <w:rPr/>
        <w:t>full study period.</w:t>
      </w:r>
    </w:p>
    <w:p>
      <w:pPr>
        <w:spacing w:before="158"/>
        <w:ind w:left="601" w:right="888" w:firstLine="0"/>
        <w:jc w:val="center"/>
        <w:rPr>
          <w:sz w:val="20"/>
        </w:rPr>
      </w:pPr>
      <w:bookmarkStart w:name="_bookmark165" w:id="281"/>
      <w:bookmarkEnd w:id="281"/>
      <w:r>
        <w:rPr/>
      </w:r>
      <w:r>
        <w:rPr>
          <w:b/>
          <w:sz w:val="20"/>
        </w:rPr>
        <w:t>Table</w:t>
      </w:r>
      <w:r>
        <w:rPr>
          <w:b/>
          <w:spacing w:val="-13"/>
          <w:sz w:val="20"/>
        </w:rPr>
        <w:t> </w:t>
      </w:r>
      <w:r>
        <w:rPr>
          <w:b/>
          <w:sz w:val="20"/>
        </w:rPr>
        <w:t>B.1:</w:t>
      </w:r>
      <w:r>
        <w:rPr>
          <w:b/>
          <w:spacing w:val="-3"/>
          <w:sz w:val="20"/>
        </w:rPr>
        <w:t> </w:t>
      </w:r>
      <w:r>
        <w:rPr>
          <w:sz w:val="20"/>
        </w:rPr>
        <w:t>Descriptive</w:t>
      </w:r>
      <w:r>
        <w:rPr>
          <w:spacing w:val="-12"/>
          <w:sz w:val="20"/>
        </w:rPr>
        <w:t> </w:t>
      </w:r>
      <w:r>
        <w:rPr>
          <w:sz w:val="20"/>
        </w:rPr>
        <w:t>statistics:</w:t>
      </w:r>
      <w:r>
        <w:rPr>
          <w:spacing w:val="-3"/>
          <w:sz w:val="20"/>
        </w:rPr>
        <w:t> </w:t>
      </w:r>
      <w:r>
        <w:rPr>
          <w:sz w:val="20"/>
        </w:rPr>
        <w:t>RDD</w:t>
      </w:r>
      <w:r>
        <w:rPr>
          <w:spacing w:val="-12"/>
          <w:sz w:val="20"/>
        </w:rPr>
        <w:t> </w:t>
      </w:r>
      <w:r>
        <w:rPr>
          <w:sz w:val="20"/>
        </w:rPr>
        <w:t>(1934–2022)</w:t>
      </w:r>
      <w:r>
        <w:rPr>
          <w:spacing w:val="-12"/>
          <w:sz w:val="20"/>
        </w:rPr>
        <w:t> </w:t>
      </w:r>
      <w:r>
        <w:rPr>
          <w:sz w:val="20"/>
        </w:rPr>
        <w:t>and</w:t>
      </w:r>
      <w:r>
        <w:rPr>
          <w:spacing w:val="-13"/>
          <w:sz w:val="20"/>
        </w:rPr>
        <w:t> </w:t>
      </w:r>
      <w:r>
        <w:rPr>
          <w:sz w:val="20"/>
        </w:rPr>
        <w:t>RVV</w:t>
      </w:r>
      <w:r>
        <w:rPr>
          <w:spacing w:val="-12"/>
          <w:sz w:val="20"/>
        </w:rPr>
        <w:t> </w:t>
      </w:r>
      <w:r>
        <w:rPr>
          <w:sz w:val="20"/>
        </w:rPr>
        <w:t>(1942–</w:t>
      </w:r>
      <w:r>
        <w:rPr>
          <w:spacing w:val="-2"/>
          <w:sz w:val="20"/>
        </w:rPr>
        <w:t>2021).</w:t>
      </w:r>
    </w:p>
    <w:p>
      <w:pPr>
        <w:pStyle w:val="BodyText"/>
        <w:spacing w:before="5"/>
        <w:rPr>
          <w:sz w:val="18"/>
        </w:rPr>
      </w:pPr>
      <w:r>
        <w:rPr>
          <w:sz w:val="18"/>
        </w:rPr>
        <mc:AlternateContent>
          <mc:Choice Requires="wps">
            <w:drawing>
              <wp:anchor distT="0" distB="0" distL="0" distR="0" allowOverlap="1" layoutInCell="1" locked="0" behindDoc="1" simplePos="0" relativeHeight="487635968">
                <wp:simplePos x="0" y="0"/>
                <wp:positionH relativeFrom="page">
                  <wp:posOffset>1260005</wp:posOffset>
                </wp:positionH>
                <wp:positionV relativeFrom="paragraph">
                  <wp:posOffset>150233</wp:posOffset>
                </wp:positionV>
                <wp:extent cx="5400040" cy="1270"/>
                <wp:effectExtent l="0" t="0" r="0" b="0"/>
                <wp:wrapTopAndBottom/>
                <wp:docPr id="266" name="Graphic 266"/>
                <wp:cNvGraphicFramePr>
                  <a:graphicFrameLocks/>
                </wp:cNvGraphicFramePr>
                <a:graphic>
                  <a:graphicData uri="http://schemas.microsoft.com/office/word/2010/wordprocessingShape">
                    <wps:wsp>
                      <wps:cNvPr id="266" name="Graphic 266"/>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1.829385pt;width:425.2pt;height:.1pt;mso-position-horizontal-relative:page;mso-position-vertical-relative:paragraph;z-index:-15680512;mso-wrap-distance-left:0;mso-wrap-distance-right:0" id="docshape230" coordorigin="1984,237" coordsize="8504,0" path="m1984,237l10488,237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7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21"/>
        <w:gridCol w:w="2156"/>
        <w:gridCol w:w="4027"/>
      </w:tblGrid>
      <w:tr>
        <w:trPr>
          <w:trHeight w:val="320" w:hRule="atLeast"/>
        </w:trPr>
        <w:tc>
          <w:tcPr>
            <w:tcW w:w="2321" w:type="dxa"/>
            <w:tcBorders>
              <w:top w:val="nil"/>
              <w:left w:val="nil"/>
              <w:right w:val="single" w:sz="4" w:space="0" w:color="000000"/>
            </w:tcBorders>
          </w:tcPr>
          <w:p>
            <w:pPr>
              <w:pStyle w:val="TableParagraph"/>
              <w:spacing w:before="31"/>
              <w:ind w:left="119"/>
              <w:rPr>
                <w:sz w:val="18"/>
              </w:rPr>
            </w:pPr>
            <w:r>
              <w:rPr>
                <w:spacing w:val="-2"/>
                <w:sz w:val="18"/>
              </w:rPr>
              <w:t>Statistic</w:t>
            </w:r>
          </w:p>
        </w:tc>
        <w:tc>
          <w:tcPr>
            <w:tcW w:w="2156" w:type="dxa"/>
            <w:tcBorders>
              <w:top w:val="nil"/>
              <w:left w:val="single" w:sz="4" w:space="0" w:color="000000"/>
              <w:right w:val="single" w:sz="4" w:space="0" w:color="000000"/>
            </w:tcBorders>
          </w:tcPr>
          <w:p>
            <w:pPr>
              <w:pStyle w:val="TableParagraph"/>
              <w:spacing w:before="31"/>
              <w:ind w:left="118"/>
              <w:rPr>
                <w:sz w:val="18"/>
              </w:rPr>
            </w:pPr>
            <w:r>
              <w:rPr>
                <w:sz w:val="18"/>
              </w:rPr>
              <w:t>RDD</w:t>
            </w:r>
            <w:r>
              <w:rPr>
                <w:spacing w:val="-9"/>
                <w:sz w:val="18"/>
              </w:rPr>
              <w:t> </w:t>
            </w:r>
            <w:r>
              <w:rPr>
                <w:sz w:val="18"/>
              </w:rPr>
              <w:t>(Douro)</w:t>
            </w:r>
            <w:r>
              <w:rPr>
                <w:spacing w:val="-8"/>
                <w:sz w:val="18"/>
              </w:rPr>
              <w:t> </w:t>
            </w:r>
            <w:r>
              <w:rPr>
                <w:sz w:val="18"/>
              </w:rPr>
              <w:t>1934–</w:t>
            </w:r>
            <w:r>
              <w:rPr>
                <w:spacing w:val="-4"/>
                <w:sz w:val="18"/>
              </w:rPr>
              <w:t>2022</w:t>
            </w:r>
          </w:p>
        </w:tc>
        <w:tc>
          <w:tcPr>
            <w:tcW w:w="4027" w:type="dxa"/>
            <w:tcBorders>
              <w:top w:val="nil"/>
              <w:left w:val="single" w:sz="4" w:space="0" w:color="000000"/>
              <w:right w:val="nil"/>
            </w:tcBorders>
          </w:tcPr>
          <w:p>
            <w:pPr>
              <w:pStyle w:val="TableParagraph"/>
              <w:spacing w:before="31"/>
              <w:ind w:left="118"/>
              <w:rPr>
                <w:sz w:val="18"/>
              </w:rPr>
            </w:pPr>
            <w:r>
              <w:rPr>
                <w:spacing w:val="-2"/>
                <w:sz w:val="18"/>
              </w:rPr>
              <w:t>RVV</w:t>
            </w:r>
            <w:r>
              <w:rPr>
                <w:spacing w:val="-10"/>
                <w:sz w:val="18"/>
              </w:rPr>
              <w:t> </w:t>
            </w:r>
            <w:r>
              <w:rPr>
                <w:spacing w:val="-2"/>
                <w:sz w:val="18"/>
              </w:rPr>
              <w:t>(Vinho</w:t>
            </w:r>
            <w:r>
              <w:rPr>
                <w:spacing w:val="-9"/>
                <w:sz w:val="18"/>
              </w:rPr>
              <w:t> </w:t>
            </w:r>
            <w:r>
              <w:rPr>
                <w:spacing w:val="-2"/>
                <w:sz w:val="18"/>
              </w:rPr>
              <w:t>Verde)</w:t>
            </w:r>
            <w:r>
              <w:rPr>
                <w:spacing w:val="-9"/>
                <w:sz w:val="18"/>
              </w:rPr>
              <w:t> </w:t>
            </w:r>
            <w:r>
              <w:rPr>
                <w:spacing w:val="-2"/>
                <w:sz w:val="18"/>
              </w:rPr>
              <w:t>1942–</w:t>
            </w:r>
            <w:r>
              <w:rPr>
                <w:spacing w:val="-4"/>
                <w:sz w:val="18"/>
              </w:rPr>
              <w:t>2021</w:t>
            </w:r>
          </w:p>
        </w:tc>
      </w:tr>
    </w:tbl>
    <w:p>
      <w:pPr>
        <w:pStyle w:val="BodyText"/>
        <w:spacing w:before="10"/>
        <w:rPr>
          <w:sz w:val="4"/>
        </w:rPr>
      </w:pPr>
    </w:p>
    <w:tbl>
      <w:tblPr>
        <w:tblW w:w="0" w:type="auto"/>
        <w:jc w:val="left"/>
        <w:tblInd w:w="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21"/>
        <w:gridCol w:w="2156"/>
        <w:gridCol w:w="4027"/>
      </w:tblGrid>
      <w:tr>
        <w:trPr>
          <w:trHeight w:val="284" w:hRule="atLeast"/>
        </w:trPr>
        <w:tc>
          <w:tcPr>
            <w:tcW w:w="2321" w:type="dxa"/>
            <w:tcBorders>
              <w:right w:val="single" w:sz="4" w:space="0" w:color="000000"/>
            </w:tcBorders>
          </w:tcPr>
          <w:p>
            <w:pPr>
              <w:pStyle w:val="TableParagraph"/>
              <w:spacing w:before="31"/>
              <w:ind w:left="119"/>
              <w:rPr>
                <w:sz w:val="18"/>
              </w:rPr>
            </w:pPr>
            <w:r>
              <w:rPr>
                <w:spacing w:val="-2"/>
                <w:sz w:val="18"/>
              </w:rPr>
              <w:t>Observations</w:t>
            </w:r>
            <w:r>
              <w:rPr>
                <w:spacing w:val="8"/>
                <w:sz w:val="18"/>
              </w:rPr>
              <w:t> </w:t>
            </w:r>
            <w:r>
              <w:rPr>
                <w:spacing w:val="-5"/>
                <w:sz w:val="18"/>
              </w:rPr>
              <w:t>(n)</w:t>
            </w:r>
          </w:p>
        </w:tc>
        <w:tc>
          <w:tcPr>
            <w:tcW w:w="2156" w:type="dxa"/>
            <w:tcBorders>
              <w:left w:val="single" w:sz="4" w:space="0" w:color="000000"/>
              <w:right w:val="single" w:sz="4" w:space="0" w:color="000000"/>
            </w:tcBorders>
          </w:tcPr>
          <w:p>
            <w:pPr>
              <w:pStyle w:val="TableParagraph"/>
              <w:spacing w:before="31"/>
              <w:ind w:left="118"/>
              <w:rPr>
                <w:sz w:val="18"/>
              </w:rPr>
            </w:pPr>
            <w:r>
              <w:rPr>
                <w:sz w:val="18"/>
              </w:rPr>
              <w:t>89</w:t>
            </w:r>
            <w:r>
              <w:rPr>
                <w:spacing w:val="-3"/>
                <w:sz w:val="18"/>
              </w:rPr>
              <w:t> </w:t>
            </w:r>
            <w:r>
              <w:rPr>
                <w:spacing w:val="-2"/>
                <w:sz w:val="18"/>
              </w:rPr>
              <w:t>years</w:t>
            </w:r>
          </w:p>
        </w:tc>
        <w:tc>
          <w:tcPr>
            <w:tcW w:w="4027" w:type="dxa"/>
            <w:tcBorders>
              <w:left w:val="single" w:sz="4" w:space="0" w:color="000000"/>
            </w:tcBorders>
          </w:tcPr>
          <w:p>
            <w:pPr>
              <w:pStyle w:val="TableParagraph"/>
              <w:spacing w:before="31"/>
              <w:ind w:left="118"/>
              <w:rPr>
                <w:sz w:val="18"/>
              </w:rPr>
            </w:pPr>
            <w:r>
              <w:rPr>
                <w:sz w:val="18"/>
              </w:rPr>
              <w:t>80</w:t>
            </w:r>
            <w:r>
              <w:rPr>
                <w:spacing w:val="-3"/>
                <w:sz w:val="18"/>
              </w:rPr>
              <w:t> </w:t>
            </w:r>
            <w:r>
              <w:rPr>
                <w:spacing w:val="-2"/>
                <w:sz w:val="18"/>
              </w:rPr>
              <w:t>years</w:t>
            </w:r>
          </w:p>
        </w:tc>
      </w:tr>
      <w:tr>
        <w:trPr>
          <w:trHeight w:val="284" w:hRule="atLeast"/>
        </w:trPr>
        <w:tc>
          <w:tcPr>
            <w:tcW w:w="2321" w:type="dxa"/>
            <w:tcBorders>
              <w:right w:val="single" w:sz="4" w:space="0" w:color="000000"/>
            </w:tcBorders>
          </w:tcPr>
          <w:p>
            <w:pPr>
              <w:pStyle w:val="TableParagraph"/>
              <w:ind w:left="119"/>
              <w:rPr>
                <w:sz w:val="18"/>
              </w:rPr>
            </w:pPr>
            <w:r>
              <w:rPr>
                <w:sz w:val="18"/>
              </w:rPr>
              <w:t>Mean</w:t>
            </w:r>
            <w:r>
              <w:rPr>
                <w:spacing w:val="-6"/>
                <w:sz w:val="18"/>
              </w:rPr>
              <w:t> </w:t>
            </w:r>
            <w:r>
              <w:rPr>
                <w:spacing w:val="-2"/>
                <w:sz w:val="18"/>
              </w:rPr>
              <w:t>production</w:t>
            </w:r>
          </w:p>
        </w:tc>
        <w:tc>
          <w:tcPr>
            <w:tcW w:w="2156" w:type="dxa"/>
            <w:tcBorders>
              <w:left w:val="single" w:sz="4" w:space="0" w:color="000000"/>
              <w:right w:val="single" w:sz="4" w:space="0" w:color="000000"/>
            </w:tcBorders>
          </w:tcPr>
          <w:p>
            <w:pPr>
              <w:pStyle w:val="TableParagraph"/>
              <w:ind w:left="118"/>
              <w:rPr>
                <w:sz w:val="18"/>
              </w:rPr>
            </w:pPr>
            <w:r>
              <w:rPr>
                <w:sz w:val="18"/>
              </w:rPr>
              <w:t>1,116</w:t>
            </w:r>
            <w:r>
              <w:rPr>
                <w:spacing w:val="-6"/>
                <w:sz w:val="18"/>
              </w:rPr>
              <w:t> </w:t>
            </w:r>
            <w:r>
              <w:rPr>
                <w:spacing w:val="-5"/>
                <w:sz w:val="18"/>
              </w:rPr>
              <w:t>mhl</w:t>
            </w:r>
          </w:p>
        </w:tc>
        <w:tc>
          <w:tcPr>
            <w:tcW w:w="4027" w:type="dxa"/>
            <w:tcBorders>
              <w:left w:val="single" w:sz="4" w:space="0" w:color="000000"/>
            </w:tcBorders>
          </w:tcPr>
          <w:p>
            <w:pPr>
              <w:pStyle w:val="TableParagraph"/>
              <w:ind w:left="118"/>
              <w:rPr>
                <w:sz w:val="18"/>
              </w:rPr>
            </w:pPr>
            <w:r>
              <w:rPr>
                <w:sz w:val="18"/>
              </w:rPr>
              <w:t>1,621</w:t>
            </w:r>
            <w:r>
              <w:rPr>
                <w:spacing w:val="-6"/>
                <w:sz w:val="18"/>
              </w:rPr>
              <w:t> </w:t>
            </w:r>
            <w:r>
              <w:rPr>
                <w:spacing w:val="-5"/>
                <w:sz w:val="18"/>
              </w:rPr>
              <w:t>mhl</w:t>
            </w:r>
          </w:p>
        </w:tc>
      </w:tr>
      <w:tr>
        <w:trPr>
          <w:trHeight w:val="284" w:hRule="atLeast"/>
        </w:trPr>
        <w:tc>
          <w:tcPr>
            <w:tcW w:w="2321" w:type="dxa"/>
            <w:tcBorders>
              <w:right w:val="single" w:sz="4" w:space="0" w:color="000000"/>
            </w:tcBorders>
          </w:tcPr>
          <w:p>
            <w:pPr>
              <w:pStyle w:val="TableParagraph"/>
              <w:ind w:left="119"/>
              <w:rPr>
                <w:sz w:val="18"/>
              </w:rPr>
            </w:pPr>
            <w:r>
              <w:rPr>
                <w:sz w:val="18"/>
              </w:rPr>
              <w:t>Standard</w:t>
            </w:r>
            <w:r>
              <w:rPr>
                <w:spacing w:val="-8"/>
                <w:sz w:val="18"/>
              </w:rPr>
              <w:t> </w:t>
            </w:r>
            <w:r>
              <w:rPr>
                <w:spacing w:val="-2"/>
                <w:sz w:val="18"/>
              </w:rPr>
              <w:t>deviation</w:t>
            </w:r>
          </w:p>
        </w:tc>
        <w:tc>
          <w:tcPr>
            <w:tcW w:w="2156" w:type="dxa"/>
            <w:tcBorders>
              <w:left w:val="single" w:sz="4" w:space="0" w:color="000000"/>
              <w:right w:val="single" w:sz="4" w:space="0" w:color="000000"/>
            </w:tcBorders>
          </w:tcPr>
          <w:p>
            <w:pPr>
              <w:pStyle w:val="TableParagraph"/>
              <w:ind w:left="118"/>
              <w:rPr>
                <w:sz w:val="18"/>
              </w:rPr>
            </w:pPr>
            <w:r>
              <w:rPr>
                <w:sz w:val="18"/>
              </w:rPr>
              <w:t>307</w:t>
            </w:r>
            <w:r>
              <w:rPr>
                <w:spacing w:val="-4"/>
                <w:sz w:val="18"/>
              </w:rPr>
              <w:t> </w:t>
            </w:r>
            <w:r>
              <w:rPr>
                <w:spacing w:val="-5"/>
                <w:sz w:val="18"/>
              </w:rPr>
              <w:t>mhl</w:t>
            </w:r>
          </w:p>
        </w:tc>
        <w:tc>
          <w:tcPr>
            <w:tcW w:w="4027" w:type="dxa"/>
            <w:tcBorders>
              <w:left w:val="single" w:sz="4" w:space="0" w:color="000000"/>
            </w:tcBorders>
          </w:tcPr>
          <w:p>
            <w:pPr>
              <w:pStyle w:val="TableParagraph"/>
              <w:ind w:left="118"/>
              <w:rPr>
                <w:sz w:val="18"/>
              </w:rPr>
            </w:pPr>
            <w:r>
              <w:rPr>
                <w:sz w:val="18"/>
              </w:rPr>
              <w:t>751</w:t>
            </w:r>
            <w:r>
              <w:rPr>
                <w:spacing w:val="-4"/>
                <w:sz w:val="18"/>
              </w:rPr>
              <w:t> </w:t>
            </w:r>
            <w:r>
              <w:rPr>
                <w:spacing w:val="-5"/>
                <w:sz w:val="18"/>
              </w:rPr>
              <w:t>mhl</w:t>
            </w:r>
          </w:p>
        </w:tc>
      </w:tr>
      <w:tr>
        <w:trPr>
          <w:trHeight w:val="284" w:hRule="atLeast"/>
        </w:trPr>
        <w:tc>
          <w:tcPr>
            <w:tcW w:w="2321" w:type="dxa"/>
            <w:tcBorders>
              <w:right w:val="single" w:sz="4" w:space="0" w:color="000000"/>
            </w:tcBorders>
          </w:tcPr>
          <w:p>
            <w:pPr>
              <w:pStyle w:val="TableParagraph"/>
              <w:ind w:left="119"/>
              <w:rPr>
                <w:sz w:val="18"/>
              </w:rPr>
            </w:pPr>
            <w:r>
              <w:rPr>
                <w:spacing w:val="-2"/>
                <w:sz w:val="18"/>
              </w:rPr>
              <w:t>Coefficient</w:t>
            </w:r>
            <w:r>
              <w:rPr>
                <w:spacing w:val="1"/>
                <w:sz w:val="18"/>
              </w:rPr>
              <w:t> </w:t>
            </w:r>
            <w:r>
              <w:rPr>
                <w:spacing w:val="-2"/>
                <w:sz w:val="18"/>
              </w:rPr>
              <w:t>of</w:t>
            </w:r>
            <w:r>
              <w:rPr>
                <w:spacing w:val="2"/>
                <w:sz w:val="18"/>
              </w:rPr>
              <w:t> </w:t>
            </w:r>
            <w:r>
              <w:rPr>
                <w:spacing w:val="-2"/>
                <w:sz w:val="18"/>
              </w:rPr>
              <w:t>variation</w:t>
            </w:r>
            <w:r>
              <w:rPr>
                <w:spacing w:val="2"/>
                <w:sz w:val="18"/>
              </w:rPr>
              <w:t> </w:t>
            </w:r>
            <w:r>
              <w:rPr>
                <w:spacing w:val="-4"/>
                <w:sz w:val="18"/>
              </w:rPr>
              <w:t>(CV)</w:t>
            </w:r>
          </w:p>
        </w:tc>
        <w:tc>
          <w:tcPr>
            <w:tcW w:w="2156" w:type="dxa"/>
            <w:tcBorders>
              <w:left w:val="single" w:sz="4" w:space="0" w:color="000000"/>
              <w:right w:val="single" w:sz="4" w:space="0" w:color="000000"/>
            </w:tcBorders>
          </w:tcPr>
          <w:p>
            <w:pPr>
              <w:pStyle w:val="TableParagraph"/>
              <w:ind w:left="118"/>
              <w:rPr>
                <w:sz w:val="18"/>
              </w:rPr>
            </w:pPr>
            <w:r>
              <w:rPr>
                <w:spacing w:val="-2"/>
                <w:sz w:val="18"/>
              </w:rPr>
              <w:t>27.6%</w:t>
            </w:r>
          </w:p>
        </w:tc>
        <w:tc>
          <w:tcPr>
            <w:tcW w:w="4027" w:type="dxa"/>
            <w:tcBorders>
              <w:left w:val="single" w:sz="4" w:space="0" w:color="000000"/>
            </w:tcBorders>
          </w:tcPr>
          <w:p>
            <w:pPr>
              <w:pStyle w:val="TableParagraph"/>
              <w:ind w:left="118"/>
              <w:rPr>
                <w:sz w:val="18"/>
              </w:rPr>
            </w:pPr>
            <w:r>
              <w:rPr>
                <w:spacing w:val="-2"/>
                <w:sz w:val="18"/>
              </w:rPr>
              <w:t>46.4%</w:t>
            </w:r>
          </w:p>
        </w:tc>
      </w:tr>
      <w:tr>
        <w:trPr>
          <w:trHeight w:val="284" w:hRule="atLeast"/>
        </w:trPr>
        <w:tc>
          <w:tcPr>
            <w:tcW w:w="2321" w:type="dxa"/>
            <w:tcBorders>
              <w:right w:val="single" w:sz="4" w:space="0" w:color="000000"/>
            </w:tcBorders>
          </w:tcPr>
          <w:p>
            <w:pPr>
              <w:pStyle w:val="TableParagraph"/>
              <w:ind w:left="119"/>
              <w:rPr>
                <w:sz w:val="18"/>
              </w:rPr>
            </w:pPr>
            <w:r>
              <w:rPr>
                <w:spacing w:val="-2"/>
                <w:sz w:val="18"/>
              </w:rPr>
              <w:t>Minimum</w:t>
            </w:r>
          </w:p>
        </w:tc>
        <w:tc>
          <w:tcPr>
            <w:tcW w:w="2156" w:type="dxa"/>
            <w:tcBorders>
              <w:left w:val="single" w:sz="4" w:space="0" w:color="000000"/>
              <w:right w:val="single" w:sz="4" w:space="0" w:color="000000"/>
            </w:tcBorders>
          </w:tcPr>
          <w:p>
            <w:pPr>
              <w:pStyle w:val="TableParagraph"/>
              <w:ind w:left="118"/>
              <w:rPr>
                <w:sz w:val="18"/>
              </w:rPr>
            </w:pPr>
            <w:r>
              <w:rPr>
                <w:sz w:val="18"/>
              </w:rPr>
              <w:t>518</w:t>
            </w:r>
            <w:r>
              <w:rPr>
                <w:spacing w:val="-4"/>
                <w:sz w:val="18"/>
              </w:rPr>
              <w:t> </w:t>
            </w:r>
            <w:r>
              <w:rPr>
                <w:sz w:val="18"/>
              </w:rPr>
              <w:t>mhl</w:t>
            </w:r>
            <w:r>
              <w:rPr>
                <w:spacing w:val="-4"/>
                <w:sz w:val="18"/>
              </w:rPr>
              <w:t> </w:t>
            </w:r>
            <w:r>
              <w:rPr>
                <w:spacing w:val="-2"/>
                <w:sz w:val="18"/>
              </w:rPr>
              <w:t>(1952)</w:t>
            </w:r>
          </w:p>
        </w:tc>
        <w:tc>
          <w:tcPr>
            <w:tcW w:w="4027" w:type="dxa"/>
            <w:tcBorders>
              <w:left w:val="single" w:sz="4" w:space="0" w:color="000000"/>
            </w:tcBorders>
          </w:tcPr>
          <w:p>
            <w:pPr>
              <w:pStyle w:val="TableParagraph"/>
              <w:ind w:left="118"/>
              <w:rPr>
                <w:sz w:val="18"/>
              </w:rPr>
            </w:pPr>
            <w:r>
              <w:rPr>
                <w:sz w:val="18"/>
              </w:rPr>
              <w:t>494</w:t>
            </w:r>
            <w:r>
              <w:rPr>
                <w:spacing w:val="-4"/>
                <w:sz w:val="18"/>
              </w:rPr>
              <w:t> </w:t>
            </w:r>
            <w:r>
              <w:rPr>
                <w:sz w:val="18"/>
              </w:rPr>
              <w:t>mhl</w:t>
            </w:r>
            <w:r>
              <w:rPr>
                <w:spacing w:val="-4"/>
                <w:sz w:val="18"/>
              </w:rPr>
              <w:t> </w:t>
            </w:r>
            <w:r>
              <w:rPr>
                <w:spacing w:val="-2"/>
                <w:sz w:val="18"/>
              </w:rPr>
              <w:t>(1997)</w:t>
            </w:r>
          </w:p>
        </w:tc>
      </w:tr>
      <w:tr>
        <w:trPr>
          <w:trHeight w:val="284" w:hRule="atLeast"/>
        </w:trPr>
        <w:tc>
          <w:tcPr>
            <w:tcW w:w="2321" w:type="dxa"/>
            <w:tcBorders>
              <w:right w:val="single" w:sz="4" w:space="0" w:color="000000"/>
            </w:tcBorders>
          </w:tcPr>
          <w:p>
            <w:pPr>
              <w:pStyle w:val="TableParagraph"/>
              <w:ind w:left="119"/>
              <w:rPr>
                <w:sz w:val="18"/>
              </w:rPr>
            </w:pPr>
            <w:r>
              <w:rPr>
                <w:spacing w:val="-2"/>
                <w:sz w:val="18"/>
              </w:rPr>
              <w:t>Maximum</w:t>
            </w:r>
          </w:p>
        </w:tc>
        <w:tc>
          <w:tcPr>
            <w:tcW w:w="2156" w:type="dxa"/>
            <w:tcBorders>
              <w:left w:val="single" w:sz="4" w:space="0" w:color="000000"/>
              <w:right w:val="single" w:sz="4" w:space="0" w:color="000000"/>
            </w:tcBorders>
          </w:tcPr>
          <w:p>
            <w:pPr>
              <w:pStyle w:val="TableParagraph"/>
              <w:ind w:left="118"/>
              <w:rPr>
                <w:sz w:val="18"/>
              </w:rPr>
            </w:pPr>
            <w:r>
              <w:rPr>
                <w:sz w:val="18"/>
              </w:rPr>
              <w:t>1,961</w:t>
            </w:r>
            <w:r>
              <w:rPr>
                <w:spacing w:val="-5"/>
                <w:sz w:val="18"/>
              </w:rPr>
              <w:t> </w:t>
            </w:r>
            <w:r>
              <w:rPr>
                <w:sz w:val="18"/>
              </w:rPr>
              <w:t>mhl</w:t>
            </w:r>
            <w:r>
              <w:rPr>
                <w:spacing w:val="-4"/>
                <w:sz w:val="18"/>
              </w:rPr>
              <w:t> </w:t>
            </w:r>
            <w:r>
              <w:rPr>
                <w:spacing w:val="-2"/>
                <w:sz w:val="18"/>
              </w:rPr>
              <w:t>(1990)</w:t>
            </w:r>
          </w:p>
        </w:tc>
        <w:tc>
          <w:tcPr>
            <w:tcW w:w="4027" w:type="dxa"/>
            <w:tcBorders>
              <w:left w:val="single" w:sz="4" w:space="0" w:color="000000"/>
            </w:tcBorders>
          </w:tcPr>
          <w:p>
            <w:pPr>
              <w:pStyle w:val="TableParagraph"/>
              <w:ind w:left="118"/>
              <w:rPr>
                <w:sz w:val="18"/>
              </w:rPr>
            </w:pPr>
            <w:r>
              <w:rPr>
                <w:sz w:val="18"/>
              </w:rPr>
              <w:t>3,443</w:t>
            </w:r>
            <w:r>
              <w:rPr>
                <w:spacing w:val="-5"/>
                <w:sz w:val="18"/>
              </w:rPr>
              <w:t> </w:t>
            </w:r>
            <w:r>
              <w:rPr>
                <w:sz w:val="18"/>
              </w:rPr>
              <w:t>mhl</w:t>
            </w:r>
            <w:r>
              <w:rPr>
                <w:spacing w:val="-4"/>
                <w:sz w:val="18"/>
              </w:rPr>
              <w:t> </w:t>
            </w:r>
            <w:r>
              <w:rPr>
                <w:spacing w:val="-2"/>
                <w:sz w:val="18"/>
              </w:rPr>
              <w:t>(1962)</w:t>
            </w:r>
          </w:p>
        </w:tc>
      </w:tr>
      <w:tr>
        <w:trPr>
          <w:trHeight w:val="606" w:hRule="atLeast"/>
        </w:trPr>
        <w:tc>
          <w:tcPr>
            <w:tcW w:w="2321" w:type="dxa"/>
            <w:tcBorders>
              <w:bottom w:val="single" w:sz="8" w:space="0" w:color="000000"/>
              <w:right w:val="single" w:sz="4" w:space="0" w:color="000000"/>
            </w:tcBorders>
          </w:tcPr>
          <w:p>
            <w:pPr>
              <w:pStyle w:val="TableParagraph"/>
              <w:ind w:left="119"/>
              <w:rPr>
                <w:sz w:val="18"/>
              </w:rPr>
            </w:pPr>
            <w:r>
              <w:rPr>
                <w:sz w:val="18"/>
              </w:rPr>
              <w:t>Linear</w:t>
            </w:r>
            <w:r>
              <w:rPr>
                <w:spacing w:val="-6"/>
                <w:sz w:val="18"/>
              </w:rPr>
              <w:t> </w:t>
            </w:r>
            <w:r>
              <w:rPr>
                <w:sz w:val="18"/>
              </w:rPr>
              <w:t>trend</w:t>
            </w:r>
            <w:r>
              <w:rPr>
                <w:spacing w:val="-5"/>
                <w:sz w:val="18"/>
              </w:rPr>
              <w:t> </w:t>
            </w:r>
            <w:r>
              <w:rPr>
                <w:spacing w:val="-2"/>
                <w:sz w:val="18"/>
              </w:rPr>
              <w:t>slope</w:t>
            </w:r>
          </w:p>
          <w:p>
            <w:pPr>
              <w:pStyle w:val="TableParagraph"/>
              <w:spacing w:before="78"/>
              <w:ind w:left="119"/>
              <w:rPr>
                <w:sz w:val="18"/>
              </w:rPr>
            </w:pPr>
            <w:r>
              <w:rPr>
                <w:spacing w:val="-2"/>
                <w:sz w:val="18"/>
              </w:rPr>
              <w:t>Total</w:t>
            </w:r>
            <w:r>
              <w:rPr>
                <w:spacing w:val="-3"/>
                <w:sz w:val="18"/>
              </w:rPr>
              <w:t> </w:t>
            </w:r>
            <w:r>
              <w:rPr>
                <w:spacing w:val="-2"/>
                <w:sz w:val="18"/>
              </w:rPr>
              <w:t>change over period</w:t>
            </w:r>
          </w:p>
        </w:tc>
        <w:tc>
          <w:tcPr>
            <w:tcW w:w="2156" w:type="dxa"/>
            <w:tcBorders>
              <w:left w:val="single" w:sz="4" w:space="0" w:color="000000"/>
              <w:bottom w:val="single" w:sz="8" w:space="0" w:color="000000"/>
              <w:right w:val="single" w:sz="4" w:space="0" w:color="000000"/>
            </w:tcBorders>
          </w:tcPr>
          <w:p>
            <w:pPr>
              <w:pStyle w:val="TableParagraph"/>
              <w:ind w:left="118"/>
              <w:rPr>
                <w:sz w:val="18"/>
              </w:rPr>
            </w:pPr>
            <w:r>
              <w:rPr>
                <w:sz w:val="18"/>
              </w:rPr>
              <w:t>+7.4</w:t>
            </w:r>
            <w:r>
              <w:rPr>
                <w:spacing w:val="-6"/>
                <w:sz w:val="18"/>
              </w:rPr>
              <w:t> </w:t>
            </w:r>
            <w:r>
              <w:rPr>
                <w:sz w:val="18"/>
              </w:rPr>
              <w:t>mhl/year</w:t>
            </w:r>
            <w:r>
              <w:rPr>
                <w:spacing w:val="-6"/>
                <w:sz w:val="18"/>
              </w:rPr>
              <w:t> </w:t>
            </w:r>
            <w:r>
              <w:rPr>
                <w:spacing w:val="-2"/>
                <w:sz w:val="18"/>
              </w:rPr>
              <w:t>(increasing)</w:t>
            </w:r>
          </w:p>
          <w:p>
            <w:pPr>
              <w:pStyle w:val="TableParagraph"/>
              <w:spacing w:before="78"/>
              <w:ind w:left="118"/>
              <w:rPr>
                <w:sz w:val="18"/>
              </w:rPr>
            </w:pPr>
            <w:r>
              <w:rPr>
                <w:sz w:val="18"/>
              </w:rPr>
              <w:t>+</w:t>
            </w:r>
            <w:r>
              <w:rPr>
                <w:spacing w:val="-3"/>
                <w:sz w:val="18"/>
              </w:rPr>
              <w:t> </w:t>
            </w:r>
            <w:r>
              <w:rPr>
                <w:sz w:val="18"/>
              </w:rPr>
              <w:t>660</w:t>
            </w:r>
            <w:r>
              <w:rPr>
                <w:spacing w:val="-3"/>
                <w:sz w:val="18"/>
              </w:rPr>
              <w:t> </w:t>
            </w:r>
            <w:r>
              <w:rPr>
                <w:sz w:val="18"/>
              </w:rPr>
              <w:t>mhl</w:t>
            </w:r>
            <w:r>
              <w:rPr>
                <w:spacing w:val="-3"/>
                <w:sz w:val="18"/>
              </w:rPr>
              <w:t> </w:t>
            </w:r>
            <w:r>
              <w:rPr>
                <w:sz w:val="18"/>
              </w:rPr>
              <w:t>(</w:t>
            </w:r>
            <w:r>
              <w:rPr>
                <w:spacing w:val="-3"/>
                <w:sz w:val="18"/>
              </w:rPr>
              <w:t> </w:t>
            </w:r>
            <w:r>
              <w:rPr>
                <w:spacing w:val="-2"/>
                <w:sz w:val="18"/>
              </w:rPr>
              <w:t>+80%)</w:t>
            </w:r>
          </w:p>
        </w:tc>
        <w:tc>
          <w:tcPr>
            <w:tcW w:w="4027" w:type="dxa"/>
            <w:tcBorders>
              <w:left w:val="single" w:sz="4" w:space="0" w:color="000000"/>
              <w:bottom w:val="single" w:sz="8" w:space="0" w:color="000000"/>
            </w:tcBorders>
          </w:tcPr>
          <w:p>
            <w:pPr>
              <w:pStyle w:val="TableParagraph"/>
              <w:spacing w:line="270" w:lineRule="exact" w:before="0"/>
              <w:ind w:left="118"/>
              <w:rPr>
                <w:sz w:val="18"/>
              </w:rPr>
            </w:pPr>
            <w:r>
              <w:rPr>
                <w:rFonts w:ascii="Meiryo UI" w:hAnsi="Meiryo UI"/>
                <w:i/>
                <w:sz w:val="18"/>
              </w:rPr>
              <w:t>−</w:t>
            </w:r>
            <w:r>
              <w:rPr>
                <w:sz w:val="18"/>
              </w:rPr>
              <w:t>21.2</w:t>
            </w:r>
            <w:r>
              <w:rPr>
                <w:spacing w:val="-9"/>
                <w:sz w:val="18"/>
              </w:rPr>
              <w:t> </w:t>
            </w:r>
            <w:r>
              <w:rPr>
                <w:sz w:val="18"/>
              </w:rPr>
              <w:t>mhl/year</w:t>
            </w:r>
            <w:r>
              <w:rPr>
                <w:spacing w:val="-9"/>
                <w:sz w:val="18"/>
              </w:rPr>
              <w:t> </w:t>
            </w:r>
            <w:r>
              <w:rPr>
                <w:spacing w:val="-2"/>
                <w:sz w:val="18"/>
              </w:rPr>
              <w:t>(declining)</w:t>
            </w:r>
          </w:p>
          <w:p>
            <w:pPr>
              <w:pStyle w:val="TableParagraph"/>
              <w:spacing w:line="291" w:lineRule="exact" w:before="0"/>
              <w:ind w:left="118"/>
              <w:rPr>
                <w:sz w:val="18"/>
              </w:rPr>
            </w:pPr>
            <w:r>
              <w:rPr>
                <w:rFonts w:ascii="Meiryo UI" w:hAnsi="Meiryo UI"/>
                <w:i/>
                <w:sz w:val="18"/>
              </w:rPr>
              <w:t>−</w:t>
            </w:r>
            <w:r>
              <w:rPr>
                <w:rFonts w:ascii="Meiryo UI" w:hAnsi="Meiryo UI"/>
                <w:i/>
                <w:spacing w:val="-17"/>
                <w:sz w:val="18"/>
              </w:rPr>
              <w:t> </w:t>
            </w:r>
            <w:r>
              <w:rPr>
                <w:sz w:val="18"/>
              </w:rPr>
              <w:t>1,500</w:t>
            </w:r>
            <w:r>
              <w:rPr>
                <w:spacing w:val="-8"/>
                <w:sz w:val="18"/>
              </w:rPr>
              <w:t> </w:t>
            </w:r>
            <w:r>
              <w:rPr>
                <w:sz w:val="18"/>
              </w:rPr>
              <w:t>mhl</w:t>
            </w:r>
            <w:r>
              <w:rPr>
                <w:spacing w:val="-4"/>
                <w:sz w:val="18"/>
              </w:rPr>
              <w:t> </w:t>
            </w:r>
            <w:r>
              <w:rPr>
                <w:sz w:val="18"/>
              </w:rPr>
              <w:t>(</w:t>
            </w:r>
            <w:r>
              <w:rPr>
                <w:spacing w:val="-5"/>
                <w:sz w:val="18"/>
              </w:rPr>
              <w:t> </w:t>
            </w:r>
            <w:r>
              <w:rPr>
                <w:rFonts w:ascii="Meiryo UI" w:hAnsi="Meiryo UI"/>
                <w:i/>
                <w:spacing w:val="-4"/>
                <w:sz w:val="18"/>
              </w:rPr>
              <w:t>−</w:t>
            </w:r>
            <w:r>
              <w:rPr>
                <w:spacing w:val="-4"/>
                <w:sz w:val="18"/>
              </w:rPr>
              <w:t>65%)</w:t>
            </w:r>
          </w:p>
        </w:tc>
      </w:tr>
    </w:tbl>
    <w:p>
      <w:pPr>
        <w:pStyle w:val="BodyText"/>
        <w:spacing w:before="113"/>
        <w:rPr>
          <w:sz w:val="20"/>
        </w:rPr>
      </w:pPr>
    </w:p>
    <w:p>
      <w:pPr>
        <w:pStyle w:val="BodyText"/>
        <w:spacing w:line="312" w:lineRule="auto"/>
        <w:ind w:left="709" w:right="962" w:firstLine="338"/>
        <w:jc w:val="both"/>
      </w:pPr>
      <w:r>
        <w:rPr>
          <w:spacing w:val="-2"/>
        </w:rPr>
        <w:t>The</w:t>
      </w:r>
      <w:r>
        <w:rPr>
          <w:spacing w:val="-6"/>
        </w:rPr>
        <w:t> </w:t>
      </w:r>
      <w:r>
        <w:rPr>
          <w:spacing w:val="-2"/>
        </w:rPr>
        <w:t>contrast</w:t>
      </w:r>
      <w:r>
        <w:rPr>
          <w:spacing w:val="-6"/>
        </w:rPr>
        <w:t> </w:t>
      </w:r>
      <w:r>
        <w:rPr>
          <w:spacing w:val="-2"/>
        </w:rPr>
        <w:t>between</w:t>
      </w:r>
      <w:r>
        <w:rPr>
          <w:spacing w:val="-6"/>
        </w:rPr>
        <w:t> </w:t>
      </w:r>
      <w:r>
        <w:rPr>
          <w:spacing w:val="-2"/>
        </w:rPr>
        <w:t>the</w:t>
      </w:r>
      <w:r>
        <w:rPr>
          <w:spacing w:val="-6"/>
        </w:rPr>
        <w:t> </w:t>
      </w:r>
      <w:r>
        <w:rPr>
          <w:spacing w:val="-2"/>
        </w:rPr>
        <w:t>two</w:t>
      </w:r>
      <w:r>
        <w:rPr>
          <w:spacing w:val="-6"/>
        </w:rPr>
        <w:t> </w:t>
      </w:r>
      <w:r>
        <w:rPr>
          <w:spacing w:val="-2"/>
        </w:rPr>
        <w:t>regions</w:t>
      </w:r>
      <w:r>
        <w:rPr>
          <w:spacing w:val="-6"/>
        </w:rPr>
        <w:t> </w:t>
      </w:r>
      <w:r>
        <w:rPr>
          <w:spacing w:val="-2"/>
        </w:rPr>
        <w:t>is</w:t>
      </w:r>
      <w:r>
        <w:rPr>
          <w:spacing w:val="-6"/>
        </w:rPr>
        <w:t> </w:t>
      </w:r>
      <w:r>
        <w:rPr>
          <w:spacing w:val="-2"/>
        </w:rPr>
        <w:t>immediately</w:t>
      </w:r>
      <w:r>
        <w:rPr>
          <w:spacing w:val="-6"/>
        </w:rPr>
        <w:t> </w:t>
      </w:r>
      <w:r>
        <w:rPr>
          <w:spacing w:val="-2"/>
        </w:rPr>
        <w:t>apparent.</w:t>
      </w:r>
      <w:r>
        <w:rPr/>
        <w:t> </w:t>
      </w:r>
      <w:r>
        <w:rPr>
          <w:spacing w:val="-2"/>
        </w:rPr>
        <w:t>Vinho</w:t>
      </w:r>
      <w:r>
        <w:rPr>
          <w:spacing w:val="-6"/>
        </w:rPr>
        <w:t> </w:t>
      </w:r>
      <w:r>
        <w:rPr>
          <w:spacing w:val="-2"/>
        </w:rPr>
        <w:t>Verde</w:t>
      </w:r>
      <w:r>
        <w:rPr>
          <w:spacing w:val="-6"/>
        </w:rPr>
        <w:t> </w:t>
      </w:r>
      <w:r>
        <w:rPr>
          <w:spacing w:val="-2"/>
        </w:rPr>
        <w:t>has</w:t>
      </w:r>
      <w:r>
        <w:rPr>
          <w:spacing w:val="-6"/>
        </w:rPr>
        <w:t> </w:t>
      </w:r>
      <w:r>
        <w:rPr>
          <w:spacing w:val="-2"/>
        </w:rPr>
        <w:t>a</w:t>
      </w:r>
      <w:r>
        <w:rPr>
          <w:spacing w:val="-6"/>
        </w:rPr>
        <w:t> </w:t>
      </w:r>
      <w:r>
        <w:rPr>
          <w:spacing w:val="-2"/>
        </w:rPr>
        <w:t>substantially </w:t>
      </w:r>
      <w:r>
        <w:rPr/>
        <w:t>higher</w:t>
      </w:r>
      <w:r>
        <w:rPr>
          <w:spacing w:val="-14"/>
        </w:rPr>
        <w:t> </w:t>
      </w:r>
      <w:r>
        <w:rPr/>
        <w:t>mean</w:t>
      </w:r>
      <w:r>
        <w:rPr>
          <w:spacing w:val="-14"/>
        </w:rPr>
        <w:t> </w:t>
      </w:r>
      <w:r>
        <w:rPr/>
        <w:t>production</w:t>
      </w:r>
      <w:r>
        <w:rPr>
          <w:spacing w:val="-14"/>
        </w:rPr>
        <w:t> </w:t>
      </w:r>
      <w:r>
        <w:rPr/>
        <w:t>(1,621</w:t>
      </w:r>
      <w:r>
        <w:rPr>
          <w:spacing w:val="-13"/>
        </w:rPr>
        <w:t> </w:t>
      </w:r>
      <w:r>
        <w:rPr/>
        <w:t>vs</w:t>
      </w:r>
      <w:r>
        <w:rPr>
          <w:spacing w:val="-14"/>
        </w:rPr>
        <w:t> </w:t>
      </w:r>
      <w:r>
        <w:rPr/>
        <w:t>1,116</w:t>
      </w:r>
      <w:r>
        <w:rPr>
          <w:spacing w:val="-14"/>
        </w:rPr>
        <w:t> </w:t>
      </w:r>
      <w:r>
        <w:rPr/>
        <w:t>mhl)</w:t>
      </w:r>
      <w:r>
        <w:rPr>
          <w:spacing w:val="-14"/>
        </w:rPr>
        <w:t> </w:t>
      </w:r>
      <w:r>
        <w:rPr/>
        <w:t>and</w:t>
      </w:r>
      <w:r>
        <w:rPr>
          <w:spacing w:val="-13"/>
        </w:rPr>
        <w:t> </w:t>
      </w:r>
      <w:r>
        <w:rPr/>
        <w:t>nearly</w:t>
      </w:r>
      <w:r>
        <w:rPr>
          <w:spacing w:val="-14"/>
        </w:rPr>
        <w:t> </w:t>
      </w:r>
      <w:r>
        <w:rPr/>
        <w:t>three</w:t>
      </w:r>
      <w:r>
        <w:rPr>
          <w:spacing w:val="-14"/>
        </w:rPr>
        <w:t> </w:t>
      </w:r>
      <w:r>
        <w:rPr/>
        <w:t>times</w:t>
      </w:r>
      <w:r>
        <w:rPr>
          <w:spacing w:val="-14"/>
        </w:rPr>
        <w:t> </w:t>
      </w:r>
      <w:r>
        <w:rPr/>
        <w:t>the</w:t>
      </w:r>
      <w:r>
        <w:rPr>
          <w:spacing w:val="-13"/>
        </w:rPr>
        <w:t> </w:t>
      </w:r>
      <w:r>
        <w:rPr/>
        <w:t>standard</w:t>
      </w:r>
      <w:r>
        <w:rPr>
          <w:spacing w:val="-14"/>
        </w:rPr>
        <w:t> </w:t>
      </w:r>
      <w:r>
        <w:rPr/>
        <w:t>deviation</w:t>
      </w:r>
      <w:r>
        <w:rPr>
          <w:spacing w:val="-14"/>
        </w:rPr>
        <w:t> </w:t>
      </w:r>
      <w:r>
        <w:rPr/>
        <w:t>(751</w:t>
      </w:r>
      <w:r>
        <w:rPr>
          <w:spacing w:val="-14"/>
        </w:rPr>
        <w:t> </w:t>
      </w:r>
      <w:r>
        <w:rPr/>
        <w:t>vs 307 mhl), yielding a CV of 46.4% vs 27.6%. This higher variability in RVV is partly structural, the larger absolute production values amplify variation, but also reflects the stronger era-driven </w:t>
      </w:r>
      <w:r>
        <w:rPr>
          <w:spacing w:val="-2"/>
        </w:rPr>
        <w:t>structural</w:t>
      </w:r>
      <w:r>
        <w:rPr>
          <w:spacing w:val="-11"/>
        </w:rPr>
        <w:t> </w:t>
      </w:r>
      <w:r>
        <w:rPr>
          <w:spacing w:val="-2"/>
        </w:rPr>
        <w:t>changes</w:t>
      </w:r>
      <w:r>
        <w:rPr>
          <w:spacing w:val="-11"/>
        </w:rPr>
        <w:t> </w:t>
      </w:r>
      <w:r>
        <w:rPr>
          <w:spacing w:val="-2"/>
        </w:rPr>
        <w:t>in</w:t>
      </w:r>
      <w:r>
        <w:rPr>
          <w:spacing w:val="-11"/>
        </w:rPr>
        <w:t> </w:t>
      </w:r>
      <w:r>
        <w:rPr>
          <w:spacing w:val="-2"/>
        </w:rPr>
        <w:t>the</w:t>
      </w:r>
      <w:r>
        <w:rPr>
          <w:spacing w:val="-11"/>
        </w:rPr>
        <w:t> </w:t>
      </w:r>
      <w:r>
        <w:rPr>
          <w:spacing w:val="-2"/>
        </w:rPr>
        <w:t>RVV</w:t>
      </w:r>
      <w:r>
        <w:rPr>
          <w:spacing w:val="-11"/>
        </w:rPr>
        <w:t> </w:t>
      </w:r>
      <w:r>
        <w:rPr>
          <w:spacing w:val="-2"/>
        </w:rPr>
        <w:t>series.</w:t>
      </w:r>
      <w:r>
        <w:rPr/>
        <w:t> </w:t>
      </w:r>
      <w:r>
        <w:rPr>
          <w:spacing w:val="-2"/>
        </w:rPr>
        <w:t>The</w:t>
      </w:r>
      <w:r>
        <w:rPr>
          <w:spacing w:val="-11"/>
        </w:rPr>
        <w:t> </w:t>
      </w:r>
      <w:r>
        <w:rPr>
          <w:spacing w:val="-2"/>
        </w:rPr>
        <w:t>coefficient</w:t>
      </w:r>
      <w:r>
        <w:rPr>
          <w:spacing w:val="-11"/>
        </w:rPr>
        <w:t> </w:t>
      </w:r>
      <w:r>
        <w:rPr>
          <w:spacing w:val="-2"/>
        </w:rPr>
        <w:t>of</w:t>
      </w:r>
      <w:r>
        <w:rPr>
          <w:spacing w:val="-11"/>
        </w:rPr>
        <w:t> </w:t>
      </w:r>
      <w:r>
        <w:rPr>
          <w:spacing w:val="-2"/>
        </w:rPr>
        <w:t>variation</w:t>
      </w:r>
      <w:r>
        <w:rPr>
          <w:spacing w:val="-11"/>
        </w:rPr>
        <w:t> </w:t>
      </w:r>
      <w:r>
        <w:rPr>
          <w:spacing w:val="-2"/>
        </w:rPr>
        <w:t>is</w:t>
      </w:r>
      <w:r>
        <w:rPr>
          <w:spacing w:val="-11"/>
        </w:rPr>
        <w:t> </w:t>
      </w:r>
      <w:r>
        <w:rPr>
          <w:spacing w:val="-2"/>
        </w:rPr>
        <w:t>a</w:t>
      </w:r>
      <w:r>
        <w:rPr>
          <w:spacing w:val="-11"/>
        </w:rPr>
        <w:t> </w:t>
      </w:r>
      <w:r>
        <w:rPr>
          <w:spacing w:val="-2"/>
        </w:rPr>
        <w:t>key</w:t>
      </w:r>
      <w:r>
        <w:rPr>
          <w:spacing w:val="-11"/>
        </w:rPr>
        <w:t> </w:t>
      </w:r>
      <w:r>
        <w:rPr>
          <w:spacing w:val="-2"/>
        </w:rPr>
        <w:t>number</w:t>
      </w:r>
      <w:r>
        <w:rPr>
          <w:spacing w:val="-11"/>
        </w:rPr>
        <w:t> </w:t>
      </w:r>
      <w:r>
        <w:rPr>
          <w:spacing w:val="-2"/>
        </w:rPr>
        <w:t>for</w:t>
      </w:r>
      <w:r>
        <w:rPr>
          <w:spacing w:val="-11"/>
        </w:rPr>
        <w:t> </w:t>
      </w:r>
      <w:r>
        <w:rPr>
          <w:spacing w:val="-2"/>
        </w:rPr>
        <w:t>understanding </w:t>
      </w:r>
      <w:r>
        <w:rPr/>
        <w:t>the prediction task:</w:t>
      </w:r>
      <w:r>
        <w:rPr>
          <w:spacing w:val="17"/>
        </w:rPr>
        <w:t> </w:t>
      </w:r>
      <w:r>
        <w:rPr/>
        <w:t>with CV = 27.6% for RDD and 46.4% for RVV, any model must reduce the</w:t>
      </w:r>
    </w:p>
    <w:p>
      <w:pPr>
        <w:pStyle w:val="BodyText"/>
        <w:spacing w:before="15"/>
      </w:pPr>
    </w:p>
    <w:p>
      <w:pPr>
        <w:pStyle w:val="BodyText"/>
        <w:ind w:left="601" w:right="882"/>
        <w:jc w:val="center"/>
      </w:pPr>
      <w:r>
        <w:rPr>
          <w:spacing w:val="-5"/>
        </w:rPr>
        <w:t>91</w:t>
      </w:r>
    </w:p>
    <w:p>
      <w:pPr>
        <w:pStyle w:val="BodyText"/>
        <w:spacing w:after="0"/>
        <w:jc w:val="center"/>
        <w:sectPr>
          <w:headerReference w:type="default" r:id="rId115"/>
          <w:pgSz w:w="11910" w:h="16840"/>
          <w:pgMar w:header="0" w:footer="0" w:top="1920" w:bottom="280" w:left="1275" w:right="425"/>
        </w:sectPr>
      </w:pPr>
    </w:p>
    <w:p>
      <w:pPr>
        <w:pStyle w:val="BodyText"/>
      </w:pPr>
    </w:p>
    <w:p>
      <w:pPr>
        <w:pStyle w:val="BodyText"/>
        <w:spacing w:before="25"/>
      </w:pPr>
    </w:p>
    <w:p>
      <w:pPr>
        <w:pStyle w:val="BodyText"/>
        <w:spacing w:line="312" w:lineRule="auto" w:before="1"/>
        <w:ind w:left="142" w:right="1470"/>
      </w:pPr>
      <w:r>
        <w:rPr/>
        <w:t>residual error substantially below the naive prediction to be useful,</w:t>
      </w:r>
      <w:r>
        <w:rPr>
          <w:spacing w:val="20"/>
        </w:rPr>
        <w:t> </w:t>
      </w:r>
      <w:r>
        <w:rPr/>
        <w:t>which is a high bar with a</w:t>
      </w:r>
      <w:r>
        <w:rPr>
          <w:spacing w:val="80"/>
        </w:rPr>
        <w:t> </w:t>
      </w:r>
      <w:r>
        <w:rPr/>
        <w:t>climate signal explaining only</w:t>
      </w:r>
      <w:r>
        <w:rPr>
          <w:spacing w:val="40"/>
        </w:rPr>
        <w:t> </w:t>
      </w:r>
      <w:r>
        <w:rPr/>
        <w:t>22% of variance.</w:t>
      </w:r>
    </w:p>
    <w:p>
      <w:pPr>
        <w:pStyle w:val="BodyText"/>
        <w:spacing w:before="48"/>
      </w:pPr>
    </w:p>
    <w:p>
      <w:pPr>
        <w:pStyle w:val="Heading3"/>
        <w:numPr>
          <w:ilvl w:val="2"/>
          <w:numId w:val="41"/>
        </w:numPr>
        <w:tabs>
          <w:tab w:pos="899" w:val="left" w:leader="none"/>
        </w:tabs>
        <w:spacing w:line="240" w:lineRule="auto" w:before="0" w:after="0"/>
        <w:ind w:left="899" w:right="0" w:hanging="757"/>
        <w:jc w:val="left"/>
      </w:pPr>
      <w:bookmarkStart w:name="B.1.1 Decade-Level Production Averages" w:id="282"/>
      <w:bookmarkEnd w:id="282"/>
      <w:r>
        <w:rPr>
          <w:b w:val="0"/>
        </w:rPr>
      </w:r>
      <w:bookmarkStart w:name="_bookmark166" w:id="283"/>
      <w:bookmarkEnd w:id="283"/>
      <w:r>
        <w:rPr>
          <w:b w:val="0"/>
        </w:rPr>
      </w:r>
      <w:r>
        <w:rPr>
          <w:spacing w:val="-2"/>
        </w:rPr>
        <w:t>Decade-Level</w:t>
      </w:r>
      <w:r>
        <w:rPr>
          <w:spacing w:val="2"/>
        </w:rPr>
        <w:t> </w:t>
      </w:r>
      <w:r>
        <w:rPr>
          <w:spacing w:val="-2"/>
        </w:rPr>
        <w:t>Production</w:t>
      </w:r>
      <w:r>
        <w:rPr>
          <w:spacing w:val="2"/>
        </w:rPr>
        <w:t> </w:t>
      </w:r>
      <w:r>
        <w:rPr>
          <w:spacing w:val="-2"/>
        </w:rPr>
        <w:t>Averages</w:t>
      </w:r>
    </w:p>
    <w:p>
      <w:pPr>
        <w:pStyle w:val="BodyText"/>
        <w:spacing w:line="312" w:lineRule="auto" w:before="219"/>
        <w:ind w:left="142" w:right="1470" w:hanging="7"/>
      </w:pPr>
      <w:r>
        <w:rPr>
          <w:spacing w:val="-4"/>
        </w:rPr>
        <w:t>Table </w:t>
      </w:r>
      <w:hyperlink w:history="true" w:anchor="_bookmark167">
        <w:r>
          <w:rPr>
            <w:color w:val="8B2C18"/>
            <w:spacing w:val="-4"/>
          </w:rPr>
          <w:t>B.2</w:t>
        </w:r>
      </w:hyperlink>
      <w:r>
        <w:rPr>
          <w:color w:val="8B2C18"/>
          <w:spacing w:val="-4"/>
        </w:rPr>
        <w:t> </w:t>
      </w:r>
      <w:r>
        <w:rPr>
          <w:spacing w:val="-4"/>
        </w:rPr>
        <w:t>presents decade-level mean production for both regions, revealing the structural trajectory </w:t>
      </w:r>
      <w:r>
        <w:rPr/>
        <w:t>of each series.</w:t>
      </w:r>
    </w:p>
    <w:p>
      <w:pPr>
        <w:spacing w:before="82"/>
        <w:ind w:left="1794" w:right="0" w:firstLine="0"/>
        <w:jc w:val="left"/>
        <w:rPr>
          <w:sz w:val="20"/>
        </w:rPr>
      </w:pPr>
      <w:bookmarkStart w:name="_bookmark167" w:id="284"/>
      <w:bookmarkEnd w:id="284"/>
      <w:r>
        <w:rPr/>
      </w:r>
      <w:r>
        <w:rPr>
          <w:b/>
          <w:sz w:val="20"/>
        </w:rPr>
        <w:t>Table</w:t>
      </w:r>
      <w:r>
        <w:rPr>
          <w:b/>
          <w:spacing w:val="-11"/>
          <w:sz w:val="20"/>
        </w:rPr>
        <w:t> </w:t>
      </w:r>
      <w:r>
        <w:rPr>
          <w:b/>
          <w:sz w:val="20"/>
        </w:rPr>
        <w:t>B.2:</w:t>
      </w:r>
      <w:r>
        <w:rPr>
          <w:b/>
          <w:spacing w:val="-1"/>
          <w:sz w:val="20"/>
        </w:rPr>
        <w:t> </w:t>
      </w:r>
      <w:r>
        <w:rPr>
          <w:sz w:val="20"/>
        </w:rPr>
        <w:t>Decade-level</w:t>
      </w:r>
      <w:r>
        <w:rPr>
          <w:spacing w:val="-10"/>
          <w:sz w:val="20"/>
        </w:rPr>
        <w:t> </w:t>
      </w:r>
      <w:r>
        <w:rPr>
          <w:sz w:val="20"/>
        </w:rPr>
        <w:t>production</w:t>
      </w:r>
      <w:r>
        <w:rPr>
          <w:spacing w:val="-11"/>
          <w:sz w:val="20"/>
        </w:rPr>
        <w:t> </w:t>
      </w:r>
      <w:r>
        <w:rPr>
          <w:sz w:val="20"/>
        </w:rPr>
        <w:t>averages</w:t>
      </w:r>
      <w:r>
        <w:rPr>
          <w:spacing w:val="-10"/>
          <w:sz w:val="20"/>
        </w:rPr>
        <w:t> </w:t>
      </w:r>
      <w:r>
        <w:rPr>
          <w:sz w:val="20"/>
        </w:rPr>
        <w:t>for</w:t>
      </w:r>
      <w:r>
        <w:rPr>
          <w:spacing w:val="-11"/>
          <w:sz w:val="20"/>
        </w:rPr>
        <w:t> </w:t>
      </w:r>
      <w:r>
        <w:rPr>
          <w:sz w:val="20"/>
        </w:rPr>
        <w:t>RDD</w:t>
      </w:r>
      <w:r>
        <w:rPr>
          <w:spacing w:val="-10"/>
          <w:sz w:val="20"/>
        </w:rPr>
        <w:t> </w:t>
      </w:r>
      <w:r>
        <w:rPr>
          <w:sz w:val="20"/>
        </w:rPr>
        <w:t>and</w:t>
      </w:r>
      <w:r>
        <w:rPr>
          <w:spacing w:val="-11"/>
          <w:sz w:val="20"/>
        </w:rPr>
        <w:t> </w:t>
      </w:r>
      <w:r>
        <w:rPr>
          <w:spacing w:val="-4"/>
          <w:sz w:val="20"/>
        </w:rPr>
        <w:t>RVV.</w:t>
      </w:r>
    </w:p>
    <w:p>
      <w:pPr>
        <w:pStyle w:val="BodyText"/>
        <w:spacing w:before="5"/>
        <w:rPr>
          <w:sz w:val="18"/>
        </w:rPr>
      </w:pPr>
      <w:r>
        <w:rPr>
          <w:sz w:val="18"/>
        </w:rPr>
        <mc:AlternateContent>
          <mc:Choice Requires="wps">
            <w:drawing>
              <wp:anchor distT="0" distB="0" distL="0" distR="0" allowOverlap="1" layoutInCell="1" locked="0" behindDoc="1" simplePos="0" relativeHeight="487636480">
                <wp:simplePos x="0" y="0"/>
                <wp:positionH relativeFrom="page">
                  <wp:posOffset>899998</wp:posOffset>
                </wp:positionH>
                <wp:positionV relativeFrom="paragraph">
                  <wp:posOffset>150082</wp:posOffset>
                </wp:positionV>
                <wp:extent cx="5400040" cy="1270"/>
                <wp:effectExtent l="0" t="0" r="0" b="0"/>
                <wp:wrapTopAndBottom/>
                <wp:docPr id="271" name="Graphic 271"/>
                <wp:cNvGraphicFramePr>
                  <a:graphicFrameLocks/>
                </wp:cNvGraphicFramePr>
                <a:graphic>
                  <a:graphicData uri="http://schemas.microsoft.com/office/word/2010/wordprocessingShape">
                    <wps:wsp>
                      <wps:cNvPr id="271" name="Graphic 271"/>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1.81750pt;width:425.2pt;height:.1pt;mso-position-horizontal-relative:page;mso-position-vertical-relative:paragraph;z-index:-15680000;mso-wrap-distance-left:0;mso-wrap-distance-right:0" id="docshape235" coordorigin="1417,236" coordsize="8504,0" path="m1417,236l9921,236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81"/>
        <w:gridCol w:w="2799"/>
        <w:gridCol w:w="761"/>
        <w:gridCol w:w="1489"/>
        <w:gridCol w:w="2678"/>
      </w:tblGrid>
      <w:tr>
        <w:trPr>
          <w:trHeight w:val="320" w:hRule="atLeast"/>
        </w:trPr>
        <w:tc>
          <w:tcPr>
            <w:tcW w:w="781" w:type="dxa"/>
            <w:tcBorders>
              <w:top w:val="nil"/>
              <w:left w:val="nil"/>
              <w:right w:val="single" w:sz="4" w:space="0" w:color="000000"/>
            </w:tcBorders>
          </w:tcPr>
          <w:p>
            <w:pPr>
              <w:pStyle w:val="TableParagraph"/>
              <w:spacing w:before="31"/>
              <w:ind w:left="119"/>
              <w:rPr>
                <w:sz w:val="18"/>
              </w:rPr>
            </w:pPr>
            <w:r>
              <w:rPr>
                <w:spacing w:val="-2"/>
                <w:sz w:val="18"/>
              </w:rPr>
              <w:t>Decade</w:t>
            </w:r>
          </w:p>
        </w:tc>
        <w:tc>
          <w:tcPr>
            <w:tcW w:w="2799" w:type="dxa"/>
            <w:tcBorders>
              <w:top w:val="nil"/>
              <w:left w:val="single" w:sz="4" w:space="0" w:color="000000"/>
              <w:right w:val="single" w:sz="4" w:space="0" w:color="000000"/>
            </w:tcBorders>
          </w:tcPr>
          <w:p>
            <w:pPr>
              <w:pStyle w:val="TableParagraph"/>
              <w:spacing w:before="31"/>
              <w:ind w:left="118"/>
              <w:rPr>
                <w:sz w:val="18"/>
              </w:rPr>
            </w:pPr>
            <w:r>
              <w:rPr>
                <w:sz w:val="18"/>
              </w:rPr>
              <w:t>RDD</w:t>
            </w:r>
            <w:r>
              <w:rPr>
                <w:spacing w:val="-5"/>
                <w:sz w:val="18"/>
              </w:rPr>
              <w:t> </w:t>
            </w:r>
            <w:r>
              <w:rPr>
                <w:sz w:val="18"/>
              </w:rPr>
              <w:t>mean</w:t>
            </w:r>
            <w:r>
              <w:rPr>
                <w:spacing w:val="-5"/>
                <w:sz w:val="18"/>
              </w:rPr>
              <w:t> </w:t>
            </w:r>
            <w:r>
              <w:rPr>
                <w:spacing w:val="-2"/>
                <w:sz w:val="18"/>
              </w:rPr>
              <w:t>(mhl)</w:t>
            </w:r>
          </w:p>
        </w:tc>
        <w:tc>
          <w:tcPr>
            <w:tcW w:w="761" w:type="dxa"/>
            <w:tcBorders>
              <w:top w:val="nil"/>
              <w:left w:val="single" w:sz="4" w:space="0" w:color="000000"/>
              <w:right w:val="single" w:sz="4" w:space="0" w:color="000000"/>
            </w:tcBorders>
          </w:tcPr>
          <w:p>
            <w:pPr>
              <w:pStyle w:val="TableParagraph"/>
              <w:spacing w:before="31"/>
              <w:ind w:left="117"/>
              <w:rPr>
                <w:sz w:val="18"/>
              </w:rPr>
            </w:pPr>
            <w:r>
              <w:rPr>
                <w:sz w:val="18"/>
              </w:rPr>
              <w:t>RDD</w:t>
            </w:r>
            <w:r>
              <w:rPr>
                <w:spacing w:val="-5"/>
                <w:sz w:val="18"/>
              </w:rPr>
              <w:t> </w:t>
            </w:r>
            <w:r>
              <w:rPr>
                <w:spacing w:val="-10"/>
                <w:sz w:val="18"/>
              </w:rPr>
              <w:t>n</w:t>
            </w:r>
          </w:p>
        </w:tc>
        <w:tc>
          <w:tcPr>
            <w:tcW w:w="1489" w:type="dxa"/>
            <w:tcBorders>
              <w:top w:val="nil"/>
              <w:left w:val="single" w:sz="4" w:space="0" w:color="000000"/>
              <w:right w:val="single" w:sz="4" w:space="0" w:color="000000"/>
            </w:tcBorders>
          </w:tcPr>
          <w:p>
            <w:pPr>
              <w:pStyle w:val="TableParagraph"/>
              <w:spacing w:before="31"/>
              <w:ind w:left="116"/>
              <w:rPr>
                <w:sz w:val="18"/>
              </w:rPr>
            </w:pPr>
            <w:r>
              <w:rPr>
                <w:spacing w:val="-2"/>
                <w:sz w:val="18"/>
              </w:rPr>
              <w:t>RVV</w:t>
            </w:r>
            <w:r>
              <w:rPr>
                <w:spacing w:val="-6"/>
                <w:sz w:val="18"/>
              </w:rPr>
              <w:t> </w:t>
            </w:r>
            <w:r>
              <w:rPr>
                <w:spacing w:val="-2"/>
                <w:sz w:val="18"/>
              </w:rPr>
              <w:t>mean</w:t>
            </w:r>
            <w:r>
              <w:rPr>
                <w:spacing w:val="-5"/>
                <w:sz w:val="18"/>
              </w:rPr>
              <w:t> </w:t>
            </w:r>
            <w:r>
              <w:rPr>
                <w:spacing w:val="-2"/>
                <w:sz w:val="18"/>
              </w:rPr>
              <w:t>(mhl)</w:t>
            </w:r>
          </w:p>
        </w:tc>
        <w:tc>
          <w:tcPr>
            <w:tcW w:w="2678" w:type="dxa"/>
            <w:tcBorders>
              <w:top w:val="nil"/>
              <w:left w:val="single" w:sz="4" w:space="0" w:color="000000"/>
              <w:right w:val="nil"/>
            </w:tcBorders>
          </w:tcPr>
          <w:p>
            <w:pPr>
              <w:pStyle w:val="TableParagraph"/>
              <w:spacing w:before="31"/>
              <w:ind w:left="115"/>
              <w:rPr>
                <w:sz w:val="18"/>
              </w:rPr>
            </w:pPr>
            <w:r>
              <w:rPr>
                <w:spacing w:val="-6"/>
                <w:sz w:val="18"/>
              </w:rPr>
              <w:t>RVV</w:t>
            </w:r>
            <w:r>
              <w:rPr>
                <w:spacing w:val="-2"/>
                <w:sz w:val="18"/>
              </w:rPr>
              <w:t> </w:t>
            </w:r>
            <w:r>
              <w:rPr>
                <w:spacing w:val="-10"/>
                <w:sz w:val="18"/>
              </w:rPr>
              <w:t>n</w:t>
            </w:r>
          </w:p>
        </w:tc>
      </w:tr>
    </w:tbl>
    <w:p>
      <w:pPr>
        <w:pStyle w:val="BodyText"/>
        <w:spacing w:before="10"/>
        <w:rPr>
          <w:sz w:val="4"/>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1"/>
        <w:gridCol w:w="2799"/>
        <w:gridCol w:w="761"/>
        <w:gridCol w:w="1489"/>
        <w:gridCol w:w="2678"/>
      </w:tblGrid>
      <w:tr>
        <w:trPr>
          <w:trHeight w:val="284" w:hRule="atLeast"/>
        </w:trPr>
        <w:tc>
          <w:tcPr>
            <w:tcW w:w="781" w:type="dxa"/>
            <w:tcBorders>
              <w:right w:val="single" w:sz="4" w:space="0" w:color="000000"/>
            </w:tcBorders>
          </w:tcPr>
          <w:p>
            <w:pPr>
              <w:pStyle w:val="TableParagraph"/>
              <w:spacing w:before="31"/>
              <w:ind w:right="106"/>
              <w:jc w:val="center"/>
              <w:rPr>
                <w:sz w:val="18"/>
              </w:rPr>
            </w:pPr>
            <w:r>
              <w:rPr>
                <w:spacing w:val="-2"/>
                <w:sz w:val="18"/>
              </w:rPr>
              <w:t>1930s</w:t>
            </w:r>
          </w:p>
        </w:tc>
        <w:tc>
          <w:tcPr>
            <w:tcW w:w="2799" w:type="dxa"/>
            <w:tcBorders>
              <w:left w:val="single" w:sz="4" w:space="0" w:color="000000"/>
              <w:right w:val="single" w:sz="4" w:space="0" w:color="000000"/>
            </w:tcBorders>
          </w:tcPr>
          <w:p>
            <w:pPr>
              <w:pStyle w:val="TableParagraph"/>
              <w:spacing w:before="31"/>
              <w:ind w:left="118"/>
              <w:rPr>
                <w:sz w:val="18"/>
              </w:rPr>
            </w:pPr>
            <w:r>
              <w:rPr>
                <w:spacing w:val="-5"/>
                <w:sz w:val="18"/>
              </w:rPr>
              <w:t>765</w:t>
            </w:r>
          </w:p>
        </w:tc>
        <w:tc>
          <w:tcPr>
            <w:tcW w:w="761" w:type="dxa"/>
            <w:tcBorders>
              <w:left w:val="single" w:sz="4" w:space="0" w:color="000000"/>
              <w:right w:val="single" w:sz="4" w:space="0" w:color="000000"/>
            </w:tcBorders>
          </w:tcPr>
          <w:p>
            <w:pPr>
              <w:pStyle w:val="TableParagraph"/>
              <w:spacing w:before="31"/>
              <w:ind w:left="117"/>
              <w:rPr>
                <w:sz w:val="18"/>
              </w:rPr>
            </w:pPr>
            <w:r>
              <w:rPr>
                <w:spacing w:val="-10"/>
                <w:sz w:val="18"/>
              </w:rPr>
              <w:t>7</w:t>
            </w:r>
          </w:p>
        </w:tc>
        <w:tc>
          <w:tcPr>
            <w:tcW w:w="1489" w:type="dxa"/>
            <w:tcBorders>
              <w:left w:val="single" w:sz="4" w:space="0" w:color="000000"/>
              <w:right w:val="single" w:sz="4" w:space="0" w:color="000000"/>
            </w:tcBorders>
          </w:tcPr>
          <w:p>
            <w:pPr>
              <w:pStyle w:val="TableParagraph"/>
              <w:spacing w:before="31"/>
              <w:ind w:left="116"/>
              <w:rPr>
                <w:sz w:val="18"/>
              </w:rPr>
            </w:pPr>
            <w:r>
              <w:rPr>
                <w:spacing w:val="-10"/>
                <w:sz w:val="18"/>
              </w:rPr>
              <w:t>—</w:t>
            </w:r>
          </w:p>
        </w:tc>
        <w:tc>
          <w:tcPr>
            <w:tcW w:w="2678" w:type="dxa"/>
            <w:tcBorders>
              <w:left w:val="single" w:sz="4" w:space="0" w:color="000000"/>
            </w:tcBorders>
          </w:tcPr>
          <w:p>
            <w:pPr>
              <w:pStyle w:val="TableParagraph"/>
              <w:spacing w:before="31"/>
              <w:ind w:left="115"/>
              <w:rPr>
                <w:sz w:val="18"/>
              </w:rPr>
            </w:pPr>
            <w:r>
              <w:rPr>
                <w:spacing w:val="-10"/>
                <w:sz w:val="18"/>
              </w:rPr>
              <w:t>—</w:t>
            </w:r>
          </w:p>
        </w:tc>
      </w:tr>
      <w:tr>
        <w:trPr>
          <w:trHeight w:val="284" w:hRule="atLeast"/>
        </w:trPr>
        <w:tc>
          <w:tcPr>
            <w:tcW w:w="781" w:type="dxa"/>
            <w:tcBorders>
              <w:right w:val="single" w:sz="4" w:space="0" w:color="000000"/>
            </w:tcBorders>
          </w:tcPr>
          <w:p>
            <w:pPr>
              <w:pStyle w:val="TableParagraph"/>
              <w:ind w:right="106"/>
              <w:jc w:val="center"/>
              <w:rPr>
                <w:sz w:val="18"/>
              </w:rPr>
            </w:pPr>
            <w:r>
              <w:rPr>
                <w:spacing w:val="-2"/>
                <w:sz w:val="18"/>
              </w:rPr>
              <w:t>1940s</w:t>
            </w:r>
          </w:p>
        </w:tc>
        <w:tc>
          <w:tcPr>
            <w:tcW w:w="2799" w:type="dxa"/>
            <w:tcBorders>
              <w:left w:val="single" w:sz="4" w:space="0" w:color="000000"/>
              <w:right w:val="single" w:sz="4" w:space="0" w:color="000000"/>
            </w:tcBorders>
          </w:tcPr>
          <w:p>
            <w:pPr>
              <w:pStyle w:val="TableParagraph"/>
              <w:ind w:left="118"/>
              <w:rPr>
                <w:sz w:val="18"/>
              </w:rPr>
            </w:pPr>
            <w:r>
              <w:rPr>
                <w:spacing w:val="-5"/>
                <w:sz w:val="18"/>
              </w:rPr>
              <w:t>767</w:t>
            </w:r>
          </w:p>
        </w:tc>
        <w:tc>
          <w:tcPr>
            <w:tcW w:w="761" w:type="dxa"/>
            <w:tcBorders>
              <w:left w:val="single" w:sz="4" w:space="0" w:color="000000"/>
              <w:right w:val="single" w:sz="4" w:space="0" w:color="000000"/>
            </w:tcBorders>
          </w:tcPr>
          <w:p>
            <w:pPr>
              <w:pStyle w:val="TableParagraph"/>
              <w:ind w:left="117"/>
              <w:rPr>
                <w:sz w:val="18"/>
              </w:rPr>
            </w:pPr>
            <w:r>
              <w:rPr>
                <w:spacing w:val="-5"/>
                <w:sz w:val="18"/>
              </w:rPr>
              <w:t>10</w:t>
            </w:r>
          </w:p>
        </w:tc>
        <w:tc>
          <w:tcPr>
            <w:tcW w:w="1489" w:type="dxa"/>
            <w:tcBorders>
              <w:left w:val="single" w:sz="4" w:space="0" w:color="000000"/>
              <w:right w:val="single" w:sz="4" w:space="0" w:color="000000"/>
            </w:tcBorders>
          </w:tcPr>
          <w:p>
            <w:pPr>
              <w:pStyle w:val="TableParagraph"/>
              <w:ind w:left="116"/>
              <w:rPr>
                <w:sz w:val="18"/>
              </w:rPr>
            </w:pPr>
            <w:r>
              <w:rPr>
                <w:spacing w:val="-2"/>
                <w:sz w:val="18"/>
              </w:rPr>
              <w:t>2,026</w:t>
            </w:r>
          </w:p>
        </w:tc>
        <w:tc>
          <w:tcPr>
            <w:tcW w:w="2678" w:type="dxa"/>
            <w:tcBorders>
              <w:left w:val="single" w:sz="4" w:space="0" w:color="000000"/>
            </w:tcBorders>
          </w:tcPr>
          <w:p>
            <w:pPr>
              <w:pStyle w:val="TableParagraph"/>
              <w:ind w:left="115"/>
              <w:rPr>
                <w:sz w:val="18"/>
              </w:rPr>
            </w:pPr>
            <w:r>
              <w:rPr>
                <w:spacing w:val="-10"/>
                <w:sz w:val="18"/>
              </w:rPr>
              <w:t>9</w:t>
            </w:r>
          </w:p>
        </w:tc>
      </w:tr>
      <w:tr>
        <w:trPr>
          <w:trHeight w:val="284" w:hRule="atLeast"/>
        </w:trPr>
        <w:tc>
          <w:tcPr>
            <w:tcW w:w="781" w:type="dxa"/>
            <w:tcBorders>
              <w:right w:val="single" w:sz="4" w:space="0" w:color="000000"/>
            </w:tcBorders>
          </w:tcPr>
          <w:p>
            <w:pPr>
              <w:pStyle w:val="TableParagraph"/>
              <w:ind w:right="106"/>
              <w:jc w:val="center"/>
              <w:rPr>
                <w:sz w:val="18"/>
              </w:rPr>
            </w:pPr>
            <w:r>
              <w:rPr>
                <w:spacing w:val="-2"/>
                <w:sz w:val="18"/>
              </w:rPr>
              <w:t>1950s</w:t>
            </w:r>
          </w:p>
        </w:tc>
        <w:tc>
          <w:tcPr>
            <w:tcW w:w="2799" w:type="dxa"/>
            <w:tcBorders>
              <w:left w:val="single" w:sz="4" w:space="0" w:color="000000"/>
              <w:right w:val="single" w:sz="4" w:space="0" w:color="000000"/>
            </w:tcBorders>
          </w:tcPr>
          <w:p>
            <w:pPr>
              <w:pStyle w:val="TableParagraph"/>
              <w:ind w:left="118"/>
              <w:rPr>
                <w:sz w:val="18"/>
              </w:rPr>
            </w:pPr>
            <w:r>
              <w:rPr>
                <w:spacing w:val="-5"/>
                <w:sz w:val="18"/>
              </w:rPr>
              <w:t>926</w:t>
            </w:r>
          </w:p>
        </w:tc>
        <w:tc>
          <w:tcPr>
            <w:tcW w:w="761" w:type="dxa"/>
            <w:tcBorders>
              <w:left w:val="single" w:sz="4" w:space="0" w:color="000000"/>
              <w:right w:val="single" w:sz="4" w:space="0" w:color="000000"/>
            </w:tcBorders>
          </w:tcPr>
          <w:p>
            <w:pPr>
              <w:pStyle w:val="TableParagraph"/>
              <w:ind w:left="117"/>
              <w:rPr>
                <w:sz w:val="18"/>
              </w:rPr>
            </w:pPr>
            <w:r>
              <w:rPr>
                <w:spacing w:val="-5"/>
                <w:sz w:val="18"/>
              </w:rPr>
              <w:t>10</w:t>
            </w:r>
          </w:p>
        </w:tc>
        <w:tc>
          <w:tcPr>
            <w:tcW w:w="1489" w:type="dxa"/>
            <w:tcBorders>
              <w:left w:val="single" w:sz="4" w:space="0" w:color="000000"/>
              <w:right w:val="single" w:sz="4" w:space="0" w:color="000000"/>
            </w:tcBorders>
          </w:tcPr>
          <w:p>
            <w:pPr>
              <w:pStyle w:val="TableParagraph"/>
              <w:ind w:left="116"/>
              <w:rPr>
                <w:sz w:val="18"/>
              </w:rPr>
            </w:pPr>
            <w:r>
              <w:rPr>
                <w:spacing w:val="-2"/>
                <w:sz w:val="18"/>
              </w:rPr>
              <w:t>1,941</w:t>
            </w:r>
          </w:p>
        </w:tc>
        <w:tc>
          <w:tcPr>
            <w:tcW w:w="2678" w:type="dxa"/>
            <w:tcBorders>
              <w:left w:val="single" w:sz="4" w:space="0" w:color="000000"/>
            </w:tcBorders>
          </w:tcPr>
          <w:p>
            <w:pPr>
              <w:pStyle w:val="TableParagraph"/>
              <w:ind w:left="115"/>
              <w:rPr>
                <w:sz w:val="18"/>
              </w:rPr>
            </w:pPr>
            <w:r>
              <w:rPr>
                <w:spacing w:val="-5"/>
                <w:sz w:val="18"/>
              </w:rPr>
              <w:t>10</w:t>
            </w:r>
          </w:p>
        </w:tc>
      </w:tr>
      <w:tr>
        <w:trPr>
          <w:trHeight w:val="284" w:hRule="atLeast"/>
        </w:trPr>
        <w:tc>
          <w:tcPr>
            <w:tcW w:w="781" w:type="dxa"/>
            <w:tcBorders>
              <w:right w:val="single" w:sz="4" w:space="0" w:color="000000"/>
            </w:tcBorders>
          </w:tcPr>
          <w:p>
            <w:pPr>
              <w:pStyle w:val="TableParagraph"/>
              <w:ind w:right="106"/>
              <w:jc w:val="center"/>
              <w:rPr>
                <w:sz w:val="18"/>
              </w:rPr>
            </w:pPr>
            <w:r>
              <w:rPr>
                <w:spacing w:val="-2"/>
                <w:sz w:val="18"/>
              </w:rPr>
              <w:t>1960s</w:t>
            </w:r>
          </w:p>
        </w:tc>
        <w:tc>
          <w:tcPr>
            <w:tcW w:w="2799" w:type="dxa"/>
            <w:tcBorders>
              <w:left w:val="single" w:sz="4" w:space="0" w:color="000000"/>
              <w:right w:val="single" w:sz="4" w:space="0" w:color="000000"/>
            </w:tcBorders>
          </w:tcPr>
          <w:p>
            <w:pPr>
              <w:pStyle w:val="TableParagraph"/>
              <w:ind w:left="118"/>
              <w:rPr>
                <w:sz w:val="18"/>
              </w:rPr>
            </w:pPr>
            <w:r>
              <w:rPr>
                <w:spacing w:val="-2"/>
                <w:sz w:val="18"/>
              </w:rPr>
              <w:t>1,184</w:t>
            </w:r>
          </w:p>
        </w:tc>
        <w:tc>
          <w:tcPr>
            <w:tcW w:w="761" w:type="dxa"/>
            <w:tcBorders>
              <w:left w:val="single" w:sz="4" w:space="0" w:color="000000"/>
              <w:right w:val="single" w:sz="4" w:space="0" w:color="000000"/>
            </w:tcBorders>
          </w:tcPr>
          <w:p>
            <w:pPr>
              <w:pStyle w:val="TableParagraph"/>
              <w:ind w:left="117"/>
              <w:rPr>
                <w:sz w:val="18"/>
              </w:rPr>
            </w:pPr>
            <w:r>
              <w:rPr>
                <w:spacing w:val="-5"/>
                <w:sz w:val="18"/>
              </w:rPr>
              <w:t>10</w:t>
            </w:r>
          </w:p>
        </w:tc>
        <w:tc>
          <w:tcPr>
            <w:tcW w:w="1489" w:type="dxa"/>
            <w:tcBorders>
              <w:left w:val="single" w:sz="4" w:space="0" w:color="000000"/>
              <w:right w:val="single" w:sz="4" w:space="0" w:color="000000"/>
            </w:tcBorders>
          </w:tcPr>
          <w:p>
            <w:pPr>
              <w:pStyle w:val="TableParagraph"/>
              <w:ind w:left="116"/>
              <w:rPr>
                <w:sz w:val="18"/>
              </w:rPr>
            </w:pPr>
            <w:r>
              <w:rPr>
                <w:spacing w:val="-2"/>
                <w:sz w:val="18"/>
              </w:rPr>
              <w:t>2,331</w:t>
            </w:r>
          </w:p>
        </w:tc>
        <w:tc>
          <w:tcPr>
            <w:tcW w:w="2678" w:type="dxa"/>
            <w:tcBorders>
              <w:left w:val="single" w:sz="4" w:space="0" w:color="000000"/>
            </w:tcBorders>
          </w:tcPr>
          <w:p>
            <w:pPr>
              <w:pStyle w:val="TableParagraph"/>
              <w:ind w:left="115"/>
              <w:rPr>
                <w:sz w:val="18"/>
              </w:rPr>
            </w:pPr>
            <w:r>
              <w:rPr>
                <w:spacing w:val="-5"/>
                <w:sz w:val="18"/>
              </w:rPr>
              <w:t>10</w:t>
            </w:r>
          </w:p>
        </w:tc>
      </w:tr>
      <w:tr>
        <w:trPr>
          <w:trHeight w:val="284" w:hRule="atLeast"/>
        </w:trPr>
        <w:tc>
          <w:tcPr>
            <w:tcW w:w="781" w:type="dxa"/>
            <w:tcBorders>
              <w:right w:val="single" w:sz="4" w:space="0" w:color="000000"/>
            </w:tcBorders>
          </w:tcPr>
          <w:p>
            <w:pPr>
              <w:pStyle w:val="TableParagraph"/>
              <w:ind w:right="106"/>
              <w:jc w:val="center"/>
              <w:rPr>
                <w:sz w:val="18"/>
              </w:rPr>
            </w:pPr>
            <w:r>
              <w:rPr>
                <w:spacing w:val="-2"/>
                <w:sz w:val="18"/>
              </w:rPr>
              <w:t>1970s</w:t>
            </w:r>
          </w:p>
        </w:tc>
        <w:tc>
          <w:tcPr>
            <w:tcW w:w="2799" w:type="dxa"/>
            <w:tcBorders>
              <w:left w:val="single" w:sz="4" w:space="0" w:color="000000"/>
              <w:right w:val="single" w:sz="4" w:space="0" w:color="000000"/>
            </w:tcBorders>
          </w:tcPr>
          <w:p>
            <w:pPr>
              <w:pStyle w:val="TableParagraph"/>
              <w:ind w:left="118"/>
              <w:rPr>
                <w:sz w:val="18"/>
              </w:rPr>
            </w:pPr>
            <w:r>
              <w:rPr>
                <w:spacing w:val="-2"/>
                <w:sz w:val="18"/>
              </w:rPr>
              <w:t>1,090</w:t>
            </w:r>
          </w:p>
        </w:tc>
        <w:tc>
          <w:tcPr>
            <w:tcW w:w="761" w:type="dxa"/>
            <w:tcBorders>
              <w:left w:val="single" w:sz="4" w:space="0" w:color="000000"/>
              <w:right w:val="single" w:sz="4" w:space="0" w:color="000000"/>
            </w:tcBorders>
          </w:tcPr>
          <w:p>
            <w:pPr>
              <w:pStyle w:val="TableParagraph"/>
              <w:ind w:left="117"/>
              <w:rPr>
                <w:sz w:val="18"/>
              </w:rPr>
            </w:pPr>
            <w:r>
              <w:rPr>
                <w:spacing w:val="-5"/>
                <w:sz w:val="18"/>
              </w:rPr>
              <w:t>10</w:t>
            </w:r>
          </w:p>
        </w:tc>
        <w:tc>
          <w:tcPr>
            <w:tcW w:w="1489" w:type="dxa"/>
            <w:tcBorders>
              <w:left w:val="single" w:sz="4" w:space="0" w:color="000000"/>
              <w:right w:val="single" w:sz="4" w:space="0" w:color="000000"/>
            </w:tcBorders>
          </w:tcPr>
          <w:p>
            <w:pPr>
              <w:pStyle w:val="TableParagraph"/>
              <w:ind w:left="116"/>
              <w:rPr>
                <w:sz w:val="18"/>
              </w:rPr>
            </w:pPr>
            <w:r>
              <w:rPr>
                <w:spacing w:val="-2"/>
                <w:sz w:val="18"/>
              </w:rPr>
              <w:t>2,229</w:t>
            </w:r>
          </w:p>
        </w:tc>
        <w:tc>
          <w:tcPr>
            <w:tcW w:w="2678" w:type="dxa"/>
            <w:tcBorders>
              <w:left w:val="single" w:sz="4" w:space="0" w:color="000000"/>
            </w:tcBorders>
          </w:tcPr>
          <w:p>
            <w:pPr>
              <w:pStyle w:val="TableParagraph"/>
              <w:ind w:left="115"/>
              <w:rPr>
                <w:sz w:val="18"/>
              </w:rPr>
            </w:pPr>
            <w:r>
              <w:rPr>
                <w:spacing w:val="-5"/>
                <w:sz w:val="18"/>
              </w:rPr>
              <w:t>10</w:t>
            </w:r>
          </w:p>
        </w:tc>
      </w:tr>
      <w:tr>
        <w:trPr>
          <w:trHeight w:val="284" w:hRule="atLeast"/>
        </w:trPr>
        <w:tc>
          <w:tcPr>
            <w:tcW w:w="781" w:type="dxa"/>
            <w:tcBorders>
              <w:right w:val="single" w:sz="4" w:space="0" w:color="000000"/>
            </w:tcBorders>
          </w:tcPr>
          <w:p>
            <w:pPr>
              <w:pStyle w:val="TableParagraph"/>
              <w:ind w:right="106"/>
              <w:jc w:val="center"/>
              <w:rPr>
                <w:sz w:val="18"/>
              </w:rPr>
            </w:pPr>
            <w:r>
              <w:rPr>
                <w:spacing w:val="-2"/>
                <w:sz w:val="18"/>
              </w:rPr>
              <w:t>1980s</w:t>
            </w:r>
          </w:p>
        </w:tc>
        <w:tc>
          <w:tcPr>
            <w:tcW w:w="2799" w:type="dxa"/>
            <w:tcBorders>
              <w:left w:val="single" w:sz="4" w:space="0" w:color="000000"/>
              <w:right w:val="single" w:sz="4" w:space="0" w:color="000000"/>
            </w:tcBorders>
          </w:tcPr>
          <w:p>
            <w:pPr>
              <w:pStyle w:val="TableParagraph"/>
              <w:ind w:left="118"/>
              <w:rPr>
                <w:sz w:val="18"/>
              </w:rPr>
            </w:pPr>
            <w:r>
              <w:rPr>
                <w:spacing w:val="-2"/>
                <w:sz w:val="18"/>
              </w:rPr>
              <w:t>1,148</w:t>
            </w:r>
          </w:p>
        </w:tc>
        <w:tc>
          <w:tcPr>
            <w:tcW w:w="761" w:type="dxa"/>
            <w:tcBorders>
              <w:left w:val="single" w:sz="4" w:space="0" w:color="000000"/>
              <w:right w:val="single" w:sz="4" w:space="0" w:color="000000"/>
            </w:tcBorders>
          </w:tcPr>
          <w:p>
            <w:pPr>
              <w:pStyle w:val="TableParagraph"/>
              <w:ind w:left="117"/>
              <w:rPr>
                <w:sz w:val="18"/>
              </w:rPr>
            </w:pPr>
            <w:r>
              <w:rPr>
                <w:spacing w:val="-5"/>
                <w:sz w:val="18"/>
              </w:rPr>
              <w:t>10</w:t>
            </w:r>
          </w:p>
        </w:tc>
        <w:tc>
          <w:tcPr>
            <w:tcW w:w="1489" w:type="dxa"/>
            <w:tcBorders>
              <w:left w:val="single" w:sz="4" w:space="0" w:color="000000"/>
              <w:right w:val="single" w:sz="4" w:space="0" w:color="000000"/>
            </w:tcBorders>
          </w:tcPr>
          <w:p>
            <w:pPr>
              <w:pStyle w:val="TableParagraph"/>
              <w:ind w:left="116"/>
              <w:rPr>
                <w:sz w:val="18"/>
              </w:rPr>
            </w:pPr>
            <w:r>
              <w:rPr>
                <w:spacing w:val="-2"/>
                <w:sz w:val="18"/>
              </w:rPr>
              <w:t>1,638</w:t>
            </w:r>
          </w:p>
        </w:tc>
        <w:tc>
          <w:tcPr>
            <w:tcW w:w="2678" w:type="dxa"/>
            <w:tcBorders>
              <w:left w:val="single" w:sz="4" w:space="0" w:color="000000"/>
            </w:tcBorders>
          </w:tcPr>
          <w:p>
            <w:pPr>
              <w:pStyle w:val="TableParagraph"/>
              <w:ind w:left="115"/>
              <w:rPr>
                <w:sz w:val="18"/>
              </w:rPr>
            </w:pPr>
            <w:r>
              <w:rPr>
                <w:spacing w:val="-5"/>
                <w:sz w:val="18"/>
              </w:rPr>
              <w:t>10</w:t>
            </w:r>
          </w:p>
        </w:tc>
      </w:tr>
      <w:tr>
        <w:trPr>
          <w:trHeight w:val="284" w:hRule="atLeast"/>
        </w:trPr>
        <w:tc>
          <w:tcPr>
            <w:tcW w:w="781" w:type="dxa"/>
            <w:tcBorders>
              <w:right w:val="single" w:sz="4" w:space="0" w:color="000000"/>
            </w:tcBorders>
          </w:tcPr>
          <w:p>
            <w:pPr>
              <w:pStyle w:val="TableParagraph"/>
              <w:ind w:right="106"/>
              <w:jc w:val="center"/>
              <w:rPr>
                <w:sz w:val="18"/>
              </w:rPr>
            </w:pPr>
            <w:r>
              <w:rPr>
                <w:spacing w:val="-2"/>
                <w:sz w:val="18"/>
              </w:rPr>
              <w:t>1990s</w:t>
            </w:r>
          </w:p>
        </w:tc>
        <w:tc>
          <w:tcPr>
            <w:tcW w:w="2799" w:type="dxa"/>
            <w:tcBorders>
              <w:left w:val="single" w:sz="4" w:space="0" w:color="000000"/>
              <w:right w:val="single" w:sz="4" w:space="0" w:color="000000"/>
            </w:tcBorders>
          </w:tcPr>
          <w:p>
            <w:pPr>
              <w:pStyle w:val="TableParagraph"/>
              <w:ind w:left="118"/>
              <w:rPr>
                <w:sz w:val="18"/>
              </w:rPr>
            </w:pPr>
            <w:r>
              <w:rPr>
                <w:spacing w:val="-2"/>
                <w:sz w:val="18"/>
              </w:rPr>
              <w:t>1,271</w:t>
            </w:r>
          </w:p>
        </w:tc>
        <w:tc>
          <w:tcPr>
            <w:tcW w:w="761" w:type="dxa"/>
            <w:tcBorders>
              <w:left w:val="single" w:sz="4" w:space="0" w:color="000000"/>
              <w:right w:val="single" w:sz="4" w:space="0" w:color="000000"/>
            </w:tcBorders>
          </w:tcPr>
          <w:p>
            <w:pPr>
              <w:pStyle w:val="TableParagraph"/>
              <w:ind w:left="117"/>
              <w:rPr>
                <w:sz w:val="18"/>
              </w:rPr>
            </w:pPr>
            <w:r>
              <w:rPr>
                <w:spacing w:val="-5"/>
                <w:sz w:val="18"/>
              </w:rPr>
              <w:t>10</w:t>
            </w:r>
          </w:p>
        </w:tc>
        <w:tc>
          <w:tcPr>
            <w:tcW w:w="1489" w:type="dxa"/>
            <w:tcBorders>
              <w:left w:val="single" w:sz="4" w:space="0" w:color="000000"/>
              <w:right w:val="single" w:sz="4" w:space="0" w:color="000000"/>
            </w:tcBorders>
          </w:tcPr>
          <w:p>
            <w:pPr>
              <w:pStyle w:val="TableParagraph"/>
              <w:ind w:left="116"/>
              <w:rPr>
                <w:sz w:val="18"/>
              </w:rPr>
            </w:pPr>
            <w:r>
              <w:rPr>
                <w:spacing w:val="-2"/>
                <w:sz w:val="18"/>
              </w:rPr>
              <w:t>1,259</w:t>
            </w:r>
          </w:p>
        </w:tc>
        <w:tc>
          <w:tcPr>
            <w:tcW w:w="2678" w:type="dxa"/>
            <w:tcBorders>
              <w:left w:val="single" w:sz="4" w:space="0" w:color="000000"/>
            </w:tcBorders>
          </w:tcPr>
          <w:p>
            <w:pPr>
              <w:pStyle w:val="TableParagraph"/>
              <w:ind w:left="115"/>
              <w:rPr>
                <w:sz w:val="18"/>
              </w:rPr>
            </w:pPr>
            <w:r>
              <w:rPr>
                <w:spacing w:val="-5"/>
                <w:sz w:val="18"/>
              </w:rPr>
              <w:t>10</w:t>
            </w:r>
          </w:p>
        </w:tc>
      </w:tr>
      <w:tr>
        <w:trPr>
          <w:trHeight w:val="284" w:hRule="atLeast"/>
        </w:trPr>
        <w:tc>
          <w:tcPr>
            <w:tcW w:w="781" w:type="dxa"/>
            <w:tcBorders>
              <w:right w:val="single" w:sz="4" w:space="0" w:color="000000"/>
            </w:tcBorders>
          </w:tcPr>
          <w:p>
            <w:pPr>
              <w:pStyle w:val="TableParagraph"/>
              <w:ind w:right="106"/>
              <w:jc w:val="center"/>
              <w:rPr>
                <w:sz w:val="18"/>
              </w:rPr>
            </w:pPr>
            <w:r>
              <w:rPr>
                <w:spacing w:val="-2"/>
                <w:sz w:val="18"/>
              </w:rPr>
              <w:t>2000s</w:t>
            </w:r>
          </w:p>
        </w:tc>
        <w:tc>
          <w:tcPr>
            <w:tcW w:w="2799" w:type="dxa"/>
            <w:tcBorders>
              <w:left w:val="single" w:sz="4" w:space="0" w:color="000000"/>
              <w:right w:val="single" w:sz="4" w:space="0" w:color="000000"/>
            </w:tcBorders>
          </w:tcPr>
          <w:p>
            <w:pPr>
              <w:pStyle w:val="TableParagraph"/>
              <w:ind w:left="118"/>
              <w:rPr>
                <w:sz w:val="18"/>
              </w:rPr>
            </w:pPr>
            <w:r>
              <w:rPr>
                <w:spacing w:val="-2"/>
                <w:sz w:val="18"/>
              </w:rPr>
              <w:t>1,392</w:t>
            </w:r>
          </w:p>
        </w:tc>
        <w:tc>
          <w:tcPr>
            <w:tcW w:w="761" w:type="dxa"/>
            <w:tcBorders>
              <w:left w:val="single" w:sz="4" w:space="0" w:color="000000"/>
              <w:right w:val="single" w:sz="4" w:space="0" w:color="000000"/>
            </w:tcBorders>
          </w:tcPr>
          <w:p>
            <w:pPr>
              <w:pStyle w:val="TableParagraph"/>
              <w:ind w:left="117"/>
              <w:rPr>
                <w:sz w:val="18"/>
              </w:rPr>
            </w:pPr>
            <w:r>
              <w:rPr>
                <w:spacing w:val="-5"/>
                <w:sz w:val="18"/>
              </w:rPr>
              <w:t>10</w:t>
            </w:r>
          </w:p>
        </w:tc>
        <w:tc>
          <w:tcPr>
            <w:tcW w:w="1489" w:type="dxa"/>
            <w:tcBorders>
              <w:left w:val="single" w:sz="4" w:space="0" w:color="000000"/>
              <w:right w:val="single" w:sz="4" w:space="0" w:color="000000"/>
            </w:tcBorders>
          </w:tcPr>
          <w:p>
            <w:pPr>
              <w:pStyle w:val="TableParagraph"/>
              <w:ind w:left="116"/>
              <w:rPr>
                <w:sz w:val="18"/>
              </w:rPr>
            </w:pPr>
            <w:r>
              <w:rPr>
                <w:spacing w:val="-5"/>
                <w:sz w:val="18"/>
              </w:rPr>
              <w:t>906</w:t>
            </w:r>
          </w:p>
        </w:tc>
        <w:tc>
          <w:tcPr>
            <w:tcW w:w="2678" w:type="dxa"/>
            <w:tcBorders>
              <w:left w:val="single" w:sz="4" w:space="0" w:color="000000"/>
            </w:tcBorders>
          </w:tcPr>
          <w:p>
            <w:pPr>
              <w:pStyle w:val="TableParagraph"/>
              <w:ind w:left="115"/>
              <w:rPr>
                <w:sz w:val="18"/>
              </w:rPr>
            </w:pPr>
            <w:r>
              <w:rPr>
                <w:spacing w:val="-5"/>
                <w:sz w:val="18"/>
              </w:rPr>
              <w:t>10</w:t>
            </w:r>
          </w:p>
        </w:tc>
      </w:tr>
      <w:tr>
        <w:trPr>
          <w:trHeight w:val="284" w:hRule="atLeast"/>
        </w:trPr>
        <w:tc>
          <w:tcPr>
            <w:tcW w:w="781" w:type="dxa"/>
            <w:tcBorders>
              <w:right w:val="single" w:sz="4" w:space="0" w:color="000000"/>
            </w:tcBorders>
          </w:tcPr>
          <w:p>
            <w:pPr>
              <w:pStyle w:val="TableParagraph"/>
              <w:ind w:right="106"/>
              <w:jc w:val="center"/>
              <w:rPr>
                <w:sz w:val="18"/>
              </w:rPr>
            </w:pPr>
            <w:r>
              <w:rPr>
                <w:spacing w:val="-2"/>
                <w:sz w:val="18"/>
              </w:rPr>
              <w:t>2010s</w:t>
            </w:r>
          </w:p>
        </w:tc>
        <w:tc>
          <w:tcPr>
            <w:tcW w:w="2799" w:type="dxa"/>
            <w:tcBorders>
              <w:left w:val="single" w:sz="4" w:space="0" w:color="000000"/>
              <w:right w:val="single" w:sz="4" w:space="0" w:color="000000"/>
            </w:tcBorders>
          </w:tcPr>
          <w:p>
            <w:pPr>
              <w:pStyle w:val="TableParagraph"/>
              <w:ind w:left="118"/>
              <w:rPr>
                <w:sz w:val="18"/>
              </w:rPr>
            </w:pPr>
            <w:r>
              <w:rPr>
                <w:spacing w:val="-2"/>
                <w:sz w:val="18"/>
              </w:rPr>
              <w:t>1,308</w:t>
            </w:r>
          </w:p>
        </w:tc>
        <w:tc>
          <w:tcPr>
            <w:tcW w:w="761" w:type="dxa"/>
            <w:tcBorders>
              <w:left w:val="single" w:sz="4" w:space="0" w:color="000000"/>
              <w:right w:val="single" w:sz="4" w:space="0" w:color="000000"/>
            </w:tcBorders>
          </w:tcPr>
          <w:p>
            <w:pPr>
              <w:pStyle w:val="TableParagraph"/>
              <w:ind w:left="117"/>
              <w:rPr>
                <w:sz w:val="18"/>
              </w:rPr>
            </w:pPr>
            <w:r>
              <w:rPr>
                <w:spacing w:val="-5"/>
                <w:sz w:val="18"/>
              </w:rPr>
              <w:t>10</w:t>
            </w:r>
          </w:p>
        </w:tc>
        <w:tc>
          <w:tcPr>
            <w:tcW w:w="1489" w:type="dxa"/>
            <w:tcBorders>
              <w:left w:val="single" w:sz="4" w:space="0" w:color="000000"/>
              <w:right w:val="single" w:sz="4" w:space="0" w:color="000000"/>
            </w:tcBorders>
          </w:tcPr>
          <w:p>
            <w:pPr>
              <w:pStyle w:val="TableParagraph"/>
              <w:ind w:left="116"/>
              <w:rPr>
                <w:sz w:val="18"/>
              </w:rPr>
            </w:pPr>
            <w:r>
              <w:rPr>
                <w:spacing w:val="-5"/>
                <w:sz w:val="18"/>
              </w:rPr>
              <w:t>798</w:t>
            </w:r>
          </w:p>
        </w:tc>
        <w:tc>
          <w:tcPr>
            <w:tcW w:w="2678" w:type="dxa"/>
            <w:tcBorders>
              <w:left w:val="single" w:sz="4" w:space="0" w:color="000000"/>
            </w:tcBorders>
          </w:tcPr>
          <w:p>
            <w:pPr>
              <w:pStyle w:val="TableParagraph"/>
              <w:ind w:left="115"/>
              <w:rPr>
                <w:sz w:val="18"/>
              </w:rPr>
            </w:pPr>
            <w:r>
              <w:rPr>
                <w:spacing w:val="-5"/>
                <w:sz w:val="18"/>
              </w:rPr>
              <w:t>10</w:t>
            </w:r>
          </w:p>
        </w:tc>
      </w:tr>
      <w:tr>
        <w:trPr>
          <w:trHeight w:val="321" w:hRule="atLeast"/>
        </w:trPr>
        <w:tc>
          <w:tcPr>
            <w:tcW w:w="781" w:type="dxa"/>
            <w:tcBorders>
              <w:bottom w:val="single" w:sz="8" w:space="0" w:color="000000"/>
              <w:right w:val="single" w:sz="4" w:space="0" w:color="000000"/>
            </w:tcBorders>
          </w:tcPr>
          <w:p>
            <w:pPr>
              <w:pStyle w:val="TableParagraph"/>
              <w:ind w:right="106"/>
              <w:jc w:val="center"/>
              <w:rPr>
                <w:sz w:val="18"/>
              </w:rPr>
            </w:pPr>
            <w:r>
              <w:rPr>
                <w:spacing w:val="-2"/>
                <w:sz w:val="18"/>
              </w:rPr>
              <w:t>2020s</w:t>
            </w:r>
          </w:p>
        </w:tc>
        <w:tc>
          <w:tcPr>
            <w:tcW w:w="2799" w:type="dxa"/>
            <w:tcBorders>
              <w:left w:val="single" w:sz="4" w:space="0" w:color="000000"/>
              <w:bottom w:val="single" w:sz="8" w:space="0" w:color="000000"/>
              <w:right w:val="single" w:sz="4" w:space="0" w:color="000000"/>
            </w:tcBorders>
          </w:tcPr>
          <w:p>
            <w:pPr>
              <w:pStyle w:val="TableParagraph"/>
              <w:ind w:left="118"/>
              <w:rPr>
                <w:sz w:val="18"/>
              </w:rPr>
            </w:pPr>
            <w:r>
              <w:rPr>
                <w:spacing w:val="-2"/>
                <w:sz w:val="18"/>
              </w:rPr>
              <w:t>1,287</w:t>
            </w:r>
          </w:p>
        </w:tc>
        <w:tc>
          <w:tcPr>
            <w:tcW w:w="761" w:type="dxa"/>
            <w:tcBorders>
              <w:left w:val="single" w:sz="4" w:space="0" w:color="000000"/>
              <w:bottom w:val="single" w:sz="8" w:space="0" w:color="000000"/>
              <w:right w:val="single" w:sz="4" w:space="0" w:color="000000"/>
            </w:tcBorders>
          </w:tcPr>
          <w:p>
            <w:pPr>
              <w:pStyle w:val="TableParagraph"/>
              <w:ind w:left="117"/>
              <w:rPr>
                <w:sz w:val="18"/>
              </w:rPr>
            </w:pPr>
            <w:r>
              <w:rPr>
                <w:spacing w:val="-10"/>
                <w:sz w:val="18"/>
              </w:rPr>
              <w:t>3</w:t>
            </w:r>
          </w:p>
        </w:tc>
        <w:tc>
          <w:tcPr>
            <w:tcW w:w="1489" w:type="dxa"/>
            <w:tcBorders>
              <w:left w:val="single" w:sz="4" w:space="0" w:color="000000"/>
              <w:bottom w:val="single" w:sz="8" w:space="0" w:color="000000"/>
              <w:right w:val="single" w:sz="4" w:space="0" w:color="000000"/>
            </w:tcBorders>
          </w:tcPr>
          <w:p>
            <w:pPr>
              <w:pStyle w:val="TableParagraph"/>
              <w:ind w:left="116"/>
              <w:rPr>
                <w:sz w:val="18"/>
              </w:rPr>
            </w:pPr>
            <w:r>
              <w:rPr>
                <w:spacing w:val="-5"/>
                <w:sz w:val="18"/>
              </w:rPr>
              <w:t>871</w:t>
            </w:r>
          </w:p>
        </w:tc>
        <w:tc>
          <w:tcPr>
            <w:tcW w:w="2678" w:type="dxa"/>
            <w:tcBorders>
              <w:left w:val="single" w:sz="4" w:space="0" w:color="000000"/>
              <w:bottom w:val="single" w:sz="8" w:space="0" w:color="000000"/>
            </w:tcBorders>
          </w:tcPr>
          <w:p>
            <w:pPr>
              <w:pStyle w:val="TableParagraph"/>
              <w:ind w:left="115"/>
              <w:rPr>
                <w:sz w:val="18"/>
              </w:rPr>
            </w:pPr>
            <w:r>
              <w:rPr>
                <w:spacing w:val="-10"/>
                <w:sz w:val="18"/>
              </w:rPr>
              <w:t>2</w:t>
            </w:r>
          </w:p>
        </w:tc>
      </w:tr>
    </w:tbl>
    <w:p>
      <w:pPr>
        <w:pStyle w:val="BodyText"/>
        <w:spacing w:before="130"/>
        <w:rPr>
          <w:sz w:val="20"/>
        </w:rPr>
      </w:pPr>
    </w:p>
    <w:p>
      <w:pPr>
        <w:pStyle w:val="BodyText"/>
        <w:spacing w:line="312" w:lineRule="auto"/>
        <w:ind w:left="134" w:right="1519" w:firstLine="346"/>
        <w:jc w:val="right"/>
      </w:pPr>
      <w:r>
        <w:rPr/>
        <w:t>The</w:t>
      </w:r>
      <w:r>
        <w:rPr>
          <w:spacing w:val="-5"/>
        </w:rPr>
        <w:t> </w:t>
      </w:r>
      <w:r>
        <w:rPr/>
        <w:t>decade</w:t>
      </w:r>
      <w:r>
        <w:rPr>
          <w:spacing w:val="-5"/>
        </w:rPr>
        <w:t> </w:t>
      </w:r>
      <w:r>
        <w:rPr/>
        <w:t>table</w:t>
      </w:r>
      <w:r>
        <w:rPr>
          <w:spacing w:val="-5"/>
        </w:rPr>
        <w:t> </w:t>
      </w:r>
      <w:r>
        <w:rPr/>
        <w:t>makes</w:t>
      </w:r>
      <w:r>
        <w:rPr>
          <w:spacing w:val="-5"/>
        </w:rPr>
        <w:t> </w:t>
      </w:r>
      <w:r>
        <w:rPr/>
        <w:t>the</w:t>
      </w:r>
      <w:r>
        <w:rPr>
          <w:spacing w:val="-5"/>
        </w:rPr>
        <w:t> </w:t>
      </w:r>
      <w:r>
        <w:rPr/>
        <w:t>structural</w:t>
      </w:r>
      <w:r>
        <w:rPr>
          <w:spacing w:val="-5"/>
        </w:rPr>
        <w:t> </w:t>
      </w:r>
      <w:r>
        <w:rPr/>
        <w:t>stories</w:t>
      </w:r>
      <w:r>
        <w:rPr>
          <w:spacing w:val="-5"/>
        </w:rPr>
        <w:t> </w:t>
      </w:r>
      <w:r>
        <w:rPr/>
        <w:t>of</w:t>
      </w:r>
      <w:r>
        <w:rPr>
          <w:spacing w:val="-5"/>
        </w:rPr>
        <w:t> </w:t>
      </w:r>
      <w:r>
        <w:rPr/>
        <w:t>both</w:t>
      </w:r>
      <w:r>
        <w:rPr>
          <w:spacing w:val="-5"/>
        </w:rPr>
        <w:t> </w:t>
      </w:r>
      <w:r>
        <w:rPr/>
        <w:t>regions</w:t>
      </w:r>
      <w:r>
        <w:rPr>
          <w:spacing w:val="-5"/>
        </w:rPr>
        <w:t> </w:t>
      </w:r>
      <w:r>
        <w:rPr/>
        <w:t>clearly</w:t>
      </w:r>
      <w:r>
        <w:rPr>
          <w:spacing w:val="-5"/>
        </w:rPr>
        <w:t> </w:t>
      </w:r>
      <w:r>
        <w:rPr/>
        <w:t>visible. RDD</w:t>
      </w:r>
      <w:r>
        <w:rPr>
          <w:spacing w:val="-5"/>
        </w:rPr>
        <w:t> </w:t>
      </w:r>
      <w:r>
        <w:rPr/>
        <w:t>production roughly</w:t>
      </w:r>
      <w:r>
        <w:rPr>
          <w:spacing w:val="-7"/>
        </w:rPr>
        <w:t> </w:t>
      </w:r>
      <w:r>
        <w:rPr/>
        <w:t>doubled</w:t>
      </w:r>
      <w:r>
        <w:rPr>
          <w:spacing w:val="-7"/>
        </w:rPr>
        <w:t> </w:t>
      </w:r>
      <w:r>
        <w:rPr/>
        <w:t>between</w:t>
      </w:r>
      <w:r>
        <w:rPr>
          <w:spacing w:val="-7"/>
        </w:rPr>
        <w:t> </w:t>
      </w:r>
      <w:r>
        <w:rPr/>
        <w:t>the</w:t>
      </w:r>
      <w:r>
        <w:rPr>
          <w:spacing w:val="-7"/>
        </w:rPr>
        <w:t> </w:t>
      </w:r>
      <w:r>
        <w:rPr/>
        <w:t>1930s–40s</w:t>
      </w:r>
      <w:r>
        <w:rPr>
          <w:spacing w:val="-7"/>
        </w:rPr>
        <w:t> </w:t>
      </w:r>
      <w:r>
        <w:rPr/>
        <w:t>(765–767</w:t>
      </w:r>
      <w:r>
        <w:rPr>
          <w:spacing w:val="-7"/>
        </w:rPr>
        <w:t> </w:t>
      </w:r>
      <w:r>
        <w:rPr/>
        <w:t>mhl)</w:t>
      </w:r>
      <w:r>
        <w:rPr>
          <w:spacing w:val="-7"/>
        </w:rPr>
        <w:t> </w:t>
      </w:r>
      <w:r>
        <w:rPr/>
        <w:t>and</w:t>
      </w:r>
      <w:r>
        <w:rPr>
          <w:spacing w:val="-7"/>
        </w:rPr>
        <w:t> </w:t>
      </w:r>
      <w:r>
        <w:rPr/>
        <w:t>the</w:t>
      </w:r>
      <w:r>
        <w:rPr>
          <w:spacing w:val="-7"/>
        </w:rPr>
        <w:t> </w:t>
      </w:r>
      <w:r>
        <w:rPr/>
        <w:t>2000s–2010s</w:t>
      </w:r>
      <w:r>
        <w:rPr>
          <w:spacing w:val="-7"/>
        </w:rPr>
        <w:t> </w:t>
      </w:r>
      <w:r>
        <w:rPr/>
        <w:t>(1,300–1,400</w:t>
      </w:r>
      <w:r>
        <w:rPr>
          <w:spacing w:val="-7"/>
        </w:rPr>
        <w:t> </w:t>
      </w:r>
      <w:r>
        <w:rPr/>
        <w:t>mhl), </w:t>
      </w:r>
      <w:r>
        <w:rPr>
          <w:spacing w:val="-4"/>
        </w:rPr>
        <w:t>with</w:t>
      </w:r>
      <w:r>
        <w:rPr>
          <w:spacing w:val="-7"/>
        </w:rPr>
        <w:t> </w:t>
      </w:r>
      <w:r>
        <w:rPr>
          <w:spacing w:val="-4"/>
        </w:rPr>
        <w:t>the</w:t>
      </w:r>
      <w:r>
        <w:rPr>
          <w:spacing w:val="-7"/>
        </w:rPr>
        <w:t> </w:t>
      </w:r>
      <w:r>
        <w:rPr>
          <w:spacing w:val="-4"/>
        </w:rPr>
        <w:t>most</w:t>
      </w:r>
      <w:r>
        <w:rPr>
          <w:spacing w:val="-7"/>
        </w:rPr>
        <w:t> </w:t>
      </w:r>
      <w:r>
        <w:rPr>
          <w:spacing w:val="-4"/>
        </w:rPr>
        <w:t>rapid</w:t>
      </w:r>
      <w:r>
        <w:rPr>
          <w:spacing w:val="-7"/>
        </w:rPr>
        <w:t> </w:t>
      </w:r>
      <w:r>
        <w:rPr>
          <w:spacing w:val="-4"/>
        </w:rPr>
        <w:t>growth</w:t>
      </w:r>
      <w:r>
        <w:rPr>
          <w:spacing w:val="-7"/>
        </w:rPr>
        <w:t> </w:t>
      </w:r>
      <w:r>
        <w:rPr>
          <w:spacing w:val="-4"/>
        </w:rPr>
        <w:t>occurring</w:t>
      </w:r>
      <w:r>
        <w:rPr>
          <w:spacing w:val="-7"/>
        </w:rPr>
        <w:t> </w:t>
      </w:r>
      <w:r>
        <w:rPr>
          <w:spacing w:val="-4"/>
        </w:rPr>
        <w:t>in</w:t>
      </w:r>
      <w:r>
        <w:rPr>
          <w:spacing w:val="-7"/>
        </w:rPr>
        <w:t> </w:t>
      </w:r>
      <w:r>
        <w:rPr>
          <w:spacing w:val="-4"/>
        </w:rPr>
        <w:t>the</w:t>
      </w:r>
      <w:r>
        <w:rPr>
          <w:spacing w:val="-7"/>
        </w:rPr>
        <w:t> </w:t>
      </w:r>
      <w:r>
        <w:rPr>
          <w:spacing w:val="-4"/>
        </w:rPr>
        <w:t>1950s–60s</w:t>
      </w:r>
      <w:r>
        <w:rPr>
          <w:spacing w:val="-7"/>
        </w:rPr>
        <w:t> </w:t>
      </w:r>
      <w:r>
        <w:rPr>
          <w:spacing w:val="-4"/>
        </w:rPr>
        <w:t>and</w:t>
      </w:r>
      <w:r>
        <w:rPr>
          <w:spacing w:val="-7"/>
        </w:rPr>
        <w:t> </w:t>
      </w:r>
      <w:r>
        <w:rPr>
          <w:spacing w:val="-4"/>
        </w:rPr>
        <w:t>again</w:t>
      </w:r>
      <w:r>
        <w:rPr>
          <w:spacing w:val="-7"/>
        </w:rPr>
        <w:t> </w:t>
      </w:r>
      <w:r>
        <w:rPr>
          <w:spacing w:val="-4"/>
        </w:rPr>
        <w:t>in</w:t>
      </w:r>
      <w:r>
        <w:rPr>
          <w:spacing w:val="-7"/>
        </w:rPr>
        <w:t> </w:t>
      </w:r>
      <w:r>
        <w:rPr>
          <w:spacing w:val="-4"/>
        </w:rPr>
        <w:t>the</w:t>
      </w:r>
      <w:r>
        <w:rPr>
          <w:spacing w:val="-7"/>
        </w:rPr>
        <w:t> </w:t>
      </w:r>
      <w:r>
        <w:rPr>
          <w:spacing w:val="-4"/>
        </w:rPr>
        <w:t>1990s–2000s.</w:t>
      </w:r>
      <w:r>
        <w:rPr>
          <w:spacing w:val="16"/>
        </w:rPr>
        <w:t> </w:t>
      </w:r>
      <w:r>
        <w:rPr>
          <w:spacing w:val="-4"/>
        </w:rPr>
        <w:t>The</w:t>
      </w:r>
      <w:r>
        <w:rPr>
          <w:spacing w:val="-7"/>
        </w:rPr>
        <w:t> </w:t>
      </w:r>
      <w:r>
        <w:rPr>
          <w:spacing w:val="-4"/>
        </w:rPr>
        <w:t>slowdown </w:t>
      </w:r>
      <w:r>
        <w:rPr/>
        <w:t>in</w:t>
      </w:r>
      <w:r>
        <w:rPr>
          <w:spacing w:val="-9"/>
        </w:rPr>
        <w:t> </w:t>
      </w:r>
      <w:r>
        <w:rPr/>
        <w:t>the</w:t>
      </w:r>
      <w:r>
        <w:rPr>
          <w:spacing w:val="-9"/>
        </w:rPr>
        <w:t> </w:t>
      </w:r>
      <w:r>
        <w:rPr/>
        <w:t>2010s</w:t>
      </w:r>
      <w:r>
        <w:rPr>
          <w:spacing w:val="-9"/>
        </w:rPr>
        <w:t> </w:t>
      </w:r>
      <w:r>
        <w:rPr/>
        <w:t>is</w:t>
      </w:r>
      <w:r>
        <w:rPr>
          <w:spacing w:val="-9"/>
        </w:rPr>
        <w:t> </w:t>
      </w:r>
      <w:r>
        <w:rPr/>
        <w:t>consistent</w:t>
      </w:r>
      <w:r>
        <w:rPr>
          <w:spacing w:val="-9"/>
        </w:rPr>
        <w:t> </w:t>
      </w:r>
      <w:r>
        <w:rPr/>
        <w:t>with</w:t>
      </w:r>
      <w:r>
        <w:rPr>
          <w:spacing w:val="-9"/>
        </w:rPr>
        <w:t> </w:t>
      </w:r>
      <w:r>
        <w:rPr/>
        <w:t>the</w:t>
      </w:r>
      <w:r>
        <w:rPr>
          <w:spacing w:val="-9"/>
        </w:rPr>
        <w:t> </w:t>
      </w:r>
      <w:r>
        <w:rPr/>
        <w:t>maturation</w:t>
      </w:r>
      <w:r>
        <w:rPr>
          <w:spacing w:val="-9"/>
        </w:rPr>
        <w:t> </w:t>
      </w:r>
      <w:r>
        <w:rPr/>
        <w:t>of</w:t>
      </w:r>
      <w:r>
        <w:rPr>
          <w:spacing w:val="-9"/>
        </w:rPr>
        <w:t> </w:t>
      </w:r>
      <w:r>
        <w:rPr/>
        <w:t>the</w:t>
      </w:r>
      <w:r>
        <w:rPr>
          <w:spacing w:val="-9"/>
        </w:rPr>
        <w:t> </w:t>
      </w:r>
      <w:r>
        <w:rPr/>
        <w:t>Douro</w:t>
      </w:r>
      <w:r>
        <w:rPr>
          <w:spacing w:val="-9"/>
        </w:rPr>
        <w:t> </w:t>
      </w:r>
      <w:r>
        <w:rPr/>
        <w:t>DOC</w:t>
      </w:r>
      <w:r>
        <w:rPr>
          <w:spacing w:val="-9"/>
        </w:rPr>
        <w:t> </w:t>
      </w:r>
      <w:r>
        <w:rPr/>
        <w:t>expansion</w:t>
      </w:r>
      <w:r>
        <w:rPr>
          <w:spacing w:val="-9"/>
        </w:rPr>
        <w:t> </w:t>
      </w:r>
      <w:r>
        <w:rPr/>
        <w:t>and</w:t>
      </w:r>
      <w:r>
        <w:rPr>
          <w:spacing w:val="-9"/>
        </w:rPr>
        <w:t> </w:t>
      </w:r>
      <w:r>
        <w:rPr/>
        <w:t>the</w:t>
      </w:r>
      <w:r>
        <w:rPr>
          <w:spacing w:val="-9"/>
        </w:rPr>
        <w:t> </w:t>
      </w:r>
      <w:r>
        <w:rPr/>
        <w:t>administrative constraints of the Port benefício quota system.</w:t>
      </w:r>
      <w:r>
        <w:rPr>
          <w:spacing w:val="30"/>
        </w:rPr>
        <w:t> </w:t>
      </w:r>
      <w:r>
        <w:rPr/>
        <w:t>For RVV, the peak decade was the 1960s (2,331 mhl), with a sharp decline beginning in the 1980s (1,638 mhl) continuing steeply into the 2000s (906</w:t>
      </w:r>
      <w:r>
        <w:rPr>
          <w:spacing w:val="-7"/>
        </w:rPr>
        <w:t> </w:t>
      </w:r>
      <w:r>
        <w:rPr/>
        <w:t>mhl),</w:t>
      </w:r>
      <w:r>
        <w:rPr>
          <w:spacing w:val="-7"/>
        </w:rPr>
        <w:t> </w:t>
      </w:r>
      <w:r>
        <w:rPr/>
        <w:t>exactly</w:t>
      </w:r>
      <w:r>
        <w:rPr>
          <w:spacing w:val="-7"/>
        </w:rPr>
        <w:t> </w:t>
      </w:r>
      <w:r>
        <w:rPr/>
        <w:t>coinciding</w:t>
      </w:r>
      <w:r>
        <w:rPr>
          <w:spacing w:val="-7"/>
        </w:rPr>
        <w:t> </w:t>
      </w:r>
      <w:r>
        <w:rPr/>
        <w:t>with</w:t>
      </w:r>
      <w:r>
        <w:rPr>
          <w:spacing w:val="-7"/>
        </w:rPr>
        <w:t> </w:t>
      </w:r>
      <w:r>
        <w:rPr/>
        <w:t>Portugal’s</w:t>
      </w:r>
      <w:r>
        <w:rPr>
          <w:spacing w:val="-7"/>
        </w:rPr>
        <w:t> </w:t>
      </w:r>
      <w:r>
        <w:rPr/>
        <w:t>EU</w:t>
      </w:r>
      <w:r>
        <w:rPr>
          <w:spacing w:val="-7"/>
        </w:rPr>
        <w:t> </w:t>
      </w:r>
      <w:r>
        <w:rPr/>
        <w:t>accession</w:t>
      </w:r>
      <w:r>
        <w:rPr>
          <w:spacing w:val="-7"/>
        </w:rPr>
        <w:t> </w:t>
      </w:r>
      <w:r>
        <w:rPr/>
        <w:t>(1986)</w:t>
      </w:r>
      <w:r>
        <w:rPr>
          <w:spacing w:val="-7"/>
        </w:rPr>
        <w:t> </w:t>
      </w:r>
      <w:r>
        <w:rPr/>
        <w:t>and</w:t>
      </w:r>
      <w:r>
        <w:rPr>
          <w:spacing w:val="-7"/>
        </w:rPr>
        <w:t> </w:t>
      </w:r>
      <w:r>
        <w:rPr/>
        <w:t>the</w:t>
      </w:r>
      <w:r>
        <w:rPr>
          <w:spacing w:val="-7"/>
        </w:rPr>
        <w:t> </w:t>
      </w:r>
      <w:r>
        <w:rPr/>
        <w:t>structural</w:t>
      </w:r>
      <w:r>
        <w:rPr>
          <w:spacing w:val="-7"/>
        </w:rPr>
        <w:t> </w:t>
      </w:r>
      <w:r>
        <w:rPr/>
        <w:t>reforms</w:t>
      </w:r>
      <w:r>
        <w:rPr>
          <w:spacing w:val="-7"/>
        </w:rPr>
        <w:t> </w:t>
      </w:r>
      <w:r>
        <w:rPr/>
        <w:t>that followed. By</w:t>
      </w:r>
      <w:r>
        <w:rPr>
          <w:spacing w:val="-6"/>
        </w:rPr>
        <w:t> </w:t>
      </w:r>
      <w:r>
        <w:rPr/>
        <w:t>the</w:t>
      </w:r>
      <w:r>
        <w:rPr>
          <w:spacing w:val="-6"/>
        </w:rPr>
        <w:t> </w:t>
      </w:r>
      <w:r>
        <w:rPr/>
        <w:t>2010s,</w:t>
      </w:r>
      <w:r>
        <w:rPr>
          <w:spacing w:val="-6"/>
        </w:rPr>
        <w:t> </w:t>
      </w:r>
      <w:r>
        <w:rPr/>
        <w:t>RVV</w:t>
      </w:r>
      <w:r>
        <w:rPr>
          <w:spacing w:val="-6"/>
        </w:rPr>
        <w:t> </w:t>
      </w:r>
      <w:r>
        <w:rPr/>
        <w:t>production</w:t>
      </w:r>
      <w:r>
        <w:rPr>
          <w:spacing w:val="-6"/>
        </w:rPr>
        <w:t> </w:t>
      </w:r>
      <w:r>
        <w:rPr/>
        <w:t>had</w:t>
      </w:r>
      <w:r>
        <w:rPr>
          <w:spacing w:val="-6"/>
        </w:rPr>
        <w:t> </w:t>
      </w:r>
      <w:r>
        <w:rPr/>
        <w:t>fallen</w:t>
      </w:r>
      <w:r>
        <w:rPr>
          <w:spacing w:val="-6"/>
        </w:rPr>
        <w:t> </w:t>
      </w:r>
      <w:r>
        <w:rPr/>
        <w:t>to</w:t>
      </w:r>
      <w:r>
        <w:rPr>
          <w:spacing w:val="-6"/>
        </w:rPr>
        <w:t> </w:t>
      </w:r>
      <w:r>
        <w:rPr/>
        <w:t>approximately</w:t>
      </w:r>
      <w:r>
        <w:rPr>
          <w:spacing w:val="-6"/>
        </w:rPr>
        <w:t> </w:t>
      </w:r>
      <w:r>
        <w:rPr/>
        <w:t>one-third</w:t>
      </w:r>
      <w:r>
        <w:rPr>
          <w:spacing w:val="-6"/>
        </w:rPr>
        <w:t> </w:t>
      </w:r>
      <w:r>
        <w:rPr/>
        <w:t>of</w:t>
      </w:r>
      <w:r>
        <w:rPr>
          <w:spacing w:val="-6"/>
        </w:rPr>
        <w:t> </w:t>
      </w:r>
      <w:r>
        <w:rPr/>
        <w:t>its</w:t>
      </w:r>
      <w:r>
        <w:rPr>
          <w:spacing w:val="-6"/>
        </w:rPr>
        <w:t> </w:t>
      </w:r>
      <w:r>
        <w:rPr/>
        <w:t>1960s</w:t>
      </w:r>
      <w:r>
        <w:rPr>
          <w:spacing w:val="-6"/>
        </w:rPr>
        <w:t> </w:t>
      </w:r>
      <w:r>
        <w:rPr/>
        <w:t>peak. These structural trajectories directly explain the era confound described throughout the thesis.</w:t>
      </w:r>
    </w:p>
    <w:p>
      <w:pPr>
        <w:pStyle w:val="BodyText"/>
        <w:spacing w:line="312" w:lineRule="auto"/>
        <w:ind w:left="142" w:right="1530"/>
        <w:jc w:val="both"/>
      </w:pPr>
      <w:r>
        <w:rPr>
          <w:spacing w:val="-2"/>
        </w:rPr>
        <w:t>In</w:t>
      </w:r>
      <w:r>
        <w:rPr>
          <w:spacing w:val="-12"/>
        </w:rPr>
        <w:t> </w:t>
      </w:r>
      <w:r>
        <w:rPr>
          <w:spacing w:val="-2"/>
        </w:rPr>
        <w:t>both</w:t>
      </w:r>
      <w:r>
        <w:rPr>
          <w:spacing w:val="-12"/>
        </w:rPr>
        <w:t> </w:t>
      </w:r>
      <w:r>
        <w:rPr>
          <w:spacing w:val="-2"/>
        </w:rPr>
        <w:t>regions,</w:t>
      </w:r>
      <w:r>
        <w:rPr>
          <w:spacing w:val="-12"/>
        </w:rPr>
        <w:t> </w:t>
      </w:r>
      <w:r>
        <w:rPr>
          <w:spacing w:val="-2"/>
        </w:rPr>
        <w:t>the</w:t>
      </w:r>
      <w:r>
        <w:rPr>
          <w:spacing w:val="-11"/>
        </w:rPr>
        <w:t> </w:t>
      </w:r>
      <w:r>
        <w:rPr>
          <w:spacing w:val="-2"/>
        </w:rPr>
        <w:t>linear</w:t>
      </w:r>
      <w:r>
        <w:rPr>
          <w:spacing w:val="-12"/>
        </w:rPr>
        <w:t> </w:t>
      </w:r>
      <w:r>
        <w:rPr>
          <w:spacing w:val="-2"/>
        </w:rPr>
        <w:t>trend</w:t>
      </w:r>
      <w:r>
        <w:rPr>
          <w:spacing w:val="-12"/>
        </w:rPr>
        <w:t> </w:t>
      </w:r>
      <w:r>
        <w:rPr>
          <w:spacing w:val="-2"/>
        </w:rPr>
        <w:t>does</w:t>
      </w:r>
      <w:r>
        <w:rPr>
          <w:spacing w:val="-12"/>
        </w:rPr>
        <w:t> </w:t>
      </w:r>
      <w:r>
        <w:rPr>
          <w:spacing w:val="-2"/>
        </w:rPr>
        <w:t>not</w:t>
      </w:r>
      <w:r>
        <w:rPr>
          <w:spacing w:val="-11"/>
        </w:rPr>
        <w:t> </w:t>
      </w:r>
      <w:r>
        <w:rPr>
          <w:spacing w:val="-2"/>
        </w:rPr>
        <w:t>fully</w:t>
      </w:r>
      <w:r>
        <w:rPr>
          <w:spacing w:val="-12"/>
        </w:rPr>
        <w:t> </w:t>
      </w:r>
      <w:r>
        <w:rPr>
          <w:spacing w:val="-2"/>
        </w:rPr>
        <w:t>capture</w:t>
      </w:r>
      <w:r>
        <w:rPr>
          <w:spacing w:val="-12"/>
        </w:rPr>
        <w:t> </w:t>
      </w:r>
      <w:r>
        <w:rPr>
          <w:spacing w:val="-2"/>
        </w:rPr>
        <w:t>the</w:t>
      </w:r>
      <w:r>
        <w:rPr>
          <w:spacing w:val="-12"/>
        </w:rPr>
        <w:t> </w:t>
      </w:r>
      <w:r>
        <w:rPr>
          <w:spacing w:val="-2"/>
        </w:rPr>
        <w:t>non-linear</w:t>
      </w:r>
      <w:r>
        <w:rPr>
          <w:spacing w:val="-11"/>
        </w:rPr>
        <w:t> </w:t>
      </w:r>
      <w:r>
        <w:rPr>
          <w:spacing w:val="-2"/>
        </w:rPr>
        <w:t>shape</w:t>
      </w:r>
      <w:r>
        <w:rPr>
          <w:spacing w:val="-12"/>
        </w:rPr>
        <w:t> </w:t>
      </w:r>
      <w:r>
        <w:rPr>
          <w:spacing w:val="-2"/>
        </w:rPr>
        <w:t>of</w:t>
      </w:r>
      <w:r>
        <w:rPr>
          <w:spacing w:val="-12"/>
        </w:rPr>
        <w:t> </w:t>
      </w:r>
      <w:r>
        <w:rPr>
          <w:spacing w:val="-2"/>
        </w:rPr>
        <w:t>the</w:t>
      </w:r>
      <w:r>
        <w:rPr>
          <w:spacing w:val="-12"/>
        </w:rPr>
        <w:t> </w:t>
      </w:r>
      <w:r>
        <w:rPr>
          <w:spacing w:val="-2"/>
        </w:rPr>
        <w:t>production</w:t>
      </w:r>
      <w:r>
        <w:rPr>
          <w:spacing w:val="-11"/>
        </w:rPr>
        <w:t> </w:t>
      </w:r>
      <w:r>
        <w:rPr>
          <w:spacing w:val="-2"/>
        </w:rPr>
        <w:t>history, </w:t>
      </w:r>
      <w:r>
        <w:rPr/>
        <w:t>particularly the RVV plateau in the 1970s (2,229 mhl,</w:t>
      </w:r>
      <w:r>
        <w:rPr>
          <w:spacing w:val="22"/>
        </w:rPr>
        <w:t> </w:t>
      </w:r>
      <w:r>
        <w:rPr/>
        <w:t>barely below the 1960s peak) followed</w:t>
      </w:r>
      <w:r>
        <w:rPr>
          <w:spacing w:val="80"/>
        </w:rPr>
        <w:t> </w:t>
      </w:r>
      <w:r>
        <w:rPr/>
        <w:t>by a sharp break in the 1980s.</w:t>
      </w:r>
      <w:r>
        <w:rPr>
          <w:spacing w:val="40"/>
        </w:rPr>
        <w:t> </w:t>
      </w:r>
      <w:r>
        <w:rPr/>
        <w:t>This structural break is the primary reason LOESS detrending performs</w:t>
      </w:r>
      <w:r>
        <w:rPr>
          <w:spacing w:val="-13"/>
        </w:rPr>
        <w:t> </w:t>
      </w:r>
      <w:r>
        <w:rPr/>
        <w:t>better</w:t>
      </w:r>
      <w:r>
        <w:rPr>
          <w:spacing w:val="-13"/>
        </w:rPr>
        <w:t> </w:t>
      </w:r>
      <w:r>
        <w:rPr/>
        <w:t>than</w:t>
      </w:r>
      <w:r>
        <w:rPr>
          <w:spacing w:val="-13"/>
        </w:rPr>
        <w:t> </w:t>
      </w:r>
      <w:r>
        <w:rPr/>
        <w:t>linear</w:t>
      </w:r>
      <w:r>
        <w:rPr>
          <w:spacing w:val="-13"/>
        </w:rPr>
        <w:t> </w:t>
      </w:r>
      <w:r>
        <w:rPr/>
        <w:t>detrending</w:t>
      </w:r>
      <w:r>
        <w:rPr>
          <w:spacing w:val="-13"/>
        </w:rPr>
        <w:t> </w:t>
      </w:r>
      <w:r>
        <w:rPr/>
        <w:t>for</w:t>
      </w:r>
      <w:r>
        <w:rPr>
          <w:spacing w:val="-13"/>
        </w:rPr>
        <w:t> </w:t>
      </w:r>
      <w:r>
        <w:rPr/>
        <w:t>RVV</w:t>
      </w:r>
      <w:r>
        <w:rPr>
          <w:spacing w:val="-13"/>
        </w:rPr>
        <w:t> </w:t>
      </w:r>
      <w:r>
        <w:rPr/>
        <w:t>(Section</w:t>
      </w:r>
      <w:r>
        <w:rPr>
          <w:spacing w:val="-13"/>
        </w:rPr>
        <w:t> </w:t>
      </w:r>
      <w:hyperlink w:history="true" w:anchor="_bookmark113">
        <w:r>
          <w:rPr>
            <w:color w:val="8B2C18"/>
          </w:rPr>
          <w:t>5.5</w:t>
        </w:r>
      </w:hyperlink>
      <w:r>
        <w:rPr/>
        <w:t>):</w:t>
      </w:r>
      <w:r>
        <w:rPr>
          <w:spacing w:val="-3"/>
        </w:rPr>
        <w:t> </w:t>
      </w:r>
      <w:r>
        <w:rPr/>
        <w:t>the</w:t>
      </w:r>
      <w:r>
        <w:rPr>
          <w:spacing w:val="-13"/>
        </w:rPr>
        <w:t> </w:t>
      </w:r>
      <w:r>
        <w:rPr/>
        <w:t>flexible</w:t>
      </w:r>
      <w:r>
        <w:rPr>
          <w:spacing w:val="-13"/>
        </w:rPr>
        <w:t> </w:t>
      </w:r>
      <w:r>
        <w:rPr/>
        <w:t>LOESS</w:t>
      </w:r>
      <w:r>
        <w:rPr>
          <w:spacing w:val="-13"/>
        </w:rPr>
        <w:t> </w:t>
      </w:r>
      <w:r>
        <w:rPr/>
        <w:t>curve</w:t>
      </w:r>
      <w:r>
        <w:rPr>
          <w:spacing w:val="-13"/>
        </w:rPr>
        <w:t> </w:t>
      </w:r>
      <w:r>
        <w:rPr/>
        <w:t>can</w:t>
      </w:r>
      <w:r>
        <w:rPr>
          <w:spacing w:val="-13"/>
        </w:rPr>
        <w:t> </w:t>
      </w:r>
      <w:r>
        <w:rPr/>
        <w:t>fit</w:t>
      </w:r>
      <w:r>
        <w:rPr>
          <w:spacing w:val="-13"/>
        </w:rPr>
        <w:t> </w:t>
      </w:r>
      <w:r>
        <w:rPr/>
        <w:t>the plateau-then-collapse</w:t>
      </w:r>
      <w:r>
        <w:rPr>
          <w:spacing w:val="-16"/>
        </w:rPr>
        <w:t> </w:t>
      </w:r>
      <w:r>
        <w:rPr/>
        <w:t>shape,</w:t>
      </w:r>
      <w:r>
        <w:rPr>
          <w:spacing w:val="-14"/>
        </w:rPr>
        <w:t> </w:t>
      </w:r>
      <w:r>
        <w:rPr/>
        <w:t>while</w:t>
      </w:r>
      <w:r>
        <w:rPr>
          <w:spacing w:val="-14"/>
        </w:rPr>
        <w:t> </w:t>
      </w:r>
      <w:r>
        <w:rPr/>
        <w:t>the</w:t>
      </w:r>
      <w:r>
        <w:rPr>
          <w:spacing w:val="-13"/>
        </w:rPr>
        <w:t> </w:t>
      </w:r>
      <w:r>
        <w:rPr/>
        <w:t>linear</w:t>
      </w:r>
      <w:r>
        <w:rPr>
          <w:spacing w:val="-14"/>
        </w:rPr>
        <w:t> </w:t>
      </w:r>
      <w:r>
        <w:rPr/>
        <w:t>trend</w:t>
      </w:r>
      <w:r>
        <w:rPr>
          <w:spacing w:val="-14"/>
        </w:rPr>
        <w:t> </w:t>
      </w:r>
      <w:r>
        <w:rPr/>
        <w:t>averages</w:t>
      </w:r>
      <w:r>
        <w:rPr>
          <w:spacing w:val="-14"/>
        </w:rPr>
        <w:t> </w:t>
      </w:r>
      <w:r>
        <w:rPr/>
        <w:t>over</w:t>
      </w:r>
      <w:r>
        <w:rPr>
          <w:spacing w:val="-13"/>
        </w:rPr>
        <w:t> </w:t>
      </w:r>
      <w:r>
        <w:rPr/>
        <w:t>it,</w:t>
      </w:r>
      <w:r>
        <w:rPr>
          <w:spacing w:val="-14"/>
        </w:rPr>
        <w:t> </w:t>
      </w:r>
      <w:r>
        <w:rPr/>
        <w:t>leaving</w:t>
      </w:r>
      <w:r>
        <w:rPr>
          <w:spacing w:val="-14"/>
        </w:rPr>
        <w:t> </w:t>
      </w:r>
      <w:r>
        <w:rPr/>
        <w:t>systematic</w:t>
      </w:r>
      <w:r>
        <w:rPr>
          <w:spacing w:val="-14"/>
        </w:rPr>
        <w:t> </w:t>
      </w:r>
      <w:r>
        <w:rPr/>
        <w:t>residuals</w:t>
      </w:r>
      <w:r>
        <w:rPr>
          <w:spacing w:val="-13"/>
        </w:rPr>
        <w:t> </w:t>
      </w:r>
      <w:r>
        <w:rPr/>
        <w:t>in the 1970s.</w:t>
      </w:r>
    </w:p>
    <w:p>
      <w:pPr>
        <w:pStyle w:val="BodyText"/>
        <w:spacing w:before="130"/>
      </w:pPr>
    </w:p>
    <w:p>
      <w:pPr>
        <w:pStyle w:val="Heading2"/>
        <w:numPr>
          <w:ilvl w:val="1"/>
          <w:numId w:val="41"/>
        </w:numPr>
        <w:tabs>
          <w:tab w:pos="835" w:val="left" w:leader="none"/>
        </w:tabs>
        <w:spacing w:line="240" w:lineRule="auto" w:before="0" w:after="0"/>
        <w:ind w:left="835" w:right="0" w:hanging="693"/>
        <w:jc w:val="left"/>
      </w:pPr>
      <w:bookmarkStart w:name="B.2 Phenological Timing: Trends and Vari" w:id="285"/>
      <w:bookmarkEnd w:id="285"/>
      <w:r>
        <w:rPr>
          <w:b w:val="0"/>
        </w:rPr>
      </w:r>
      <w:bookmarkStart w:name="_bookmark168" w:id="286"/>
      <w:bookmarkEnd w:id="286"/>
      <w:r>
        <w:rPr>
          <w:b w:val="0"/>
        </w:rPr>
      </w:r>
      <w:r>
        <w:rPr/>
        <w:t>Phenological</w:t>
      </w:r>
      <w:r>
        <w:rPr>
          <w:spacing w:val="10"/>
        </w:rPr>
        <w:t> </w:t>
      </w:r>
      <w:r>
        <w:rPr/>
        <w:t>Timing:</w:t>
      </w:r>
      <w:r>
        <w:rPr>
          <w:spacing w:val="31"/>
        </w:rPr>
        <w:t> </w:t>
      </w:r>
      <w:r>
        <w:rPr/>
        <w:t>Trends</w:t>
      </w:r>
      <w:r>
        <w:rPr>
          <w:spacing w:val="11"/>
        </w:rPr>
        <w:t> </w:t>
      </w:r>
      <w:r>
        <w:rPr/>
        <w:t>and</w:t>
      </w:r>
      <w:r>
        <w:rPr>
          <w:spacing w:val="10"/>
        </w:rPr>
        <w:t> </w:t>
      </w:r>
      <w:r>
        <w:rPr>
          <w:spacing w:val="-2"/>
        </w:rPr>
        <w:t>Variability</w:t>
      </w:r>
    </w:p>
    <w:p>
      <w:pPr>
        <w:pStyle w:val="BodyText"/>
        <w:spacing w:line="312" w:lineRule="auto" w:before="289"/>
        <w:ind w:left="136" w:right="1557" w:hanging="2"/>
        <w:jc w:val="both"/>
      </w:pPr>
      <w:r>
        <w:rPr/>
        <w:t>The phenological dates used as anchors for feature engineering are themselves variable </w:t>
      </w:r>
      <w:r>
        <w:rPr/>
        <w:t>across years</w:t>
      </w:r>
      <w:r>
        <w:rPr>
          <w:spacing w:val="-14"/>
        </w:rPr>
        <w:t> </w:t>
      </w:r>
      <w:r>
        <w:rPr/>
        <w:t>and</w:t>
      </w:r>
      <w:r>
        <w:rPr>
          <w:spacing w:val="-14"/>
        </w:rPr>
        <w:t> </w:t>
      </w:r>
      <w:r>
        <w:rPr/>
        <w:t>show</w:t>
      </w:r>
      <w:r>
        <w:rPr>
          <w:spacing w:val="-14"/>
        </w:rPr>
        <w:t> </w:t>
      </w:r>
      <w:r>
        <w:rPr/>
        <w:t>systematic</w:t>
      </w:r>
      <w:r>
        <w:rPr>
          <w:spacing w:val="-13"/>
        </w:rPr>
        <w:t> </w:t>
      </w:r>
      <w:r>
        <w:rPr/>
        <w:t>advancement</w:t>
      </w:r>
      <w:r>
        <w:rPr>
          <w:spacing w:val="-14"/>
        </w:rPr>
        <w:t> </w:t>
      </w:r>
      <w:r>
        <w:rPr/>
        <w:t>over</w:t>
      </w:r>
      <w:r>
        <w:rPr>
          <w:spacing w:val="-14"/>
        </w:rPr>
        <w:t> </w:t>
      </w:r>
      <w:r>
        <w:rPr/>
        <w:t>the</w:t>
      </w:r>
      <w:r>
        <w:rPr>
          <w:spacing w:val="-14"/>
        </w:rPr>
        <w:t> </w:t>
      </w:r>
      <w:r>
        <w:rPr/>
        <w:t>study</w:t>
      </w:r>
      <w:r>
        <w:rPr>
          <w:spacing w:val="-13"/>
        </w:rPr>
        <w:t> </w:t>
      </w:r>
      <w:r>
        <w:rPr/>
        <w:t>period,</w:t>
      </w:r>
      <w:r>
        <w:rPr>
          <w:spacing w:val="-14"/>
        </w:rPr>
        <w:t> </w:t>
      </w:r>
      <w:r>
        <w:rPr/>
        <w:t>consistent</w:t>
      </w:r>
      <w:r>
        <w:rPr>
          <w:spacing w:val="-14"/>
        </w:rPr>
        <w:t> </w:t>
      </w:r>
      <w:r>
        <w:rPr/>
        <w:t>with</w:t>
      </w:r>
      <w:r>
        <w:rPr>
          <w:spacing w:val="-14"/>
        </w:rPr>
        <w:t> </w:t>
      </w:r>
      <w:r>
        <w:rPr/>
        <w:t>the</w:t>
      </w:r>
      <w:r>
        <w:rPr>
          <w:spacing w:val="-13"/>
        </w:rPr>
        <w:t> </w:t>
      </w:r>
      <w:r>
        <w:rPr/>
        <w:t>warming</w:t>
      </w:r>
      <w:r>
        <w:rPr>
          <w:spacing w:val="-14"/>
        </w:rPr>
        <w:t> </w:t>
      </w:r>
      <w:r>
        <w:rPr/>
        <w:t>trends documented</w:t>
      </w:r>
      <w:r>
        <w:rPr>
          <w:spacing w:val="-7"/>
        </w:rPr>
        <w:t> </w:t>
      </w:r>
      <w:r>
        <w:rPr/>
        <w:t>in</w:t>
      </w:r>
      <w:r>
        <w:rPr>
          <w:spacing w:val="-4"/>
        </w:rPr>
        <w:t> </w:t>
      </w:r>
      <w:r>
        <w:rPr/>
        <w:t>the</w:t>
      </w:r>
      <w:r>
        <w:rPr>
          <w:spacing w:val="-4"/>
        </w:rPr>
        <w:t> </w:t>
      </w:r>
      <w:r>
        <w:rPr/>
        <w:t>broader</w:t>
      </w:r>
      <w:r>
        <w:rPr>
          <w:spacing w:val="-5"/>
        </w:rPr>
        <w:t> </w:t>
      </w:r>
      <w:r>
        <w:rPr/>
        <w:t>viticulture</w:t>
      </w:r>
      <w:r>
        <w:rPr>
          <w:spacing w:val="-4"/>
        </w:rPr>
        <w:t> </w:t>
      </w:r>
      <w:r>
        <w:rPr/>
        <w:t>literature.</w:t>
      </w:r>
      <w:r>
        <w:rPr>
          <w:spacing w:val="8"/>
        </w:rPr>
        <w:t> </w:t>
      </w:r>
      <w:r>
        <w:rPr/>
        <w:t>Table</w:t>
      </w:r>
      <w:r>
        <w:rPr>
          <w:spacing w:val="-4"/>
        </w:rPr>
        <w:t> </w:t>
      </w:r>
      <w:hyperlink w:history="true" w:anchor="_bookmark169">
        <w:r>
          <w:rPr>
            <w:color w:val="8B2C18"/>
          </w:rPr>
          <w:t>B.3</w:t>
        </w:r>
      </w:hyperlink>
      <w:r>
        <w:rPr>
          <w:color w:val="8B2C18"/>
          <w:spacing w:val="-4"/>
        </w:rPr>
        <w:t> </w:t>
      </w:r>
      <w:r>
        <w:rPr/>
        <w:t>summarises</w:t>
      </w:r>
      <w:r>
        <w:rPr>
          <w:spacing w:val="-5"/>
        </w:rPr>
        <w:t> </w:t>
      </w:r>
      <w:r>
        <w:rPr/>
        <w:t>the</w:t>
      </w:r>
      <w:r>
        <w:rPr>
          <w:spacing w:val="-4"/>
        </w:rPr>
        <w:t> </w:t>
      </w:r>
      <w:r>
        <w:rPr/>
        <w:t>mean,</w:t>
      </w:r>
      <w:r>
        <w:rPr>
          <w:spacing w:val="-4"/>
        </w:rPr>
        <w:t> </w:t>
      </w:r>
      <w:r>
        <w:rPr/>
        <w:t>variability,</w:t>
      </w:r>
      <w:r>
        <w:rPr>
          <w:spacing w:val="-4"/>
        </w:rPr>
        <w:t> </w:t>
      </w:r>
      <w:r>
        <w:rPr>
          <w:spacing w:val="-5"/>
        </w:rPr>
        <w:t>and</w:t>
      </w:r>
    </w:p>
    <w:p>
      <w:pPr>
        <w:pStyle w:val="BodyText"/>
        <w:spacing w:after="0" w:line="312" w:lineRule="auto"/>
        <w:jc w:val="both"/>
        <w:sectPr>
          <w:headerReference w:type="even" r:id="rId116"/>
          <w:headerReference w:type="default" r:id="rId117"/>
          <w:pgSz w:w="11910" w:h="16840"/>
          <w:pgMar w:header="1160" w:footer="0" w:top="1420" w:bottom="280" w:left="1275" w:right="425"/>
          <w:pgNumType w:start="92"/>
        </w:sectPr>
      </w:pPr>
    </w:p>
    <w:p>
      <w:pPr>
        <w:pStyle w:val="BodyText"/>
      </w:pPr>
    </w:p>
    <w:p>
      <w:pPr>
        <w:pStyle w:val="BodyText"/>
        <w:spacing w:before="25"/>
      </w:pPr>
    </w:p>
    <w:p>
      <w:pPr>
        <w:pStyle w:val="BodyText"/>
        <w:spacing w:line="312" w:lineRule="auto" w:before="1"/>
        <w:ind w:left="709" w:right="986"/>
        <w:jc w:val="both"/>
      </w:pPr>
      <w:r>
        <w:rPr/>
        <w:t>long-term</w:t>
      </w:r>
      <w:r>
        <w:rPr>
          <w:spacing w:val="-7"/>
        </w:rPr>
        <w:t> </w:t>
      </w:r>
      <w:r>
        <w:rPr/>
        <w:t>trend</w:t>
      </w:r>
      <w:r>
        <w:rPr>
          <w:spacing w:val="-7"/>
        </w:rPr>
        <w:t> </w:t>
      </w:r>
      <w:r>
        <w:rPr/>
        <w:t>for</w:t>
      </w:r>
      <w:r>
        <w:rPr>
          <w:spacing w:val="-7"/>
        </w:rPr>
        <w:t> </w:t>
      </w:r>
      <w:r>
        <w:rPr/>
        <w:t>each</w:t>
      </w:r>
      <w:r>
        <w:rPr>
          <w:spacing w:val="-7"/>
        </w:rPr>
        <w:t> </w:t>
      </w:r>
      <w:r>
        <w:rPr/>
        <w:t>key</w:t>
      </w:r>
      <w:r>
        <w:rPr>
          <w:spacing w:val="-7"/>
        </w:rPr>
        <w:t> </w:t>
      </w:r>
      <w:r>
        <w:rPr/>
        <w:t>phenological</w:t>
      </w:r>
      <w:r>
        <w:rPr>
          <w:spacing w:val="-7"/>
        </w:rPr>
        <w:t> </w:t>
      </w:r>
      <w:r>
        <w:rPr/>
        <w:t>stage. Negative</w:t>
      </w:r>
      <w:r>
        <w:rPr>
          <w:spacing w:val="-7"/>
        </w:rPr>
        <w:t> </w:t>
      </w:r>
      <w:r>
        <w:rPr/>
        <w:t>trends</w:t>
      </w:r>
      <w:r>
        <w:rPr>
          <w:spacing w:val="-7"/>
        </w:rPr>
        <w:t> </w:t>
      </w:r>
      <w:r>
        <w:rPr/>
        <w:t>indicate</w:t>
      </w:r>
      <w:r>
        <w:rPr>
          <w:spacing w:val="-7"/>
        </w:rPr>
        <w:t> </w:t>
      </w:r>
      <w:r>
        <w:rPr/>
        <w:t>earlier</w:t>
      </w:r>
      <w:r>
        <w:rPr>
          <w:spacing w:val="-7"/>
        </w:rPr>
        <w:t> </w:t>
      </w:r>
      <w:r>
        <w:rPr/>
        <w:t>occurrence</w:t>
      </w:r>
      <w:r>
        <w:rPr>
          <w:spacing w:val="-7"/>
        </w:rPr>
        <w:t> </w:t>
      </w:r>
      <w:r>
        <w:rPr/>
        <w:t>over time; all trends are expressed in days per decade.</w:t>
      </w:r>
    </w:p>
    <w:p>
      <w:pPr>
        <w:spacing w:before="148"/>
        <w:ind w:left="1917" w:right="0" w:firstLine="0"/>
        <w:jc w:val="left"/>
        <w:rPr>
          <w:sz w:val="20"/>
        </w:rPr>
      </w:pPr>
      <w:r>
        <w:rPr>
          <w:sz w:val="20"/>
        </w:rPr>
        <mc:AlternateContent>
          <mc:Choice Requires="wps">
            <w:drawing>
              <wp:anchor distT="0" distB="0" distL="0" distR="0" allowOverlap="1" layoutInCell="1" locked="0" behindDoc="0" simplePos="0" relativeHeight="15778304">
                <wp:simplePos x="0" y="0"/>
                <wp:positionH relativeFrom="page">
                  <wp:posOffset>1221905</wp:posOffset>
                </wp:positionH>
                <wp:positionV relativeFrom="paragraph">
                  <wp:posOffset>431158</wp:posOffset>
                </wp:positionV>
                <wp:extent cx="5476240" cy="490855"/>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5476240" cy="49085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90"/>
                              <w:gridCol w:w="1381"/>
                              <w:gridCol w:w="1041"/>
                              <w:gridCol w:w="1324"/>
                              <w:gridCol w:w="1381"/>
                              <w:gridCol w:w="1041"/>
                              <w:gridCol w:w="846"/>
                            </w:tblGrid>
                            <w:tr>
                              <w:trPr>
                                <w:trHeight w:val="758" w:hRule="atLeast"/>
                              </w:trPr>
                              <w:tc>
                                <w:tcPr>
                                  <w:tcW w:w="1490" w:type="dxa"/>
                                  <w:tcBorders>
                                    <w:top w:val="nil"/>
                                    <w:left w:val="nil"/>
                                    <w:right w:val="single" w:sz="4" w:space="0" w:color="000000"/>
                                  </w:tcBorders>
                                </w:tcPr>
                                <w:p>
                                  <w:pPr>
                                    <w:pStyle w:val="TableParagraph"/>
                                    <w:spacing w:before="31"/>
                                    <w:ind w:left="119"/>
                                    <w:rPr>
                                      <w:sz w:val="18"/>
                                    </w:rPr>
                                  </w:pPr>
                                  <w:r>
                                    <w:rPr>
                                      <w:spacing w:val="-2"/>
                                      <w:sz w:val="18"/>
                                    </w:rPr>
                                    <w:t>Stage</w:t>
                                  </w:r>
                                </w:p>
                              </w:tc>
                              <w:tc>
                                <w:tcPr>
                                  <w:tcW w:w="1381" w:type="dxa"/>
                                  <w:tcBorders>
                                    <w:top w:val="nil"/>
                                    <w:left w:val="single" w:sz="4" w:space="0" w:color="000000"/>
                                    <w:right w:val="single" w:sz="4" w:space="0" w:color="000000"/>
                                  </w:tcBorders>
                                </w:tcPr>
                                <w:p>
                                  <w:pPr>
                                    <w:pStyle w:val="TableParagraph"/>
                                    <w:tabs>
                                      <w:tab w:pos="856" w:val="left" w:leader="none"/>
                                    </w:tabs>
                                    <w:spacing w:line="254" w:lineRule="auto" w:before="31"/>
                                    <w:ind w:left="112" w:right="116" w:firstLine="5"/>
                                    <w:rPr>
                                      <w:sz w:val="18"/>
                                    </w:rPr>
                                  </w:pPr>
                                  <w:r>
                                    <w:rPr>
                                      <w:spacing w:val="-4"/>
                                      <w:sz w:val="18"/>
                                    </w:rPr>
                                    <w:t>RDD</w:t>
                                  </w:r>
                                  <w:r>
                                    <w:rPr>
                                      <w:sz w:val="18"/>
                                    </w:rPr>
                                    <w:tab/>
                                  </w:r>
                                  <w:r>
                                    <w:rPr>
                                      <w:spacing w:val="-4"/>
                                      <w:sz w:val="18"/>
                                    </w:rPr>
                                    <w:t>mean </w:t>
                                  </w:r>
                                  <w:r>
                                    <w:rPr>
                                      <w:sz w:val="18"/>
                                    </w:rPr>
                                    <w:t>(DOY / date)</w:t>
                                  </w:r>
                                </w:p>
                              </w:tc>
                              <w:tc>
                                <w:tcPr>
                                  <w:tcW w:w="1041" w:type="dxa"/>
                                  <w:tcBorders>
                                    <w:top w:val="nil"/>
                                    <w:left w:val="single" w:sz="4" w:space="0" w:color="000000"/>
                                    <w:right w:val="single" w:sz="4" w:space="0" w:color="000000"/>
                                  </w:tcBorders>
                                </w:tcPr>
                                <w:p>
                                  <w:pPr>
                                    <w:pStyle w:val="TableParagraph"/>
                                    <w:spacing w:before="31"/>
                                    <w:ind w:left="118"/>
                                    <w:rPr>
                                      <w:sz w:val="18"/>
                                    </w:rPr>
                                  </w:pPr>
                                  <w:r>
                                    <w:rPr>
                                      <w:sz w:val="18"/>
                                    </w:rPr>
                                    <w:t>RDD</w:t>
                                  </w:r>
                                  <w:r>
                                    <w:rPr>
                                      <w:spacing w:val="43"/>
                                      <w:sz w:val="18"/>
                                    </w:rPr>
                                    <w:t>  </w:t>
                                  </w:r>
                                  <w:r>
                                    <w:rPr>
                                      <w:spacing w:val="-5"/>
                                      <w:sz w:val="18"/>
                                    </w:rPr>
                                    <w:t>SD</w:t>
                                  </w:r>
                                </w:p>
                                <w:p>
                                  <w:pPr>
                                    <w:pStyle w:val="TableParagraph"/>
                                    <w:spacing w:before="12"/>
                                    <w:ind w:left="112"/>
                                    <w:rPr>
                                      <w:sz w:val="18"/>
                                    </w:rPr>
                                  </w:pPr>
                                  <w:r>
                                    <w:rPr>
                                      <w:spacing w:val="-2"/>
                                      <w:sz w:val="18"/>
                                    </w:rPr>
                                    <w:t>(days)</w:t>
                                  </w:r>
                                </w:p>
                              </w:tc>
                              <w:tc>
                                <w:tcPr>
                                  <w:tcW w:w="1324" w:type="dxa"/>
                                  <w:tcBorders>
                                    <w:top w:val="nil"/>
                                    <w:left w:val="single" w:sz="4" w:space="0" w:color="000000"/>
                                    <w:right w:val="single" w:sz="4" w:space="0" w:color="000000"/>
                                  </w:tcBorders>
                                </w:tcPr>
                                <w:p>
                                  <w:pPr>
                                    <w:pStyle w:val="TableParagraph"/>
                                    <w:tabs>
                                      <w:tab w:pos="819" w:val="left" w:leader="none"/>
                                    </w:tabs>
                                    <w:spacing w:line="254" w:lineRule="auto" w:before="31"/>
                                    <w:ind w:left="112" w:right="116" w:firstLine="5"/>
                                    <w:rPr>
                                      <w:sz w:val="18"/>
                                    </w:rPr>
                                  </w:pPr>
                                  <w:r>
                                    <w:rPr>
                                      <w:spacing w:val="-4"/>
                                      <w:sz w:val="18"/>
                                    </w:rPr>
                                    <w:t>RDD</w:t>
                                  </w:r>
                                  <w:r>
                                    <w:rPr>
                                      <w:sz w:val="18"/>
                                    </w:rPr>
                                    <w:tab/>
                                  </w:r>
                                  <w:r>
                                    <w:rPr>
                                      <w:spacing w:val="-2"/>
                                      <w:sz w:val="18"/>
                                    </w:rPr>
                                    <w:t>trend (days/decade)</w:t>
                                  </w:r>
                                </w:p>
                              </w:tc>
                              <w:tc>
                                <w:tcPr>
                                  <w:tcW w:w="1381" w:type="dxa"/>
                                  <w:tcBorders>
                                    <w:top w:val="nil"/>
                                    <w:left w:val="single" w:sz="4" w:space="0" w:color="000000"/>
                                    <w:right w:val="single" w:sz="4" w:space="0" w:color="000000"/>
                                  </w:tcBorders>
                                </w:tcPr>
                                <w:p>
                                  <w:pPr>
                                    <w:pStyle w:val="TableParagraph"/>
                                    <w:tabs>
                                      <w:tab w:pos="856" w:val="left" w:leader="none"/>
                                    </w:tabs>
                                    <w:spacing w:line="254" w:lineRule="auto" w:before="31"/>
                                    <w:ind w:left="112" w:right="116" w:firstLine="5"/>
                                    <w:rPr>
                                      <w:sz w:val="18"/>
                                    </w:rPr>
                                  </w:pPr>
                                  <w:r>
                                    <w:rPr>
                                      <w:spacing w:val="-4"/>
                                      <w:sz w:val="18"/>
                                    </w:rPr>
                                    <w:t>RVV</w:t>
                                  </w:r>
                                  <w:r>
                                    <w:rPr>
                                      <w:sz w:val="18"/>
                                    </w:rPr>
                                    <w:tab/>
                                  </w:r>
                                  <w:r>
                                    <w:rPr>
                                      <w:spacing w:val="-4"/>
                                      <w:sz w:val="18"/>
                                    </w:rPr>
                                    <w:t>mean </w:t>
                                  </w:r>
                                  <w:r>
                                    <w:rPr>
                                      <w:sz w:val="18"/>
                                    </w:rPr>
                                    <w:t>(DOY / date)</w:t>
                                  </w:r>
                                </w:p>
                              </w:tc>
                              <w:tc>
                                <w:tcPr>
                                  <w:tcW w:w="1041" w:type="dxa"/>
                                  <w:tcBorders>
                                    <w:top w:val="nil"/>
                                    <w:left w:val="single" w:sz="4" w:space="0" w:color="000000"/>
                                    <w:right w:val="single" w:sz="4" w:space="0" w:color="000000"/>
                                  </w:tcBorders>
                                </w:tcPr>
                                <w:p>
                                  <w:pPr>
                                    <w:pStyle w:val="TableParagraph"/>
                                    <w:spacing w:before="31"/>
                                    <w:ind w:left="118"/>
                                    <w:rPr>
                                      <w:sz w:val="18"/>
                                    </w:rPr>
                                  </w:pPr>
                                  <w:r>
                                    <w:rPr>
                                      <w:sz w:val="18"/>
                                    </w:rPr>
                                    <w:t>RVV</w:t>
                                  </w:r>
                                  <w:r>
                                    <w:rPr>
                                      <w:spacing w:val="43"/>
                                      <w:sz w:val="18"/>
                                    </w:rPr>
                                    <w:t>  </w:t>
                                  </w:r>
                                  <w:r>
                                    <w:rPr>
                                      <w:spacing w:val="-5"/>
                                      <w:sz w:val="18"/>
                                    </w:rPr>
                                    <w:t>SD</w:t>
                                  </w:r>
                                </w:p>
                                <w:p>
                                  <w:pPr>
                                    <w:pStyle w:val="TableParagraph"/>
                                    <w:spacing w:before="12"/>
                                    <w:ind w:left="112"/>
                                    <w:rPr>
                                      <w:sz w:val="18"/>
                                    </w:rPr>
                                  </w:pPr>
                                  <w:r>
                                    <w:rPr>
                                      <w:spacing w:val="-2"/>
                                      <w:sz w:val="18"/>
                                    </w:rPr>
                                    <w:t>(days)</w:t>
                                  </w:r>
                                </w:p>
                              </w:tc>
                              <w:tc>
                                <w:tcPr>
                                  <w:tcW w:w="846" w:type="dxa"/>
                                  <w:tcBorders>
                                    <w:top w:val="nil"/>
                                    <w:left w:val="single" w:sz="4" w:space="0" w:color="000000"/>
                                    <w:right w:val="nil"/>
                                  </w:tcBorders>
                                </w:tcPr>
                                <w:p>
                                  <w:pPr>
                                    <w:pStyle w:val="TableParagraph"/>
                                    <w:spacing w:before="31"/>
                                    <w:ind w:left="118"/>
                                    <w:rPr>
                                      <w:sz w:val="18"/>
                                    </w:rPr>
                                  </w:pPr>
                                  <w:r>
                                    <w:rPr>
                                      <w:spacing w:val="-5"/>
                                      <w:sz w:val="18"/>
                                    </w:rPr>
                                    <w:t>RVV</w:t>
                                  </w:r>
                                </w:p>
                                <w:p>
                                  <w:pPr>
                                    <w:pStyle w:val="TableParagraph"/>
                                    <w:spacing w:line="254" w:lineRule="auto" w:before="12"/>
                                    <w:ind w:left="112" w:right="-116" w:firstLine="5"/>
                                    <w:rPr>
                                      <w:sz w:val="18"/>
                                    </w:rPr>
                                  </w:pPr>
                                  <w:r>
                                    <w:rPr>
                                      <w:spacing w:val="-2"/>
                                      <w:sz w:val="18"/>
                                    </w:rPr>
                                    <w:t>trend </w:t>
                                  </w:r>
                                  <w:r>
                                    <w:rPr>
                                      <w:spacing w:val="-4"/>
                                      <w:sz w:val="18"/>
                                    </w:rPr>
                                    <w:t>(days/decad</w:t>
                                  </w:r>
                                </w:p>
                              </w:tc>
                            </w:tr>
                          </w:tbl>
                          <w:p>
                            <w:pPr>
                              <w:pStyle w:val="BodyText"/>
                            </w:pPr>
                          </w:p>
                        </w:txbxContent>
                      </wps:txbx>
                      <wps:bodyPr wrap="square" lIns="0" tIns="0" rIns="0" bIns="0" rtlCol="0">
                        <a:noAutofit/>
                      </wps:bodyPr>
                    </wps:wsp>
                  </a:graphicData>
                </a:graphic>
              </wp:anchor>
            </w:drawing>
          </mc:Choice>
          <mc:Fallback>
            <w:pict>
              <v:shape style="position:absolute;margin-left:96.212997pt;margin-top:33.949486pt;width:431.2pt;height:38.65pt;mso-position-horizontal-relative:page;mso-position-vertical-relative:paragraph;z-index:15778304" type="#_x0000_t202" id="docshape236"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90"/>
                        <w:gridCol w:w="1381"/>
                        <w:gridCol w:w="1041"/>
                        <w:gridCol w:w="1324"/>
                        <w:gridCol w:w="1381"/>
                        <w:gridCol w:w="1041"/>
                        <w:gridCol w:w="846"/>
                      </w:tblGrid>
                      <w:tr>
                        <w:trPr>
                          <w:trHeight w:val="758" w:hRule="atLeast"/>
                        </w:trPr>
                        <w:tc>
                          <w:tcPr>
                            <w:tcW w:w="1490" w:type="dxa"/>
                            <w:tcBorders>
                              <w:top w:val="nil"/>
                              <w:left w:val="nil"/>
                              <w:right w:val="single" w:sz="4" w:space="0" w:color="000000"/>
                            </w:tcBorders>
                          </w:tcPr>
                          <w:p>
                            <w:pPr>
                              <w:pStyle w:val="TableParagraph"/>
                              <w:spacing w:before="31"/>
                              <w:ind w:left="119"/>
                              <w:rPr>
                                <w:sz w:val="18"/>
                              </w:rPr>
                            </w:pPr>
                            <w:r>
                              <w:rPr>
                                <w:spacing w:val="-2"/>
                                <w:sz w:val="18"/>
                              </w:rPr>
                              <w:t>Stage</w:t>
                            </w:r>
                          </w:p>
                        </w:tc>
                        <w:tc>
                          <w:tcPr>
                            <w:tcW w:w="1381" w:type="dxa"/>
                            <w:tcBorders>
                              <w:top w:val="nil"/>
                              <w:left w:val="single" w:sz="4" w:space="0" w:color="000000"/>
                              <w:right w:val="single" w:sz="4" w:space="0" w:color="000000"/>
                            </w:tcBorders>
                          </w:tcPr>
                          <w:p>
                            <w:pPr>
                              <w:pStyle w:val="TableParagraph"/>
                              <w:tabs>
                                <w:tab w:pos="856" w:val="left" w:leader="none"/>
                              </w:tabs>
                              <w:spacing w:line="254" w:lineRule="auto" w:before="31"/>
                              <w:ind w:left="112" w:right="116" w:firstLine="5"/>
                              <w:rPr>
                                <w:sz w:val="18"/>
                              </w:rPr>
                            </w:pPr>
                            <w:r>
                              <w:rPr>
                                <w:spacing w:val="-4"/>
                                <w:sz w:val="18"/>
                              </w:rPr>
                              <w:t>RDD</w:t>
                            </w:r>
                            <w:r>
                              <w:rPr>
                                <w:sz w:val="18"/>
                              </w:rPr>
                              <w:tab/>
                            </w:r>
                            <w:r>
                              <w:rPr>
                                <w:spacing w:val="-4"/>
                                <w:sz w:val="18"/>
                              </w:rPr>
                              <w:t>mean </w:t>
                            </w:r>
                            <w:r>
                              <w:rPr>
                                <w:sz w:val="18"/>
                              </w:rPr>
                              <w:t>(DOY / date)</w:t>
                            </w:r>
                          </w:p>
                        </w:tc>
                        <w:tc>
                          <w:tcPr>
                            <w:tcW w:w="1041" w:type="dxa"/>
                            <w:tcBorders>
                              <w:top w:val="nil"/>
                              <w:left w:val="single" w:sz="4" w:space="0" w:color="000000"/>
                              <w:right w:val="single" w:sz="4" w:space="0" w:color="000000"/>
                            </w:tcBorders>
                          </w:tcPr>
                          <w:p>
                            <w:pPr>
                              <w:pStyle w:val="TableParagraph"/>
                              <w:spacing w:before="31"/>
                              <w:ind w:left="118"/>
                              <w:rPr>
                                <w:sz w:val="18"/>
                              </w:rPr>
                            </w:pPr>
                            <w:r>
                              <w:rPr>
                                <w:sz w:val="18"/>
                              </w:rPr>
                              <w:t>RDD</w:t>
                            </w:r>
                            <w:r>
                              <w:rPr>
                                <w:spacing w:val="43"/>
                                <w:sz w:val="18"/>
                              </w:rPr>
                              <w:t>  </w:t>
                            </w:r>
                            <w:r>
                              <w:rPr>
                                <w:spacing w:val="-5"/>
                                <w:sz w:val="18"/>
                              </w:rPr>
                              <w:t>SD</w:t>
                            </w:r>
                          </w:p>
                          <w:p>
                            <w:pPr>
                              <w:pStyle w:val="TableParagraph"/>
                              <w:spacing w:before="12"/>
                              <w:ind w:left="112"/>
                              <w:rPr>
                                <w:sz w:val="18"/>
                              </w:rPr>
                            </w:pPr>
                            <w:r>
                              <w:rPr>
                                <w:spacing w:val="-2"/>
                                <w:sz w:val="18"/>
                              </w:rPr>
                              <w:t>(days)</w:t>
                            </w:r>
                          </w:p>
                        </w:tc>
                        <w:tc>
                          <w:tcPr>
                            <w:tcW w:w="1324" w:type="dxa"/>
                            <w:tcBorders>
                              <w:top w:val="nil"/>
                              <w:left w:val="single" w:sz="4" w:space="0" w:color="000000"/>
                              <w:right w:val="single" w:sz="4" w:space="0" w:color="000000"/>
                            </w:tcBorders>
                          </w:tcPr>
                          <w:p>
                            <w:pPr>
                              <w:pStyle w:val="TableParagraph"/>
                              <w:tabs>
                                <w:tab w:pos="819" w:val="left" w:leader="none"/>
                              </w:tabs>
                              <w:spacing w:line="254" w:lineRule="auto" w:before="31"/>
                              <w:ind w:left="112" w:right="116" w:firstLine="5"/>
                              <w:rPr>
                                <w:sz w:val="18"/>
                              </w:rPr>
                            </w:pPr>
                            <w:r>
                              <w:rPr>
                                <w:spacing w:val="-4"/>
                                <w:sz w:val="18"/>
                              </w:rPr>
                              <w:t>RDD</w:t>
                            </w:r>
                            <w:r>
                              <w:rPr>
                                <w:sz w:val="18"/>
                              </w:rPr>
                              <w:tab/>
                            </w:r>
                            <w:r>
                              <w:rPr>
                                <w:spacing w:val="-2"/>
                                <w:sz w:val="18"/>
                              </w:rPr>
                              <w:t>trend (days/decade)</w:t>
                            </w:r>
                          </w:p>
                        </w:tc>
                        <w:tc>
                          <w:tcPr>
                            <w:tcW w:w="1381" w:type="dxa"/>
                            <w:tcBorders>
                              <w:top w:val="nil"/>
                              <w:left w:val="single" w:sz="4" w:space="0" w:color="000000"/>
                              <w:right w:val="single" w:sz="4" w:space="0" w:color="000000"/>
                            </w:tcBorders>
                          </w:tcPr>
                          <w:p>
                            <w:pPr>
                              <w:pStyle w:val="TableParagraph"/>
                              <w:tabs>
                                <w:tab w:pos="856" w:val="left" w:leader="none"/>
                              </w:tabs>
                              <w:spacing w:line="254" w:lineRule="auto" w:before="31"/>
                              <w:ind w:left="112" w:right="116" w:firstLine="5"/>
                              <w:rPr>
                                <w:sz w:val="18"/>
                              </w:rPr>
                            </w:pPr>
                            <w:r>
                              <w:rPr>
                                <w:spacing w:val="-4"/>
                                <w:sz w:val="18"/>
                              </w:rPr>
                              <w:t>RVV</w:t>
                            </w:r>
                            <w:r>
                              <w:rPr>
                                <w:sz w:val="18"/>
                              </w:rPr>
                              <w:tab/>
                            </w:r>
                            <w:r>
                              <w:rPr>
                                <w:spacing w:val="-4"/>
                                <w:sz w:val="18"/>
                              </w:rPr>
                              <w:t>mean </w:t>
                            </w:r>
                            <w:r>
                              <w:rPr>
                                <w:sz w:val="18"/>
                              </w:rPr>
                              <w:t>(DOY / date)</w:t>
                            </w:r>
                          </w:p>
                        </w:tc>
                        <w:tc>
                          <w:tcPr>
                            <w:tcW w:w="1041" w:type="dxa"/>
                            <w:tcBorders>
                              <w:top w:val="nil"/>
                              <w:left w:val="single" w:sz="4" w:space="0" w:color="000000"/>
                              <w:right w:val="single" w:sz="4" w:space="0" w:color="000000"/>
                            </w:tcBorders>
                          </w:tcPr>
                          <w:p>
                            <w:pPr>
                              <w:pStyle w:val="TableParagraph"/>
                              <w:spacing w:before="31"/>
                              <w:ind w:left="118"/>
                              <w:rPr>
                                <w:sz w:val="18"/>
                              </w:rPr>
                            </w:pPr>
                            <w:r>
                              <w:rPr>
                                <w:sz w:val="18"/>
                              </w:rPr>
                              <w:t>RVV</w:t>
                            </w:r>
                            <w:r>
                              <w:rPr>
                                <w:spacing w:val="43"/>
                                <w:sz w:val="18"/>
                              </w:rPr>
                              <w:t>  </w:t>
                            </w:r>
                            <w:r>
                              <w:rPr>
                                <w:spacing w:val="-5"/>
                                <w:sz w:val="18"/>
                              </w:rPr>
                              <w:t>SD</w:t>
                            </w:r>
                          </w:p>
                          <w:p>
                            <w:pPr>
                              <w:pStyle w:val="TableParagraph"/>
                              <w:spacing w:before="12"/>
                              <w:ind w:left="112"/>
                              <w:rPr>
                                <w:sz w:val="18"/>
                              </w:rPr>
                            </w:pPr>
                            <w:r>
                              <w:rPr>
                                <w:spacing w:val="-2"/>
                                <w:sz w:val="18"/>
                              </w:rPr>
                              <w:t>(days)</w:t>
                            </w:r>
                          </w:p>
                        </w:tc>
                        <w:tc>
                          <w:tcPr>
                            <w:tcW w:w="846" w:type="dxa"/>
                            <w:tcBorders>
                              <w:top w:val="nil"/>
                              <w:left w:val="single" w:sz="4" w:space="0" w:color="000000"/>
                              <w:right w:val="nil"/>
                            </w:tcBorders>
                          </w:tcPr>
                          <w:p>
                            <w:pPr>
                              <w:pStyle w:val="TableParagraph"/>
                              <w:spacing w:before="31"/>
                              <w:ind w:left="118"/>
                              <w:rPr>
                                <w:sz w:val="18"/>
                              </w:rPr>
                            </w:pPr>
                            <w:r>
                              <w:rPr>
                                <w:spacing w:val="-5"/>
                                <w:sz w:val="18"/>
                              </w:rPr>
                              <w:t>RVV</w:t>
                            </w:r>
                          </w:p>
                          <w:p>
                            <w:pPr>
                              <w:pStyle w:val="TableParagraph"/>
                              <w:spacing w:line="254" w:lineRule="auto" w:before="12"/>
                              <w:ind w:left="112" w:right="-116" w:firstLine="5"/>
                              <w:rPr>
                                <w:sz w:val="18"/>
                              </w:rPr>
                            </w:pPr>
                            <w:r>
                              <w:rPr>
                                <w:spacing w:val="-2"/>
                                <w:sz w:val="18"/>
                              </w:rPr>
                              <w:t>trend </w:t>
                            </w:r>
                            <w:r>
                              <w:rPr>
                                <w:spacing w:val="-4"/>
                                <w:sz w:val="18"/>
                              </w:rPr>
                              <w:t>(days/decad</w:t>
                            </w:r>
                          </w:p>
                        </w:tc>
                      </w:tr>
                    </w:tbl>
                    <w:p>
                      <w:pPr>
                        <w:pStyle w:val="BodyText"/>
                      </w:pPr>
                    </w:p>
                  </w:txbxContent>
                </v:textbox>
                <w10:wrap type="none"/>
              </v:shape>
            </w:pict>
          </mc:Fallback>
        </mc:AlternateContent>
      </w:r>
      <w:bookmarkStart w:name="_bookmark169" w:id="287"/>
      <w:bookmarkEnd w:id="287"/>
      <w:r>
        <w:rPr/>
      </w:r>
      <w:r>
        <w:rPr>
          <w:b/>
          <w:sz w:val="20"/>
        </w:rPr>
        <w:t>Table</w:t>
      </w:r>
      <w:r>
        <w:rPr>
          <w:b/>
          <w:spacing w:val="-11"/>
          <w:sz w:val="20"/>
        </w:rPr>
        <w:t> </w:t>
      </w:r>
      <w:r>
        <w:rPr>
          <w:b/>
          <w:sz w:val="20"/>
        </w:rPr>
        <w:t>B.3: </w:t>
      </w:r>
      <w:r>
        <w:rPr>
          <w:sz w:val="20"/>
        </w:rPr>
        <w:t>Phenological</w:t>
      </w:r>
      <w:r>
        <w:rPr>
          <w:spacing w:val="-11"/>
          <w:sz w:val="20"/>
        </w:rPr>
        <w:t> </w:t>
      </w:r>
      <w:r>
        <w:rPr>
          <w:sz w:val="20"/>
        </w:rPr>
        <w:t>timing: mean</w:t>
      </w:r>
      <w:r>
        <w:rPr>
          <w:spacing w:val="-11"/>
          <w:sz w:val="20"/>
        </w:rPr>
        <w:t> </w:t>
      </w:r>
      <w:r>
        <w:rPr>
          <w:sz w:val="20"/>
        </w:rPr>
        <w:t>dates,</w:t>
      </w:r>
      <w:r>
        <w:rPr>
          <w:spacing w:val="-10"/>
          <w:sz w:val="20"/>
        </w:rPr>
        <w:t> </w:t>
      </w:r>
      <w:r>
        <w:rPr>
          <w:sz w:val="20"/>
        </w:rPr>
        <w:t>variability,</w:t>
      </w:r>
      <w:r>
        <w:rPr>
          <w:spacing w:val="-10"/>
          <w:sz w:val="20"/>
        </w:rPr>
        <w:t> </w:t>
      </w:r>
      <w:r>
        <w:rPr>
          <w:sz w:val="20"/>
        </w:rPr>
        <w:t>and</w:t>
      </w:r>
      <w:r>
        <w:rPr>
          <w:spacing w:val="-10"/>
          <w:sz w:val="20"/>
        </w:rPr>
        <w:t> </w:t>
      </w:r>
      <w:r>
        <w:rPr>
          <w:sz w:val="20"/>
        </w:rPr>
        <w:t>decadal</w:t>
      </w:r>
      <w:r>
        <w:rPr>
          <w:spacing w:val="-11"/>
          <w:sz w:val="20"/>
        </w:rPr>
        <w:t> </w:t>
      </w:r>
      <w:r>
        <w:rPr>
          <w:spacing w:val="-2"/>
          <w:sz w:val="20"/>
        </w:rPr>
        <w:t>trends.</w:t>
      </w:r>
    </w:p>
    <w:p>
      <w:pPr>
        <w:pStyle w:val="BodyText"/>
        <w:spacing w:before="5"/>
        <w:rPr>
          <w:sz w:val="18"/>
        </w:rPr>
      </w:pPr>
      <w:r>
        <w:rPr>
          <w:sz w:val="18"/>
        </w:rPr>
        <mc:AlternateContent>
          <mc:Choice Requires="wps">
            <w:drawing>
              <wp:anchor distT="0" distB="0" distL="0" distR="0" allowOverlap="1" layoutInCell="1" locked="0" behindDoc="1" simplePos="0" relativeHeight="487636992">
                <wp:simplePos x="0" y="0"/>
                <wp:positionH relativeFrom="page">
                  <wp:posOffset>1260005</wp:posOffset>
                </wp:positionH>
                <wp:positionV relativeFrom="paragraph">
                  <wp:posOffset>150297</wp:posOffset>
                </wp:positionV>
                <wp:extent cx="5400040" cy="1270"/>
                <wp:effectExtent l="0" t="0" r="0" b="0"/>
                <wp:wrapTopAndBottom/>
                <wp:docPr id="273" name="Graphic 273"/>
                <wp:cNvGraphicFramePr>
                  <a:graphicFrameLocks/>
                </wp:cNvGraphicFramePr>
                <a:graphic>
                  <a:graphicData uri="http://schemas.microsoft.com/office/word/2010/wordprocessingShape">
                    <wps:wsp>
                      <wps:cNvPr id="273" name="Graphic 273"/>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1.834461pt;width:425.2pt;height:.1pt;mso-position-horizontal-relative:page;mso-position-vertical-relative:paragraph;z-index:-15679488;mso-wrap-distance-left:0;mso-wrap-distance-right:0" id="docshape237" coordorigin="1984,237" coordsize="8504,0" path="m1984,237l10488,237e" filled="false" stroked="true" strokeweight=".868pt" strokecolor="#000000">
                <v:path arrowok="t"/>
                <v:stroke dashstyle="solid"/>
                <w10:wrap type="topAndBottom"/>
              </v:shape>
            </w:pict>
          </mc:Fallback>
        </mc:AlternateContent>
      </w:r>
    </w:p>
    <w:p>
      <w:pPr>
        <w:pStyle w:val="BodyText"/>
        <w:rPr>
          <w:sz w:val="20"/>
        </w:rPr>
      </w:pPr>
    </w:p>
    <w:p>
      <w:pPr>
        <w:pStyle w:val="BodyText"/>
        <w:spacing w:before="70"/>
        <w:rPr>
          <w:sz w:val="20"/>
        </w:rPr>
      </w:pPr>
    </w:p>
    <w:p>
      <w:pPr>
        <w:spacing w:before="1"/>
        <w:ind w:left="0" w:right="742" w:firstLine="0"/>
        <w:jc w:val="right"/>
        <w:rPr>
          <w:sz w:val="18"/>
        </w:rPr>
      </w:pPr>
      <w:r>
        <w:rPr>
          <w:spacing w:val="-5"/>
          <w:sz w:val="18"/>
        </w:rPr>
        <w:t>e)</w:t>
      </w:r>
    </w:p>
    <w:p>
      <w:pPr>
        <w:pStyle w:val="BodyText"/>
        <w:spacing w:before="9"/>
        <w:rPr>
          <w:sz w:val="12"/>
        </w:rPr>
      </w:pPr>
    </w:p>
    <w:tbl>
      <w:tblPr>
        <w:tblW w:w="0" w:type="auto"/>
        <w:jc w:val="left"/>
        <w:tblInd w:w="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0"/>
        <w:gridCol w:w="1381"/>
        <w:gridCol w:w="1041"/>
        <w:gridCol w:w="1324"/>
        <w:gridCol w:w="1381"/>
        <w:gridCol w:w="1041"/>
        <w:gridCol w:w="846"/>
      </w:tblGrid>
      <w:tr>
        <w:trPr>
          <w:trHeight w:val="503" w:hRule="atLeast"/>
        </w:trPr>
        <w:tc>
          <w:tcPr>
            <w:tcW w:w="1490" w:type="dxa"/>
            <w:tcBorders>
              <w:right w:val="single" w:sz="4" w:space="0" w:color="000000"/>
            </w:tcBorders>
          </w:tcPr>
          <w:p>
            <w:pPr>
              <w:pStyle w:val="TableParagraph"/>
              <w:spacing w:before="31"/>
              <w:ind w:left="119"/>
              <w:rPr>
                <w:sz w:val="18"/>
              </w:rPr>
            </w:pPr>
            <w:r>
              <w:rPr>
                <w:sz w:val="18"/>
              </w:rPr>
              <w:t>Bud</w:t>
            </w:r>
            <w:r>
              <w:rPr>
                <w:spacing w:val="-5"/>
                <w:sz w:val="18"/>
              </w:rPr>
              <w:t> </w:t>
            </w:r>
            <w:r>
              <w:rPr>
                <w:sz w:val="18"/>
              </w:rPr>
              <w:t>Break</w:t>
            </w:r>
            <w:r>
              <w:rPr>
                <w:spacing w:val="-5"/>
                <w:sz w:val="18"/>
              </w:rPr>
              <w:t> </w:t>
            </w:r>
            <w:r>
              <w:rPr>
                <w:spacing w:val="-4"/>
                <w:sz w:val="18"/>
              </w:rPr>
              <w:t>(BB)</w:t>
            </w:r>
          </w:p>
        </w:tc>
        <w:tc>
          <w:tcPr>
            <w:tcW w:w="1381" w:type="dxa"/>
            <w:tcBorders>
              <w:left w:val="single" w:sz="4" w:space="0" w:color="000000"/>
              <w:right w:val="single" w:sz="4" w:space="0" w:color="000000"/>
            </w:tcBorders>
          </w:tcPr>
          <w:p>
            <w:pPr>
              <w:pStyle w:val="TableParagraph"/>
              <w:spacing w:before="31"/>
              <w:ind w:left="118"/>
              <w:rPr>
                <w:sz w:val="18"/>
              </w:rPr>
            </w:pPr>
            <w:r>
              <w:rPr>
                <w:sz w:val="18"/>
              </w:rPr>
              <w:t>DOY</w:t>
            </w:r>
            <w:r>
              <w:rPr>
                <w:spacing w:val="66"/>
                <w:sz w:val="18"/>
              </w:rPr>
              <w:t> </w:t>
            </w:r>
            <w:r>
              <w:rPr>
                <w:sz w:val="18"/>
              </w:rPr>
              <w:t>88</w:t>
            </w:r>
            <w:r>
              <w:rPr>
                <w:spacing w:val="67"/>
                <w:sz w:val="18"/>
              </w:rPr>
              <w:t> </w:t>
            </w:r>
            <w:r>
              <w:rPr>
                <w:sz w:val="18"/>
              </w:rPr>
              <w:t>/</w:t>
            </w:r>
            <w:r>
              <w:rPr>
                <w:spacing w:val="67"/>
                <w:sz w:val="18"/>
              </w:rPr>
              <w:t> </w:t>
            </w:r>
            <w:r>
              <w:rPr>
                <w:spacing w:val="-5"/>
                <w:sz w:val="18"/>
              </w:rPr>
              <w:t>27</w:t>
            </w:r>
          </w:p>
          <w:p>
            <w:pPr>
              <w:pStyle w:val="TableParagraph"/>
              <w:spacing w:before="12"/>
              <w:ind w:left="118"/>
              <w:rPr>
                <w:sz w:val="18"/>
              </w:rPr>
            </w:pPr>
            <w:r>
              <w:rPr>
                <w:spacing w:val="-5"/>
                <w:sz w:val="18"/>
              </w:rPr>
              <w:t>Mar</w:t>
            </w:r>
          </w:p>
        </w:tc>
        <w:tc>
          <w:tcPr>
            <w:tcW w:w="1041" w:type="dxa"/>
            <w:tcBorders>
              <w:left w:val="single" w:sz="4" w:space="0" w:color="000000"/>
              <w:right w:val="single" w:sz="4" w:space="0" w:color="000000"/>
            </w:tcBorders>
          </w:tcPr>
          <w:p>
            <w:pPr>
              <w:pStyle w:val="TableParagraph"/>
              <w:spacing w:before="31"/>
              <w:ind w:left="118"/>
              <w:rPr>
                <w:sz w:val="18"/>
              </w:rPr>
            </w:pPr>
            <w:r>
              <w:rPr>
                <w:spacing w:val="-5"/>
                <w:sz w:val="18"/>
              </w:rPr>
              <w:t>8.4</w:t>
            </w:r>
          </w:p>
        </w:tc>
        <w:tc>
          <w:tcPr>
            <w:tcW w:w="1324" w:type="dxa"/>
            <w:tcBorders>
              <w:left w:val="single" w:sz="4" w:space="0" w:color="000000"/>
              <w:right w:val="single" w:sz="4" w:space="0" w:color="000000"/>
            </w:tcBorders>
          </w:tcPr>
          <w:p>
            <w:pPr>
              <w:pStyle w:val="TableParagraph"/>
              <w:spacing w:line="275" w:lineRule="exact" w:before="0"/>
              <w:ind w:left="118"/>
              <w:rPr>
                <w:sz w:val="18"/>
              </w:rPr>
            </w:pPr>
            <w:r>
              <w:rPr>
                <w:rFonts w:ascii="Meiryo UI" w:hAnsi="Meiryo UI"/>
                <w:i/>
                <w:spacing w:val="-4"/>
                <w:sz w:val="18"/>
              </w:rPr>
              <w:t>−</w:t>
            </w:r>
            <w:r>
              <w:rPr>
                <w:spacing w:val="-4"/>
                <w:sz w:val="18"/>
              </w:rPr>
              <w:t>0.5</w:t>
            </w:r>
          </w:p>
        </w:tc>
        <w:tc>
          <w:tcPr>
            <w:tcW w:w="1381" w:type="dxa"/>
            <w:tcBorders>
              <w:left w:val="single" w:sz="4" w:space="0" w:color="000000"/>
              <w:right w:val="single" w:sz="4" w:space="0" w:color="000000"/>
            </w:tcBorders>
          </w:tcPr>
          <w:p>
            <w:pPr>
              <w:pStyle w:val="TableParagraph"/>
              <w:spacing w:before="31"/>
              <w:ind w:left="118"/>
              <w:rPr>
                <w:sz w:val="18"/>
              </w:rPr>
            </w:pPr>
            <w:r>
              <w:rPr>
                <w:sz w:val="18"/>
              </w:rPr>
              <w:t>DOY</w:t>
            </w:r>
            <w:r>
              <w:rPr>
                <w:spacing w:val="63"/>
                <w:sz w:val="18"/>
              </w:rPr>
              <w:t> </w:t>
            </w:r>
            <w:r>
              <w:rPr>
                <w:sz w:val="18"/>
              </w:rPr>
              <w:t>90</w:t>
            </w:r>
            <w:r>
              <w:rPr>
                <w:spacing w:val="63"/>
                <w:sz w:val="18"/>
              </w:rPr>
              <w:t> </w:t>
            </w:r>
            <w:r>
              <w:rPr>
                <w:sz w:val="18"/>
              </w:rPr>
              <w:t>/</w:t>
            </w:r>
            <w:r>
              <w:rPr>
                <w:spacing w:val="64"/>
                <w:sz w:val="18"/>
              </w:rPr>
              <w:t> </w:t>
            </w:r>
            <w:r>
              <w:rPr>
                <w:spacing w:val="-5"/>
                <w:sz w:val="18"/>
              </w:rPr>
              <w:t>30</w:t>
            </w:r>
          </w:p>
          <w:p>
            <w:pPr>
              <w:pStyle w:val="TableParagraph"/>
              <w:spacing w:before="12"/>
              <w:ind w:left="118"/>
              <w:rPr>
                <w:sz w:val="18"/>
              </w:rPr>
            </w:pPr>
            <w:r>
              <w:rPr>
                <w:spacing w:val="-5"/>
                <w:sz w:val="18"/>
              </w:rPr>
              <w:t>Mar</w:t>
            </w:r>
          </w:p>
        </w:tc>
        <w:tc>
          <w:tcPr>
            <w:tcW w:w="1041" w:type="dxa"/>
            <w:tcBorders>
              <w:left w:val="single" w:sz="4" w:space="0" w:color="000000"/>
              <w:right w:val="single" w:sz="4" w:space="0" w:color="000000"/>
            </w:tcBorders>
          </w:tcPr>
          <w:p>
            <w:pPr>
              <w:pStyle w:val="TableParagraph"/>
              <w:spacing w:before="31"/>
              <w:ind w:left="118"/>
              <w:rPr>
                <w:sz w:val="18"/>
              </w:rPr>
            </w:pPr>
            <w:r>
              <w:rPr>
                <w:spacing w:val="-5"/>
                <w:sz w:val="18"/>
              </w:rPr>
              <w:t>9.2</w:t>
            </w:r>
          </w:p>
        </w:tc>
        <w:tc>
          <w:tcPr>
            <w:tcW w:w="846" w:type="dxa"/>
            <w:tcBorders>
              <w:left w:val="single" w:sz="4" w:space="0" w:color="000000"/>
            </w:tcBorders>
          </w:tcPr>
          <w:p>
            <w:pPr>
              <w:pStyle w:val="TableParagraph"/>
              <w:spacing w:line="275" w:lineRule="exact" w:before="0"/>
              <w:ind w:left="118"/>
              <w:rPr>
                <w:sz w:val="18"/>
              </w:rPr>
            </w:pPr>
            <w:r>
              <w:rPr>
                <w:rFonts w:ascii="Meiryo UI" w:hAnsi="Meiryo UI"/>
                <w:i/>
                <w:spacing w:val="-4"/>
                <w:sz w:val="18"/>
              </w:rPr>
              <w:t>−</w:t>
            </w:r>
            <w:r>
              <w:rPr>
                <w:spacing w:val="-4"/>
                <w:sz w:val="18"/>
              </w:rPr>
              <w:t>1.0</w:t>
            </w:r>
          </w:p>
        </w:tc>
      </w:tr>
      <w:tr>
        <w:trPr>
          <w:trHeight w:val="504" w:hRule="atLeast"/>
        </w:trPr>
        <w:tc>
          <w:tcPr>
            <w:tcW w:w="1490" w:type="dxa"/>
            <w:tcBorders>
              <w:right w:val="single" w:sz="4" w:space="0" w:color="000000"/>
            </w:tcBorders>
          </w:tcPr>
          <w:p>
            <w:pPr>
              <w:pStyle w:val="TableParagraph"/>
              <w:ind w:left="119"/>
              <w:rPr>
                <w:sz w:val="18"/>
              </w:rPr>
            </w:pPr>
            <w:r>
              <w:rPr>
                <w:spacing w:val="-2"/>
                <w:sz w:val="18"/>
              </w:rPr>
              <w:t>Flowering</w:t>
            </w:r>
            <w:r>
              <w:rPr>
                <w:spacing w:val="4"/>
                <w:sz w:val="18"/>
              </w:rPr>
              <w:t> </w:t>
            </w:r>
            <w:r>
              <w:rPr>
                <w:spacing w:val="-4"/>
                <w:sz w:val="18"/>
              </w:rPr>
              <w:t>(Fl)</w:t>
            </w:r>
          </w:p>
        </w:tc>
        <w:tc>
          <w:tcPr>
            <w:tcW w:w="1381" w:type="dxa"/>
            <w:tcBorders>
              <w:left w:val="single" w:sz="4" w:space="0" w:color="000000"/>
              <w:right w:val="single" w:sz="4" w:space="0" w:color="000000"/>
            </w:tcBorders>
          </w:tcPr>
          <w:p>
            <w:pPr>
              <w:pStyle w:val="TableParagraph"/>
              <w:ind w:left="118"/>
              <w:rPr>
                <w:sz w:val="18"/>
              </w:rPr>
            </w:pPr>
            <w:r>
              <w:rPr>
                <w:sz w:val="18"/>
              </w:rPr>
              <w:t>DOY</w:t>
            </w:r>
            <w:r>
              <w:rPr>
                <w:spacing w:val="33"/>
                <w:sz w:val="18"/>
              </w:rPr>
              <w:t> </w:t>
            </w:r>
            <w:r>
              <w:rPr>
                <w:sz w:val="18"/>
              </w:rPr>
              <w:t>135</w:t>
            </w:r>
            <w:r>
              <w:rPr>
                <w:spacing w:val="33"/>
                <w:sz w:val="18"/>
              </w:rPr>
              <w:t> </w:t>
            </w:r>
            <w:r>
              <w:rPr>
                <w:sz w:val="18"/>
              </w:rPr>
              <w:t>/</w:t>
            </w:r>
            <w:r>
              <w:rPr>
                <w:spacing w:val="34"/>
                <w:sz w:val="18"/>
              </w:rPr>
              <w:t> </w:t>
            </w:r>
            <w:r>
              <w:rPr>
                <w:spacing w:val="-7"/>
                <w:sz w:val="18"/>
              </w:rPr>
              <w:t>14</w:t>
            </w:r>
          </w:p>
          <w:p>
            <w:pPr>
              <w:pStyle w:val="TableParagraph"/>
              <w:spacing w:before="12"/>
              <w:ind w:left="118"/>
              <w:rPr>
                <w:sz w:val="18"/>
              </w:rPr>
            </w:pPr>
            <w:r>
              <w:rPr>
                <w:spacing w:val="-5"/>
                <w:sz w:val="18"/>
              </w:rPr>
              <w:t>May</w:t>
            </w:r>
          </w:p>
        </w:tc>
        <w:tc>
          <w:tcPr>
            <w:tcW w:w="1041" w:type="dxa"/>
            <w:tcBorders>
              <w:left w:val="single" w:sz="4" w:space="0" w:color="000000"/>
              <w:right w:val="single" w:sz="4" w:space="0" w:color="000000"/>
            </w:tcBorders>
          </w:tcPr>
          <w:p>
            <w:pPr>
              <w:pStyle w:val="TableParagraph"/>
              <w:ind w:left="118"/>
              <w:rPr>
                <w:sz w:val="18"/>
              </w:rPr>
            </w:pPr>
            <w:r>
              <w:rPr>
                <w:spacing w:val="-5"/>
                <w:sz w:val="18"/>
              </w:rPr>
              <w:t>9.8</w:t>
            </w:r>
          </w:p>
        </w:tc>
        <w:tc>
          <w:tcPr>
            <w:tcW w:w="1324" w:type="dxa"/>
            <w:tcBorders>
              <w:left w:val="single" w:sz="4" w:space="0" w:color="000000"/>
              <w:right w:val="single" w:sz="4" w:space="0" w:color="000000"/>
            </w:tcBorders>
          </w:tcPr>
          <w:p>
            <w:pPr>
              <w:pStyle w:val="TableParagraph"/>
              <w:spacing w:line="276" w:lineRule="exact" w:before="0"/>
              <w:ind w:left="118"/>
              <w:rPr>
                <w:sz w:val="18"/>
              </w:rPr>
            </w:pPr>
            <w:r>
              <w:rPr>
                <w:rFonts w:ascii="Meiryo UI" w:hAnsi="Meiryo UI"/>
                <w:i/>
                <w:spacing w:val="-4"/>
                <w:sz w:val="18"/>
              </w:rPr>
              <w:t>−</w:t>
            </w:r>
            <w:r>
              <w:rPr>
                <w:spacing w:val="-4"/>
                <w:sz w:val="18"/>
              </w:rPr>
              <w:t>0.7</w:t>
            </w:r>
          </w:p>
        </w:tc>
        <w:tc>
          <w:tcPr>
            <w:tcW w:w="1381" w:type="dxa"/>
            <w:tcBorders>
              <w:left w:val="single" w:sz="4" w:space="0" w:color="000000"/>
              <w:right w:val="single" w:sz="4" w:space="0" w:color="000000"/>
            </w:tcBorders>
          </w:tcPr>
          <w:p>
            <w:pPr>
              <w:pStyle w:val="TableParagraph"/>
              <w:ind w:left="118"/>
              <w:rPr>
                <w:sz w:val="18"/>
              </w:rPr>
            </w:pPr>
            <w:r>
              <w:rPr>
                <w:sz w:val="18"/>
              </w:rPr>
              <w:t>DOY</w:t>
            </w:r>
            <w:r>
              <w:rPr>
                <w:spacing w:val="63"/>
                <w:sz w:val="18"/>
              </w:rPr>
              <w:t> </w:t>
            </w:r>
            <w:r>
              <w:rPr>
                <w:sz w:val="18"/>
              </w:rPr>
              <w:t>154</w:t>
            </w:r>
            <w:r>
              <w:rPr>
                <w:spacing w:val="63"/>
                <w:sz w:val="18"/>
              </w:rPr>
              <w:t> </w:t>
            </w:r>
            <w:r>
              <w:rPr>
                <w:sz w:val="18"/>
              </w:rPr>
              <w:t>/</w:t>
            </w:r>
            <w:r>
              <w:rPr>
                <w:spacing w:val="65"/>
                <w:sz w:val="18"/>
              </w:rPr>
              <w:t> </w:t>
            </w:r>
            <w:r>
              <w:rPr>
                <w:spacing w:val="-10"/>
                <w:sz w:val="18"/>
              </w:rPr>
              <w:t>2</w:t>
            </w:r>
          </w:p>
          <w:p>
            <w:pPr>
              <w:pStyle w:val="TableParagraph"/>
              <w:spacing w:before="12"/>
              <w:ind w:left="115"/>
              <w:rPr>
                <w:sz w:val="18"/>
              </w:rPr>
            </w:pPr>
            <w:r>
              <w:rPr>
                <w:spacing w:val="-5"/>
                <w:sz w:val="18"/>
              </w:rPr>
              <w:t>Jun</w:t>
            </w:r>
          </w:p>
        </w:tc>
        <w:tc>
          <w:tcPr>
            <w:tcW w:w="1041" w:type="dxa"/>
            <w:tcBorders>
              <w:left w:val="single" w:sz="4" w:space="0" w:color="000000"/>
              <w:right w:val="single" w:sz="4" w:space="0" w:color="000000"/>
            </w:tcBorders>
          </w:tcPr>
          <w:p>
            <w:pPr>
              <w:pStyle w:val="TableParagraph"/>
              <w:ind w:left="118"/>
              <w:rPr>
                <w:sz w:val="18"/>
              </w:rPr>
            </w:pPr>
            <w:r>
              <w:rPr>
                <w:spacing w:val="-4"/>
                <w:sz w:val="18"/>
              </w:rPr>
              <w:t>12.0</w:t>
            </w:r>
          </w:p>
        </w:tc>
        <w:tc>
          <w:tcPr>
            <w:tcW w:w="846" w:type="dxa"/>
            <w:tcBorders>
              <w:left w:val="single" w:sz="4" w:space="0" w:color="000000"/>
            </w:tcBorders>
          </w:tcPr>
          <w:p>
            <w:pPr>
              <w:pStyle w:val="TableParagraph"/>
              <w:spacing w:line="276" w:lineRule="exact" w:before="0"/>
              <w:ind w:left="118"/>
              <w:rPr>
                <w:sz w:val="18"/>
              </w:rPr>
            </w:pPr>
            <w:r>
              <w:rPr>
                <w:rFonts w:ascii="Meiryo UI" w:hAnsi="Meiryo UI"/>
                <w:i/>
                <w:spacing w:val="-4"/>
                <w:sz w:val="18"/>
              </w:rPr>
              <w:t>−</w:t>
            </w:r>
            <w:r>
              <w:rPr>
                <w:spacing w:val="-4"/>
                <w:sz w:val="18"/>
              </w:rPr>
              <w:t>1.1</w:t>
            </w:r>
          </w:p>
        </w:tc>
      </w:tr>
      <w:tr>
        <w:trPr>
          <w:trHeight w:val="504" w:hRule="atLeast"/>
        </w:trPr>
        <w:tc>
          <w:tcPr>
            <w:tcW w:w="1490" w:type="dxa"/>
            <w:tcBorders>
              <w:right w:val="single" w:sz="4" w:space="0" w:color="000000"/>
            </w:tcBorders>
          </w:tcPr>
          <w:p>
            <w:pPr>
              <w:pStyle w:val="TableParagraph"/>
              <w:tabs>
                <w:tab w:pos="732" w:val="left" w:leader="none"/>
              </w:tabs>
              <w:spacing w:line="254" w:lineRule="auto"/>
              <w:ind w:left="113" w:right="109" w:firstLine="5"/>
              <w:rPr>
                <w:sz w:val="18"/>
              </w:rPr>
            </w:pPr>
            <w:r>
              <w:rPr>
                <w:spacing w:val="-2"/>
                <w:sz w:val="18"/>
              </w:rPr>
              <w:t>Start</w:t>
            </w:r>
            <w:r>
              <w:rPr>
                <w:sz w:val="18"/>
              </w:rPr>
              <w:tab/>
            </w:r>
            <w:r>
              <w:rPr>
                <w:spacing w:val="-2"/>
                <w:sz w:val="18"/>
              </w:rPr>
              <w:t>Maturity </w:t>
            </w:r>
            <w:r>
              <w:rPr>
                <w:spacing w:val="-4"/>
                <w:sz w:val="18"/>
              </w:rPr>
              <w:t>(sM)</w:t>
            </w:r>
          </w:p>
        </w:tc>
        <w:tc>
          <w:tcPr>
            <w:tcW w:w="1381" w:type="dxa"/>
            <w:tcBorders>
              <w:left w:val="single" w:sz="4" w:space="0" w:color="000000"/>
              <w:right w:val="single" w:sz="4" w:space="0" w:color="000000"/>
            </w:tcBorders>
          </w:tcPr>
          <w:p>
            <w:pPr>
              <w:pStyle w:val="TableParagraph"/>
              <w:ind w:left="118"/>
              <w:rPr>
                <w:sz w:val="18"/>
              </w:rPr>
            </w:pPr>
            <w:r>
              <w:rPr>
                <w:sz w:val="18"/>
              </w:rPr>
              <w:t>DOY</w:t>
            </w:r>
            <w:r>
              <w:rPr>
                <w:spacing w:val="36"/>
                <w:sz w:val="18"/>
              </w:rPr>
              <w:t> </w:t>
            </w:r>
            <w:r>
              <w:rPr>
                <w:sz w:val="18"/>
              </w:rPr>
              <w:t>179</w:t>
            </w:r>
            <w:r>
              <w:rPr>
                <w:spacing w:val="36"/>
                <w:sz w:val="18"/>
              </w:rPr>
              <w:t> </w:t>
            </w:r>
            <w:r>
              <w:rPr>
                <w:sz w:val="18"/>
              </w:rPr>
              <w:t>/</w:t>
            </w:r>
            <w:r>
              <w:rPr>
                <w:spacing w:val="37"/>
                <w:sz w:val="18"/>
              </w:rPr>
              <w:t> </w:t>
            </w:r>
            <w:r>
              <w:rPr>
                <w:spacing w:val="-5"/>
                <w:sz w:val="18"/>
              </w:rPr>
              <w:t>27</w:t>
            </w:r>
          </w:p>
          <w:p>
            <w:pPr>
              <w:pStyle w:val="TableParagraph"/>
              <w:spacing w:before="12"/>
              <w:ind w:left="115"/>
              <w:rPr>
                <w:sz w:val="18"/>
              </w:rPr>
            </w:pPr>
            <w:r>
              <w:rPr>
                <w:spacing w:val="-5"/>
                <w:sz w:val="18"/>
              </w:rPr>
              <w:t>Jun</w:t>
            </w:r>
          </w:p>
        </w:tc>
        <w:tc>
          <w:tcPr>
            <w:tcW w:w="1041" w:type="dxa"/>
            <w:tcBorders>
              <w:left w:val="single" w:sz="4" w:space="0" w:color="000000"/>
              <w:right w:val="single" w:sz="4" w:space="0" w:color="000000"/>
            </w:tcBorders>
          </w:tcPr>
          <w:p>
            <w:pPr>
              <w:pStyle w:val="TableParagraph"/>
              <w:ind w:left="118"/>
              <w:rPr>
                <w:sz w:val="18"/>
              </w:rPr>
            </w:pPr>
            <w:r>
              <w:rPr>
                <w:spacing w:val="-5"/>
                <w:sz w:val="18"/>
              </w:rPr>
              <w:t>8.6</w:t>
            </w:r>
          </w:p>
        </w:tc>
        <w:tc>
          <w:tcPr>
            <w:tcW w:w="1324" w:type="dxa"/>
            <w:tcBorders>
              <w:left w:val="single" w:sz="4" w:space="0" w:color="000000"/>
              <w:right w:val="single" w:sz="4" w:space="0" w:color="000000"/>
            </w:tcBorders>
          </w:tcPr>
          <w:p>
            <w:pPr>
              <w:pStyle w:val="TableParagraph"/>
              <w:spacing w:line="276" w:lineRule="exact" w:before="0"/>
              <w:ind w:left="118"/>
              <w:rPr>
                <w:sz w:val="18"/>
              </w:rPr>
            </w:pPr>
            <w:r>
              <w:rPr>
                <w:rFonts w:ascii="Meiryo UI" w:hAnsi="Meiryo UI"/>
                <w:i/>
                <w:spacing w:val="-4"/>
                <w:sz w:val="18"/>
              </w:rPr>
              <w:t>−</w:t>
            </w:r>
            <w:r>
              <w:rPr>
                <w:spacing w:val="-4"/>
                <w:sz w:val="18"/>
              </w:rPr>
              <w:t>0.9</w:t>
            </w:r>
          </w:p>
        </w:tc>
        <w:tc>
          <w:tcPr>
            <w:tcW w:w="1381" w:type="dxa"/>
            <w:tcBorders>
              <w:left w:val="single" w:sz="4" w:space="0" w:color="000000"/>
              <w:right w:val="single" w:sz="4" w:space="0" w:color="000000"/>
            </w:tcBorders>
          </w:tcPr>
          <w:p>
            <w:pPr>
              <w:pStyle w:val="TableParagraph"/>
              <w:ind w:left="118"/>
              <w:rPr>
                <w:sz w:val="18"/>
              </w:rPr>
            </w:pPr>
            <w:r>
              <w:rPr>
                <w:sz w:val="18"/>
              </w:rPr>
              <w:t>DOY</w:t>
            </w:r>
            <w:r>
              <w:rPr>
                <w:spacing w:val="33"/>
                <w:sz w:val="18"/>
              </w:rPr>
              <w:t> </w:t>
            </w:r>
            <w:r>
              <w:rPr>
                <w:sz w:val="18"/>
              </w:rPr>
              <w:t>227</w:t>
            </w:r>
            <w:r>
              <w:rPr>
                <w:spacing w:val="33"/>
                <w:sz w:val="18"/>
              </w:rPr>
              <w:t> </w:t>
            </w:r>
            <w:r>
              <w:rPr>
                <w:sz w:val="18"/>
              </w:rPr>
              <w:t>/</w:t>
            </w:r>
            <w:r>
              <w:rPr>
                <w:spacing w:val="34"/>
                <w:sz w:val="18"/>
              </w:rPr>
              <w:t> </w:t>
            </w:r>
            <w:r>
              <w:rPr>
                <w:spacing w:val="-7"/>
                <w:sz w:val="18"/>
              </w:rPr>
              <w:t>14</w:t>
            </w:r>
          </w:p>
          <w:p>
            <w:pPr>
              <w:pStyle w:val="TableParagraph"/>
              <w:spacing w:before="12"/>
              <w:ind w:left="112"/>
              <w:rPr>
                <w:sz w:val="18"/>
              </w:rPr>
            </w:pPr>
            <w:r>
              <w:rPr>
                <w:spacing w:val="-5"/>
                <w:sz w:val="18"/>
              </w:rPr>
              <w:t>Aug</w:t>
            </w:r>
          </w:p>
        </w:tc>
        <w:tc>
          <w:tcPr>
            <w:tcW w:w="1041" w:type="dxa"/>
            <w:tcBorders>
              <w:left w:val="single" w:sz="4" w:space="0" w:color="000000"/>
              <w:right w:val="single" w:sz="4" w:space="0" w:color="000000"/>
            </w:tcBorders>
          </w:tcPr>
          <w:p>
            <w:pPr>
              <w:pStyle w:val="TableParagraph"/>
              <w:ind w:left="118"/>
              <w:rPr>
                <w:sz w:val="18"/>
              </w:rPr>
            </w:pPr>
            <w:r>
              <w:rPr>
                <w:spacing w:val="-4"/>
                <w:sz w:val="18"/>
              </w:rPr>
              <w:t>13.6</w:t>
            </w:r>
          </w:p>
        </w:tc>
        <w:tc>
          <w:tcPr>
            <w:tcW w:w="846" w:type="dxa"/>
            <w:tcBorders>
              <w:left w:val="single" w:sz="4" w:space="0" w:color="000000"/>
            </w:tcBorders>
          </w:tcPr>
          <w:p>
            <w:pPr>
              <w:pStyle w:val="TableParagraph"/>
              <w:spacing w:line="276" w:lineRule="exact" w:before="0"/>
              <w:ind w:left="118"/>
              <w:rPr>
                <w:sz w:val="18"/>
              </w:rPr>
            </w:pPr>
            <w:r>
              <w:rPr>
                <w:rFonts w:ascii="Meiryo UI" w:hAnsi="Meiryo UI"/>
                <w:i/>
                <w:spacing w:val="-4"/>
                <w:sz w:val="18"/>
              </w:rPr>
              <w:t>−</w:t>
            </w:r>
            <w:r>
              <w:rPr>
                <w:spacing w:val="-4"/>
                <w:sz w:val="18"/>
              </w:rPr>
              <w:t>1.7</w:t>
            </w:r>
          </w:p>
        </w:tc>
      </w:tr>
      <w:tr>
        <w:trPr>
          <w:trHeight w:val="541" w:hRule="atLeast"/>
        </w:trPr>
        <w:tc>
          <w:tcPr>
            <w:tcW w:w="1490" w:type="dxa"/>
            <w:tcBorders>
              <w:bottom w:val="single" w:sz="8" w:space="0" w:color="000000"/>
              <w:right w:val="single" w:sz="4" w:space="0" w:color="000000"/>
            </w:tcBorders>
          </w:tcPr>
          <w:p>
            <w:pPr>
              <w:pStyle w:val="TableParagraph"/>
              <w:ind w:left="119"/>
              <w:rPr>
                <w:sz w:val="18"/>
              </w:rPr>
            </w:pPr>
            <w:r>
              <w:rPr>
                <w:sz w:val="18"/>
              </w:rPr>
              <w:t>Harvest</w:t>
            </w:r>
            <w:r>
              <w:rPr>
                <w:spacing w:val="-10"/>
                <w:sz w:val="18"/>
              </w:rPr>
              <w:t> </w:t>
            </w:r>
            <w:r>
              <w:rPr>
                <w:spacing w:val="-4"/>
                <w:sz w:val="18"/>
              </w:rPr>
              <w:t>(Hv)</w:t>
            </w:r>
          </w:p>
        </w:tc>
        <w:tc>
          <w:tcPr>
            <w:tcW w:w="1381" w:type="dxa"/>
            <w:tcBorders>
              <w:left w:val="single" w:sz="4" w:space="0" w:color="000000"/>
              <w:bottom w:val="single" w:sz="8" w:space="0" w:color="000000"/>
              <w:right w:val="single" w:sz="4" w:space="0" w:color="000000"/>
            </w:tcBorders>
          </w:tcPr>
          <w:p>
            <w:pPr>
              <w:pStyle w:val="TableParagraph"/>
              <w:ind w:left="118"/>
              <w:rPr>
                <w:sz w:val="18"/>
              </w:rPr>
            </w:pPr>
            <w:r>
              <w:rPr>
                <w:sz w:val="18"/>
              </w:rPr>
              <w:t>DOY</w:t>
            </w:r>
            <w:r>
              <w:rPr>
                <w:spacing w:val="33"/>
                <w:sz w:val="18"/>
              </w:rPr>
              <w:t> </w:t>
            </w:r>
            <w:r>
              <w:rPr>
                <w:sz w:val="18"/>
              </w:rPr>
              <w:t>257</w:t>
            </w:r>
            <w:r>
              <w:rPr>
                <w:spacing w:val="33"/>
                <w:sz w:val="18"/>
              </w:rPr>
              <w:t> </w:t>
            </w:r>
            <w:r>
              <w:rPr>
                <w:sz w:val="18"/>
              </w:rPr>
              <w:t>/</w:t>
            </w:r>
            <w:r>
              <w:rPr>
                <w:spacing w:val="34"/>
                <w:sz w:val="18"/>
              </w:rPr>
              <w:t> </w:t>
            </w:r>
            <w:r>
              <w:rPr>
                <w:spacing w:val="-7"/>
                <w:sz w:val="18"/>
              </w:rPr>
              <w:t>13</w:t>
            </w:r>
          </w:p>
          <w:p>
            <w:pPr>
              <w:pStyle w:val="TableParagraph"/>
              <w:spacing w:before="12"/>
              <w:ind w:left="118"/>
              <w:rPr>
                <w:sz w:val="18"/>
              </w:rPr>
            </w:pPr>
            <w:r>
              <w:rPr>
                <w:spacing w:val="-5"/>
                <w:sz w:val="18"/>
              </w:rPr>
              <w:t>Sep</w:t>
            </w:r>
          </w:p>
        </w:tc>
        <w:tc>
          <w:tcPr>
            <w:tcW w:w="1041" w:type="dxa"/>
            <w:tcBorders>
              <w:left w:val="single" w:sz="4" w:space="0" w:color="000000"/>
              <w:bottom w:val="single" w:sz="8" w:space="0" w:color="000000"/>
              <w:right w:val="single" w:sz="4" w:space="0" w:color="000000"/>
            </w:tcBorders>
          </w:tcPr>
          <w:p>
            <w:pPr>
              <w:pStyle w:val="TableParagraph"/>
              <w:ind w:left="118"/>
              <w:rPr>
                <w:sz w:val="18"/>
              </w:rPr>
            </w:pPr>
            <w:r>
              <w:rPr>
                <w:spacing w:val="-4"/>
                <w:sz w:val="18"/>
              </w:rPr>
              <w:t>13.3</w:t>
            </w:r>
          </w:p>
        </w:tc>
        <w:tc>
          <w:tcPr>
            <w:tcW w:w="1324" w:type="dxa"/>
            <w:tcBorders>
              <w:left w:val="single" w:sz="4" w:space="0" w:color="000000"/>
              <w:bottom w:val="single" w:sz="8" w:space="0" w:color="000000"/>
              <w:right w:val="single" w:sz="4" w:space="0" w:color="000000"/>
            </w:tcBorders>
          </w:tcPr>
          <w:p>
            <w:pPr>
              <w:pStyle w:val="TableParagraph"/>
              <w:spacing w:line="276" w:lineRule="exact" w:before="0"/>
              <w:ind w:left="118"/>
              <w:rPr>
                <w:sz w:val="18"/>
              </w:rPr>
            </w:pPr>
            <w:r>
              <w:rPr>
                <w:rFonts w:ascii="Meiryo UI" w:hAnsi="Meiryo UI"/>
                <w:i/>
                <w:spacing w:val="-4"/>
                <w:sz w:val="18"/>
              </w:rPr>
              <w:t>−</w:t>
            </w:r>
            <w:r>
              <w:rPr>
                <w:spacing w:val="-4"/>
                <w:sz w:val="18"/>
              </w:rPr>
              <w:t>1.9</w:t>
            </w:r>
          </w:p>
        </w:tc>
        <w:tc>
          <w:tcPr>
            <w:tcW w:w="1381" w:type="dxa"/>
            <w:tcBorders>
              <w:left w:val="single" w:sz="4" w:space="0" w:color="000000"/>
              <w:bottom w:val="single" w:sz="8" w:space="0" w:color="000000"/>
              <w:right w:val="single" w:sz="4" w:space="0" w:color="000000"/>
            </w:tcBorders>
          </w:tcPr>
          <w:p>
            <w:pPr>
              <w:pStyle w:val="TableParagraph"/>
              <w:ind w:left="118"/>
              <w:rPr>
                <w:sz w:val="18"/>
              </w:rPr>
            </w:pPr>
            <w:r>
              <w:rPr>
                <w:sz w:val="18"/>
              </w:rPr>
              <w:t>DOY</w:t>
            </w:r>
            <w:r>
              <w:rPr>
                <w:spacing w:val="33"/>
                <w:sz w:val="18"/>
              </w:rPr>
              <w:t> </w:t>
            </w:r>
            <w:r>
              <w:rPr>
                <w:sz w:val="18"/>
              </w:rPr>
              <w:t>270</w:t>
            </w:r>
            <w:r>
              <w:rPr>
                <w:spacing w:val="33"/>
                <w:sz w:val="18"/>
              </w:rPr>
              <w:t> </w:t>
            </w:r>
            <w:r>
              <w:rPr>
                <w:sz w:val="18"/>
              </w:rPr>
              <w:t>/</w:t>
            </w:r>
            <w:r>
              <w:rPr>
                <w:spacing w:val="34"/>
                <w:sz w:val="18"/>
              </w:rPr>
              <w:t> </w:t>
            </w:r>
            <w:r>
              <w:rPr>
                <w:spacing w:val="-7"/>
                <w:sz w:val="18"/>
              </w:rPr>
              <w:t>26</w:t>
            </w:r>
          </w:p>
          <w:p>
            <w:pPr>
              <w:pStyle w:val="TableParagraph"/>
              <w:spacing w:before="12"/>
              <w:ind w:left="118"/>
              <w:rPr>
                <w:sz w:val="18"/>
              </w:rPr>
            </w:pPr>
            <w:r>
              <w:rPr>
                <w:spacing w:val="-5"/>
                <w:sz w:val="18"/>
              </w:rPr>
              <w:t>Sep</w:t>
            </w:r>
          </w:p>
        </w:tc>
        <w:tc>
          <w:tcPr>
            <w:tcW w:w="1041" w:type="dxa"/>
            <w:tcBorders>
              <w:left w:val="single" w:sz="4" w:space="0" w:color="000000"/>
              <w:bottom w:val="single" w:sz="8" w:space="0" w:color="000000"/>
              <w:right w:val="single" w:sz="4" w:space="0" w:color="000000"/>
            </w:tcBorders>
          </w:tcPr>
          <w:p>
            <w:pPr>
              <w:pStyle w:val="TableParagraph"/>
              <w:ind w:left="118"/>
              <w:rPr>
                <w:sz w:val="18"/>
              </w:rPr>
            </w:pPr>
            <w:r>
              <w:rPr>
                <w:spacing w:val="-4"/>
                <w:sz w:val="18"/>
              </w:rPr>
              <w:t>17.0</w:t>
            </w:r>
          </w:p>
        </w:tc>
        <w:tc>
          <w:tcPr>
            <w:tcW w:w="846" w:type="dxa"/>
            <w:tcBorders>
              <w:left w:val="single" w:sz="4" w:space="0" w:color="000000"/>
              <w:bottom w:val="single" w:sz="8" w:space="0" w:color="000000"/>
            </w:tcBorders>
          </w:tcPr>
          <w:p>
            <w:pPr>
              <w:pStyle w:val="TableParagraph"/>
              <w:spacing w:line="276" w:lineRule="exact" w:before="0"/>
              <w:ind w:left="118"/>
              <w:rPr>
                <w:sz w:val="18"/>
              </w:rPr>
            </w:pPr>
            <w:r>
              <w:rPr>
                <w:rFonts w:ascii="Meiryo UI" w:hAnsi="Meiryo UI"/>
                <w:i/>
                <w:spacing w:val="-4"/>
                <w:sz w:val="18"/>
              </w:rPr>
              <w:t>−</w:t>
            </w:r>
            <w:r>
              <w:rPr>
                <w:spacing w:val="-4"/>
                <w:sz w:val="18"/>
              </w:rPr>
              <w:t>2.6</w:t>
            </w:r>
          </w:p>
        </w:tc>
      </w:tr>
    </w:tbl>
    <w:p>
      <w:pPr>
        <w:pStyle w:val="BodyText"/>
        <w:spacing w:before="121"/>
        <w:rPr>
          <w:sz w:val="18"/>
        </w:rPr>
      </w:pPr>
    </w:p>
    <w:p>
      <w:pPr>
        <w:pStyle w:val="BodyText"/>
        <w:spacing w:line="312" w:lineRule="auto"/>
        <w:ind w:left="709" w:right="982" w:firstLine="338"/>
        <w:jc w:val="both"/>
      </w:pPr>
      <w:r>
        <w:rPr/>
        <w:t>Several</w:t>
      </w:r>
      <w:r>
        <w:rPr>
          <w:spacing w:val="-6"/>
        </w:rPr>
        <w:t> </w:t>
      </w:r>
      <w:r>
        <w:rPr/>
        <w:t>findings</w:t>
      </w:r>
      <w:r>
        <w:rPr>
          <w:spacing w:val="-6"/>
        </w:rPr>
        <w:t> </w:t>
      </w:r>
      <w:r>
        <w:rPr/>
        <w:t>stand</w:t>
      </w:r>
      <w:r>
        <w:rPr>
          <w:spacing w:val="-6"/>
        </w:rPr>
        <w:t> </w:t>
      </w:r>
      <w:r>
        <w:rPr/>
        <w:t>out. First,</w:t>
      </w:r>
      <w:r>
        <w:rPr>
          <w:spacing w:val="-6"/>
        </w:rPr>
        <w:t> </w:t>
      </w:r>
      <w:r>
        <w:rPr/>
        <w:t>harvest</w:t>
      </w:r>
      <w:r>
        <w:rPr>
          <w:spacing w:val="-6"/>
        </w:rPr>
        <w:t> </w:t>
      </w:r>
      <w:r>
        <w:rPr/>
        <w:t>timing</w:t>
      </w:r>
      <w:r>
        <w:rPr>
          <w:spacing w:val="-6"/>
        </w:rPr>
        <w:t> </w:t>
      </w:r>
      <w:r>
        <w:rPr/>
        <w:t>is</w:t>
      </w:r>
      <w:r>
        <w:rPr>
          <w:spacing w:val="-6"/>
        </w:rPr>
        <w:t> </w:t>
      </w:r>
      <w:r>
        <w:rPr/>
        <w:t>advancing</w:t>
      </w:r>
      <w:r>
        <w:rPr>
          <w:spacing w:val="-6"/>
        </w:rPr>
        <w:t> </w:t>
      </w:r>
      <w:r>
        <w:rPr/>
        <w:t>most</w:t>
      </w:r>
      <w:r>
        <w:rPr>
          <w:spacing w:val="-6"/>
        </w:rPr>
        <w:t> </w:t>
      </w:r>
      <w:r>
        <w:rPr/>
        <w:t>rapidly</w:t>
      </w:r>
      <w:r>
        <w:rPr>
          <w:spacing w:val="-6"/>
        </w:rPr>
        <w:t> </w:t>
      </w:r>
      <w:r>
        <w:rPr/>
        <w:t>in</w:t>
      </w:r>
      <w:r>
        <w:rPr>
          <w:spacing w:val="-6"/>
        </w:rPr>
        <w:t> </w:t>
      </w:r>
      <w:r>
        <w:rPr/>
        <w:t>both</w:t>
      </w:r>
      <w:r>
        <w:rPr>
          <w:spacing w:val="-6"/>
        </w:rPr>
        <w:t> </w:t>
      </w:r>
      <w:r>
        <w:rPr/>
        <w:t>regions,</w:t>
      </w:r>
      <w:r>
        <w:rPr>
          <w:spacing w:val="-6"/>
        </w:rPr>
        <w:t> </w:t>
      </w:r>
      <w:r>
        <w:rPr/>
        <w:t>by approximately</w:t>
      </w:r>
      <w:r>
        <w:rPr>
          <w:spacing w:val="-9"/>
        </w:rPr>
        <w:t> </w:t>
      </w:r>
      <w:r>
        <w:rPr/>
        <w:t>1.9</w:t>
      </w:r>
      <w:r>
        <w:rPr>
          <w:spacing w:val="-9"/>
        </w:rPr>
        <w:t> </w:t>
      </w:r>
      <w:r>
        <w:rPr/>
        <w:t>days</w:t>
      </w:r>
      <w:r>
        <w:rPr>
          <w:spacing w:val="-9"/>
        </w:rPr>
        <w:t> </w:t>
      </w:r>
      <w:r>
        <w:rPr/>
        <w:t>per</w:t>
      </w:r>
      <w:r>
        <w:rPr>
          <w:spacing w:val="-9"/>
        </w:rPr>
        <w:t> </w:t>
      </w:r>
      <w:r>
        <w:rPr/>
        <w:t>decade</w:t>
      </w:r>
      <w:r>
        <w:rPr>
          <w:spacing w:val="-9"/>
        </w:rPr>
        <w:t> </w:t>
      </w:r>
      <w:r>
        <w:rPr/>
        <w:t>in</w:t>
      </w:r>
      <w:r>
        <w:rPr>
          <w:spacing w:val="-9"/>
        </w:rPr>
        <w:t> </w:t>
      </w:r>
      <w:r>
        <w:rPr/>
        <w:t>RDD</w:t>
      </w:r>
      <w:r>
        <w:rPr>
          <w:spacing w:val="-9"/>
        </w:rPr>
        <w:t> </w:t>
      </w:r>
      <w:r>
        <w:rPr/>
        <w:t>and</w:t>
      </w:r>
      <w:r>
        <w:rPr>
          <w:spacing w:val="-9"/>
        </w:rPr>
        <w:t> </w:t>
      </w:r>
      <w:r>
        <w:rPr/>
        <w:t>2.6</w:t>
      </w:r>
      <w:r>
        <w:rPr>
          <w:spacing w:val="-9"/>
        </w:rPr>
        <w:t> </w:t>
      </w:r>
      <w:r>
        <w:rPr/>
        <w:t>days</w:t>
      </w:r>
      <w:r>
        <w:rPr>
          <w:spacing w:val="-9"/>
        </w:rPr>
        <w:t> </w:t>
      </w:r>
      <w:r>
        <w:rPr/>
        <w:t>per</w:t>
      </w:r>
      <w:r>
        <w:rPr>
          <w:spacing w:val="-9"/>
        </w:rPr>
        <w:t> </w:t>
      </w:r>
      <w:r>
        <w:rPr/>
        <w:t>decade</w:t>
      </w:r>
      <w:r>
        <w:rPr>
          <w:spacing w:val="-9"/>
        </w:rPr>
        <w:t> </w:t>
      </w:r>
      <w:r>
        <w:rPr/>
        <w:t>in</w:t>
      </w:r>
      <w:r>
        <w:rPr>
          <w:spacing w:val="-9"/>
        </w:rPr>
        <w:t> </w:t>
      </w:r>
      <w:r>
        <w:rPr/>
        <w:t>RVV.</w:t>
      </w:r>
      <w:r>
        <w:rPr>
          <w:spacing w:val="-9"/>
        </w:rPr>
        <w:t> </w:t>
      </w:r>
      <w:r>
        <w:rPr/>
        <w:t>Over</w:t>
      </w:r>
      <w:r>
        <w:rPr>
          <w:spacing w:val="-9"/>
        </w:rPr>
        <w:t> </w:t>
      </w:r>
      <w:r>
        <w:rPr/>
        <w:t>the</w:t>
      </w:r>
      <w:r>
        <w:rPr>
          <w:spacing w:val="-9"/>
        </w:rPr>
        <w:t> </w:t>
      </w:r>
      <w:r>
        <w:rPr/>
        <w:t>80–90</w:t>
      </w:r>
      <w:r>
        <w:rPr>
          <w:spacing w:val="-9"/>
        </w:rPr>
        <w:t> </w:t>
      </w:r>
      <w:r>
        <w:rPr/>
        <w:t>year </w:t>
      </w:r>
      <w:r>
        <w:rPr>
          <w:spacing w:val="-2"/>
        </w:rPr>
        <w:t>study</w:t>
      </w:r>
      <w:r>
        <w:rPr>
          <w:spacing w:val="-9"/>
        </w:rPr>
        <w:t> </w:t>
      </w:r>
      <w:r>
        <w:rPr>
          <w:spacing w:val="-2"/>
        </w:rPr>
        <w:t>period</w:t>
      </w:r>
      <w:r>
        <w:rPr>
          <w:spacing w:val="-9"/>
        </w:rPr>
        <w:t> </w:t>
      </w:r>
      <w:r>
        <w:rPr>
          <w:spacing w:val="-2"/>
        </w:rPr>
        <w:t>this</w:t>
      </w:r>
      <w:r>
        <w:rPr>
          <w:spacing w:val="-9"/>
        </w:rPr>
        <w:t> </w:t>
      </w:r>
      <w:r>
        <w:rPr>
          <w:spacing w:val="-2"/>
        </w:rPr>
        <w:t>represents</w:t>
      </w:r>
      <w:r>
        <w:rPr>
          <w:spacing w:val="-9"/>
        </w:rPr>
        <w:t> </w:t>
      </w:r>
      <w:r>
        <w:rPr>
          <w:spacing w:val="-2"/>
        </w:rPr>
        <w:t>an</w:t>
      </w:r>
      <w:r>
        <w:rPr>
          <w:spacing w:val="-9"/>
        </w:rPr>
        <w:t> </w:t>
      </w:r>
      <w:r>
        <w:rPr>
          <w:spacing w:val="-2"/>
        </w:rPr>
        <w:t>advancement</w:t>
      </w:r>
      <w:r>
        <w:rPr>
          <w:spacing w:val="-8"/>
        </w:rPr>
        <w:t> </w:t>
      </w:r>
      <w:r>
        <w:rPr>
          <w:spacing w:val="-2"/>
        </w:rPr>
        <w:t>of</w:t>
      </w:r>
      <w:r>
        <w:rPr>
          <w:spacing w:val="-9"/>
        </w:rPr>
        <w:t> </w:t>
      </w:r>
      <w:r>
        <w:rPr>
          <w:spacing w:val="-2"/>
        </w:rPr>
        <w:t>roughly</w:t>
      </w:r>
      <w:r>
        <w:rPr>
          <w:spacing w:val="-9"/>
        </w:rPr>
        <w:t> </w:t>
      </w:r>
      <w:r>
        <w:rPr>
          <w:spacing w:val="-2"/>
        </w:rPr>
        <w:t>15–23</w:t>
      </w:r>
      <w:r>
        <w:rPr>
          <w:spacing w:val="-9"/>
        </w:rPr>
        <w:t> </w:t>
      </w:r>
      <w:r>
        <w:rPr>
          <w:spacing w:val="-2"/>
        </w:rPr>
        <w:t>days,</w:t>
      </w:r>
      <w:r>
        <w:rPr>
          <w:spacing w:val="-8"/>
        </w:rPr>
        <w:t> </w:t>
      </w:r>
      <w:r>
        <w:rPr>
          <w:spacing w:val="-2"/>
        </w:rPr>
        <w:t>consistent</w:t>
      </w:r>
      <w:r>
        <w:rPr>
          <w:spacing w:val="-8"/>
        </w:rPr>
        <w:t> </w:t>
      </w:r>
      <w:r>
        <w:rPr>
          <w:spacing w:val="-2"/>
        </w:rPr>
        <w:t>with</w:t>
      </w:r>
      <w:r>
        <w:rPr>
          <w:spacing w:val="-9"/>
        </w:rPr>
        <w:t> </w:t>
      </w:r>
      <w:r>
        <w:rPr>
          <w:spacing w:val="-2"/>
        </w:rPr>
        <w:t>the</w:t>
      </w:r>
      <w:r>
        <w:rPr>
          <w:spacing w:val="-9"/>
        </w:rPr>
        <w:t> </w:t>
      </w:r>
      <w:r>
        <w:rPr>
          <w:spacing w:val="-2"/>
        </w:rPr>
        <w:t>warming</w:t>
      </w:r>
      <w:r>
        <w:rPr>
          <w:spacing w:val="-9"/>
        </w:rPr>
        <w:t> </w:t>
      </w:r>
      <w:r>
        <w:rPr>
          <w:spacing w:val="-5"/>
        </w:rPr>
        <w:t>of</w:t>
      </w:r>
    </w:p>
    <w:p>
      <w:pPr>
        <w:pStyle w:val="BodyText"/>
        <w:spacing w:line="297" w:lineRule="exact"/>
        <w:ind w:left="692"/>
        <w:jc w:val="both"/>
      </w:pPr>
      <w:r>
        <w:rPr/>
        <w:t>1.3</w:t>
      </w:r>
      <w:r>
        <w:rPr>
          <w:rFonts w:ascii="Meiryo UI" w:hAnsi="Meiryo UI"/>
          <w:i/>
          <w:vertAlign w:val="superscript"/>
        </w:rPr>
        <w:t>◦</w:t>
      </w:r>
      <w:r>
        <w:rPr>
          <w:vertAlign w:val="baseline"/>
        </w:rPr>
        <w:t>C</w:t>
      </w:r>
      <w:r>
        <w:rPr>
          <w:spacing w:val="3"/>
          <w:vertAlign w:val="baseline"/>
        </w:rPr>
        <w:t> </w:t>
      </w:r>
      <w:r>
        <w:rPr>
          <w:vertAlign w:val="baseline"/>
        </w:rPr>
        <w:t>in</w:t>
      </w:r>
      <w:r>
        <w:rPr>
          <w:spacing w:val="4"/>
          <w:vertAlign w:val="baseline"/>
        </w:rPr>
        <w:t> </w:t>
      </w:r>
      <w:r>
        <w:rPr>
          <w:vertAlign w:val="baseline"/>
        </w:rPr>
        <w:t>growing-season</w:t>
      </w:r>
      <w:r>
        <w:rPr>
          <w:spacing w:val="4"/>
          <w:vertAlign w:val="baseline"/>
        </w:rPr>
        <w:t> </w:t>
      </w:r>
      <w:r>
        <w:rPr>
          <w:vertAlign w:val="baseline"/>
        </w:rPr>
        <w:t>temperature</w:t>
      </w:r>
      <w:r>
        <w:rPr>
          <w:spacing w:val="4"/>
          <w:vertAlign w:val="baseline"/>
        </w:rPr>
        <w:t> </w:t>
      </w:r>
      <w:r>
        <w:rPr>
          <w:vertAlign w:val="baseline"/>
        </w:rPr>
        <w:t>projected</w:t>
      </w:r>
      <w:r>
        <w:rPr>
          <w:spacing w:val="4"/>
          <w:vertAlign w:val="baseline"/>
        </w:rPr>
        <w:t> </w:t>
      </w:r>
      <w:r>
        <w:rPr>
          <w:vertAlign w:val="baseline"/>
        </w:rPr>
        <w:t>and</w:t>
      </w:r>
      <w:r>
        <w:rPr>
          <w:spacing w:val="4"/>
          <w:vertAlign w:val="baseline"/>
        </w:rPr>
        <w:t> </w:t>
      </w:r>
      <w:r>
        <w:rPr>
          <w:vertAlign w:val="baseline"/>
        </w:rPr>
        <w:t>partly</w:t>
      </w:r>
      <w:r>
        <w:rPr>
          <w:spacing w:val="4"/>
          <w:vertAlign w:val="baseline"/>
        </w:rPr>
        <w:t> </w:t>
      </w:r>
      <w:r>
        <w:rPr>
          <w:vertAlign w:val="baseline"/>
        </w:rPr>
        <w:t>already</w:t>
      </w:r>
      <w:r>
        <w:rPr>
          <w:spacing w:val="4"/>
          <w:vertAlign w:val="baseline"/>
        </w:rPr>
        <w:t> </w:t>
      </w:r>
      <w:r>
        <w:rPr>
          <w:vertAlign w:val="baseline"/>
        </w:rPr>
        <w:t>observed</w:t>
      </w:r>
      <w:r>
        <w:rPr>
          <w:spacing w:val="4"/>
          <w:vertAlign w:val="baseline"/>
        </w:rPr>
        <w:t> </w:t>
      </w:r>
      <w:r>
        <w:rPr>
          <w:vertAlign w:val="baseline"/>
        </w:rPr>
        <w:t>in</w:t>
      </w:r>
      <w:r>
        <w:rPr>
          <w:spacing w:val="4"/>
          <w:vertAlign w:val="baseline"/>
        </w:rPr>
        <w:t> </w:t>
      </w:r>
      <w:r>
        <w:rPr>
          <w:vertAlign w:val="baseline"/>
        </w:rPr>
        <w:t>Portuguese</w:t>
      </w:r>
      <w:r>
        <w:rPr>
          <w:spacing w:val="4"/>
          <w:vertAlign w:val="baseline"/>
        </w:rPr>
        <w:t> </w:t>
      </w:r>
      <w:r>
        <w:rPr>
          <w:spacing w:val="-4"/>
          <w:vertAlign w:val="baseline"/>
        </w:rPr>
        <w:t>wine</w:t>
      </w:r>
    </w:p>
    <w:p>
      <w:pPr>
        <w:pStyle w:val="BodyText"/>
        <w:spacing w:line="312" w:lineRule="auto" w:before="31"/>
        <w:ind w:left="709" w:right="986"/>
        <w:jc w:val="both"/>
      </w:pPr>
      <w:r>
        <w:rPr>
          <w:spacing w:val="-2"/>
        </w:rPr>
        <w:t>regions</w:t>
      </w:r>
      <w:r>
        <w:rPr>
          <w:spacing w:val="-10"/>
        </w:rPr>
        <w:t> </w:t>
      </w:r>
      <w:r>
        <w:rPr>
          <w:spacing w:val="-2"/>
        </w:rPr>
        <w:t>(</w:t>
      </w:r>
      <w:hyperlink w:history="true" w:anchor="_bookmark217">
        <w:r>
          <w:rPr>
            <w:color w:val="8B2C18"/>
            <w:spacing w:val="-2"/>
          </w:rPr>
          <w:t>Cunha</w:t>
        </w:r>
        <w:r>
          <w:rPr>
            <w:color w:val="8B2C18"/>
            <w:spacing w:val="-9"/>
          </w:rPr>
          <w:t> </w:t>
        </w:r>
        <w:r>
          <w:rPr>
            <w:color w:val="8B2C18"/>
            <w:spacing w:val="-2"/>
          </w:rPr>
          <w:t>et</w:t>
        </w:r>
        <w:r>
          <w:rPr>
            <w:color w:val="8B2C18"/>
            <w:spacing w:val="-10"/>
          </w:rPr>
          <w:t> </w:t>
        </w:r>
        <w:r>
          <w:rPr>
            <w:color w:val="8B2C18"/>
            <w:spacing w:val="-2"/>
          </w:rPr>
          <w:t>al.</w:t>
        </w:r>
      </w:hyperlink>
      <w:r>
        <w:rPr>
          <w:spacing w:val="-2"/>
        </w:rPr>
        <w:t>,</w:t>
      </w:r>
      <w:r>
        <w:rPr>
          <w:spacing w:val="-9"/>
        </w:rPr>
        <w:t> </w:t>
      </w:r>
      <w:hyperlink w:history="true" w:anchor="_bookmark217">
        <w:r>
          <w:rPr>
            <w:color w:val="8B2C18"/>
            <w:spacing w:val="-2"/>
          </w:rPr>
          <w:t>2016</w:t>
        </w:r>
      </w:hyperlink>
      <w:r>
        <w:rPr>
          <w:spacing w:val="-2"/>
        </w:rPr>
        <w:t>).</w:t>
      </w:r>
      <w:r>
        <w:rPr/>
        <w:t> </w:t>
      </w:r>
      <w:r>
        <w:rPr>
          <w:spacing w:val="-2"/>
        </w:rPr>
        <w:t>Earlier</w:t>
      </w:r>
      <w:r>
        <w:rPr>
          <w:spacing w:val="-10"/>
        </w:rPr>
        <w:t> </w:t>
      </w:r>
      <w:r>
        <w:rPr>
          <w:spacing w:val="-2"/>
        </w:rPr>
        <w:t>harvest</w:t>
      </w:r>
      <w:r>
        <w:rPr>
          <w:spacing w:val="-9"/>
        </w:rPr>
        <w:t> </w:t>
      </w:r>
      <w:r>
        <w:rPr>
          <w:spacing w:val="-2"/>
        </w:rPr>
        <w:t>is</w:t>
      </w:r>
      <w:r>
        <w:rPr>
          <w:spacing w:val="-10"/>
        </w:rPr>
        <w:t> </w:t>
      </w:r>
      <w:r>
        <w:rPr>
          <w:spacing w:val="-2"/>
        </w:rPr>
        <w:t>a</w:t>
      </w:r>
      <w:r>
        <w:rPr>
          <w:spacing w:val="-9"/>
        </w:rPr>
        <w:t> </w:t>
      </w:r>
      <w:r>
        <w:rPr>
          <w:spacing w:val="-2"/>
        </w:rPr>
        <w:t>well-documented</w:t>
      </w:r>
      <w:r>
        <w:rPr>
          <w:spacing w:val="-10"/>
        </w:rPr>
        <w:t> </w:t>
      </w:r>
      <w:r>
        <w:rPr>
          <w:spacing w:val="-2"/>
        </w:rPr>
        <w:t>consequence</w:t>
      </w:r>
      <w:r>
        <w:rPr>
          <w:spacing w:val="-9"/>
        </w:rPr>
        <w:t> </w:t>
      </w:r>
      <w:r>
        <w:rPr>
          <w:spacing w:val="-2"/>
        </w:rPr>
        <w:t>of</w:t>
      </w:r>
      <w:r>
        <w:rPr>
          <w:spacing w:val="-10"/>
        </w:rPr>
        <w:t> </w:t>
      </w:r>
      <w:r>
        <w:rPr>
          <w:spacing w:val="-2"/>
        </w:rPr>
        <w:t>warming: grapes </w:t>
      </w:r>
      <w:r>
        <w:rPr/>
        <w:t>accumulate</w:t>
      </w:r>
      <w:r>
        <w:rPr>
          <w:spacing w:val="-13"/>
        </w:rPr>
        <w:t> </w:t>
      </w:r>
      <w:r>
        <w:rPr/>
        <w:t>heat</w:t>
      </w:r>
      <w:r>
        <w:rPr>
          <w:spacing w:val="-13"/>
        </w:rPr>
        <w:t> </w:t>
      </w:r>
      <w:r>
        <w:rPr/>
        <w:t>units</w:t>
      </w:r>
      <w:r>
        <w:rPr>
          <w:spacing w:val="-13"/>
        </w:rPr>
        <w:t> </w:t>
      </w:r>
      <w:r>
        <w:rPr/>
        <w:t>faster,</w:t>
      </w:r>
      <w:r>
        <w:rPr>
          <w:spacing w:val="-13"/>
        </w:rPr>
        <w:t> </w:t>
      </w:r>
      <w:r>
        <w:rPr/>
        <w:t>reaching</w:t>
      </w:r>
      <w:r>
        <w:rPr>
          <w:spacing w:val="-13"/>
        </w:rPr>
        <w:t> </w:t>
      </w:r>
      <w:r>
        <w:rPr/>
        <w:t>physiological</w:t>
      </w:r>
      <w:r>
        <w:rPr>
          <w:spacing w:val="-13"/>
        </w:rPr>
        <w:t> </w:t>
      </w:r>
      <w:r>
        <w:rPr/>
        <w:t>maturity</w:t>
      </w:r>
      <w:r>
        <w:rPr>
          <w:spacing w:val="-13"/>
        </w:rPr>
        <w:t> </w:t>
      </w:r>
      <w:r>
        <w:rPr/>
        <w:t>sooner.</w:t>
      </w:r>
      <w:r>
        <w:rPr>
          <w:spacing w:val="-3"/>
        </w:rPr>
        <w:t> </w:t>
      </w:r>
      <w:r>
        <w:rPr/>
        <w:t>Second,</w:t>
      </w:r>
      <w:r>
        <w:rPr>
          <w:spacing w:val="-13"/>
        </w:rPr>
        <w:t> </w:t>
      </w:r>
      <w:r>
        <w:rPr/>
        <w:t>the</w:t>
      </w:r>
      <w:r>
        <w:rPr>
          <w:spacing w:val="-13"/>
        </w:rPr>
        <w:t> </w:t>
      </w:r>
      <w:r>
        <w:rPr/>
        <w:t>trend</w:t>
      </w:r>
      <w:r>
        <w:rPr>
          <w:spacing w:val="-13"/>
        </w:rPr>
        <w:t> </w:t>
      </w:r>
      <w:r>
        <w:rPr/>
        <w:t>is</w:t>
      </w:r>
      <w:r>
        <w:rPr>
          <w:spacing w:val="-13"/>
        </w:rPr>
        <w:t> </w:t>
      </w:r>
      <w:r>
        <w:rPr/>
        <w:t>stronger in RVV than in RDD for every stage, which is consistent with the Atlantic climate’s stronger sensitivity</w:t>
      </w:r>
      <w:r>
        <w:rPr>
          <w:spacing w:val="-1"/>
        </w:rPr>
        <w:t> </w:t>
      </w:r>
      <w:r>
        <w:rPr/>
        <w:t>to</w:t>
      </w:r>
      <w:r>
        <w:rPr>
          <w:spacing w:val="-1"/>
        </w:rPr>
        <w:t> </w:t>
      </w:r>
      <w:r>
        <w:rPr/>
        <w:t>warming,</w:t>
      </w:r>
      <w:r>
        <w:rPr>
          <w:spacing w:val="-1"/>
        </w:rPr>
        <w:t> </w:t>
      </w:r>
      <w:r>
        <w:rPr/>
        <w:t>in</w:t>
      </w:r>
      <w:r>
        <w:rPr>
          <w:spacing w:val="-1"/>
        </w:rPr>
        <w:t> </w:t>
      </w:r>
      <w:r>
        <w:rPr/>
        <w:t>a</w:t>
      </w:r>
      <w:r>
        <w:rPr>
          <w:spacing w:val="-1"/>
        </w:rPr>
        <w:t> </w:t>
      </w:r>
      <w:r>
        <w:rPr/>
        <w:t>wetter</w:t>
      </w:r>
      <w:r>
        <w:rPr>
          <w:spacing w:val="-1"/>
        </w:rPr>
        <w:t> </w:t>
      </w:r>
      <w:r>
        <w:rPr/>
        <w:t>regime,</w:t>
      </w:r>
      <w:r>
        <w:rPr>
          <w:spacing w:val="-1"/>
        </w:rPr>
        <w:t> </w:t>
      </w:r>
      <w:r>
        <w:rPr/>
        <w:t>higher</w:t>
      </w:r>
      <w:r>
        <w:rPr>
          <w:spacing w:val="-1"/>
        </w:rPr>
        <w:t> </w:t>
      </w:r>
      <w:r>
        <w:rPr/>
        <w:t>temperatures</w:t>
      </w:r>
      <w:r>
        <w:rPr>
          <w:spacing w:val="-1"/>
        </w:rPr>
        <w:t> </w:t>
      </w:r>
      <w:r>
        <w:rPr/>
        <w:t>have</w:t>
      </w:r>
      <w:r>
        <w:rPr>
          <w:spacing w:val="-1"/>
        </w:rPr>
        <w:t> </w:t>
      </w:r>
      <w:r>
        <w:rPr/>
        <w:t>a</w:t>
      </w:r>
      <w:r>
        <w:rPr>
          <w:spacing w:val="-1"/>
        </w:rPr>
        <w:t> </w:t>
      </w:r>
      <w:r>
        <w:rPr/>
        <w:t>disproportionate</w:t>
      </w:r>
      <w:r>
        <w:rPr>
          <w:spacing w:val="-1"/>
        </w:rPr>
        <w:t> </w:t>
      </w:r>
      <w:r>
        <w:rPr/>
        <w:t>effect</w:t>
      </w:r>
      <w:r>
        <w:rPr>
          <w:spacing w:val="-1"/>
        </w:rPr>
        <w:t> </w:t>
      </w:r>
      <w:r>
        <w:rPr/>
        <w:t>on evapotranspiration and vine water status, accelerating phenological development.</w:t>
      </w:r>
    </w:p>
    <w:p>
      <w:pPr>
        <w:pStyle w:val="BodyText"/>
        <w:spacing w:line="312" w:lineRule="auto" w:before="1"/>
        <w:ind w:left="701" w:right="954" w:firstLine="346"/>
        <w:jc w:val="both"/>
      </w:pPr>
      <w:r>
        <w:rPr/>
        <w:t>Second, the variability (SD) in phenological dates is larger in RVV than RDD for all stages, particularly for start of maturity (13.6 vs 8.6 days) and harvest (17.0 vs 13.3 days).</w:t>
      </w:r>
      <w:r>
        <w:rPr>
          <w:spacing w:val="33"/>
        </w:rPr>
        <w:t> </w:t>
      </w:r>
      <w:r>
        <w:rPr/>
        <w:t>This higher phenological variability in RVV is consistent with the region’s more variable Atlantic weather: ocean-driven</w:t>
      </w:r>
      <w:r>
        <w:rPr>
          <w:spacing w:val="-16"/>
        </w:rPr>
        <w:t> </w:t>
      </w:r>
      <w:r>
        <w:rPr/>
        <w:t>temperature</w:t>
      </w:r>
      <w:r>
        <w:rPr>
          <w:spacing w:val="-14"/>
        </w:rPr>
        <w:t> </w:t>
      </w:r>
      <w:r>
        <w:rPr/>
        <w:t>swings</w:t>
      </w:r>
      <w:r>
        <w:rPr>
          <w:spacing w:val="-14"/>
        </w:rPr>
        <w:t> </w:t>
      </w:r>
      <w:r>
        <w:rPr/>
        <w:t>create</w:t>
      </w:r>
      <w:r>
        <w:rPr>
          <w:spacing w:val="-13"/>
        </w:rPr>
        <w:t> </w:t>
      </w:r>
      <w:r>
        <w:rPr/>
        <w:t>larger</w:t>
      </w:r>
      <w:r>
        <w:rPr>
          <w:spacing w:val="-14"/>
        </w:rPr>
        <w:t> </w:t>
      </w:r>
      <w:r>
        <w:rPr/>
        <w:t>year-to-year</w:t>
      </w:r>
      <w:r>
        <w:rPr>
          <w:spacing w:val="-14"/>
        </w:rPr>
        <w:t> </w:t>
      </w:r>
      <w:r>
        <w:rPr/>
        <w:t>variation</w:t>
      </w:r>
      <w:r>
        <w:rPr>
          <w:spacing w:val="-14"/>
        </w:rPr>
        <w:t> </w:t>
      </w:r>
      <w:r>
        <w:rPr/>
        <w:t>in</w:t>
      </w:r>
      <w:r>
        <w:rPr>
          <w:spacing w:val="-13"/>
        </w:rPr>
        <w:t> </w:t>
      </w:r>
      <w:r>
        <w:rPr/>
        <w:t>the</w:t>
      </w:r>
      <w:r>
        <w:rPr>
          <w:spacing w:val="-14"/>
        </w:rPr>
        <w:t> </w:t>
      </w:r>
      <w:r>
        <w:rPr/>
        <w:t>timing</w:t>
      </w:r>
      <w:r>
        <w:rPr>
          <w:spacing w:val="-14"/>
        </w:rPr>
        <w:t> </w:t>
      </w:r>
      <w:r>
        <w:rPr/>
        <w:t>of</w:t>
      </w:r>
      <w:r>
        <w:rPr>
          <w:spacing w:val="-14"/>
        </w:rPr>
        <w:t> </w:t>
      </w:r>
      <w:r>
        <w:rPr/>
        <w:t>heat</w:t>
      </w:r>
      <w:r>
        <w:rPr>
          <w:spacing w:val="-13"/>
        </w:rPr>
        <w:t> </w:t>
      </w:r>
      <w:r>
        <w:rPr/>
        <w:t>accumu-lation. This greater phenological variability also means that fixed-calendar aggregation windows </w:t>
      </w:r>
      <w:r>
        <w:rPr>
          <w:spacing w:val="-4"/>
        </w:rPr>
        <w:t>would be a poor substitute for the phenological-anchor approach used in this thesis:</w:t>
      </w:r>
      <w:r>
        <w:rPr>
          <w:spacing w:val="14"/>
        </w:rPr>
        <w:t> </w:t>
      </w:r>
      <w:r>
        <w:rPr>
          <w:spacing w:val="-4"/>
        </w:rPr>
        <w:t>a fixed </w:t>
      </w:r>
      <w:r>
        <w:rPr>
          <w:spacing w:val="-4"/>
        </w:rPr>
        <w:t>"Septem-</w:t>
      </w:r>
      <w:r>
        <w:rPr/>
        <w:t>ber</w:t>
      </w:r>
      <w:r>
        <w:rPr>
          <w:spacing w:val="-16"/>
        </w:rPr>
        <w:t> </w:t>
      </w:r>
      <w:r>
        <w:rPr/>
        <w:t>temperature"</w:t>
      </w:r>
      <w:r>
        <w:rPr>
          <w:spacing w:val="-14"/>
        </w:rPr>
        <w:t> </w:t>
      </w:r>
      <w:r>
        <w:rPr/>
        <w:t>window</w:t>
      </w:r>
      <w:r>
        <w:rPr>
          <w:spacing w:val="-14"/>
        </w:rPr>
        <w:t> </w:t>
      </w:r>
      <w:r>
        <w:rPr/>
        <w:t>would</w:t>
      </w:r>
      <w:r>
        <w:rPr>
          <w:spacing w:val="-13"/>
        </w:rPr>
        <w:t> </w:t>
      </w:r>
      <w:r>
        <w:rPr/>
        <w:t>capture</w:t>
      </w:r>
      <w:r>
        <w:rPr>
          <w:spacing w:val="-14"/>
        </w:rPr>
        <w:t> </w:t>
      </w:r>
      <w:r>
        <w:rPr/>
        <w:t>completely</w:t>
      </w:r>
      <w:r>
        <w:rPr>
          <w:spacing w:val="-14"/>
        </w:rPr>
        <w:t> </w:t>
      </w:r>
      <w:r>
        <w:rPr/>
        <w:t>different</w:t>
      </w:r>
      <w:r>
        <w:rPr>
          <w:spacing w:val="-14"/>
        </w:rPr>
        <w:t> </w:t>
      </w:r>
      <w:r>
        <w:rPr/>
        <w:t>vine</w:t>
      </w:r>
      <w:r>
        <w:rPr>
          <w:spacing w:val="-13"/>
        </w:rPr>
        <w:t> </w:t>
      </w:r>
      <w:r>
        <w:rPr/>
        <w:t>developmental</w:t>
      </w:r>
      <w:r>
        <w:rPr>
          <w:spacing w:val="-14"/>
        </w:rPr>
        <w:t> </w:t>
      </w:r>
      <w:r>
        <w:rPr/>
        <w:t>states</w:t>
      </w:r>
      <w:r>
        <w:rPr>
          <w:spacing w:val="-14"/>
        </w:rPr>
        <w:t> </w:t>
      </w:r>
      <w:r>
        <w:rPr/>
        <w:t>in</w:t>
      </w:r>
      <w:r>
        <w:rPr>
          <w:spacing w:val="-14"/>
        </w:rPr>
        <w:t> </w:t>
      </w:r>
      <w:r>
        <w:rPr/>
        <w:t>an</w:t>
      </w:r>
      <w:r>
        <w:rPr>
          <w:spacing w:val="-13"/>
        </w:rPr>
        <w:t> </w:t>
      </w:r>
      <w:r>
        <w:rPr/>
        <w:t>early harvest year vs a late harvest year.</w:t>
      </w:r>
    </w:p>
    <w:p>
      <w:pPr>
        <w:pStyle w:val="BodyText"/>
        <w:spacing w:before="71"/>
      </w:pPr>
    </w:p>
    <w:p>
      <w:pPr>
        <w:pStyle w:val="Heading3"/>
        <w:numPr>
          <w:ilvl w:val="2"/>
          <w:numId w:val="41"/>
        </w:numPr>
        <w:tabs>
          <w:tab w:pos="1466" w:val="left" w:leader="none"/>
        </w:tabs>
        <w:spacing w:line="240" w:lineRule="auto" w:before="0" w:after="0"/>
        <w:ind w:left="1466" w:right="0" w:hanging="757"/>
        <w:jc w:val="left"/>
      </w:pPr>
      <w:bookmarkStart w:name="B.2.1 Growing Season Duration" w:id="288"/>
      <w:bookmarkEnd w:id="288"/>
      <w:r>
        <w:rPr>
          <w:b w:val="0"/>
        </w:rPr>
      </w:r>
      <w:bookmarkStart w:name="_bookmark170" w:id="289"/>
      <w:bookmarkEnd w:id="289"/>
      <w:r>
        <w:rPr>
          <w:b w:val="0"/>
        </w:rPr>
      </w:r>
      <w:r>
        <w:rPr/>
        <w:t>Growing</w:t>
      </w:r>
      <w:r>
        <w:rPr>
          <w:spacing w:val="-14"/>
        </w:rPr>
        <w:t> </w:t>
      </w:r>
      <w:r>
        <w:rPr/>
        <w:t>Season</w:t>
      </w:r>
      <w:r>
        <w:rPr>
          <w:spacing w:val="-13"/>
        </w:rPr>
        <w:t> </w:t>
      </w:r>
      <w:r>
        <w:rPr>
          <w:spacing w:val="-2"/>
        </w:rPr>
        <w:t>Duration</w:t>
      </w:r>
    </w:p>
    <w:p>
      <w:pPr>
        <w:pStyle w:val="BodyText"/>
        <w:spacing w:before="224"/>
        <w:ind w:left="702"/>
        <w:jc w:val="both"/>
      </w:pPr>
      <w:r>
        <w:rPr/>
        <w:t>Table</w:t>
      </w:r>
      <w:r>
        <w:rPr>
          <w:spacing w:val="-8"/>
        </w:rPr>
        <w:t> </w:t>
      </w:r>
      <w:hyperlink w:history="true" w:anchor="_bookmark171">
        <w:r>
          <w:rPr>
            <w:color w:val="8B2C18"/>
          </w:rPr>
          <w:t>B.4</w:t>
        </w:r>
      </w:hyperlink>
      <w:r>
        <w:rPr>
          <w:color w:val="8B2C18"/>
          <w:spacing w:val="-8"/>
        </w:rPr>
        <w:t> </w:t>
      </w:r>
      <w:r>
        <w:rPr/>
        <w:t>shows</w:t>
      </w:r>
      <w:r>
        <w:rPr>
          <w:spacing w:val="-9"/>
        </w:rPr>
        <w:t> </w:t>
      </w:r>
      <w:r>
        <w:rPr/>
        <w:t>the</w:t>
      </w:r>
      <w:r>
        <w:rPr>
          <w:spacing w:val="-8"/>
        </w:rPr>
        <w:t> </w:t>
      </w:r>
      <w:r>
        <w:rPr/>
        <w:t>mean</w:t>
      </w:r>
      <w:r>
        <w:rPr>
          <w:spacing w:val="-8"/>
        </w:rPr>
        <w:t> </w:t>
      </w:r>
      <w:r>
        <w:rPr/>
        <w:t>duration</w:t>
      </w:r>
      <w:r>
        <w:rPr>
          <w:spacing w:val="-8"/>
        </w:rPr>
        <w:t> </w:t>
      </w:r>
      <w:r>
        <w:rPr/>
        <w:t>of</w:t>
      </w:r>
      <w:r>
        <w:rPr>
          <w:spacing w:val="-8"/>
        </w:rPr>
        <w:t> </w:t>
      </w:r>
      <w:r>
        <w:rPr/>
        <w:t>each</w:t>
      </w:r>
      <w:r>
        <w:rPr>
          <w:spacing w:val="-8"/>
        </w:rPr>
        <w:t> </w:t>
      </w:r>
      <w:r>
        <w:rPr/>
        <w:t>inter-stage</w:t>
      </w:r>
      <w:r>
        <w:rPr>
          <w:spacing w:val="-8"/>
        </w:rPr>
        <w:t> </w:t>
      </w:r>
      <w:r>
        <w:rPr/>
        <w:t>phase</w:t>
      </w:r>
      <w:r>
        <w:rPr>
          <w:spacing w:val="-8"/>
        </w:rPr>
        <w:t> </w:t>
      </w:r>
      <w:r>
        <w:rPr/>
        <w:t>for</w:t>
      </w:r>
      <w:r>
        <w:rPr>
          <w:spacing w:val="-8"/>
        </w:rPr>
        <w:t> </w:t>
      </w:r>
      <w:r>
        <w:rPr/>
        <w:t>both</w:t>
      </w:r>
      <w:r>
        <w:rPr>
          <w:spacing w:val="-8"/>
        </w:rPr>
        <w:t> </w:t>
      </w:r>
      <w:r>
        <w:rPr>
          <w:spacing w:val="-2"/>
        </w:rPr>
        <w:t>regions.</w:t>
      </w:r>
    </w:p>
    <w:p>
      <w:pPr>
        <w:pStyle w:val="BodyText"/>
        <w:spacing w:line="312" w:lineRule="auto" w:before="78"/>
        <w:ind w:left="709" w:right="954" w:firstLine="338"/>
        <w:jc w:val="both"/>
      </w:pPr>
      <w:r>
        <w:rPr/>
        <w:t>The</w:t>
      </w:r>
      <w:r>
        <w:rPr>
          <w:spacing w:val="-7"/>
        </w:rPr>
        <w:t> </w:t>
      </w:r>
      <w:r>
        <w:rPr/>
        <w:t>phase</w:t>
      </w:r>
      <w:r>
        <w:rPr>
          <w:spacing w:val="-7"/>
        </w:rPr>
        <w:t> </w:t>
      </w:r>
      <w:r>
        <w:rPr/>
        <w:t>durations</w:t>
      </w:r>
      <w:r>
        <w:rPr>
          <w:spacing w:val="-7"/>
        </w:rPr>
        <w:t> </w:t>
      </w:r>
      <w:r>
        <w:rPr/>
        <w:t>reveal</w:t>
      </w:r>
      <w:r>
        <w:rPr>
          <w:spacing w:val="-7"/>
        </w:rPr>
        <w:t> </w:t>
      </w:r>
      <w:r>
        <w:rPr/>
        <w:t>important</w:t>
      </w:r>
      <w:r>
        <w:rPr>
          <w:spacing w:val="-7"/>
        </w:rPr>
        <w:t> </w:t>
      </w:r>
      <w:r>
        <w:rPr/>
        <w:t>differences</w:t>
      </w:r>
      <w:r>
        <w:rPr>
          <w:spacing w:val="-7"/>
        </w:rPr>
        <w:t> </w:t>
      </w:r>
      <w:r>
        <w:rPr/>
        <w:t>in</w:t>
      </w:r>
      <w:r>
        <w:rPr>
          <w:spacing w:val="-7"/>
        </w:rPr>
        <w:t> </w:t>
      </w:r>
      <w:r>
        <w:rPr/>
        <w:t>growing</w:t>
      </w:r>
      <w:r>
        <w:rPr>
          <w:spacing w:val="-7"/>
        </w:rPr>
        <w:t> </w:t>
      </w:r>
      <w:r>
        <w:rPr/>
        <w:t>season</w:t>
      </w:r>
      <w:r>
        <w:rPr>
          <w:spacing w:val="-7"/>
        </w:rPr>
        <w:t> </w:t>
      </w:r>
      <w:r>
        <w:rPr/>
        <w:t>structure. The</w:t>
      </w:r>
      <w:r>
        <w:rPr>
          <w:spacing w:val="-7"/>
        </w:rPr>
        <w:t> </w:t>
      </w:r>
      <w:r>
        <w:rPr/>
        <w:t>flowering-to-veraison phase is 28 days longer in RVV (73 vs 45 days), the Atlantic climate’s slower heat </w:t>
      </w:r>
      <w:r>
        <w:rPr>
          <w:spacing w:val="-2"/>
        </w:rPr>
        <w:t>accumulation</w:t>
      </w:r>
      <w:r>
        <w:rPr>
          <w:spacing w:val="-6"/>
        </w:rPr>
        <w:t> </w:t>
      </w:r>
      <w:r>
        <w:rPr>
          <w:spacing w:val="-2"/>
        </w:rPr>
        <w:t>extends</w:t>
      </w:r>
      <w:r>
        <w:rPr>
          <w:spacing w:val="-6"/>
        </w:rPr>
        <w:t> </w:t>
      </w:r>
      <w:r>
        <w:rPr>
          <w:spacing w:val="-2"/>
        </w:rPr>
        <w:t>this</w:t>
      </w:r>
      <w:r>
        <w:rPr>
          <w:spacing w:val="-6"/>
        </w:rPr>
        <w:t> </w:t>
      </w:r>
      <w:r>
        <w:rPr>
          <w:spacing w:val="-2"/>
        </w:rPr>
        <w:t>key</w:t>
      </w:r>
      <w:r>
        <w:rPr>
          <w:spacing w:val="-6"/>
        </w:rPr>
        <w:t> </w:t>
      </w:r>
      <w:r>
        <w:rPr>
          <w:spacing w:val="-2"/>
        </w:rPr>
        <w:t>berry</w:t>
      </w:r>
      <w:r>
        <w:rPr>
          <w:spacing w:val="-6"/>
        </w:rPr>
        <w:t> </w:t>
      </w:r>
      <w:r>
        <w:rPr>
          <w:spacing w:val="-2"/>
        </w:rPr>
        <w:t>development</w:t>
      </w:r>
      <w:r>
        <w:rPr>
          <w:spacing w:val="-6"/>
        </w:rPr>
        <w:t> </w:t>
      </w:r>
      <w:r>
        <w:rPr>
          <w:spacing w:val="-2"/>
        </w:rPr>
        <w:t>phase. Conversely,</w:t>
      </w:r>
      <w:r>
        <w:rPr>
          <w:spacing w:val="-6"/>
        </w:rPr>
        <w:t> </w:t>
      </w:r>
      <w:r>
        <w:rPr>
          <w:spacing w:val="-2"/>
        </w:rPr>
        <w:t>the</w:t>
      </w:r>
      <w:r>
        <w:rPr>
          <w:spacing w:val="-6"/>
        </w:rPr>
        <w:t> </w:t>
      </w:r>
      <w:r>
        <w:rPr>
          <w:spacing w:val="-2"/>
        </w:rPr>
        <w:t>veraison-to-harvest</w:t>
      </w:r>
      <w:r>
        <w:rPr>
          <w:spacing w:val="-6"/>
        </w:rPr>
        <w:t> </w:t>
      </w:r>
      <w:r>
        <w:rPr>
          <w:spacing w:val="-2"/>
        </w:rPr>
        <w:t>phase </w:t>
      </w:r>
      <w:r>
        <w:rPr/>
        <w:t>is substantially longer in RDD (78 vs 43 days), reflecting that Douro grapes undergo a longer slow-ripening</w:t>
      </w:r>
      <w:r>
        <w:rPr>
          <w:spacing w:val="-5"/>
        </w:rPr>
        <w:t> </w:t>
      </w:r>
      <w:r>
        <w:rPr/>
        <w:t>phase</w:t>
      </w:r>
      <w:r>
        <w:rPr>
          <w:spacing w:val="-5"/>
        </w:rPr>
        <w:t> </w:t>
      </w:r>
      <w:r>
        <w:rPr/>
        <w:t>under</w:t>
      </w:r>
      <w:r>
        <w:rPr>
          <w:spacing w:val="-5"/>
        </w:rPr>
        <w:t> </w:t>
      </w:r>
      <w:r>
        <w:rPr/>
        <w:t>the</w:t>
      </w:r>
      <w:r>
        <w:rPr>
          <w:spacing w:val="-5"/>
        </w:rPr>
        <w:t> </w:t>
      </w:r>
      <w:r>
        <w:rPr/>
        <w:t>drier</w:t>
      </w:r>
      <w:r>
        <w:rPr>
          <w:spacing w:val="-5"/>
        </w:rPr>
        <w:t> </w:t>
      </w:r>
      <w:r>
        <w:rPr/>
        <w:t>semi-arid</w:t>
      </w:r>
      <w:r>
        <w:rPr>
          <w:spacing w:val="-5"/>
        </w:rPr>
        <w:t> </w:t>
      </w:r>
      <w:r>
        <w:rPr/>
        <w:t>conditions</w:t>
      </w:r>
      <w:r>
        <w:rPr>
          <w:spacing w:val="-5"/>
        </w:rPr>
        <w:t> </w:t>
      </w:r>
      <w:r>
        <w:rPr/>
        <w:t>before</w:t>
      </w:r>
      <w:r>
        <w:rPr>
          <w:spacing w:val="-5"/>
        </w:rPr>
        <w:t> </w:t>
      </w:r>
      <w:r>
        <w:rPr/>
        <w:t>reaching</w:t>
      </w:r>
      <w:r>
        <w:rPr>
          <w:spacing w:val="-5"/>
        </w:rPr>
        <w:t> </w:t>
      </w:r>
      <w:r>
        <w:rPr/>
        <w:t>harvest</w:t>
      </w:r>
      <w:r>
        <w:rPr>
          <w:spacing w:val="-5"/>
        </w:rPr>
        <w:t> </w:t>
      </w:r>
      <w:r>
        <w:rPr/>
        <w:t>maturity. These structural</w:t>
      </w:r>
      <w:r>
        <w:rPr>
          <w:spacing w:val="31"/>
        </w:rPr>
        <w:t> </w:t>
      </w:r>
      <w:r>
        <w:rPr/>
        <w:t>differences</w:t>
      </w:r>
      <w:r>
        <w:rPr>
          <w:spacing w:val="31"/>
        </w:rPr>
        <w:t> </w:t>
      </w:r>
      <w:r>
        <w:rPr/>
        <w:t>mean</w:t>
      </w:r>
      <w:r>
        <w:rPr>
          <w:spacing w:val="31"/>
        </w:rPr>
        <w:t> </w:t>
      </w:r>
      <w:r>
        <w:rPr/>
        <w:t>that</w:t>
      </w:r>
      <w:r>
        <w:rPr>
          <w:spacing w:val="31"/>
        </w:rPr>
        <w:t> </w:t>
      </w:r>
      <w:r>
        <w:rPr/>
        <w:t>features</w:t>
      </w:r>
      <w:r>
        <w:rPr>
          <w:spacing w:val="31"/>
        </w:rPr>
        <w:t> </w:t>
      </w:r>
      <w:r>
        <w:rPr/>
        <w:t>from</w:t>
      </w:r>
      <w:r>
        <w:rPr>
          <w:spacing w:val="31"/>
        </w:rPr>
        <w:t> </w:t>
      </w:r>
      <w:r>
        <w:rPr/>
        <w:t>the</w:t>
      </w:r>
      <w:r>
        <w:rPr>
          <w:spacing w:val="31"/>
        </w:rPr>
        <w:t> </w:t>
      </w:r>
      <w:r>
        <w:rPr/>
        <w:t>same</w:t>
      </w:r>
      <w:r>
        <w:rPr>
          <w:spacing w:val="31"/>
        </w:rPr>
        <w:t> </w:t>
      </w:r>
      <w:r>
        <w:rPr/>
        <w:t>phenological</w:t>
      </w:r>
      <w:r>
        <w:rPr>
          <w:spacing w:val="31"/>
        </w:rPr>
        <w:t> </w:t>
      </w:r>
      <w:r>
        <w:rPr/>
        <w:t>window</w:t>
      </w:r>
      <w:r>
        <w:rPr>
          <w:spacing w:val="32"/>
        </w:rPr>
        <w:t> </w:t>
      </w:r>
      <w:r>
        <w:rPr/>
        <w:t>cover</w:t>
      </w:r>
      <w:r>
        <w:rPr>
          <w:spacing w:val="31"/>
        </w:rPr>
        <w:t> </w:t>
      </w:r>
      <w:r>
        <w:rPr/>
        <w:t>different</w:t>
      </w:r>
    </w:p>
    <w:p>
      <w:pPr>
        <w:pStyle w:val="BodyText"/>
        <w:spacing w:after="0" w:line="312" w:lineRule="auto"/>
        <w:jc w:val="both"/>
        <w:sectPr>
          <w:pgSz w:w="11910" w:h="16840"/>
          <w:pgMar w:header="1160" w:footer="0" w:top="1420" w:bottom="280" w:left="1275" w:right="425"/>
        </w:sectPr>
      </w:pPr>
    </w:p>
    <w:p>
      <w:pPr>
        <w:pStyle w:val="BodyText"/>
        <w:rPr>
          <w:sz w:val="20"/>
        </w:rPr>
      </w:pPr>
    </w:p>
    <w:p>
      <w:pPr>
        <w:pStyle w:val="BodyText"/>
        <w:spacing w:before="38"/>
        <w:rPr>
          <w:sz w:val="20"/>
        </w:rPr>
      </w:pPr>
    </w:p>
    <w:p>
      <w:pPr>
        <w:spacing w:before="1"/>
        <w:ind w:left="2065" w:right="0" w:firstLine="0"/>
        <w:jc w:val="left"/>
        <w:rPr>
          <w:sz w:val="20"/>
        </w:rPr>
      </w:pPr>
      <w:bookmarkStart w:name="_bookmark171" w:id="290"/>
      <w:bookmarkEnd w:id="290"/>
      <w:r>
        <w:rPr/>
      </w:r>
      <w:r>
        <w:rPr>
          <w:b/>
          <w:sz w:val="20"/>
        </w:rPr>
        <w:t>Table</w:t>
      </w:r>
      <w:r>
        <w:rPr>
          <w:b/>
          <w:spacing w:val="-8"/>
          <w:sz w:val="20"/>
        </w:rPr>
        <w:t> </w:t>
      </w:r>
      <w:r>
        <w:rPr>
          <w:b/>
          <w:sz w:val="20"/>
        </w:rPr>
        <w:t>B.4:</w:t>
      </w:r>
      <w:r>
        <w:rPr>
          <w:b/>
          <w:spacing w:val="4"/>
          <w:sz w:val="20"/>
        </w:rPr>
        <w:t> </w:t>
      </w:r>
      <w:r>
        <w:rPr>
          <w:sz w:val="20"/>
        </w:rPr>
        <w:t>Production</w:t>
      </w:r>
      <w:r>
        <w:rPr>
          <w:spacing w:val="-7"/>
          <w:sz w:val="20"/>
        </w:rPr>
        <w:t> </w:t>
      </w:r>
      <w:r>
        <w:rPr>
          <w:sz w:val="20"/>
        </w:rPr>
        <w:t>statistics</w:t>
      </w:r>
      <w:r>
        <w:rPr>
          <w:spacing w:val="-8"/>
          <w:sz w:val="20"/>
        </w:rPr>
        <w:t> </w:t>
      </w:r>
      <w:r>
        <w:rPr>
          <w:sz w:val="20"/>
        </w:rPr>
        <w:t>by</w:t>
      </w:r>
      <w:r>
        <w:rPr>
          <w:spacing w:val="-7"/>
          <w:sz w:val="20"/>
        </w:rPr>
        <w:t> </w:t>
      </w:r>
      <w:r>
        <w:rPr>
          <w:sz w:val="20"/>
        </w:rPr>
        <w:t>era</w:t>
      </w:r>
      <w:r>
        <w:rPr>
          <w:spacing w:val="-7"/>
          <w:sz w:val="20"/>
        </w:rPr>
        <w:t> </w:t>
      </w:r>
      <w:r>
        <w:rPr>
          <w:sz w:val="20"/>
        </w:rPr>
        <w:t>for</w:t>
      </w:r>
      <w:r>
        <w:rPr>
          <w:spacing w:val="-7"/>
          <w:sz w:val="20"/>
        </w:rPr>
        <w:t> </w:t>
      </w:r>
      <w:r>
        <w:rPr>
          <w:sz w:val="20"/>
        </w:rPr>
        <w:t>RDD</w:t>
      </w:r>
      <w:r>
        <w:rPr>
          <w:spacing w:val="-7"/>
          <w:sz w:val="20"/>
        </w:rPr>
        <w:t> </w:t>
      </w:r>
      <w:r>
        <w:rPr>
          <w:sz w:val="20"/>
        </w:rPr>
        <w:t>and</w:t>
      </w:r>
      <w:r>
        <w:rPr>
          <w:spacing w:val="-7"/>
          <w:sz w:val="20"/>
        </w:rPr>
        <w:t> </w:t>
      </w:r>
      <w:r>
        <w:rPr>
          <w:spacing w:val="-4"/>
          <w:sz w:val="20"/>
        </w:rPr>
        <w:t>RVV.</w:t>
      </w:r>
    </w:p>
    <w:p>
      <w:pPr>
        <w:pStyle w:val="BodyText"/>
        <w:spacing w:before="5"/>
        <w:rPr>
          <w:sz w:val="18"/>
        </w:rPr>
      </w:pPr>
      <w:r>
        <w:rPr>
          <w:sz w:val="18"/>
        </w:rPr>
        <mc:AlternateContent>
          <mc:Choice Requires="wps">
            <w:drawing>
              <wp:anchor distT="0" distB="0" distL="0" distR="0" allowOverlap="1" layoutInCell="1" locked="0" behindDoc="1" simplePos="0" relativeHeight="487638016">
                <wp:simplePos x="0" y="0"/>
                <wp:positionH relativeFrom="page">
                  <wp:posOffset>899998</wp:posOffset>
                </wp:positionH>
                <wp:positionV relativeFrom="paragraph">
                  <wp:posOffset>150005</wp:posOffset>
                </wp:positionV>
                <wp:extent cx="5400040" cy="1270"/>
                <wp:effectExtent l="0" t="0" r="0" b="0"/>
                <wp:wrapTopAndBottom/>
                <wp:docPr id="274" name="Graphic 274"/>
                <wp:cNvGraphicFramePr>
                  <a:graphicFrameLocks/>
                </wp:cNvGraphicFramePr>
                <a:graphic>
                  <a:graphicData uri="http://schemas.microsoft.com/office/word/2010/wordprocessingShape">
                    <wps:wsp>
                      <wps:cNvPr id="274" name="Graphic 274"/>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1.811473pt;width:425.2pt;height:.1pt;mso-position-horizontal-relative:page;mso-position-vertical-relative:paragraph;z-index:-15678464;mso-wrap-distance-left:0;mso-wrap-distance-right:0" id="docshape238" coordorigin="1417,236" coordsize="8504,0" path="m1417,236l9921,236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77"/>
        <w:gridCol w:w="1494"/>
        <w:gridCol w:w="1097"/>
        <w:gridCol w:w="1267"/>
        <w:gridCol w:w="1097"/>
        <w:gridCol w:w="2170"/>
      </w:tblGrid>
      <w:tr>
        <w:trPr>
          <w:trHeight w:val="320" w:hRule="atLeast"/>
        </w:trPr>
        <w:tc>
          <w:tcPr>
            <w:tcW w:w="1377" w:type="dxa"/>
            <w:tcBorders>
              <w:top w:val="nil"/>
              <w:left w:val="nil"/>
              <w:right w:val="single" w:sz="4" w:space="0" w:color="000000"/>
            </w:tcBorders>
          </w:tcPr>
          <w:p>
            <w:pPr>
              <w:pStyle w:val="TableParagraph"/>
              <w:spacing w:before="31"/>
              <w:ind w:left="119"/>
              <w:rPr>
                <w:sz w:val="18"/>
              </w:rPr>
            </w:pPr>
            <w:r>
              <w:rPr>
                <w:spacing w:val="-2"/>
                <w:sz w:val="18"/>
              </w:rPr>
              <w:t>Phase</w:t>
            </w:r>
          </w:p>
        </w:tc>
        <w:tc>
          <w:tcPr>
            <w:tcW w:w="1494" w:type="dxa"/>
            <w:tcBorders>
              <w:top w:val="nil"/>
              <w:left w:val="single" w:sz="4" w:space="0" w:color="000000"/>
              <w:right w:val="single" w:sz="4" w:space="0" w:color="000000"/>
            </w:tcBorders>
          </w:tcPr>
          <w:p>
            <w:pPr>
              <w:pStyle w:val="TableParagraph"/>
              <w:spacing w:before="31"/>
              <w:ind w:left="118"/>
              <w:rPr>
                <w:sz w:val="18"/>
              </w:rPr>
            </w:pPr>
            <w:r>
              <w:rPr>
                <w:sz w:val="18"/>
              </w:rPr>
              <w:t>RDD</w:t>
            </w:r>
            <w:r>
              <w:rPr>
                <w:spacing w:val="-5"/>
                <w:sz w:val="18"/>
              </w:rPr>
              <w:t> </w:t>
            </w:r>
            <w:r>
              <w:rPr>
                <w:spacing w:val="-4"/>
                <w:sz w:val="18"/>
              </w:rPr>
              <w:t>mean</w:t>
            </w:r>
          </w:p>
        </w:tc>
        <w:tc>
          <w:tcPr>
            <w:tcW w:w="1097" w:type="dxa"/>
            <w:tcBorders>
              <w:top w:val="nil"/>
              <w:left w:val="single" w:sz="4" w:space="0" w:color="000000"/>
              <w:right w:val="single" w:sz="4" w:space="0" w:color="000000"/>
            </w:tcBorders>
          </w:tcPr>
          <w:p>
            <w:pPr>
              <w:pStyle w:val="TableParagraph"/>
              <w:spacing w:before="31"/>
              <w:ind w:left="118"/>
              <w:rPr>
                <w:sz w:val="18"/>
              </w:rPr>
            </w:pPr>
            <w:r>
              <w:rPr>
                <w:sz w:val="18"/>
              </w:rPr>
              <w:t>RDD</w:t>
            </w:r>
            <w:r>
              <w:rPr>
                <w:spacing w:val="-5"/>
                <w:sz w:val="18"/>
              </w:rPr>
              <w:t> SD</w:t>
            </w:r>
          </w:p>
        </w:tc>
        <w:tc>
          <w:tcPr>
            <w:tcW w:w="1267" w:type="dxa"/>
            <w:tcBorders>
              <w:top w:val="nil"/>
              <w:left w:val="single" w:sz="4" w:space="0" w:color="000000"/>
              <w:right w:val="single" w:sz="4" w:space="0" w:color="000000"/>
            </w:tcBorders>
          </w:tcPr>
          <w:p>
            <w:pPr>
              <w:pStyle w:val="TableParagraph"/>
              <w:spacing w:before="31"/>
              <w:ind w:left="119"/>
              <w:rPr>
                <w:sz w:val="18"/>
              </w:rPr>
            </w:pPr>
            <w:r>
              <w:rPr>
                <w:spacing w:val="-6"/>
                <w:sz w:val="18"/>
              </w:rPr>
              <w:t>RVV</w:t>
            </w:r>
            <w:r>
              <w:rPr>
                <w:spacing w:val="-2"/>
                <w:sz w:val="18"/>
              </w:rPr>
              <w:t> </w:t>
            </w:r>
            <w:r>
              <w:rPr>
                <w:spacing w:val="-4"/>
                <w:sz w:val="18"/>
              </w:rPr>
              <w:t>mean</w:t>
            </w:r>
          </w:p>
        </w:tc>
        <w:tc>
          <w:tcPr>
            <w:tcW w:w="1097" w:type="dxa"/>
            <w:tcBorders>
              <w:top w:val="nil"/>
              <w:left w:val="single" w:sz="4" w:space="0" w:color="000000"/>
              <w:right w:val="single" w:sz="4" w:space="0" w:color="000000"/>
            </w:tcBorders>
          </w:tcPr>
          <w:p>
            <w:pPr>
              <w:pStyle w:val="TableParagraph"/>
              <w:spacing w:before="31"/>
              <w:ind w:left="119"/>
              <w:rPr>
                <w:sz w:val="18"/>
              </w:rPr>
            </w:pPr>
            <w:r>
              <w:rPr>
                <w:spacing w:val="-6"/>
                <w:sz w:val="18"/>
              </w:rPr>
              <w:t>RVV</w:t>
            </w:r>
            <w:r>
              <w:rPr>
                <w:spacing w:val="-2"/>
                <w:sz w:val="18"/>
              </w:rPr>
              <w:t> </w:t>
            </w:r>
            <w:r>
              <w:rPr>
                <w:spacing w:val="-5"/>
                <w:sz w:val="18"/>
              </w:rPr>
              <w:t>SD</w:t>
            </w:r>
          </w:p>
        </w:tc>
        <w:tc>
          <w:tcPr>
            <w:tcW w:w="2170" w:type="dxa"/>
            <w:tcBorders>
              <w:top w:val="nil"/>
              <w:left w:val="single" w:sz="4" w:space="0" w:color="000000"/>
              <w:right w:val="nil"/>
            </w:tcBorders>
          </w:tcPr>
          <w:p>
            <w:pPr>
              <w:pStyle w:val="TableParagraph"/>
              <w:spacing w:before="31"/>
              <w:ind w:left="120"/>
              <w:rPr>
                <w:sz w:val="18"/>
              </w:rPr>
            </w:pPr>
            <w:r>
              <w:rPr>
                <w:spacing w:val="-2"/>
                <w:sz w:val="18"/>
              </w:rPr>
              <w:t>Interpretation</w:t>
            </w:r>
          </w:p>
        </w:tc>
      </w:tr>
    </w:tbl>
    <w:p>
      <w:pPr>
        <w:pStyle w:val="BodyText"/>
        <w:spacing w:before="10"/>
        <w:rPr>
          <w:sz w:val="4"/>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77"/>
        <w:gridCol w:w="1494"/>
        <w:gridCol w:w="1097"/>
        <w:gridCol w:w="1267"/>
        <w:gridCol w:w="1097"/>
        <w:gridCol w:w="2170"/>
      </w:tblGrid>
      <w:tr>
        <w:trPr>
          <w:trHeight w:val="722" w:hRule="atLeast"/>
        </w:trPr>
        <w:tc>
          <w:tcPr>
            <w:tcW w:w="1377" w:type="dxa"/>
            <w:tcBorders>
              <w:right w:val="single" w:sz="4" w:space="0" w:color="000000"/>
            </w:tcBorders>
          </w:tcPr>
          <w:p>
            <w:pPr>
              <w:pStyle w:val="TableParagraph"/>
              <w:tabs>
                <w:tab w:pos="1073" w:val="left" w:leader="none"/>
              </w:tabs>
              <w:spacing w:line="263" w:lineRule="exact" w:before="0"/>
              <w:ind w:left="119"/>
              <w:rPr>
                <w:rFonts w:ascii="Meiryo UI" w:hAnsi="Meiryo UI"/>
                <w:i/>
                <w:sz w:val="18"/>
              </w:rPr>
            </w:pPr>
            <w:r>
              <w:rPr>
                <w:spacing w:val="-2"/>
                <w:sz w:val="18"/>
              </w:rPr>
              <w:t>Budburst</w:t>
            </w:r>
            <w:r>
              <w:rPr>
                <w:sz w:val="18"/>
              </w:rPr>
              <w:tab/>
            </w:r>
            <w:r>
              <w:rPr>
                <w:rFonts w:ascii="Meiryo UI" w:hAnsi="Meiryo UI"/>
                <w:i/>
                <w:spacing w:val="-10"/>
                <w:sz w:val="18"/>
              </w:rPr>
              <w:t>→</w:t>
            </w:r>
          </w:p>
          <w:p>
            <w:pPr>
              <w:pStyle w:val="TableParagraph"/>
              <w:spacing w:line="195" w:lineRule="exact" w:before="0"/>
              <w:ind w:left="119"/>
              <w:rPr>
                <w:sz w:val="18"/>
              </w:rPr>
            </w:pPr>
            <w:r>
              <w:rPr>
                <w:spacing w:val="-2"/>
                <w:sz w:val="18"/>
              </w:rPr>
              <w:t>Flowering</w:t>
            </w:r>
          </w:p>
        </w:tc>
        <w:tc>
          <w:tcPr>
            <w:tcW w:w="1494" w:type="dxa"/>
            <w:tcBorders>
              <w:left w:val="single" w:sz="4" w:space="0" w:color="000000"/>
              <w:right w:val="single" w:sz="4" w:space="0" w:color="000000"/>
            </w:tcBorders>
          </w:tcPr>
          <w:p>
            <w:pPr>
              <w:pStyle w:val="TableParagraph"/>
              <w:spacing w:before="31"/>
              <w:ind w:left="118"/>
              <w:rPr>
                <w:sz w:val="18"/>
              </w:rPr>
            </w:pPr>
            <w:r>
              <w:rPr>
                <w:sz w:val="18"/>
              </w:rPr>
              <w:t>47.0</w:t>
            </w:r>
            <w:r>
              <w:rPr>
                <w:spacing w:val="-5"/>
                <w:sz w:val="18"/>
              </w:rPr>
              <w:t> </w:t>
            </w:r>
            <w:r>
              <w:rPr>
                <w:spacing w:val="-4"/>
                <w:sz w:val="18"/>
              </w:rPr>
              <w:t>days</w:t>
            </w:r>
          </w:p>
        </w:tc>
        <w:tc>
          <w:tcPr>
            <w:tcW w:w="1097" w:type="dxa"/>
            <w:tcBorders>
              <w:left w:val="single" w:sz="4" w:space="0" w:color="000000"/>
              <w:right w:val="single" w:sz="4" w:space="0" w:color="000000"/>
            </w:tcBorders>
          </w:tcPr>
          <w:p>
            <w:pPr>
              <w:pStyle w:val="TableParagraph"/>
              <w:spacing w:before="31"/>
              <w:ind w:left="118"/>
              <w:rPr>
                <w:sz w:val="18"/>
              </w:rPr>
            </w:pPr>
            <w:r>
              <w:rPr>
                <w:spacing w:val="-4"/>
                <w:sz w:val="18"/>
              </w:rPr>
              <w:t>7.9d</w:t>
            </w:r>
          </w:p>
        </w:tc>
        <w:tc>
          <w:tcPr>
            <w:tcW w:w="1267" w:type="dxa"/>
            <w:tcBorders>
              <w:left w:val="single" w:sz="4" w:space="0" w:color="000000"/>
              <w:right w:val="single" w:sz="4" w:space="0" w:color="000000"/>
            </w:tcBorders>
          </w:tcPr>
          <w:p>
            <w:pPr>
              <w:pStyle w:val="TableParagraph"/>
              <w:spacing w:before="31"/>
              <w:ind w:left="119"/>
              <w:rPr>
                <w:sz w:val="18"/>
              </w:rPr>
            </w:pPr>
            <w:r>
              <w:rPr>
                <w:sz w:val="18"/>
              </w:rPr>
              <w:t>64.3</w:t>
            </w:r>
            <w:r>
              <w:rPr>
                <w:spacing w:val="-5"/>
                <w:sz w:val="18"/>
              </w:rPr>
              <w:t> </w:t>
            </w:r>
            <w:r>
              <w:rPr>
                <w:spacing w:val="-4"/>
                <w:sz w:val="18"/>
              </w:rPr>
              <w:t>days</w:t>
            </w:r>
          </w:p>
        </w:tc>
        <w:tc>
          <w:tcPr>
            <w:tcW w:w="1097" w:type="dxa"/>
            <w:tcBorders>
              <w:left w:val="single" w:sz="4" w:space="0" w:color="000000"/>
              <w:right w:val="single" w:sz="4" w:space="0" w:color="000000"/>
            </w:tcBorders>
          </w:tcPr>
          <w:p>
            <w:pPr>
              <w:pStyle w:val="TableParagraph"/>
              <w:spacing w:before="31"/>
              <w:ind w:left="119"/>
              <w:rPr>
                <w:sz w:val="18"/>
              </w:rPr>
            </w:pPr>
            <w:r>
              <w:rPr>
                <w:spacing w:val="-4"/>
                <w:sz w:val="18"/>
              </w:rPr>
              <w:t>9.0d</w:t>
            </w:r>
          </w:p>
        </w:tc>
        <w:tc>
          <w:tcPr>
            <w:tcW w:w="2170" w:type="dxa"/>
            <w:tcBorders>
              <w:left w:val="single" w:sz="4" w:space="0" w:color="000000"/>
            </w:tcBorders>
          </w:tcPr>
          <w:p>
            <w:pPr>
              <w:pStyle w:val="TableParagraph"/>
              <w:spacing w:line="254" w:lineRule="auto" w:before="31"/>
              <w:ind w:left="120" w:right="93"/>
              <w:jc w:val="both"/>
              <w:rPr>
                <w:sz w:val="18"/>
              </w:rPr>
            </w:pPr>
            <w:r>
              <w:rPr>
                <w:sz w:val="18"/>
              </w:rPr>
              <w:t>RVV flowering 17d later than RDD on </w:t>
            </w:r>
            <w:r>
              <w:rPr>
                <w:sz w:val="18"/>
              </w:rPr>
              <w:t>average, cooler Atlantic spring</w:t>
            </w:r>
          </w:p>
        </w:tc>
      </w:tr>
      <w:tr>
        <w:trPr>
          <w:trHeight w:val="723" w:hRule="atLeast"/>
        </w:trPr>
        <w:tc>
          <w:tcPr>
            <w:tcW w:w="1377" w:type="dxa"/>
            <w:tcBorders>
              <w:right w:val="single" w:sz="4" w:space="0" w:color="000000"/>
            </w:tcBorders>
          </w:tcPr>
          <w:p>
            <w:pPr>
              <w:pStyle w:val="TableParagraph"/>
              <w:tabs>
                <w:tab w:pos="1073" w:val="left" w:leader="none"/>
              </w:tabs>
              <w:spacing w:line="263" w:lineRule="exact" w:before="0"/>
              <w:ind w:left="119"/>
              <w:rPr>
                <w:rFonts w:ascii="Meiryo UI" w:hAnsi="Meiryo UI"/>
                <w:i/>
                <w:sz w:val="18"/>
              </w:rPr>
            </w:pPr>
            <w:r>
              <w:rPr>
                <w:spacing w:val="-2"/>
                <w:sz w:val="18"/>
              </w:rPr>
              <w:t>Flowering</w:t>
            </w:r>
            <w:r>
              <w:rPr>
                <w:sz w:val="18"/>
              </w:rPr>
              <w:tab/>
            </w:r>
            <w:r>
              <w:rPr>
                <w:rFonts w:ascii="Meiryo UI" w:hAnsi="Meiryo UI"/>
                <w:i/>
                <w:spacing w:val="-10"/>
                <w:sz w:val="18"/>
              </w:rPr>
              <w:t>→</w:t>
            </w:r>
          </w:p>
          <w:p>
            <w:pPr>
              <w:pStyle w:val="TableParagraph"/>
              <w:spacing w:line="195" w:lineRule="exact" w:before="0"/>
              <w:ind w:left="113"/>
              <w:rPr>
                <w:sz w:val="18"/>
              </w:rPr>
            </w:pPr>
            <w:r>
              <w:rPr>
                <w:spacing w:val="-2"/>
                <w:sz w:val="18"/>
              </w:rPr>
              <w:t>Veraison</w:t>
            </w:r>
          </w:p>
        </w:tc>
        <w:tc>
          <w:tcPr>
            <w:tcW w:w="1494" w:type="dxa"/>
            <w:tcBorders>
              <w:left w:val="single" w:sz="4" w:space="0" w:color="000000"/>
              <w:right w:val="single" w:sz="4" w:space="0" w:color="000000"/>
            </w:tcBorders>
          </w:tcPr>
          <w:p>
            <w:pPr>
              <w:pStyle w:val="TableParagraph"/>
              <w:ind w:left="118"/>
              <w:rPr>
                <w:sz w:val="18"/>
              </w:rPr>
            </w:pPr>
            <w:r>
              <w:rPr>
                <w:sz w:val="18"/>
              </w:rPr>
              <w:t>44.8</w:t>
            </w:r>
            <w:r>
              <w:rPr>
                <w:spacing w:val="-5"/>
                <w:sz w:val="18"/>
              </w:rPr>
              <w:t> </w:t>
            </w:r>
            <w:r>
              <w:rPr>
                <w:spacing w:val="-4"/>
                <w:sz w:val="18"/>
              </w:rPr>
              <w:t>days</w:t>
            </w:r>
          </w:p>
        </w:tc>
        <w:tc>
          <w:tcPr>
            <w:tcW w:w="1097" w:type="dxa"/>
            <w:tcBorders>
              <w:left w:val="single" w:sz="4" w:space="0" w:color="000000"/>
              <w:right w:val="single" w:sz="4" w:space="0" w:color="000000"/>
            </w:tcBorders>
          </w:tcPr>
          <w:p>
            <w:pPr>
              <w:pStyle w:val="TableParagraph"/>
              <w:ind w:left="118"/>
              <w:rPr>
                <w:sz w:val="18"/>
              </w:rPr>
            </w:pPr>
            <w:r>
              <w:rPr>
                <w:spacing w:val="-4"/>
                <w:sz w:val="18"/>
              </w:rPr>
              <w:t>4.9d</w:t>
            </w:r>
          </w:p>
        </w:tc>
        <w:tc>
          <w:tcPr>
            <w:tcW w:w="1267" w:type="dxa"/>
            <w:tcBorders>
              <w:left w:val="single" w:sz="4" w:space="0" w:color="000000"/>
              <w:right w:val="single" w:sz="4" w:space="0" w:color="000000"/>
            </w:tcBorders>
          </w:tcPr>
          <w:p>
            <w:pPr>
              <w:pStyle w:val="TableParagraph"/>
              <w:ind w:left="119"/>
              <w:rPr>
                <w:sz w:val="18"/>
              </w:rPr>
            </w:pPr>
            <w:r>
              <w:rPr>
                <w:sz w:val="18"/>
              </w:rPr>
              <w:t>73.0</w:t>
            </w:r>
            <w:r>
              <w:rPr>
                <w:spacing w:val="-5"/>
                <w:sz w:val="18"/>
              </w:rPr>
              <w:t> </w:t>
            </w:r>
            <w:r>
              <w:rPr>
                <w:spacing w:val="-4"/>
                <w:sz w:val="18"/>
              </w:rPr>
              <w:t>days</w:t>
            </w:r>
          </w:p>
        </w:tc>
        <w:tc>
          <w:tcPr>
            <w:tcW w:w="1097" w:type="dxa"/>
            <w:tcBorders>
              <w:left w:val="single" w:sz="4" w:space="0" w:color="000000"/>
              <w:right w:val="single" w:sz="4" w:space="0" w:color="000000"/>
            </w:tcBorders>
          </w:tcPr>
          <w:p>
            <w:pPr>
              <w:pStyle w:val="TableParagraph"/>
              <w:ind w:left="119"/>
              <w:rPr>
                <w:sz w:val="18"/>
              </w:rPr>
            </w:pPr>
            <w:r>
              <w:rPr>
                <w:spacing w:val="-4"/>
                <w:sz w:val="18"/>
              </w:rPr>
              <w:t>6.9d</w:t>
            </w:r>
          </w:p>
        </w:tc>
        <w:tc>
          <w:tcPr>
            <w:tcW w:w="2170" w:type="dxa"/>
            <w:tcBorders>
              <w:left w:val="single" w:sz="4" w:space="0" w:color="000000"/>
            </w:tcBorders>
          </w:tcPr>
          <w:p>
            <w:pPr>
              <w:pStyle w:val="TableParagraph"/>
              <w:spacing w:line="254" w:lineRule="auto"/>
              <w:ind w:left="120" w:right="112"/>
              <w:jc w:val="both"/>
              <w:rPr>
                <w:sz w:val="18"/>
              </w:rPr>
            </w:pPr>
            <w:r>
              <w:rPr>
                <w:sz w:val="18"/>
              </w:rPr>
              <w:t>RVV</w:t>
            </w:r>
            <w:r>
              <w:rPr>
                <w:spacing w:val="40"/>
                <w:sz w:val="18"/>
              </w:rPr>
              <w:t> </w:t>
            </w:r>
            <w:r>
              <w:rPr>
                <w:sz w:val="18"/>
              </w:rPr>
              <w:t>takes</w:t>
            </w:r>
            <w:r>
              <w:rPr>
                <w:spacing w:val="40"/>
                <w:sz w:val="18"/>
              </w:rPr>
              <w:t> </w:t>
            </w:r>
            <w:r>
              <w:rPr>
                <w:sz w:val="18"/>
              </w:rPr>
              <w:t>28d</w:t>
            </w:r>
            <w:r>
              <w:rPr>
                <w:spacing w:val="40"/>
                <w:sz w:val="18"/>
              </w:rPr>
              <w:t> </w:t>
            </w:r>
            <w:r>
              <w:rPr>
                <w:sz w:val="18"/>
              </w:rPr>
              <w:t>longer</w:t>
            </w:r>
            <w:r>
              <w:rPr>
                <w:spacing w:val="80"/>
                <w:sz w:val="18"/>
              </w:rPr>
              <w:t> </w:t>
            </w:r>
            <w:r>
              <w:rPr>
                <w:sz w:val="18"/>
              </w:rPr>
              <w:t>to reach veraison, slower </w:t>
            </w:r>
            <w:r>
              <w:rPr>
                <w:spacing w:val="-2"/>
                <w:sz w:val="18"/>
              </w:rPr>
              <w:t>ripening</w:t>
            </w:r>
            <w:r>
              <w:rPr>
                <w:spacing w:val="-7"/>
                <w:sz w:val="18"/>
              </w:rPr>
              <w:t> </w:t>
            </w:r>
            <w:r>
              <w:rPr>
                <w:spacing w:val="-2"/>
                <w:sz w:val="18"/>
              </w:rPr>
              <w:t>in</w:t>
            </w:r>
            <w:r>
              <w:rPr>
                <w:spacing w:val="-6"/>
                <w:sz w:val="18"/>
              </w:rPr>
              <w:t> </w:t>
            </w:r>
            <w:r>
              <w:rPr>
                <w:spacing w:val="-2"/>
                <w:sz w:val="18"/>
              </w:rPr>
              <w:t>Atlantic</w:t>
            </w:r>
            <w:r>
              <w:rPr>
                <w:spacing w:val="-6"/>
                <w:sz w:val="18"/>
              </w:rPr>
              <w:t> </w:t>
            </w:r>
            <w:r>
              <w:rPr>
                <w:spacing w:val="-2"/>
                <w:sz w:val="18"/>
              </w:rPr>
              <w:t>climate</w:t>
            </w:r>
          </w:p>
        </w:tc>
      </w:tr>
      <w:tr>
        <w:trPr>
          <w:trHeight w:val="723" w:hRule="atLeast"/>
        </w:trPr>
        <w:tc>
          <w:tcPr>
            <w:tcW w:w="1377" w:type="dxa"/>
            <w:tcBorders>
              <w:right w:val="single" w:sz="4" w:space="0" w:color="000000"/>
            </w:tcBorders>
          </w:tcPr>
          <w:p>
            <w:pPr>
              <w:pStyle w:val="TableParagraph"/>
              <w:tabs>
                <w:tab w:pos="1073" w:val="left" w:leader="none"/>
              </w:tabs>
              <w:spacing w:line="263" w:lineRule="exact" w:before="0"/>
              <w:ind w:left="119"/>
              <w:rPr>
                <w:rFonts w:ascii="Meiryo UI" w:hAnsi="Meiryo UI"/>
                <w:i/>
                <w:sz w:val="18"/>
              </w:rPr>
            </w:pPr>
            <w:r>
              <w:rPr>
                <w:spacing w:val="-2"/>
                <w:sz w:val="18"/>
              </w:rPr>
              <w:t>Veraison</w:t>
            </w:r>
            <w:r>
              <w:rPr>
                <w:sz w:val="18"/>
              </w:rPr>
              <w:tab/>
            </w:r>
            <w:r>
              <w:rPr>
                <w:rFonts w:ascii="Meiryo UI" w:hAnsi="Meiryo UI"/>
                <w:i/>
                <w:spacing w:val="-10"/>
                <w:sz w:val="18"/>
              </w:rPr>
              <w:t>→</w:t>
            </w:r>
          </w:p>
          <w:p>
            <w:pPr>
              <w:pStyle w:val="TableParagraph"/>
              <w:spacing w:line="195" w:lineRule="exact" w:before="0"/>
              <w:ind w:left="119"/>
              <w:rPr>
                <w:sz w:val="18"/>
              </w:rPr>
            </w:pPr>
            <w:r>
              <w:rPr>
                <w:spacing w:val="-2"/>
                <w:sz w:val="18"/>
              </w:rPr>
              <w:t>Harvest</w:t>
            </w:r>
          </w:p>
        </w:tc>
        <w:tc>
          <w:tcPr>
            <w:tcW w:w="1494" w:type="dxa"/>
            <w:tcBorders>
              <w:left w:val="single" w:sz="4" w:space="0" w:color="000000"/>
              <w:right w:val="single" w:sz="4" w:space="0" w:color="000000"/>
            </w:tcBorders>
          </w:tcPr>
          <w:p>
            <w:pPr>
              <w:pStyle w:val="TableParagraph"/>
              <w:ind w:left="118"/>
              <w:rPr>
                <w:sz w:val="18"/>
              </w:rPr>
            </w:pPr>
            <w:r>
              <w:rPr>
                <w:sz w:val="18"/>
              </w:rPr>
              <w:t>78.1</w:t>
            </w:r>
            <w:r>
              <w:rPr>
                <w:spacing w:val="-5"/>
                <w:sz w:val="18"/>
              </w:rPr>
              <w:t> </w:t>
            </w:r>
            <w:r>
              <w:rPr>
                <w:spacing w:val="-4"/>
                <w:sz w:val="18"/>
              </w:rPr>
              <w:t>days</w:t>
            </w:r>
          </w:p>
        </w:tc>
        <w:tc>
          <w:tcPr>
            <w:tcW w:w="1097" w:type="dxa"/>
            <w:tcBorders>
              <w:left w:val="single" w:sz="4" w:space="0" w:color="000000"/>
              <w:right w:val="single" w:sz="4" w:space="0" w:color="000000"/>
            </w:tcBorders>
          </w:tcPr>
          <w:p>
            <w:pPr>
              <w:pStyle w:val="TableParagraph"/>
              <w:ind w:left="118"/>
              <w:rPr>
                <w:sz w:val="18"/>
              </w:rPr>
            </w:pPr>
            <w:r>
              <w:rPr>
                <w:spacing w:val="-4"/>
                <w:sz w:val="18"/>
              </w:rPr>
              <w:t>6.5d</w:t>
            </w:r>
          </w:p>
        </w:tc>
        <w:tc>
          <w:tcPr>
            <w:tcW w:w="1267" w:type="dxa"/>
            <w:tcBorders>
              <w:left w:val="single" w:sz="4" w:space="0" w:color="000000"/>
              <w:right w:val="single" w:sz="4" w:space="0" w:color="000000"/>
            </w:tcBorders>
          </w:tcPr>
          <w:p>
            <w:pPr>
              <w:pStyle w:val="TableParagraph"/>
              <w:ind w:left="119"/>
              <w:rPr>
                <w:sz w:val="18"/>
              </w:rPr>
            </w:pPr>
            <w:r>
              <w:rPr>
                <w:sz w:val="18"/>
              </w:rPr>
              <w:t>42.7</w:t>
            </w:r>
            <w:r>
              <w:rPr>
                <w:spacing w:val="-5"/>
                <w:sz w:val="18"/>
              </w:rPr>
              <w:t> </w:t>
            </w:r>
            <w:r>
              <w:rPr>
                <w:spacing w:val="-4"/>
                <w:sz w:val="18"/>
              </w:rPr>
              <w:t>days</w:t>
            </w:r>
          </w:p>
        </w:tc>
        <w:tc>
          <w:tcPr>
            <w:tcW w:w="1097" w:type="dxa"/>
            <w:tcBorders>
              <w:left w:val="single" w:sz="4" w:space="0" w:color="000000"/>
              <w:right w:val="single" w:sz="4" w:space="0" w:color="000000"/>
            </w:tcBorders>
          </w:tcPr>
          <w:p>
            <w:pPr>
              <w:pStyle w:val="TableParagraph"/>
              <w:ind w:left="119"/>
              <w:rPr>
                <w:sz w:val="18"/>
              </w:rPr>
            </w:pPr>
            <w:r>
              <w:rPr>
                <w:spacing w:val="-4"/>
                <w:sz w:val="18"/>
              </w:rPr>
              <w:t>7.7d</w:t>
            </w:r>
          </w:p>
        </w:tc>
        <w:tc>
          <w:tcPr>
            <w:tcW w:w="2170" w:type="dxa"/>
            <w:tcBorders>
              <w:left w:val="single" w:sz="4" w:space="0" w:color="000000"/>
            </w:tcBorders>
          </w:tcPr>
          <w:p>
            <w:pPr>
              <w:pStyle w:val="TableParagraph"/>
              <w:spacing w:line="254" w:lineRule="auto"/>
              <w:ind w:left="120" w:right="85"/>
              <w:jc w:val="both"/>
              <w:rPr>
                <w:sz w:val="18"/>
              </w:rPr>
            </w:pPr>
            <w:r>
              <w:rPr>
                <w:sz w:val="18"/>
              </w:rPr>
              <w:t>RDD</w:t>
            </w:r>
            <w:r>
              <w:rPr>
                <w:spacing w:val="-12"/>
                <w:sz w:val="18"/>
              </w:rPr>
              <w:t> </w:t>
            </w:r>
            <w:r>
              <w:rPr>
                <w:sz w:val="18"/>
              </w:rPr>
              <w:t>takes</w:t>
            </w:r>
            <w:r>
              <w:rPr>
                <w:spacing w:val="-11"/>
                <w:sz w:val="18"/>
              </w:rPr>
              <w:t> </w:t>
            </w:r>
            <w:r>
              <w:rPr>
                <w:sz w:val="18"/>
              </w:rPr>
              <w:t>longer</w:t>
            </w:r>
            <w:r>
              <w:rPr>
                <w:spacing w:val="-11"/>
                <w:sz w:val="18"/>
              </w:rPr>
              <w:t> </w:t>
            </w:r>
            <w:r>
              <w:rPr>
                <w:sz w:val="18"/>
              </w:rPr>
              <w:t>from</w:t>
            </w:r>
            <w:r>
              <w:rPr>
                <w:spacing w:val="-11"/>
                <w:sz w:val="18"/>
              </w:rPr>
              <w:t> </w:t>
            </w:r>
            <w:r>
              <w:rPr>
                <w:sz w:val="18"/>
              </w:rPr>
              <w:t>ve-raison</w:t>
            </w:r>
            <w:r>
              <w:rPr>
                <w:spacing w:val="-14"/>
                <w:sz w:val="18"/>
              </w:rPr>
              <w:t> </w:t>
            </w:r>
            <w:r>
              <w:rPr>
                <w:sz w:val="18"/>
              </w:rPr>
              <w:t>to</w:t>
            </w:r>
            <w:r>
              <w:rPr>
                <w:spacing w:val="-11"/>
                <w:sz w:val="18"/>
              </w:rPr>
              <w:t> </w:t>
            </w:r>
            <w:r>
              <w:rPr>
                <w:sz w:val="18"/>
              </w:rPr>
              <w:t>harvest,</w:t>
            </w:r>
            <w:r>
              <w:rPr>
                <w:spacing w:val="-11"/>
                <w:sz w:val="18"/>
              </w:rPr>
              <w:t> </w:t>
            </w:r>
            <w:r>
              <w:rPr>
                <w:sz w:val="18"/>
              </w:rPr>
              <w:t>slower</w:t>
            </w:r>
            <w:r>
              <w:rPr>
                <w:spacing w:val="-11"/>
                <w:sz w:val="18"/>
              </w:rPr>
              <w:t> </w:t>
            </w:r>
            <w:r>
              <w:rPr>
                <w:sz w:val="18"/>
              </w:rPr>
              <w:t>fi-nal ripening phase</w:t>
            </w:r>
          </w:p>
        </w:tc>
      </w:tr>
      <w:tr>
        <w:trPr>
          <w:trHeight w:val="541" w:hRule="atLeast"/>
        </w:trPr>
        <w:tc>
          <w:tcPr>
            <w:tcW w:w="1377" w:type="dxa"/>
            <w:tcBorders>
              <w:bottom w:val="single" w:sz="8" w:space="0" w:color="000000"/>
              <w:right w:val="single" w:sz="4" w:space="0" w:color="000000"/>
            </w:tcBorders>
          </w:tcPr>
          <w:p>
            <w:pPr>
              <w:pStyle w:val="TableParagraph"/>
              <w:tabs>
                <w:tab w:pos="765" w:val="left" w:leader="none"/>
              </w:tabs>
              <w:spacing w:line="201" w:lineRule="auto" w:before="59"/>
              <w:ind w:left="113" w:right="116" w:firstLine="5"/>
              <w:rPr>
                <w:sz w:val="18"/>
              </w:rPr>
            </w:pPr>
            <w:r>
              <w:rPr>
                <w:spacing w:val="-4"/>
                <w:sz w:val="18"/>
              </w:rPr>
              <w:t>Full</w:t>
            </w:r>
            <w:r>
              <w:rPr>
                <w:sz w:val="18"/>
              </w:rPr>
              <w:tab/>
            </w:r>
            <w:r>
              <w:rPr>
                <w:spacing w:val="-2"/>
                <w:sz w:val="18"/>
              </w:rPr>
              <w:t>season (BB</w:t>
            </w:r>
            <w:r>
              <w:rPr>
                <w:rFonts w:ascii="Meiryo UI" w:hAnsi="Meiryo UI"/>
                <w:i/>
                <w:spacing w:val="-2"/>
                <w:sz w:val="18"/>
              </w:rPr>
              <w:t>→</w:t>
            </w:r>
            <w:r>
              <w:rPr>
                <w:spacing w:val="-2"/>
                <w:sz w:val="18"/>
              </w:rPr>
              <w:t>Hv)</w:t>
            </w:r>
          </w:p>
        </w:tc>
        <w:tc>
          <w:tcPr>
            <w:tcW w:w="1494" w:type="dxa"/>
            <w:tcBorders>
              <w:left w:val="single" w:sz="4" w:space="0" w:color="000000"/>
              <w:bottom w:val="single" w:sz="8" w:space="0" w:color="000000"/>
              <w:right w:val="single" w:sz="4" w:space="0" w:color="000000"/>
            </w:tcBorders>
          </w:tcPr>
          <w:p>
            <w:pPr>
              <w:pStyle w:val="TableParagraph"/>
              <w:ind w:left="118"/>
              <w:rPr>
                <w:sz w:val="18"/>
              </w:rPr>
            </w:pPr>
            <w:r>
              <w:rPr>
                <w:sz w:val="18"/>
              </w:rPr>
              <w:t>169.9</w:t>
            </w:r>
            <w:r>
              <w:rPr>
                <w:spacing w:val="-6"/>
                <w:sz w:val="18"/>
              </w:rPr>
              <w:t> </w:t>
            </w:r>
            <w:r>
              <w:rPr>
                <w:spacing w:val="-4"/>
                <w:sz w:val="18"/>
              </w:rPr>
              <w:t>days</w:t>
            </w:r>
          </w:p>
        </w:tc>
        <w:tc>
          <w:tcPr>
            <w:tcW w:w="1097" w:type="dxa"/>
            <w:tcBorders>
              <w:left w:val="single" w:sz="4" w:space="0" w:color="000000"/>
              <w:bottom w:val="single" w:sz="8" w:space="0" w:color="000000"/>
              <w:right w:val="single" w:sz="4" w:space="0" w:color="000000"/>
            </w:tcBorders>
          </w:tcPr>
          <w:p>
            <w:pPr>
              <w:pStyle w:val="TableParagraph"/>
              <w:ind w:left="118"/>
              <w:rPr>
                <w:sz w:val="18"/>
              </w:rPr>
            </w:pPr>
            <w:r>
              <w:rPr>
                <w:spacing w:val="-2"/>
                <w:sz w:val="18"/>
              </w:rPr>
              <w:t>12.6d</w:t>
            </w:r>
          </w:p>
        </w:tc>
        <w:tc>
          <w:tcPr>
            <w:tcW w:w="1267" w:type="dxa"/>
            <w:tcBorders>
              <w:left w:val="single" w:sz="4" w:space="0" w:color="000000"/>
              <w:bottom w:val="single" w:sz="8" w:space="0" w:color="000000"/>
              <w:right w:val="single" w:sz="4" w:space="0" w:color="000000"/>
            </w:tcBorders>
          </w:tcPr>
          <w:p>
            <w:pPr>
              <w:pStyle w:val="TableParagraph"/>
              <w:ind w:left="119"/>
              <w:rPr>
                <w:sz w:val="18"/>
              </w:rPr>
            </w:pPr>
            <w:r>
              <w:rPr>
                <w:sz w:val="18"/>
              </w:rPr>
              <w:t>180.0</w:t>
            </w:r>
            <w:r>
              <w:rPr>
                <w:spacing w:val="-6"/>
                <w:sz w:val="18"/>
              </w:rPr>
              <w:t> </w:t>
            </w:r>
            <w:r>
              <w:rPr>
                <w:spacing w:val="-4"/>
                <w:sz w:val="18"/>
              </w:rPr>
              <w:t>days</w:t>
            </w:r>
          </w:p>
        </w:tc>
        <w:tc>
          <w:tcPr>
            <w:tcW w:w="1097" w:type="dxa"/>
            <w:tcBorders>
              <w:left w:val="single" w:sz="4" w:space="0" w:color="000000"/>
              <w:bottom w:val="single" w:sz="8" w:space="0" w:color="000000"/>
              <w:right w:val="single" w:sz="4" w:space="0" w:color="000000"/>
            </w:tcBorders>
          </w:tcPr>
          <w:p>
            <w:pPr>
              <w:pStyle w:val="TableParagraph"/>
              <w:ind w:left="119"/>
              <w:rPr>
                <w:sz w:val="18"/>
              </w:rPr>
            </w:pPr>
            <w:r>
              <w:rPr>
                <w:spacing w:val="-2"/>
                <w:sz w:val="18"/>
              </w:rPr>
              <w:t>13.8d</w:t>
            </w:r>
          </w:p>
        </w:tc>
        <w:tc>
          <w:tcPr>
            <w:tcW w:w="2170" w:type="dxa"/>
            <w:tcBorders>
              <w:left w:val="single" w:sz="4" w:space="0" w:color="000000"/>
              <w:bottom w:val="single" w:sz="8" w:space="0" w:color="000000"/>
            </w:tcBorders>
          </w:tcPr>
          <w:p>
            <w:pPr>
              <w:pStyle w:val="TableParagraph"/>
              <w:spacing w:line="254" w:lineRule="auto"/>
              <w:ind w:left="120"/>
              <w:rPr>
                <w:sz w:val="18"/>
              </w:rPr>
            </w:pPr>
            <w:r>
              <w:rPr>
                <w:sz w:val="18"/>
              </w:rPr>
              <w:t>RVV growing season</w:t>
            </w:r>
            <w:r>
              <w:rPr>
                <w:spacing w:val="80"/>
                <w:sz w:val="18"/>
              </w:rPr>
              <w:t> </w:t>
            </w:r>
            <w:r>
              <w:rPr>
                <w:sz w:val="18"/>
              </w:rPr>
              <w:t>10 days longer overall</w:t>
            </w:r>
          </w:p>
        </w:tc>
      </w:tr>
    </w:tbl>
    <w:p>
      <w:pPr>
        <w:pStyle w:val="BodyText"/>
        <w:rPr>
          <w:sz w:val="20"/>
        </w:rPr>
      </w:pPr>
    </w:p>
    <w:p>
      <w:pPr>
        <w:pStyle w:val="BodyText"/>
        <w:spacing w:before="32"/>
        <w:rPr>
          <w:sz w:val="20"/>
        </w:rPr>
      </w:pPr>
    </w:p>
    <w:p>
      <w:pPr>
        <w:pStyle w:val="BodyText"/>
        <w:spacing w:line="312" w:lineRule="auto"/>
        <w:ind w:left="142" w:right="1557"/>
        <w:jc w:val="both"/>
      </w:pPr>
      <w:r>
        <w:rPr/>
        <w:t>absolute calendar periods in the two regions, and directly motivate the use of separate </w:t>
      </w:r>
      <w:r>
        <w:rPr/>
        <w:t>feature construction and model fitting for each region rather than a pooled approach.</w:t>
      </w:r>
    </w:p>
    <w:p>
      <w:pPr>
        <w:pStyle w:val="BodyText"/>
      </w:pPr>
    </w:p>
    <w:p>
      <w:pPr>
        <w:pStyle w:val="BodyText"/>
        <w:spacing w:before="96"/>
      </w:pPr>
    </w:p>
    <w:p>
      <w:pPr>
        <w:pStyle w:val="Heading2"/>
        <w:numPr>
          <w:ilvl w:val="1"/>
          <w:numId w:val="41"/>
        </w:numPr>
        <w:tabs>
          <w:tab w:pos="835" w:val="left" w:leader="none"/>
        </w:tabs>
        <w:spacing w:line="240" w:lineRule="auto" w:before="0" w:after="0"/>
        <w:ind w:left="835" w:right="0" w:hanging="693"/>
        <w:jc w:val="left"/>
      </w:pPr>
      <w:bookmarkStart w:name="B.3 Feature Correlations with Production" w:id="291"/>
      <w:bookmarkEnd w:id="291"/>
      <w:r>
        <w:rPr>
          <w:b w:val="0"/>
        </w:rPr>
      </w:r>
      <w:bookmarkStart w:name="_bookmark172" w:id="292"/>
      <w:bookmarkEnd w:id="292"/>
      <w:r>
        <w:rPr>
          <w:b w:val="0"/>
        </w:rPr>
      </w:r>
      <w:r>
        <w:rPr/>
        <w:t>Feature</w:t>
      </w:r>
      <w:r>
        <w:rPr>
          <w:spacing w:val="14"/>
        </w:rPr>
        <w:t> </w:t>
      </w:r>
      <w:r>
        <w:rPr/>
        <w:t>Correlations</w:t>
      </w:r>
      <w:r>
        <w:rPr>
          <w:spacing w:val="14"/>
        </w:rPr>
        <w:t> </w:t>
      </w:r>
      <w:r>
        <w:rPr/>
        <w:t>with</w:t>
      </w:r>
      <w:r>
        <w:rPr>
          <w:spacing w:val="14"/>
        </w:rPr>
        <w:t> </w:t>
      </w:r>
      <w:r>
        <w:rPr>
          <w:spacing w:val="-2"/>
        </w:rPr>
        <w:t>Production</w:t>
      </w:r>
    </w:p>
    <w:p>
      <w:pPr>
        <w:pStyle w:val="BodyText"/>
        <w:spacing w:line="328" w:lineRule="exact" w:before="302"/>
        <w:ind w:left="142" w:right="1542" w:hanging="7"/>
        <w:jc w:val="both"/>
      </w:pPr>
      <w:r>
        <w:rPr>
          <w:spacing w:val="-4"/>
        </w:rPr>
        <w:t>Table</w:t>
      </w:r>
      <w:r>
        <w:rPr>
          <w:spacing w:val="-5"/>
        </w:rPr>
        <w:t> </w:t>
      </w:r>
      <w:hyperlink w:history="true" w:anchor="_bookmark174">
        <w:r>
          <w:rPr>
            <w:color w:val="8B2C18"/>
            <w:spacing w:val="-4"/>
          </w:rPr>
          <w:t>B.5</w:t>
        </w:r>
      </w:hyperlink>
      <w:r>
        <w:rPr>
          <w:color w:val="8B2C18"/>
          <w:spacing w:val="-6"/>
        </w:rPr>
        <w:t> </w:t>
      </w:r>
      <w:r>
        <w:rPr>
          <w:spacing w:val="-4"/>
        </w:rPr>
        <w:t>shows</w:t>
      </w:r>
      <w:r>
        <w:rPr>
          <w:spacing w:val="-6"/>
        </w:rPr>
        <w:t> </w:t>
      </w:r>
      <w:r>
        <w:rPr>
          <w:spacing w:val="-4"/>
        </w:rPr>
        <w:t>the</w:t>
      </w:r>
      <w:r>
        <w:rPr>
          <w:spacing w:val="-5"/>
        </w:rPr>
        <w:t> </w:t>
      </w:r>
      <w:r>
        <w:rPr>
          <w:spacing w:val="-4"/>
        </w:rPr>
        <w:t>ten</w:t>
      </w:r>
      <w:r>
        <w:rPr>
          <w:spacing w:val="-6"/>
        </w:rPr>
        <w:t> </w:t>
      </w:r>
      <w:r>
        <w:rPr>
          <w:spacing w:val="-4"/>
        </w:rPr>
        <w:t>features</w:t>
      </w:r>
      <w:r>
        <w:rPr>
          <w:spacing w:val="-5"/>
        </w:rPr>
        <w:t> </w:t>
      </w:r>
      <w:r>
        <w:rPr>
          <w:spacing w:val="-4"/>
        </w:rPr>
        <w:t>most</w:t>
      </w:r>
      <w:r>
        <w:rPr>
          <w:spacing w:val="-6"/>
        </w:rPr>
        <w:t> </w:t>
      </w:r>
      <w:r>
        <w:rPr>
          <w:spacing w:val="-4"/>
        </w:rPr>
        <w:t>strongly</w:t>
      </w:r>
      <w:r>
        <w:rPr>
          <w:spacing w:val="-5"/>
        </w:rPr>
        <w:t> </w:t>
      </w:r>
      <w:r>
        <w:rPr>
          <w:spacing w:val="-4"/>
        </w:rPr>
        <w:t>correlated</w:t>
      </w:r>
      <w:r>
        <w:rPr>
          <w:spacing w:val="-6"/>
        </w:rPr>
        <w:t> </w:t>
      </w:r>
      <w:r>
        <w:rPr>
          <w:spacing w:val="-4"/>
        </w:rPr>
        <w:t>with</w:t>
      </w:r>
      <w:r>
        <w:rPr>
          <w:spacing w:val="-6"/>
        </w:rPr>
        <w:t> </w:t>
      </w:r>
      <w:r>
        <w:rPr>
          <w:spacing w:val="-4"/>
        </w:rPr>
        <w:t>wine</w:t>
      </w:r>
      <w:r>
        <w:rPr>
          <w:spacing w:val="-5"/>
        </w:rPr>
        <w:t> </w:t>
      </w:r>
      <w:r>
        <w:rPr>
          <w:spacing w:val="-4"/>
        </w:rPr>
        <w:t>production</w:t>
      </w:r>
      <w:r>
        <w:rPr>
          <w:spacing w:val="-6"/>
        </w:rPr>
        <w:t> </w:t>
      </w:r>
      <w:r>
        <w:rPr>
          <w:spacing w:val="-4"/>
        </w:rPr>
        <w:t>residuals</w:t>
      </w:r>
      <w:r>
        <w:rPr>
          <w:spacing w:val="-5"/>
        </w:rPr>
        <w:t> </w:t>
      </w:r>
      <w:r>
        <w:rPr>
          <w:spacing w:val="-4"/>
        </w:rPr>
        <w:t>(detrended) </w:t>
      </w:r>
      <w:r>
        <w:rPr/>
        <w:t>in</w:t>
      </w:r>
      <w:r>
        <w:rPr>
          <w:spacing w:val="-7"/>
        </w:rPr>
        <w:t> </w:t>
      </w:r>
      <w:r>
        <w:rPr/>
        <w:t>each</w:t>
      </w:r>
      <w:r>
        <w:rPr>
          <w:spacing w:val="-7"/>
        </w:rPr>
        <w:t> </w:t>
      </w:r>
      <w:r>
        <w:rPr/>
        <w:t>region. This</w:t>
      </w:r>
      <w:r>
        <w:rPr>
          <w:spacing w:val="-7"/>
        </w:rPr>
        <w:t> </w:t>
      </w:r>
      <w:r>
        <w:rPr/>
        <w:t>analysis</w:t>
      </w:r>
      <w:r>
        <w:rPr>
          <w:spacing w:val="-7"/>
        </w:rPr>
        <w:t> </w:t>
      </w:r>
      <w:r>
        <w:rPr/>
        <w:t>was</w:t>
      </w:r>
      <w:r>
        <w:rPr>
          <w:spacing w:val="-7"/>
        </w:rPr>
        <w:t> </w:t>
      </w:r>
      <w:r>
        <w:rPr/>
        <w:t>part</w:t>
      </w:r>
      <w:r>
        <w:rPr>
          <w:spacing w:val="-7"/>
        </w:rPr>
        <w:t> </w:t>
      </w:r>
      <w:r>
        <w:rPr/>
        <w:t>of</w:t>
      </w:r>
      <w:r>
        <w:rPr>
          <w:spacing w:val="-7"/>
        </w:rPr>
        <w:t> </w:t>
      </w:r>
      <w:r>
        <w:rPr/>
        <w:t>the</w:t>
      </w:r>
      <w:r>
        <w:rPr>
          <w:spacing w:val="-7"/>
        </w:rPr>
        <w:t> </w:t>
      </w:r>
      <w:r>
        <w:rPr/>
        <w:t>exploratory</w:t>
      </w:r>
      <w:r>
        <w:rPr>
          <w:spacing w:val="-7"/>
        </w:rPr>
        <w:t> </w:t>
      </w:r>
      <w:r>
        <w:rPr/>
        <w:t>phase</w:t>
      </w:r>
      <w:r>
        <w:rPr>
          <w:spacing w:val="-7"/>
        </w:rPr>
        <w:t> </w:t>
      </w:r>
      <w:r>
        <w:rPr/>
        <w:t>that</w:t>
      </w:r>
      <w:r>
        <w:rPr>
          <w:spacing w:val="-7"/>
        </w:rPr>
        <w:t> </w:t>
      </w:r>
      <w:r>
        <w:rPr/>
        <w:t>informed</w:t>
      </w:r>
      <w:r>
        <w:rPr>
          <w:spacing w:val="-7"/>
        </w:rPr>
        <w:t> </w:t>
      </w:r>
      <w:r>
        <w:rPr/>
        <w:t>the</w:t>
      </w:r>
      <w:r>
        <w:rPr>
          <w:spacing w:val="-7"/>
        </w:rPr>
        <w:t> </w:t>
      </w:r>
      <w:r>
        <w:rPr/>
        <w:t>feature</w:t>
      </w:r>
      <w:r>
        <w:rPr>
          <w:spacing w:val="-7"/>
        </w:rPr>
        <w:t> </w:t>
      </w:r>
      <w:r>
        <w:rPr/>
        <w:t>selection strategies evaluated in CarenR. In the direction column, + indicates positive correlation with production and </w:t>
      </w:r>
      <w:r>
        <w:rPr>
          <w:rFonts w:ascii="Meiryo UI" w:hAnsi="Meiryo UI"/>
          <w:i/>
        </w:rPr>
        <w:t>− </w:t>
      </w:r>
      <w:r>
        <w:rPr/>
        <w:t>negative.</w:t>
      </w:r>
    </w:p>
    <w:p>
      <w:pPr>
        <w:pStyle w:val="BodyText"/>
        <w:spacing w:line="328" w:lineRule="exact" w:before="38"/>
        <w:ind w:left="142" w:right="1542" w:firstLine="338"/>
        <w:jc w:val="both"/>
      </w:pPr>
      <w:r>
        <w:rPr>
          <w:spacing w:val="-2"/>
        </w:rPr>
        <w:t>Several</w:t>
      </w:r>
      <w:r>
        <w:rPr>
          <w:spacing w:val="-8"/>
        </w:rPr>
        <w:t> </w:t>
      </w:r>
      <w:r>
        <w:rPr>
          <w:spacing w:val="-2"/>
        </w:rPr>
        <w:t>observations</w:t>
      </w:r>
      <w:r>
        <w:rPr>
          <w:spacing w:val="-8"/>
        </w:rPr>
        <w:t> </w:t>
      </w:r>
      <w:r>
        <w:rPr>
          <w:spacing w:val="-2"/>
        </w:rPr>
        <w:t>from</w:t>
      </w:r>
      <w:r>
        <w:rPr>
          <w:spacing w:val="-8"/>
        </w:rPr>
        <w:t> </w:t>
      </w:r>
      <w:r>
        <w:rPr>
          <w:spacing w:val="-2"/>
        </w:rPr>
        <w:t>this</w:t>
      </w:r>
      <w:r>
        <w:rPr>
          <w:spacing w:val="-8"/>
        </w:rPr>
        <w:t> </w:t>
      </w:r>
      <w:r>
        <w:rPr>
          <w:spacing w:val="-2"/>
        </w:rPr>
        <w:t>correlation</w:t>
      </w:r>
      <w:r>
        <w:rPr>
          <w:spacing w:val="-8"/>
        </w:rPr>
        <w:t> </w:t>
      </w:r>
      <w:r>
        <w:rPr>
          <w:spacing w:val="-2"/>
        </w:rPr>
        <w:t>table</w:t>
      </w:r>
      <w:r>
        <w:rPr>
          <w:spacing w:val="-8"/>
        </w:rPr>
        <w:t> </w:t>
      </w:r>
      <w:r>
        <w:rPr>
          <w:spacing w:val="-2"/>
        </w:rPr>
        <w:t>are</w:t>
      </w:r>
      <w:r>
        <w:rPr>
          <w:spacing w:val="-8"/>
        </w:rPr>
        <w:t> </w:t>
      </w:r>
      <w:r>
        <w:rPr>
          <w:spacing w:val="-2"/>
        </w:rPr>
        <w:t>noteworthy. First,</w:t>
      </w:r>
      <w:r>
        <w:rPr>
          <w:spacing w:val="-8"/>
        </w:rPr>
        <w:t> </w:t>
      </w:r>
      <w:r>
        <w:rPr>
          <w:spacing w:val="-2"/>
        </w:rPr>
        <w:t>swa_hv_y1_b20</w:t>
      </w:r>
      <w:r>
        <w:rPr>
          <w:spacing w:val="-8"/>
        </w:rPr>
        <w:t> </w:t>
      </w:r>
      <w:r>
        <w:rPr>
          <w:spacing w:val="-2"/>
        </w:rPr>
        <w:t>(harvest </w:t>
      </w:r>
      <w:r>
        <w:rPr/>
        <w:t>soil water) appears in the top 10 for both regions, but with opposite signs, negative (r = </w:t>
      </w:r>
      <w:r>
        <w:rPr>
          <w:rFonts w:ascii="Meiryo UI" w:hAnsi="Meiryo UI"/>
          <w:i/>
        </w:rPr>
        <w:t>−</w:t>
      </w:r>
      <w:r>
        <w:rPr/>
        <w:t>0.223) for RDD and positive (r = +0.245) for RVV. This is the same directional inversion identified in the CarenR rules (Section </w:t>
      </w:r>
      <w:hyperlink w:history="true" w:anchor="_bookmark74">
        <w:r>
          <w:rPr>
            <w:color w:val="8B2C18"/>
          </w:rPr>
          <w:t>4.1.3</w:t>
        </w:r>
      </w:hyperlink>
      <w:r>
        <w:rPr/>
        <w:t>), now confirmed at the simple correlation level. Second, the top RDD</w:t>
      </w:r>
      <w:r>
        <w:rPr>
          <w:spacing w:val="-2"/>
        </w:rPr>
        <w:t> </w:t>
      </w:r>
      <w:r>
        <w:rPr/>
        <w:t>correlate</w:t>
      </w:r>
      <w:r>
        <w:rPr>
          <w:spacing w:val="-2"/>
        </w:rPr>
        <w:t> </w:t>
      </w:r>
      <w:r>
        <w:rPr/>
        <w:t>is</w:t>
      </w:r>
      <w:r>
        <w:rPr>
          <w:spacing w:val="-2"/>
        </w:rPr>
        <w:t> </w:t>
      </w:r>
      <w:r>
        <w:rPr/>
        <w:t>harvest</w:t>
      </w:r>
      <w:r>
        <w:rPr>
          <w:spacing w:val="-2"/>
        </w:rPr>
        <w:t> </w:t>
      </w:r>
      <w:r>
        <w:rPr/>
        <w:t>temperature</w:t>
      </w:r>
      <w:r>
        <w:rPr>
          <w:spacing w:val="-2"/>
        </w:rPr>
        <w:t> </w:t>
      </w:r>
      <w:r>
        <w:rPr/>
        <w:t>(r</w:t>
      </w:r>
      <w:r>
        <w:rPr>
          <w:spacing w:val="-2"/>
        </w:rPr>
        <w:t> </w:t>
      </w:r>
      <w:r>
        <w:rPr/>
        <w:t>=</w:t>
      </w:r>
      <w:r>
        <w:rPr>
          <w:spacing w:val="-2"/>
        </w:rPr>
        <w:t> </w:t>
      </w:r>
      <w:r>
        <w:rPr/>
        <w:t>+0.386),</w:t>
      </w:r>
      <w:r>
        <w:rPr>
          <w:spacing w:val="-2"/>
        </w:rPr>
        <w:t> </w:t>
      </w:r>
      <w:r>
        <w:rPr/>
        <w:t>which</w:t>
      </w:r>
      <w:r>
        <w:rPr>
          <w:spacing w:val="-2"/>
        </w:rPr>
        <w:t> </w:t>
      </w:r>
      <w:r>
        <w:rPr/>
        <w:t>does</w:t>
      </w:r>
      <w:r>
        <w:rPr>
          <w:spacing w:val="-2"/>
        </w:rPr>
        <w:t> </w:t>
      </w:r>
      <w:r>
        <w:rPr/>
        <w:t>not</w:t>
      </w:r>
      <w:r>
        <w:rPr>
          <w:spacing w:val="-2"/>
        </w:rPr>
        <w:t> </w:t>
      </w:r>
      <w:r>
        <w:rPr/>
        <w:t>prominently</w:t>
      </w:r>
      <w:r>
        <w:rPr>
          <w:spacing w:val="-2"/>
        </w:rPr>
        <w:t> </w:t>
      </w:r>
      <w:r>
        <w:rPr/>
        <w:t>appear</w:t>
      </w:r>
      <w:r>
        <w:rPr>
          <w:spacing w:val="-2"/>
        </w:rPr>
        <w:t> </w:t>
      </w:r>
      <w:r>
        <w:rPr/>
        <w:t>in</w:t>
      </w:r>
      <w:r>
        <w:rPr>
          <w:spacing w:val="-2"/>
        </w:rPr>
        <w:t> </w:t>
      </w:r>
      <w:r>
        <w:rPr/>
        <w:t>the</w:t>
      </w:r>
      <w:r>
        <w:rPr>
          <w:spacing w:val="-2"/>
        </w:rPr>
        <w:t> </w:t>
      </w:r>
      <w:r>
        <w:rPr/>
        <w:t>top CarenR</w:t>
      </w:r>
      <w:r>
        <w:rPr>
          <w:spacing w:val="-13"/>
        </w:rPr>
        <w:t> </w:t>
      </w:r>
      <w:r>
        <w:rPr/>
        <w:t>rules</w:t>
      </w:r>
      <w:r>
        <w:rPr>
          <w:spacing w:val="-13"/>
        </w:rPr>
        <w:t> </w:t>
      </w:r>
      <w:r>
        <w:rPr/>
        <w:t>because</w:t>
      </w:r>
      <w:r>
        <w:rPr>
          <w:spacing w:val="-13"/>
        </w:rPr>
        <w:t> </w:t>
      </w:r>
      <w:r>
        <w:rPr/>
        <w:t>CarenR</w:t>
      </w:r>
      <w:r>
        <w:rPr>
          <w:spacing w:val="-13"/>
        </w:rPr>
        <w:t> </w:t>
      </w:r>
      <w:r>
        <w:rPr/>
        <w:t>uses</w:t>
      </w:r>
      <w:r>
        <w:rPr>
          <w:spacing w:val="-13"/>
        </w:rPr>
        <w:t> </w:t>
      </w:r>
      <w:r>
        <w:rPr/>
        <w:t>discretised</w:t>
      </w:r>
      <w:r>
        <w:rPr>
          <w:spacing w:val="-13"/>
        </w:rPr>
        <w:t> </w:t>
      </w:r>
      <w:r>
        <w:rPr/>
        <w:t>variables</w:t>
      </w:r>
      <w:r>
        <w:rPr>
          <w:spacing w:val="-13"/>
        </w:rPr>
        <w:t> </w:t>
      </w:r>
      <w:r>
        <w:rPr/>
        <w:t>and</w:t>
      </w:r>
      <w:r>
        <w:rPr>
          <w:spacing w:val="-13"/>
        </w:rPr>
        <w:t> </w:t>
      </w:r>
      <w:r>
        <w:rPr/>
        <w:t>the</w:t>
      </w:r>
      <w:r>
        <w:rPr>
          <w:spacing w:val="-13"/>
        </w:rPr>
        <w:t> </w:t>
      </w:r>
      <w:r>
        <w:rPr/>
        <w:t>KS</w:t>
      </w:r>
      <w:r>
        <w:rPr>
          <w:spacing w:val="-13"/>
        </w:rPr>
        <w:t> </w:t>
      </w:r>
      <w:r>
        <w:rPr/>
        <w:t>test</w:t>
      </w:r>
      <w:r>
        <w:rPr>
          <w:spacing w:val="-13"/>
        </w:rPr>
        <w:t> </w:t>
      </w:r>
      <w:r>
        <w:rPr/>
        <w:t>detects</w:t>
      </w:r>
      <w:r>
        <w:rPr>
          <w:spacing w:val="-13"/>
        </w:rPr>
        <w:t> </w:t>
      </w:r>
      <w:r>
        <w:rPr/>
        <w:t>distributional</w:t>
      </w:r>
      <w:r>
        <w:rPr>
          <w:spacing w:val="-13"/>
        </w:rPr>
        <w:t> </w:t>
      </w:r>
      <w:r>
        <w:rPr/>
        <w:t>shift rather than linear correlation.</w:t>
      </w:r>
      <w:r>
        <w:rPr>
          <w:spacing w:val="40"/>
        </w:rPr>
        <w:t> </w:t>
      </w:r>
      <w:r>
        <w:rPr/>
        <w:t>The harvest temperature signal is captured by M5Rules (positive </w:t>
      </w:r>
      <w:r>
        <w:rPr>
          <w:spacing w:val="-2"/>
        </w:rPr>
        <w:t>coefficients)</w:t>
      </w:r>
      <w:r>
        <w:rPr>
          <w:spacing w:val="-6"/>
        </w:rPr>
        <w:t> </w:t>
      </w:r>
      <w:r>
        <w:rPr>
          <w:spacing w:val="-2"/>
        </w:rPr>
        <w:t>and</w:t>
      </w:r>
      <w:r>
        <w:rPr>
          <w:spacing w:val="-6"/>
        </w:rPr>
        <w:t> </w:t>
      </w:r>
      <w:r>
        <w:rPr>
          <w:spacing w:val="-2"/>
        </w:rPr>
        <w:t>RIPPER</w:t>
      </w:r>
      <w:r>
        <w:rPr>
          <w:spacing w:val="-6"/>
        </w:rPr>
        <w:t> </w:t>
      </w:r>
      <w:r>
        <w:rPr>
          <w:spacing w:val="-2"/>
        </w:rPr>
        <w:t>(harvest</w:t>
      </w:r>
      <w:r>
        <w:rPr>
          <w:spacing w:val="-6"/>
        </w:rPr>
        <w:t> </w:t>
      </w:r>
      <w:r>
        <w:rPr>
          <w:spacing w:val="-2"/>
        </w:rPr>
        <w:t>temperature</w:t>
      </w:r>
      <w:r>
        <w:rPr>
          <w:spacing w:val="-6"/>
        </w:rPr>
        <w:t> </w:t>
      </w:r>
      <w:r>
        <w:rPr>
          <w:spacing w:val="-2"/>
        </w:rPr>
        <w:t>in</w:t>
      </w:r>
      <w:r>
        <w:rPr>
          <w:spacing w:val="-6"/>
        </w:rPr>
        <w:t> </w:t>
      </w:r>
      <w:r>
        <w:rPr>
          <w:spacing w:val="-2"/>
        </w:rPr>
        <w:t>Rules</w:t>
      </w:r>
      <w:r>
        <w:rPr>
          <w:spacing w:val="-6"/>
        </w:rPr>
        <w:t> </w:t>
      </w:r>
      <w:r>
        <w:rPr>
          <w:spacing w:val="-2"/>
        </w:rPr>
        <w:t>1–2)</w:t>
      </w:r>
      <w:r>
        <w:rPr>
          <w:spacing w:val="-6"/>
        </w:rPr>
        <w:t> </w:t>
      </w:r>
      <w:r>
        <w:rPr>
          <w:spacing w:val="-2"/>
        </w:rPr>
        <w:t>instead. Third,</w:t>
      </w:r>
      <w:r>
        <w:rPr>
          <w:spacing w:val="-6"/>
        </w:rPr>
        <w:t> </w:t>
      </w:r>
      <w:r>
        <w:rPr>
          <w:spacing w:val="-2"/>
        </w:rPr>
        <w:t>the</w:t>
      </w:r>
      <w:r>
        <w:rPr>
          <w:spacing w:val="-6"/>
        </w:rPr>
        <w:t> </w:t>
      </w:r>
      <w:r>
        <w:rPr>
          <w:spacing w:val="-2"/>
        </w:rPr>
        <w:t>top</w:t>
      </w:r>
      <w:r>
        <w:rPr>
          <w:spacing w:val="-6"/>
        </w:rPr>
        <w:t> </w:t>
      </w:r>
      <w:r>
        <w:rPr>
          <w:spacing w:val="-2"/>
        </w:rPr>
        <w:t>RVV</w:t>
      </w:r>
      <w:r>
        <w:rPr>
          <w:spacing w:val="-6"/>
        </w:rPr>
        <w:t> </w:t>
      </w:r>
      <w:r>
        <w:rPr>
          <w:spacing w:val="-2"/>
        </w:rPr>
        <w:t>correlate </w:t>
      </w:r>
      <w:r>
        <w:rPr/>
        <w:t>is LAI at harvest (r = </w:t>
      </w:r>
      <w:r>
        <w:rPr>
          <w:rFonts w:ascii="Meiryo UI" w:hAnsi="Meiryo UI"/>
          <w:i/>
        </w:rPr>
        <w:t>−</w:t>
      </w:r>
      <w:r>
        <w:rPr/>
        <w:t>0.404), consistent with its dominance in the CarenR RVV rule set.</w:t>
      </w:r>
      <w:r>
        <w:rPr>
          <w:spacing w:val="36"/>
        </w:rPr>
        <w:t> </w:t>
      </w:r>
      <w:r>
        <w:rPr/>
        <w:t>The </w:t>
      </w:r>
      <w:r>
        <w:rPr>
          <w:spacing w:val="-2"/>
        </w:rPr>
        <w:t>negative</w:t>
      </w:r>
      <w:r>
        <w:rPr>
          <w:spacing w:val="-12"/>
        </w:rPr>
        <w:t> </w:t>
      </w:r>
      <w:r>
        <w:rPr>
          <w:spacing w:val="-2"/>
        </w:rPr>
        <w:t>sign</w:t>
      </w:r>
      <w:r>
        <w:rPr>
          <w:spacing w:val="-12"/>
        </w:rPr>
        <w:t> </w:t>
      </w:r>
      <w:r>
        <w:rPr>
          <w:spacing w:val="-2"/>
        </w:rPr>
        <w:t>confirms</w:t>
      </w:r>
      <w:r>
        <w:rPr>
          <w:spacing w:val="-12"/>
        </w:rPr>
        <w:t> </w:t>
      </w:r>
      <w:r>
        <w:rPr>
          <w:spacing w:val="-2"/>
        </w:rPr>
        <w:t>that</w:t>
      </w:r>
      <w:r>
        <w:rPr>
          <w:spacing w:val="-11"/>
        </w:rPr>
        <w:t> </w:t>
      </w:r>
      <w:r>
        <w:rPr>
          <w:spacing w:val="-2"/>
        </w:rPr>
        <w:t>higher</w:t>
      </w:r>
      <w:r>
        <w:rPr>
          <w:spacing w:val="-12"/>
        </w:rPr>
        <w:t> </w:t>
      </w:r>
      <w:r>
        <w:rPr>
          <w:spacing w:val="-2"/>
        </w:rPr>
        <w:t>LAI</w:t>
      </w:r>
      <w:r>
        <w:rPr>
          <w:spacing w:val="-12"/>
        </w:rPr>
        <w:t> </w:t>
      </w:r>
      <w:r>
        <w:rPr>
          <w:spacing w:val="-2"/>
        </w:rPr>
        <w:t>reduces</w:t>
      </w:r>
      <w:r>
        <w:rPr>
          <w:spacing w:val="-12"/>
        </w:rPr>
        <w:t> </w:t>
      </w:r>
      <w:r>
        <w:rPr>
          <w:spacing w:val="-2"/>
        </w:rPr>
        <w:t>production,</w:t>
      </w:r>
      <w:r>
        <w:rPr>
          <w:spacing w:val="-11"/>
        </w:rPr>
        <w:t> </w:t>
      </w:r>
      <w:r>
        <w:rPr>
          <w:spacing w:val="-2"/>
        </w:rPr>
        <w:t>the</w:t>
      </w:r>
      <w:r>
        <w:rPr>
          <w:spacing w:val="-12"/>
        </w:rPr>
        <w:t> </w:t>
      </w:r>
      <w:r>
        <w:rPr>
          <w:spacing w:val="-2"/>
        </w:rPr>
        <w:t>canopy</w:t>
      </w:r>
      <w:r>
        <w:rPr>
          <w:spacing w:val="-12"/>
        </w:rPr>
        <w:t> </w:t>
      </w:r>
      <w:r>
        <w:rPr>
          <w:spacing w:val="-2"/>
        </w:rPr>
        <w:t>vigour</w:t>
      </w:r>
      <w:r>
        <w:rPr>
          <w:spacing w:val="-12"/>
        </w:rPr>
        <w:t> </w:t>
      </w:r>
      <w:r>
        <w:rPr>
          <w:spacing w:val="-2"/>
        </w:rPr>
        <w:t>mechanism</w:t>
      </w:r>
      <w:r>
        <w:rPr>
          <w:spacing w:val="-11"/>
        </w:rPr>
        <w:t> </w:t>
      </w:r>
      <w:r>
        <w:rPr>
          <w:spacing w:val="-2"/>
        </w:rPr>
        <w:t>discussed </w:t>
      </w:r>
      <w:r>
        <w:rPr/>
        <w:t>throughout Chapter </w:t>
      </w:r>
      <w:hyperlink w:history="true" w:anchor="_bookmark68">
        <w:r>
          <w:rPr>
            <w:color w:val="8B2C18"/>
          </w:rPr>
          <w:t>4</w:t>
        </w:r>
      </w:hyperlink>
      <w:r>
        <w:rPr/>
        <w:t>.</w:t>
      </w:r>
    </w:p>
    <w:p>
      <w:pPr>
        <w:pStyle w:val="BodyText"/>
      </w:pPr>
    </w:p>
    <w:p>
      <w:pPr>
        <w:pStyle w:val="BodyText"/>
        <w:spacing w:before="161"/>
      </w:pPr>
    </w:p>
    <w:p>
      <w:pPr>
        <w:pStyle w:val="Heading2"/>
        <w:numPr>
          <w:ilvl w:val="1"/>
          <w:numId w:val="41"/>
        </w:numPr>
        <w:tabs>
          <w:tab w:pos="835" w:val="left" w:leader="none"/>
        </w:tabs>
        <w:spacing w:line="240" w:lineRule="auto" w:before="0" w:after="0"/>
        <w:ind w:left="835" w:right="0" w:hanging="693"/>
        <w:jc w:val="left"/>
      </w:pPr>
      <w:bookmarkStart w:name="B.4 Feature Drift: The Era Confound Quan" w:id="293"/>
      <w:bookmarkEnd w:id="293"/>
      <w:r>
        <w:rPr>
          <w:b w:val="0"/>
        </w:rPr>
      </w:r>
      <w:bookmarkStart w:name="_bookmark173" w:id="294"/>
      <w:bookmarkEnd w:id="294"/>
      <w:r>
        <w:rPr>
          <w:b w:val="0"/>
        </w:rPr>
      </w:r>
      <w:r>
        <w:rPr/>
        <w:t>Feature</w:t>
      </w:r>
      <w:r>
        <w:rPr>
          <w:spacing w:val="11"/>
        </w:rPr>
        <w:t> </w:t>
      </w:r>
      <w:r>
        <w:rPr/>
        <w:t>Drift:</w:t>
      </w:r>
      <w:r>
        <w:rPr>
          <w:spacing w:val="30"/>
        </w:rPr>
        <w:t> </w:t>
      </w:r>
      <w:r>
        <w:rPr/>
        <w:t>The</w:t>
      </w:r>
      <w:r>
        <w:rPr>
          <w:spacing w:val="11"/>
        </w:rPr>
        <w:t> </w:t>
      </w:r>
      <w:r>
        <w:rPr/>
        <w:t>Era</w:t>
      </w:r>
      <w:r>
        <w:rPr>
          <w:spacing w:val="11"/>
        </w:rPr>
        <w:t> </w:t>
      </w:r>
      <w:r>
        <w:rPr/>
        <w:t>Confound</w:t>
      </w:r>
      <w:r>
        <w:rPr>
          <w:spacing w:val="11"/>
        </w:rPr>
        <w:t> </w:t>
      </w:r>
      <w:r>
        <w:rPr>
          <w:spacing w:val="-2"/>
        </w:rPr>
        <w:t>Quantified</w:t>
      </w:r>
    </w:p>
    <w:p>
      <w:pPr>
        <w:pStyle w:val="BodyText"/>
        <w:spacing w:before="37"/>
        <w:rPr>
          <w:b/>
          <w:sz w:val="28"/>
        </w:rPr>
      </w:pPr>
    </w:p>
    <w:p>
      <w:pPr>
        <w:pStyle w:val="BodyText"/>
        <w:spacing w:line="312" w:lineRule="auto"/>
        <w:ind w:left="135" w:right="1526" w:hanging="1"/>
        <w:jc w:val="both"/>
      </w:pPr>
      <w:r>
        <w:rPr/>
        <w:t>A critical question for interpreting the CarenR rules is which features are genuinely informative </w:t>
      </w:r>
      <w:r>
        <w:rPr>
          <w:spacing w:val="-2"/>
        </w:rPr>
        <w:t>about</w:t>
      </w:r>
      <w:r>
        <w:rPr>
          <w:spacing w:val="-12"/>
        </w:rPr>
        <w:t> </w:t>
      </w:r>
      <w:r>
        <w:rPr>
          <w:spacing w:val="-2"/>
        </w:rPr>
        <w:t>inter-annual</w:t>
      </w:r>
      <w:r>
        <w:rPr>
          <w:spacing w:val="-12"/>
        </w:rPr>
        <w:t> </w:t>
      </w:r>
      <w:r>
        <w:rPr>
          <w:spacing w:val="-2"/>
        </w:rPr>
        <w:t>climate</w:t>
      </w:r>
      <w:r>
        <w:rPr>
          <w:spacing w:val="-12"/>
        </w:rPr>
        <w:t> </w:t>
      </w:r>
      <w:r>
        <w:rPr>
          <w:spacing w:val="-2"/>
        </w:rPr>
        <w:t>variation</w:t>
      </w:r>
      <w:r>
        <w:rPr>
          <w:spacing w:val="-11"/>
        </w:rPr>
        <w:t> </w:t>
      </w:r>
      <w:r>
        <w:rPr>
          <w:spacing w:val="-2"/>
        </w:rPr>
        <w:t>and</w:t>
      </w:r>
      <w:r>
        <w:rPr>
          <w:spacing w:val="-12"/>
        </w:rPr>
        <w:t> </w:t>
      </w:r>
      <w:r>
        <w:rPr>
          <w:spacing w:val="-2"/>
        </w:rPr>
        <w:t>which</w:t>
      </w:r>
      <w:r>
        <w:rPr>
          <w:spacing w:val="-12"/>
        </w:rPr>
        <w:t> </w:t>
      </w:r>
      <w:r>
        <w:rPr>
          <w:spacing w:val="-2"/>
        </w:rPr>
        <w:t>are</w:t>
      </w:r>
      <w:r>
        <w:rPr>
          <w:spacing w:val="-12"/>
        </w:rPr>
        <w:t> </w:t>
      </w:r>
      <w:r>
        <w:rPr>
          <w:spacing w:val="-2"/>
        </w:rPr>
        <w:t>primarily</w:t>
      </w:r>
      <w:r>
        <w:rPr>
          <w:spacing w:val="-11"/>
        </w:rPr>
        <w:t> </w:t>
      </w:r>
      <w:r>
        <w:rPr>
          <w:spacing w:val="-2"/>
        </w:rPr>
        <w:t>capturing</w:t>
      </w:r>
      <w:r>
        <w:rPr>
          <w:spacing w:val="-12"/>
        </w:rPr>
        <w:t> </w:t>
      </w:r>
      <w:r>
        <w:rPr>
          <w:spacing w:val="-2"/>
        </w:rPr>
        <w:t>the</w:t>
      </w:r>
      <w:r>
        <w:rPr>
          <w:spacing w:val="-12"/>
        </w:rPr>
        <w:t> </w:t>
      </w:r>
      <w:r>
        <w:rPr>
          <w:spacing w:val="-2"/>
        </w:rPr>
        <w:t>long-term</w:t>
      </w:r>
      <w:r>
        <w:rPr>
          <w:spacing w:val="-12"/>
        </w:rPr>
        <w:t> </w:t>
      </w:r>
      <w:r>
        <w:rPr>
          <w:spacing w:val="-2"/>
        </w:rPr>
        <w:t>structural</w:t>
      </w:r>
      <w:r>
        <w:rPr>
          <w:spacing w:val="-11"/>
        </w:rPr>
        <w:t> </w:t>
      </w:r>
      <w:r>
        <w:rPr>
          <w:spacing w:val="-2"/>
        </w:rPr>
        <w:t>trend </w:t>
      </w:r>
      <w:r>
        <w:rPr/>
        <w:t>(era</w:t>
      </w:r>
      <w:r>
        <w:rPr>
          <w:spacing w:val="-8"/>
        </w:rPr>
        <w:t> </w:t>
      </w:r>
      <w:r>
        <w:rPr/>
        <w:t>membership).</w:t>
      </w:r>
      <w:r>
        <w:rPr>
          <w:spacing w:val="3"/>
        </w:rPr>
        <w:t> </w:t>
      </w:r>
      <w:r>
        <w:rPr/>
        <w:t>Features</w:t>
      </w:r>
      <w:r>
        <w:rPr>
          <w:spacing w:val="-8"/>
        </w:rPr>
        <w:t> </w:t>
      </w:r>
      <w:r>
        <w:rPr/>
        <w:t>strongly</w:t>
      </w:r>
      <w:r>
        <w:rPr>
          <w:spacing w:val="-7"/>
        </w:rPr>
        <w:t> </w:t>
      </w:r>
      <w:r>
        <w:rPr/>
        <w:t>correlated</w:t>
      </w:r>
      <w:r>
        <w:rPr>
          <w:spacing w:val="-8"/>
        </w:rPr>
        <w:t> </w:t>
      </w:r>
      <w:r>
        <w:rPr/>
        <w:t>with</w:t>
      </w:r>
      <w:r>
        <w:rPr>
          <w:spacing w:val="-8"/>
        </w:rPr>
        <w:t> </w:t>
      </w:r>
      <w:r>
        <w:rPr/>
        <w:t>calendar</w:t>
      </w:r>
      <w:r>
        <w:rPr>
          <w:spacing w:val="-8"/>
        </w:rPr>
        <w:t> </w:t>
      </w:r>
      <w:r>
        <w:rPr/>
        <w:t>year</w:t>
      </w:r>
      <w:r>
        <w:rPr>
          <w:spacing w:val="-8"/>
        </w:rPr>
        <w:t> </w:t>
      </w:r>
      <w:r>
        <w:rPr/>
        <w:t>are</w:t>
      </w:r>
      <w:r>
        <w:rPr>
          <w:spacing w:val="-8"/>
        </w:rPr>
        <w:t> </w:t>
      </w:r>
      <w:r>
        <w:rPr/>
        <w:t>suspected</w:t>
      </w:r>
      <w:r>
        <w:rPr>
          <w:spacing w:val="-7"/>
        </w:rPr>
        <w:t> </w:t>
      </w:r>
      <w:r>
        <w:rPr/>
        <w:t>era-</w:t>
      </w:r>
      <w:r>
        <w:rPr>
          <w:spacing w:val="-2"/>
        </w:rPr>
        <w:t>confounders:</w:t>
      </w:r>
    </w:p>
    <w:p>
      <w:pPr>
        <w:pStyle w:val="BodyText"/>
        <w:spacing w:after="0" w:line="312" w:lineRule="auto"/>
        <w:jc w:val="both"/>
        <w:sectPr>
          <w:pgSz w:w="11910" w:h="16840"/>
          <w:pgMar w:header="1160" w:footer="0" w:top="1420" w:bottom="280" w:left="1275" w:right="425"/>
        </w:sectPr>
      </w:pPr>
    </w:p>
    <w:p>
      <w:pPr>
        <w:pStyle w:val="BodyText"/>
        <w:spacing w:before="209"/>
        <w:rPr>
          <w:sz w:val="20"/>
        </w:rPr>
      </w:pPr>
    </w:p>
    <w:p>
      <w:pPr>
        <w:spacing w:before="0"/>
        <w:ind w:left="601" w:right="888" w:firstLine="0"/>
        <w:jc w:val="center"/>
        <w:rPr>
          <w:sz w:val="20"/>
        </w:rPr>
      </w:pPr>
      <w:r>
        <w:rPr>
          <w:sz w:val="20"/>
        </w:rPr>
        <mc:AlternateContent>
          <mc:Choice Requires="wps">
            <w:drawing>
              <wp:anchor distT="0" distB="0" distL="0" distR="0" allowOverlap="1" layoutInCell="1" locked="0" behindDoc="0" simplePos="0" relativeHeight="15779840">
                <wp:simplePos x="0" y="0"/>
                <wp:positionH relativeFrom="page">
                  <wp:posOffset>1221905</wp:posOffset>
                </wp:positionH>
                <wp:positionV relativeFrom="paragraph">
                  <wp:posOffset>374948</wp:posOffset>
                </wp:positionV>
                <wp:extent cx="5476240" cy="212725"/>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a:off x="0" y="0"/>
                          <a:ext cx="5476240" cy="21272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22"/>
                              <w:gridCol w:w="2175"/>
                              <w:gridCol w:w="984"/>
                              <w:gridCol w:w="1097"/>
                              <w:gridCol w:w="2174"/>
                              <w:gridCol w:w="983"/>
                              <w:gridCol w:w="466"/>
                            </w:tblGrid>
                            <w:tr>
                              <w:trPr>
                                <w:trHeight w:val="320" w:hRule="atLeast"/>
                              </w:trPr>
                              <w:tc>
                                <w:tcPr>
                                  <w:tcW w:w="622" w:type="dxa"/>
                                  <w:tcBorders>
                                    <w:top w:val="nil"/>
                                    <w:left w:val="nil"/>
                                    <w:right w:val="single" w:sz="4" w:space="0" w:color="000000"/>
                                  </w:tcBorders>
                                </w:tcPr>
                                <w:p>
                                  <w:pPr>
                                    <w:pStyle w:val="TableParagraph"/>
                                    <w:spacing w:before="31"/>
                                    <w:ind w:left="119"/>
                                    <w:rPr>
                                      <w:sz w:val="18"/>
                                    </w:rPr>
                                  </w:pPr>
                                  <w:r>
                                    <w:rPr>
                                      <w:spacing w:val="-4"/>
                                      <w:sz w:val="18"/>
                                    </w:rPr>
                                    <w:t>Rank</w:t>
                                  </w:r>
                                </w:p>
                              </w:tc>
                              <w:tc>
                                <w:tcPr>
                                  <w:tcW w:w="2175" w:type="dxa"/>
                                  <w:tcBorders>
                                    <w:top w:val="nil"/>
                                    <w:left w:val="single" w:sz="4" w:space="0" w:color="000000"/>
                                    <w:right w:val="single" w:sz="4" w:space="0" w:color="000000"/>
                                  </w:tcBorders>
                                </w:tcPr>
                                <w:p>
                                  <w:pPr>
                                    <w:pStyle w:val="TableParagraph"/>
                                    <w:spacing w:before="31"/>
                                    <w:ind w:left="118"/>
                                    <w:rPr>
                                      <w:sz w:val="18"/>
                                    </w:rPr>
                                  </w:pPr>
                                  <w:r>
                                    <w:rPr>
                                      <w:sz w:val="18"/>
                                    </w:rPr>
                                    <w:t>RDD</w:t>
                                  </w:r>
                                  <w:r>
                                    <w:rPr>
                                      <w:spacing w:val="-5"/>
                                      <w:sz w:val="18"/>
                                    </w:rPr>
                                    <w:t> </w:t>
                                  </w:r>
                                  <w:r>
                                    <w:rPr>
                                      <w:spacing w:val="-2"/>
                                      <w:sz w:val="18"/>
                                    </w:rPr>
                                    <w:t>feature</w:t>
                                  </w:r>
                                </w:p>
                              </w:tc>
                              <w:tc>
                                <w:tcPr>
                                  <w:tcW w:w="984" w:type="dxa"/>
                                  <w:tcBorders>
                                    <w:top w:val="nil"/>
                                    <w:left w:val="single" w:sz="4" w:space="0" w:color="000000"/>
                                    <w:right w:val="single" w:sz="4" w:space="0" w:color="000000"/>
                                  </w:tcBorders>
                                </w:tcPr>
                                <w:p>
                                  <w:pPr>
                                    <w:pStyle w:val="TableParagraph"/>
                                    <w:spacing w:before="31"/>
                                    <w:ind w:left="117"/>
                                    <w:rPr>
                                      <w:sz w:val="18"/>
                                    </w:rPr>
                                  </w:pPr>
                                  <w:r>
                                    <w:rPr>
                                      <w:sz w:val="18"/>
                                    </w:rPr>
                                    <w:t>RDD</w:t>
                                  </w:r>
                                  <w:r>
                                    <w:rPr>
                                      <w:spacing w:val="-5"/>
                                      <w:sz w:val="18"/>
                                    </w:rPr>
                                    <w:t> |r|</w:t>
                                  </w:r>
                                </w:p>
                              </w:tc>
                              <w:tc>
                                <w:tcPr>
                                  <w:tcW w:w="1097" w:type="dxa"/>
                                  <w:tcBorders>
                                    <w:top w:val="nil"/>
                                    <w:left w:val="single" w:sz="4" w:space="0" w:color="000000"/>
                                    <w:right w:val="single" w:sz="4" w:space="0" w:color="000000"/>
                                  </w:tcBorders>
                                </w:tcPr>
                                <w:p>
                                  <w:pPr>
                                    <w:pStyle w:val="TableParagraph"/>
                                    <w:spacing w:before="31"/>
                                    <w:ind w:left="117"/>
                                    <w:rPr>
                                      <w:sz w:val="18"/>
                                    </w:rPr>
                                  </w:pPr>
                                  <w:r>
                                    <w:rPr>
                                      <w:spacing w:val="-2"/>
                                      <w:sz w:val="18"/>
                                    </w:rPr>
                                    <w:t>Direction</w:t>
                                  </w:r>
                                </w:p>
                              </w:tc>
                              <w:tc>
                                <w:tcPr>
                                  <w:tcW w:w="2174" w:type="dxa"/>
                                  <w:tcBorders>
                                    <w:top w:val="nil"/>
                                    <w:left w:val="single" w:sz="4" w:space="0" w:color="000000"/>
                                    <w:right w:val="single" w:sz="4" w:space="0" w:color="000000"/>
                                  </w:tcBorders>
                                </w:tcPr>
                                <w:p>
                                  <w:pPr>
                                    <w:pStyle w:val="TableParagraph"/>
                                    <w:spacing w:before="31"/>
                                    <w:ind w:left="118"/>
                                    <w:rPr>
                                      <w:sz w:val="18"/>
                                    </w:rPr>
                                  </w:pPr>
                                  <w:r>
                                    <w:rPr>
                                      <w:spacing w:val="-6"/>
                                      <w:sz w:val="18"/>
                                    </w:rPr>
                                    <w:t>RVV</w:t>
                                  </w:r>
                                  <w:r>
                                    <w:rPr>
                                      <w:spacing w:val="-2"/>
                                      <w:sz w:val="18"/>
                                    </w:rPr>
                                    <w:t> feature</w:t>
                                  </w:r>
                                </w:p>
                              </w:tc>
                              <w:tc>
                                <w:tcPr>
                                  <w:tcW w:w="983" w:type="dxa"/>
                                  <w:tcBorders>
                                    <w:top w:val="nil"/>
                                    <w:left w:val="single" w:sz="4" w:space="0" w:color="000000"/>
                                    <w:right w:val="single" w:sz="4" w:space="0" w:color="000000"/>
                                  </w:tcBorders>
                                </w:tcPr>
                                <w:p>
                                  <w:pPr>
                                    <w:pStyle w:val="TableParagraph"/>
                                    <w:spacing w:before="31"/>
                                    <w:ind w:left="118"/>
                                    <w:rPr>
                                      <w:sz w:val="18"/>
                                    </w:rPr>
                                  </w:pPr>
                                  <w:r>
                                    <w:rPr>
                                      <w:spacing w:val="-6"/>
                                      <w:sz w:val="18"/>
                                    </w:rPr>
                                    <w:t>RVV</w:t>
                                  </w:r>
                                  <w:r>
                                    <w:rPr>
                                      <w:spacing w:val="-2"/>
                                      <w:sz w:val="18"/>
                                    </w:rPr>
                                    <w:t> </w:t>
                                  </w:r>
                                  <w:r>
                                    <w:rPr>
                                      <w:spacing w:val="-5"/>
                                      <w:sz w:val="18"/>
                                    </w:rPr>
                                    <w:t>|r|</w:t>
                                  </w:r>
                                </w:p>
                              </w:tc>
                              <w:tc>
                                <w:tcPr>
                                  <w:tcW w:w="466" w:type="dxa"/>
                                  <w:tcBorders>
                                    <w:top w:val="nil"/>
                                    <w:left w:val="single" w:sz="4" w:space="0" w:color="000000"/>
                                    <w:right w:val="nil"/>
                                  </w:tcBorders>
                                </w:tcPr>
                                <w:p>
                                  <w:pPr>
                                    <w:pStyle w:val="TableParagraph"/>
                                    <w:spacing w:before="31"/>
                                    <w:ind w:left="120" w:right="-58"/>
                                    <w:rPr>
                                      <w:sz w:val="18"/>
                                    </w:rPr>
                                  </w:pPr>
                                  <w:r>
                                    <w:rPr>
                                      <w:spacing w:val="-4"/>
                                      <w:sz w:val="18"/>
                                    </w:rPr>
                                    <w:t>Direc</w:t>
                                  </w:r>
                                </w:p>
                              </w:tc>
                            </w:tr>
                          </w:tbl>
                          <w:p>
                            <w:pPr>
                              <w:pStyle w:val="BodyText"/>
                            </w:pPr>
                          </w:p>
                        </w:txbxContent>
                      </wps:txbx>
                      <wps:bodyPr wrap="square" lIns="0" tIns="0" rIns="0" bIns="0" rtlCol="0">
                        <a:noAutofit/>
                      </wps:bodyPr>
                    </wps:wsp>
                  </a:graphicData>
                </a:graphic>
              </wp:anchor>
            </w:drawing>
          </mc:Choice>
          <mc:Fallback>
            <w:pict>
              <v:shape style="position:absolute;margin-left:96.212997pt;margin-top:29.52352pt;width:431.2pt;height:16.75pt;mso-position-horizontal-relative:page;mso-position-vertical-relative:paragraph;z-index:15779840" type="#_x0000_t202" id="docshape243"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22"/>
                        <w:gridCol w:w="2175"/>
                        <w:gridCol w:w="984"/>
                        <w:gridCol w:w="1097"/>
                        <w:gridCol w:w="2174"/>
                        <w:gridCol w:w="983"/>
                        <w:gridCol w:w="466"/>
                      </w:tblGrid>
                      <w:tr>
                        <w:trPr>
                          <w:trHeight w:val="320" w:hRule="atLeast"/>
                        </w:trPr>
                        <w:tc>
                          <w:tcPr>
                            <w:tcW w:w="622" w:type="dxa"/>
                            <w:tcBorders>
                              <w:top w:val="nil"/>
                              <w:left w:val="nil"/>
                              <w:right w:val="single" w:sz="4" w:space="0" w:color="000000"/>
                            </w:tcBorders>
                          </w:tcPr>
                          <w:p>
                            <w:pPr>
                              <w:pStyle w:val="TableParagraph"/>
                              <w:spacing w:before="31"/>
                              <w:ind w:left="119"/>
                              <w:rPr>
                                <w:sz w:val="18"/>
                              </w:rPr>
                            </w:pPr>
                            <w:r>
                              <w:rPr>
                                <w:spacing w:val="-4"/>
                                <w:sz w:val="18"/>
                              </w:rPr>
                              <w:t>Rank</w:t>
                            </w:r>
                          </w:p>
                        </w:tc>
                        <w:tc>
                          <w:tcPr>
                            <w:tcW w:w="2175" w:type="dxa"/>
                            <w:tcBorders>
                              <w:top w:val="nil"/>
                              <w:left w:val="single" w:sz="4" w:space="0" w:color="000000"/>
                              <w:right w:val="single" w:sz="4" w:space="0" w:color="000000"/>
                            </w:tcBorders>
                          </w:tcPr>
                          <w:p>
                            <w:pPr>
                              <w:pStyle w:val="TableParagraph"/>
                              <w:spacing w:before="31"/>
                              <w:ind w:left="118"/>
                              <w:rPr>
                                <w:sz w:val="18"/>
                              </w:rPr>
                            </w:pPr>
                            <w:r>
                              <w:rPr>
                                <w:sz w:val="18"/>
                              </w:rPr>
                              <w:t>RDD</w:t>
                            </w:r>
                            <w:r>
                              <w:rPr>
                                <w:spacing w:val="-5"/>
                                <w:sz w:val="18"/>
                              </w:rPr>
                              <w:t> </w:t>
                            </w:r>
                            <w:r>
                              <w:rPr>
                                <w:spacing w:val="-2"/>
                                <w:sz w:val="18"/>
                              </w:rPr>
                              <w:t>feature</w:t>
                            </w:r>
                          </w:p>
                        </w:tc>
                        <w:tc>
                          <w:tcPr>
                            <w:tcW w:w="984" w:type="dxa"/>
                            <w:tcBorders>
                              <w:top w:val="nil"/>
                              <w:left w:val="single" w:sz="4" w:space="0" w:color="000000"/>
                              <w:right w:val="single" w:sz="4" w:space="0" w:color="000000"/>
                            </w:tcBorders>
                          </w:tcPr>
                          <w:p>
                            <w:pPr>
                              <w:pStyle w:val="TableParagraph"/>
                              <w:spacing w:before="31"/>
                              <w:ind w:left="117"/>
                              <w:rPr>
                                <w:sz w:val="18"/>
                              </w:rPr>
                            </w:pPr>
                            <w:r>
                              <w:rPr>
                                <w:sz w:val="18"/>
                              </w:rPr>
                              <w:t>RDD</w:t>
                            </w:r>
                            <w:r>
                              <w:rPr>
                                <w:spacing w:val="-5"/>
                                <w:sz w:val="18"/>
                              </w:rPr>
                              <w:t> |r|</w:t>
                            </w:r>
                          </w:p>
                        </w:tc>
                        <w:tc>
                          <w:tcPr>
                            <w:tcW w:w="1097" w:type="dxa"/>
                            <w:tcBorders>
                              <w:top w:val="nil"/>
                              <w:left w:val="single" w:sz="4" w:space="0" w:color="000000"/>
                              <w:right w:val="single" w:sz="4" w:space="0" w:color="000000"/>
                            </w:tcBorders>
                          </w:tcPr>
                          <w:p>
                            <w:pPr>
                              <w:pStyle w:val="TableParagraph"/>
                              <w:spacing w:before="31"/>
                              <w:ind w:left="117"/>
                              <w:rPr>
                                <w:sz w:val="18"/>
                              </w:rPr>
                            </w:pPr>
                            <w:r>
                              <w:rPr>
                                <w:spacing w:val="-2"/>
                                <w:sz w:val="18"/>
                              </w:rPr>
                              <w:t>Direction</w:t>
                            </w:r>
                          </w:p>
                        </w:tc>
                        <w:tc>
                          <w:tcPr>
                            <w:tcW w:w="2174" w:type="dxa"/>
                            <w:tcBorders>
                              <w:top w:val="nil"/>
                              <w:left w:val="single" w:sz="4" w:space="0" w:color="000000"/>
                              <w:right w:val="single" w:sz="4" w:space="0" w:color="000000"/>
                            </w:tcBorders>
                          </w:tcPr>
                          <w:p>
                            <w:pPr>
                              <w:pStyle w:val="TableParagraph"/>
                              <w:spacing w:before="31"/>
                              <w:ind w:left="118"/>
                              <w:rPr>
                                <w:sz w:val="18"/>
                              </w:rPr>
                            </w:pPr>
                            <w:r>
                              <w:rPr>
                                <w:spacing w:val="-6"/>
                                <w:sz w:val="18"/>
                              </w:rPr>
                              <w:t>RVV</w:t>
                            </w:r>
                            <w:r>
                              <w:rPr>
                                <w:spacing w:val="-2"/>
                                <w:sz w:val="18"/>
                              </w:rPr>
                              <w:t> feature</w:t>
                            </w:r>
                          </w:p>
                        </w:tc>
                        <w:tc>
                          <w:tcPr>
                            <w:tcW w:w="983" w:type="dxa"/>
                            <w:tcBorders>
                              <w:top w:val="nil"/>
                              <w:left w:val="single" w:sz="4" w:space="0" w:color="000000"/>
                              <w:right w:val="single" w:sz="4" w:space="0" w:color="000000"/>
                            </w:tcBorders>
                          </w:tcPr>
                          <w:p>
                            <w:pPr>
                              <w:pStyle w:val="TableParagraph"/>
                              <w:spacing w:before="31"/>
                              <w:ind w:left="118"/>
                              <w:rPr>
                                <w:sz w:val="18"/>
                              </w:rPr>
                            </w:pPr>
                            <w:r>
                              <w:rPr>
                                <w:spacing w:val="-6"/>
                                <w:sz w:val="18"/>
                              </w:rPr>
                              <w:t>RVV</w:t>
                            </w:r>
                            <w:r>
                              <w:rPr>
                                <w:spacing w:val="-2"/>
                                <w:sz w:val="18"/>
                              </w:rPr>
                              <w:t> </w:t>
                            </w:r>
                            <w:r>
                              <w:rPr>
                                <w:spacing w:val="-5"/>
                                <w:sz w:val="18"/>
                              </w:rPr>
                              <w:t>|r|</w:t>
                            </w:r>
                          </w:p>
                        </w:tc>
                        <w:tc>
                          <w:tcPr>
                            <w:tcW w:w="466" w:type="dxa"/>
                            <w:tcBorders>
                              <w:top w:val="nil"/>
                              <w:left w:val="single" w:sz="4" w:space="0" w:color="000000"/>
                              <w:right w:val="nil"/>
                            </w:tcBorders>
                          </w:tcPr>
                          <w:p>
                            <w:pPr>
                              <w:pStyle w:val="TableParagraph"/>
                              <w:spacing w:before="31"/>
                              <w:ind w:left="120" w:right="-58"/>
                              <w:rPr>
                                <w:sz w:val="18"/>
                              </w:rPr>
                            </w:pPr>
                            <w:r>
                              <w:rPr>
                                <w:spacing w:val="-4"/>
                                <w:sz w:val="18"/>
                              </w:rPr>
                              <w:t>Direc</w:t>
                            </w:r>
                          </w:p>
                        </w:tc>
                      </w:tr>
                    </w:tbl>
                    <w:p>
                      <w:pPr>
                        <w:pStyle w:val="BodyText"/>
                      </w:pPr>
                    </w:p>
                  </w:txbxContent>
                </v:textbox>
                <w10:wrap type="none"/>
              </v:shape>
            </w:pict>
          </mc:Fallback>
        </mc:AlternateContent>
      </w:r>
      <w:bookmarkStart w:name="_bookmark174" w:id="295"/>
      <w:bookmarkEnd w:id="295"/>
      <w:r>
        <w:rPr/>
      </w:r>
      <w:r>
        <w:rPr>
          <w:b/>
          <w:spacing w:val="-2"/>
          <w:sz w:val="20"/>
        </w:rPr>
        <w:t>Table B.5:</w:t>
      </w:r>
      <w:r>
        <w:rPr>
          <w:b/>
          <w:spacing w:val="10"/>
          <w:sz w:val="20"/>
        </w:rPr>
        <w:t> </w:t>
      </w:r>
      <w:r>
        <w:rPr>
          <w:spacing w:val="-2"/>
          <w:sz w:val="20"/>
        </w:rPr>
        <w:t>Feature correlations with</w:t>
      </w:r>
      <w:r>
        <w:rPr>
          <w:spacing w:val="-1"/>
          <w:sz w:val="20"/>
        </w:rPr>
        <w:t> </w:t>
      </w:r>
      <w:r>
        <w:rPr>
          <w:spacing w:val="-2"/>
          <w:sz w:val="20"/>
        </w:rPr>
        <w:t>detrended production (</w:t>
      </w:r>
      <w:r>
        <w:rPr>
          <w:rFonts w:ascii="Meiryo UI"/>
          <w:i/>
          <w:spacing w:val="-2"/>
          <w:sz w:val="20"/>
        </w:rPr>
        <w:t>|</w:t>
      </w:r>
      <w:r>
        <w:rPr>
          <w:i/>
          <w:spacing w:val="-2"/>
          <w:sz w:val="20"/>
        </w:rPr>
        <w:t>r</w:t>
      </w:r>
      <w:r>
        <w:rPr>
          <w:rFonts w:ascii="Meiryo UI"/>
          <w:i/>
          <w:spacing w:val="-2"/>
          <w:sz w:val="20"/>
        </w:rPr>
        <w:t>|</w:t>
      </w:r>
      <w:r>
        <w:rPr>
          <w:spacing w:val="-2"/>
          <w:sz w:val="20"/>
        </w:rPr>
        <w:t>) for</w:t>
      </w:r>
      <w:r>
        <w:rPr>
          <w:spacing w:val="-1"/>
          <w:sz w:val="20"/>
        </w:rPr>
        <w:t> </w:t>
      </w:r>
      <w:r>
        <w:rPr>
          <w:spacing w:val="-2"/>
          <w:sz w:val="20"/>
        </w:rPr>
        <w:t>RDD and </w:t>
      </w:r>
      <w:r>
        <w:rPr>
          <w:spacing w:val="-4"/>
          <w:sz w:val="20"/>
        </w:rPr>
        <w:t>RVV.</w:t>
      </w:r>
    </w:p>
    <w:p>
      <w:pPr>
        <w:pStyle w:val="BodyText"/>
        <w:spacing w:before="11"/>
        <w:rPr>
          <w:sz w:val="14"/>
        </w:rPr>
      </w:pPr>
      <w:r>
        <w:rPr>
          <w:sz w:val="14"/>
        </w:rPr>
        <mc:AlternateContent>
          <mc:Choice Requires="wps">
            <w:drawing>
              <wp:anchor distT="0" distB="0" distL="0" distR="0" allowOverlap="1" layoutInCell="1" locked="0" behindDoc="1" simplePos="0" relativeHeight="487638528">
                <wp:simplePos x="0" y="0"/>
                <wp:positionH relativeFrom="page">
                  <wp:posOffset>1260005</wp:posOffset>
                </wp:positionH>
                <wp:positionV relativeFrom="paragraph">
                  <wp:posOffset>124450</wp:posOffset>
                </wp:positionV>
                <wp:extent cx="5400040" cy="1270"/>
                <wp:effectExtent l="0" t="0" r="0" b="0"/>
                <wp:wrapTopAndBottom/>
                <wp:docPr id="280" name="Graphic 280"/>
                <wp:cNvGraphicFramePr>
                  <a:graphicFrameLocks/>
                </wp:cNvGraphicFramePr>
                <a:graphic>
                  <a:graphicData uri="http://schemas.microsoft.com/office/word/2010/wordprocessingShape">
                    <wps:wsp>
                      <wps:cNvPr id="280" name="Graphic 280"/>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9.799266pt;width:425.2pt;height:.1pt;mso-position-horizontal-relative:page;mso-position-vertical-relative:paragraph;z-index:-15677952;mso-wrap-distance-left:0;mso-wrap-distance-right:0" id="docshape244" coordorigin="1984,196" coordsize="8504,0" path="m1984,196l10488,196e" filled="false" stroked="true" strokeweight=".868pt" strokecolor="#000000">
                <v:path arrowok="t"/>
                <v:stroke dashstyle="solid"/>
                <w10:wrap type="topAndBottom"/>
              </v:shape>
            </w:pict>
          </mc:Fallback>
        </mc:AlternateContent>
      </w:r>
    </w:p>
    <w:p>
      <w:pPr>
        <w:spacing w:before="92"/>
        <w:ind w:left="0" w:right="670" w:firstLine="0"/>
        <w:jc w:val="right"/>
        <w:rPr>
          <w:sz w:val="18"/>
        </w:rPr>
      </w:pPr>
      <w:r>
        <w:rPr>
          <w:spacing w:val="-4"/>
          <w:sz w:val="18"/>
        </w:rPr>
        <w:t>tion</w:t>
      </w:r>
    </w:p>
    <w:p>
      <w:pPr>
        <w:pStyle w:val="BodyText"/>
        <w:spacing w:before="9"/>
        <w:rPr>
          <w:sz w:val="12"/>
        </w:rPr>
      </w:pPr>
    </w:p>
    <w:tbl>
      <w:tblPr>
        <w:tblW w:w="0" w:type="auto"/>
        <w:jc w:val="left"/>
        <w:tblInd w:w="7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2"/>
        <w:gridCol w:w="2175"/>
        <w:gridCol w:w="984"/>
        <w:gridCol w:w="1097"/>
        <w:gridCol w:w="2174"/>
        <w:gridCol w:w="983"/>
        <w:gridCol w:w="466"/>
      </w:tblGrid>
      <w:tr>
        <w:trPr>
          <w:trHeight w:val="241" w:hRule="atLeast"/>
        </w:trPr>
        <w:tc>
          <w:tcPr>
            <w:tcW w:w="622" w:type="dxa"/>
            <w:tcBorders>
              <w:top w:val="nil"/>
              <w:left w:val="nil"/>
              <w:bottom w:val="nil"/>
            </w:tcBorders>
          </w:tcPr>
          <w:p>
            <w:pPr>
              <w:pStyle w:val="TableParagraph"/>
              <w:spacing w:line="190" w:lineRule="exact" w:before="31"/>
              <w:ind w:left="119"/>
              <w:rPr>
                <w:sz w:val="18"/>
              </w:rPr>
            </w:pPr>
            <w:r>
              <w:rPr>
                <w:spacing w:val="-10"/>
                <w:sz w:val="18"/>
              </w:rPr>
              <w:t>1</w:t>
            </w:r>
          </w:p>
        </w:tc>
        <w:tc>
          <w:tcPr>
            <w:tcW w:w="2175" w:type="dxa"/>
            <w:tcBorders>
              <w:top w:val="nil"/>
              <w:bottom w:val="nil"/>
            </w:tcBorders>
          </w:tcPr>
          <w:p>
            <w:pPr>
              <w:pStyle w:val="TableParagraph"/>
              <w:tabs>
                <w:tab w:pos="1459" w:val="left" w:leader="none"/>
              </w:tabs>
              <w:spacing w:line="190" w:lineRule="exact" w:before="31"/>
              <w:ind w:left="118"/>
              <w:rPr>
                <w:sz w:val="18"/>
              </w:rPr>
            </w:pPr>
            <w:r>
              <w:rPr>
                <w:spacing w:val="-2"/>
                <w:sz w:val="18"/>
              </w:rPr>
              <w:t>tm_hv_y1_c10</w:t>
            </w:r>
            <w:r>
              <w:rPr>
                <w:sz w:val="18"/>
              </w:rPr>
              <w:tab/>
            </w:r>
            <w:r>
              <w:rPr>
                <w:spacing w:val="-2"/>
                <w:sz w:val="18"/>
              </w:rPr>
              <w:t>(harvest</w:t>
            </w:r>
          </w:p>
        </w:tc>
        <w:tc>
          <w:tcPr>
            <w:tcW w:w="984" w:type="dxa"/>
            <w:tcBorders>
              <w:top w:val="nil"/>
              <w:bottom w:val="nil"/>
            </w:tcBorders>
          </w:tcPr>
          <w:p>
            <w:pPr>
              <w:pStyle w:val="TableParagraph"/>
              <w:spacing w:line="190" w:lineRule="exact" w:before="31"/>
              <w:ind w:left="117"/>
              <w:rPr>
                <w:sz w:val="18"/>
              </w:rPr>
            </w:pPr>
            <w:r>
              <w:rPr>
                <w:spacing w:val="-2"/>
                <w:sz w:val="18"/>
              </w:rPr>
              <w:t>0.386</w:t>
            </w:r>
          </w:p>
        </w:tc>
        <w:tc>
          <w:tcPr>
            <w:tcW w:w="1097" w:type="dxa"/>
            <w:vMerge w:val="restart"/>
            <w:tcBorders>
              <w:top w:val="nil"/>
              <w:bottom w:val="single" w:sz="8" w:space="0" w:color="000000"/>
            </w:tcBorders>
          </w:tcPr>
          <w:p>
            <w:pPr>
              <w:pStyle w:val="TableParagraph"/>
              <w:spacing w:before="31"/>
              <w:ind w:left="117"/>
              <w:rPr>
                <w:sz w:val="18"/>
              </w:rPr>
            </w:pPr>
            <w:r>
              <w:rPr>
                <w:spacing w:val="-10"/>
                <w:sz w:val="18"/>
              </w:rPr>
              <w:t>+</w:t>
            </w:r>
          </w:p>
          <w:p>
            <w:pPr>
              <w:pStyle w:val="TableParagraph"/>
              <w:spacing w:before="90"/>
              <w:rPr>
                <w:sz w:val="18"/>
              </w:rPr>
            </w:pPr>
          </w:p>
          <w:p>
            <w:pPr>
              <w:pStyle w:val="TableParagraph"/>
              <w:spacing w:before="0"/>
              <w:ind w:left="117"/>
              <w:rPr>
                <w:sz w:val="18"/>
              </w:rPr>
            </w:pPr>
            <w:r>
              <w:rPr>
                <w:spacing w:val="-10"/>
                <w:sz w:val="18"/>
              </w:rPr>
              <w:t>+</w:t>
            </w:r>
          </w:p>
          <w:p>
            <w:pPr>
              <w:pStyle w:val="TableParagraph"/>
              <w:spacing w:before="37"/>
              <w:rPr>
                <w:sz w:val="18"/>
              </w:rPr>
            </w:pPr>
          </w:p>
          <w:p>
            <w:pPr>
              <w:pStyle w:val="TableParagraph"/>
              <w:spacing w:before="0"/>
              <w:ind w:left="117"/>
              <w:rPr>
                <w:rFonts w:ascii="Meiryo UI" w:hAnsi="Meiryo UI"/>
                <w:i/>
                <w:sz w:val="18"/>
              </w:rPr>
            </w:pPr>
            <w:r>
              <w:rPr>
                <w:rFonts w:ascii="Meiryo UI" w:hAnsi="Meiryo UI"/>
                <w:i/>
                <w:spacing w:val="-10"/>
                <w:sz w:val="18"/>
              </w:rPr>
              <w:t>−</w:t>
            </w:r>
          </w:p>
          <w:p>
            <w:pPr>
              <w:pStyle w:val="TableParagraph"/>
              <w:spacing w:before="0"/>
              <w:rPr>
                <w:sz w:val="18"/>
              </w:rPr>
            </w:pPr>
          </w:p>
          <w:p>
            <w:pPr>
              <w:pStyle w:val="TableParagraph"/>
              <w:spacing w:before="0"/>
              <w:ind w:left="117"/>
              <w:rPr>
                <w:rFonts w:ascii="Meiryo UI" w:hAnsi="Meiryo UI"/>
                <w:i/>
                <w:sz w:val="18"/>
              </w:rPr>
            </w:pPr>
            <w:r>
              <w:rPr>
                <w:rFonts w:ascii="Meiryo UI" w:hAnsi="Meiryo UI"/>
                <w:i/>
                <w:spacing w:val="-10"/>
                <w:sz w:val="18"/>
              </w:rPr>
              <w:t>−</w:t>
            </w:r>
          </w:p>
          <w:p>
            <w:pPr>
              <w:pStyle w:val="TableParagraph"/>
              <w:spacing w:before="0"/>
              <w:rPr>
                <w:sz w:val="18"/>
              </w:rPr>
            </w:pPr>
          </w:p>
          <w:p>
            <w:pPr>
              <w:pStyle w:val="TableParagraph"/>
              <w:spacing w:before="0"/>
              <w:ind w:left="117"/>
              <w:rPr>
                <w:rFonts w:ascii="Meiryo UI" w:hAnsi="Meiryo UI"/>
                <w:i/>
                <w:sz w:val="18"/>
              </w:rPr>
            </w:pPr>
            <w:r>
              <w:rPr>
                <w:rFonts w:ascii="Meiryo UI" w:hAnsi="Meiryo UI"/>
                <w:i/>
                <w:spacing w:val="-10"/>
                <w:sz w:val="18"/>
              </w:rPr>
              <w:t>−</w:t>
            </w:r>
          </w:p>
          <w:p>
            <w:pPr>
              <w:pStyle w:val="TableParagraph"/>
              <w:spacing w:before="207"/>
              <w:ind w:left="117"/>
              <w:rPr>
                <w:rFonts w:ascii="Meiryo UI" w:hAnsi="Meiryo UI"/>
                <w:i/>
                <w:sz w:val="18"/>
              </w:rPr>
            </w:pPr>
            <w:r>
              <w:rPr>
                <w:rFonts w:ascii="Meiryo UI" w:hAnsi="Meiryo UI"/>
                <w:i/>
                <w:spacing w:val="-10"/>
                <w:sz w:val="18"/>
              </w:rPr>
              <w:t>−</w:t>
            </w:r>
          </w:p>
          <w:p>
            <w:pPr>
              <w:pStyle w:val="TableParagraph"/>
              <w:spacing w:before="53"/>
              <w:rPr>
                <w:sz w:val="18"/>
              </w:rPr>
            </w:pPr>
          </w:p>
          <w:p>
            <w:pPr>
              <w:pStyle w:val="TableParagraph"/>
              <w:spacing w:before="0"/>
              <w:ind w:left="117"/>
              <w:rPr>
                <w:sz w:val="18"/>
              </w:rPr>
            </w:pPr>
            <w:r>
              <w:rPr>
                <w:spacing w:val="-10"/>
                <w:sz w:val="18"/>
              </w:rPr>
              <w:t>+</w:t>
            </w:r>
          </w:p>
          <w:p>
            <w:pPr>
              <w:pStyle w:val="TableParagraph"/>
              <w:spacing w:before="37"/>
              <w:rPr>
                <w:sz w:val="18"/>
              </w:rPr>
            </w:pPr>
          </w:p>
          <w:p>
            <w:pPr>
              <w:pStyle w:val="TableParagraph"/>
              <w:spacing w:before="0"/>
              <w:ind w:left="117"/>
              <w:rPr>
                <w:rFonts w:ascii="Meiryo UI" w:hAnsi="Meiryo UI"/>
                <w:i/>
                <w:sz w:val="18"/>
              </w:rPr>
            </w:pPr>
            <w:r>
              <w:rPr>
                <w:rFonts w:ascii="Meiryo UI" w:hAnsi="Meiryo UI"/>
                <w:i/>
                <w:spacing w:val="-10"/>
                <w:sz w:val="18"/>
              </w:rPr>
              <w:t>−</w:t>
            </w:r>
          </w:p>
          <w:p>
            <w:pPr>
              <w:pStyle w:val="TableParagraph"/>
              <w:spacing w:before="207"/>
              <w:ind w:left="117"/>
              <w:rPr>
                <w:rFonts w:ascii="Meiryo UI" w:hAnsi="Meiryo UI"/>
                <w:i/>
                <w:sz w:val="18"/>
              </w:rPr>
            </w:pPr>
            <w:r>
              <w:rPr>
                <w:rFonts w:ascii="Meiryo UI" w:hAnsi="Meiryo UI"/>
                <w:i/>
                <w:spacing w:val="-10"/>
                <w:sz w:val="18"/>
              </w:rPr>
              <w:t>−</w:t>
            </w:r>
          </w:p>
          <w:p>
            <w:pPr>
              <w:pStyle w:val="TableParagraph"/>
              <w:spacing w:before="207"/>
              <w:ind w:left="117"/>
              <w:rPr>
                <w:rFonts w:ascii="Meiryo UI" w:hAnsi="Meiryo UI"/>
                <w:i/>
                <w:sz w:val="18"/>
              </w:rPr>
            </w:pPr>
            <w:r>
              <w:rPr>
                <w:rFonts w:ascii="Meiryo UI" w:hAnsi="Meiryo UI"/>
                <w:i/>
                <w:spacing w:val="-10"/>
                <w:sz w:val="18"/>
              </w:rPr>
              <w:t>−</w:t>
            </w:r>
          </w:p>
        </w:tc>
        <w:tc>
          <w:tcPr>
            <w:tcW w:w="2174" w:type="dxa"/>
            <w:tcBorders>
              <w:top w:val="nil"/>
              <w:bottom w:val="nil"/>
            </w:tcBorders>
          </w:tcPr>
          <w:p>
            <w:pPr>
              <w:pStyle w:val="TableParagraph"/>
              <w:spacing w:line="190" w:lineRule="exact" w:before="31"/>
              <w:ind w:left="118"/>
              <w:rPr>
                <w:sz w:val="18"/>
              </w:rPr>
            </w:pPr>
            <w:r>
              <w:rPr>
                <w:spacing w:val="-2"/>
                <w:sz w:val="18"/>
              </w:rPr>
              <w:t>iaf_hv_y1_c10</w:t>
            </w:r>
            <w:r>
              <w:rPr>
                <w:spacing w:val="1"/>
                <w:sz w:val="18"/>
              </w:rPr>
              <w:t> </w:t>
            </w:r>
            <w:r>
              <w:rPr>
                <w:spacing w:val="-2"/>
                <w:sz w:val="18"/>
              </w:rPr>
              <w:t>(LAI</w:t>
            </w:r>
            <w:r>
              <w:rPr>
                <w:spacing w:val="1"/>
                <w:sz w:val="18"/>
              </w:rPr>
              <w:t> </w:t>
            </w:r>
            <w:r>
              <w:rPr>
                <w:spacing w:val="-2"/>
                <w:sz w:val="18"/>
              </w:rPr>
              <w:t>at</w:t>
            </w:r>
            <w:r>
              <w:rPr>
                <w:spacing w:val="1"/>
                <w:sz w:val="18"/>
              </w:rPr>
              <w:t> </w:t>
            </w:r>
            <w:r>
              <w:rPr>
                <w:spacing w:val="-4"/>
                <w:sz w:val="18"/>
              </w:rPr>
              <w:t>har-</w:t>
            </w:r>
          </w:p>
        </w:tc>
        <w:tc>
          <w:tcPr>
            <w:tcW w:w="983" w:type="dxa"/>
            <w:tcBorders>
              <w:top w:val="nil"/>
              <w:bottom w:val="nil"/>
            </w:tcBorders>
          </w:tcPr>
          <w:p>
            <w:pPr>
              <w:pStyle w:val="TableParagraph"/>
              <w:spacing w:line="190" w:lineRule="exact" w:before="31"/>
              <w:ind w:left="118"/>
              <w:rPr>
                <w:sz w:val="18"/>
              </w:rPr>
            </w:pPr>
            <w:r>
              <w:rPr>
                <w:spacing w:val="-2"/>
                <w:sz w:val="18"/>
              </w:rPr>
              <w:t>0.404</w:t>
            </w:r>
          </w:p>
        </w:tc>
        <w:tc>
          <w:tcPr>
            <w:tcW w:w="466" w:type="dxa"/>
            <w:vMerge w:val="restart"/>
            <w:tcBorders>
              <w:top w:val="nil"/>
              <w:bottom w:val="single" w:sz="8" w:space="0" w:color="000000"/>
              <w:right w:val="nil"/>
            </w:tcBorders>
          </w:tcPr>
          <w:p>
            <w:pPr>
              <w:pStyle w:val="TableParagraph"/>
              <w:spacing w:line="275" w:lineRule="exact" w:before="0"/>
              <w:ind w:left="120"/>
              <w:rPr>
                <w:rFonts w:ascii="Meiryo UI" w:hAnsi="Meiryo UI"/>
                <w:i/>
                <w:sz w:val="18"/>
              </w:rPr>
            </w:pPr>
            <w:r>
              <w:rPr>
                <w:rFonts w:ascii="Meiryo UI" w:hAnsi="Meiryo UI"/>
                <w:i/>
                <w:spacing w:val="-10"/>
                <w:sz w:val="18"/>
              </w:rPr>
              <w:t>−</w:t>
            </w:r>
          </w:p>
          <w:p>
            <w:pPr>
              <w:pStyle w:val="TableParagraph"/>
              <w:spacing w:before="207"/>
              <w:ind w:left="120"/>
              <w:rPr>
                <w:rFonts w:ascii="Meiryo UI" w:hAnsi="Meiryo UI"/>
                <w:i/>
                <w:sz w:val="18"/>
              </w:rPr>
            </w:pPr>
            <w:r>
              <w:rPr>
                <w:rFonts w:ascii="Meiryo UI" w:hAnsi="Meiryo UI"/>
                <w:i/>
                <w:spacing w:val="-10"/>
                <w:sz w:val="18"/>
              </w:rPr>
              <w:t>−</w:t>
            </w:r>
          </w:p>
          <w:p>
            <w:pPr>
              <w:pStyle w:val="TableParagraph"/>
              <w:spacing w:before="207"/>
              <w:ind w:left="120"/>
              <w:rPr>
                <w:rFonts w:ascii="Meiryo UI" w:hAnsi="Meiryo UI"/>
                <w:i/>
                <w:sz w:val="18"/>
              </w:rPr>
            </w:pPr>
            <w:r>
              <w:rPr>
                <w:rFonts w:ascii="Meiryo UI" w:hAnsi="Meiryo UI"/>
                <w:i/>
                <w:spacing w:val="-10"/>
                <w:sz w:val="18"/>
              </w:rPr>
              <w:t>−</w:t>
            </w:r>
          </w:p>
          <w:p>
            <w:pPr>
              <w:pStyle w:val="TableParagraph"/>
              <w:spacing w:before="206"/>
              <w:ind w:left="120"/>
              <w:rPr>
                <w:rFonts w:ascii="Meiryo UI" w:hAnsi="Meiryo UI"/>
                <w:i/>
                <w:sz w:val="18"/>
              </w:rPr>
            </w:pPr>
            <w:r>
              <w:rPr>
                <w:rFonts w:ascii="Meiryo UI" w:hAnsi="Meiryo UI"/>
                <w:i/>
                <w:spacing w:val="-10"/>
                <w:sz w:val="18"/>
              </w:rPr>
              <w:t>−</w:t>
            </w:r>
          </w:p>
          <w:p>
            <w:pPr>
              <w:pStyle w:val="TableParagraph"/>
              <w:spacing w:before="0"/>
              <w:rPr>
                <w:sz w:val="18"/>
              </w:rPr>
            </w:pPr>
          </w:p>
          <w:p>
            <w:pPr>
              <w:pStyle w:val="TableParagraph"/>
              <w:spacing w:before="0"/>
              <w:ind w:left="120"/>
              <w:rPr>
                <w:rFonts w:ascii="Meiryo UI" w:hAnsi="Meiryo UI"/>
                <w:i/>
                <w:sz w:val="18"/>
              </w:rPr>
            </w:pPr>
            <w:r>
              <w:rPr>
                <w:rFonts w:ascii="Meiryo UI" w:hAnsi="Meiryo UI"/>
                <w:i/>
                <w:spacing w:val="-10"/>
                <w:sz w:val="18"/>
              </w:rPr>
              <w:t>−</w:t>
            </w:r>
          </w:p>
          <w:p>
            <w:pPr>
              <w:pStyle w:val="TableParagraph"/>
              <w:spacing w:before="0"/>
              <w:rPr>
                <w:sz w:val="18"/>
              </w:rPr>
            </w:pPr>
          </w:p>
          <w:p>
            <w:pPr>
              <w:pStyle w:val="TableParagraph"/>
              <w:spacing w:before="0"/>
              <w:ind w:left="120"/>
              <w:rPr>
                <w:rFonts w:ascii="Meiryo UI" w:hAnsi="Meiryo UI"/>
                <w:i/>
                <w:sz w:val="18"/>
              </w:rPr>
            </w:pPr>
            <w:r>
              <w:rPr>
                <w:rFonts w:ascii="Meiryo UI" w:hAnsi="Meiryo UI"/>
                <w:i/>
                <w:spacing w:val="-10"/>
                <w:sz w:val="18"/>
              </w:rPr>
              <w:t>−</w:t>
            </w:r>
          </w:p>
          <w:p>
            <w:pPr>
              <w:pStyle w:val="TableParagraph"/>
              <w:spacing w:before="0"/>
              <w:rPr>
                <w:sz w:val="18"/>
              </w:rPr>
            </w:pPr>
          </w:p>
          <w:p>
            <w:pPr>
              <w:pStyle w:val="TableParagraph"/>
              <w:spacing w:before="0"/>
              <w:ind w:left="120"/>
              <w:rPr>
                <w:rFonts w:ascii="Meiryo UI" w:hAnsi="Meiryo UI"/>
                <w:i/>
                <w:sz w:val="18"/>
              </w:rPr>
            </w:pPr>
            <w:r>
              <w:rPr>
                <w:rFonts w:ascii="Meiryo UI" w:hAnsi="Meiryo UI"/>
                <w:i/>
                <w:spacing w:val="-10"/>
                <w:sz w:val="18"/>
              </w:rPr>
              <w:t>−</w:t>
            </w:r>
          </w:p>
          <w:p>
            <w:pPr>
              <w:pStyle w:val="TableParagraph"/>
              <w:spacing w:before="0"/>
              <w:rPr>
                <w:sz w:val="18"/>
              </w:rPr>
            </w:pPr>
          </w:p>
          <w:p>
            <w:pPr>
              <w:pStyle w:val="TableParagraph"/>
              <w:spacing w:before="0"/>
              <w:ind w:left="120"/>
              <w:rPr>
                <w:rFonts w:ascii="Meiryo UI" w:hAnsi="Meiryo UI"/>
                <w:i/>
                <w:sz w:val="18"/>
              </w:rPr>
            </w:pPr>
            <w:r>
              <w:rPr>
                <w:rFonts w:ascii="Meiryo UI" w:hAnsi="Meiryo UI"/>
                <w:i/>
                <w:spacing w:val="-10"/>
                <w:sz w:val="18"/>
              </w:rPr>
              <w:t>−</w:t>
            </w:r>
          </w:p>
          <w:p>
            <w:pPr>
              <w:pStyle w:val="TableParagraph"/>
              <w:spacing w:before="0"/>
              <w:rPr>
                <w:sz w:val="18"/>
              </w:rPr>
            </w:pPr>
          </w:p>
          <w:p>
            <w:pPr>
              <w:pStyle w:val="TableParagraph"/>
              <w:spacing w:before="0"/>
              <w:ind w:left="120"/>
              <w:rPr>
                <w:rFonts w:ascii="Meiryo UI" w:hAnsi="Meiryo UI"/>
                <w:i/>
                <w:sz w:val="18"/>
              </w:rPr>
            </w:pPr>
            <w:r>
              <w:rPr>
                <w:rFonts w:ascii="Meiryo UI" w:hAnsi="Meiryo UI"/>
                <w:i/>
                <w:spacing w:val="-10"/>
                <w:sz w:val="18"/>
              </w:rPr>
              <w:t>−</w:t>
            </w:r>
          </w:p>
          <w:p>
            <w:pPr>
              <w:pStyle w:val="TableParagraph"/>
              <w:spacing w:before="53"/>
              <w:rPr>
                <w:sz w:val="18"/>
              </w:rPr>
            </w:pPr>
          </w:p>
          <w:p>
            <w:pPr>
              <w:pStyle w:val="TableParagraph"/>
              <w:spacing w:before="1"/>
              <w:ind w:left="120"/>
              <w:rPr>
                <w:sz w:val="18"/>
              </w:rPr>
            </w:pPr>
            <w:r>
              <w:rPr>
                <w:spacing w:val="-10"/>
                <w:sz w:val="18"/>
              </w:rPr>
              <w:t>+</w:t>
            </w:r>
          </w:p>
        </w:tc>
      </w:tr>
      <w:tr>
        <w:trPr>
          <w:trHeight w:val="232" w:hRule="atLeast"/>
        </w:trPr>
        <w:tc>
          <w:tcPr>
            <w:tcW w:w="622" w:type="dxa"/>
            <w:tcBorders>
              <w:top w:val="nil"/>
              <w:left w:val="nil"/>
              <w:bottom w:val="nil"/>
            </w:tcBorders>
          </w:tcPr>
          <w:p>
            <w:pPr>
              <w:pStyle w:val="TableParagraph"/>
              <w:spacing w:before="0"/>
              <w:rPr>
                <w:sz w:val="16"/>
              </w:rPr>
            </w:pPr>
          </w:p>
        </w:tc>
        <w:tc>
          <w:tcPr>
            <w:tcW w:w="2175" w:type="dxa"/>
            <w:tcBorders>
              <w:top w:val="nil"/>
              <w:bottom w:val="nil"/>
            </w:tcBorders>
          </w:tcPr>
          <w:p>
            <w:pPr>
              <w:pStyle w:val="TableParagraph"/>
              <w:spacing w:line="196" w:lineRule="exact" w:before="0"/>
              <w:ind w:left="118"/>
              <w:rPr>
                <w:sz w:val="18"/>
              </w:rPr>
            </w:pPr>
            <w:r>
              <w:rPr>
                <w:spacing w:val="-2"/>
                <w:sz w:val="18"/>
              </w:rPr>
              <w:t>temp)</w:t>
            </w:r>
          </w:p>
        </w:tc>
        <w:tc>
          <w:tcPr>
            <w:tcW w:w="984" w:type="dxa"/>
            <w:tcBorders>
              <w:top w:val="nil"/>
              <w:bottom w:val="nil"/>
            </w:tcBorders>
          </w:tcPr>
          <w:p>
            <w:pPr>
              <w:pStyle w:val="TableParagraph"/>
              <w:spacing w:before="0"/>
              <w:rPr>
                <w:sz w:val="16"/>
              </w:rPr>
            </w:pPr>
          </w:p>
        </w:tc>
        <w:tc>
          <w:tcPr>
            <w:tcW w:w="1097" w:type="dxa"/>
            <w:vMerge/>
            <w:tcBorders>
              <w:top w:val="nil"/>
              <w:bottom w:val="single" w:sz="8" w:space="0" w:color="000000"/>
            </w:tcBorders>
          </w:tcPr>
          <w:p>
            <w:pPr>
              <w:rPr>
                <w:sz w:val="2"/>
                <w:szCs w:val="2"/>
              </w:rPr>
            </w:pPr>
          </w:p>
        </w:tc>
        <w:tc>
          <w:tcPr>
            <w:tcW w:w="2174" w:type="dxa"/>
            <w:tcBorders>
              <w:top w:val="nil"/>
              <w:bottom w:val="nil"/>
            </w:tcBorders>
          </w:tcPr>
          <w:p>
            <w:pPr>
              <w:pStyle w:val="TableParagraph"/>
              <w:spacing w:line="196" w:lineRule="exact" w:before="0"/>
              <w:ind w:left="113"/>
              <w:rPr>
                <w:sz w:val="18"/>
              </w:rPr>
            </w:pPr>
            <w:r>
              <w:rPr>
                <w:spacing w:val="-2"/>
                <w:sz w:val="18"/>
              </w:rPr>
              <w:t>vest)</w:t>
            </w:r>
          </w:p>
        </w:tc>
        <w:tc>
          <w:tcPr>
            <w:tcW w:w="983" w:type="dxa"/>
            <w:tcBorders>
              <w:top w:val="nil"/>
              <w:bottom w:val="nil"/>
            </w:tcBorders>
          </w:tcPr>
          <w:p>
            <w:pPr>
              <w:pStyle w:val="TableParagraph"/>
              <w:spacing w:before="0"/>
              <w:rPr>
                <w:sz w:val="16"/>
              </w:rPr>
            </w:pPr>
          </w:p>
        </w:tc>
        <w:tc>
          <w:tcPr>
            <w:tcW w:w="466" w:type="dxa"/>
            <w:vMerge/>
            <w:tcBorders>
              <w:top w:val="nil"/>
              <w:bottom w:val="single" w:sz="8" w:space="0" w:color="000000"/>
              <w:right w:val="nil"/>
            </w:tcBorders>
          </w:tcPr>
          <w:p>
            <w:pPr>
              <w:rPr>
                <w:sz w:val="2"/>
                <w:szCs w:val="2"/>
              </w:rPr>
            </w:pPr>
          </w:p>
        </w:tc>
      </w:tr>
      <w:tr>
        <w:trPr>
          <w:trHeight w:val="484" w:hRule="atLeast"/>
        </w:trPr>
        <w:tc>
          <w:tcPr>
            <w:tcW w:w="622" w:type="dxa"/>
            <w:tcBorders>
              <w:top w:val="nil"/>
              <w:left w:val="nil"/>
              <w:bottom w:val="nil"/>
            </w:tcBorders>
          </w:tcPr>
          <w:p>
            <w:pPr>
              <w:pStyle w:val="TableParagraph"/>
              <w:spacing w:before="22"/>
              <w:ind w:left="119"/>
              <w:rPr>
                <w:sz w:val="18"/>
              </w:rPr>
            </w:pPr>
            <w:r>
              <w:rPr>
                <w:spacing w:val="-10"/>
                <w:sz w:val="18"/>
              </w:rPr>
              <w:t>2</w:t>
            </w:r>
          </w:p>
        </w:tc>
        <w:tc>
          <w:tcPr>
            <w:tcW w:w="2175" w:type="dxa"/>
            <w:tcBorders>
              <w:top w:val="nil"/>
              <w:bottom w:val="nil"/>
            </w:tcBorders>
          </w:tcPr>
          <w:p>
            <w:pPr>
              <w:pStyle w:val="TableParagraph"/>
              <w:spacing w:line="254" w:lineRule="auto" w:before="22"/>
              <w:ind w:left="113" w:firstLine="4"/>
              <w:rPr>
                <w:sz w:val="18"/>
              </w:rPr>
            </w:pPr>
            <w:r>
              <w:rPr>
                <w:spacing w:val="-2"/>
                <w:sz w:val="18"/>
              </w:rPr>
              <w:t>tn_hv_y0_a30</w:t>
            </w:r>
            <w:r>
              <w:rPr>
                <w:spacing w:val="-10"/>
                <w:sz w:val="18"/>
              </w:rPr>
              <w:t> </w:t>
            </w:r>
            <w:r>
              <w:rPr>
                <w:spacing w:val="-2"/>
                <w:sz w:val="18"/>
              </w:rPr>
              <w:t>(prev-yr</w:t>
            </w:r>
            <w:r>
              <w:rPr>
                <w:spacing w:val="-9"/>
                <w:sz w:val="18"/>
              </w:rPr>
              <w:t> </w:t>
            </w:r>
            <w:r>
              <w:rPr>
                <w:spacing w:val="-2"/>
                <w:sz w:val="18"/>
              </w:rPr>
              <w:t>har-</w:t>
            </w:r>
            <w:r>
              <w:rPr>
                <w:sz w:val="18"/>
              </w:rPr>
              <w:t>vest nights)</w:t>
            </w:r>
          </w:p>
        </w:tc>
        <w:tc>
          <w:tcPr>
            <w:tcW w:w="984" w:type="dxa"/>
            <w:tcBorders>
              <w:top w:val="nil"/>
              <w:bottom w:val="nil"/>
            </w:tcBorders>
          </w:tcPr>
          <w:p>
            <w:pPr>
              <w:pStyle w:val="TableParagraph"/>
              <w:spacing w:before="22"/>
              <w:ind w:left="117"/>
              <w:rPr>
                <w:sz w:val="18"/>
              </w:rPr>
            </w:pPr>
            <w:r>
              <w:rPr>
                <w:spacing w:val="-2"/>
                <w:sz w:val="18"/>
              </w:rPr>
              <w:t>0.347</w:t>
            </w:r>
          </w:p>
        </w:tc>
        <w:tc>
          <w:tcPr>
            <w:tcW w:w="1097" w:type="dxa"/>
            <w:vMerge/>
            <w:tcBorders>
              <w:top w:val="nil"/>
              <w:bottom w:val="single" w:sz="8" w:space="0" w:color="000000"/>
            </w:tcBorders>
          </w:tcPr>
          <w:p>
            <w:pPr>
              <w:rPr>
                <w:sz w:val="2"/>
                <w:szCs w:val="2"/>
              </w:rPr>
            </w:pPr>
          </w:p>
        </w:tc>
        <w:tc>
          <w:tcPr>
            <w:tcW w:w="2174" w:type="dxa"/>
            <w:tcBorders>
              <w:top w:val="nil"/>
              <w:bottom w:val="nil"/>
            </w:tcBorders>
          </w:tcPr>
          <w:p>
            <w:pPr>
              <w:pStyle w:val="TableParagraph"/>
              <w:tabs>
                <w:tab w:pos="1720" w:val="left" w:leader="none"/>
              </w:tabs>
              <w:spacing w:line="254" w:lineRule="auto" w:before="22"/>
              <w:ind w:left="118" w:right="86"/>
              <w:rPr>
                <w:sz w:val="18"/>
              </w:rPr>
            </w:pPr>
            <w:r>
              <w:rPr>
                <w:spacing w:val="-2"/>
                <w:sz w:val="18"/>
              </w:rPr>
              <w:t>tm_hv_y1_b20</w:t>
            </w:r>
            <w:r>
              <w:rPr>
                <w:sz w:val="18"/>
              </w:rPr>
              <w:tab/>
            </w:r>
            <w:r>
              <w:rPr>
                <w:spacing w:val="-2"/>
                <w:sz w:val="18"/>
              </w:rPr>
              <w:t>(pre-</w:t>
            </w:r>
            <w:r>
              <w:rPr>
                <w:sz w:val="18"/>
              </w:rPr>
              <w:t>harvest temp)</w:t>
            </w:r>
          </w:p>
        </w:tc>
        <w:tc>
          <w:tcPr>
            <w:tcW w:w="983" w:type="dxa"/>
            <w:tcBorders>
              <w:top w:val="nil"/>
              <w:bottom w:val="nil"/>
            </w:tcBorders>
          </w:tcPr>
          <w:p>
            <w:pPr>
              <w:pStyle w:val="TableParagraph"/>
              <w:spacing w:before="22"/>
              <w:ind w:left="118"/>
              <w:rPr>
                <w:sz w:val="18"/>
              </w:rPr>
            </w:pPr>
            <w:r>
              <w:rPr>
                <w:spacing w:val="-2"/>
                <w:sz w:val="18"/>
              </w:rPr>
              <w:t>0.402</w:t>
            </w:r>
          </w:p>
        </w:tc>
        <w:tc>
          <w:tcPr>
            <w:tcW w:w="466" w:type="dxa"/>
            <w:vMerge/>
            <w:tcBorders>
              <w:top w:val="nil"/>
              <w:bottom w:val="single" w:sz="8" w:space="0" w:color="000000"/>
              <w:right w:val="nil"/>
            </w:tcBorders>
          </w:tcPr>
          <w:p>
            <w:pPr>
              <w:rPr>
                <w:sz w:val="2"/>
                <w:szCs w:val="2"/>
              </w:rPr>
            </w:pPr>
          </w:p>
        </w:tc>
      </w:tr>
      <w:tr>
        <w:trPr>
          <w:trHeight w:val="484" w:hRule="atLeast"/>
        </w:trPr>
        <w:tc>
          <w:tcPr>
            <w:tcW w:w="622" w:type="dxa"/>
            <w:tcBorders>
              <w:top w:val="nil"/>
              <w:left w:val="nil"/>
              <w:bottom w:val="nil"/>
            </w:tcBorders>
          </w:tcPr>
          <w:p>
            <w:pPr>
              <w:pStyle w:val="TableParagraph"/>
              <w:spacing w:before="22"/>
              <w:ind w:left="119"/>
              <w:rPr>
                <w:sz w:val="18"/>
              </w:rPr>
            </w:pPr>
            <w:r>
              <w:rPr>
                <w:spacing w:val="-10"/>
                <w:sz w:val="18"/>
              </w:rPr>
              <w:t>3</w:t>
            </w:r>
          </w:p>
        </w:tc>
        <w:tc>
          <w:tcPr>
            <w:tcW w:w="2175" w:type="dxa"/>
            <w:tcBorders>
              <w:top w:val="nil"/>
              <w:bottom w:val="nil"/>
            </w:tcBorders>
          </w:tcPr>
          <w:p>
            <w:pPr>
              <w:pStyle w:val="TableParagraph"/>
              <w:spacing w:line="254" w:lineRule="auto" w:before="22"/>
              <w:ind w:left="111" w:firstLine="6"/>
              <w:rPr>
                <w:sz w:val="18"/>
              </w:rPr>
            </w:pPr>
            <w:r>
              <w:rPr>
                <w:spacing w:val="-2"/>
                <w:sz w:val="18"/>
              </w:rPr>
              <w:t>swa_fl_y1_a30</w:t>
            </w:r>
            <w:r>
              <w:rPr>
                <w:spacing w:val="-10"/>
                <w:sz w:val="18"/>
              </w:rPr>
              <w:t> </w:t>
            </w:r>
            <w:r>
              <w:rPr>
                <w:spacing w:val="-2"/>
                <w:sz w:val="18"/>
              </w:rPr>
              <w:t>(post-fl</w:t>
            </w:r>
            <w:r>
              <w:rPr>
                <w:spacing w:val="-9"/>
                <w:sz w:val="18"/>
              </w:rPr>
              <w:t> </w:t>
            </w:r>
            <w:r>
              <w:rPr>
                <w:spacing w:val="-2"/>
                <w:sz w:val="18"/>
              </w:rPr>
              <w:t>soil water)</w:t>
            </w:r>
          </w:p>
        </w:tc>
        <w:tc>
          <w:tcPr>
            <w:tcW w:w="984" w:type="dxa"/>
            <w:tcBorders>
              <w:top w:val="nil"/>
              <w:bottom w:val="nil"/>
            </w:tcBorders>
          </w:tcPr>
          <w:p>
            <w:pPr>
              <w:pStyle w:val="TableParagraph"/>
              <w:spacing w:before="22"/>
              <w:ind w:left="117"/>
              <w:rPr>
                <w:sz w:val="18"/>
              </w:rPr>
            </w:pPr>
            <w:r>
              <w:rPr>
                <w:spacing w:val="-2"/>
                <w:sz w:val="18"/>
              </w:rPr>
              <w:t>0.283</w:t>
            </w:r>
          </w:p>
        </w:tc>
        <w:tc>
          <w:tcPr>
            <w:tcW w:w="1097" w:type="dxa"/>
            <w:vMerge/>
            <w:tcBorders>
              <w:top w:val="nil"/>
              <w:bottom w:val="single" w:sz="8" w:space="0" w:color="000000"/>
            </w:tcBorders>
          </w:tcPr>
          <w:p>
            <w:pPr>
              <w:rPr>
                <w:sz w:val="2"/>
                <w:szCs w:val="2"/>
              </w:rPr>
            </w:pPr>
          </w:p>
        </w:tc>
        <w:tc>
          <w:tcPr>
            <w:tcW w:w="2174" w:type="dxa"/>
            <w:tcBorders>
              <w:top w:val="nil"/>
              <w:bottom w:val="nil"/>
            </w:tcBorders>
          </w:tcPr>
          <w:p>
            <w:pPr>
              <w:pStyle w:val="TableParagraph"/>
              <w:spacing w:line="254" w:lineRule="auto" w:before="22"/>
              <w:ind w:left="118"/>
              <w:rPr>
                <w:sz w:val="18"/>
              </w:rPr>
            </w:pPr>
            <w:r>
              <w:rPr>
                <w:sz w:val="18"/>
              </w:rPr>
              <w:t>tm_sm_y1_c20</w:t>
            </w:r>
            <w:r>
              <w:rPr>
                <w:spacing w:val="40"/>
                <w:sz w:val="18"/>
              </w:rPr>
              <w:t> </w:t>
            </w:r>
            <w:r>
              <w:rPr>
                <w:sz w:val="18"/>
              </w:rPr>
              <w:t>(maturity </w:t>
            </w:r>
            <w:r>
              <w:rPr>
                <w:spacing w:val="-2"/>
                <w:sz w:val="18"/>
              </w:rPr>
              <w:t>temp)</w:t>
            </w:r>
          </w:p>
        </w:tc>
        <w:tc>
          <w:tcPr>
            <w:tcW w:w="983" w:type="dxa"/>
            <w:tcBorders>
              <w:top w:val="nil"/>
              <w:bottom w:val="nil"/>
            </w:tcBorders>
          </w:tcPr>
          <w:p>
            <w:pPr>
              <w:pStyle w:val="TableParagraph"/>
              <w:spacing w:before="22"/>
              <w:ind w:left="118"/>
              <w:rPr>
                <w:sz w:val="18"/>
              </w:rPr>
            </w:pPr>
            <w:r>
              <w:rPr>
                <w:spacing w:val="-2"/>
                <w:sz w:val="18"/>
              </w:rPr>
              <w:t>0.342</w:t>
            </w:r>
          </w:p>
        </w:tc>
        <w:tc>
          <w:tcPr>
            <w:tcW w:w="466" w:type="dxa"/>
            <w:vMerge/>
            <w:tcBorders>
              <w:top w:val="nil"/>
              <w:bottom w:val="single" w:sz="8" w:space="0" w:color="000000"/>
              <w:right w:val="nil"/>
            </w:tcBorders>
          </w:tcPr>
          <w:p>
            <w:pPr>
              <w:rPr>
                <w:sz w:val="2"/>
                <w:szCs w:val="2"/>
              </w:rPr>
            </w:pPr>
          </w:p>
        </w:tc>
      </w:tr>
      <w:tr>
        <w:trPr>
          <w:trHeight w:val="484" w:hRule="atLeast"/>
        </w:trPr>
        <w:tc>
          <w:tcPr>
            <w:tcW w:w="622" w:type="dxa"/>
            <w:tcBorders>
              <w:top w:val="nil"/>
              <w:left w:val="nil"/>
              <w:bottom w:val="nil"/>
            </w:tcBorders>
          </w:tcPr>
          <w:p>
            <w:pPr>
              <w:pStyle w:val="TableParagraph"/>
              <w:spacing w:before="22"/>
              <w:ind w:left="119"/>
              <w:rPr>
                <w:sz w:val="18"/>
              </w:rPr>
            </w:pPr>
            <w:r>
              <w:rPr>
                <w:spacing w:val="-10"/>
                <w:sz w:val="18"/>
              </w:rPr>
              <w:t>4</w:t>
            </w:r>
          </w:p>
        </w:tc>
        <w:tc>
          <w:tcPr>
            <w:tcW w:w="2175" w:type="dxa"/>
            <w:tcBorders>
              <w:top w:val="nil"/>
              <w:bottom w:val="nil"/>
            </w:tcBorders>
          </w:tcPr>
          <w:p>
            <w:pPr>
              <w:pStyle w:val="TableParagraph"/>
              <w:spacing w:line="254" w:lineRule="auto" w:before="22"/>
              <w:ind w:left="118"/>
              <w:rPr>
                <w:sz w:val="18"/>
              </w:rPr>
            </w:pPr>
            <w:r>
              <w:rPr>
                <w:sz w:val="18"/>
              </w:rPr>
              <w:t>iaf_fl_y0_b20</w:t>
            </w:r>
            <w:r>
              <w:rPr>
                <w:spacing w:val="40"/>
                <w:sz w:val="18"/>
              </w:rPr>
              <w:t> </w:t>
            </w:r>
            <w:r>
              <w:rPr>
                <w:sz w:val="18"/>
              </w:rPr>
              <w:t>(prev-yr</w:t>
            </w:r>
            <w:r>
              <w:rPr>
                <w:spacing w:val="40"/>
                <w:sz w:val="18"/>
              </w:rPr>
              <w:t> </w:t>
            </w:r>
            <w:r>
              <w:rPr>
                <w:sz w:val="18"/>
              </w:rPr>
              <w:t>fl </w:t>
            </w:r>
            <w:r>
              <w:rPr>
                <w:spacing w:val="-4"/>
                <w:sz w:val="18"/>
              </w:rPr>
              <w:t>LAI)</w:t>
            </w:r>
          </w:p>
        </w:tc>
        <w:tc>
          <w:tcPr>
            <w:tcW w:w="984" w:type="dxa"/>
            <w:tcBorders>
              <w:top w:val="nil"/>
              <w:bottom w:val="nil"/>
            </w:tcBorders>
          </w:tcPr>
          <w:p>
            <w:pPr>
              <w:pStyle w:val="TableParagraph"/>
              <w:spacing w:before="22"/>
              <w:ind w:left="117"/>
              <w:rPr>
                <w:sz w:val="18"/>
              </w:rPr>
            </w:pPr>
            <w:r>
              <w:rPr>
                <w:spacing w:val="-2"/>
                <w:sz w:val="18"/>
              </w:rPr>
              <w:t>0.276</w:t>
            </w:r>
          </w:p>
        </w:tc>
        <w:tc>
          <w:tcPr>
            <w:tcW w:w="1097" w:type="dxa"/>
            <w:vMerge/>
            <w:tcBorders>
              <w:top w:val="nil"/>
              <w:bottom w:val="single" w:sz="8" w:space="0" w:color="000000"/>
            </w:tcBorders>
          </w:tcPr>
          <w:p>
            <w:pPr>
              <w:rPr>
                <w:sz w:val="2"/>
                <w:szCs w:val="2"/>
              </w:rPr>
            </w:pPr>
          </w:p>
        </w:tc>
        <w:tc>
          <w:tcPr>
            <w:tcW w:w="2174" w:type="dxa"/>
            <w:tcBorders>
              <w:top w:val="nil"/>
              <w:bottom w:val="nil"/>
            </w:tcBorders>
          </w:tcPr>
          <w:p>
            <w:pPr>
              <w:pStyle w:val="TableParagraph"/>
              <w:spacing w:line="254" w:lineRule="auto" w:before="22"/>
              <w:ind w:left="113" w:firstLine="4"/>
              <w:rPr>
                <w:sz w:val="18"/>
              </w:rPr>
            </w:pPr>
            <w:r>
              <w:rPr>
                <w:spacing w:val="-2"/>
                <w:sz w:val="18"/>
              </w:rPr>
              <w:t>tn_hv_y0_a30</w:t>
            </w:r>
            <w:r>
              <w:rPr>
                <w:spacing w:val="-10"/>
                <w:sz w:val="18"/>
              </w:rPr>
              <w:t> </w:t>
            </w:r>
            <w:r>
              <w:rPr>
                <w:spacing w:val="-2"/>
                <w:sz w:val="18"/>
              </w:rPr>
              <w:t>(prev-yr</w:t>
            </w:r>
            <w:r>
              <w:rPr>
                <w:spacing w:val="-9"/>
                <w:sz w:val="18"/>
              </w:rPr>
              <w:t> </w:t>
            </w:r>
            <w:r>
              <w:rPr>
                <w:spacing w:val="-2"/>
                <w:sz w:val="18"/>
              </w:rPr>
              <w:t>har-</w:t>
            </w:r>
            <w:r>
              <w:rPr>
                <w:sz w:val="18"/>
              </w:rPr>
              <w:t>vest nights)</w:t>
            </w:r>
          </w:p>
        </w:tc>
        <w:tc>
          <w:tcPr>
            <w:tcW w:w="983" w:type="dxa"/>
            <w:tcBorders>
              <w:top w:val="nil"/>
              <w:bottom w:val="nil"/>
            </w:tcBorders>
          </w:tcPr>
          <w:p>
            <w:pPr>
              <w:pStyle w:val="TableParagraph"/>
              <w:spacing w:before="22"/>
              <w:ind w:left="118"/>
              <w:rPr>
                <w:sz w:val="18"/>
              </w:rPr>
            </w:pPr>
            <w:r>
              <w:rPr>
                <w:spacing w:val="-2"/>
                <w:sz w:val="18"/>
              </w:rPr>
              <w:t>0.325</w:t>
            </w:r>
          </w:p>
        </w:tc>
        <w:tc>
          <w:tcPr>
            <w:tcW w:w="466" w:type="dxa"/>
            <w:vMerge/>
            <w:tcBorders>
              <w:top w:val="nil"/>
              <w:bottom w:val="single" w:sz="8" w:space="0" w:color="000000"/>
              <w:right w:val="nil"/>
            </w:tcBorders>
          </w:tcPr>
          <w:p>
            <w:pPr>
              <w:rPr>
                <w:sz w:val="2"/>
                <w:szCs w:val="2"/>
              </w:rPr>
            </w:pPr>
          </w:p>
        </w:tc>
      </w:tr>
      <w:tr>
        <w:trPr>
          <w:trHeight w:val="484" w:hRule="atLeast"/>
        </w:trPr>
        <w:tc>
          <w:tcPr>
            <w:tcW w:w="622" w:type="dxa"/>
            <w:tcBorders>
              <w:top w:val="nil"/>
              <w:left w:val="nil"/>
              <w:bottom w:val="nil"/>
            </w:tcBorders>
          </w:tcPr>
          <w:p>
            <w:pPr>
              <w:pStyle w:val="TableParagraph"/>
              <w:spacing w:before="22"/>
              <w:ind w:left="119"/>
              <w:rPr>
                <w:sz w:val="18"/>
              </w:rPr>
            </w:pPr>
            <w:r>
              <w:rPr>
                <w:spacing w:val="-10"/>
                <w:sz w:val="18"/>
              </w:rPr>
              <w:t>5</w:t>
            </w:r>
          </w:p>
        </w:tc>
        <w:tc>
          <w:tcPr>
            <w:tcW w:w="2175" w:type="dxa"/>
            <w:tcBorders>
              <w:top w:val="nil"/>
              <w:bottom w:val="nil"/>
            </w:tcBorders>
          </w:tcPr>
          <w:p>
            <w:pPr>
              <w:pStyle w:val="TableParagraph"/>
              <w:spacing w:line="254" w:lineRule="auto" w:before="22"/>
              <w:ind w:left="118"/>
              <w:rPr>
                <w:sz w:val="18"/>
              </w:rPr>
            </w:pPr>
            <w:r>
              <w:rPr>
                <w:sz w:val="18"/>
              </w:rPr>
              <w:t>iaf_fl_y0_b30</w:t>
            </w:r>
            <w:r>
              <w:rPr>
                <w:spacing w:val="40"/>
                <w:sz w:val="18"/>
              </w:rPr>
              <w:t> </w:t>
            </w:r>
            <w:r>
              <w:rPr>
                <w:sz w:val="18"/>
              </w:rPr>
              <w:t>(prev-yr</w:t>
            </w:r>
            <w:r>
              <w:rPr>
                <w:spacing w:val="40"/>
                <w:sz w:val="18"/>
              </w:rPr>
              <w:t> </w:t>
            </w:r>
            <w:r>
              <w:rPr>
                <w:sz w:val="18"/>
              </w:rPr>
              <w:t>fl LAI, wide)</w:t>
            </w:r>
          </w:p>
        </w:tc>
        <w:tc>
          <w:tcPr>
            <w:tcW w:w="984" w:type="dxa"/>
            <w:tcBorders>
              <w:top w:val="nil"/>
              <w:bottom w:val="nil"/>
            </w:tcBorders>
          </w:tcPr>
          <w:p>
            <w:pPr>
              <w:pStyle w:val="TableParagraph"/>
              <w:spacing w:before="22"/>
              <w:ind w:left="117"/>
              <w:rPr>
                <w:sz w:val="18"/>
              </w:rPr>
            </w:pPr>
            <w:r>
              <w:rPr>
                <w:spacing w:val="-2"/>
                <w:sz w:val="18"/>
              </w:rPr>
              <w:t>0.268</w:t>
            </w:r>
          </w:p>
        </w:tc>
        <w:tc>
          <w:tcPr>
            <w:tcW w:w="1097" w:type="dxa"/>
            <w:vMerge/>
            <w:tcBorders>
              <w:top w:val="nil"/>
              <w:bottom w:val="single" w:sz="8" w:space="0" w:color="000000"/>
            </w:tcBorders>
          </w:tcPr>
          <w:p>
            <w:pPr>
              <w:rPr>
                <w:sz w:val="2"/>
                <w:szCs w:val="2"/>
              </w:rPr>
            </w:pPr>
          </w:p>
        </w:tc>
        <w:tc>
          <w:tcPr>
            <w:tcW w:w="2174" w:type="dxa"/>
            <w:tcBorders>
              <w:top w:val="nil"/>
              <w:bottom w:val="nil"/>
            </w:tcBorders>
          </w:tcPr>
          <w:p>
            <w:pPr>
              <w:pStyle w:val="TableParagraph"/>
              <w:spacing w:line="254" w:lineRule="auto" w:before="22"/>
              <w:ind w:left="118"/>
              <w:rPr>
                <w:sz w:val="18"/>
              </w:rPr>
            </w:pPr>
            <w:r>
              <w:rPr>
                <w:spacing w:val="-2"/>
                <w:sz w:val="18"/>
              </w:rPr>
              <w:t>days.rf.above.1mm_fl_y1_ </w:t>
            </w:r>
            <w:r>
              <w:rPr>
                <w:sz w:val="18"/>
              </w:rPr>
              <w:t>a20 (wet days post-fl)</w:t>
            </w:r>
          </w:p>
        </w:tc>
        <w:tc>
          <w:tcPr>
            <w:tcW w:w="983" w:type="dxa"/>
            <w:tcBorders>
              <w:top w:val="nil"/>
              <w:bottom w:val="nil"/>
            </w:tcBorders>
          </w:tcPr>
          <w:p>
            <w:pPr>
              <w:pStyle w:val="TableParagraph"/>
              <w:spacing w:before="22"/>
              <w:ind w:left="118"/>
              <w:rPr>
                <w:sz w:val="18"/>
              </w:rPr>
            </w:pPr>
            <w:r>
              <w:rPr>
                <w:spacing w:val="-2"/>
                <w:sz w:val="18"/>
              </w:rPr>
              <w:t>0.306</w:t>
            </w:r>
          </w:p>
        </w:tc>
        <w:tc>
          <w:tcPr>
            <w:tcW w:w="466" w:type="dxa"/>
            <w:vMerge/>
            <w:tcBorders>
              <w:top w:val="nil"/>
              <w:bottom w:val="single" w:sz="8" w:space="0" w:color="000000"/>
              <w:right w:val="nil"/>
            </w:tcBorders>
          </w:tcPr>
          <w:p>
            <w:pPr>
              <w:rPr>
                <w:sz w:val="2"/>
                <w:szCs w:val="2"/>
              </w:rPr>
            </w:pPr>
          </w:p>
        </w:tc>
      </w:tr>
      <w:tr>
        <w:trPr>
          <w:trHeight w:val="484" w:hRule="atLeast"/>
        </w:trPr>
        <w:tc>
          <w:tcPr>
            <w:tcW w:w="622" w:type="dxa"/>
            <w:tcBorders>
              <w:top w:val="nil"/>
              <w:left w:val="nil"/>
              <w:bottom w:val="nil"/>
            </w:tcBorders>
          </w:tcPr>
          <w:p>
            <w:pPr>
              <w:pStyle w:val="TableParagraph"/>
              <w:spacing w:before="22"/>
              <w:ind w:left="119"/>
              <w:rPr>
                <w:sz w:val="18"/>
              </w:rPr>
            </w:pPr>
            <w:r>
              <w:rPr>
                <w:spacing w:val="-10"/>
                <w:sz w:val="18"/>
              </w:rPr>
              <w:t>6</w:t>
            </w:r>
          </w:p>
        </w:tc>
        <w:tc>
          <w:tcPr>
            <w:tcW w:w="2175" w:type="dxa"/>
            <w:tcBorders>
              <w:top w:val="nil"/>
              <w:bottom w:val="nil"/>
            </w:tcBorders>
          </w:tcPr>
          <w:p>
            <w:pPr>
              <w:pStyle w:val="TableParagraph"/>
              <w:spacing w:line="254" w:lineRule="auto" w:before="22"/>
              <w:ind w:left="111" w:firstLine="6"/>
              <w:rPr>
                <w:sz w:val="18"/>
              </w:rPr>
            </w:pPr>
            <w:r>
              <w:rPr>
                <w:spacing w:val="-2"/>
                <w:sz w:val="18"/>
              </w:rPr>
              <w:t>swa_fl_y1_a15</w:t>
            </w:r>
            <w:r>
              <w:rPr>
                <w:spacing w:val="-10"/>
                <w:sz w:val="18"/>
              </w:rPr>
              <w:t> </w:t>
            </w:r>
            <w:r>
              <w:rPr>
                <w:spacing w:val="-2"/>
                <w:sz w:val="18"/>
              </w:rPr>
              <w:t>(post-fl</w:t>
            </w:r>
            <w:r>
              <w:rPr>
                <w:spacing w:val="-9"/>
                <w:sz w:val="18"/>
              </w:rPr>
              <w:t> </w:t>
            </w:r>
            <w:r>
              <w:rPr>
                <w:spacing w:val="-2"/>
                <w:sz w:val="18"/>
              </w:rPr>
              <w:t>soil water)</w:t>
            </w:r>
          </w:p>
        </w:tc>
        <w:tc>
          <w:tcPr>
            <w:tcW w:w="984" w:type="dxa"/>
            <w:tcBorders>
              <w:top w:val="nil"/>
              <w:bottom w:val="nil"/>
            </w:tcBorders>
          </w:tcPr>
          <w:p>
            <w:pPr>
              <w:pStyle w:val="TableParagraph"/>
              <w:spacing w:before="22"/>
              <w:ind w:left="117"/>
              <w:rPr>
                <w:sz w:val="18"/>
              </w:rPr>
            </w:pPr>
            <w:r>
              <w:rPr>
                <w:spacing w:val="-2"/>
                <w:sz w:val="18"/>
              </w:rPr>
              <w:t>0.261</w:t>
            </w:r>
          </w:p>
        </w:tc>
        <w:tc>
          <w:tcPr>
            <w:tcW w:w="1097" w:type="dxa"/>
            <w:vMerge/>
            <w:tcBorders>
              <w:top w:val="nil"/>
              <w:bottom w:val="single" w:sz="8" w:space="0" w:color="000000"/>
            </w:tcBorders>
          </w:tcPr>
          <w:p>
            <w:pPr>
              <w:rPr>
                <w:sz w:val="2"/>
                <w:szCs w:val="2"/>
              </w:rPr>
            </w:pPr>
          </w:p>
        </w:tc>
        <w:tc>
          <w:tcPr>
            <w:tcW w:w="2174" w:type="dxa"/>
            <w:tcBorders>
              <w:top w:val="nil"/>
              <w:bottom w:val="nil"/>
            </w:tcBorders>
          </w:tcPr>
          <w:p>
            <w:pPr>
              <w:pStyle w:val="TableParagraph"/>
              <w:tabs>
                <w:tab w:pos="1454" w:val="left" w:leader="none"/>
              </w:tabs>
              <w:spacing w:line="254" w:lineRule="auto" w:before="22"/>
              <w:ind w:left="118" w:right="112"/>
              <w:rPr>
                <w:sz w:val="18"/>
              </w:rPr>
            </w:pPr>
            <w:r>
              <w:rPr>
                <w:spacing w:val="-2"/>
                <w:sz w:val="18"/>
              </w:rPr>
              <w:t>tm_sm_y0_a20</w:t>
            </w:r>
            <w:r>
              <w:rPr>
                <w:sz w:val="18"/>
              </w:rPr>
              <w:tab/>
            </w:r>
            <w:r>
              <w:rPr>
                <w:spacing w:val="-2"/>
                <w:sz w:val="18"/>
              </w:rPr>
              <w:t>(prev-</w:t>
            </w:r>
            <w:r>
              <w:rPr>
                <w:spacing w:val="-2"/>
                <w:sz w:val="18"/>
              </w:rPr>
              <w:t>yr </w:t>
            </w:r>
            <w:r>
              <w:rPr>
                <w:sz w:val="18"/>
              </w:rPr>
              <w:t>summer temp)</w:t>
            </w:r>
          </w:p>
        </w:tc>
        <w:tc>
          <w:tcPr>
            <w:tcW w:w="983" w:type="dxa"/>
            <w:tcBorders>
              <w:top w:val="nil"/>
              <w:bottom w:val="nil"/>
            </w:tcBorders>
          </w:tcPr>
          <w:p>
            <w:pPr>
              <w:pStyle w:val="TableParagraph"/>
              <w:spacing w:before="22"/>
              <w:ind w:left="118"/>
              <w:rPr>
                <w:sz w:val="18"/>
              </w:rPr>
            </w:pPr>
            <w:r>
              <w:rPr>
                <w:spacing w:val="-2"/>
                <w:sz w:val="18"/>
              </w:rPr>
              <w:t>0.302</w:t>
            </w:r>
          </w:p>
        </w:tc>
        <w:tc>
          <w:tcPr>
            <w:tcW w:w="466" w:type="dxa"/>
            <w:vMerge/>
            <w:tcBorders>
              <w:top w:val="nil"/>
              <w:bottom w:val="single" w:sz="8" w:space="0" w:color="000000"/>
              <w:right w:val="nil"/>
            </w:tcBorders>
          </w:tcPr>
          <w:p>
            <w:pPr>
              <w:rPr>
                <w:sz w:val="2"/>
                <w:szCs w:val="2"/>
              </w:rPr>
            </w:pPr>
          </w:p>
        </w:tc>
      </w:tr>
      <w:tr>
        <w:trPr>
          <w:trHeight w:val="484" w:hRule="atLeast"/>
        </w:trPr>
        <w:tc>
          <w:tcPr>
            <w:tcW w:w="622" w:type="dxa"/>
            <w:tcBorders>
              <w:top w:val="nil"/>
              <w:left w:val="nil"/>
              <w:bottom w:val="nil"/>
            </w:tcBorders>
          </w:tcPr>
          <w:p>
            <w:pPr>
              <w:pStyle w:val="TableParagraph"/>
              <w:spacing w:before="22"/>
              <w:ind w:left="119"/>
              <w:rPr>
                <w:sz w:val="18"/>
              </w:rPr>
            </w:pPr>
            <w:r>
              <w:rPr>
                <w:spacing w:val="-10"/>
                <w:sz w:val="18"/>
              </w:rPr>
              <w:t>7</w:t>
            </w:r>
          </w:p>
        </w:tc>
        <w:tc>
          <w:tcPr>
            <w:tcW w:w="2175" w:type="dxa"/>
            <w:tcBorders>
              <w:top w:val="nil"/>
              <w:bottom w:val="nil"/>
            </w:tcBorders>
          </w:tcPr>
          <w:p>
            <w:pPr>
              <w:pStyle w:val="TableParagraph"/>
              <w:tabs>
                <w:tab w:pos="1720" w:val="left" w:leader="none"/>
              </w:tabs>
              <w:spacing w:line="254" w:lineRule="auto" w:before="22"/>
              <w:ind w:left="118" w:right="87"/>
              <w:rPr>
                <w:sz w:val="18"/>
              </w:rPr>
            </w:pPr>
            <w:r>
              <w:rPr>
                <w:spacing w:val="-2"/>
                <w:sz w:val="18"/>
              </w:rPr>
              <w:t>tm_hv_y1_b20</w:t>
            </w:r>
            <w:r>
              <w:rPr>
                <w:sz w:val="18"/>
              </w:rPr>
              <w:tab/>
            </w:r>
            <w:r>
              <w:rPr>
                <w:spacing w:val="-2"/>
                <w:sz w:val="18"/>
              </w:rPr>
              <w:t>(pre-</w:t>
            </w:r>
            <w:r>
              <w:rPr>
                <w:sz w:val="18"/>
              </w:rPr>
              <w:t>harvest temp)</w:t>
            </w:r>
          </w:p>
        </w:tc>
        <w:tc>
          <w:tcPr>
            <w:tcW w:w="984" w:type="dxa"/>
            <w:tcBorders>
              <w:top w:val="nil"/>
              <w:bottom w:val="nil"/>
            </w:tcBorders>
          </w:tcPr>
          <w:p>
            <w:pPr>
              <w:pStyle w:val="TableParagraph"/>
              <w:spacing w:before="22"/>
              <w:ind w:left="117"/>
              <w:rPr>
                <w:sz w:val="18"/>
              </w:rPr>
            </w:pPr>
            <w:r>
              <w:rPr>
                <w:spacing w:val="-2"/>
                <w:sz w:val="18"/>
              </w:rPr>
              <w:t>0.248</w:t>
            </w:r>
          </w:p>
        </w:tc>
        <w:tc>
          <w:tcPr>
            <w:tcW w:w="1097" w:type="dxa"/>
            <w:vMerge/>
            <w:tcBorders>
              <w:top w:val="nil"/>
              <w:bottom w:val="single" w:sz="8" w:space="0" w:color="000000"/>
            </w:tcBorders>
          </w:tcPr>
          <w:p>
            <w:pPr>
              <w:rPr>
                <w:sz w:val="2"/>
                <w:szCs w:val="2"/>
              </w:rPr>
            </w:pPr>
          </w:p>
        </w:tc>
        <w:tc>
          <w:tcPr>
            <w:tcW w:w="2174" w:type="dxa"/>
            <w:tcBorders>
              <w:top w:val="nil"/>
              <w:bottom w:val="nil"/>
            </w:tcBorders>
          </w:tcPr>
          <w:p>
            <w:pPr>
              <w:pStyle w:val="TableParagraph"/>
              <w:spacing w:line="254" w:lineRule="auto" w:before="22"/>
              <w:ind w:left="118"/>
              <w:rPr>
                <w:sz w:val="18"/>
              </w:rPr>
            </w:pPr>
            <w:r>
              <w:rPr>
                <w:sz w:val="18"/>
              </w:rPr>
              <w:t>rf_fl_y1_a10 (post-fl </w:t>
            </w:r>
            <w:r>
              <w:rPr>
                <w:sz w:val="18"/>
              </w:rPr>
              <w:t>rain-</w:t>
            </w:r>
            <w:r>
              <w:rPr>
                <w:spacing w:val="-2"/>
                <w:sz w:val="18"/>
              </w:rPr>
              <w:t>fall)</w:t>
            </w:r>
          </w:p>
        </w:tc>
        <w:tc>
          <w:tcPr>
            <w:tcW w:w="983" w:type="dxa"/>
            <w:tcBorders>
              <w:top w:val="nil"/>
              <w:bottom w:val="nil"/>
            </w:tcBorders>
          </w:tcPr>
          <w:p>
            <w:pPr>
              <w:pStyle w:val="TableParagraph"/>
              <w:spacing w:before="22"/>
              <w:ind w:left="118"/>
              <w:rPr>
                <w:sz w:val="18"/>
              </w:rPr>
            </w:pPr>
            <w:r>
              <w:rPr>
                <w:spacing w:val="-2"/>
                <w:sz w:val="18"/>
              </w:rPr>
              <w:t>0.288</w:t>
            </w:r>
          </w:p>
        </w:tc>
        <w:tc>
          <w:tcPr>
            <w:tcW w:w="466" w:type="dxa"/>
            <w:vMerge/>
            <w:tcBorders>
              <w:top w:val="nil"/>
              <w:bottom w:val="single" w:sz="8" w:space="0" w:color="000000"/>
              <w:right w:val="nil"/>
            </w:tcBorders>
          </w:tcPr>
          <w:p>
            <w:pPr>
              <w:rPr>
                <w:sz w:val="2"/>
                <w:szCs w:val="2"/>
              </w:rPr>
            </w:pPr>
          </w:p>
        </w:tc>
      </w:tr>
      <w:tr>
        <w:trPr>
          <w:trHeight w:val="484" w:hRule="atLeast"/>
        </w:trPr>
        <w:tc>
          <w:tcPr>
            <w:tcW w:w="622" w:type="dxa"/>
            <w:tcBorders>
              <w:top w:val="nil"/>
              <w:left w:val="nil"/>
              <w:bottom w:val="nil"/>
            </w:tcBorders>
          </w:tcPr>
          <w:p>
            <w:pPr>
              <w:pStyle w:val="TableParagraph"/>
              <w:spacing w:before="22"/>
              <w:ind w:left="119"/>
              <w:rPr>
                <w:sz w:val="18"/>
              </w:rPr>
            </w:pPr>
            <w:r>
              <w:rPr>
                <w:spacing w:val="-10"/>
                <w:sz w:val="18"/>
              </w:rPr>
              <w:t>8</w:t>
            </w:r>
          </w:p>
        </w:tc>
        <w:tc>
          <w:tcPr>
            <w:tcW w:w="2175" w:type="dxa"/>
            <w:tcBorders>
              <w:top w:val="nil"/>
              <w:bottom w:val="nil"/>
            </w:tcBorders>
          </w:tcPr>
          <w:p>
            <w:pPr>
              <w:pStyle w:val="TableParagraph"/>
              <w:spacing w:line="254" w:lineRule="auto" w:before="22"/>
              <w:ind w:left="112" w:firstLine="5"/>
              <w:rPr>
                <w:sz w:val="18"/>
              </w:rPr>
            </w:pPr>
            <w:r>
              <w:rPr>
                <w:spacing w:val="-2"/>
                <w:sz w:val="18"/>
              </w:rPr>
              <w:t>tm.days.less.15_fl_y1_b15 </w:t>
            </w:r>
            <w:r>
              <w:rPr>
                <w:sz w:val="18"/>
              </w:rPr>
              <w:t>(cold days at fl)</w:t>
            </w:r>
          </w:p>
        </w:tc>
        <w:tc>
          <w:tcPr>
            <w:tcW w:w="984" w:type="dxa"/>
            <w:tcBorders>
              <w:top w:val="nil"/>
              <w:bottom w:val="nil"/>
            </w:tcBorders>
          </w:tcPr>
          <w:p>
            <w:pPr>
              <w:pStyle w:val="TableParagraph"/>
              <w:spacing w:before="22"/>
              <w:ind w:left="117"/>
              <w:rPr>
                <w:sz w:val="18"/>
              </w:rPr>
            </w:pPr>
            <w:r>
              <w:rPr>
                <w:spacing w:val="-2"/>
                <w:sz w:val="18"/>
              </w:rPr>
              <w:t>0.245</w:t>
            </w:r>
          </w:p>
        </w:tc>
        <w:tc>
          <w:tcPr>
            <w:tcW w:w="1097" w:type="dxa"/>
            <w:vMerge/>
            <w:tcBorders>
              <w:top w:val="nil"/>
              <w:bottom w:val="single" w:sz="8" w:space="0" w:color="000000"/>
            </w:tcBorders>
          </w:tcPr>
          <w:p>
            <w:pPr>
              <w:rPr>
                <w:sz w:val="2"/>
                <w:szCs w:val="2"/>
              </w:rPr>
            </w:pPr>
          </w:p>
        </w:tc>
        <w:tc>
          <w:tcPr>
            <w:tcW w:w="2174" w:type="dxa"/>
            <w:tcBorders>
              <w:top w:val="nil"/>
              <w:bottom w:val="nil"/>
            </w:tcBorders>
          </w:tcPr>
          <w:p>
            <w:pPr>
              <w:pStyle w:val="TableParagraph"/>
              <w:spacing w:line="254" w:lineRule="auto" w:before="22"/>
              <w:ind w:left="118"/>
              <w:rPr>
                <w:sz w:val="18"/>
              </w:rPr>
            </w:pPr>
            <w:r>
              <w:rPr>
                <w:spacing w:val="-2"/>
                <w:sz w:val="18"/>
              </w:rPr>
              <w:t>days.rf.above.1mm_fl_y1_ </w:t>
            </w:r>
            <w:r>
              <w:rPr>
                <w:sz w:val="18"/>
              </w:rPr>
              <w:t>c15 (wet days at fl)</w:t>
            </w:r>
          </w:p>
        </w:tc>
        <w:tc>
          <w:tcPr>
            <w:tcW w:w="983" w:type="dxa"/>
            <w:tcBorders>
              <w:top w:val="nil"/>
              <w:bottom w:val="nil"/>
            </w:tcBorders>
          </w:tcPr>
          <w:p>
            <w:pPr>
              <w:pStyle w:val="TableParagraph"/>
              <w:spacing w:before="22"/>
              <w:ind w:left="118"/>
              <w:rPr>
                <w:sz w:val="18"/>
              </w:rPr>
            </w:pPr>
            <w:r>
              <w:rPr>
                <w:spacing w:val="-2"/>
                <w:sz w:val="18"/>
              </w:rPr>
              <w:t>0.264</w:t>
            </w:r>
          </w:p>
        </w:tc>
        <w:tc>
          <w:tcPr>
            <w:tcW w:w="466" w:type="dxa"/>
            <w:vMerge/>
            <w:tcBorders>
              <w:top w:val="nil"/>
              <w:bottom w:val="single" w:sz="8" w:space="0" w:color="000000"/>
              <w:right w:val="nil"/>
            </w:tcBorders>
          </w:tcPr>
          <w:p>
            <w:pPr>
              <w:rPr>
                <w:sz w:val="2"/>
                <w:szCs w:val="2"/>
              </w:rPr>
            </w:pPr>
          </w:p>
        </w:tc>
      </w:tr>
      <w:tr>
        <w:trPr>
          <w:trHeight w:val="484" w:hRule="atLeast"/>
        </w:trPr>
        <w:tc>
          <w:tcPr>
            <w:tcW w:w="622" w:type="dxa"/>
            <w:tcBorders>
              <w:top w:val="nil"/>
              <w:left w:val="nil"/>
              <w:bottom w:val="nil"/>
            </w:tcBorders>
          </w:tcPr>
          <w:p>
            <w:pPr>
              <w:pStyle w:val="TableParagraph"/>
              <w:spacing w:before="22"/>
              <w:ind w:left="119"/>
              <w:rPr>
                <w:sz w:val="18"/>
              </w:rPr>
            </w:pPr>
            <w:r>
              <w:rPr>
                <w:spacing w:val="-10"/>
                <w:sz w:val="18"/>
              </w:rPr>
              <w:t>9</w:t>
            </w:r>
          </w:p>
        </w:tc>
        <w:tc>
          <w:tcPr>
            <w:tcW w:w="2175" w:type="dxa"/>
            <w:tcBorders>
              <w:top w:val="nil"/>
              <w:bottom w:val="nil"/>
            </w:tcBorders>
          </w:tcPr>
          <w:p>
            <w:pPr>
              <w:pStyle w:val="TableParagraph"/>
              <w:spacing w:line="254" w:lineRule="auto" w:before="22"/>
              <w:ind w:left="118"/>
              <w:rPr>
                <w:sz w:val="18"/>
              </w:rPr>
            </w:pPr>
            <w:r>
              <w:rPr>
                <w:sz w:val="18"/>
              </w:rPr>
              <w:t>iaf_fl_y0_b10</w:t>
            </w:r>
            <w:r>
              <w:rPr>
                <w:spacing w:val="40"/>
                <w:sz w:val="18"/>
              </w:rPr>
              <w:t> </w:t>
            </w:r>
            <w:r>
              <w:rPr>
                <w:sz w:val="18"/>
              </w:rPr>
              <w:t>(prev-yr</w:t>
            </w:r>
            <w:r>
              <w:rPr>
                <w:spacing w:val="40"/>
                <w:sz w:val="18"/>
              </w:rPr>
              <w:t> </w:t>
            </w:r>
            <w:r>
              <w:rPr>
                <w:sz w:val="18"/>
              </w:rPr>
              <w:t>fl </w:t>
            </w:r>
            <w:r>
              <w:rPr>
                <w:spacing w:val="-4"/>
                <w:sz w:val="18"/>
              </w:rPr>
              <w:t>LAI)</w:t>
            </w:r>
          </w:p>
        </w:tc>
        <w:tc>
          <w:tcPr>
            <w:tcW w:w="984" w:type="dxa"/>
            <w:tcBorders>
              <w:top w:val="nil"/>
              <w:bottom w:val="nil"/>
            </w:tcBorders>
          </w:tcPr>
          <w:p>
            <w:pPr>
              <w:pStyle w:val="TableParagraph"/>
              <w:spacing w:before="22"/>
              <w:ind w:left="117"/>
              <w:rPr>
                <w:sz w:val="18"/>
              </w:rPr>
            </w:pPr>
            <w:r>
              <w:rPr>
                <w:spacing w:val="-2"/>
                <w:sz w:val="18"/>
              </w:rPr>
              <w:t>0.227</w:t>
            </w:r>
          </w:p>
        </w:tc>
        <w:tc>
          <w:tcPr>
            <w:tcW w:w="1097" w:type="dxa"/>
            <w:vMerge/>
            <w:tcBorders>
              <w:top w:val="nil"/>
              <w:bottom w:val="single" w:sz="8" w:space="0" w:color="000000"/>
            </w:tcBorders>
          </w:tcPr>
          <w:p>
            <w:pPr>
              <w:rPr>
                <w:sz w:val="2"/>
                <w:szCs w:val="2"/>
              </w:rPr>
            </w:pPr>
          </w:p>
        </w:tc>
        <w:tc>
          <w:tcPr>
            <w:tcW w:w="2174" w:type="dxa"/>
            <w:tcBorders>
              <w:top w:val="nil"/>
              <w:bottom w:val="nil"/>
            </w:tcBorders>
          </w:tcPr>
          <w:p>
            <w:pPr>
              <w:pStyle w:val="TableParagraph"/>
              <w:tabs>
                <w:tab w:pos="1459" w:val="left" w:leader="none"/>
              </w:tabs>
              <w:spacing w:line="254" w:lineRule="auto" w:before="22"/>
              <w:ind w:left="118" w:right="116"/>
              <w:rPr>
                <w:sz w:val="18"/>
              </w:rPr>
            </w:pPr>
            <w:r>
              <w:rPr>
                <w:spacing w:val="-2"/>
                <w:sz w:val="18"/>
              </w:rPr>
              <w:t>tm_hv_y1_c10</w:t>
            </w:r>
            <w:r>
              <w:rPr>
                <w:sz w:val="18"/>
              </w:rPr>
              <w:tab/>
            </w:r>
            <w:r>
              <w:rPr>
                <w:spacing w:val="-2"/>
                <w:sz w:val="18"/>
              </w:rPr>
              <w:t>(harvest temp)</w:t>
            </w:r>
          </w:p>
        </w:tc>
        <w:tc>
          <w:tcPr>
            <w:tcW w:w="983" w:type="dxa"/>
            <w:tcBorders>
              <w:top w:val="nil"/>
              <w:bottom w:val="nil"/>
            </w:tcBorders>
          </w:tcPr>
          <w:p>
            <w:pPr>
              <w:pStyle w:val="TableParagraph"/>
              <w:spacing w:before="22"/>
              <w:ind w:left="118"/>
              <w:rPr>
                <w:sz w:val="18"/>
              </w:rPr>
            </w:pPr>
            <w:r>
              <w:rPr>
                <w:spacing w:val="-2"/>
                <w:sz w:val="18"/>
              </w:rPr>
              <w:t>0.253</w:t>
            </w:r>
          </w:p>
        </w:tc>
        <w:tc>
          <w:tcPr>
            <w:tcW w:w="466" w:type="dxa"/>
            <w:vMerge/>
            <w:tcBorders>
              <w:top w:val="nil"/>
              <w:bottom w:val="single" w:sz="8" w:space="0" w:color="000000"/>
              <w:right w:val="nil"/>
            </w:tcBorders>
          </w:tcPr>
          <w:p>
            <w:pPr>
              <w:rPr>
                <w:sz w:val="2"/>
                <w:szCs w:val="2"/>
              </w:rPr>
            </w:pPr>
          </w:p>
        </w:tc>
      </w:tr>
      <w:tr>
        <w:trPr>
          <w:trHeight w:val="531" w:hRule="atLeast"/>
        </w:trPr>
        <w:tc>
          <w:tcPr>
            <w:tcW w:w="622" w:type="dxa"/>
            <w:tcBorders>
              <w:top w:val="nil"/>
              <w:left w:val="nil"/>
              <w:bottom w:val="single" w:sz="8" w:space="0" w:color="000000"/>
            </w:tcBorders>
          </w:tcPr>
          <w:p>
            <w:pPr>
              <w:pStyle w:val="TableParagraph"/>
              <w:spacing w:before="22"/>
              <w:ind w:left="119"/>
              <w:rPr>
                <w:sz w:val="18"/>
              </w:rPr>
            </w:pPr>
            <w:r>
              <w:rPr>
                <w:spacing w:val="-5"/>
                <w:sz w:val="18"/>
              </w:rPr>
              <w:t>10</w:t>
            </w:r>
          </w:p>
        </w:tc>
        <w:tc>
          <w:tcPr>
            <w:tcW w:w="2175" w:type="dxa"/>
            <w:tcBorders>
              <w:top w:val="nil"/>
              <w:bottom w:val="single" w:sz="8" w:space="0" w:color="000000"/>
            </w:tcBorders>
          </w:tcPr>
          <w:p>
            <w:pPr>
              <w:pStyle w:val="TableParagraph"/>
              <w:spacing w:line="254" w:lineRule="auto" w:before="22"/>
              <w:ind w:left="118"/>
              <w:rPr>
                <w:sz w:val="18"/>
              </w:rPr>
            </w:pPr>
            <w:r>
              <w:rPr>
                <w:sz w:val="18"/>
              </w:rPr>
              <w:t>swa_hv_y1_b20</w:t>
            </w:r>
            <w:r>
              <w:rPr>
                <w:spacing w:val="80"/>
                <w:sz w:val="18"/>
              </w:rPr>
              <w:t> </w:t>
            </w:r>
            <w:r>
              <w:rPr>
                <w:sz w:val="18"/>
              </w:rPr>
              <w:t>(harvest soil water)</w:t>
            </w:r>
          </w:p>
        </w:tc>
        <w:tc>
          <w:tcPr>
            <w:tcW w:w="984" w:type="dxa"/>
            <w:tcBorders>
              <w:top w:val="nil"/>
              <w:bottom w:val="single" w:sz="8" w:space="0" w:color="000000"/>
            </w:tcBorders>
          </w:tcPr>
          <w:p>
            <w:pPr>
              <w:pStyle w:val="TableParagraph"/>
              <w:spacing w:before="22"/>
              <w:ind w:left="117"/>
              <w:rPr>
                <w:sz w:val="18"/>
              </w:rPr>
            </w:pPr>
            <w:r>
              <w:rPr>
                <w:spacing w:val="-2"/>
                <w:sz w:val="18"/>
              </w:rPr>
              <w:t>0.223</w:t>
            </w:r>
          </w:p>
        </w:tc>
        <w:tc>
          <w:tcPr>
            <w:tcW w:w="1097" w:type="dxa"/>
            <w:vMerge/>
            <w:tcBorders>
              <w:top w:val="nil"/>
              <w:bottom w:val="single" w:sz="8" w:space="0" w:color="000000"/>
            </w:tcBorders>
          </w:tcPr>
          <w:p>
            <w:pPr>
              <w:rPr>
                <w:sz w:val="2"/>
                <w:szCs w:val="2"/>
              </w:rPr>
            </w:pPr>
          </w:p>
        </w:tc>
        <w:tc>
          <w:tcPr>
            <w:tcW w:w="2174" w:type="dxa"/>
            <w:tcBorders>
              <w:top w:val="nil"/>
              <w:bottom w:val="single" w:sz="8" w:space="0" w:color="000000"/>
            </w:tcBorders>
          </w:tcPr>
          <w:p>
            <w:pPr>
              <w:pStyle w:val="TableParagraph"/>
              <w:spacing w:line="254" w:lineRule="auto" w:before="22"/>
              <w:ind w:left="118"/>
              <w:rPr>
                <w:sz w:val="18"/>
              </w:rPr>
            </w:pPr>
            <w:r>
              <w:rPr>
                <w:sz w:val="18"/>
              </w:rPr>
              <w:t>swa_hv_y1_b20</w:t>
            </w:r>
            <w:r>
              <w:rPr>
                <w:spacing w:val="80"/>
                <w:sz w:val="18"/>
              </w:rPr>
              <w:t> </w:t>
            </w:r>
            <w:r>
              <w:rPr>
                <w:sz w:val="18"/>
              </w:rPr>
              <w:t>(harvest soil water)</w:t>
            </w:r>
          </w:p>
        </w:tc>
        <w:tc>
          <w:tcPr>
            <w:tcW w:w="983" w:type="dxa"/>
            <w:tcBorders>
              <w:top w:val="nil"/>
              <w:bottom w:val="single" w:sz="8" w:space="0" w:color="000000"/>
            </w:tcBorders>
          </w:tcPr>
          <w:p>
            <w:pPr>
              <w:pStyle w:val="TableParagraph"/>
              <w:spacing w:before="22"/>
              <w:ind w:left="118"/>
              <w:rPr>
                <w:sz w:val="18"/>
              </w:rPr>
            </w:pPr>
            <w:r>
              <w:rPr>
                <w:spacing w:val="-2"/>
                <w:sz w:val="18"/>
              </w:rPr>
              <w:t>0.245</w:t>
            </w:r>
          </w:p>
        </w:tc>
        <w:tc>
          <w:tcPr>
            <w:tcW w:w="466" w:type="dxa"/>
            <w:vMerge/>
            <w:tcBorders>
              <w:top w:val="nil"/>
              <w:bottom w:val="single" w:sz="8" w:space="0" w:color="000000"/>
              <w:right w:val="nil"/>
            </w:tcBorders>
          </w:tcPr>
          <w:p>
            <w:pPr>
              <w:rPr>
                <w:sz w:val="2"/>
                <w:szCs w:val="2"/>
              </w:rPr>
            </w:pPr>
          </w:p>
        </w:tc>
      </w:tr>
    </w:tbl>
    <w:p>
      <w:pPr>
        <w:pStyle w:val="BodyText"/>
        <w:rPr>
          <w:sz w:val="18"/>
        </w:rPr>
      </w:pPr>
    </w:p>
    <w:p>
      <w:pPr>
        <w:pStyle w:val="BodyText"/>
        <w:spacing w:before="159"/>
        <w:rPr>
          <w:sz w:val="18"/>
        </w:rPr>
      </w:pPr>
    </w:p>
    <w:p>
      <w:pPr>
        <w:pStyle w:val="BodyText"/>
        <w:spacing w:line="312" w:lineRule="auto"/>
        <w:ind w:left="709" w:right="954"/>
        <w:jc w:val="both"/>
      </w:pPr>
      <w:r>
        <w:rPr>
          <w:spacing w:val="-2"/>
        </w:rPr>
        <w:t>they</w:t>
      </w:r>
      <w:r>
        <w:rPr>
          <w:spacing w:val="-5"/>
        </w:rPr>
        <w:t> </w:t>
      </w:r>
      <w:r>
        <w:rPr>
          <w:spacing w:val="-2"/>
        </w:rPr>
        <w:t>co-vary</w:t>
      </w:r>
      <w:r>
        <w:rPr>
          <w:spacing w:val="-5"/>
        </w:rPr>
        <w:t> </w:t>
      </w:r>
      <w:r>
        <w:rPr>
          <w:spacing w:val="-2"/>
        </w:rPr>
        <w:t>with</w:t>
      </w:r>
      <w:r>
        <w:rPr>
          <w:spacing w:val="-5"/>
        </w:rPr>
        <w:t> </w:t>
      </w:r>
      <w:r>
        <w:rPr>
          <w:spacing w:val="-2"/>
        </w:rPr>
        <w:t>the</w:t>
      </w:r>
      <w:r>
        <w:rPr>
          <w:spacing w:val="-5"/>
        </w:rPr>
        <w:t> </w:t>
      </w:r>
      <w:r>
        <w:rPr>
          <w:spacing w:val="-2"/>
        </w:rPr>
        <w:t>production</w:t>
      </w:r>
      <w:r>
        <w:rPr>
          <w:spacing w:val="-5"/>
        </w:rPr>
        <w:t> </w:t>
      </w:r>
      <w:r>
        <w:rPr>
          <w:spacing w:val="-2"/>
        </w:rPr>
        <w:t>trend</w:t>
      </w:r>
      <w:r>
        <w:rPr>
          <w:spacing w:val="-5"/>
        </w:rPr>
        <w:t> </w:t>
      </w:r>
      <w:r>
        <w:rPr>
          <w:spacing w:val="-2"/>
        </w:rPr>
        <w:t>for</w:t>
      </w:r>
      <w:r>
        <w:rPr>
          <w:spacing w:val="-5"/>
        </w:rPr>
        <w:t> </w:t>
      </w:r>
      <w:r>
        <w:rPr>
          <w:spacing w:val="-2"/>
        </w:rPr>
        <w:t>structural</w:t>
      </w:r>
      <w:r>
        <w:rPr>
          <w:spacing w:val="-5"/>
        </w:rPr>
        <w:t> </w:t>
      </w:r>
      <w:r>
        <w:rPr>
          <w:spacing w:val="-2"/>
        </w:rPr>
        <w:t>reasons</w:t>
      </w:r>
      <w:r>
        <w:rPr>
          <w:spacing w:val="-5"/>
        </w:rPr>
        <w:t> </w:t>
      </w:r>
      <w:r>
        <w:rPr>
          <w:spacing w:val="-2"/>
        </w:rPr>
        <w:t>rather</w:t>
      </w:r>
      <w:r>
        <w:rPr>
          <w:spacing w:val="-5"/>
        </w:rPr>
        <w:t> </w:t>
      </w:r>
      <w:r>
        <w:rPr>
          <w:spacing w:val="-2"/>
        </w:rPr>
        <w:t>than</w:t>
      </w:r>
      <w:r>
        <w:rPr>
          <w:spacing w:val="-5"/>
        </w:rPr>
        <w:t> </w:t>
      </w:r>
      <w:r>
        <w:rPr>
          <w:spacing w:val="-2"/>
        </w:rPr>
        <w:t>because</w:t>
      </w:r>
      <w:r>
        <w:rPr>
          <w:spacing w:val="-5"/>
        </w:rPr>
        <w:t> </w:t>
      </w:r>
      <w:r>
        <w:rPr>
          <w:spacing w:val="-2"/>
        </w:rPr>
        <w:t>they</w:t>
      </w:r>
      <w:r>
        <w:rPr>
          <w:spacing w:val="-5"/>
        </w:rPr>
        <w:t> </w:t>
      </w:r>
      <w:r>
        <w:rPr>
          <w:spacing w:val="-2"/>
        </w:rPr>
        <w:t>drive</w:t>
      </w:r>
      <w:r>
        <w:rPr>
          <w:spacing w:val="-5"/>
        </w:rPr>
        <w:t> </w:t>
      </w:r>
      <w:r>
        <w:rPr>
          <w:spacing w:val="-2"/>
        </w:rPr>
        <w:t>produc-</w:t>
      </w:r>
      <w:r>
        <w:rPr/>
        <w:t>tion</w:t>
      </w:r>
      <w:r>
        <w:rPr>
          <w:spacing w:val="-14"/>
        </w:rPr>
        <w:t> </w:t>
      </w:r>
      <w:r>
        <w:rPr/>
        <w:t>through</w:t>
      </w:r>
      <w:r>
        <w:rPr>
          <w:spacing w:val="-14"/>
        </w:rPr>
        <w:t> </w:t>
      </w:r>
      <w:r>
        <w:rPr/>
        <w:t>a</w:t>
      </w:r>
      <w:r>
        <w:rPr>
          <w:spacing w:val="-14"/>
        </w:rPr>
        <w:t> </w:t>
      </w:r>
      <w:r>
        <w:rPr/>
        <w:t>climate</w:t>
      </w:r>
      <w:r>
        <w:rPr>
          <w:spacing w:val="-13"/>
        </w:rPr>
        <w:t> </w:t>
      </w:r>
      <w:r>
        <w:rPr/>
        <w:t>mechanism.</w:t>
      </w:r>
      <w:r>
        <w:rPr>
          <w:spacing w:val="-14"/>
        </w:rPr>
        <w:t> </w:t>
      </w:r>
      <w:r>
        <w:rPr/>
        <w:t>Table</w:t>
      </w:r>
      <w:r>
        <w:rPr>
          <w:spacing w:val="-14"/>
        </w:rPr>
        <w:t> </w:t>
      </w:r>
      <w:hyperlink w:history="true" w:anchor="_bookmark175">
        <w:r>
          <w:rPr>
            <w:color w:val="8B2C18"/>
          </w:rPr>
          <w:t>B.6</w:t>
        </w:r>
      </w:hyperlink>
      <w:r>
        <w:rPr>
          <w:color w:val="8B2C18"/>
          <w:spacing w:val="-14"/>
        </w:rPr>
        <w:t> </w:t>
      </w:r>
      <w:r>
        <w:rPr/>
        <w:t>shows</w:t>
      </w:r>
      <w:r>
        <w:rPr>
          <w:spacing w:val="-13"/>
        </w:rPr>
        <w:t> </w:t>
      </w:r>
      <w:r>
        <w:rPr/>
        <w:t>the</w:t>
      </w:r>
      <w:r>
        <w:rPr>
          <w:spacing w:val="-14"/>
        </w:rPr>
        <w:t> </w:t>
      </w:r>
      <w:r>
        <w:rPr/>
        <w:t>features</w:t>
      </w:r>
      <w:r>
        <w:rPr>
          <w:spacing w:val="-14"/>
        </w:rPr>
        <w:t> </w:t>
      </w:r>
      <w:r>
        <w:rPr/>
        <w:t>most</w:t>
      </w:r>
      <w:r>
        <w:rPr>
          <w:spacing w:val="-14"/>
        </w:rPr>
        <w:t> </w:t>
      </w:r>
      <w:r>
        <w:rPr/>
        <w:t>strongly</w:t>
      </w:r>
      <w:r>
        <w:rPr>
          <w:spacing w:val="-13"/>
        </w:rPr>
        <w:t> </w:t>
      </w:r>
      <w:r>
        <w:rPr/>
        <w:t>correlated</w:t>
      </w:r>
      <w:r>
        <w:rPr>
          <w:spacing w:val="-14"/>
        </w:rPr>
        <w:t> </w:t>
      </w:r>
      <w:r>
        <w:rPr/>
        <w:t>with</w:t>
      </w:r>
      <w:r>
        <w:rPr>
          <w:spacing w:val="-14"/>
        </w:rPr>
        <w:t> </w:t>
      </w:r>
      <w:r>
        <w:rPr/>
        <w:t>year for both regions; features marked HIGH co-trend strongly with the production structural trend.</w:t>
      </w:r>
    </w:p>
    <w:p>
      <w:pPr>
        <w:pStyle w:val="BodyText"/>
        <w:spacing w:line="328" w:lineRule="exact" w:before="19"/>
        <w:ind w:left="702" w:right="952" w:firstLine="345"/>
        <w:jc w:val="both"/>
      </w:pPr>
      <w:r>
        <w:rPr/>
        <w:t>The harvest temperature variable (tm_hv_y1_c10) is the most era-confounded feature in the </w:t>
      </w:r>
      <w:r>
        <w:rPr>
          <w:spacing w:val="-2"/>
        </w:rPr>
        <w:t>dataset:</w:t>
      </w:r>
      <w:r>
        <w:rPr>
          <w:spacing w:val="4"/>
        </w:rPr>
        <w:t> </w:t>
      </w:r>
      <w:r>
        <w:rPr>
          <w:spacing w:val="-2"/>
        </w:rPr>
        <w:t>it</w:t>
      </w:r>
      <w:r>
        <w:rPr>
          <w:spacing w:val="-11"/>
        </w:rPr>
        <w:t> </w:t>
      </w:r>
      <w:r>
        <w:rPr>
          <w:spacing w:val="-2"/>
        </w:rPr>
        <w:t>correlates</w:t>
      </w:r>
      <w:r>
        <w:rPr>
          <w:spacing w:val="-11"/>
        </w:rPr>
        <w:t> </w:t>
      </w:r>
      <w:r>
        <w:rPr>
          <w:spacing w:val="-2"/>
        </w:rPr>
        <w:t>with</w:t>
      </w:r>
      <w:r>
        <w:rPr>
          <w:spacing w:val="-11"/>
        </w:rPr>
        <w:t> </w:t>
      </w:r>
      <w:r>
        <w:rPr>
          <w:spacing w:val="-2"/>
        </w:rPr>
        <w:t>production</w:t>
      </w:r>
      <w:r>
        <w:rPr>
          <w:spacing w:val="-11"/>
        </w:rPr>
        <w:t> </w:t>
      </w:r>
      <w:r>
        <w:rPr>
          <w:spacing w:val="-2"/>
        </w:rPr>
        <w:t>at</w:t>
      </w:r>
      <w:r>
        <w:rPr>
          <w:spacing w:val="-11"/>
        </w:rPr>
        <w:t> </w:t>
      </w:r>
      <w:r>
        <w:rPr>
          <w:spacing w:val="-2"/>
        </w:rPr>
        <w:t>r</w:t>
      </w:r>
      <w:r>
        <w:rPr>
          <w:spacing w:val="-11"/>
        </w:rPr>
        <w:t> </w:t>
      </w:r>
      <w:r>
        <w:rPr>
          <w:spacing w:val="-2"/>
        </w:rPr>
        <w:t>=</w:t>
      </w:r>
      <w:r>
        <w:rPr>
          <w:spacing w:val="-11"/>
        </w:rPr>
        <w:t> </w:t>
      </w:r>
      <w:r>
        <w:rPr>
          <w:spacing w:val="-2"/>
        </w:rPr>
        <w:t>+0.386</w:t>
      </w:r>
      <w:r>
        <w:rPr>
          <w:spacing w:val="-11"/>
        </w:rPr>
        <w:t> </w:t>
      </w:r>
      <w:r>
        <w:rPr>
          <w:spacing w:val="-2"/>
        </w:rPr>
        <w:t>(RDD)</w:t>
      </w:r>
      <w:r>
        <w:rPr>
          <w:spacing w:val="-11"/>
        </w:rPr>
        <w:t> </w:t>
      </w:r>
      <w:r>
        <w:rPr>
          <w:spacing w:val="-2"/>
        </w:rPr>
        <w:t>but</w:t>
      </w:r>
      <w:r>
        <w:rPr>
          <w:spacing w:val="-11"/>
        </w:rPr>
        <w:t> </w:t>
      </w:r>
      <w:r>
        <w:rPr>
          <w:spacing w:val="-2"/>
        </w:rPr>
        <w:t>also</w:t>
      </w:r>
      <w:r>
        <w:rPr>
          <w:spacing w:val="-11"/>
        </w:rPr>
        <w:t> </w:t>
      </w:r>
      <w:r>
        <w:rPr>
          <w:spacing w:val="-2"/>
        </w:rPr>
        <w:t>correlates</w:t>
      </w:r>
      <w:r>
        <w:rPr>
          <w:spacing w:val="-11"/>
        </w:rPr>
        <w:t> </w:t>
      </w:r>
      <w:r>
        <w:rPr>
          <w:spacing w:val="-2"/>
        </w:rPr>
        <w:t>with</w:t>
      </w:r>
      <w:r>
        <w:rPr>
          <w:spacing w:val="-11"/>
        </w:rPr>
        <w:t> </w:t>
      </w:r>
      <w:r>
        <w:rPr>
          <w:spacing w:val="-2"/>
        </w:rPr>
        <w:t>year</w:t>
      </w:r>
      <w:r>
        <w:rPr>
          <w:spacing w:val="-11"/>
        </w:rPr>
        <w:t> </w:t>
      </w:r>
      <w:r>
        <w:rPr>
          <w:spacing w:val="-2"/>
        </w:rPr>
        <w:t>at</w:t>
      </w:r>
      <w:r>
        <w:rPr>
          <w:spacing w:val="-11"/>
        </w:rPr>
        <w:t> </w:t>
      </w:r>
      <w:r>
        <w:rPr>
          <w:spacing w:val="-2"/>
        </w:rPr>
        <w:t>r</w:t>
      </w:r>
      <w:r>
        <w:rPr>
          <w:spacing w:val="-11"/>
        </w:rPr>
        <w:t> </w:t>
      </w:r>
      <w:r>
        <w:rPr>
          <w:spacing w:val="-2"/>
        </w:rPr>
        <w:t>=</w:t>
      </w:r>
      <w:r>
        <w:rPr>
          <w:spacing w:val="-11"/>
        </w:rPr>
        <w:t> </w:t>
      </w:r>
      <w:r>
        <w:rPr>
          <w:spacing w:val="-2"/>
        </w:rPr>
        <w:t>+0.412. This</w:t>
      </w:r>
      <w:r>
        <w:rPr>
          <w:spacing w:val="-8"/>
        </w:rPr>
        <w:t> </w:t>
      </w:r>
      <w:r>
        <w:rPr>
          <w:spacing w:val="-2"/>
        </w:rPr>
        <w:t>near-equal</w:t>
      </w:r>
      <w:r>
        <w:rPr>
          <w:spacing w:val="-8"/>
        </w:rPr>
        <w:t> </w:t>
      </w:r>
      <w:r>
        <w:rPr>
          <w:spacing w:val="-2"/>
        </w:rPr>
        <w:t>correlation</w:t>
      </w:r>
      <w:r>
        <w:rPr>
          <w:spacing w:val="-8"/>
        </w:rPr>
        <w:t> </w:t>
      </w:r>
      <w:r>
        <w:rPr>
          <w:spacing w:val="-2"/>
        </w:rPr>
        <w:t>with</w:t>
      </w:r>
      <w:r>
        <w:rPr>
          <w:spacing w:val="-8"/>
        </w:rPr>
        <w:t> </w:t>
      </w:r>
      <w:r>
        <w:rPr>
          <w:spacing w:val="-2"/>
        </w:rPr>
        <w:t>both</w:t>
      </w:r>
      <w:r>
        <w:rPr>
          <w:spacing w:val="-8"/>
        </w:rPr>
        <w:t> </w:t>
      </w:r>
      <w:r>
        <w:rPr>
          <w:spacing w:val="-2"/>
        </w:rPr>
        <w:t>production</w:t>
      </w:r>
      <w:r>
        <w:rPr>
          <w:spacing w:val="-8"/>
        </w:rPr>
        <w:t> </w:t>
      </w:r>
      <w:r>
        <w:rPr>
          <w:spacing w:val="-2"/>
        </w:rPr>
        <w:t>and</w:t>
      </w:r>
      <w:r>
        <w:rPr>
          <w:spacing w:val="-8"/>
        </w:rPr>
        <w:t> </w:t>
      </w:r>
      <w:r>
        <w:rPr>
          <w:spacing w:val="-2"/>
        </w:rPr>
        <w:t>time</w:t>
      </w:r>
      <w:r>
        <w:rPr>
          <w:spacing w:val="-8"/>
        </w:rPr>
        <w:t> </w:t>
      </w:r>
      <w:r>
        <w:rPr>
          <w:spacing w:val="-2"/>
        </w:rPr>
        <w:t>is</w:t>
      </w:r>
      <w:r>
        <w:rPr>
          <w:spacing w:val="-8"/>
        </w:rPr>
        <w:t> </w:t>
      </w:r>
      <w:r>
        <w:rPr>
          <w:spacing w:val="-2"/>
        </w:rPr>
        <w:t>a</w:t>
      </w:r>
      <w:r>
        <w:rPr>
          <w:spacing w:val="-8"/>
        </w:rPr>
        <w:t> </w:t>
      </w:r>
      <w:r>
        <w:rPr>
          <w:spacing w:val="-2"/>
        </w:rPr>
        <w:t>warning</w:t>
      </w:r>
      <w:r>
        <w:rPr>
          <w:spacing w:val="-8"/>
        </w:rPr>
        <w:t> </w:t>
      </w:r>
      <w:r>
        <w:rPr>
          <w:spacing w:val="-2"/>
        </w:rPr>
        <w:t>sign:</w:t>
      </w:r>
      <w:r>
        <w:rPr/>
        <w:t> </w:t>
      </w:r>
      <w:r>
        <w:rPr>
          <w:spacing w:val="-2"/>
        </w:rPr>
        <w:t>the</w:t>
      </w:r>
      <w:r>
        <w:rPr>
          <w:spacing w:val="-8"/>
        </w:rPr>
        <w:t> </w:t>
      </w:r>
      <w:r>
        <w:rPr>
          <w:spacing w:val="-2"/>
        </w:rPr>
        <w:t>feature</w:t>
      </w:r>
      <w:r>
        <w:rPr>
          <w:spacing w:val="-8"/>
        </w:rPr>
        <w:t> </w:t>
      </w:r>
      <w:r>
        <w:rPr>
          <w:spacing w:val="-2"/>
        </w:rPr>
        <w:t>may</w:t>
      </w:r>
      <w:r>
        <w:rPr>
          <w:spacing w:val="-8"/>
        </w:rPr>
        <w:t> </w:t>
      </w:r>
      <w:r>
        <w:rPr>
          <w:spacing w:val="-2"/>
        </w:rPr>
        <w:t>appear </w:t>
      </w:r>
      <w:r>
        <w:rPr/>
        <w:t>predictive</w:t>
      </w:r>
      <w:r>
        <w:rPr>
          <w:spacing w:val="-10"/>
        </w:rPr>
        <w:t> </w:t>
      </w:r>
      <w:r>
        <w:rPr/>
        <w:t>of</w:t>
      </w:r>
      <w:r>
        <w:rPr>
          <w:spacing w:val="-10"/>
        </w:rPr>
        <w:t> </w:t>
      </w:r>
      <w:r>
        <w:rPr/>
        <w:t>production</w:t>
      </w:r>
      <w:r>
        <w:rPr>
          <w:spacing w:val="-10"/>
        </w:rPr>
        <w:t> </w:t>
      </w:r>
      <w:r>
        <w:rPr/>
        <w:t>largely</w:t>
      </w:r>
      <w:r>
        <w:rPr>
          <w:spacing w:val="-10"/>
        </w:rPr>
        <w:t> </w:t>
      </w:r>
      <w:r>
        <w:rPr/>
        <w:t>because</w:t>
      </w:r>
      <w:r>
        <w:rPr>
          <w:spacing w:val="-10"/>
        </w:rPr>
        <w:t> </w:t>
      </w:r>
      <w:r>
        <w:rPr/>
        <w:t>both</w:t>
      </w:r>
      <w:r>
        <w:rPr>
          <w:spacing w:val="-10"/>
        </w:rPr>
        <w:t> </w:t>
      </w:r>
      <w:r>
        <w:rPr/>
        <w:t>are</w:t>
      </w:r>
      <w:r>
        <w:rPr>
          <w:spacing w:val="-10"/>
        </w:rPr>
        <w:t> </w:t>
      </w:r>
      <w:r>
        <w:rPr/>
        <w:t>trending</w:t>
      </w:r>
      <w:r>
        <w:rPr>
          <w:spacing w:val="-10"/>
        </w:rPr>
        <w:t> </w:t>
      </w:r>
      <w:r>
        <w:rPr/>
        <w:t>upward</w:t>
      </w:r>
      <w:r>
        <w:rPr>
          <w:spacing w:val="-10"/>
        </w:rPr>
        <w:t> </w:t>
      </w:r>
      <w:r>
        <w:rPr/>
        <w:t>over</w:t>
      </w:r>
      <w:r>
        <w:rPr>
          <w:spacing w:val="-10"/>
        </w:rPr>
        <w:t> </w:t>
      </w:r>
      <w:r>
        <w:rPr/>
        <w:t>the</w:t>
      </w:r>
      <w:r>
        <w:rPr>
          <w:spacing w:val="-10"/>
        </w:rPr>
        <w:t> </w:t>
      </w:r>
      <w:r>
        <w:rPr/>
        <w:t>study</w:t>
      </w:r>
      <w:r>
        <w:rPr>
          <w:spacing w:val="-10"/>
        </w:rPr>
        <w:t> </w:t>
      </w:r>
      <w:r>
        <w:rPr/>
        <w:t>period</w:t>
      </w:r>
      <w:r>
        <w:rPr>
          <w:spacing w:val="-10"/>
        </w:rPr>
        <w:t> </w:t>
      </w:r>
      <w:r>
        <w:rPr/>
        <w:t>(warming climate</w:t>
      </w:r>
      <w:r>
        <w:rPr>
          <w:spacing w:val="-8"/>
        </w:rPr>
        <w:t> </w:t>
      </w:r>
      <w:r>
        <w:rPr/>
        <w:t>+</w:t>
      </w:r>
      <w:r>
        <w:rPr>
          <w:spacing w:val="-8"/>
        </w:rPr>
        <w:t> </w:t>
      </w:r>
      <w:r>
        <w:rPr/>
        <w:t>increasing</w:t>
      </w:r>
      <w:r>
        <w:rPr>
          <w:spacing w:val="-8"/>
        </w:rPr>
        <w:t> </w:t>
      </w:r>
      <w:r>
        <w:rPr/>
        <w:t>Douro</w:t>
      </w:r>
      <w:r>
        <w:rPr>
          <w:spacing w:val="-8"/>
        </w:rPr>
        <w:t> </w:t>
      </w:r>
      <w:r>
        <w:rPr/>
        <w:t>production),</w:t>
      </w:r>
      <w:r>
        <w:rPr>
          <w:spacing w:val="-8"/>
        </w:rPr>
        <w:t> </w:t>
      </w:r>
      <w:r>
        <w:rPr/>
        <w:t>rather</w:t>
      </w:r>
      <w:r>
        <w:rPr>
          <w:spacing w:val="-8"/>
        </w:rPr>
        <w:t> </w:t>
      </w:r>
      <w:r>
        <w:rPr/>
        <w:t>than</w:t>
      </w:r>
      <w:r>
        <w:rPr>
          <w:spacing w:val="-8"/>
        </w:rPr>
        <w:t> </w:t>
      </w:r>
      <w:r>
        <w:rPr/>
        <w:t>because</w:t>
      </w:r>
      <w:r>
        <w:rPr>
          <w:spacing w:val="-8"/>
        </w:rPr>
        <w:t> </w:t>
      </w:r>
      <w:r>
        <w:rPr/>
        <w:t>harvest</w:t>
      </w:r>
      <w:r>
        <w:rPr>
          <w:spacing w:val="-8"/>
        </w:rPr>
        <w:t> </w:t>
      </w:r>
      <w:r>
        <w:rPr/>
        <w:t>temperature</w:t>
      </w:r>
      <w:r>
        <w:rPr>
          <w:spacing w:val="-8"/>
        </w:rPr>
        <w:t> </w:t>
      </w:r>
      <w:r>
        <w:rPr/>
        <w:t>genuinely</w:t>
      </w:r>
      <w:r>
        <w:rPr>
          <w:spacing w:val="-8"/>
        </w:rPr>
        <w:t> </w:t>
      </w:r>
      <w:r>
        <w:rPr/>
        <w:t>drives production inter-annually.</w:t>
      </w:r>
      <w:r>
        <w:rPr>
          <w:spacing w:val="40"/>
        </w:rPr>
        <w:t> </w:t>
      </w:r>
      <w:r>
        <w:rPr/>
        <w:t>The LOESS validation (Section </w:t>
      </w:r>
      <w:hyperlink w:history="true" w:anchor="_bookmark76">
        <w:r>
          <w:rPr>
            <w:color w:val="8B2C18"/>
          </w:rPr>
          <w:t>4.2</w:t>
        </w:r>
      </w:hyperlink>
      <w:r>
        <w:rPr/>
        <w:t>) addresses this precisely: after removing</w:t>
      </w:r>
      <w:r>
        <w:rPr>
          <w:spacing w:val="-4"/>
        </w:rPr>
        <w:t> </w:t>
      </w:r>
      <w:r>
        <w:rPr/>
        <w:t>the</w:t>
      </w:r>
      <w:r>
        <w:rPr>
          <w:spacing w:val="-4"/>
        </w:rPr>
        <w:t> </w:t>
      </w:r>
      <w:r>
        <w:rPr/>
        <w:t>era</w:t>
      </w:r>
      <w:r>
        <w:rPr>
          <w:spacing w:val="-4"/>
        </w:rPr>
        <w:t> </w:t>
      </w:r>
      <w:r>
        <w:rPr/>
        <w:t>trend,</w:t>
      </w:r>
      <w:r>
        <w:rPr>
          <w:spacing w:val="-4"/>
        </w:rPr>
        <w:t> </w:t>
      </w:r>
      <w:r>
        <w:rPr/>
        <w:t>the</w:t>
      </w:r>
      <w:r>
        <w:rPr>
          <w:spacing w:val="-4"/>
        </w:rPr>
        <w:t> </w:t>
      </w:r>
      <w:r>
        <w:rPr/>
        <w:t>top</w:t>
      </w:r>
      <w:r>
        <w:rPr>
          <w:spacing w:val="-4"/>
        </w:rPr>
        <w:t> </w:t>
      </w:r>
      <w:r>
        <w:rPr/>
        <w:t>features’</w:t>
      </w:r>
      <w:r>
        <w:rPr>
          <w:spacing w:val="-4"/>
        </w:rPr>
        <w:t> </w:t>
      </w:r>
      <w:r>
        <w:rPr/>
        <w:t>correlations</w:t>
      </w:r>
      <w:r>
        <w:rPr>
          <w:spacing w:val="-4"/>
        </w:rPr>
        <w:t> </w:t>
      </w:r>
      <w:r>
        <w:rPr/>
        <w:t>drop</w:t>
      </w:r>
      <w:r>
        <w:rPr>
          <w:spacing w:val="-4"/>
        </w:rPr>
        <w:t> </w:t>
      </w:r>
      <w:r>
        <w:rPr/>
        <w:t>from</w:t>
      </w:r>
      <w:r>
        <w:rPr>
          <w:spacing w:val="40"/>
        </w:rPr>
        <w:t> </w:t>
      </w:r>
      <w:r>
        <w:rPr/>
        <w:t>0.51</w:t>
      </w:r>
      <w:r>
        <w:rPr>
          <w:spacing w:val="-4"/>
        </w:rPr>
        <w:t> </w:t>
      </w:r>
      <w:r>
        <w:rPr/>
        <w:t>to</w:t>
      </w:r>
      <w:r>
        <w:rPr>
          <w:spacing w:val="40"/>
        </w:rPr>
        <w:t> </w:t>
      </w:r>
      <w:r>
        <w:rPr/>
        <w:t>0.47,</w:t>
      </w:r>
      <w:r>
        <w:rPr>
          <w:spacing w:val="-4"/>
        </w:rPr>
        <w:t> </w:t>
      </w:r>
      <w:r>
        <w:rPr/>
        <w:t>confirming</w:t>
      </w:r>
      <w:r>
        <w:rPr>
          <w:spacing w:val="-4"/>
        </w:rPr>
        <w:t> </w:t>
      </w:r>
      <w:r>
        <w:rPr/>
        <w:t>that</w:t>
      </w:r>
      <w:r>
        <w:rPr>
          <w:spacing w:val="-4"/>
        </w:rPr>
        <w:t> </w:t>
      </w:r>
      <w:r>
        <w:rPr/>
        <w:t>the </w:t>
      </w:r>
      <w:r>
        <w:rPr>
          <w:spacing w:val="-4"/>
        </w:rPr>
        <w:t>era confound inflates but does not manufacture the relationship.</w:t>
      </w:r>
      <w:r>
        <w:rPr>
          <w:spacing w:val="17"/>
        </w:rPr>
        <w:t> </w:t>
      </w:r>
      <w:r>
        <w:rPr>
          <w:spacing w:val="-4"/>
        </w:rPr>
        <w:t>For harvest temperature specifically, </w:t>
      </w:r>
      <w:r>
        <w:rPr/>
        <w:t>the LOESS-corrected correlation would likely drop more, which is consistent with CarenR’s top rules</w:t>
      </w:r>
      <w:r>
        <w:rPr>
          <w:spacing w:val="-3"/>
        </w:rPr>
        <w:t> </w:t>
      </w:r>
      <w:r>
        <w:rPr/>
        <w:t>focusing</w:t>
      </w:r>
      <w:r>
        <w:rPr>
          <w:spacing w:val="-3"/>
        </w:rPr>
        <w:t> </w:t>
      </w:r>
      <w:r>
        <w:rPr/>
        <w:t>on</w:t>
      </w:r>
      <w:r>
        <w:rPr>
          <w:spacing w:val="-3"/>
        </w:rPr>
        <w:t> </w:t>
      </w:r>
      <w:r>
        <w:rPr/>
        <w:t>soil</w:t>
      </w:r>
      <w:r>
        <w:rPr>
          <w:spacing w:val="-3"/>
        </w:rPr>
        <w:t> </w:t>
      </w:r>
      <w:r>
        <w:rPr/>
        <w:t>water</w:t>
      </w:r>
      <w:r>
        <w:rPr>
          <w:spacing w:val="-3"/>
        </w:rPr>
        <w:t> </w:t>
      </w:r>
      <w:r>
        <w:rPr/>
        <w:t>and</w:t>
      </w:r>
      <w:r>
        <w:rPr>
          <w:spacing w:val="-3"/>
        </w:rPr>
        <w:t> </w:t>
      </w:r>
      <w:r>
        <w:rPr/>
        <w:t>rainfall</w:t>
      </w:r>
      <w:r>
        <w:rPr>
          <w:spacing w:val="-3"/>
        </w:rPr>
        <w:t> </w:t>
      </w:r>
      <w:r>
        <w:rPr/>
        <w:t>rather</w:t>
      </w:r>
      <w:r>
        <w:rPr>
          <w:spacing w:val="-3"/>
        </w:rPr>
        <w:t> </w:t>
      </w:r>
      <w:r>
        <w:rPr/>
        <w:t>than</w:t>
      </w:r>
      <w:r>
        <w:rPr>
          <w:spacing w:val="-3"/>
        </w:rPr>
        <w:t> </w:t>
      </w:r>
      <w:r>
        <w:rPr/>
        <w:t>temperature,</w:t>
      </w:r>
      <w:r>
        <w:rPr>
          <w:spacing w:val="-3"/>
        </w:rPr>
        <w:t> </w:t>
      </w:r>
      <w:r>
        <w:rPr/>
        <w:t>these</w:t>
      </w:r>
      <w:r>
        <w:rPr>
          <w:spacing w:val="-3"/>
        </w:rPr>
        <w:t> </w:t>
      </w:r>
      <w:r>
        <w:rPr/>
        <w:t>latter</w:t>
      </w:r>
      <w:r>
        <w:rPr>
          <w:spacing w:val="-3"/>
        </w:rPr>
        <w:t> </w:t>
      </w:r>
      <w:r>
        <w:rPr/>
        <w:t>variables</w:t>
      </w:r>
      <w:r>
        <w:rPr>
          <w:spacing w:val="-3"/>
        </w:rPr>
        <w:t> </w:t>
      </w:r>
      <w:r>
        <w:rPr/>
        <w:t>have</w:t>
      </w:r>
      <w:r>
        <w:rPr>
          <w:spacing w:val="-3"/>
        </w:rPr>
        <w:t> </w:t>
      </w:r>
      <w:r>
        <w:rPr/>
        <w:t>lower year-correlations (swa_hv_y1_b20: year r = </w:t>
      </w:r>
      <w:r>
        <w:rPr>
          <w:rFonts w:ascii="Meiryo UI" w:hAnsi="Meiryo UI"/>
          <w:i/>
        </w:rPr>
        <w:t>−</w:t>
      </w:r>
      <w:r>
        <w:rPr/>
        <w:t>0.183 for RDD) and represent cleaner within-era </w:t>
      </w:r>
      <w:r>
        <w:rPr>
          <w:spacing w:val="-2"/>
        </w:rPr>
        <w:t>signals.</w:t>
      </w:r>
    </w:p>
    <w:p>
      <w:pPr>
        <w:pStyle w:val="BodyText"/>
        <w:spacing w:line="328" w:lineRule="exact" w:before="85"/>
        <w:ind w:left="709" w:right="962" w:firstLine="338"/>
        <w:jc w:val="both"/>
      </w:pPr>
      <w:r>
        <w:rPr/>
        <w:t>The</w:t>
      </w:r>
      <w:r>
        <w:rPr>
          <w:spacing w:val="-6"/>
        </w:rPr>
        <w:t> </w:t>
      </w:r>
      <w:r>
        <w:rPr/>
        <w:t>RVV</w:t>
      </w:r>
      <w:r>
        <w:rPr>
          <w:spacing w:val="-6"/>
        </w:rPr>
        <w:t> </w:t>
      </w:r>
      <w:r>
        <w:rPr/>
        <w:t>LAI</w:t>
      </w:r>
      <w:r>
        <w:rPr>
          <w:spacing w:val="-6"/>
        </w:rPr>
        <w:t> </w:t>
      </w:r>
      <w:r>
        <w:rPr/>
        <w:t>at</w:t>
      </w:r>
      <w:r>
        <w:rPr>
          <w:spacing w:val="-6"/>
        </w:rPr>
        <w:t> </w:t>
      </w:r>
      <w:r>
        <w:rPr/>
        <w:t>harvest</w:t>
      </w:r>
      <w:r>
        <w:rPr>
          <w:spacing w:val="-6"/>
        </w:rPr>
        <w:t> </w:t>
      </w:r>
      <w:r>
        <w:rPr/>
        <w:t>(iaf_hv_y1_c10)</w:t>
      </w:r>
      <w:r>
        <w:rPr>
          <w:spacing w:val="-6"/>
        </w:rPr>
        <w:t> </w:t>
      </w:r>
      <w:r>
        <w:rPr/>
        <w:t>shows</w:t>
      </w:r>
      <w:r>
        <w:rPr>
          <w:spacing w:val="-6"/>
        </w:rPr>
        <w:t> </w:t>
      </w:r>
      <w:r>
        <w:rPr/>
        <w:t>a</w:t>
      </w:r>
      <w:r>
        <w:rPr>
          <w:spacing w:val="-6"/>
        </w:rPr>
        <w:t> </w:t>
      </w:r>
      <w:r>
        <w:rPr/>
        <w:t>more</w:t>
      </w:r>
      <w:r>
        <w:rPr>
          <w:spacing w:val="-6"/>
        </w:rPr>
        <w:t> </w:t>
      </w:r>
      <w:r>
        <w:rPr/>
        <w:t>interesting</w:t>
      </w:r>
      <w:r>
        <w:rPr>
          <w:spacing w:val="-6"/>
        </w:rPr>
        <w:t> </w:t>
      </w:r>
      <w:r>
        <w:rPr/>
        <w:t>pattern: it</w:t>
      </w:r>
      <w:r>
        <w:rPr>
          <w:spacing w:val="-6"/>
        </w:rPr>
        <w:t> </w:t>
      </w:r>
      <w:r>
        <w:rPr/>
        <w:t>correlates</w:t>
      </w:r>
      <w:r>
        <w:rPr>
          <w:spacing w:val="-6"/>
        </w:rPr>
        <w:t> </w:t>
      </w:r>
      <w:r>
        <w:rPr/>
        <w:t>with </w:t>
      </w:r>
      <w:r>
        <w:rPr>
          <w:spacing w:val="-2"/>
        </w:rPr>
        <w:t>production</w:t>
      </w:r>
      <w:r>
        <w:rPr>
          <w:spacing w:val="-12"/>
        </w:rPr>
        <w:t> </w:t>
      </w:r>
      <w:r>
        <w:rPr>
          <w:spacing w:val="-2"/>
        </w:rPr>
        <w:t>at</w:t>
      </w:r>
      <w:r>
        <w:rPr>
          <w:spacing w:val="-12"/>
        </w:rPr>
        <w:t> </w:t>
      </w:r>
      <w:r>
        <w:rPr>
          <w:spacing w:val="-2"/>
        </w:rPr>
        <w:t>r</w:t>
      </w:r>
      <w:r>
        <w:rPr>
          <w:spacing w:val="-12"/>
        </w:rPr>
        <w:t> </w:t>
      </w:r>
      <w:r>
        <w:rPr>
          <w:spacing w:val="-2"/>
        </w:rPr>
        <w:t>=</w:t>
      </w:r>
      <w:r>
        <w:rPr>
          <w:spacing w:val="-11"/>
        </w:rPr>
        <w:t> </w:t>
      </w:r>
      <w:r>
        <w:rPr>
          <w:rFonts w:ascii="Meiryo UI" w:hAnsi="Meiryo UI"/>
          <w:i/>
          <w:spacing w:val="-2"/>
        </w:rPr>
        <w:t>−</w:t>
      </w:r>
      <w:r>
        <w:rPr>
          <w:spacing w:val="-2"/>
        </w:rPr>
        <w:t>0.404</w:t>
      </w:r>
      <w:r>
        <w:rPr>
          <w:spacing w:val="-12"/>
        </w:rPr>
        <w:t> </w:t>
      </w:r>
      <w:r>
        <w:rPr>
          <w:spacing w:val="-2"/>
        </w:rPr>
        <w:t>but</w:t>
      </w:r>
      <w:r>
        <w:rPr>
          <w:spacing w:val="-12"/>
        </w:rPr>
        <w:t> </w:t>
      </w:r>
      <w:r>
        <w:rPr>
          <w:spacing w:val="-2"/>
        </w:rPr>
        <w:t>also</w:t>
      </w:r>
      <w:r>
        <w:rPr>
          <w:spacing w:val="-12"/>
        </w:rPr>
        <w:t> </w:t>
      </w:r>
      <w:r>
        <w:rPr>
          <w:spacing w:val="-2"/>
        </w:rPr>
        <w:t>with</w:t>
      </w:r>
      <w:r>
        <w:rPr>
          <w:spacing w:val="-11"/>
        </w:rPr>
        <w:t> </w:t>
      </w:r>
      <w:r>
        <w:rPr>
          <w:spacing w:val="-2"/>
        </w:rPr>
        <w:t>year</w:t>
      </w:r>
      <w:r>
        <w:rPr>
          <w:spacing w:val="-12"/>
        </w:rPr>
        <w:t> </w:t>
      </w:r>
      <w:r>
        <w:rPr>
          <w:spacing w:val="-2"/>
        </w:rPr>
        <w:t>at</w:t>
      </w:r>
      <w:r>
        <w:rPr>
          <w:spacing w:val="-12"/>
        </w:rPr>
        <w:t> </w:t>
      </w:r>
      <w:r>
        <w:rPr>
          <w:spacing w:val="-2"/>
        </w:rPr>
        <w:t>r</w:t>
      </w:r>
      <w:r>
        <w:rPr>
          <w:spacing w:val="-12"/>
        </w:rPr>
        <w:t> </w:t>
      </w:r>
      <w:r>
        <w:rPr>
          <w:spacing w:val="-2"/>
        </w:rPr>
        <w:t>=</w:t>
      </w:r>
      <w:r>
        <w:rPr>
          <w:spacing w:val="-11"/>
        </w:rPr>
        <w:t> </w:t>
      </w:r>
      <w:r>
        <w:rPr>
          <w:spacing w:val="-2"/>
        </w:rPr>
        <w:t>+0.359.</w:t>
      </w:r>
      <w:r>
        <w:rPr>
          <w:spacing w:val="-12"/>
        </w:rPr>
        <w:t> </w:t>
      </w:r>
      <w:r>
        <w:rPr>
          <w:spacing w:val="-2"/>
        </w:rPr>
        <w:t>This</w:t>
      </w:r>
      <w:r>
        <w:rPr>
          <w:spacing w:val="-12"/>
        </w:rPr>
        <w:t> </w:t>
      </w:r>
      <w:r>
        <w:rPr>
          <w:spacing w:val="-2"/>
        </w:rPr>
        <w:t>suggests</w:t>
      </w:r>
      <w:r>
        <w:rPr>
          <w:spacing w:val="-12"/>
        </w:rPr>
        <w:t> </w:t>
      </w:r>
      <w:r>
        <w:rPr>
          <w:spacing w:val="-2"/>
        </w:rPr>
        <w:t>that</w:t>
      </w:r>
      <w:r>
        <w:rPr>
          <w:spacing w:val="-11"/>
        </w:rPr>
        <w:t> </w:t>
      </w:r>
      <w:r>
        <w:rPr>
          <w:spacing w:val="-2"/>
        </w:rPr>
        <w:t>LAI</w:t>
      </w:r>
      <w:r>
        <w:rPr>
          <w:spacing w:val="-12"/>
        </w:rPr>
        <w:t> </w:t>
      </w:r>
      <w:r>
        <w:rPr>
          <w:spacing w:val="-2"/>
        </w:rPr>
        <w:t>has</w:t>
      </w:r>
      <w:r>
        <w:rPr>
          <w:spacing w:val="-12"/>
        </w:rPr>
        <w:t> </w:t>
      </w:r>
      <w:r>
        <w:rPr>
          <w:spacing w:val="-2"/>
        </w:rPr>
        <w:t>been</w:t>
      </w:r>
      <w:r>
        <w:rPr>
          <w:spacing w:val="-12"/>
        </w:rPr>
        <w:t> </w:t>
      </w:r>
      <w:r>
        <w:rPr>
          <w:spacing w:val="-2"/>
        </w:rPr>
        <w:t>increasing </w:t>
      </w:r>
      <w:r>
        <w:rPr/>
        <w:t>over</w:t>
      </w:r>
      <w:r>
        <w:rPr>
          <w:spacing w:val="-7"/>
        </w:rPr>
        <w:t> </w:t>
      </w:r>
      <w:r>
        <w:rPr/>
        <w:t>the</w:t>
      </w:r>
      <w:r>
        <w:rPr>
          <w:spacing w:val="-7"/>
        </w:rPr>
        <w:t> </w:t>
      </w:r>
      <w:r>
        <w:rPr/>
        <w:t>study</w:t>
      </w:r>
      <w:r>
        <w:rPr>
          <w:spacing w:val="-7"/>
        </w:rPr>
        <w:t> </w:t>
      </w:r>
      <w:r>
        <w:rPr/>
        <w:t>period,</w:t>
      </w:r>
      <w:r>
        <w:rPr>
          <w:spacing w:val="-7"/>
        </w:rPr>
        <w:t> </w:t>
      </w:r>
      <w:r>
        <w:rPr/>
        <w:t>consistent</w:t>
      </w:r>
      <w:r>
        <w:rPr>
          <w:spacing w:val="-7"/>
        </w:rPr>
        <w:t> </w:t>
      </w:r>
      <w:r>
        <w:rPr/>
        <w:t>with</w:t>
      </w:r>
      <w:r>
        <w:rPr>
          <w:spacing w:val="-7"/>
        </w:rPr>
        <w:t> </w:t>
      </w:r>
      <w:r>
        <w:rPr/>
        <w:t>the</w:t>
      </w:r>
      <w:r>
        <w:rPr>
          <w:spacing w:val="-7"/>
        </w:rPr>
        <w:t> </w:t>
      </w:r>
      <w:r>
        <w:rPr/>
        <w:t>general</w:t>
      </w:r>
      <w:r>
        <w:rPr>
          <w:spacing w:val="-7"/>
        </w:rPr>
        <w:t> </w:t>
      </w:r>
      <w:r>
        <w:rPr/>
        <w:t>intensification</w:t>
      </w:r>
      <w:r>
        <w:rPr>
          <w:spacing w:val="-7"/>
        </w:rPr>
        <w:t> </w:t>
      </w:r>
      <w:r>
        <w:rPr/>
        <w:t>of</w:t>
      </w:r>
      <w:r>
        <w:rPr>
          <w:spacing w:val="-7"/>
        </w:rPr>
        <w:t> </w:t>
      </w:r>
      <w:r>
        <w:rPr/>
        <w:t>vineyard</w:t>
      </w:r>
      <w:r>
        <w:rPr>
          <w:spacing w:val="-7"/>
        </w:rPr>
        <w:t> </w:t>
      </w:r>
      <w:r>
        <w:rPr/>
        <w:t>management</w:t>
      </w:r>
      <w:r>
        <w:rPr>
          <w:spacing w:val="-7"/>
        </w:rPr>
        <w:t> </w:t>
      </w:r>
      <w:r>
        <w:rPr/>
        <w:t>and</w:t>
      </w:r>
      <w:r>
        <w:rPr>
          <w:spacing w:val="-7"/>
        </w:rPr>
        <w:t> </w:t>
      </w:r>
      <w:r>
        <w:rPr/>
        <w:t>the shift</w:t>
      </w:r>
      <w:r>
        <w:rPr>
          <w:spacing w:val="-9"/>
        </w:rPr>
        <w:t> </w:t>
      </w:r>
      <w:r>
        <w:rPr/>
        <w:t>to</w:t>
      </w:r>
      <w:r>
        <w:rPr>
          <w:spacing w:val="-9"/>
        </w:rPr>
        <w:t> </w:t>
      </w:r>
      <w:r>
        <w:rPr/>
        <w:t>espalier</w:t>
      </w:r>
      <w:r>
        <w:rPr>
          <w:spacing w:val="-9"/>
        </w:rPr>
        <w:t> </w:t>
      </w:r>
      <w:r>
        <w:rPr/>
        <w:t>systems,</w:t>
      </w:r>
      <w:r>
        <w:rPr>
          <w:spacing w:val="-9"/>
        </w:rPr>
        <w:t> </w:t>
      </w:r>
      <w:r>
        <w:rPr/>
        <w:t>and</w:t>
      </w:r>
      <w:r>
        <w:rPr>
          <w:spacing w:val="-9"/>
        </w:rPr>
        <w:t> </w:t>
      </w:r>
      <w:r>
        <w:rPr/>
        <w:t>this</w:t>
      </w:r>
      <w:r>
        <w:rPr>
          <w:spacing w:val="-9"/>
        </w:rPr>
        <w:t> </w:t>
      </w:r>
      <w:r>
        <w:rPr/>
        <w:t>increasing</w:t>
      </w:r>
      <w:r>
        <w:rPr>
          <w:spacing w:val="-9"/>
        </w:rPr>
        <w:t> </w:t>
      </w:r>
      <w:r>
        <w:rPr/>
        <w:t>LAI</w:t>
      </w:r>
      <w:r>
        <w:rPr>
          <w:spacing w:val="-9"/>
        </w:rPr>
        <w:t> </w:t>
      </w:r>
      <w:r>
        <w:rPr/>
        <w:t>co-trends</w:t>
      </w:r>
      <w:r>
        <w:rPr>
          <w:spacing w:val="-9"/>
        </w:rPr>
        <w:t> </w:t>
      </w:r>
      <w:r>
        <w:rPr/>
        <w:t>with</w:t>
      </w:r>
      <w:r>
        <w:rPr>
          <w:spacing w:val="-9"/>
        </w:rPr>
        <w:t> </w:t>
      </w:r>
      <w:r>
        <w:rPr/>
        <w:t>declining</w:t>
      </w:r>
      <w:r>
        <w:rPr>
          <w:spacing w:val="-9"/>
        </w:rPr>
        <w:t> </w:t>
      </w:r>
      <w:r>
        <w:rPr/>
        <w:t>production,</w:t>
      </w:r>
      <w:r>
        <w:rPr>
          <w:spacing w:val="-9"/>
        </w:rPr>
        <w:t> </w:t>
      </w:r>
      <w:r>
        <w:rPr/>
        <w:t>inflating</w:t>
      </w:r>
      <w:r>
        <w:rPr>
          <w:spacing w:val="-9"/>
        </w:rPr>
        <w:t> </w:t>
      </w:r>
      <w:r>
        <w:rPr/>
        <w:t>its apparent</w:t>
      </w:r>
      <w:r>
        <w:rPr>
          <w:spacing w:val="-7"/>
        </w:rPr>
        <w:t> </w:t>
      </w:r>
      <w:r>
        <w:rPr/>
        <w:t>correlation.</w:t>
      </w:r>
      <w:r>
        <w:rPr>
          <w:spacing w:val="6"/>
        </w:rPr>
        <w:t> </w:t>
      </w:r>
      <w:r>
        <w:rPr/>
        <w:t>However,</w:t>
      </w:r>
      <w:r>
        <w:rPr>
          <w:spacing w:val="-6"/>
        </w:rPr>
        <w:t> </w:t>
      </w:r>
      <w:r>
        <w:rPr/>
        <w:t>the</w:t>
      </w:r>
      <w:r>
        <w:rPr>
          <w:spacing w:val="-6"/>
        </w:rPr>
        <w:t> </w:t>
      </w:r>
      <w:r>
        <w:rPr/>
        <w:t>LOESS</w:t>
      </w:r>
      <w:r>
        <w:rPr>
          <w:spacing w:val="-6"/>
        </w:rPr>
        <w:t> </w:t>
      </w:r>
      <w:r>
        <w:rPr/>
        <w:t>validation</w:t>
      </w:r>
      <w:r>
        <w:rPr>
          <w:spacing w:val="-6"/>
        </w:rPr>
        <w:t> </w:t>
      </w:r>
      <w:r>
        <w:rPr/>
        <w:t>confirms</w:t>
      </w:r>
      <w:r>
        <w:rPr>
          <w:spacing w:val="-6"/>
        </w:rPr>
        <w:t> </w:t>
      </w:r>
      <w:r>
        <w:rPr/>
        <w:t>that</w:t>
      </w:r>
      <w:r>
        <w:rPr>
          <w:spacing w:val="-6"/>
        </w:rPr>
        <w:t> </w:t>
      </w:r>
      <w:r>
        <w:rPr/>
        <w:t>even</w:t>
      </w:r>
      <w:r>
        <w:rPr>
          <w:spacing w:val="-6"/>
        </w:rPr>
        <w:t> </w:t>
      </w:r>
      <w:r>
        <w:rPr/>
        <w:t>after</w:t>
      </w:r>
      <w:r>
        <w:rPr>
          <w:spacing w:val="-6"/>
        </w:rPr>
        <w:t> </w:t>
      </w:r>
      <w:r>
        <w:rPr/>
        <w:t>era-trend</w:t>
      </w:r>
      <w:r>
        <w:rPr>
          <w:spacing w:val="-6"/>
        </w:rPr>
        <w:t> </w:t>
      </w:r>
      <w:r>
        <w:rPr>
          <w:spacing w:val="-2"/>
        </w:rPr>
        <w:t>removal,</w:t>
      </w:r>
    </w:p>
    <w:p>
      <w:pPr>
        <w:pStyle w:val="BodyText"/>
        <w:spacing w:after="0" w:line="328" w:lineRule="exact"/>
        <w:jc w:val="both"/>
        <w:sectPr>
          <w:headerReference w:type="default" r:id="rId118"/>
          <w:headerReference w:type="even" r:id="rId119"/>
          <w:pgSz w:w="11910" w:h="16840"/>
          <w:pgMar w:header="1160" w:footer="0" w:top="1420" w:bottom="280" w:left="1275" w:right="425"/>
          <w:pgNumType w:start="95"/>
        </w:sectPr>
      </w:pPr>
    </w:p>
    <w:p>
      <w:pPr>
        <w:pStyle w:val="BodyText"/>
        <w:spacing w:before="164"/>
        <w:rPr>
          <w:sz w:val="20"/>
        </w:rPr>
      </w:pPr>
    </w:p>
    <w:p>
      <w:pPr>
        <w:pStyle w:val="BodyText"/>
        <w:spacing w:after="0"/>
        <w:rPr>
          <w:sz w:val="20"/>
        </w:rPr>
        <w:sectPr>
          <w:pgSz w:w="11910" w:h="16840"/>
          <w:pgMar w:header="1160" w:footer="0" w:top="1420" w:bottom="280" w:left="1275" w:right="425"/>
        </w:sectPr>
      </w:pPr>
    </w:p>
    <w:p>
      <w:pPr>
        <w:spacing w:before="104"/>
        <w:ind w:left="97" w:right="0" w:firstLine="0"/>
        <w:jc w:val="center"/>
        <w:rPr>
          <w:sz w:val="20"/>
        </w:rPr>
      </w:pPr>
      <w:bookmarkStart w:name="_bookmark175" w:id="296"/>
      <w:bookmarkEnd w:id="296"/>
      <w:r>
        <w:rPr/>
      </w:r>
      <w:r>
        <w:rPr>
          <w:b/>
          <w:sz w:val="20"/>
        </w:rPr>
        <w:t>Table</w:t>
      </w:r>
      <w:r>
        <w:rPr>
          <w:b/>
          <w:spacing w:val="-7"/>
          <w:sz w:val="20"/>
        </w:rPr>
        <w:t> </w:t>
      </w:r>
      <w:r>
        <w:rPr>
          <w:b/>
          <w:sz w:val="20"/>
        </w:rPr>
        <w:t>B.6:</w:t>
      </w:r>
      <w:r>
        <w:rPr>
          <w:b/>
          <w:spacing w:val="4"/>
          <w:sz w:val="20"/>
        </w:rPr>
        <w:t> </w:t>
      </w:r>
      <w:r>
        <w:rPr>
          <w:sz w:val="20"/>
        </w:rPr>
        <w:t>Feature</w:t>
      </w:r>
      <w:r>
        <w:rPr>
          <w:spacing w:val="-7"/>
          <w:sz w:val="20"/>
        </w:rPr>
        <w:t> </w:t>
      </w:r>
      <w:r>
        <w:rPr>
          <w:sz w:val="20"/>
        </w:rPr>
        <w:t>drift:</w:t>
      </w:r>
      <w:r>
        <w:rPr>
          <w:spacing w:val="4"/>
          <w:sz w:val="20"/>
        </w:rPr>
        <w:t> </w:t>
      </w:r>
      <w:r>
        <w:rPr>
          <w:sz w:val="20"/>
        </w:rPr>
        <w:t>correlation</w:t>
      </w:r>
      <w:r>
        <w:rPr>
          <w:spacing w:val="-7"/>
          <w:sz w:val="20"/>
        </w:rPr>
        <w:t> </w:t>
      </w:r>
      <w:r>
        <w:rPr>
          <w:sz w:val="20"/>
        </w:rPr>
        <w:t>with</w:t>
      </w:r>
      <w:r>
        <w:rPr>
          <w:spacing w:val="-7"/>
          <w:sz w:val="20"/>
        </w:rPr>
        <w:t> </w:t>
      </w:r>
      <w:r>
        <w:rPr>
          <w:sz w:val="20"/>
        </w:rPr>
        <w:t>year</w:t>
      </w:r>
      <w:r>
        <w:rPr>
          <w:spacing w:val="-6"/>
          <w:sz w:val="20"/>
        </w:rPr>
        <w:t> </w:t>
      </w:r>
      <w:r>
        <w:rPr>
          <w:sz w:val="20"/>
        </w:rPr>
        <w:t>index</w:t>
      </w:r>
      <w:r>
        <w:rPr>
          <w:spacing w:val="-7"/>
          <w:sz w:val="20"/>
        </w:rPr>
        <w:t> </w:t>
      </w:r>
      <w:r>
        <w:rPr>
          <w:sz w:val="20"/>
        </w:rPr>
        <w:t>as</w:t>
      </w:r>
      <w:r>
        <w:rPr>
          <w:spacing w:val="-7"/>
          <w:sz w:val="20"/>
        </w:rPr>
        <w:t> </w:t>
      </w:r>
      <w:r>
        <w:rPr>
          <w:sz w:val="20"/>
        </w:rPr>
        <w:t>proxy</w:t>
      </w:r>
      <w:r>
        <w:rPr>
          <w:spacing w:val="-7"/>
          <w:sz w:val="20"/>
        </w:rPr>
        <w:t> </w:t>
      </w:r>
      <w:r>
        <w:rPr>
          <w:sz w:val="20"/>
        </w:rPr>
        <w:t>for</w:t>
      </w:r>
      <w:r>
        <w:rPr>
          <w:spacing w:val="-6"/>
          <w:sz w:val="20"/>
        </w:rPr>
        <w:t> </w:t>
      </w:r>
      <w:r>
        <w:rPr>
          <w:sz w:val="20"/>
        </w:rPr>
        <w:t>era</w:t>
      </w:r>
      <w:r>
        <w:rPr>
          <w:spacing w:val="-7"/>
          <w:sz w:val="20"/>
        </w:rPr>
        <w:t> </w:t>
      </w:r>
      <w:r>
        <w:rPr>
          <w:spacing w:val="-2"/>
          <w:sz w:val="20"/>
        </w:rPr>
        <w:t>confound.</w:t>
      </w:r>
    </w:p>
    <w:p>
      <w:pPr>
        <w:pStyle w:val="BodyText"/>
        <w:spacing w:before="6"/>
        <w:rPr>
          <w:sz w:val="18"/>
        </w:rPr>
      </w:pPr>
      <w:r>
        <w:rPr>
          <w:sz w:val="18"/>
        </w:rPr>
        <mc:AlternateContent>
          <mc:Choice Requires="wps">
            <w:drawing>
              <wp:anchor distT="0" distB="0" distL="0" distR="0" allowOverlap="1" layoutInCell="1" locked="0" behindDoc="1" simplePos="0" relativeHeight="487639552">
                <wp:simplePos x="0" y="0"/>
                <wp:positionH relativeFrom="page">
                  <wp:posOffset>899998</wp:posOffset>
                </wp:positionH>
                <wp:positionV relativeFrom="paragraph">
                  <wp:posOffset>150628</wp:posOffset>
                </wp:positionV>
                <wp:extent cx="5400040" cy="1270"/>
                <wp:effectExtent l="0" t="0" r="0" b="0"/>
                <wp:wrapTopAndBottom/>
                <wp:docPr id="281" name="Graphic 281"/>
                <wp:cNvGraphicFramePr>
                  <a:graphicFrameLocks/>
                </wp:cNvGraphicFramePr>
                <a:graphic>
                  <a:graphicData uri="http://schemas.microsoft.com/office/word/2010/wordprocessingShape">
                    <wps:wsp>
                      <wps:cNvPr id="281" name="Graphic 281"/>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1.860496pt;width:425.2pt;height:.1pt;mso-position-horizontal-relative:page;mso-position-vertical-relative:paragraph;z-index:-15676928;mso-wrap-distance-left:0;mso-wrap-distance-right:0" id="docshape245" coordorigin="1417,237" coordsize="8504,0" path="m1417,237l9921,237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22"/>
        <w:gridCol w:w="1721"/>
        <w:gridCol w:w="1097"/>
        <w:gridCol w:w="1551"/>
        <w:gridCol w:w="1721"/>
        <w:gridCol w:w="1097"/>
        <w:gridCol w:w="694"/>
      </w:tblGrid>
      <w:tr>
        <w:trPr>
          <w:trHeight w:val="539" w:hRule="atLeast"/>
        </w:trPr>
        <w:tc>
          <w:tcPr>
            <w:tcW w:w="622" w:type="dxa"/>
            <w:tcBorders>
              <w:top w:val="nil"/>
              <w:left w:val="nil"/>
              <w:right w:val="single" w:sz="4" w:space="0" w:color="000000"/>
            </w:tcBorders>
          </w:tcPr>
          <w:p>
            <w:pPr>
              <w:pStyle w:val="TableParagraph"/>
              <w:spacing w:before="31"/>
              <w:ind w:left="119"/>
              <w:rPr>
                <w:sz w:val="18"/>
              </w:rPr>
            </w:pPr>
            <w:r>
              <w:rPr>
                <w:spacing w:val="-4"/>
                <w:sz w:val="18"/>
              </w:rPr>
              <w:t>Rank</w:t>
            </w:r>
          </w:p>
        </w:tc>
        <w:tc>
          <w:tcPr>
            <w:tcW w:w="1721" w:type="dxa"/>
            <w:tcBorders>
              <w:top w:val="nil"/>
              <w:left w:val="single" w:sz="4" w:space="0" w:color="000000"/>
              <w:right w:val="single" w:sz="4" w:space="0" w:color="000000"/>
            </w:tcBorders>
          </w:tcPr>
          <w:p>
            <w:pPr>
              <w:pStyle w:val="TableParagraph"/>
              <w:spacing w:before="31"/>
              <w:ind w:left="118"/>
              <w:rPr>
                <w:sz w:val="18"/>
              </w:rPr>
            </w:pPr>
            <w:r>
              <w:rPr>
                <w:sz w:val="18"/>
              </w:rPr>
              <w:t>RDD</w:t>
            </w:r>
            <w:r>
              <w:rPr>
                <w:spacing w:val="-5"/>
                <w:sz w:val="18"/>
              </w:rPr>
              <w:t> </w:t>
            </w:r>
            <w:r>
              <w:rPr>
                <w:spacing w:val="-2"/>
                <w:sz w:val="18"/>
              </w:rPr>
              <w:t>feature</w:t>
            </w:r>
          </w:p>
        </w:tc>
        <w:tc>
          <w:tcPr>
            <w:tcW w:w="1097" w:type="dxa"/>
            <w:tcBorders>
              <w:top w:val="nil"/>
              <w:left w:val="single" w:sz="4" w:space="0" w:color="000000"/>
              <w:right w:val="single" w:sz="4" w:space="0" w:color="000000"/>
            </w:tcBorders>
          </w:tcPr>
          <w:p>
            <w:pPr>
              <w:pStyle w:val="TableParagraph"/>
              <w:spacing w:before="31"/>
              <w:ind w:left="118"/>
              <w:rPr>
                <w:sz w:val="18"/>
              </w:rPr>
            </w:pPr>
            <w:r>
              <w:rPr>
                <w:sz w:val="18"/>
              </w:rPr>
              <w:t>r(feat,</w:t>
            </w:r>
            <w:r>
              <w:rPr>
                <w:spacing w:val="-6"/>
                <w:sz w:val="18"/>
              </w:rPr>
              <w:t> </w:t>
            </w:r>
            <w:r>
              <w:rPr>
                <w:spacing w:val="-2"/>
                <w:sz w:val="18"/>
              </w:rPr>
              <w:t>year)</w:t>
            </w:r>
          </w:p>
        </w:tc>
        <w:tc>
          <w:tcPr>
            <w:tcW w:w="1551" w:type="dxa"/>
            <w:tcBorders>
              <w:top w:val="nil"/>
              <w:left w:val="single" w:sz="4" w:space="0" w:color="000000"/>
              <w:right w:val="single" w:sz="4" w:space="0" w:color="000000"/>
            </w:tcBorders>
          </w:tcPr>
          <w:p>
            <w:pPr>
              <w:pStyle w:val="TableParagraph"/>
              <w:spacing w:before="31"/>
              <w:ind w:left="118"/>
              <w:rPr>
                <w:sz w:val="18"/>
              </w:rPr>
            </w:pPr>
            <w:r>
              <w:rPr>
                <w:sz w:val="18"/>
              </w:rPr>
              <w:t>Concern</w:t>
            </w:r>
            <w:r>
              <w:rPr>
                <w:spacing w:val="-8"/>
                <w:sz w:val="18"/>
              </w:rPr>
              <w:t> </w:t>
            </w:r>
            <w:r>
              <w:rPr>
                <w:spacing w:val="-2"/>
                <w:sz w:val="18"/>
              </w:rPr>
              <w:t>level</w:t>
            </w:r>
          </w:p>
        </w:tc>
        <w:tc>
          <w:tcPr>
            <w:tcW w:w="1721" w:type="dxa"/>
            <w:tcBorders>
              <w:top w:val="nil"/>
              <w:left w:val="single" w:sz="4" w:space="0" w:color="000000"/>
              <w:right w:val="single" w:sz="4" w:space="0" w:color="000000"/>
            </w:tcBorders>
          </w:tcPr>
          <w:p>
            <w:pPr>
              <w:pStyle w:val="TableParagraph"/>
              <w:spacing w:before="31"/>
              <w:ind w:left="118"/>
              <w:rPr>
                <w:sz w:val="18"/>
              </w:rPr>
            </w:pPr>
            <w:r>
              <w:rPr>
                <w:spacing w:val="-6"/>
                <w:sz w:val="18"/>
              </w:rPr>
              <w:t>RVV</w:t>
            </w:r>
            <w:r>
              <w:rPr>
                <w:spacing w:val="-2"/>
                <w:sz w:val="18"/>
              </w:rPr>
              <w:t> feature</w:t>
            </w:r>
          </w:p>
        </w:tc>
        <w:tc>
          <w:tcPr>
            <w:tcW w:w="1097" w:type="dxa"/>
            <w:tcBorders>
              <w:top w:val="nil"/>
              <w:left w:val="single" w:sz="4" w:space="0" w:color="000000"/>
              <w:right w:val="single" w:sz="4" w:space="0" w:color="000000"/>
            </w:tcBorders>
          </w:tcPr>
          <w:p>
            <w:pPr>
              <w:pStyle w:val="TableParagraph"/>
              <w:spacing w:before="31"/>
              <w:ind w:left="118"/>
              <w:rPr>
                <w:sz w:val="18"/>
              </w:rPr>
            </w:pPr>
            <w:r>
              <w:rPr>
                <w:sz w:val="18"/>
              </w:rPr>
              <w:t>r(feat,</w:t>
            </w:r>
            <w:r>
              <w:rPr>
                <w:spacing w:val="-6"/>
                <w:sz w:val="18"/>
              </w:rPr>
              <w:t> </w:t>
            </w:r>
            <w:r>
              <w:rPr>
                <w:spacing w:val="-2"/>
                <w:sz w:val="18"/>
              </w:rPr>
              <w:t>year)</w:t>
            </w:r>
          </w:p>
        </w:tc>
        <w:tc>
          <w:tcPr>
            <w:tcW w:w="694" w:type="dxa"/>
            <w:tcBorders>
              <w:top w:val="nil"/>
              <w:left w:val="single" w:sz="4" w:space="0" w:color="000000"/>
              <w:right w:val="nil"/>
            </w:tcBorders>
          </w:tcPr>
          <w:p>
            <w:pPr>
              <w:pStyle w:val="TableParagraph"/>
              <w:spacing w:line="254" w:lineRule="auto" w:before="31"/>
              <w:ind w:left="119" w:right="-32"/>
              <w:rPr>
                <w:sz w:val="18"/>
              </w:rPr>
            </w:pPr>
            <w:r>
              <w:rPr>
                <w:spacing w:val="-4"/>
                <w:sz w:val="18"/>
              </w:rPr>
              <w:t>Concern </w:t>
            </w:r>
            <w:r>
              <w:rPr>
                <w:spacing w:val="-2"/>
                <w:sz w:val="18"/>
              </w:rPr>
              <w:t>level</w:t>
            </w:r>
          </w:p>
        </w:tc>
      </w:tr>
    </w:tbl>
    <w:p>
      <w:pPr>
        <w:pStyle w:val="BodyText"/>
        <w:spacing w:before="10"/>
        <w:rPr>
          <w:sz w:val="4"/>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2"/>
        <w:gridCol w:w="1721"/>
        <w:gridCol w:w="1097"/>
        <w:gridCol w:w="1551"/>
        <w:gridCol w:w="1721"/>
        <w:gridCol w:w="1097"/>
        <w:gridCol w:w="694"/>
      </w:tblGrid>
      <w:tr>
        <w:trPr>
          <w:trHeight w:val="941" w:hRule="atLeast"/>
        </w:trPr>
        <w:tc>
          <w:tcPr>
            <w:tcW w:w="622" w:type="dxa"/>
            <w:tcBorders>
              <w:right w:val="single" w:sz="4" w:space="0" w:color="000000"/>
            </w:tcBorders>
          </w:tcPr>
          <w:p>
            <w:pPr>
              <w:pStyle w:val="TableParagraph"/>
              <w:spacing w:before="31"/>
              <w:ind w:left="119"/>
              <w:rPr>
                <w:sz w:val="18"/>
              </w:rPr>
            </w:pPr>
            <w:r>
              <w:rPr>
                <w:spacing w:val="-10"/>
                <w:sz w:val="18"/>
              </w:rPr>
              <w:t>1</w:t>
            </w:r>
          </w:p>
        </w:tc>
        <w:tc>
          <w:tcPr>
            <w:tcW w:w="1721" w:type="dxa"/>
            <w:tcBorders>
              <w:left w:val="single" w:sz="4" w:space="0" w:color="000000"/>
              <w:right w:val="single" w:sz="4" w:space="0" w:color="000000"/>
            </w:tcBorders>
          </w:tcPr>
          <w:p>
            <w:pPr>
              <w:pStyle w:val="TableParagraph"/>
              <w:spacing w:line="254" w:lineRule="auto" w:before="31"/>
              <w:ind w:left="113" w:firstLine="4"/>
              <w:rPr>
                <w:sz w:val="18"/>
              </w:rPr>
            </w:pPr>
            <w:r>
              <w:rPr>
                <w:sz w:val="18"/>
              </w:rPr>
              <w:t>tm_hv_y1_c10</w:t>
            </w:r>
            <w:r>
              <w:rPr>
                <w:spacing w:val="-8"/>
                <w:sz w:val="18"/>
              </w:rPr>
              <w:t> </w:t>
            </w:r>
            <w:r>
              <w:rPr>
                <w:sz w:val="18"/>
              </w:rPr>
              <w:t>(har-vest temp)</w:t>
            </w:r>
          </w:p>
        </w:tc>
        <w:tc>
          <w:tcPr>
            <w:tcW w:w="1097" w:type="dxa"/>
            <w:tcBorders>
              <w:left w:val="single" w:sz="4" w:space="0" w:color="000000"/>
              <w:right w:val="single" w:sz="4" w:space="0" w:color="000000"/>
            </w:tcBorders>
          </w:tcPr>
          <w:p>
            <w:pPr>
              <w:pStyle w:val="TableParagraph"/>
              <w:spacing w:before="31"/>
              <w:ind w:left="118"/>
              <w:rPr>
                <w:sz w:val="18"/>
              </w:rPr>
            </w:pPr>
            <w:r>
              <w:rPr>
                <w:spacing w:val="-2"/>
                <w:sz w:val="18"/>
              </w:rPr>
              <w:t>+0.412</w:t>
            </w:r>
          </w:p>
        </w:tc>
        <w:tc>
          <w:tcPr>
            <w:tcW w:w="1551" w:type="dxa"/>
            <w:tcBorders>
              <w:left w:val="single" w:sz="4" w:space="0" w:color="000000"/>
              <w:right w:val="single" w:sz="4" w:space="0" w:color="000000"/>
            </w:tcBorders>
          </w:tcPr>
          <w:p>
            <w:pPr>
              <w:pStyle w:val="TableParagraph"/>
              <w:spacing w:line="254" w:lineRule="auto" w:before="31"/>
              <w:ind w:left="118"/>
              <w:rPr>
                <w:sz w:val="18"/>
              </w:rPr>
            </w:pPr>
            <w:r>
              <w:rPr>
                <w:sz w:val="18"/>
              </w:rPr>
              <w:t>HIGH,</w:t>
            </w:r>
            <w:r>
              <w:rPr>
                <w:spacing w:val="80"/>
                <w:sz w:val="18"/>
              </w:rPr>
              <w:t> </w:t>
            </w:r>
            <w:r>
              <w:rPr>
                <w:sz w:val="18"/>
              </w:rPr>
              <w:t>warming </w:t>
            </w:r>
            <w:r>
              <w:rPr>
                <w:spacing w:val="-2"/>
                <w:sz w:val="18"/>
              </w:rPr>
              <w:t>trend</w:t>
            </w:r>
          </w:p>
        </w:tc>
        <w:tc>
          <w:tcPr>
            <w:tcW w:w="1721" w:type="dxa"/>
            <w:tcBorders>
              <w:left w:val="single" w:sz="4" w:space="0" w:color="000000"/>
              <w:right w:val="single" w:sz="4" w:space="0" w:color="000000"/>
            </w:tcBorders>
          </w:tcPr>
          <w:p>
            <w:pPr>
              <w:pStyle w:val="TableParagraph"/>
              <w:spacing w:line="254" w:lineRule="auto" w:before="31"/>
              <w:ind w:left="118"/>
              <w:rPr>
                <w:sz w:val="18"/>
              </w:rPr>
            </w:pPr>
            <w:r>
              <w:rPr>
                <w:sz w:val="18"/>
              </w:rPr>
              <w:t>tm_sm_y1_c20</w:t>
            </w:r>
            <w:r>
              <w:rPr>
                <w:spacing w:val="-12"/>
                <w:sz w:val="18"/>
              </w:rPr>
              <w:t> </w:t>
            </w:r>
            <w:r>
              <w:rPr>
                <w:sz w:val="18"/>
              </w:rPr>
              <w:t>(ma-turity temp)</w:t>
            </w:r>
          </w:p>
        </w:tc>
        <w:tc>
          <w:tcPr>
            <w:tcW w:w="1097" w:type="dxa"/>
            <w:tcBorders>
              <w:left w:val="single" w:sz="4" w:space="0" w:color="000000"/>
              <w:right w:val="single" w:sz="4" w:space="0" w:color="000000"/>
            </w:tcBorders>
          </w:tcPr>
          <w:p>
            <w:pPr>
              <w:pStyle w:val="TableParagraph"/>
              <w:spacing w:before="31"/>
              <w:ind w:left="118"/>
              <w:rPr>
                <w:sz w:val="18"/>
              </w:rPr>
            </w:pPr>
            <w:r>
              <w:rPr>
                <w:spacing w:val="-2"/>
                <w:sz w:val="18"/>
              </w:rPr>
              <w:t>+0.402</w:t>
            </w:r>
          </w:p>
        </w:tc>
        <w:tc>
          <w:tcPr>
            <w:tcW w:w="694" w:type="dxa"/>
            <w:tcBorders>
              <w:left w:val="single" w:sz="4" w:space="0" w:color="000000"/>
            </w:tcBorders>
          </w:tcPr>
          <w:p>
            <w:pPr>
              <w:pStyle w:val="TableParagraph"/>
              <w:spacing w:before="31"/>
              <w:ind w:left="119"/>
              <w:rPr>
                <w:sz w:val="18"/>
              </w:rPr>
            </w:pPr>
            <w:r>
              <w:rPr>
                <w:spacing w:val="-2"/>
                <w:sz w:val="18"/>
              </w:rPr>
              <w:t>HIGH,</w:t>
            </w:r>
          </w:p>
          <w:p>
            <w:pPr>
              <w:pStyle w:val="TableParagraph"/>
              <w:spacing w:line="254" w:lineRule="auto" w:before="12"/>
              <w:ind w:left="119" w:right="97" w:hanging="7"/>
              <w:rPr>
                <w:sz w:val="18"/>
              </w:rPr>
            </w:pPr>
            <w:r>
              <w:rPr>
                <w:spacing w:val="-2"/>
                <w:sz w:val="18"/>
              </w:rPr>
              <w:t>warm-</w:t>
            </w:r>
            <w:r>
              <w:rPr>
                <w:spacing w:val="-4"/>
                <w:sz w:val="18"/>
              </w:rPr>
              <w:t>ing </w:t>
            </w:r>
            <w:r>
              <w:rPr>
                <w:spacing w:val="-2"/>
                <w:sz w:val="18"/>
              </w:rPr>
              <w:t>trend</w:t>
            </w:r>
          </w:p>
        </w:tc>
      </w:tr>
      <w:tr>
        <w:trPr>
          <w:trHeight w:val="504" w:hRule="atLeast"/>
        </w:trPr>
        <w:tc>
          <w:tcPr>
            <w:tcW w:w="622" w:type="dxa"/>
            <w:tcBorders>
              <w:right w:val="single" w:sz="4" w:space="0" w:color="000000"/>
            </w:tcBorders>
          </w:tcPr>
          <w:p>
            <w:pPr>
              <w:pStyle w:val="TableParagraph"/>
              <w:ind w:left="119"/>
              <w:rPr>
                <w:sz w:val="18"/>
              </w:rPr>
            </w:pPr>
            <w:r>
              <w:rPr>
                <w:spacing w:val="-10"/>
                <w:sz w:val="18"/>
              </w:rPr>
              <w:t>2</w:t>
            </w:r>
          </w:p>
        </w:tc>
        <w:tc>
          <w:tcPr>
            <w:tcW w:w="1721" w:type="dxa"/>
            <w:tcBorders>
              <w:left w:val="single" w:sz="4" w:space="0" w:color="000000"/>
              <w:right w:val="single" w:sz="4" w:space="0" w:color="000000"/>
            </w:tcBorders>
          </w:tcPr>
          <w:p>
            <w:pPr>
              <w:pStyle w:val="TableParagraph"/>
              <w:spacing w:line="254" w:lineRule="auto"/>
              <w:ind w:left="118"/>
              <w:rPr>
                <w:sz w:val="18"/>
              </w:rPr>
            </w:pPr>
            <w:r>
              <w:rPr>
                <w:sz w:val="18"/>
              </w:rPr>
              <w:t>tm_hv_y1_b20</w:t>
            </w:r>
            <w:r>
              <w:rPr>
                <w:spacing w:val="-12"/>
                <w:sz w:val="18"/>
              </w:rPr>
              <w:t> </w:t>
            </w:r>
            <w:r>
              <w:rPr>
                <w:sz w:val="18"/>
              </w:rPr>
              <w:t>(pre-harvest temp)</w:t>
            </w:r>
          </w:p>
        </w:tc>
        <w:tc>
          <w:tcPr>
            <w:tcW w:w="1097" w:type="dxa"/>
            <w:tcBorders>
              <w:left w:val="single" w:sz="4" w:space="0" w:color="000000"/>
              <w:right w:val="single" w:sz="4" w:space="0" w:color="000000"/>
            </w:tcBorders>
          </w:tcPr>
          <w:p>
            <w:pPr>
              <w:pStyle w:val="TableParagraph"/>
              <w:ind w:left="118"/>
              <w:rPr>
                <w:sz w:val="18"/>
              </w:rPr>
            </w:pPr>
            <w:r>
              <w:rPr>
                <w:spacing w:val="-2"/>
                <w:sz w:val="18"/>
              </w:rPr>
              <w:t>+0.373</w:t>
            </w:r>
          </w:p>
        </w:tc>
        <w:tc>
          <w:tcPr>
            <w:tcW w:w="1551" w:type="dxa"/>
            <w:tcBorders>
              <w:left w:val="single" w:sz="4" w:space="0" w:color="000000"/>
              <w:right w:val="single" w:sz="4" w:space="0" w:color="000000"/>
            </w:tcBorders>
          </w:tcPr>
          <w:p>
            <w:pPr>
              <w:pStyle w:val="TableParagraph"/>
              <w:ind w:left="118"/>
              <w:rPr>
                <w:sz w:val="18"/>
              </w:rPr>
            </w:pPr>
            <w:r>
              <w:rPr>
                <w:spacing w:val="-4"/>
                <w:sz w:val="18"/>
              </w:rPr>
              <w:t>HIGH</w:t>
            </w:r>
          </w:p>
        </w:tc>
        <w:tc>
          <w:tcPr>
            <w:tcW w:w="1721" w:type="dxa"/>
            <w:tcBorders>
              <w:left w:val="single" w:sz="4" w:space="0" w:color="000000"/>
              <w:right w:val="single" w:sz="4" w:space="0" w:color="000000"/>
            </w:tcBorders>
          </w:tcPr>
          <w:p>
            <w:pPr>
              <w:pStyle w:val="TableParagraph"/>
              <w:spacing w:line="254" w:lineRule="auto"/>
              <w:ind w:left="118" w:right="109"/>
              <w:rPr>
                <w:sz w:val="18"/>
              </w:rPr>
            </w:pPr>
            <w:r>
              <w:rPr>
                <w:spacing w:val="-2"/>
                <w:sz w:val="18"/>
              </w:rPr>
              <w:t>iaf_hv_y1_c10</w:t>
            </w:r>
            <w:r>
              <w:rPr>
                <w:spacing w:val="-10"/>
                <w:sz w:val="18"/>
              </w:rPr>
              <w:t> </w:t>
            </w:r>
            <w:r>
              <w:rPr>
                <w:spacing w:val="-2"/>
                <w:sz w:val="18"/>
              </w:rPr>
              <w:t>(LAI </w:t>
            </w:r>
            <w:r>
              <w:rPr>
                <w:sz w:val="18"/>
              </w:rPr>
              <w:t>at harvest)</w:t>
            </w:r>
          </w:p>
        </w:tc>
        <w:tc>
          <w:tcPr>
            <w:tcW w:w="1097" w:type="dxa"/>
            <w:tcBorders>
              <w:left w:val="single" w:sz="4" w:space="0" w:color="000000"/>
              <w:right w:val="single" w:sz="4" w:space="0" w:color="000000"/>
            </w:tcBorders>
          </w:tcPr>
          <w:p>
            <w:pPr>
              <w:pStyle w:val="TableParagraph"/>
              <w:ind w:left="118"/>
              <w:rPr>
                <w:sz w:val="18"/>
              </w:rPr>
            </w:pPr>
            <w:r>
              <w:rPr>
                <w:spacing w:val="-2"/>
                <w:sz w:val="18"/>
              </w:rPr>
              <w:t>+0.359</w:t>
            </w:r>
          </w:p>
        </w:tc>
        <w:tc>
          <w:tcPr>
            <w:tcW w:w="694" w:type="dxa"/>
            <w:tcBorders>
              <w:left w:val="single" w:sz="4" w:space="0" w:color="000000"/>
            </w:tcBorders>
          </w:tcPr>
          <w:p>
            <w:pPr>
              <w:pStyle w:val="TableParagraph"/>
              <w:ind w:left="119" w:right="-72"/>
              <w:rPr>
                <w:sz w:val="18"/>
              </w:rPr>
            </w:pPr>
            <w:r>
              <w:rPr>
                <w:spacing w:val="-5"/>
                <w:sz w:val="18"/>
              </w:rPr>
              <w:t>MODER</w:t>
            </w:r>
          </w:p>
        </w:tc>
      </w:tr>
      <w:tr>
        <w:trPr>
          <w:trHeight w:val="723" w:hRule="atLeast"/>
        </w:trPr>
        <w:tc>
          <w:tcPr>
            <w:tcW w:w="622" w:type="dxa"/>
            <w:tcBorders>
              <w:right w:val="single" w:sz="4" w:space="0" w:color="000000"/>
            </w:tcBorders>
          </w:tcPr>
          <w:p>
            <w:pPr>
              <w:pStyle w:val="TableParagraph"/>
              <w:ind w:left="119"/>
              <w:rPr>
                <w:sz w:val="18"/>
              </w:rPr>
            </w:pPr>
            <w:r>
              <w:rPr>
                <w:spacing w:val="-10"/>
                <w:sz w:val="18"/>
              </w:rPr>
              <w:t>3</w:t>
            </w:r>
          </w:p>
        </w:tc>
        <w:tc>
          <w:tcPr>
            <w:tcW w:w="1721" w:type="dxa"/>
            <w:tcBorders>
              <w:left w:val="single" w:sz="4" w:space="0" w:color="000000"/>
              <w:right w:val="single" w:sz="4" w:space="0" w:color="000000"/>
            </w:tcBorders>
          </w:tcPr>
          <w:p>
            <w:pPr>
              <w:pStyle w:val="TableParagraph"/>
              <w:spacing w:line="254" w:lineRule="auto"/>
              <w:ind w:left="113" w:firstLine="4"/>
              <w:rPr>
                <w:sz w:val="18"/>
              </w:rPr>
            </w:pPr>
            <w:r>
              <w:rPr>
                <w:spacing w:val="-2"/>
                <w:sz w:val="18"/>
              </w:rPr>
              <w:t>tn_hv_y0_a30</w:t>
            </w:r>
            <w:r>
              <w:rPr>
                <w:spacing w:val="-10"/>
                <w:sz w:val="18"/>
              </w:rPr>
              <w:t> </w:t>
            </w:r>
            <w:r>
              <w:rPr>
                <w:spacing w:val="-2"/>
                <w:sz w:val="18"/>
              </w:rPr>
              <w:t>(prev-</w:t>
            </w:r>
            <w:r>
              <w:rPr>
                <w:sz w:val="18"/>
              </w:rPr>
              <w:t>yr harvest nights)</w:t>
            </w:r>
          </w:p>
        </w:tc>
        <w:tc>
          <w:tcPr>
            <w:tcW w:w="1097" w:type="dxa"/>
            <w:tcBorders>
              <w:left w:val="single" w:sz="4" w:space="0" w:color="000000"/>
              <w:right w:val="single" w:sz="4" w:space="0" w:color="000000"/>
            </w:tcBorders>
          </w:tcPr>
          <w:p>
            <w:pPr>
              <w:pStyle w:val="TableParagraph"/>
              <w:ind w:left="118"/>
              <w:rPr>
                <w:sz w:val="18"/>
              </w:rPr>
            </w:pPr>
            <w:r>
              <w:rPr>
                <w:spacing w:val="-2"/>
                <w:sz w:val="18"/>
              </w:rPr>
              <w:t>+0.371</w:t>
            </w:r>
          </w:p>
        </w:tc>
        <w:tc>
          <w:tcPr>
            <w:tcW w:w="1551" w:type="dxa"/>
            <w:tcBorders>
              <w:left w:val="single" w:sz="4" w:space="0" w:color="000000"/>
              <w:right w:val="single" w:sz="4" w:space="0" w:color="000000"/>
            </w:tcBorders>
          </w:tcPr>
          <w:p>
            <w:pPr>
              <w:pStyle w:val="TableParagraph"/>
              <w:ind w:left="118"/>
              <w:rPr>
                <w:sz w:val="18"/>
              </w:rPr>
            </w:pPr>
            <w:r>
              <w:rPr>
                <w:sz w:val="18"/>
              </w:rPr>
              <w:t>HIGH,</w:t>
            </w:r>
            <w:r>
              <w:rPr>
                <w:spacing w:val="-6"/>
                <w:sz w:val="18"/>
              </w:rPr>
              <w:t> </w:t>
            </w:r>
            <w:r>
              <w:rPr>
                <w:spacing w:val="-2"/>
                <w:sz w:val="18"/>
              </w:rPr>
              <w:t>warming</w:t>
            </w:r>
          </w:p>
        </w:tc>
        <w:tc>
          <w:tcPr>
            <w:tcW w:w="1721" w:type="dxa"/>
            <w:tcBorders>
              <w:left w:val="single" w:sz="4" w:space="0" w:color="000000"/>
              <w:right w:val="single" w:sz="4" w:space="0" w:color="000000"/>
            </w:tcBorders>
          </w:tcPr>
          <w:p>
            <w:pPr>
              <w:pStyle w:val="TableParagraph"/>
              <w:tabs>
                <w:tab w:pos="979" w:val="left" w:leader="none"/>
              </w:tabs>
              <w:spacing w:line="254" w:lineRule="auto"/>
              <w:ind w:left="112" w:right="109" w:firstLine="5"/>
              <w:rPr>
                <w:sz w:val="18"/>
              </w:rPr>
            </w:pPr>
            <w:r>
              <w:rPr>
                <w:spacing w:val="-2"/>
                <w:sz w:val="18"/>
              </w:rPr>
              <w:t>tm_sm_y0_b20 (prev-yr</w:t>
            </w:r>
            <w:r>
              <w:rPr>
                <w:sz w:val="18"/>
              </w:rPr>
              <w:tab/>
            </w:r>
            <w:r>
              <w:rPr>
                <w:spacing w:val="-2"/>
                <w:sz w:val="18"/>
              </w:rPr>
              <w:t>maturity temp)</w:t>
            </w:r>
          </w:p>
        </w:tc>
        <w:tc>
          <w:tcPr>
            <w:tcW w:w="1097" w:type="dxa"/>
            <w:tcBorders>
              <w:left w:val="single" w:sz="4" w:space="0" w:color="000000"/>
              <w:right w:val="single" w:sz="4" w:space="0" w:color="000000"/>
            </w:tcBorders>
          </w:tcPr>
          <w:p>
            <w:pPr>
              <w:pStyle w:val="TableParagraph"/>
              <w:ind w:left="118"/>
              <w:rPr>
                <w:sz w:val="18"/>
              </w:rPr>
            </w:pPr>
            <w:r>
              <w:rPr>
                <w:spacing w:val="-2"/>
                <w:sz w:val="18"/>
              </w:rPr>
              <w:t>+0.348</w:t>
            </w:r>
          </w:p>
        </w:tc>
        <w:tc>
          <w:tcPr>
            <w:tcW w:w="694" w:type="dxa"/>
            <w:tcBorders>
              <w:left w:val="single" w:sz="4" w:space="0" w:color="000000"/>
            </w:tcBorders>
          </w:tcPr>
          <w:p>
            <w:pPr>
              <w:pStyle w:val="TableParagraph"/>
              <w:ind w:left="119"/>
              <w:rPr>
                <w:sz w:val="18"/>
              </w:rPr>
            </w:pPr>
            <w:r>
              <w:rPr>
                <w:spacing w:val="-4"/>
                <w:sz w:val="18"/>
              </w:rPr>
              <w:t>HIGH</w:t>
            </w:r>
          </w:p>
        </w:tc>
      </w:tr>
      <w:tr>
        <w:trPr>
          <w:trHeight w:val="723" w:hRule="atLeast"/>
        </w:trPr>
        <w:tc>
          <w:tcPr>
            <w:tcW w:w="622" w:type="dxa"/>
            <w:tcBorders>
              <w:right w:val="single" w:sz="4" w:space="0" w:color="000000"/>
            </w:tcBorders>
          </w:tcPr>
          <w:p>
            <w:pPr>
              <w:pStyle w:val="TableParagraph"/>
              <w:ind w:left="119"/>
              <w:rPr>
                <w:sz w:val="18"/>
              </w:rPr>
            </w:pPr>
            <w:r>
              <w:rPr>
                <w:spacing w:val="-10"/>
                <w:sz w:val="18"/>
              </w:rPr>
              <w:t>4</w:t>
            </w:r>
          </w:p>
        </w:tc>
        <w:tc>
          <w:tcPr>
            <w:tcW w:w="1721" w:type="dxa"/>
            <w:tcBorders>
              <w:left w:val="single" w:sz="4" w:space="0" w:color="000000"/>
              <w:right w:val="single" w:sz="4" w:space="0" w:color="000000"/>
            </w:tcBorders>
          </w:tcPr>
          <w:p>
            <w:pPr>
              <w:pStyle w:val="TableParagraph"/>
              <w:tabs>
                <w:tab w:pos="1005" w:val="left" w:leader="none"/>
              </w:tabs>
              <w:spacing w:line="254" w:lineRule="auto"/>
              <w:ind w:left="112" w:right="113" w:firstLine="5"/>
              <w:rPr>
                <w:sz w:val="18"/>
              </w:rPr>
            </w:pPr>
            <w:r>
              <w:rPr>
                <w:spacing w:val="-2"/>
                <w:sz w:val="18"/>
              </w:rPr>
              <w:t>tm_sm_y0_a20 (prev-yr</w:t>
            </w:r>
            <w:r>
              <w:rPr>
                <w:sz w:val="18"/>
              </w:rPr>
              <w:tab/>
            </w:r>
            <w:r>
              <w:rPr>
                <w:spacing w:val="-2"/>
                <w:sz w:val="18"/>
              </w:rPr>
              <w:t>summer temp)</w:t>
            </w:r>
          </w:p>
        </w:tc>
        <w:tc>
          <w:tcPr>
            <w:tcW w:w="1097" w:type="dxa"/>
            <w:tcBorders>
              <w:left w:val="single" w:sz="4" w:space="0" w:color="000000"/>
              <w:right w:val="single" w:sz="4" w:space="0" w:color="000000"/>
            </w:tcBorders>
          </w:tcPr>
          <w:p>
            <w:pPr>
              <w:pStyle w:val="TableParagraph"/>
              <w:ind w:left="118"/>
              <w:rPr>
                <w:sz w:val="18"/>
              </w:rPr>
            </w:pPr>
            <w:r>
              <w:rPr>
                <w:spacing w:val="-2"/>
                <w:sz w:val="18"/>
              </w:rPr>
              <w:t>+0.269</w:t>
            </w:r>
          </w:p>
        </w:tc>
        <w:tc>
          <w:tcPr>
            <w:tcW w:w="1551" w:type="dxa"/>
            <w:tcBorders>
              <w:left w:val="single" w:sz="4" w:space="0" w:color="000000"/>
              <w:right w:val="single" w:sz="4" w:space="0" w:color="000000"/>
            </w:tcBorders>
          </w:tcPr>
          <w:p>
            <w:pPr>
              <w:pStyle w:val="TableParagraph"/>
              <w:ind w:left="118"/>
              <w:rPr>
                <w:sz w:val="18"/>
              </w:rPr>
            </w:pPr>
            <w:r>
              <w:rPr>
                <w:spacing w:val="-2"/>
                <w:sz w:val="18"/>
              </w:rPr>
              <w:t>MODERATE</w:t>
            </w:r>
          </w:p>
        </w:tc>
        <w:tc>
          <w:tcPr>
            <w:tcW w:w="1721" w:type="dxa"/>
            <w:tcBorders>
              <w:left w:val="single" w:sz="4" w:space="0" w:color="000000"/>
              <w:right w:val="single" w:sz="4" w:space="0" w:color="000000"/>
            </w:tcBorders>
          </w:tcPr>
          <w:p>
            <w:pPr>
              <w:pStyle w:val="TableParagraph"/>
              <w:spacing w:line="254" w:lineRule="auto"/>
              <w:ind w:left="118"/>
              <w:rPr>
                <w:sz w:val="18"/>
              </w:rPr>
            </w:pPr>
            <w:r>
              <w:rPr>
                <w:sz w:val="18"/>
              </w:rPr>
              <w:t>tm_hv_y1_b20</w:t>
            </w:r>
            <w:r>
              <w:rPr>
                <w:spacing w:val="-12"/>
                <w:sz w:val="18"/>
              </w:rPr>
              <w:t> </w:t>
            </w:r>
            <w:r>
              <w:rPr>
                <w:sz w:val="18"/>
              </w:rPr>
              <w:t>(pre-harvest temp)</w:t>
            </w:r>
          </w:p>
        </w:tc>
        <w:tc>
          <w:tcPr>
            <w:tcW w:w="1097" w:type="dxa"/>
            <w:tcBorders>
              <w:left w:val="single" w:sz="4" w:space="0" w:color="000000"/>
              <w:right w:val="single" w:sz="4" w:space="0" w:color="000000"/>
            </w:tcBorders>
          </w:tcPr>
          <w:p>
            <w:pPr>
              <w:pStyle w:val="TableParagraph"/>
              <w:ind w:left="118"/>
              <w:rPr>
                <w:sz w:val="18"/>
              </w:rPr>
            </w:pPr>
            <w:r>
              <w:rPr>
                <w:spacing w:val="-2"/>
                <w:sz w:val="18"/>
              </w:rPr>
              <w:t>+0.335</w:t>
            </w:r>
          </w:p>
        </w:tc>
        <w:tc>
          <w:tcPr>
            <w:tcW w:w="694" w:type="dxa"/>
            <w:tcBorders>
              <w:left w:val="single" w:sz="4" w:space="0" w:color="000000"/>
            </w:tcBorders>
          </w:tcPr>
          <w:p>
            <w:pPr>
              <w:pStyle w:val="TableParagraph"/>
              <w:ind w:left="119"/>
              <w:rPr>
                <w:sz w:val="18"/>
              </w:rPr>
            </w:pPr>
            <w:r>
              <w:rPr>
                <w:spacing w:val="-4"/>
                <w:sz w:val="18"/>
              </w:rPr>
              <w:t>HIGH</w:t>
            </w:r>
          </w:p>
        </w:tc>
      </w:tr>
      <w:tr>
        <w:trPr>
          <w:trHeight w:val="760" w:hRule="atLeast"/>
        </w:trPr>
        <w:tc>
          <w:tcPr>
            <w:tcW w:w="622" w:type="dxa"/>
            <w:tcBorders>
              <w:bottom w:val="single" w:sz="8" w:space="0" w:color="000000"/>
              <w:right w:val="single" w:sz="4" w:space="0" w:color="000000"/>
            </w:tcBorders>
          </w:tcPr>
          <w:p>
            <w:pPr>
              <w:pStyle w:val="TableParagraph"/>
              <w:ind w:left="119"/>
              <w:rPr>
                <w:sz w:val="18"/>
              </w:rPr>
            </w:pPr>
            <w:r>
              <w:rPr>
                <w:spacing w:val="-10"/>
                <w:sz w:val="18"/>
              </w:rPr>
              <w:t>5</w:t>
            </w:r>
          </w:p>
        </w:tc>
        <w:tc>
          <w:tcPr>
            <w:tcW w:w="1721" w:type="dxa"/>
            <w:tcBorders>
              <w:left w:val="single" w:sz="4" w:space="0" w:color="000000"/>
              <w:bottom w:val="single" w:sz="8" w:space="0" w:color="000000"/>
              <w:right w:val="single" w:sz="4" w:space="0" w:color="000000"/>
            </w:tcBorders>
          </w:tcPr>
          <w:p>
            <w:pPr>
              <w:pStyle w:val="TableParagraph"/>
              <w:spacing w:line="254" w:lineRule="auto"/>
              <w:ind w:left="118" w:right="107"/>
              <w:jc w:val="both"/>
              <w:rPr>
                <w:sz w:val="18"/>
              </w:rPr>
            </w:pPr>
            <w:r>
              <w:rPr>
                <w:spacing w:val="-2"/>
                <w:sz w:val="18"/>
              </w:rPr>
              <w:t>days.rf.above.1mm_ </w:t>
            </w:r>
            <w:r>
              <w:rPr>
                <w:sz w:val="18"/>
              </w:rPr>
              <w:t>hv (harvest rain </w:t>
            </w:r>
            <w:r>
              <w:rPr>
                <w:spacing w:val="-2"/>
                <w:sz w:val="18"/>
              </w:rPr>
              <w:t>days)</w:t>
            </w:r>
          </w:p>
        </w:tc>
        <w:tc>
          <w:tcPr>
            <w:tcW w:w="1097" w:type="dxa"/>
            <w:tcBorders>
              <w:left w:val="single" w:sz="4" w:space="0" w:color="000000"/>
              <w:bottom w:val="single" w:sz="8" w:space="0" w:color="000000"/>
              <w:right w:val="single" w:sz="4" w:space="0" w:color="000000"/>
            </w:tcBorders>
          </w:tcPr>
          <w:p>
            <w:pPr>
              <w:pStyle w:val="TableParagraph"/>
              <w:spacing w:line="276" w:lineRule="exact" w:before="0"/>
              <w:ind w:left="118"/>
              <w:rPr>
                <w:sz w:val="18"/>
              </w:rPr>
            </w:pPr>
            <w:r>
              <w:rPr>
                <w:rFonts w:ascii="Meiryo UI" w:hAnsi="Meiryo UI"/>
                <w:i/>
                <w:spacing w:val="-2"/>
                <w:sz w:val="18"/>
              </w:rPr>
              <w:t>−</w:t>
            </w:r>
            <w:r>
              <w:rPr>
                <w:spacing w:val="-2"/>
                <w:sz w:val="18"/>
              </w:rPr>
              <w:t>0.201</w:t>
            </w:r>
          </w:p>
        </w:tc>
        <w:tc>
          <w:tcPr>
            <w:tcW w:w="1551" w:type="dxa"/>
            <w:tcBorders>
              <w:left w:val="single" w:sz="4" w:space="0" w:color="000000"/>
              <w:bottom w:val="single" w:sz="8" w:space="0" w:color="000000"/>
              <w:right w:val="single" w:sz="4" w:space="0" w:color="000000"/>
            </w:tcBorders>
          </w:tcPr>
          <w:p>
            <w:pPr>
              <w:pStyle w:val="TableParagraph"/>
              <w:ind w:left="118"/>
              <w:rPr>
                <w:sz w:val="18"/>
              </w:rPr>
            </w:pPr>
            <w:r>
              <w:rPr>
                <w:spacing w:val="-5"/>
                <w:sz w:val="18"/>
              </w:rPr>
              <w:t>LOW</w:t>
            </w:r>
          </w:p>
        </w:tc>
        <w:tc>
          <w:tcPr>
            <w:tcW w:w="1721" w:type="dxa"/>
            <w:tcBorders>
              <w:left w:val="single" w:sz="4" w:space="0" w:color="000000"/>
              <w:bottom w:val="single" w:sz="8" w:space="0" w:color="000000"/>
              <w:right w:val="single" w:sz="4" w:space="0" w:color="000000"/>
            </w:tcBorders>
          </w:tcPr>
          <w:p>
            <w:pPr>
              <w:pStyle w:val="TableParagraph"/>
              <w:tabs>
                <w:tab w:pos="1006" w:val="left" w:leader="none"/>
              </w:tabs>
              <w:spacing w:line="254" w:lineRule="auto"/>
              <w:ind w:left="112" w:right="113" w:firstLine="5"/>
              <w:rPr>
                <w:sz w:val="18"/>
              </w:rPr>
            </w:pPr>
            <w:r>
              <w:rPr>
                <w:spacing w:val="-2"/>
                <w:sz w:val="18"/>
              </w:rPr>
              <w:t>tm_sm_y0_a20 (prev-yr</w:t>
            </w:r>
            <w:r>
              <w:rPr>
                <w:sz w:val="18"/>
              </w:rPr>
              <w:tab/>
            </w:r>
            <w:r>
              <w:rPr>
                <w:spacing w:val="-2"/>
                <w:sz w:val="18"/>
              </w:rPr>
              <w:t>summer temp)</w:t>
            </w:r>
          </w:p>
        </w:tc>
        <w:tc>
          <w:tcPr>
            <w:tcW w:w="1097" w:type="dxa"/>
            <w:tcBorders>
              <w:left w:val="single" w:sz="4" w:space="0" w:color="000000"/>
              <w:bottom w:val="single" w:sz="8" w:space="0" w:color="000000"/>
              <w:right w:val="single" w:sz="4" w:space="0" w:color="000000"/>
            </w:tcBorders>
          </w:tcPr>
          <w:p>
            <w:pPr>
              <w:pStyle w:val="TableParagraph"/>
              <w:ind w:left="118"/>
              <w:rPr>
                <w:sz w:val="18"/>
              </w:rPr>
            </w:pPr>
            <w:r>
              <w:rPr>
                <w:spacing w:val="-2"/>
                <w:sz w:val="18"/>
              </w:rPr>
              <w:t>+0.295</w:t>
            </w:r>
          </w:p>
        </w:tc>
        <w:tc>
          <w:tcPr>
            <w:tcW w:w="694" w:type="dxa"/>
            <w:tcBorders>
              <w:left w:val="single" w:sz="4" w:space="0" w:color="000000"/>
              <w:bottom w:val="single" w:sz="8" w:space="0" w:color="000000"/>
            </w:tcBorders>
          </w:tcPr>
          <w:p>
            <w:pPr>
              <w:pStyle w:val="TableParagraph"/>
              <w:ind w:left="119" w:right="-72"/>
              <w:rPr>
                <w:sz w:val="18"/>
              </w:rPr>
            </w:pPr>
            <w:r>
              <w:rPr>
                <w:spacing w:val="-5"/>
                <w:sz w:val="18"/>
              </w:rPr>
              <w:t>MODER</w:t>
            </w:r>
          </w:p>
        </w:tc>
      </w:tr>
    </w:tbl>
    <w:p>
      <w:pPr>
        <w:pStyle w:val="BodyText"/>
        <w:spacing w:before="192"/>
        <w:rPr>
          <w:sz w:val="20"/>
        </w:rPr>
      </w:pPr>
    </w:p>
    <w:p>
      <w:pPr>
        <w:pStyle w:val="BodyText"/>
        <w:spacing w:line="312" w:lineRule="auto"/>
        <w:ind w:left="142"/>
      </w:pPr>
      <w:r>
        <w:rPr/>
        <w:t>LAI</w:t>
      </w:r>
      <w:r>
        <w:rPr>
          <w:spacing w:val="-11"/>
        </w:rPr>
        <w:t> </w:t>
      </w:r>
      <w:r>
        <w:rPr/>
        <w:t>remains</w:t>
      </w:r>
      <w:r>
        <w:rPr>
          <w:spacing w:val="-11"/>
        </w:rPr>
        <w:t> </w:t>
      </w:r>
      <w:r>
        <w:rPr/>
        <w:t>one</w:t>
      </w:r>
      <w:r>
        <w:rPr>
          <w:spacing w:val="-11"/>
        </w:rPr>
        <w:t> </w:t>
      </w:r>
      <w:r>
        <w:rPr/>
        <w:t>of</w:t>
      </w:r>
      <w:r>
        <w:rPr>
          <w:spacing w:val="-11"/>
        </w:rPr>
        <w:t> </w:t>
      </w:r>
      <w:r>
        <w:rPr/>
        <w:t>the</w:t>
      </w:r>
      <w:r>
        <w:rPr>
          <w:spacing w:val="-11"/>
        </w:rPr>
        <w:t> </w:t>
      </w:r>
      <w:r>
        <w:rPr/>
        <w:t>strongest</w:t>
      </w:r>
      <w:r>
        <w:rPr>
          <w:spacing w:val="-11"/>
        </w:rPr>
        <w:t> </w:t>
      </w:r>
      <w:r>
        <w:rPr/>
        <w:t>within-era</w:t>
      </w:r>
      <w:r>
        <w:rPr>
          <w:spacing w:val="-11"/>
        </w:rPr>
        <w:t> </w:t>
      </w:r>
      <w:r>
        <w:rPr/>
        <w:t>predictors</w:t>
      </w:r>
      <w:r>
        <w:rPr>
          <w:spacing w:val="-11"/>
        </w:rPr>
        <w:t> </w:t>
      </w:r>
      <w:r>
        <w:rPr/>
        <w:t>in</w:t>
      </w:r>
      <w:r>
        <w:rPr>
          <w:spacing w:val="-11"/>
        </w:rPr>
        <w:t> </w:t>
      </w:r>
      <w:r>
        <w:rPr/>
        <w:t>RVV,</w:t>
      </w:r>
      <w:r>
        <w:rPr>
          <w:spacing w:val="-11"/>
        </w:rPr>
        <w:t> </w:t>
      </w:r>
      <w:r>
        <w:rPr/>
        <w:t>confirming</w:t>
      </w:r>
      <w:r>
        <w:rPr>
          <w:spacing w:val="-11"/>
        </w:rPr>
        <w:t> </w:t>
      </w:r>
      <w:r>
        <w:rPr/>
        <w:t>its</w:t>
      </w:r>
      <w:r>
        <w:rPr>
          <w:spacing w:val="-11"/>
        </w:rPr>
        <w:t> </w:t>
      </w:r>
      <w:r>
        <w:rPr/>
        <w:t>genuine</w:t>
      </w:r>
      <w:r>
        <w:rPr>
          <w:spacing w:val="-11"/>
        </w:rPr>
        <w:t> </w:t>
      </w:r>
      <w:r>
        <w:rPr/>
        <w:t>within-</w:t>
      </w:r>
      <w:r>
        <w:rPr/>
        <w:t>era signal. The era confound inflates its correlation but does not invent the relationship.</w:t>
      </w:r>
    </w:p>
    <w:p>
      <w:pPr>
        <w:pStyle w:val="BodyText"/>
        <w:spacing w:before="140"/>
      </w:pPr>
    </w:p>
    <w:p>
      <w:pPr>
        <w:pStyle w:val="Heading2"/>
        <w:numPr>
          <w:ilvl w:val="1"/>
          <w:numId w:val="41"/>
        </w:numPr>
        <w:tabs>
          <w:tab w:pos="835" w:val="left" w:leader="none"/>
        </w:tabs>
        <w:spacing w:line="240" w:lineRule="auto" w:before="1" w:after="0"/>
        <w:ind w:left="835" w:right="0" w:hanging="693"/>
        <w:jc w:val="left"/>
      </w:pPr>
      <w:bookmarkStart w:name="B.5 Experiment Pipeline" w:id="297"/>
      <w:bookmarkEnd w:id="297"/>
      <w:r>
        <w:rPr>
          <w:b w:val="0"/>
        </w:rPr>
      </w:r>
      <w:bookmarkStart w:name="_bookmark176" w:id="298"/>
      <w:bookmarkEnd w:id="298"/>
      <w:r>
        <w:rPr>
          <w:b w:val="0"/>
        </w:rPr>
      </w:r>
      <w:r>
        <w:rPr/>
        <w:t>Experiment</w:t>
      </w:r>
      <w:r>
        <w:rPr>
          <w:spacing w:val="29"/>
        </w:rPr>
        <w:t> </w:t>
      </w:r>
      <w:r>
        <w:rPr>
          <w:spacing w:val="-2"/>
        </w:rPr>
        <w:t>Pipeline</w:t>
      </w:r>
    </w:p>
    <w:p>
      <w:pPr>
        <w:pStyle w:val="BodyText"/>
        <w:spacing w:before="288"/>
        <w:ind w:left="481" w:hanging="339"/>
      </w:pPr>
      <w:r>
        <w:rPr>
          <w:spacing w:val="-4"/>
        </w:rPr>
        <w:t>Figure</w:t>
      </w:r>
      <w:r>
        <w:rPr>
          <w:spacing w:val="-1"/>
        </w:rPr>
        <w:t> </w:t>
      </w:r>
      <w:hyperlink w:history="true" w:anchor="_bookmark177">
        <w:r>
          <w:rPr>
            <w:color w:val="8B2C18"/>
            <w:spacing w:val="-4"/>
          </w:rPr>
          <w:t>B.1</w:t>
        </w:r>
      </w:hyperlink>
      <w:r>
        <w:rPr>
          <w:color w:val="8B2C18"/>
          <w:spacing w:val="-1"/>
        </w:rPr>
        <w:t> </w:t>
      </w:r>
      <w:r>
        <w:rPr>
          <w:spacing w:val="-4"/>
        </w:rPr>
        <w:t>shows</w:t>
      </w:r>
      <w:r>
        <w:rPr/>
        <w:t> </w:t>
      </w:r>
      <w:r>
        <w:rPr>
          <w:spacing w:val="-4"/>
        </w:rPr>
        <w:t>the</w:t>
      </w:r>
      <w:r>
        <w:rPr>
          <w:spacing w:val="-1"/>
        </w:rPr>
        <w:t> </w:t>
      </w:r>
      <w:r>
        <w:rPr>
          <w:spacing w:val="-4"/>
        </w:rPr>
        <w:t>complete</w:t>
      </w:r>
      <w:r>
        <w:rPr/>
        <w:t> </w:t>
      </w:r>
      <w:r>
        <w:rPr>
          <w:spacing w:val="-4"/>
        </w:rPr>
        <w:t>experiment</w:t>
      </w:r>
      <w:r>
        <w:rPr>
          <w:spacing w:val="-1"/>
        </w:rPr>
        <w:t> </w:t>
      </w:r>
      <w:r>
        <w:rPr>
          <w:spacing w:val="-4"/>
        </w:rPr>
        <w:t>pipeline</w:t>
      </w:r>
      <w:r>
        <w:rPr>
          <w:spacing w:val="-1"/>
        </w:rPr>
        <w:t> </w:t>
      </w:r>
      <w:r>
        <w:rPr>
          <w:spacing w:val="-4"/>
        </w:rPr>
        <w:t>from</w:t>
      </w:r>
      <w:r>
        <w:rPr>
          <w:spacing w:val="-1"/>
        </w:rPr>
        <w:t> </w:t>
      </w:r>
      <w:r>
        <w:rPr>
          <w:spacing w:val="-4"/>
        </w:rPr>
        <w:t>raw</w:t>
      </w:r>
      <w:r>
        <w:rPr>
          <w:spacing w:val="-1"/>
        </w:rPr>
        <w:t> </w:t>
      </w:r>
      <w:r>
        <w:rPr>
          <w:spacing w:val="-4"/>
        </w:rPr>
        <w:t>source</w:t>
      </w:r>
      <w:r>
        <w:rPr>
          <w:spacing w:val="-1"/>
        </w:rPr>
        <w:t> </w:t>
      </w:r>
      <w:r>
        <w:rPr>
          <w:spacing w:val="-4"/>
        </w:rPr>
        <w:t>files</w:t>
      </w:r>
      <w:r>
        <w:rPr>
          <w:spacing w:val="-1"/>
        </w:rPr>
        <w:t> </w:t>
      </w:r>
      <w:r>
        <w:rPr>
          <w:spacing w:val="-4"/>
        </w:rPr>
        <w:t>to</w:t>
      </w:r>
      <w:r>
        <w:rPr/>
        <w:t> </w:t>
      </w:r>
      <w:r>
        <w:rPr>
          <w:spacing w:val="-4"/>
        </w:rPr>
        <w:t>final</w:t>
      </w:r>
      <w:r>
        <w:rPr>
          <w:spacing w:val="-1"/>
        </w:rPr>
        <w:t> </w:t>
      </w:r>
      <w:r>
        <w:rPr>
          <w:spacing w:val="-4"/>
        </w:rPr>
        <w:t>modelling</w:t>
      </w:r>
      <w:r>
        <w:rPr>
          <w:spacing w:val="-2"/>
        </w:rPr>
        <w:t> </w:t>
      </w:r>
      <w:r>
        <w:rPr>
          <w:spacing w:val="-4"/>
        </w:rPr>
        <w:t>outputs.</w:t>
      </w:r>
    </w:p>
    <w:p>
      <w:pPr>
        <w:pStyle w:val="BodyText"/>
        <w:spacing w:line="312" w:lineRule="auto" w:before="76"/>
        <w:ind w:left="142" w:firstLine="338"/>
      </w:pPr>
      <w:r>
        <w:rPr>
          <w:spacing w:val="-4"/>
        </w:rPr>
        <w:t>Table</w:t>
      </w:r>
      <w:r>
        <w:rPr>
          <w:spacing w:val="-12"/>
        </w:rPr>
        <w:t> </w:t>
      </w:r>
      <w:hyperlink w:history="true" w:anchor="_bookmark178">
        <w:r>
          <w:rPr>
            <w:color w:val="8B2C18"/>
            <w:spacing w:val="-4"/>
          </w:rPr>
          <w:t>B.7</w:t>
        </w:r>
      </w:hyperlink>
      <w:r>
        <w:rPr>
          <w:color w:val="8B2C18"/>
          <w:spacing w:val="-12"/>
        </w:rPr>
        <w:t> </w:t>
      </w:r>
      <w:r>
        <w:rPr>
          <w:spacing w:val="-4"/>
        </w:rPr>
        <w:t>breaks</w:t>
      </w:r>
      <w:r>
        <w:rPr>
          <w:spacing w:val="-12"/>
        </w:rPr>
        <w:t> </w:t>
      </w:r>
      <w:r>
        <w:rPr>
          <w:spacing w:val="-4"/>
        </w:rPr>
        <w:t>the</w:t>
      </w:r>
      <w:r>
        <w:rPr>
          <w:spacing w:val="-12"/>
        </w:rPr>
        <w:t> </w:t>
      </w:r>
      <w:r>
        <w:rPr>
          <w:spacing w:val="-4"/>
        </w:rPr>
        <w:t>pipeline</w:t>
      </w:r>
      <w:r>
        <w:rPr>
          <w:spacing w:val="-12"/>
        </w:rPr>
        <w:t> </w:t>
      </w:r>
      <w:r>
        <w:rPr>
          <w:spacing w:val="-4"/>
        </w:rPr>
        <w:t>into</w:t>
      </w:r>
      <w:r>
        <w:rPr>
          <w:spacing w:val="-12"/>
        </w:rPr>
        <w:t> </w:t>
      </w:r>
      <w:r>
        <w:rPr>
          <w:spacing w:val="-4"/>
        </w:rPr>
        <w:t>its</w:t>
      </w:r>
      <w:r>
        <w:rPr>
          <w:spacing w:val="-12"/>
        </w:rPr>
        <w:t> </w:t>
      </w:r>
      <w:r>
        <w:rPr>
          <w:spacing w:val="-4"/>
        </w:rPr>
        <w:t>five</w:t>
      </w:r>
      <w:r>
        <w:rPr>
          <w:spacing w:val="-12"/>
        </w:rPr>
        <w:t> </w:t>
      </w:r>
      <w:r>
        <w:rPr>
          <w:spacing w:val="-4"/>
        </w:rPr>
        <w:t>numbered</w:t>
      </w:r>
      <w:r>
        <w:rPr>
          <w:spacing w:val="-12"/>
        </w:rPr>
        <w:t> </w:t>
      </w:r>
      <w:r>
        <w:rPr>
          <w:spacing w:val="-4"/>
        </w:rPr>
        <w:t>stages.</w:t>
      </w:r>
      <w:r>
        <w:rPr>
          <w:spacing w:val="9"/>
        </w:rPr>
        <w:t> </w:t>
      </w:r>
      <w:r>
        <w:rPr>
          <w:spacing w:val="-4"/>
        </w:rPr>
        <w:t>Table</w:t>
      </w:r>
      <w:r>
        <w:rPr>
          <w:spacing w:val="-12"/>
        </w:rPr>
        <w:t> </w:t>
      </w:r>
      <w:hyperlink w:history="true" w:anchor="_bookmark179">
        <w:r>
          <w:rPr>
            <w:color w:val="8B2C18"/>
            <w:spacing w:val="-4"/>
          </w:rPr>
          <w:t>B.8</w:t>
        </w:r>
      </w:hyperlink>
      <w:r>
        <w:rPr>
          <w:color w:val="8B2C18"/>
          <w:spacing w:val="-12"/>
        </w:rPr>
        <w:t> </w:t>
      </w:r>
      <w:r>
        <w:rPr>
          <w:spacing w:val="-4"/>
        </w:rPr>
        <w:t>lists</w:t>
      </w:r>
      <w:r>
        <w:rPr>
          <w:spacing w:val="-12"/>
        </w:rPr>
        <w:t> </w:t>
      </w:r>
      <w:r>
        <w:rPr>
          <w:spacing w:val="-4"/>
        </w:rPr>
        <w:t>the</w:t>
      </w:r>
      <w:r>
        <w:rPr>
          <w:spacing w:val="-12"/>
        </w:rPr>
        <w:t> </w:t>
      </w:r>
      <w:r>
        <w:rPr>
          <w:spacing w:val="-4"/>
        </w:rPr>
        <w:t>fixed</w:t>
      </w:r>
      <w:r>
        <w:rPr>
          <w:spacing w:val="-12"/>
        </w:rPr>
        <w:t> </w:t>
      </w:r>
      <w:r>
        <w:rPr>
          <w:spacing w:val="-4"/>
        </w:rPr>
        <w:t>configuration </w:t>
      </w:r>
      <w:r>
        <w:rPr/>
        <w:t>parameters stored in </w:t>
      </w:r>
      <w:r>
        <w:rPr>
          <w:rFonts w:ascii="Courier New"/>
        </w:rPr>
        <w:t>utils/config.R</w:t>
      </w:r>
      <w:r>
        <w:rPr/>
        <w:t>.</w:t>
      </w:r>
    </w:p>
    <w:p>
      <w:pPr>
        <w:pStyle w:val="BodyText"/>
        <w:rPr>
          <w:sz w:val="18"/>
        </w:rPr>
      </w:pPr>
      <w:r>
        <w:rPr/>
        <w:br w:type="column"/>
      </w:r>
      <w:r>
        <w:rPr>
          <w:sz w:val="18"/>
        </w:rPr>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58"/>
        <w:rPr>
          <w:sz w:val="18"/>
        </w:rPr>
      </w:pPr>
    </w:p>
    <w:p>
      <w:pPr>
        <w:spacing w:before="0"/>
        <w:ind w:left="0" w:right="0" w:firstLine="0"/>
        <w:jc w:val="left"/>
        <w:rPr>
          <w:sz w:val="18"/>
        </w:rPr>
      </w:pPr>
      <w:r>
        <w:rPr>
          <w:spacing w:val="-5"/>
          <w:sz w:val="18"/>
        </w:rPr>
        <w:t>ATE</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88"/>
        <w:rPr>
          <w:sz w:val="18"/>
        </w:rPr>
      </w:pPr>
    </w:p>
    <w:p>
      <w:pPr>
        <w:spacing w:before="0"/>
        <w:ind w:left="0" w:right="0" w:firstLine="0"/>
        <w:jc w:val="left"/>
        <w:rPr>
          <w:sz w:val="18"/>
        </w:rPr>
      </w:pPr>
      <w:r>
        <w:rPr>
          <w:spacing w:val="-5"/>
          <w:sz w:val="18"/>
        </w:rPr>
        <w:t>ATE</w:t>
      </w:r>
    </w:p>
    <w:p>
      <w:pPr>
        <w:spacing w:after="0"/>
        <w:jc w:val="left"/>
        <w:rPr>
          <w:sz w:val="18"/>
        </w:rPr>
        <w:sectPr>
          <w:type w:val="continuous"/>
          <w:pgSz w:w="11910" w:h="16840"/>
          <w:pgMar w:header="1160" w:footer="0" w:top="1120" w:bottom="280" w:left="1275" w:right="425"/>
          <w:cols w:num="2" w:equalWidth="0">
            <w:col w:w="8685" w:space="25"/>
            <w:col w:w="1500"/>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8"/>
        <w:rPr>
          <w:sz w:val="20"/>
        </w:rPr>
      </w:pPr>
    </w:p>
    <w:p>
      <w:pPr>
        <w:spacing w:line="240" w:lineRule="auto"/>
        <w:ind w:left="987" w:right="0" w:firstLine="0"/>
        <w:rPr>
          <w:sz w:val="20"/>
        </w:rPr>
      </w:pPr>
      <w:r>
        <w:rPr>
          <w:sz w:val="20"/>
        </w:rPr>
        <w:drawing>
          <wp:inline distT="0" distB="0" distL="0" distR="0">
            <wp:extent cx="5187315" cy="6617970"/>
            <wp:effectExtent l="0" t="0" r="0" b="0"/>
            <wp:docPr id="286" name="Image 286"/>
            <wp:cNvGraphicFramePr>
              <a:graphicFrameLocks/>
            </wp:cNvGraphicFramePr>
            <a:graphic>
              <a:graphicData uri="http://schemas.openxmlformats.org/drawingml/2006/picture">
                <pic:pic>
                  <pic:nvPicPr>
                    <pic:cNvPr id="286" name="Image 286"/>
                    <pic:cNvPicPr/>
                  </pic:nvPicPr>
                  <pic:blipFill>
                    <a:blip r:embed="rId122" cstate="print"/>
                    <a:stretch>
                      <a:fillRect/>
                    </a:stretch>
                  </pic:blipFill>
                  <pic:spPr>
                    <a:xfrm>
                      <a:off x="0" y="0"/>
                      <a:ext cx="5187315" cy="6617970"/>
                    </a:xfrm>
                    <a:prstGeom prst="rect">
                      <a:avLst/>
                    </a:prstGeom>
                  </pic:spPr>
                </pic:pic>
              </a:graphicData>
            </a:graphic>
          </wp:inline>
        </w:drawing>
      </w:r>
      <w:r>
        <w:rPr>
          <w:sz w:val="20"/>
        </w:rPr>
      </w:r>
    </w:p>
    <w:p>
      <w:pPr>
        <w:spacing w:line="249" w:lineRule="auto" w:before="102"/>
        <w:ind w:left="702" w:right="990" w:firstLine="7"/>
        <w:jc w:val="left"/>
        <w:rPr>
          <w:sz w:val="20"/>
        </w:rPr>
      </w:pPr>
      <w:bookmarkStart w:name="_bookmark177" w:id="299"/>
      <w:bookmarkEnd w:id="299"/>
      <w:r>
        <w:rPr/>
      </w:r>
      <w:r>
        <w:rPr>
          <w:b/>
          <w:sz w:val="20"/>
        </w:rPr>
        <w:t>Figure</w:t>
      </w:r>
      <w:r>
        <w:rPr>
          <w:b/>
          <w:spacing w:val="27"/>
          <w:sz w:val="20"/>
        </w:rPr>
        <w:t> </w:t>
      </w:r>
      <w:r>
        <w:rPr>
          <w:b/>
          <w:sz w:val="20"/>
        </w:rPr>
        <w:t>B.1:</w:t>
      </w:r>
      <w:r>
        <w:rPr>
          <w:b/>
          <w:spacing w:val="40"/>
          <w:sz w:val="20"/>
        </w:rPr>
        <w:t> </w:t>
      </w:r>
      <w:r>
        <w:rPr>
          <w:sz w:val="20"/>
        </w:rPr>
        <w:t>Experiment</w:t>
      </w:r>
      <w:r>
        <w:rPr>
          <w:spacing w:val="27"/>
          <w:sz w:val="20"/>
        </w:rPr>
        <w:t> </w:t>
      </w:r>
      <w:r>
        <w:rPr>
          <w:sz w:val="20"/>
        </w:rPr>
        <w:t>pipeline:</w:t>
      </w:r>
      <w:r>
        <w:rPr>
          <w:spacing w:val="40"/>
          <w:sz w:val="20"/>
        </w:rPr>
        <w:t> </w:t>
      </w:r>
      <w:r>
        <w:rPr>
          <w:sz w:val="20"/>
        </w:rPr>
        <w:t>data</w:t>
      </w:r>
      <w:r>
        <w:rPr>
          <w:spacing w:val="27"/>
          <w:sz w:val="20"/>
        </w:rPr>
        <w:t> </w:t>
      </w:r>
      <w:r>
        <w:rPr>
          <w:sz w:val="20"/>
        </w:rPr>
        <w:t>preparation,</w:t>
      </w:r>
      <w:r>
        <w:rPr>
          <w:spacing w:val="34"/>
          <w:sz w:val="20"/>
        </w:rPr>
        <w:t> </w:t>
      </w:r>
      <w:r>
        <w:rPr>
          <w:sz w:val="20"/>
        </w:rPr>
        <w:t>rule</w:t>
      </w:r>
      <w:r>
        <w:rPr>
          <w:spacing w:val="27"/>
          <w:sz w:val="20"/>
        </w:rPr>
        <w:t> </w:t>
      </w:r>
      <w:r>
        <w:rPr>
          <w:sz w:val="20"/>
        </w:rPr>
        <w:t>discovery</w:t>
      </w:r>
      <w:r>
        <w:rPr>
          <w:spacing w:val="27"/>
          <w:sz w:val="20"/>
        </w:rPr>
        <w:t> </w:t>
      </w:r>
      <w:r>
        <w:rPr>
          <w:sz w:val="20"/>
        </w:rPr>
        <w:t>(CarenR,</w:t>
      </w:r>
      <w:r>
        <w:rPr>
          <w:spacing w:val="27"/>
          <w:sz w:val="20"/>
        </w:rPr>
        <w:t> </w:t>
      </w:r>
      <w:r>
        <w:rPr>
          <w:sz w:val="20"/>
        </w:rPr>
        <w:t>RIPPER,</w:t>
      </w:r>
      <w:r>
        <w:rPr>
          <w:spacing w:val="27"/>
          <w:sz w:val="20"/>
        </w:rPr>
        <w:t> </w:t>
      </w:r>
      <w:r>
        <w:rPr>
          <w:sz w:val="20"/>
        </w:rPr>
        <w:t>M5Rules),</w:t>
      </w:r>
      <w:r>
        <w:rPr>
          <w:spacing w:val="34"/>
          <w:sz w:val="20"/>
        </w:rPr>
        <w:t> </w:t>
      </w:r>
      <w:r>
        <w:rPr>
          <w:sz w:val="20"/>
        </w:rPr>
        <w:t>and walk-forward validation.</w:t>
      </w:r>
    </w:p>
    <w:p>
      <w:pPr>
        <w:spacing w:after="0" w:line="249" w:lineRule="auto"/>
        <w:jc w:val="left"/>
        <w:rPr>
          <w:sz w:val="20"/>
        </w:rPr>
        <w:sectPr>
          <w:headerReference w:type="default" r:id="rId120"/>
          <w:headerReference w:type="even" r:id="rId121"/>
          <w:pgSz w:w="11910" w:h="16840"/>
          <w:pgMar w:header="1160" w:footer="0" w:top="1420" w:bottom="280" w:left="1275" w:right="425"/>
          <w:pgNumType w:start="97"/>
        </w:sectPr>
      </w:pPr>
    </w:p>
    <w:p>
      <w:pPr>
        <w:pStyle w:val="BodyText"/>
        <w:rPr>
          <w:sz w:val="20"/>
        </w:rPr>
      </w:pPr>
    </w:p>
    <w:p>
      <w:pPr>
        <w:pStyle w:val="BodyText"/>
        <w:rPr>
          <w:sz w:val="20"/>
        </w:rPr>
      </w:pPr>
    </w:p>
    <w:p>
      <w:pPr>
        <w:pStyle w:val="BodyText"/>
        <w:spacing w:before="38"/>
        <w:rPr>
          <w:sz w:val="20"/>
        </w:rPr>
      </w:pPr>
    </w:p>
    <w:p>
      <w:pPr>
        <w:spacing w:before="0"/>
        <w:ind w:left="0" w:right="1421" w:firstLine="0"/>
        <w:jc w:val="center"/>
        <w:rPr>
          <w:sz w:val="20"/>
        </w:rPr>
      </w:pPr>
      <w:bookmarkStart w:name="_bookmark178" w:id="300"/>
      <w:bookmarkEnd w:id="300"/>
      <w:r>
        <w:rPr/>
      </w:r>
      <w:r>
        <w:rPr>
          <w:b/>
          <w:sz w:val="20"/>
        </w:rPr>
        <w:t>Table</w:t>
      </w:r>
      <w:r>
        <w:rPr>
          <w:b/>
          <w:spacing w:val="-9"/>
          <w:sz w:val="20"/>
        </w:rPr>
        <w:t> </w:t>
      </w:r>
      <w:r>
        <w:rPr>
          <w:b/>
          <w:sz w:val="20"/>
        </w:rPr>
        <w:t>B.7:</w:t>
      </w:r>
      <w:r>
        <w:rPr>
          <w:b/>
          <w:spacing w:val="2"/>
          <w:sz w:val="20"/>
        </w:rPr>
        <w:t> </w:t>
      </w:r>
      <w:r>
        <w:rPr>
          <w:sz w:val="20"/>
        </w:rPr>
        <w:t>Complete</w:t>
      </w:r>
      <w:r>
        <w:rPr>
          <w:spacing w:val="-9"/>
          <w:sz w:val="20"/>
        </w:rPr>
        <w:t> </w:t>
      </w:r>
      <w:r>
        <w:rPr>
          <w:sz w:val="20"/>
        </w:rPr>
        <w:t>data</w:t>
      </w:r>
      <w:r>
        <w:rPr>
          <w:spacing w:val="-8"/>
          <w:sz w:val="20"/>
        </w:rPr>
        <w:t> </w:t>
      </w:r>
      <w:r>
        <w:rPr>
          <w:sz w:val="20"/>
        </w:rPr>
        <w:t>pipeline</w:t>
      </w:r>
      <w:r>
        <w:rPr>
          <w:spacing w:val="-9"/>
          <w:sz w:val="20"/>
        </w:rPr>
        <w:t> </w:t>
      </w:r>
      <w:r>
        <w:rPr>
          <w:sz w:val="20"/>
        </w:rPr>
        <w:t>from</w:t>
      </w:r>
      <w:r>
        <w:rPr>
          <w:spacing w:val="-8"/>
          <w:sz w:val="20"/>
        </w:rPr>
        <w:t> </w:t>
      </w:r>
      <w:r>
        <w:rPr>
          <w:sz w:val="20"/>
        </w:rPr>
        <w:t>raw</w:t>
      </w:r>
      <w:r>
        <w:rPr>
          <w:spacing w:val="-9"/>
          <w:sz w:val="20"/>
        </w:rPr>
        <w:t> </w:t>
      </w:r>
      <w:r>
        <w:rPr>
          <w:sz w:val="20"/>
        </w:rPr>
        <w:t>sources</w:t>
      </w:r>
      <w:r>
        <w:rPr>
          <w:spacing w:val="-8"/>
          <w:sz w:val="20"/>
        </w:rPr>
        <w:t> </w:t>
      </w:r>
      <w:r>
        <w:rPr>
          <w:sz w:val="20"/>
        </w:rPr>
        <w:t>to</w:t>
      </w:r>
      <w:r>
        <w:rPr>
          <w:spacing w:val="-9"/>
          <w:sz w:val="20"/>
        </w:rPr>
        <w:t> </w:t>
      </w:r>
      <w:r>
        <w:rPr>
          <w:sz w:val="20"/>
        </w:rPr>
        <w:t>final</w:t>
      </w:r>
      <w:r>
        <w:rPr>
          <w:spacing w:val="-9"/>
          <w:sz w:val="20"/>
        </w:rPr>
        <w:t> </w:t>
      </w:r>
      <w:r>
        <w:rPr>
          <w:spacing w:val="-2"/>
          <w:sz w:val="20"/>
        </w:rPr>
        <w:t>outputs.</w:t>
      </w:r>
    </w:p>
    <w:p>
      <w:pPr>
        <w:pStyle w:val="BodyText"/>
        <w:spacing w:before="5"/>
        <w:rPr>
          <w:sz w:val="18"/>
        </w:rPr>
      </w:pPr>
      <w:r>
        <w:rPr>
          <w:sz w:val="18"/>
        </w:rPr>
        <mc:AlternateContent>
          <mc:Choice Requires="wps">
            <w:drawing>
              <wp:anchor distT="0" distB="0" distL="0" distR="0" allowOverlap="1" layoutInCell="1" locked="0" behindDoc="1" simplePos="0" relativeHeight="487640064">
                <wp:simplePos x="0" y="0"/>
                <wp:positionH relativeFrom="page">
                  <wp:posOffset>899998</wp:posOffset>
                </wp:positionH>
                <wp:positionV relativeFrom="paragraph">
                  <wp:posOffset>150310</wp:posOffset>
                </wp:positionV>
                <wp:extent cx="5400040" cy="1270"/>
                <wp:effectExtent l="0" t="0" r="0" b="0"/>
                <wp:wrapTopAndBottom/>
                <wp:docPr id="287" name="Graphic 287"/>
                <wp:cNvGraphicFramePr>
                  <a:graphicFrameLocks/>
                </wp:cNvGraphicFramePr>
                <a:graphic>
                  <a:graphicData uri="http://schemas.microsoft.com/office/word/2010/wordprocessingShape">
                    <wps:wsp>
                      <wps:cNvPr id="287" name="Graphic 287"/>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1.835449pt;width:425.2pt;height:.1pt;mso-position-horizontal-relative:page;mso-position-vertical-relative:paragraph;z-index:-15676416;mso-wrap-distance-left:0;mso-wrap-distance-right:0" id="docshape250" coordorigin="1417,237" coordsize="8504,0" path="m1417,237l9921,237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93"/>
        <w:gridCol w:w="1607"/>
        <w:gridCol w:w="1494"/>
        <w:gridCol w:w="1607"/>
        <w:gridCol w:w="2700"/>
      </w:tblGrid>
      <w:tr>
        <w:trPr>
          <w:trHeight w:val="346" w:hRule="atLeast"/>
        </w:trPr>
        <w:tc>
          <w:tcPr>
            <w:tcW w:w="1093" w:type="dxa"/>
            <w:tcBorders>
              <w:top w:val="nil"/>
              <w:left w:val="nil"/>
              <w:right w:val="single" w:sz="4" w:space="0" w:color="000000"/>
            </w:tcBorders>
          </w:tcPr>
          <w:p>
            <w:pPr>
              <w:pStyle w:val="TableParagraph"/>
              <w:spacing w:before="31"/>
              <w:ind w:left="119"/>
              <w:rPr>
                <w:sz w:val="20"/>
              </w:rPr>
            </w:pPr>
            <w:r>
              <w:rPr>
                <w:spacing w:val="-2"/>
                <w:sz w:val="20"/>
              </w:rPr>
              <w:t>Stage</w:t>
            </w:r>
          </w:p>
        </w:tc>
        <w:tc>
          <w:tcPr>
            <w:tcW w:w="1607" w:type="dxa"/>
            <w:tcBorders>
              <w:top w:val="nil"/>
              <w:left w:val="single" w:sz="4" w:space="0" w:color="000000"/>
              <w:right w:val="single" w:sz="4" w:space="0" w:color="000000"/>
            </w:tcBorders>
          </w:tcPr>
          <w:p>
            <w:pPr>
              <w:pStyle w:val="TableParagraph"/>
              <w:spacing w:before="31"/>
              <w:ind w:left="119"/>
              <w:rPr>
                <w:sz w:val="20"/>
              </w:rPr>
            </w:pPr>
            <w:r>
              <w:rPr>
                <w:spacing w:val="-2"/>
                <w:sz w:val="20"/>
              </w:rPr>
              <w:t>Script</w:t>
            </w:r>
          </w:p>
        </w:tc>
        <w:tc>
          <w:tcPr>
            <w:tcW w:w="1494" w:type="dxa"/>
            <w:tcBorders>
              <w:top w:val="nil"/>
              <w:left w:val="single" w:sz="4" w:space="0" w:color="000000"/>
              <w:right w:val="single" w:sz="4" w:space="0" w:color="000000"/>
            </w:tcBorders>
          </w:tcPr>
          <w:p>
            <w:pPr>
              <w:pStyle w:val="TableParagraph"/>
              <w:spacing w:before="31"/>
              <w:ind w:left="119"/>
              <w:rPr>
                <w:sz w:val="20"/>
              </w:rPr>
            </w:pPr>
            <w:r>
              <w:rPr>
                <w:spacing w:val="-2"/>
                <w:sz w:val="20"/>
              </w:rPr>
              <w:t>Input</w:t>
            </w:r>
          </w:p>
        </w:tc>
        <w:tc>
          <w:tcPr>
            <w:tcW w:w="1607" w:type="dxa"/>
            <w:tcBorders>
              <w:top w:val="nil"/>
              <w:left w:val="single" w:sz="4" w:space="0" w:color="000000"/>
              <w:right w:val="single" w:sz="4" w:space="0" w:color="000000"/>
            </w:tcBorders>
          </w:tcPr>
          <w:p>
            <w:pPr>
              <w:pStyle w:val="TableParagraph"/>
              <w:spacing w:before="31"/>
              <w:ind w:left="120"/>
              <w:rPr>
                <w:sz w:val="20"/>
              </w:rPr>
            </w:pPr>
            <w:r>
              <w:rPr>
                <w:spacing w:val="-2"/>
                <w:sz w:val="20"/>
              </w:rPr>
              <w:t>Output</w:t>
            </w:r>
          </w:p>
        </w:tc>
        <w:tc>
          <w:tcPr>
            <w:tcW w:w="2700" w:type="dxa"/>
            <w:tcBorders>
              <w:top w:val="nil"/>
              <w:left w:val="single" w:sz="4" w:space="0" w:color="000000"/>
              <w:right w:val="nil"/>
            </w:tcBorders>
          </w:tcPr>
          <w:p>
            <w:pPr>
              <w:pStyle w:val="TableParagraph"/>
              <w:spacing w:before="31"/>
              <w:ind w:left="120"/>
              <w:rPr>
                <w:sz w:val="20"/>
              </w:rPr>
            </w:pPr>
            <w:r>
              <w:rPr>
                <w:sz w:val="20"/>
              </w:rPr>
              <w:t>Key</w:t>
            </w:r>
            <w:r>
              <w:rPr>
                <w:spacing w:val="-13"/>
                <w:sz w:val="20"/>
              </w:rPr>
              <w:t> </w:t>
            </w:r>
            <w:r>
              <w:rPr>
                <w:spacing w:val="-2"/>
                <w:sz w:val="20"/>
              </w:rPr>
              <w:t>transformation</w:t>
            </w:r>
          </w:p>
        </w:tc>
      </w:tr>
    </w:tbl>
    <w:p>
      <w:pPr>
        <w:pStyle w:val="BodyText"/>
        <w:spacing w:before="10"/>
        <w:rPr>
          <w:sz w:val="4"/>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93"/>
        <w:gridCol w:w="1607"/>
        <w:gridCol w:w="1494"/>
        <w:gridCol w:w="1607"/>
        <w:gridCol w:w="2700"/>
      </w:tblGrid>
      <w:tr>
        <w:trPr>
          <w:trHeight w:val="1026" w:hRule="atLeast"/>
        </w:trPr>
        <w:tc>
          <w:tcPr>
            <w:tcW w:w="1093" w:type="dxa"/>
            <w:tcBorders>
              <w:right w:val="single" w:sz="4" w:space="0" w:color="000000"/>
            </w:tcBorders>
          </w:tcPr>
          <w:p>
            <w:pPr>
              <w:pStyle w:val="TableParagraph"/>
              <w:tabs>
                <w:tab w:pos="607" w:val="left" w:leader="none"/>
              </w:tabs>
              <w:spacing w:line="249" w:lineRule="auto" w:before="31"/>
              <w:ind w:left="119" w:right="108"/>
              <w:rPr>
                <w:sz w:val="20"/>
              </w:rPr>
            </w:pPr>
            <w:r>
              <w:rPr>
                <w:spacing w:val="-6"/>
                <w:sz w:val="20"/>
              </w:rPr>
              <w:t>0:</w:t>
            </w:r>
            <w:r>
              <w:rPr>
                <w:sz w:val="20"/>
              </w:rPr>
              <w:tab/>
            </w:r>
            <w:r>
              <w:rPr>
                <w:spacing w:val="-4"/>
                <w:sz w:val="20"/>
              </w:rPr>
              <w:t>Raw data</w:t>
            </w:r>
          </w:p>
        </w:tc>
        <w:tc>
          <w:tcPr>
            <w:tcW w:w="1607" w:type="dxa"/>
            <w:tcBorders>
              <w:left w:val="single" w:sz="4" w:space="0" w:color="000000"/>
              <w:right w:val="single" w:sz="4" w:space="0" w:color="000000"/>
            </w:tcBorders>
          </w:tcPr>
          <w:p>
            <w:pPr>
              <w:pStyle w:val="TableParagraph"/>
              <w:spacing w:before="31"/>
              <w:ind w:left="119"/>
              <w:rPr>
                <w:sz w:val="20"/>
              </w:rPr>
            </w:pPr>
            <w:r>
              <w:rPr>
                <w:spacing w:val="-2"/>
                <w:sz w:val="20"/>
              </w:rPr>
              <w:t>(external)</w:t>
            </w:r>
          </w:p>
        </w:tc>
        <w:tc>
          <w:tcPr>
            <w:tcW w:w="1494" w:type="dxa"/>
            <w:tcBorders>
              <w:left w:val="single" w:sz="4" w:space="0" w:color="000000"/>
              <w:right w:val="single" w:sz="4" w:space="0" w:color="000000"/>
            </w:tcBorders>
          </w:tcPr>
          <w:p>
            <w:pPr>
              <w:pStyle w:val="TableParagraph"/>
              <w:spacing w:before="31"/>
              <w:ind w:left="119"/>
              <w:rPr>
                <w:sz w:val="20"/>
              </w:rPr>
            </w:pPr>
            <w:r>
              <w:rPr>
                <w:spacing w:val="-4"/>
                <w:sz w:val="20"/>
              </w:rPr>
              <w:t>BCM_</w:t>
            </w:r>
          </w:p>
          <w:p>
            <w:pPr>
              <w:pStyle w:val="TableParagraph"/>
              <w:spacing w:line="249" w:lineRule="auto" w:before="9"/>
              <w:ind w:left="119" w:right="601"/>
              <w:rPr>
                <w:sz w:val="20"/>
              </w:rPr>
            </w:pPr>
            <w:r>
              <w:rPr>
                <w:spacing w:val="-2"/>
                <w:sz w:val="20"/>
              </w:rPr>
              <w:t>base*.xls Pheno_ Prd*.xlsx</w:t>
            </w:r>
          </w:p>
        </w:tc>
        <w:tc>
          <w:tcPr>
            <w:tcW w:w="1607" w:type="dxa"/>
            <w:tcBorders>
              <w:left w:val="single" w:sz="4" w:space="0" w:color="000000"/>
              <w:right w:val="single" w:sz="4" w:space="0" w:color="000000"/>
            </w:tcBorders>
          </w:tcPr>
          <w:p>
            <w:pPr>
              <w:pStyle w:val="TableParagraph"/>
              <w:spacing w:before="31"/>
              <w:ind w:left="120"/>
              <w:rPr>
                <w:sz w:val="20"/>
              </w:rPr>
            </w:pPr>
            <w:r>
              <w:rPr>
                <w:sz w:val="20"/>
              </w:rPr>
              <w:t>Raw</w:t>
            </w:r>
            <w:r>
              <w:rPr>
                <w:spacing w:val="-7"/>
                <w:sz w:val="20"/>
              </w:rPr>
              <w:t> </w:t>
            </w:r>
            <w:r>
              <w:rPr>
                <w:sz w:val="20"/>
              </w:rPr>
              <w:t>Excel</w:t>
            </w:r>
            <w:r>
              <w:rPr>
                <w:spacing w:val="-7"/>
                <w:sz w:val="20"/>
              </w:rPr>
              <w:t> </w:t>
            </w:r>
            <w:r>
              <w:rPr>
                <w:spacing w:val="-2"/>
                <w:sz w:val="20"/>
              </w:rPr>
              <w:t>files</w:t>
            </w:r>
          </w:p>
        </w:tc>
        <w:tc>
          <w:tcPr>
            <w:tcW w:w="2700" w:type="dxa"/>
            <w:tcBorders>
              <w:left w:val="single" w:sz="4" w:space="0" w:color="000000"/>
            </w:tcBorders>
          </w:tcPr>
          <w:p>
            <w:pPr>
              <w:pStyle w:val="TableParagraph"/>
              <w:spacing w:line="249" w:lineRule="auto" w:before="31"/>
              <w:ind w:left="120" w:right="81"/>
              <w:jc w:val="both"/>
              <w:rPr>
                <w:sz w:val="20"/>
              </w:rPr>
            </w:pPr>
            <w:r>
              <w:rPr>
                <w:sz w:val="20"/>
              </w:rPr>
              <w:t>Daily</w:t>
            </w:r>
            <w:r>
              <w:rPr>
                <w:spacing w:val="-9"/>
                <w:sz w:val="20"/>
              </w:rPr>
              <w:t> </w:t>
            </w:r>
            <w:r>
              <w:rPr>
                <w:sz w:val="20"/>
              </w:rPr>
              <w:t>climate</w:t>
            </w:r>
            <w:r>
              <w:rPr>
                <w:spacing w:val="-9"/>
                <w:sz w:val="20"/>
              </w:rPr>
              <w:t> </w:t>
            </w:r>
            <w:r>
              <w:rPr>
                <w:sz w:val="20"/>
              </w:rPr>
              <w:t>+</w:t>
            </w:r>
            <w:r>
              <w:rPr>
                <w:spacing w:val="-9"/>
                <w:sz w:val="20"/>
              </w:rPr>
              <w:t> </w:t>
            </w:r>
            <w:r>
              <w:rPr>
                <w:sz w:val="20"/>
              </w:rPr>
              <w:t>annual</w:t>
            </w:r>
            <w:r>
              <w:rPr>
                <w:spacing w:val="-9"/>
                <w:sz w:val="20"/>
              </w:rPr>
              <w:t> </w:t>
            </w:r>
            <w:r>
              <w:rPr>
                <w:sz w:val="20"/>
              </w:rPr>
              <w:t>phenol-ogy/production from field sta-tions and STICS model</w:t>
            </w:r>
          </w:p>
        </w:tc>
      </w:tr>
      <w:tr>
        <w:trPr>
          <w:trHeight w:val="1267" w:hRule="atLeast"/>
        </w:trPr>
        <w:tc>
          <w:tcPr>
            <w:tcW w:w="1093" w:type="dxa"/>
            <w:tcBorders>
              <w:right w:val="single" w:sz="4" w:space="0" w:color="000000"/>
            </w:tcBorders>
          </w:tcPr>
          <w:p>
            <w:pPr>
              <w:pStyle w:val="TableParagraph"/>
              <w:tabs>
                <w:tab w:pos="525" w:val="left" w:leader="none"/>
              </w:tabs>
              <w:spacing w:line="249" w:lineRule="auto"/>
              <w:ind w:left="119" w:right="108"/>
              <w:rPr>
                <w:sz w:val="20"/>
              </w:rPr>
            </w:pPr>
            <w:r>
              <w:rPr>
                <w:spacing w:val="-6"/>
                <w:sz w:val="20"/>
              </w:rPr>
              <w:t>1:</w:t>
            </w:r>
            <w:r>
              <w:rPr>
                <w:sz w:val="20"/>
              </w:rPr>
              <w:tab/>
            </w:r>
            <w:r>
              <w:rPr>
                <w:spacing w:val="-4"/>
                <w:sz w:val="20"/>
              </w:rPr>
              <w:t>Daily prep</w:t>
            </w:r>
          </w:p>
        </w:tc>
        <w:tc>
          <w:tcPr>
            <w:tcW w:w="1607" w:type="dxa"/>
            <w:tcBorders>
              <w:left w:val="single" w:sz="4" w:space="0" w:color="000000"/>
              <w:right w:val="single" w:sz="4" w:space="0" w:color="000000"/>
            </w:tcBorders>
          </w:tcPr>
          <w:p>
            <w:pPr>
              <w:pStyle w:val="TableParagraph"/>
              <w:spacing w:line="249" w:lineRule="auto"/>
              <w:ind w:left="119"/>
              <w:rPr>
                <w:sz w:val="20"/>
              </w:rPr>
            </w:pPr>
            <w:r>
              <w:rPr>
                <w:spacing w:val="-2"/>
                <w:sz w:val="20"/>
              </w:rPr>
              <w:t>1_data_ preparation_ stage_1.R</w:t>
            </w:r>
          </w:p>
        </w:tc>
        <w:tc>
          <w:tcPr>
            <w:tcW w:w="1494" w:type="dxa"/>
            <w:tcBorders>
              <w:left w:val="single" w:sz="4" w:space="0" w:color="000000"/>
              <w:right w:val="single" w:sz="4" w:space="0" w:color="000000"/>
            </w:tcBorders>
          </w:tcPr>
          <w:p>
            <w:pPr>
              <w:pStyle w:val="TableParagraph"/>
              <w:ind w:left="119"/>
              <w:rPr>
                <w:sz w:val="20"/>
              </w:rPr>
            </w:pPr>
            <w:r>
              <w:rPr>
                <w:sz w:val="20"/>
              </w:rPr>
              <w:t>Raw</w:t>
            </w:r>
            <w:r>
              <w:rPr>
                <w:spacing w:val="-7"/>
                <w:sz w:val="20"/>
              </w:rPr>
              <w:t> </w:t>
            </w:r>
            <w:r>
              <w:rPr>
                <w:sz w:val="20"/>
              </w:rPr>
              <w:t>Excel</w:t>
            </w:r>
            <w:r>
              <w:rPr>
                <w:spacing w:val="-7"/>
                <w:sz w:val="20"/>
              </w:rPr>
              <w:t> </w:t>
            </w:r>
            <w:r>
              <w:rPr>
                <w:spacing w:val="-2"/>
                <w:sz w:val="20"/>
              </w:rPr>
              <w:t>files</w:t>
            </w:r>
          </w:p>
        </w:tc>
        <w:tc>
          <w:tcPr>
            <w:tcW w:w="1607" w:type="dxa"/>
            <w:tcBorders>
              <w:left w:val="single" w:sz="4" w:space="0" w:color="000000"/>
              <w:right w:val="single" w:sz="4" w:space="0" w:color="000000"/>
            </w:tcBorders>
          </w:tcPr>
          <w:p>
            <w:pPr>
              <w:pStyle w:val="TableParagraph"/>
              <w:spacing w:line="249" w:lineRule="auto"/>
              <w:ind w:left="120"/>
              <w:rPr>
                <w:sz w:val="20"/>
              </w:rPr>
            </w:pPr>
            <w:r>
              <w:rPr>
                <w:spacing w:val="-2"/>
                <w:sz w:val="20"/>
              </w:rPr>
              <w:t>dataPrep_ meteo_*.csv dataPrep_ production_</w:t>
            </w:r>
          </w:p>
          <w:p>
            <w:pPr>
              <w:pStyle w:val="TableParagraph"/>
              <w:spacing w:line="230" w:lineRule="exact" w:before="0"/>
              <w:ind w:left="100"/>
              <w:rPr>
                <w:sz w:val="20"/>
              </w:rPr>
            </w:pPr>
            <w:r>
              <w:rPr>
                <w:spacing w:val="-2"/>
                <w:sz w:val="20"/>
              </w:rPr>
              <w:t>*.csv</w:t>
            </w:r>
          </w:p>
        </w:tc>
        <w:tc>
          <w:tcPr>
            <w:tcW w:w="2700" w:type="dxa"/>
            <w:tcBorders>
              <w:left w:val="single" w:sz="4" w:space="0" w:color="000000"/>
            </w:tcBorders>
          </w:tcPr>
          <w:p>
            <w:pPr>
              <w:pStyle w:val="TableParagraph"/>
              <w:spacing w:line="249" w:lineRule="auto"/>
              <w:ind w:left="120" w:right="81"/>
              <w:jc w:val="both"/>
              <w:rPr>
                <w:sz w:val="20"/>
              </w:rPr>
            </w:pPr>
            <w:r>
              <w:rPr>
                <w:spacing w:val="-2"/>
                <w:sz w:val="20"/>
              </w:rPr>
              <w:t>Column</w:t>
            </w:r>
            <w:r>
              <w:rPr>
                <w:spacing w:val="-4"/>
                <w:sz w:val="20"/>
              </w:rPr>
              <w:t> </w:t>
            </w:r>
            <w:r>
              <w:rPr>
                <w:spacing w:val="-2"/>
                <w:sz w:val="20"/>
              </w:rPr>
              <w:t>standardisation,</w:t>
            </w:r>
            <w:r>
              <w:rPr>
                <w:spacing w:val="-4"/>
                <w:sz w:val="20"/>
              </w:rPr>
              <w:t> </w:t>
            </w:r>
            <w:r>
              <w:rPr>
                <w:spacing w:val="-2"/>
                <w:sz w:val="20"/>
              </w:rPr>
              <w:t>binary threshold</w:t>
            </w:r>
            <w:r>
              <w:rPr>
                <w:spacing w:val="-10"/>
                <w:sz w:val="20"/>
              </w:rPr>
              <w:t> </w:t>
            </w:r>
            <w:r>
              <w:rPr>
                <w:spacing w:val="-2"/>
                <w:sz w:val="20"/>
              </w:rPr>
              <w:t>indicators</w:t>
            </w:r>
            <w:r>
              <w:rPr>
                <w:spacing w:val="-10"/>
                <w:sz w:val="20"/>
              </w:rPr>
              <w:t> </w:t>
            </w:r>
            <w:r>
              <w:rPr>
                <w:spacing w:val="-2"/>
                <w:sz w:val="20"/>
              </w:rPr>
              <w:t>(Tmax&gt;35, </w:t>
            </w:r>
            <w:r>
              <w:rPr>
                <w:sz w:val="20"/>
              </w:rPr>
              <w:t>Sm&lt;1.5Wp etc.), date </w:t>
            </w:r>
            <w:r>
              <w:rPr>
                <w:sz w:val="20"/>
              </w:rPr>
              <w:t>decom-position. 32,842 rows (RDD), 29,902 rows (RVV).</w:t>
            </w:r>
          </w:p>
        </w:tc>
      </w:tr>
      <w:tr>
        <w:trPr>
          <w:trHeight w:val="1506" w:hRule="atLeast"/>
        </w:trPr>
        <w:tc>
          <w:tcPr>
            <w:tcW w:w="1093" w:type="dxa"/>
            <w:tcBorders>
              <w:right w:val="single" w:sz="4" w:space="0" w:color="000000"/>
            </w:tcBorders>
          </w:tcPr>
          <w:p>
            <w:pPr>
              <w:pStyle w:val="TableParagraph"/>
              <w:spacing w:line="249" w:lineRule="auto"/>
              <w:ind w:left="119" w:right="116"/>
              <w:rPr>
                <w:sz w:val="20"/>
              </w:rPr>
            </w:pPr>
            <w:r>
              <w:rPr>
                <w:sz w:val="20"/>
              </w:rPr>
              <w:t>2:</w:t>
            </w:r>
            <w:r>
              <w:rPr>
                <w:spacing w:val="7"/>
                <w:sz w:val="20"/>
              </w:rPr>
              <w:t> </w:t>
            </w:r>
            <w:r>
              <w:rPr>
                <w:sz w:val="20"/>
              </w:rPr>
              <w:t>Feature </w:t>
            </w:r>
            <w:r>
              <w:rPr>
                <w:spacing w:val="-2"/>
                <w:sz w:val="20"/>
              </w:rPr>
              <w:t>engineer-</w:t>
            </w:r>
            <w:r>
              <w:rPr>
                <w:spacing w:val="-4"/>
                <w:sz w:val="20"/>
              </w:rPr>
              <w:t>ing</w:t>
            </w:r>
          </w:p>
        </w:tc>
        <w:tc>
          <w:tcPr>
            <w:tcW w:w="1607" w:type="dxa"/>
            <w:tcBorders>
              <w:left w:val="single" w:sz="4" w:space="0" w:color="000000"/>
              <w:right w:val="single" w:sz="4" w:space="0" w:color="000000"/>
            </w:tcBorders>
          </w:tcPr>
          <w:p>
            <w:pPr>
              <w:pStyle w:val="TableParagraph"/>
              <w:spacing w:line="249" w:lineRule="auto"/>
              <w:ind w:left="119"/>
              <w:rPr>
                <w:sz w:val="20"/>
              </w:rPr>
            </w:pPr>
            <w:r>
              <w:rPr>
                <w:spacing w:val="-2"/>
                <w:sz w:val="20"/>
              </w:rPr>
              <w:t>2_features_ creation.R</w:t>
            </w:r>
          </w:p>
        </w:tc>
        <w:tc>
          <w:tcPr>
            <w:tcW w:w="1494" w:type="dxa"/>
            <w:tcBorders>
              <w:left w:val="single" w:sz="4" w:space="0" w:color="000000"/>
              <w:right w:val="single" w:sz="4" w:space="0" w:color="000000"/>
            </w:tcBorders>
          </w:tcPr>
          <w:p>
            <w:pPr>
              <w:pStyle w:val="TableParagraph"/>
              <w:spacing w:line="249" w:lineRule="auto"/>
              <w:ind w:left="119" w:right="116"/>
              <w:rPr>
                <w:sz w:val="20"/>
              </w:rPr>
            </w:pPr>
            <w:r>
              <w:rPr>
                <w:spacing w:val="-2"/>
                <w:sz w:val="20"/>
              </w:rPr>
              <w:t>dataPrep_ meteo_*.csv dataPrep_ production_</w:t>
            </w:r>
          </w:p>
          <w:p>
            <w:pPr>
              <w:pStyle w:val="TableParagraph"/>
              <w:spacing w:line="230" w:lineRule="exact" w:before="0"/>
              <w:ind w:left="99"/>
              <w:rPr>
                <w:sz w:val="20"/>
              </w:rPr>
            </w:pPr>
            <w:r>
              <w:rPr>
                <w:spacing w:val="-2"/>
                <w:sz w:val="20"/>
              </w:rPr>
              <w:t>*.csv</w:t>
            </w:r>
          </w:p>
        </w:tc>
        <w:tc>
          <w:tcPr>
            <w:tcW w:w="1607" w:type="dxa"/>
            <w:tcBorders>
              <w:left w:val="single" w:sz="4" w:space="0" w:color="000000"/>
              <w:right w:val="single" w:sz="4" w:space="0" w:color="000000"/>
            </w:tcBorders>
          </w:tcPr>
          <w:p>
            <w:pPr>
              <w:pStyle w:val="TableParagraph"/>
              <w:spacing w:line="249" w:lineRule="auto"/>
              <w:ind w:left="120"/>
              <w:rPr>
                <w:sz w:val="20"/>
              </w:rPr>
            </w:pPr>
            <w:r>
              <w:rPr>
                <w:spacing w:val="-2"/>
                <w:sz w:val="20"/>
              </w:rPr>
              <w:t>dataPrep_cont_ dataset_*.csv dataPrep_dis_ rule_dataset_</w:t>
            </w:r>
          </w:p>
          <w:p>
            <w:pPr>
              <w:pStyle w:val="TableParagraph"/>
              <w:spacing w:line="230" w:lineRule="exact" w:before="0"/>
              <w:ind w:left="100"/>
              <w:rPr>
                <w:sz w:val="20"/>
              </w:rPr>
            </w:pPr>
            <w:r>
              <w:rPr>
                <w:spacing w:val="-2"/>
                <w:sz w:val="20"/>
              </w:rPr>
              <w:t>*.csv</w:t>
            </w:r>
          </w:p>
        </w:tc>
        <w:tc>
          <w:tcPr>
            <w:tcW w:w="2700" w:type="dxa"/>
            <w:tcBorders>
              <w:left w:val="single" w:sz="4" w:space="0" w:color="000000"/>
            </w:tcBorders>
          </w:tcPr>
          <w:p>
            <w:pPr>
              <w:pStyle w:val="TableParagraph"/>
              <w:spacing w:line="204" w:lineRule="auto" w:before="60"/>
              <w:ind w:left="120" w:right="81"/>
              <w:jc w:val="both"/>
              <w:rPr>
                <w:sz w:val="20"/>
              </w:rPr>
            </w:pPr>
            <w:r>
              <w:rPr>
                <w:sz w:val="20"/>
              </w:rPr>
              <w:t>Phenological</w:t>
            </w:r>
            <w:r>
              <w:rPr>
                <w:spacing w:val="-13"/>
                <w:sz w:val="20"/>
              </w:rPr>
              <w:t> </w:t>
            </w:r>
            <w:r>
              <w:rPr>
                <w:sz w:val="20"/>
              </w:rPr>
              <w:t>window</w:t>
            </w:r>
            <w:r>
              <w:rPr>
                <w:spacing w:val="-12"/>
                <w:sz w:val="20"/>
              </w:rPr>
              <w:t> </w:t>
            </w:r>
            <w:r>
              <w:rPr>
                <w:sz w:val="20"/>
              </w:rPr>
              <w:t>aggrega-tion </w:t>
            </w:r>
            <w:r>
              <w:rPr>
                <w:rFonts w:ascii="Meiryo UI" w:hAnsi="Meiryo UI"/>
                <w:i/>
                <w:sz w:val="20"/>
              </w:rPr>
              <w:t>→</w:t>
            </w:r>
            <w:r>
              <w:rPr>
                <w:rFonts w:ascii="Meiryo UI" w:hAnsi="Meiryo UI"/>
                <w:i/>
                <w:spacing w:val="-4"/>
                <w:sz w:val="20"/>
              </w:rPr>
              <w:t> </w:t>
            </w:r>
            <w:r>
              <w:rPr>
                <w:sz w:val="20"/>
              </w:rPr>
              <w:t>59 annual features per region.</w:t>
            </w:r>
            <w:r>
              <w:rPr>
                <w:spacing w:val="42"/>
                <w:sz w:val="20"/>
              </w:rPr>
              <w:t>  </w:t>
            </w:r>
            <w:r>
              <w:rPr>
                <w:sz w:val="20"/>
              </w:rPr>
              <w:t>Equal-frequency</w:t>
            </w:r>
            <w:r>
              <w:rPr>
                <w:spacing w:val="42"/>
                <w:sz w:val="20"/>
              </w:rPr>
              <w:t> </w:t>
            </w:r>
            <w:r>
              <w:rPr>
                <w:spacing w:val="-4"/>
                <w:sz w:val="20"/>
              </w:rPr>
              <w:t>dis-</w:t>
            </w:r>
          </w:p>
          <w:p>
            <w:pPr>
              <w:pStyle w:val="TableParagraph"/>
              <w:spacing w:before="18"/>
              <w:ind w:left="120"/>
              <w:jc w:val="both"/>
              <w:rPr>
                <w:sz w:val="20"/>
              </w:rPr>
            </w:pPr>
            <w:r>
              <w:rPr>
                <w:sz w:val="20"/>
              </w:rPr>
              <w:t>cretisation</w:t>
            </w:r>
            <w:r>
              <w:rPr>
                <w:spacing w:val="-6"/>
                <w:sz w:val="20"/>
              </w:rPr>
              <w:t> </w:t>
            </w:r>
            <w:r>
              <w:rPr>
                <w:sz w:val="20"/>
              </w:rPr>
              <w:t>(4</w:t>
            </w:r>
            <w:r>
              <w:rPr>
                <w:spacing w:val="-4"/>
                <w:sz w:val="20"/>
              </w:rPr>
              <w:t> </w:t>
            </w:r>
            <w:r>
              <w:rPr>
                <w:sz w:val="20"/>
              </w:rPr>
              <w:t>bins)</w:t>
            </w:r>
            <w:r>
              <w:rPr>
                <w:spacing w:val="-5"/>
                <w:sz w:val="20"/>
              </w:rPr>
              <w:t> </w:t>
            </w:r>
            <w:r>
              <w:rPr>
                <w:sz w:val="20"/>
              </w:rPr>
              <w:t>for</w:t>
            </w:r>
            <w:r>
              <w:rPr>
                <w:spacing w:val="-4"/>
                <w:sz w:val="20"/>
              </w:rPr>
              <w:t> </w:t>
            </w:r>
            <w:r>
              <w:rPr>
                <w:spacing w:val="-2"/>
                <w:sz w:val="20"/>
              </w:rPr>
              <w:t>CarenR.</w:t>
            </w:r>
          </w:p>
          <w:p>
            <w:pPr>
              <w:pStyle w:val="TableParagraph"/>
              <w:spacing w:line="249" w:lineRule="auto" w:before="9"/>
              <w:ind w:left="114" w:right="114" w:firstLine="6"/>
              <w:jc w:val="both"/>
              <w:rPr>
                <w:sz w:val="20"/>
              </w:rPr>
            </w:pPr>
            <w:r>
              <w:rPr>
                <w:sz w:val="20"/>
              </w:rPr>
              <w:t>89 rows (RDD), 80 </w:t>
            </w:r>
            <w:r>
              <w:rPr>
                <w:sz w:val="20"/>
              </w:rPr>
              <w:t>rows</w:t>
            </w:r>
            <w:r>
              <w:rPr>
                <w:sz w:val="20"/>
              </w:rPr>
              <w:t> </w:t>
            </w:r>
            <w:r>
              <w:rPr>
                <w:spacing w:val="-2"/>
                <w:sz w:val="20"/>
              </w:rPr>
              <w:t>(RVV).</w:t>
            </w:r>
          </w:p>
        </w:tc>
      </w:tr>
      <w:tr>
        <w:trPr>
          <w:trHeight w:val="1506" w:hRule="atLeast"/>
        </w:trPr>
        <w:tc>
          <w:tcPr>
            <w:tcW w:w="1093" w:type="dxa"/>
            <w:tcBorders>
              <w:right w:val="single" w:sz="4" w:space="0" w:color="000000"/>
            </w:tcBorders>
          </w:tcPr>
          <w:p>
            <w:pPr>
              <w:pStyle w:val="TableParagraph"/>
              <w:tabs>
                <w:tab w:pos="585" w:val="left" w:leader="none"/>
              </w:tabs>
              <w:spacing w:line="249" w:lineRule="auto"/>
              <w:ind w:left="119" w:right="116"/>
              <w:rPr>
                <w:sz w:val="20"/>
              </w:rPr>
            </w:pPr>
            <w:r>
              <w:rPr>
                <w:spacing w:val="-6"/>
                <w:sz w:val="20"/>
              </w:rPr>
              <w:t>3:</w:t>
            </w:r>
            <w:r>
              <w:rPr>
                <w:sz w:val="20"/>
              </w:rPr>
              <w:tab/>
            </w:r>
            <w:r>
              <w:rPr>
                <w:spacing w:val="-4"/>
                <w:sz w:val="20"/>
              </w:rPr>
              <w:t>Rule </w:t>
            </w:r>
            <w:r>
              <w:rPr>
                <w:spacing w:val="-2"/>
                <w:sz w:val="20"/>
              </w:rPr>
              <w:t>discovery</w:t>
            </w:r>
          </w:p>
        </w:tc>
        <w:tc>
          <w:tcPr>
            <w:tcW w:w="1607" w:type="dxa"/>
            <w:tcBorders>
              <w:left w:val="single" w:sz="4" w:space="0" w:color="000000"/>
              <w:right w:val="single" w:sz="4" w:space="0" w:color="000000"/>
            </w:tcBorders>
          </w:tcPr>
          <w:p>
            <w:pPr>
              <w:pStyle w:val="TableParagraph"/>
              <w:spacing w:line="249" w:lineRule="auto"/>
              <w:ind w:left="112" w:firstLine="6"/>
              <w:rPr>
                <w:sz w:val="20"/>
              </w:rPr>
            </w:pPr>
            <w:r>
              <w:rPr>
                <w:sz w:val="20"/>
              </w:rPr>
              <w:t>3_carenR</w:t>
            </w:r>
            <w:r>
              <w:rPr>
                <w:spacing w:val="40"/>
                <w:sz w:val="20"/>
                <w:u w:val="single"/>
              </w:rPr>
              <w:t> </w:t>
            </w:r>
            <w:r>
              <w:rPr>
                <w:spacing w:val="40"/>
                <w:sz w:val="20"/>
                <w:u w:val="none"/>
              </w:rPr>
              <w:t> </w:t>
            </w:r>
            <w:r>
              <w:rPr>
                <w:spacing w:val="-2"/>
                <w:sz w:val="20"/>
                <w:u w:val="none"/>
              </w:rPr>
              <w:t>application.R 4_ripper_ pipeline.R 5_m5rules_ pipeline.R</w:t>
            </w:r>
          </w:p>
        </w:tc>
        <w:tc>
          <w:tcPr>
            <w:tcW w:w="1494" w:type="dxa"/>
            <w:tcBorders>
              <w:left w:val="single" w:sz="4" w:space="0" w:color="000000"/>
              <w:right w:val="single" w:sz="4" w:space="0" w:color="000000"/>
            </w:tcBorders>
          </w:tcPr>
          <w:p>
            <w:pPr>
              <w:pStyle w:val="TableParagraph"/>
              <w:spacing w:line="249" w:lineRule="auto"/>
              <w:ind w:left="119" w:right="116"/>
              <w:rPr>
                <w:sz w:val="20"/>
              </w:rPr>
            </w:pPr>
            <w:r>
              <w:rPr>
                <w:spacing w:val="-2"/>
                <w:sz w:val="20"/>
              </w:rPr>
              <w:t>dataPrep_*_ dataset_*.csv</w:t>
            </w:r>
          </w:p>
        </w:tc>
        <w:tc>
          <w:tcPr>
            <w:tcW w:w="1607" w:type="dxa"/>
            <w:tcBorders>
              <w:left w:val="single" w:sz="4" w:space="0" w:color="000000"/>
              <w:right w:val="single" w:sz="4" w:space="0" w:color="000000"/>
            </w:tcBorders>
          </w:tcPr>
          <w:p>
            <w:pPr>
              <w:pStyle w:val="TableParagraph"/>
              <w:tabs>
                <w:tab w:pos="1220" w:val="left" w:leader="none"/>
              </w:tabs>
              <w:spacing w:line="249" w:lineRule="auto"/>
              <w:ind w:left="120" w:right="81"/>
              <w:rPr>
                <w:sz w:val="20"/>
              </w:rPr>
            </w:pPr>
            <w:r>
              <w:rPr>
                <w:spacing w:val="-2"/>
                <w:sz w:val="20"/>
              </w:rPr>
              <w:t>RulesTemp_*_ linear.csv</w:t>
            </w:r>
            <w:r>
              <w:rPr>
                <w:sz w:val="20"/>
              </w:rPr>
              <w:tab/>
            </w:r>
            <w:r>
              <w:rPr>
                <w:spacing w:val="-4"/>
                <w:sz w:val="20"/>
              </w:rPr>
              <w:t>rip-</w:t>
            </w:r>
            <w:r>
              <w:rPr>
                <w:spacing w:val="-2"/>
                <w:sz w:val="20"/>
              </w:rPr>
              <w:t>per_rules_*.txt m5rules_rules_</w:t>
            </w:r>
          </w:p>
          <w:p>
            <w:pPr>
              <w:pStyle w:val="TableParagraph"/>
              <w:spacing w:line="230" w:lineRule="exact" w:before="0"/>
              <w:ind w:left="100"/>
              <w:rPr>
                <w:sz w:val="20"/>
              </w:rPr>
            </w:pPr>
            <w:r>
              <w:rPr>
                <w:spacing w:val="-2"/>
                <w:sz w:val="20"/>
              </w:rPr>
              <w:t>*.txt</w:t>
            </w:r>
          </w:p>
        </w:tc>
        <w:tc>
          <w:tcPr>
            <w:tcW w:w="2700" w:type="dxa"/>
            <w:tcBorders>
              <w:left w:val="single" w:sz="4" w:space="0" w:color="000000"/>
            </w:tcBorders>
          </w:tcPr>
          <w:p>
            <w:pPr>
              <w:pStyle w:val="TableParagraph"/>
              <w:spacing w:line="249" w:lineRule="auto"/>
              <w:ind w:left="120" w:right="79"/>
              <w:rPr>
                <w:sz w:val="20"/>
              </w:rPr>
            </w:pPr>
            <w:r>
              <w:rPr>
                <w:sz w:val="20"/>
              </w:rPr>
              <w:t>Full-dataset rule induction for all</w:t>
            </w:r>
            <w:r>
              <w:rPr>
                <w:spacing w:val="26"/>
                <w:sz w:val="20"/>
              </w:rPr>
              <w:t> </w:t>
            </w:r>
            <w:r>
              <w:rPr>
                <w:sz w:val="20"/>
              </w:rPr>
              <w:t>three</w:t>
            </w:r>
            <w:r>
              <w:rPr>
                <w:spacing w:val="27"/>
                <w:sz w:val="20"/>
              </w:rPr>
              <w:t> </w:t>
            </w:r>
            <w:r>
              <w:rPr>
                <w:sz w:val="20"/>
              </w:rPr>
              <w:t>algorithms.</w:t>
            </w:r>
            <w:r>
              <w:rPr>
                <w:spacing w:val="64"/>
                <w:w w:val="150"/>
                <w:sz w:val="20"/>
              </w:rPr>
              <w:t> </w:t>
            </w:r>
            <w:r>
              <w:rPr>
                <w:spacing w:val="-2"/>
                <w:sz w:val="20"/>
              </w:rPr>
              <w:t>CarenR:</w:t>
            </w:r>
          </w:p>
          <w:p>
            <w:pPr>
              <w:pStyle w:val="TableParagraph"/>
              <w:spacing w:line="249" w:lineRule="auto" w:before="0"/>
              <w:ind w:left="114" w:right="114" w:hanging="1"/>
              <w:rPr>
                <w:sz w:val="20"/>
              </w:rPr>
            </w:pPr>
            <w:r>
              <w:rPr>
                <w:sz w:val="20"/>
              </w:rPr>
              <w:t>48</w:t>
            </w:r>
            <w:r>
              <w:rPr>
                <w:spacing w:val="80"/>
                <w:sz w:val="20"/>
              </w:rPr>
              <w:t> </w:t>
            </w:r>
            <w:r>
              <w:rPr>
                <w:sz w:val="20"/>
              </w:rPr>
              <w:t>rules</w:t>
            </w:r>
            <w:r>
              <w:rPr>
                <w:spacing w:val="80"/>
                <w:sz w:val="20"/>
              </w:rPr>
              <w:t> </w:t>
            </w:r>
            <w:r>
              <w:rPr>
                <w:sz w:val="20"/>
              </w:rPr>
              <w:t>(RDD),</w:t>
            </w:r>
            <w:r>
              <w:rPr>
                <w:spacing w:val="80"/>
                <w:sz w:val="20"/>
              </w:rPr>
              <w:t> </w:t>
            </w:r>
            <w:r>
              <w:rPr>
                <w:sz w:val="20"/>
              </w:rPr>
              <w:t>20</w:t>
            </w:r>
            <w:r>
              <w:rPr>
                <w:spacing w:val="111"/>
                <w:sz w:val="20"/>
              </w:rPr>
              <w:t> </w:t>
            </w:r>
            <w:r>
              <w:rPr>
                <w:sz w:val="20"/>
              </w:rPr>
              <w:t>rules</w:t>
            </w:r>
            <w:r>
              <w:rPr>
                <w:sz w:val="20"/>
              </w:rPr>
              <w:t> </w:t>
            </w:r>
            <w:r>
              <w:rPr>
                <w:spacing w:val="-2"/>
                <w:sz w:val="20"/>
              </w:rPr>
              <w:t>(RVV).</w:t>
            </w:r>
          </w:p>
        </w:tc>
      </w:tr>
      <w:tr>
        <w:trPr>
          <w:trHeight w:val="1506" w:hRule="atLeast"/>
        </w:trPr>
        <w:tc>
          <w:tcPr>
            <w:tcW w:w="1093" w:type="dxa"/>
            <w:tcBorders>
              <w:right w:val="single" w:sz="4" w:space="0" w:color="000000"/>
            </w:tcBorders>
          </w:tcPr>
          <w:p>
            <w:pPr>
              <w:pStyle w:val="TableParagraph"/>
              <w:tabs>
                <w:tab w:pos="510" w:val="left" w:leader="none"/>
              </w:tabs>
              <w:spacing w:line="249" w:lineRule="auto"/>
              <w:ind w:left="114" w:right="82" w:firstLine="4"/>
              <w:rPr>
                <w:sz w:val="20"/>
              </w:rPr>
            </w:pPr>
            <w:r>
              <w:rPr>
                <w:spacing w:val="-6"/>
                <w:sz w:val="20"/>
              </w:rPr>
              <w:t>4:</w:t>
            </w:r>
            <w:r>
              <w:rPr>
                <w:sz w:val="20"/>
              </w:rPr>
              <w:tab/>
            </w:r>
            <w:r>
              <w:rPr>
                <w:spacing w:val="-4"/>
                <w:sz w:val="20"/>
              </w:rPr>
              <w:t>Walk-</w:t>
            </w:r>
            <w:r>
              <w:rPr>
                <w:spacing w:val="-2"/>
                <w:sz w:val="20"/>
              </w:rPr>
              <w:t>forward validation</w:t>
            </w:r>
          </w:p>
        </w:tc>
        <w:tc>
          <w:tcPr>
            <w:tcW w:w="1607" w:type="dxa"/>
            <w:tcBorders>
              <w:left w:val="single" w:sz="4" w:space="0" w:color="000000"/>
              <w:right w:val="single" w:sz="4" w:space="0" w:color="000000"/>
            </w:tcBorders>
          </w:tcPr>
          <w:p>
            <w:pPr>
              <w:pStyle w:val="TableParagraph"/>
              <w:spacing w:line="249" w:lineRule="auto"/>
              <w:ind w:left="114" w:firstLine="4"/>
              <w:rPr>
                <w:sz w:val="20"/>
              </w:rPr>
            </w:pPr>
            <w:r>
              <w:rPr>
                <w:spacing w:val="-2"/>
                <w:sz w:val="20"/>
              </w:rPr>
              <w:t>6_scenario_ validation.R</w:t>
            </w:r>
          </w:p>
        </w:tc>
        <w:tc>
          <w:tcPr>
            <w:tcW w:w="1494" w:type="dxa"/>
            <w:tcBorders>
              <w:left w:val="single" w:sz="4" w:space="0" w:color="000000"/>
              <w:right w:val="single" w:sz="4" w:space="0" w:color="000000"/>
            </w:tcBorders>
          </w:tcPr>
          <w:p>
            <w:pPr>
              <w:pStyle w:val="TableParagraph"/>
              <w:spacing w:line="249" w:lineRule="auto"/>
              <w:ind w:left="119"/>
              <w:rPr>
                <w:sz w:val="20"/>
              </w:rPr>
            </w:pPr>
            <w:r>
              <w:rPr>
                <w:spacing w:val="-2"/>
                <w:sz w:val="20"/>
              </w:rPr>
              <w:t>dataPrep_cont_ dataset_*.csv</w:t>
            </w:r>
          </w:p>
        </w:tc>
        <w:tc>
          <w:tcPr>
            <w:tcW w:w="1607" w:type="dxa"/>
            <w:tcBorders>
              <w:left w:val="single" w:sz="4" w:space="0" w:color="000000"/>
              <w:right w:val="single" w:sz="4" w:space="0" w:color="000000"/>
            </w:tcBorders>
          </w:tcPr>
          <w:p>
            <w:pPr>
              <w:pStyle w:val="TableParagraph"/>
              <w:spacing w:line="249" w:lineRule="auto"/>
              <w:ind w:left="120"/>
              <w:rPr>
                <w:sz w:val="20"/>
              </w:rPr>
            </w:pPr>
            <w:r>
              <w:rPr>
                <w:spacing w:val="-2"/>
                <w:sz w:val="20"/>
              </w:rPr>
              <w:t>scenario_ metrics_*.csv scenario_ predictions_</w:t>
            </w:r>
          </w:p>
          <w:p>
            <w:pPr>
              <w:pStyle w:val="TableParagraph"/>
              <w:spacing w:line="249" w:lineRule="auto" w:before="0"/>
              <w:ind w:left="120" w:hanging="20"/>
              <w:rPr>
                <w:sz w:val="20"/>
              </w:rPr>
            </w:pPr>
            <w:r>
              <w:rPr>
                <w:sz w:val="20"/>
              </w:rPr>
              <w:t>*.csv</w:t>
            </w:r>
            <w:r>
              <w:rPr>
                <w:spacing w:val="80"/>
                <w:sz w:val="20"/>
              </w:rPr>
              <w:t> </w:t>
            </w:r>
            <w:r>
              <w:rPr>
                <w:sz w:val="20"/>
              </w:rPr>
              <w:t>scenario_ </w:t>
            </w:r>
            <w:r>
              <w:rPr>
                <w:spacing w:val="-2"/>
                <w:sz w:val="20"/>
              </w:rPr>
              <w:t>summary_*.csv</w:t>
            </w:r>
          </w:p>
        </w:tc>
        <w:tc>
          <w:tcPr>
            <w:tcW w:w="2700" w:type="dxa"/>
            <w:tcBorders>
              <w:left w:val="single" w:sz="4" w:space="0" w:color="000000"/>
            </w:tcBorders>
          </w:tcPr>
          <w:p>
            <w:pPr>
              <w:pStyle w:val="TableParagraph"/>
              <w:spacing w:line="211" w:lineRule="auto" w:before="3"/>
              <w:ind w:left="120" w:right="79"/>
              <w:rPr>
                <w:sz w:val="20"/>
              </w:rPr>
            </w:pPr>
            <w:r>
              <w:rPr>
                <w:sz w:val="20"/>
              </w:rPr>
              <w:t>17-model</w:t>
            </w:r>
            <w:r>
              <w:rPr>
                <w:spacing w:val="40"/>
                <w:sz w:val="20"/>
              </w:rPr>
              <w:t> </w:t>
            </w:r>
            <w:r>
              <w:rPr>
                <w:rFonts w:ascii="Meiryo UI" w:hAnsi="Meiryo UI"/>
                <w:i/>
                <w:sz w:val="20"/>
              </w:rPr>
              <w:t>×</w:t>
            </w:r>
            <w:r>
              <w:rPr>
                <w:rFonts w:ascii="Meiryo UI" w:hAnsi="Meiryo UI"/>
                <w:i/>
                <w:spacing w:val="40"/>
                <w:sz w:val="20"/>
              </w:rPr>
              <w:t> </w:t>
            </w:r>
            <w:r>
              <w:rPr>
                <w:sz w:val="20"/>
              </w:rPr>
              <w:t>18/16</w:t>
            </w:r>
            <w:r>
              <w:rPr>
                <w:spacing w:val="40"/>
                <w:sz w:val="20"/>
              </w:rPr>
              <w:t> </w:t>
            </w:r>
            <w:r>
              <w:rPr>
                <w:sz w:val="20"/>
              </w:rPr>
              <w:t>scenario expanding-window</w:t>
            </w:r>
            <w:r>
              <w:rPr>
                <w:spacing w:val="4"/>
                <w:sz w:val="20"/>
              </w:rPr>
              <w:t> </w:t>
            </w:r>
            <w:r>
              <w:rPr>
                <w:spacing w:val="-2"/>
                <w:sz w:val="20"/>
              </w:rPr>
              <w:t>evaluation</w:t>
            </w:r>
            <w:r>
              <w:rPr>
                <w:spacing w:val="-2"/>
                <w:sz w:val="20"/>
              </w:rPr>
              <w:t>.</w:t>
            </w:r>
          </w:p>
          <w:p>
            <w:pPr>
              <w:pStyle w:val="TableParagraph"/>
              <w:spacing w:before="15"/>
              <w:ind w:left="113"/>
              <w:rPr>
                <w:sz w:val="20"/>
              </w:rPr>
            </w:pPr>
            <w:r>
              <w:rPr>
                <w:sz w:val="20"/>
              </w:rPr>
              <w:t>All</w:t>
            </w:r>
            <w:r>
              <w:rPr>
                <w:spacing w:val="-8"/>
                <w:sz w:val="20"/>
              </w:rPr>
              <w:t> </w:t>
            </w:r>
            <w:r>
              <w:rPr>
                <w:sz w:val="20"/>
              </w:rPr>
              <w:t>preprocessing</w:t>
            </w:r>
            <w:r>
              <w:rPr>
                <w:spacing w:val="-7"/>
                <w:sz w:val="20"/>
              </w:rPr>
              <w:t> </w:t>
            </w:r>
            <w:r>
              <w:rPr>
                <w:sz w:val="20"/>
              </w:rPr>
              <w:t>within</w:t>
            </w:r>
            <w:r>
              <w:rPr>
                <w:spacing w:val="-7"/>
                <w:sz w:val="20"/>
              </w:rPr>
              <w:t> </w:t>
            </w:r>
            <w:r>
              <w:rPr>
                <w:spacing w:val="-2"/>
                <w:sz w:val="20"/>
              </w:rPr>
              <w:t>fold.</w:t>
            </w:r>
          </w:p>
        </w:tc>
      </w:tr>
      <w:tr>
        <w:trPr>
          <w:trHeight w:val="1544" w:hRule="atLeast"/>
        </w:trPr>
        <w:tc>
          <w:tcPr>
            <w:tcW w:w="1093" w:type="dxa"/>
            <w:tcBorders>
              <w:bottom w:val="single" w:sz="8" w:space="0" w:color="000000"/>
              <w:right w:val="single" w:sz="4" w:space="0" w:color="000000"/>
            </w:tcBorders>
          </w:tcPr>
          <w:p>
            <w:pPr>
              <w:pStyle w:val="TableParagraph"/>
              <w:spacing w:line="249" w:lineRule="auto"/>
              <w:ind w:left="119" w:right="116"/>
              <w:jc w:val="both"/>
              <w:rPr>
                <w:sz w:val="20"/>
              </w:rPr>
            </w:pPr>
            <w:r>
              <w:rPr>
                <w:sz w:val="20"/>
              </w:rPr>
              <w:t>5: </w:t>
            </w:r>
            <w:r>
              <w:rPr>
                <w:sz w:val="20"/>
              </w:rPr>
              <w:t>Rule </w:t>
            </w:r>
            <w:r>
              <w:rPr>
                <w:spacing w:val="-2"/>
                <w:sz w:val="20"/>
              </w:rPr>
              <w:t>interpreta-</w:t>
            </w:r>
            <w:r>
              <w:rPr>
                <w:spacing w:val="-4"/>
                <w:sz w:val="20"/>
              </w:rPr>
              <w:t>tion</w:t>
            </w:r>
          </w:p>
        </w:tc>
        <w:tc>
          <w:tcPr>
            <w:tcW w:w="1607" w:type="dxa"/>
            <w:tcBorders>
              <w:left w:val="single" w:sz="4" w:space="0" w:color="000000"/>
              <w:bottom w:val="single" w:sz="8" w:space="0" w:color="000000"/>
              <w:right w:val="single" w:sz="4" w:space="0" w:color="000000"/>
            </w:tcBorders>
          </w:tcPr>
          <w:p>
            <w:pPr>
              <w:pStyle w:val="TableParagraph"/>
              <w:spacing w:line="249" w:lineRule="auto"/>
              <w:ind w:left="119" w:right="467"/>
              <w:rPr>
                <w:sz w:val="20"/>
              </w:rPr>
            </w:pPr>
            <w:r>
              <w:rPr>
                <w:spacing w:val="-2"/>
                <w:sz w:val="20"/>
              </w:rPr>
              <w:t>9_rule_ interpreter.R</w:t>
            </w:r>
          </w:p>
        </w:tc>
        <w:tc>
          <w:tcPr>
            <w:tcW w:w="1494" w:type="dxa"/>
            <w:tcBorders>
              <w:left w:val="single" w:sz="4" w:space="0" w:color="000000"/>
              <w:bottom w:val="single" w:sz="8" w:space="0" w:color="000000"/>
              <w:right w:val="single" w:sz="4" w:space="0" w:color="000000"/>
            </w:tcBorders>
          </w:tcPr>
          <w:p>
            <w:pPr>
              <w:pStyle w:val="TableParagraph"/>
              <w:ind w:left="119"/>
              <w:rPr>
                <w:sz w:val="20"/>
              </w:rPr>
            </w:pPr>
            <w:r>
              <w:rPr>
                <w:spacing w:val="-2"/>
                <w:sz w:val="20"/>
              </w:rPr>
              <w:t>RulesTemp_</w:t>
            </w:r>
          </w:p>
          <w:p>
            <w:pPr>
              <w:pStyle w:val="TableParagraph"/>
              <w:tabs>
                <w:tab w:pos="789" w:val="left" w:leader="none"/>
              </w:tabs>
              <w:spacing w:line="249" w:lineRule="auto" w:before="10"/>
              <w:ind w:left="119" w:right="105" w:hanging="20"/>
              <w:rPr>
                <w:sz w:val="20"/>
              </w:rPr>
            </w:pPr>
            <w:r>
              <w:rPr>
                <w:spacing w:val="-2"/>
                <w:sz w:val="20"/>
              </w:rPr>
              <w:t>*.csv</w:t>
            </w:r>
            <w:r>
              <w:rPr>
                <w:sz w:val="20"/>
              </w:rPr>
              <w:tab/>
            </w:r>
            <w:r>
              <w:rPr>
                <w:spacing w:val="-2"/>
                <w:sz w:val="20"/>
              </w:rPr>
              <w:t>ripper_ rules_*.txt m5rules_rules_</w:t>
            </w:r>
          </w:p>
          <w:p>
            <w:pPr>
              <w:pStyle w:val="TableParagraph"/>
              <w:spacing w:line="230" w:lineRule="exact" w:before="0"/>
              <w:ind w:left="99"/>
              <w:rPr>
                <w:sz w:val="20"/>
              </w:rPr>
            </w:pPr>
            <w:r>
              <w:rPr>
                <w:spacing w:val="-2"/>
                <w:sz w:val="20"/>
              </w:rPr>
              <w:t>*.txt</w:t>
            </w:r>
          </w:p>
        </w:tc>
        <w:tc>
          <w:tcPr>
            <w:tcW w:w="1607" w:type="dxa"/>
            <w:tcBorders>
              <w:left w:val="single" w:sz="4" w:space="0" w:color="000000"/>
              <w:bottom w:val="single" w:sz="8" w:space="0" w:color="000000"/>
              <w:right w:val="single" w:sz="4" w:space="0" w:color="000000"/>
            </w:tcBorders>
          </w:tcPr>
          <w:p>
            <w:pPr>
              <w:pStyle w:val="TableParagraph"/>
              <w:spacing w:line="249" w:lineRule="auto"/>
              <w:ind w:left="120" w:right="81"/>
              <w:rPr>
                <w:sz w:val="20"/>
              </w:rPr>
            </w:pPr>
            <w:r>
              <w:rPr>
                <w:spacing w:val="-2"/>
                <w:sz w:val="20"/>
              </w:rPr>
              <w:t>rules_ interpreted_</w:t>
            </w:r>
          </w:p>
          <w:p>
            <w:pPr>
              <w:pStyle w:val="TableParagraph"/>
              <w:spacing w:line="249" w:lineRule="auto" w:before="0"/>
              <w:ind w:left="120" w:hanging="20"/>
              <w:rPr>
                <w:sz w:val="20"/>
              </w:rPr>
            </w:pPr>
            <w:r>
              <w:rPr>
                <w:sz w:val="20"/>
              </w:rPr>
              <w:t>*.txt/.csv</w:t>
            </w:r>
            <w:r>
              <w:rPr>
                <w:spacing w:val="-9"/>
                <w:sz w:val="20"/>
              </w:rPr>
              <w:t> </w:t>
            </w:r>
            <w:r>
              <w:rPr>
                <w:sz w:val="20"/>
              </w:rPr>
              <w:t>ripper_ </w:t>
            </w:r>
            <w:r>
              <w:rPr>
                <w:spacing w:val="-2"/>
                <w:sz w:val="20"/>
              </w:rPr>
              <w:t>interpreted_</w:t>
            </w:r>
          </w:p>
          <w:p>
            <w:pPr>
              <w:pStyle w:val="TableParagraph"/>
              <w:tabs>
                <w:tab w:pos="734" w:val="left" w:leader="none"/>
              </w:tabs>
              <w:spacing w:line="249" w:lineRule="auto" w:before="0"/>
              <w:ind w:left="120" w:right="104" w:hanging="20"/>
              <w:rPr>
                <w:sz w:val="20"/>
              </w:rPr>
            </w:pPr>
            <w:r>
              <w:rPr>
                <w:spacing w:val="-2"/>
                <w:sz w:val="20"/>
              </w:rPr>
              <w:t>*.txt</w:t>
            </w:r>
            <w:r>
              <w:rPr>
                <w:sz w:val="20"/>
              </w:rPr>
              <w:tab/>
            </w:r>
            <w:r>
              <w:rPr>
                <w:spacing w:val="-2"/>
                <w:sz w:val="20"/>
              </w:rPr>
              <w:t>m5rules_ interpreted_*.txt</w:t>
            </w:r>
          </w:p>
        </w:tc>
        <w:tc>
          <w:tcPr>
            <w:tcW w:w="2700" w:type="dxa"/>
            <w:tcBorders>
              <w:left w:val="single" w:sz="4" w:space="0" w:color="000000"/>
              <w:bottom w:val="single" w:sz="8" w:space="0" w:color="000000"/>
            </w:tcBorders>
          </w:tcPr>
          <w:p>
            <w:pPr>
              <w:pStyle w:val="TableParagraph"/>
              <w:spacing w:line="249" w:lineRule="auto"/>
              <w:ind w:left="113" w:right="81" w:firstLine="7"/>
              <w:jc w:val="both"/>
              <w:rPr>
                <w:sz w:val="20"/>
              </w:rPr>
            </w:pPr>
            <w:r>
              <w:rPr>
                <w:sz w:val="20"/>
              </w:rPr>
              <w:t>Translation</w:t>
            </w:r>
            <w:r>
              <w:rPr>
                <w:spacing w:val="-6"/>
                <w:sz w:val="20"/>
              </w:rPr>
              <w:t> </w:t>
            </w:r>
            <w:r>
              <w:rPr>
                <w:sz w:val="20"/>
              </w:rPr>
              <w:t>of</w:t>
            </w:r>
            <w:r>
              <w:rPr>
                <w:spacing w:val="-6"/>
                <w:sz w:val="20"/>
              </w:rPr>
              <w:t> </w:t>
            </w:r>
            <w:r>
              <w:rPr>
                <w:sz w:val="20"/>
              </w:rPr>
              <w:t>raw</w:t>
            </w:r>
            <w:r>
              <w:rPr>
                <w:spacing w:val="-6"/>
                <w:sz w:val="20"/>
              </w:rPr>
              <w:t> </w:t>
            </w:r>
            <w:r>
              <w:rPr>
                <w:sz w:val="20"/>
              </w:rPr>
              <w:t>rule</w:t>
            </w:r>
            <w:r>
              <w:rPr>
                <w:spacing w:val="-6"/>
                <w:sz w:val="20"/>
              </w:rPr>
              <w:t> </w:t>
            </w:r>
            <w:r>
              <w:rPr>
                <w:sz w:val="20"/>
              </w:rPr>
              <w:t>outputs to plain-English descriptions with</w:t>
            </w:r>
            <w:r>
              <w:rPr>
                <w:spacing w:val="-11"/>
                <w:sz w:val="20"/>
              </w:rPr>
              <w:t> </w:t>
            </w:r>
            <w:r>
              <w:rPr>
                <w:sz w:val="20"/>
              </w:rPr>
              <w:t>agronomic</w:t>
            </w:r>
            <w:r>
              <w:rPr>
                <w:spacing w:val="-11"/>
                <w:sz w:val="20"/>
              </w:rPr>
              <w:t> </w:t>
            </w:r>
            <w:r>
              <w:rPr>
                <w:sz w:val="20"/>
              </w:rPr>
              <w:t>pathway</w:t>
            </w:r>
            <w:r>
              <w:rPr>
                <w:spacing w:val="-11"/>
                <w:sz w:val="20"/>
              </w:rPr>
              <w:t> </w:t>
            </w:r>
            <w:r>
              <w:rPr>
                <w:sz w:val="20"/>
              </w:rPr>
              <w:t>anno-</w:t>
            </w:r>
            <w:r>
              <w:rPr>
                <w:spacing w:val="-2"/>
                <w:sz w:val="20"/>
              </w:rPr>
              <w:t>tations.</w:t>
            </w:r>
          </w:p>
        </w:tc>
      </w:tr>
    </w:tbl>
    <w:p>
      <w:pPr>
        <w:pStyle w:val="BodyText"/>
        <w:rPr>
          <w:sz w:val="20"/>
        </w:rPr>
      </w:pPr>
    </w:p>
    <w:p>
      <w:pPr>
        <w:pStyle w:val="BodyText"/>
        <w:spacing w:before="149"/>
        <w:rPr>
          <w:sz w:val="20"/>
        </w:rPr>
      </w:pPr>
    </w:p>
    <w:p>
      <w:pPr>
        <w:spacing w:before="0"/>
        <w:ind w:left="0" w:right="1421" w:firstLine="0"/>
        <w:jc w:val="center"/>
        <w:rPr>
          <w:sz w:val="20"/>
        </w:rPr>
      </w:pPr>
      <w:bookmarkStart w:name="_bookmark179" w:id="301"/>
      <w:bookmarkEnd w:id="301"/>
      <w:r>
        <w:rPr/>
      </w:r>
      <w:r>
        <w:rPr>
          <w:b/>
          <w:sz w:val="20"/>
        </w:rPr>
        <w:t>Table</w:t>
      </w:r>
      <w:r>
        <w:rPr>
          <w:b/>
          <w:spacing w:val="-11"/>
          <w:sz w:val="20"/>
        </w:rPr>
        <w:t> </w:t>
      </w:r>
      <w:r>
        <w:rPr>
          <w:b/>
          <w:sz w:val="20"/>
        </w:rPr>
        <w:t>B.8: </w:t>
      </w:r>
      <w:r>
        <w:rPr>
          <w:sz w:val="20"/>
        </w:rPr>
        <w:t>Fixed</w:t>
      </w:r>
      <w:r>
        <w:rPr>
          <w:spacing w:val="-10"/>
          <w:sz w:val="20"/>
        </w:rPr>
        <w:t> </w:t>
      </w:r>
      <w:r>
        <w:rPr>
          <w:sz w:val="20"/>
        </w:rPr>
        <w:t>configuration</w:t>
      </w:r>
      <w:r>
        <w:rPr>
          <w:spacing w:val="-10"/>
          <w:sz w:val="20"/>
        </w:rPr>
        <w:t> </w:t>
      </w:r>
      <w:r>
        <w:rPr>
          <w:sz w:val="20"/>
        </w:rPr>
        <w:t>parameters</w:t>
      </w:r>
      <w:r>
        <w:rPr>
          <w:spacing w:val="-11"/>
          <w:sz w:val="20"/>
        </w:rPr>
        <w:t> </w:t>
      </w:r>
      <w:r>
        <w:rPr>
          <w:sz w:val="20"/>
        </w:rPr>
        <w:t>for</w:t>
      </w:r>
      <w:r>
        <w:rPr>
          <w:spacing w:val="-10"/>
          <w:sz w:val="20"/>
        </w:rPr>
        <w:t> </w:t>
      </w:r>
      <w:r>
        <w:rPr>
          <w:sz w:val="20"/>
        </w:rPr>
        <w:t>CarenR</w:t>
      </w:r>
      <w:r>
        <w:rPr>
          <w:spacing w:val="-10"/>
          <w:sz w:val="20"/>
        </w:rPr>
        <w:t> </w:t>
      </w:r>
      <w:r>
        <w:rPr>
          <w:sz w:val="20"/>
        </w:rPr>
        <w:t>and</w:t>
      </w:r>
      <w:r>
        <w:rPr>
          <w:spacing w:val="-10"/>
          <w:sz w:val="20"/>
        </w:rPr>
        <w:t> </w:t>
      </w:r>
      <w:r>
        <w:rPr>
          <w:sz w:val="20"/>
        </w:rPr>
        <w:t>the</w:t>
      </w:r>
      <w:r>
        <w:rPr>
          <w:spacing w:val="-10"/>
          <w:sz w:val="20"/>
        </w:rPr>
        <w:t> </w:t>
      </w:r>
      <w:r>
        <w:rPr>
          <w:sz w:val="20"/>
        </w:rPr>
        <w:t>walk-forward</w:t>
      </w:r>
      <w:r>
        <w:rPr>
          <w:spacing w:val="-10"/>
          <w:sz w:val="20"/>
        </w:rPr>
        <w:t> </w:t>
      </w:r>
      <w:r>
        <w:rPr>
          <w:spacing w:val="-2"/>
          <w:sz w:val="20"/>
        </w:rPr>
        <w:t>protocol.</w:t>
      </w:r>
    </w:p>
    <w:p>
      <w:pPr>
        <w:pStyle w:val="BodyText"/>
        <w:spacing w:before="5"/>
        <w:rPr>
          <w:sz w:val="18"/>
        </w:rPr>
      </w:pPr>
      <w:r>
        <w:rPr>
          <w:sz w:val="18"/>
        </w:rPr>
        <mc:AlternateContent>
          <mc:Choice Requires="wps">
            <w:drawing>
              <wp:anchor distT="0" distB="0" distL="0" distR="0" allowOverlap="1" layoutInCell="1" locked="0" behindDoc="1" simplePos="0" relativeHeight="487640576">
                <wp:simplePos x="0" y="0"/>
                <wp:positionH relativeFrom="page">
                  <wp:posOffset>899998</wp:posOffset>
                </wp:positionH>
                <wp:positionV relativeFrom="paragraph">
                  <wp:posOffset>150181</wp:posOffset>
                </wp:positionV>
                <wp:extent cx="5400040" cy="1270"/>
                <wp:effectExtent l="0" t="0" r="0" b="0"/>
                <wp:wrapTopAndBottom/>
                <wp:docPr id="288" name="Graphic 288"/>
                <wp:cNvGraphicFramePr>
                  <a:graphicFrameLocks/>
                </wp:cNvGraphicFramePr>
                <a:graphic>
                  <a:graphicData uri="http://schemas.microsoft.com/office/word/2010/wordprocessingShape">
                    <wps:wsp>
                      <wps:cNvPr id="288" name="Graphic 288"/>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1.82532pt;width:425.2pt;height:.1pt;mso-position-horizontal-relative:page;mso-position-vertical-relative:paragraph;z-index:-15675904;mso-wrap-distance-left:0;mso-wrap-distance-right:0" id="docshape251" coordorigin="1417,237" coordsize="8504,0" path="m1417,237l9921,237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79"/>
        <w:gridCol w:w="3788"/>
        <w:gridCol w:w="2335"/>
      </w:tblGrid>
      <w:tr>
        <w:trPr>
          <w:trHeight w:val="346" w:hRule="atLeast"/>
        </w:trPr>
        <w:tc>
          <w:tcPr>
            <w:tcW w:w="2379" w:type="dxa"/>
            <w:tcBorders>
              <w:top w:val="nil"/>
              <w:left w:val="nil"/>
              <w:right w:val="single" w:sz="4" w:space="0" w:color="000000"/>
            </w:tcBorders>
          </w:tcPr>
          <w:p>
            <w:pPr>
              <w:pStyle w:val="TableParagraph"/>
              <w:spacing w:before="31"/>
              <w:ind w:left="119"/>
              <w:rPr>
                <w:sz w:val="20"/>
              </w:rPr>
            </w:pPr>
            <w:r>
              <w:rPr>
                <w:spacing w:val="-2"/>
                <w:sz w:val="20"/>
              </w:rPr>
              <w:t>Parameter</w:t>
            </w:r>
          </w:p>
        </w:tc>
        <w:tc>
          <w:tcPr>
            <w:tcW w:w="3788" w:type="dxa"/>
            <w:tcBorders>
              <w:top w:val="nil"/>
              <w:left w:val="single" w:sz="4" w:space="0" w:color="000000"/>
              <w:right w:val="single" w:sz="4" w:space="0" w:color="000000"/>
            </w:tcBorders>
          </w:tcPr>
          <w:p>
            <w:pPr>
              <w:pStyle w:val="TableParagraph"/>
              <w:spacing w:before="31"/>
              <w:ind w:left="118"/>
              <w:rPr>
                <w:sz w:val="20"/>
              </w:rPr>
            </w:pPr>
            <w:r>
              <w:rPr>
                <w:spacing w:val="-2"/>
                <w:sz w:val="20"/>
              </w:rPr>
              <w:t>Value</w:t>
            </w:r>
          </w:p>
        </w:tc>
        <w:tc>
          <w:tcPr>
            <w:tcW w:w="2335" w:type="dxa"/>
            <w:tcBorders>
              <w:top w:val="nil"/>
              <w:left w:val="single" w:sz="4" w:space="0" w:color="000000"/>
              <w:right w:val="nil"/>
            </w:tcBorders>
          </w:tcPr>
          <w:p>
            <w:pPr>
              <w:pStyle w:val="TableParagraph"/>
              <w:spacing w:before="31"/>
              <w:ind w:left="119"/>
              <w:rPr>
                <w:sz w:val="20"/>
              </w:rPr>
            </w:pPr>
            <w:r>
              <w:rPr>
                <w:sz w:val="20"/>
              </w:rPr>
              <w:t>Location</w:t>
            </w:r>
            <w:r>
              <w:rPr>
                <w:spacing w:val="-6"/>
                <w:sz w:val="20"/>
              </w:rPr>
              <w:t> </w:t>
            </w:r>
            <w:r>
              <w:rPr>
                <w:sz w:val="20"/>
              </w:rPr>
              <w:t>in</w:t>
            </w:r>
            <w:r>
              <w:rPr>
                <w:spacing w:val="-5"/>
                <w:sz w:val="20"/>
              </w:rPr>
              <w:t> </w:t>
            </w:r>
            <w:r>
              <w:rPr>
                <w:spacing w:val="-4"/>
                <w:sz w:val="20"/>
              </w:rPr>
              <w:t>code</w:t>
            </w:r>
          </w:p>
        </w:tc>
      </w:tr>
    </w:tbl>
    <w:p>
      <w:pPr>
        <w:pStyle w:val="BodyText"/>
        <w:spacing w:before="10"/>
        <w:rPr>
          <w:sz w:val="4"/>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79"/>
        <w:gridCol w:w="3788"/>
        <w:gridCol w:w="2335"/>
      </w:tblGrid>
      <w:tr>
        <w:trPr>
          <w:trHeight w:val="308" w:hRule="atLeast"/>
        </w:trPr>
        <w:tc>
          <w:tcPr>
            <w:tcW w:w="2379" w:type="dxa"/>
            <w:tcBorders>
              <w:right w:val="single" w:sz="4" w:space="0" w:color="000000"/>
            </w:tcBorders>
          </w:tcPr>
          <w:p>
            <w:pPr>
              <w:pStyle w:val="TableParagraph"/>
              <w:spacing w:before="31"/>
              <w:ind w:left="119"/>
              <w:rPr>
                <w:sz w:val="20"/>
              </w:rPr>
            </w:pPr>
            <w:r>
              <w:rPr>
                <w:sz w:val="20"/>
              </w:rPr>
              <w:t>Detrending</w:t>
            </w:r>
            <w:r>
              <w:rPr>
                <w:spacing w:val="-10"/>
                <w:sz w:val="20"/>
              </w:rPr>
              <w:t> </w:t>
            </w:r>
            <w:r>
              <w:rPr>
                <w:spacing w:val="-2"/>
                <w:sz w:val="20"/>
              </w:rPr>
              <w:t>method</w:t>
            </w:r>
          </w:p>
        </w:tc>
        <w:tc>
          <w:tcPr>
            <w:tcW w:w="3788" w:type="dxa"/>
            <w:tcBorders>
              <w:left w:val="single" w:sz="4" w:space="0" w:color="000000"/>
              <w:right w:val="single" w:sz="4" w:space="0" w:color="000000"/>
            </w:tcBorders>
          </w:tcPr>
          <w:p>
            <w:pPr>
              <w:pStyle w:val="TableParagraph"/>
              <w:spacing w:before="31"/>
              <w:ind w:left="118"/>
              <w:rPr>
                <w:sz w:val="20"/>
              </w:rPr>
            </w:pPr>
            <w:r>
              <w:rPr>
                <w:sz w:val="20"/>
              </w:rPr>
              <w:t>Linear</w:t>
            </w:r>
            <w:r>
              <w:rPr>
                <w:spacing w:val="-7"/>
                <w:sz w:val="20"/>
              </w:rPr>
              <w:t> </w:t>
            </w:r>
            <w:r>
              <w:rPr>
                <w:spacing w:val="-2"/>
                <w:sz w:val="20"/>
              </w:rPr>
              <w:t>(OLS)</w:t>
            </w:r>
          </w:p>
        </w:tc>
        <w:tc>
          <w:tcPr>
            <w:tcW w:w="2335" w:type="dxa"/>
            <w:tcBorders>
              <w:left w:val="single" w:sz="4" w:space="0" w:color="000000"/>
            </w:tcBorders>
          </w:tcPr>
          <w:p>
            <w:pPr>
              <w:pStyle w:val="TableParagraph"/>
              <w:spacing w:before="31"/>
              <w:ind w:left="119"/>
              <w:rPr>
                <w:sz w:val="20"/>
              </w:rPr>
            </w:pPr>
            <w:r>
              <w:rPr>
                <w:spacing w:val="-2"/>
                <w:sz w:val="20"/>
              </w:rPr>
              <w:t>config.R:</w:t>
            </w:r>
            <w:r>
              <w:rPr>
                <w:spacing w:val="2"/>
                <w:sz w:val="20"/>
              </w:rPr>
              <w:t> </w:t>
            </w:r>
            <w:r>
              <w:rPr>
                <w:spacing w:val="-2"/>
                <w:sz w:val="20"/>
              </w:rPr>
              <w:t>detrend_method</w:t>
            </w:r>
          </w:p>
        </w:tc>
      </w:tr>
      <w:tr>
        <w:trPr>
          <w:trHeight w:val="549" w:hRule="atLeast"/>
        </w:trPr>
        <w:tc>
          <w:tcPr>
            <w:tcW w:w="2379" w:type="dxa"/>
            <w:tcBorders>
              <w:right w:val="single" w:sz="4" w:space="0" w:color="000000"/>
            </w:tcBorders>
          </w:tcPr>
          <w:p>
            <w:pPr>
              <w:pStyle w:val="TableParagraph"/>
              <w:ind w:left="119"/>
              <w:rPr>
                <w:sz w:val="20"/>
              </w:rPr>
            </w:pPr>
            <w:r>
              <w:rPr>
                <w:sz w:val="20"/>
              </w:rPr>
              <w:t>CarenR</w:t>
            </w:r>
            <w:r>
              <w:rPr>
                <w:spacing w:val="-8"/>
                <w:sz w:val="20"/>
              </w:rPr>
              <w:t> </w:t>
            </w:r>
            <w:r>
              <w:rPr>
                <w:sz w:val="20"/>
              </w:rPr>
              <w:t>support</w:t>
            </w:r>
            <w:r>
              <w:rPr>
                <w:spacing w:val="-7"/>
                <w:sz w:val="20"/>
              </w:rPr>
              <w:t> </w:t>
            </w:r>
            <w:r>
              <w:rPr>
                <w:spacing w:val="-2"/>
                <w:sz w:val="20"/>
              </w:rPr>
              <w:t>threshold</w:t>
            </w:r>
          </w:p>
        </w:tc>
        <w:tc>
          <w:tcPr>
            <w:tcW w:w="3788" w:type="dxa"/>
            <w:tcBorders>
              <w:left w:val="single" w:sz="4" w:space="0" w:color="000000"/>
              <w:right w:val="single" w:sz="4" w:space="0" w:color="000000"/>
            </w:tcBorders>
          </w:tcPr>
          <w:p>
            <w:pPr>
              <w:pStyle w:val="TableParagraph"/>
              <w:spacing w:line="303" w:lineRule="exact" w:before="0"/>
              <w:ind w:left="118"/>
              <w:rPr>
                <w:sz w:val="20"/>
              </w:rPr>
            </w:pPr>
            <w:r>
              <w:rPr>
                <w:sz w:val="20"/>
              </w:rPr>
              <w:t>15%</w:t>
            </w:r>
            <w:r>
              <w:rPr>
                <w:spacing w:val="-4"/>
                <w:sz w:val="20"/>
              </w:rPr>
              <w:t> </w:t>
            </w:r>
            <w:r>
              <w:rPr>
                <w:sz w:val="20"/>
              </w:rPr>
              <w:t>(</w:t>
            </w:r>
            <w:r>
              <w:rPr>
                <w:i/>
                <w:sz w:val="20"/>
              </w:rPr>
              <w:t>s</w:t>
            </w:r>
            <w:r>
              <w:rPr>
                <w:i/>
                <w:sz w:val="20"/>
                <w:vertAlign w:val="subscript"/>
              </w:rPr>
              <w:t>i</w:t>
            </w:r>
            <w:r>
              <w:rPr>
                <w:i/>
                <w:spacing w:val="7"/>
                <w:sz w:val="20"/>
                <w:vertAlign w:val="baseline"/>
              </w:rPr>
              <w:t> </w:t>
            </w:r>
            <w:r>
              <w:rPr>
                <w:rFonts w:ascii="Meiryo UI" w:hAnsi="Meiryo UI"/>
                <w:i/>
                <w:sz w:val="20"/>
                <w:vertAlign w:val="baseline"/>
              </w:rPr>
              <w:t>≥</w:t>
            </w:r>
            <w:r>
              <w:rPr>
                <w:rFonts w:ascii="Meiryo UI" w:hAnsi="Meiryo UI"/>
                <w:i/>
                <w:spacing w:val="-19"/>
                <w:sz w:val="20"/>
                <w:vertAlign w:val="baseline"/>
              </w:rPr>
              <w:t> </w:t>
            </w:r>
            <w:r>
              <w:rPr>
                <w:spacing w:val="-2"/>
                <w:sz w:val="20"/>
                <w:vertAlign w:val="baseline"/>
              </w:rPr>
              <w:t>0.15)</w:t>
            </w:r>
          </w:p>
        </w:tc>
        <w:tc>
          <w:tcPr>
            <w:tcW w:w="2335" w:type="dxa"/>
            <w:tcBorders>
              <w:left w:val="single" w:sz="4" w:space="0" w:color="000000"/>
            </w:tcBorders>
          </w:tcPr>
          <w:p>
            <w:pPr>
              <w:pStyle w:val="TableParagraph"/>
              <w:tabs>
                <w:tab w:pos="1511" w:val="left" w:leader="none"/>
              </w:tabs>
              <w:spacing w:line="249" w:lineRule="auto"/>
              <w:ind w:left="119" w:right="105"/>
              <w:rPr>
                <w:sz w:val="20"/>
              </w:rPr>
            </w:pPr>
            <w:r>
              <w:rPr>
                <w:spacing w:val="-2"/>
                <w:sz w:val="20"/>
              </w:rPr>
              <w:t>config.R:</w:t>
            </w:r>
            <w:r>
              <w:rPr>
                <w:sz w:val="20"/>
              </w:rPr>
              <w:tab/>
            </w:r>
            <w:r>
              <w:rPr>
                <w:spacing w:val="-2"/>
                <w:sz w:val="20"/>
              </w:rPr>
              <w:t>support_ threshold</w:t>
            </w:r>
          </w:p>
        </w:tc>
      </w:tr>
      <w:tr>
        <w:trPr>
          <w:trHeight w:val="613" w:hRule="atLeast"/>
        </w:trPr>
        <w:tc>
          <w:tcPr>
            <w:tcW w:w="2379" w:type="dxa"/>
            <w:tcBorders>
              <w:right w:val="single" w:sz="4" w:space="0" w:color="000000"/>
            </w:tcBorders>
          </w:tcPr>
          <w:p>
            <w:pPr>
              <w:pStyle w:val="TableParagraph"/>
              <w:ind w:left="119"/>
              <w:rPr>
                <w:sz w:val="20"/>
              </w:rPr>
            </w:pPr>
            <w:r>
              <w:rPr>
                <w:spacing w:val="-2"/>
                <w:sz w:val="20"/>
              </w:rPr>
              <w:t>Significance</w:t>
            </w:r>
            <w:r>
              <w:rPr>
                <w:spacing w:val="3"/>
                <w:sz w:val="20"/>
              </w:rPr>
              <w:t> </w:t>
            </w:r>
            <w:r>
              <w:rPr>
                <w:spacing w:val="-2"/>
                <w:sz w:val="20"/>
              </w:rPr>
              <w:t>threshold</w:t>
            </w:r>
          </w:p>
          <w:p>
            <w:pPr>
              <w:pStyle w:val="TableParagraph"/>
              <w:spacing w:before="81"/>
              <w:ind w:left="119"/>
              <w:rPr>
                <w:sz w:val="20"/>
              </w:rPr>
            </w:pPr>
            <w:r>
              <w:rPr>
                <w:sz w:val="20"/>
              </w:rPr>
              <w:t>Minimum</w:t>
            </w:r>
            <w:r>
              <w:rPr>
                <w:spacing w:val="-9"/>
                <w:sz w:val="20"/>
              </w:rPr>
              <w:t> </w:t>
            </w:r>
            <w:r>
              <w:rPr>
                <w:sz w:val="20"/>
              </w:rPr>
              <w:t>training</w:t>
            </w:r>
            <w:r>
              <w:rPr>
                <w:spacing w:val="-8"/>
                <w:sz w:val="20"/>
              </w:rPr>
              <w:t> </w:t>
            </w:r>
            <w:r>
              <w:rPr>
                <w:spacing w:val="-2"/>
                <w:sz w:val="20"/>
              </w:rPr>
              <w:t>fraction</w:t>
            </w:r>
          </w:p>
        </w:tc>
        <w:tc>
          <w:tcPr>
            <w:tcW w:w="3788" w:type="dxa"/>
            <w:tcBorders>
              <w:left w:val="single" w:sz="4" w:space="0" w:color="000000"/>
              <w:right w:val="single" w:sz="4" w:space="0" w:color="000000"/>
            </w:tcBorders>
          </w:tcPr>
          <w:p>
            <w:pPr>
              <w:pStyle w:val="TableParagraph"/>
              <w:spacing w:line="303" w:lineRule="exact" w:before="0"/>
              <w:ind w:left="118"/>
              <w:rPr>
                <w:sz w:val="20"/>
              </w:rPr>
            </w:pPr>
            <w:r>
              <w:rPr>
                <w:sz w:val="20"/>
              </w:rPr>
              <w:t>p</w:t>
            </w:r>
            <w:r>
              <w:rPr>
                <w:spacing w:val="-9"/>
                <w:sz w:val="20"/>
              </w:rPr>
              <w:t> </w:t>
            </w:r>
            <w:r>
              <w:rPr>
                <w:rFonts w:ascii="Meiryo UI" w:hAnsi="Meiryo UI"/>
                <w:i/>
                <w:sz w:val="20"/>
              </w:rPr>
              <w:t>≤</w:t>
            </w:r>
            <w:r>
              <w:rPr>
                <w:rFonts w:ascii="Meiryo UI" w:hAnsi="Meiryo UI"/>
                <w:i/>
                <w:spacing w:val="-19"/>
                <w:sz w:val="20"/>
              </w:rPr>
              <w:t> </w:t>
            </w:r>
            <w:r>
              <w:rPr>
                <w:spacing w:val="-4"/>
                <w:sz w:val="20"/>
              </w:rPr>
              <w:t>0.10</w:t>
            </w:r>
          </w:p>
          <w:p>
            <w:pPr>
              <w:pStyle w:val="TableParagraph"/>
              <w:spacing w:before="40"/>
              <w:ind w:left="118"/>
              <w:rPr>
                <w:sz w:val="20"/>
              </w:rPr>
            </w:pPr>
            <w:r>
              <w:rPr>
                <w:spacing w:val="-5"/>
                <w:sz w:val="20"/>
              </w:rPr>
              <w:t>80%</w:t>
            </w:r>
          </w:p>
        </w:tc>
        <w:tc>
          <w:tcPr>
            <w:tcW w:w="2335" w:type="dxa"/>
            <w:tcBorders>
              <w:left w:val="single" w:sz="4" w:space="0" w:color="000000"/>
            </w:tcBorders>
          </w:tcPr>
          <w:p>
            <w:pPr>
              <w:pStyle w:val="TableParagraph"/>
              <w:ind w:left="119"/>
              <w:rPr>
                <w:sz w:val="20"/>
              </w:rPr>
            </w:pPr>
            <w:r>
              <w:rPr>
                <w:spacing w:val="-2"/>
                <w:sz w:val="20"/>
              </w:rPr>
              <w:t>config.R:</w:t>
            </w:r>
            <w:r>
              <w:rPr>
                <w:spacing w:val="2"/>
                <w:sz w:val="20"/>
              </w:rPr>
              <w:t> </w:t>
            </w:r>
            <w:r>
              <w:rPr>
                <w:spacing w:val="-2"/>
                <w:sz w:val="20"/>
              </w:rPr>
              <w:t>alpha_threshold</w:t>
            </w:r>
          </w:p>
          <w:p>
            <w:pPr>
              <w:pStyle w:val="TableParagraph"/>
              <w:spacing w:before="81"/>
              <w:ind w:left="119"/>
              <w:rPr>
                <w:sz w:val="20"/>
              </w:rPr>
            </w:pPr>
            <w:r>
              <w:rPr>
                <w:spacing w:val="-2"/>
                <w:sz w:val="20"/>
              </w:rPr>
              <w:t>config.R:</w:t>
            </w:r>
            <w:r>
              <w:rPr>
                <w:spacing w:val="2"/>
                <w:sz w:val="20"/>
              </w:rPr>
              <w:t> </w:t>
            </w:r>
            <w:r>
              <w:rPr>
                <w:spacing w:val="-2"/>
                <w:sz w:val="20"/>
              </w:rPr>
              <w:t>min_train_frac</w:t>
            </w:r>
          </w:p>
        </w:tc>
      </w:tr>
      <w:tr>
        <w:trPr>
          <w:trHeight w:val="357" w:hRule="atLeast"/>
        </w:trPr>
        <w:tc>
          <w:tcPr>
            <w:tcW w:w="2379" w:type="dxa"/>
            <w:tcBorders>
              <w:bottom w:val="single" w:sz="8" w:space="0" w:color="000000"/>
              <w:right w:val="single" w:sz="4" w:space="0" w:color="000000"/>
            </w:tcBorders>
          </w:tcPr>
          <w:p>
            <w:pPr>
              <w:pStyle w:val="TableParagraph"/>
              <w:spacing w:before="41"/>
              <w:ind w:left="119"/>
              <w:rPr>
                <w:sz w:val="20"/>
              </w:rPr>
            </w:pPr>
            <w:r>
              <w:rPr>
                <w:sz w:val="20"/>
              </w:rPr>
              <w:t>Feature</w:t>
            </w:r>
            <w:r>
              <w:rPr>
                <w:spacing w:val="-8"/>
                <w:sz w:val="20"/>
              </w:rPr>
              <w:t> </w:t>
            </w:r>
            <w:r>
              <w:rPr>
                <w:sz w:val="20"/>
              </w:rPr>
              <w:t>selection</w:t>
            </w:r>
            <w:r>
              <w:rPr>
                <w:spacing w:val="-8"/>
                <w:sz w:val="20"/>
              </w:rPr>
              <w:t> </w:t>
            </w:r>
            <w:r>
              <w:rPr>
                <w:spacing w:val="-2"/>
                <w:sz w:val="20"/>
              </w:rPr>
              <w:t>strategy</w:t>
            </w:r>
          </w:p>
        </w:tc>
        <w:tc>
          <w:tcPr>
            <w:tcW w:w="3788" w:type="dxa"/>
            <w:tcBorders>
              <w:left w:val="single" w:sz="4" w:space="0" w:color="000000"/>
              <w:bottom w:val="single" w:sz="8" w:space="0" w:color="000000"/>
              <w:right w:val="single" w:sz="4" w:space="0" w:color="000000"/>
            </w:tcBorders>
          </w:tcPr>
          <w:p>
            <w:pPr>
              <w:pStyle w:val="TableParagraph"/>
              <w:spacing w:before="27"/>
              <w:ind w:left="118"/>
              <w:rPr>
                <w:sz w:val="20"/>
              </w:rPr>
            </w:pPr>
            <w:r>
              <w:rPr>
                <w:sz w:val="20"/>
              </w:rPr>
              <w:t>Per</w:t>
            </w:r>
            <w:r>
              <w:rPr>
                <w:spacing w:val="1"/>
                <w:sz w:val="20"/>
              </w:rPr>
              <w:t> </w:t>
            </w:r>
            <w:r>
              <w:rPr>
                <w:sz w:val="20"/>
              </w:rPr>
              <w:t>variant</w:t>
            </w:r>
            <w:r>
              <w:rPr>
                <w:spacing w:val="2"/>
                <w:sz w:val="20"/>
              </w:rPr>
              <w:t> </w:t>
            </w:r>
            <w:r>
              <w:rPr>
                <w:sz w:val="20"/>
              </w:rPr>
              <w:t>(</w:t>
            </w:r>
            <w:r>
              <w:rPr>
                <w:i/>
                <w:sz w:val="20"/>
              </w:rPr>
              <w:t>η</w:t>
            </w:r>
            <w:r>
              <w:rPr>
                <w:position w:val="7"/>
                <w:sz w:val="14"/>
              </w:rPr>
              <w:t>2</w:t>
            </w:r>
            <w:r>
              <w:rPr>
                <w:sz w:val="20"/>
              </w:rPr>
              <w:t>,</w:t>
            </w:r>
            <w:r>
              <w:rPr>
                <w:spacing w:val="1"/>
                <w:sz w:val="20"/>
              </w:rPr>
              <w:t> </w:t>
            </w:r>
            <w:r>
              <w:rPr>
                <w:sz w:val="20"/>
              </w:rPr>
              <w:t>Pearson,</w:t>
            </w:r>
            <w:r>
              <w:rPr>
                <w:spacing w:val="2"/>
                <w:sz w:val="20"/>
              </w:rPr>
              <w:t> </w:t>
            </w:r>
            <w:r>
              <w:rPr>
                <w:sz w:val="20"/>
              </w:rPr>
              <w:t>or</w:t>
            </w:r>
            <w:r>
              <w:rPr>
                <w:spacing w:val="2"/>
                <w:sz w:val="20"/>
              </w:rPr>
              <w:t> </w:t>
            </w:r>
            <w:r>
              <w:rPr>
                <w:sz w:val="20"/>
              </w:rPr>
              <w:t>support-</w:t>
            </w:r>
            <w:r>
              <w:rPr>
                <w:spacing w:val="-2"/>
                <w:sz w:val="20"/>
              </w:rPr>
              <w:t>filtered)</w:t>
            </w:r>
          </w:p>
        </w:tc>
        <w:tc>
          <w:tcPr>
            <w:tcW w:w="2335" w:type="dxa"/>
            <w:tcBorders>
              <w:left w:val="single" w:sz="4" w:space="0" w:color="000000"/>
              <w:bottom w:val="single" w:sz="8" w:space="0" w:color="000000"/>
            </w:tcBorders>
          </w:tcPr>
          <w:p>
            <w:pPr>
              <w:pStyle w:val="TableParagraph"/>
              <w:spacing w:before="41"/>
              <w:ind w:left="119"/>
              <w:rPr>
                <w:sz w:val="20"/>
              </w:rPr>
            </w:pPr>
            <w:r>
              <w:rPr>
                <w:spacing w:val="-2"/>
                <w:sz w:val="20"/>
              </w:rPr>
              <w:t>config.R:</w:t>
            </w:r>
            <w:r>
              <w:rPr>
                <w:spacing w:val="2"/>
                <w:sz w:val="20"/>
              </w:rPr>
              <w:t> </w:t>
            </w:r>
            <w:r>
              <w:rPr>
                <w:spacing w:val="-2"/>
                <w:sz w:val="20"/>
              </w:rPr>
              <w:t>fs_strategy</w:t>
            </w:r>
          </w:p>
        </w:tc>
      </w:tr>
    </w:tbl>
    <w:p>
      <w:pPr>
        <w:pStyle w:val="TableParagraph"/>
        <w:spacing w:after="0"/>
        <w:rPr>
          <w:sz w:val="20"/>
        </w:rPr>
        <w:sectPr>
          <w:pgSz w:w="11910" w:h="16840"/>
          <w:pgMar w:header="1160" w:footer="0" w:top="1420" w:bottom="280" w:left="1275" w:right="425"/>
        </w:sectPr>
      </w:pPr>
    </w:p>
    <w:p>
      <w:pPr>
        <w:pStyle w:val="BodyText"/>
        <w:rPr>
          <w:sz w:val="41"/>
        </w:rPr>
      </w:pPr>
    </w:p>
    <w:p>
      <w:pPr>
        <w:pStyle w:val="BodyText"/>
        <w:rPr>
          <w:sz w:val="41"/>
        </w:rPr>
      </w:pPr>
    </w:p>
    <w:p>
      <w:pPr>
        <w:pStyle w:val="BodyText"/>
        <w:spacing w:before="25"/>
        <w:rPr>
          <w:sz w:val="41"/>
        </w:rPr>
      </w:pPr>
    </w:p>
    <w:p>
      <w:pPr>
        <w:spacing w:before="0"/>
        <w:ind w:left="694" w:right="0" w:firstLine="0"/>
        <w:jc w:val="left"/>
        <w:rPr>
          <w:b/>
          <w:sz w:val="41"/>
        </w:rPr>
      </w:pPr>
      <w:bookmarkStart w:name="C Complete Feature Reference" w:id="302"/>
      <w:bookmarkEnd w:id="302"/>
      <w:r>
        <w:rPr/>
      </w:r>
      <w:bookmarkStart w:name="_bookmark180" w:id="303"/>
      <w:bookmarkEnd w:id="303"/>
      <w:r>
        <w:rPr/>
      </w:r>
      <w:r>
        <w:rPr>
          <w:b/>
          <w:sz w:val="41"/>
        </w:rPr>
        <w:t>Appendix</w:t>
      </w:r>
      <w:r>
        <w:rPr>
          <w:b/>
          <w:spacing w:val="-11"/>
          <w:sz w:val="41"/>
        </w:rPr>
        <w:t> </w:t>
      </w:r>
      <w:r>
        <w:rPr>
          <w:b/>
          <w:spacing w:val="-10"/>
          <w:sz w:val="41"/>
        </w:rPr>
        <w:t>C</w:t>
      </w:r>
    </w:p>
    <w:p>
      <w:pPr>
        <w:pStyle w:val="BodyText"/>
        <w:spacing w:before="106"/>
        <w:rPr>
          <w:b/>
          <w:sz w:val="41"/>
        </w:rPr>
      </w:pPr>
    </w:p>
    <w:p>
      <w:pPr>
        <w:pStyle w:val="Heading1"/>
      </w:pPr>
      <w:r>
        <w:rPr/>
        <w:t>Complete</w:t>
      </w:r>
      <w:r>
        <w:rPr>
          <w:spacing w:val="8"/>
        </w:rPr>
        <w:t> </w:t>
      </w:r>
      <w:r>
        <w:rPr/>
        <w:t>Feature</w:t>
      </w:r>
      <w:r>
        <w:rPr>
          <w:spacing w:val="8"/>
        </w:rPr>
        <w:t> </w:t>
      </w:r>
      <w:r>
        <w:rPr>
          <w:spacing w:val="-2"/>
        </w:rPr>
        <w:t>Reference</w:t>
      </w:r>
    </w:p>
    <w:p>
      <w:pPr>
        <w:pStyle w:val="BodyText"/>
        <w:spacing w:before="251"/>
        <w:rPr>
          <w:b/>
          <w:sz w:val="49"/>
        </w:rPr>
      </w:pPr>
    </w:p>
    <w:p>
      <w:pPr>
        <w:pStyle w:val="BodyText"/>
        <w:spacing w:line="312" w:lineRule="auto"/>
        <w:ind w:left="709" w:right="990" w:hanging="7"/>
        <w:jc w:val="both"/>
      </w:pPr>
      <w:r>
        <w:rPr/>
        <w:t>This</w:t>
      </w:r>
      <w:r>
        <w:rPr>
          <w:spacing w:val="-14"/>
        </w:rPr>
        <w:t> </w:t>
      </w:r>
      <w:r>
        <w:rPr/>
        <w:t>appendix</w:t>
      </w:r>
      <w:r>
        <w:rPr>
          <w:spacing w:val="-14"/>
        </w:rPr>
        <w:t> </w:t>
      </w:r>
      <w:r>
        <w:rPr/>
        <w:t>provides</w:t>
      </w:r>
      <w:r>
        <w:rPr>
          <w:spacing w:val="-14"/>
        </w:rPr>
        <w:t> </w:t>
      </w:r>
      <w:r>
        <w:rPr/>
        <w:t>a</w:t>
      </w:r>
      <w:r>
        <w:rPr>
          <w:spacing w:val="-13"/>
        </w:rPr>
        <w:t> </w:t>
      </w:r>
      <w:r>
        <w:rPr/>
        <w:t>complete</w:t>
      </w:r>
      <w:r>
        <w:rPr>
          <w:spacing w:val="-14"/>
        </w:rPr>
        <w:t> </w:t>
      </w:r>
      <w:r>
        <w:rPr/>
        <w:t>reference</w:t>
      </w:r>
      <w:r>
        <w:rPr>
          <w:spacing w:val="-14"/>
        </w:rPr>
        <w:t> </w:t>
      </w:r>
      <w:r>
        <w:rPr/>
        <w:t>for</w:t>
      </w:r>
      <w:r>
        <w:rPr>
          <w:spacing w:val="-14"/>
        </w:rPr>
        <w:t> </w:t>
      </w:r>
      <w:r>
        <w:rPr/>
        <w:t>all</w:t>
      </w:r>
      <w:r>
        <w:rPr>
          <w:spacing w:val="-13"/>
        </w:rPr>
        <w:t> </w:t>
      </w:r>
      <w:r>
        <w:rPr/>
        <w:t>58</w:t>
      </w:r>
      <w:r>
        <w:rPr>
          <w:spacing w:val="-14"/>
        </w:rPr>
        <w:t> </w:t>
      </w:r>
      <w:r>
        <w:rPr/>
        <w:t>agroclimatic</w:t>
      </w:r>
      <w:r>
        <w:rPr>
          <w:spacing w:val="-14"/>
        </w:rPr>
        <w:t> </w:t>
      </w:r>
      <w:r>
        <w:rPr/>
        <w:t>features</w:t>
      </w:r>
      <w:r>
        <w:rPr>
          <w:spacing w:val="-14"/>
        </w:rPr>
        <w:t> </w:t>
      </w:r>
      <w:r>
        <w:rPr/>
        <w:t>used</w:t>
      </w:r>
      <w:r>
        <w:rPr>
          <w:spacing w:val="-13"/>
        </w:rPr>
        <w:t> </w:t>
      </w:r>
      <w:r>
        <w:rPr/>
        <w:t>in</w:t>
      </w:r>
      <w:r>
        <w:rPr>
          <w:spacing w:val="-14"/>
        </w:rPr>
        <w:t> </w:t>
      </w:r>
      <w:r>
        <w:rPr/>
        <w:t>the</w:t>
      </w:r>
      <w:r>
        <w:rPr>
          <w:spacing w:val="-14"/>
        </w:rPr>
        <w:t> </w:t>
      </w:r>
      <w:r>
        <w:rPr/>
        <w:t>modelling </w:t>
      </w:r>
      <w:r>
        <w:rPr>
          <w:spacing w:val="-2"/>
        </w:rPr>
        <w:t>datasets</w:t>
      </w:r>
      <w:r>
        <w:rPr>
          <w:spacing w:val="-12"/>
        </w:rPr>
        <w:t> </w:t>
      </w:r>
      <w:r>
        <w:rPr>
          <w:spacing w:val="-2"/>
        </w:rPr>
        <w:t>(dataPrep_cont_dataset_rdd.csv</w:t>
      </w:r>
      <w:r>
        <w:rPr>
          <w:spacing w:val="-12"/>
        </w:rPr>
        <w:t> </w:t>
      </w:r>
      <w:r>
        <w:rPr>
          <w:spacing w:val="-2"/>
        </w:rPr>
        <w:t>and</w:t>
      </w:r>
      <w:r>
        <w:rPr>
          <w:spacing w:val="-12"/>
        </w:rPr>
        <w:t> </w:t>
      </w:r>
      <w:r>
        <w:rPr>
          <w:spacing w:val="-2"/>
        </w:rPr>
        <w:t>dataPrep_cont_dataset_rvv.csv).</w:t>
      </w:r>
      <w:r>
        <w:rPr>
          <w:spacing w:val="-11"/>
        </w:rPr>
        <w:t> </w:t>
      </w:r>
      <w:r>
        <w:rPr>
          <w:spacing w:val="-2"/>
        </w:rPr>
        <w:t>Features</w:t>
      </w:r>
      <w:r>
        <w:rPr>
          <w:spacing w:val="-12"/>
        </w:rPr>
        <w:t> </w:t>
      </w:r>
      <w:r>
        <w:rPr>
          <w:spacing w:val="-2"/>
        </w:rPr>
        <w:t>are</w:t>
      </w:r>
      <w:r>
        <w:rPr>
          <w:spacing w:val="-12"/>
        </w:rPr>
        <w:t> </w:t>
      </w:r>
      <w:r>
        <w:rPr>
          <w:spacing w:val="-2"/>
        </w:rPr>
        <w:t>grouped by</w:t>
      </w:r>
      <w:r>
        <w:rPr>
          <w:spacing w:val="-8"/>
        </w:rPr>
        <w:t> </w:t>
      </w:r>
      <w:r>
        <w:rPr>
          <w:spacing w:val="-2"/>
        </w:rPr>
        <w:t>variable</w:t>
      </w:r>
      <w:r>
        <w:rPr>
          <w:spacing w:val="-8"/>
        </w:rPr>
        <w:t> </w:t>
      </w:r>
      <w:r>
        <w:rPr>
          <w:spacing w:val="-2"/>
        </w:rPr>
        <w:t>family. The</w:t>
      </w:r>
      <w:r>
        <w:rPr>
          <w:spacing w:val="-8"/>
        </w:rPr>
        <w:t> </w:t>
      </w:r>
      <w:r>
        <w:rPr>
          <w:spacing w:val="-2"/>
        </w:rPr>
        <w:t>naming</w:t>
      </w:r>
      <w:r>
        <w:rPr>
          <w:spacing w:val="-8"/>
        </w:rPr>
        <w:t> </w:t>
      </w:r>
      <w:r>
        <w:rPr>
          <w:spacing w:val="-2"/>
        </w:rPr>
        <w:t>convention</w:t>
      </w:r>
      <w:r>
        <w:rPr>
          <w:spacing w:val="-8"/>
        </w:rPr>
        <w:t> </w:t>
      </w:r>
      <w:r>
        <w:rPr>
          <w:spacing w:val="-2"/>
        </w:rPr>
        <w:t>is</w:t>
      </w:r>
      <w:r>
        <w:rPr>
          <w:spacing w:val="-8"/>
        </w:rPr>
        <w:t> </w:t>
      </w:r>
      <w:r>
        <w:rPr>
          <w:spacing w:val="-2"/>
        </w:rPr>
        <w:t>described</w:t>
      </w:r>
      <w:r>
        <w:rPr>
          <w:spacing w:val="-8"/>
        </w:rPr>
        <w:t> </w:t>
      </w:r>
      <w:r>
        <w:rPr>
          <w:spacing w:val="-2"/>
        </w:rPr>
        <w:t>in</w:t>
      </w:r>
      <w:r>
        <w:rPr>
          <w:spacing w:val="-8"/>
        </w:rPr>
        <w:t> </w:t>
      </w:r>
      <w:r>
        <w:rPr>
          <w:spacing w:val="-2"/>
        </w:rPr>
        <w:t>Section</w:t>
      </w:r>
      <w:r>
        <w:rPr>
          <w:spacing w:val="-8"/>
        </w:rPr>
        <w:t> </w:t>
      </w:r>
      <w:hyperlink w:history="true" w:anchor="_bookmark61">
        <w:r>
          <w:rPr>
            <w:color w:val="8B2C18"/>
            <w:spacing w:val="-2"/>
          </w:rPr>
          <w:t>3.11.1</w:t>
        </w:r>
      </w:hyperlink>
      <w:r>
        <w:rPr>
          <w:spacing w:val="-2"/>
        </w:rPr>
        <w:t>. For</w:t>
      </w:r>
      <w:r>
        <w:rPr>
          <w:spacing w:val="-8"/>
        </w:rPr>
        <w:t> </w:t>
      </w:r>
      <w:r>
        <w:rPr>
          <w:spacing w:val="-2"/>
        </w:rPr>
        <w:t>each</w:t>
      </w:r>
      <w:r>
        <w:rPr>
          <w:spacing w:val="-8"/>
        </w:rPr>
        <w:t> </w:t>
      </w:r>
      <w:r>
        <w:rPr>
          <w:spacing w:val="-2"/>
        </w:rPr>
        <w:t>feature,</w:t>
      </w:r>
      <w:r>
        <w:rPr>
          <w:spacing w:val="-8"/>
        </w:rPr>
        <w:t> </w:t>
      </w:r>
      <w:r>
        <w:rPr>
          <w:spacing w:val="-2"/>
        </w:rPr>
        <w:t>the</w:t>
      </w:r>
      <w:r>
        <w:rPr>
          <w:spacing w:val="-8"/>
        </w:rPr>
        <w:t> </w:t>
      </w:r>
      <w:r>
        <w:rPr>
          <w:spacing w:val="-2"/>
        </w:rPr>
        <w:t>full name,</w:t>
      </w:r>
      <w:r>
        <w:rPr>
          <w:spacing w:val="-12"/>
        </w:rPr>
        <w:t> </w:t>
      </w:r>
      <w:r>
        <w:rPr>
          <w:spacing w:val="-2"/>
        </w:rPr>
        <w:t>phenological</w:t>
      </w:r>
      <w:r>
        <w:rPr>
          <w:spacing w:val="-12"/>
        </w:rPr>
        <w:t> </w:t>
      </w:r>
      <w:r>
        <w:rPr>
          <w:spacing w:val="-2"/>
        </w:rPr>
        <w:t>anchor,</w:t>
      </w:r>
      <w:r>
        <w:rPr>
          <w:spacing w:val="-12"/>
        </w:rPr>
        <w:t> </w:t>
      </w:r>
      <w:r>
        <w:rPr>
          <w:spacing w:val="-2"/>
        </w:rPr>
        <w:t>year</w:t>
      </w:r>
      <w:r>
        <w:rPr>
          <w:spacing w:val="-11"/>
        </w:rPr>
        <w:t> </w:t>
      </w:r>
      <w:r>
        <w:rPr>
          <w:spacing w:val="-2"/>
        </w:rPr>
        <w:t>offset,</w:t>
      </w:r>
      <w:r>
        <w:rPr>
          <w:spacing w:val="-12"/>
        </w:rPr>
        <w:t> </w:t>
      </w:r>
      <w:r>
        <w:rPr>
          <w:spacing w:val="-2"/>
        </w:rPr>
        <w:t>window</w:t>
      </w:r>
      <w:r>
        <w:rPr>
          <w:spacing w:val="-12"/>
        </w:rPr>
        <w:t> </w:t>
      </w:r>
      <w:r>
        <w:rPr>
          <w:spacing w:val="-2"/>
        </w:rPr>
        <w:t>specification,</w:t>
      </w:r>
      <w:r>
        <w:rPr>
          <w:spacing w:val="-12"/>
        </w:rPr>
        <w:t> </w:t>
      </w:r>
      <w:r>
        <w:rPr>
          <w:spacing w:val="-2"/>
        </w:rPr>
        <w:t>unit,</w:t>
      </w:r>
      <w:r>
        <w:rPr>
          <w:spacing w:val="-11"/>
        </w:rPr>
        <w:t> </w:t>
      </w:r>
      <w:r>
        <w:rPr>
          <w:spacing w:val="-2"/>
        </w:rPr>
        <w:t>calculation</w:t>
      </w:r>
      <w:r>
        <w:rPr>
          <w:spacing w:val="-12"/>
        </w:rPr>
        <w:t> </w:t>
      </w:r>
      <w:r>
        <w:rPr>
          <w:spacing w:val="-2"/>
        </w:rPr>
        <w:t>type,</w:t>
      </w:r>
      <w:r>
        <w:rPr>
          <w:spacing w:val="-12"/>
        </w:rPr>
        <w:t> </w:t>
      </w:r>
      <w:r>
        <w:rPr>
          <w:spacing w:val="-2"/>
        </w:rPr>
        <w:t>and</w:t>
      </w:r>
      <w:r>
        <w:rPr>
          <w:spacing w:val="-12"/>
        </w:rPr>
        <w:t> </w:t>
      </w:r>
      <w:r>
        <w:rPr>
          <w:spacing w:val="-2"/>
        </w:rPr>
        <w:t>agronomic </w:t>
      </w:r>
      <w:r>
        <w:rPr/>
        <w:t>interpretation are provided.</w:t>
      </w:r>
    </w:p>
    <w:p>
      <w:pPr>
        <w:pStyle w:val="BodyText"/>
        <w:spacing w:line="254" w:lineRule="auto"/>
        <w:ind w:left="702" w:right="990" w:firstLine="345"/>
        <w:jc w:val="both"/>
      </w:pPr>
      <w:r>
        <w:rPr/>
        <w:t>Key</w:t>
      </w:r>
      <w:r>
        <w:rPr>
          <w:spacing w:val="-9"/>
        </w:rPr>
        <w:t> </w:t>
      </w:r>
      <w:r>
        <w:rPr/>
        <w:t>notation: y1</w:t>
      </w:r>
      <w:r>
        <w:rPr>
          <w:spacing w:val="-9"/>
        </w:rPr>
        <w:t> </w:t>
      </w:r>
      <w:r>
        <w:rPr/>
        <w:t>=</w:t>
      </w:r>
      <w:r>
        <w:rPr>
          <w:spacing w:val="-9"/>
        </w:rPr>
        <w:t> </w:t>
      </w:r>
      <w:r>
        <w:rPr/>
        <w:t>current</w:t>
      </w:r>
      <w:r>
        <w:rPr>
          <w:spacing w:val="-9"/>
        </w:rPr>
        <w:t> </w:t>
      </w:r>
      <w:r>
        <w:rPr/>
        <w:t>harvest</w:t>
      </w:r>
      <w:r>
        <w:rPr>
          <w:spacing w:val="-9"/>
        </w:rPr>
        <w:t> </w:t>
      </w:r>
      <w:r>
        <w:rPr/>
        <w:t>year;</w:t>
      </w:r>
      <w:r>
        <w:rPr>
          <w:spacing w:val="-9"/>
        </w:rPr>
        <w:t> </w:t>
      </w:r>
      <w:r>
        <w:rPr/>
        <w:t>y0</w:t>
      </w:r>
      <w:r>
        <w:rPr>
          <w:spacing w:val="-9"/>
        </w:rPr>
        <w:t> </w:t>
      </w:r>
      <w:r>
        <w:rPr/>
        <w:t>=</w:t>
      </w:r>
      <w:r>
        <w:rPr>
          <w:spacing w:val="-9"/>
        </w:rPr>
        <w:t> </w:t>
      </w:r>
      <w:r>
        <w:rPr/>
        <w:t>previous</w:t>
      </w:r>
      <w:r>
        <w:rPr>
          <w:spacing w:val="-9"/>
        </w:rPr>
        <w:t> </w:t>
      </w:r>
      <w:r>
        <w:rPr/>
        <w:t>growing</w:t>
      </w:r>
      <w:r>
        <w:rPr>
          <w:spacing w:val="-9"/>
        </w:rPr>
        <w:t> </w:t>
      </w:r>
      <w:r>
        <w:rPr/>
        <w:t>season. Positions: c</w:t>
      </w:r>
      <w:r>
        <w:rPr>
          <w:spacing w:val="-9"/>
        </w:rPr>
        <w:t> </w:t>
      </w:r>
      <w:r>
        <w:rPr/>
        <w:t>=</w:t>
      </w:r>
      <w:r>
        <w:rPr>
          <w:spacing w:val="-9"/>
        </w:rPr>
        <w:t> </w:t>
      </w:r>
      <w:r>
        <w:rPr/>
        <w:t>centred (</w:t>
      </w:r>
      <w:r>
        <w:rPr>
          <w:rFonts w:ascii="Meiryo UI" w:hAnsi="Meiryo UI"/>
          <w:i/>
        </w:rPr>
        <w:t>±</w:t>
      </w:r>
      <w:r>
        <w:rPr/>
        <w:t>n/2 days around stage DOY), b = n days before stage DOY, a = n days after stage DOY. All aggregations</w:t>
      </w:r>
      <w:r>
        <w:rPr>
          <w:spacing w:val="-5"/>
        </w:rPr>
        <w:t> </w:t>
      </w:r>
      <w:r>
        <w:rPr/>
        <w:t>are</w:t>
      </w:r>
      <w:r>
        <w:rPr>
          <w:spacing w:val="-5"/>
        </w:rPr>
        <w:t> </w:t>
      </w:r>
      <w:r>
        <w:rPr/>
        <w:t>computed</w:t>
      </w:r>
      <w:r>
        <w:rPr>
          <w:spacing w:val="-5"/>
        </w:rPr>
        <w:t> </w:t>
      </w:r>
      <w:r>
        <w:rPr/>
        <w:t>over</w:t>
      </w:r>
      <w:r>
        <w:rPr>
          <w:spacing w:val="-5"/>
        </w:rPr>
        <w:t> </w:t>
      </w:r>
      <w:r>
        <w:rPr/>
        <w:t>the</w:t>
      </w:r>
      <w:r>
        <w:rPr>
          <w:spacing w:val="-5"/>
        </w:rPr>
        <w:t> </w:t>
      </w:r>
      <w:r>
        <w:rPr/>
        <w:t>specified</w:t>
      </w:r>
      <w:r>
        <w:rPr>
          <w:spacing w:val="-5"/>
        </w:rPr>
        <w:t> </w:t>
      </w:r>
      <w:r>
        <w:rPr/>
        <w:t>window</w:t>
      </w:r>
      <w:r>
        <w:rPr>
          <w:spacing w:val="-4"/>
        </w:rPr>
        <w:t> </w:t>
      </w:r>
      <w:r>
        <w:rPr/>
        <w:t>relative</w:t>
      </w:r>
      <w:r>
        <w:rPr>
          <w:spacing w:val="-5"/>
        </w:rPr>
        <w:t> </w:t>
      </w:r>
      <w:r>
        <w:rPr/>
        <w:t>to</w:t>
      </w:r>
      <w:r>
        <w:rPr>
          <w:spacing w:val="-5"/>
        </w:rPr>
        <w:t> </w:t>
      </w:r>
      <w:r>
        <w:rPr/>
        <w:t>the</w:t>
      </w:r>
      <w:r>
        <w:rPr>
          <w:spacing w:val="-5"/>
        </w:rPr>
        <w:t> </w:t>
      </w:r>
      <w:r>
        <w:rPr/>
        <w:t>phenological</w:t>
      </w:r>
      <w:r>
        <w:rPr>
          <w:spacing w:val="-5"/>
        </w:rPr>
        <w:t> </w:t>
      </w:r>
      <w:r>
        <w:rPr/>
        <w:t>DOY</w:t>
      </w:r>
      <w:r>
        <w:rPr>
          <w:spacing w:val="-5"/>
        </w:rPr>
        <w:t> </w:t>
      </w:r>
      <w:r>
        <w:rPr/>
        <w:t>for</w:t>
      </w:r>
      <w:r>
        <w:rPr>
          <w:spacing w:val="-4"/>
        </w:rPr>
        <w:t> each</w:t>
      </w:r>
    </w:p>
    <w:p>
      <w:pPr>
        <w:pStyle w:val="BodyText"/>
        <w:spacing w:before="64"/>
        <w:ind w:left="709"/>
        <w:jc w:val="both"/>
      </w:pPr>
      <w:r>
        <w:rPr/>
        <w:t>individual</w:t>
      </w:r>
      <w:r>
        <w:rPr>
          <w:spacing w:val="-9"/>
        </w:rPr>
        <w:t> </w:t>
      </w:r>
      <w:r>
        <w:rPr/>
        <w:t>year,</w:t>
      </w:r>
      <w:r>
        <w:rPr>
          <w:spacing w:val="-10"/>
        </w:rPr>
        <w:t> </w:t>
      </w:r>
      <w:r>
        <w:rPr/>
        <w:t>using</w:t>
      </w:r>
      <w:r>
        <w:rPr>
          <w:spacing w:val="-9"/>
        </w:rPr>
        <w:t> </w:t>
      </w:r>
      <w:r>
        <w:rPr/>
        <w:t>the</w:t>
      </w:r>
      <w:r>
        <w:rPr>
          <w:spacing w:val="-9"/>
        </w:rPr>
        <w:t> </w:t>
      </w:r>
      <w:r>
        <w:rPr/>
        <w:t>daily</w:t>
      </w:r>
      <w:r>
        <w:rPr>
          <w:spacing w:val="-9"/>
        </w:rPr>
        <w:t> </w:t>
      </w:r>
      <w:r>
        <w:rPr/>
        <w:t>meteorological</w:t>
      </w:r>
      <w:r>
        <w:rPr>
          <w:spacing w:val="-9"/>
        </w:rPr>
        <w:t> </w:t>
      </w:r>
      <w:r>
        <w:rPr/>
        <w:t>records</w:t>
      </w:r>
      <w:r>
        <w:rPr>
          <w:spacing w:val="-9"/>
        </w:rPr>
        <w:t> </w:t>
      </w:r>
      <w:r>
        <w:rPr/>
        <w:t>from</w:t>
      </w:r>
      <w:r>
        <w:rPr>
          <w:spacing w:val="-9"/>
        </w:rPr>
        <w:t> </w:t>
      </w:r>
      <w:r>
        <w:rPr>
          <w:spacing w:val="-2"/>
        </w:rPr>
        <w:t>dataPrep_meteo_*.csv.</w:t>
      </w:r>
    </w:p>
    <w:p>
      <w:pPr>
        <w:pStyle w:val="BodyText"/>
        <w:spacing w:before="217"/>
      </w:pPr>
    </w:p>
    <w:p>
      <w:pPr>
        <w:pStyle w:val="Heading2"/>
        <w:numPr>
          <w:ilvl w:val="1"/>
          <w:numId w:val="42"/>
        </w:numPr>
        <w:tabs>
          <w:tab w:pos="1418" w:val="left" w:leader="none"/>
        </w:tabs>
        <w:spacing w:line="240" w:lineRule="auto" w:before="0" w:after="0"/>
        <w:ind w:left="1418" w:right="0" w:hanging="709"/>
        <w:jc w:val="left"/>
      </w:pPr>
      <w:bookmarkStart w:name="C.1 Temperature Features (13 features)" w:id="304"/>
      <w:bookmarkEnd w:id="304"/>
      <w:r>
        <w:rPr>
          <w:b w:val="0"/>
        </w:rPr>
      </w:r>
      <w:bookmarkStart w:name="_bookmark181" w:id="305"/>
      <w:bookmarkEnd w:id="305"/>
      <w:r>
        <w:rPr>
          <w:b w:val="0"/>
        </w:rPr>
      </w:r>
      <w:r>
        <w:rPr/>
        <w:t>Temperature</w:t>
      </w:r>
      <w:r>
        <w:rPr>
          <w:spacing w:val="5"/>
        </w:rPr>
        <w:t> </w:t>
      </w:r>
      <w:r>
        <w:rPr/>
        <w:t>Features</w:t>
      </w:r>
      <w:r>
        <w:rPr>
          <w:spacing w:val="5"/>
        </w:rPr>
        <w:t> </w:t>
      </w:r>
      <w:r>
        <w:rPr/>
        <w:t>(13</w:t>
      </w:r>
      <w:r>
        <w:rPr>
          <w:spacing w:val="6"/>
        </w:rPr>
        <w:t> </w:t>
      </w:r>
      <w:r>
        <w:rPr>
          <w:spacing w:val="-2"/>
        </w:rPr>
        <w:t>features)</w:t>
      </w:r>
    </w:p>
    <w:p>
      <w:pPr>
        <w:pStyle w:val="BodyText"/>
        <w:spacing w:before="173"/>
        <w:rPr>
          <w:b/>
          <w:sz w:val="28"/>
        </w:rPr>
      </w:pPr>
    </w:p>
    <w:p>
      <w:pPr>
        <w:spacing w:before="0"/>
        <w:ind w:left="601" w:right="888" w:firstLine="0"/>
        <w:jc w:val="center"/>
        <w:rPr>
          <w:sz w:val="20"/>
        </w:rPr>
      </w:pPr>
      <w:bookmarkStart w:name="_bookmark182" w:id="306"/>
      <w:bookmarkEnd w:id="306"/>
      <w:r>
        <w:rPr/>
      </w:r>
      <w:r>
        <w:rPr>
          <w:b/>
          <w:sz w:val="20"/>
        </w:rPr>
        <w:t>Table</w:t>
      </w:r>
      <w:r>
        <w:rPr>
          <w:b/>
          <w:spacing w:val="-13"/>
          <w:sz w:val="20"/>
        </w:rPr>
        <w:t> </w:t>
      </w:r>
      <w:r>
        <w:rPr>
          <w:b/>
          <w:sz w:val="20"/>
        </w:rPr>
        <w:t>C.1:</w:t>
      </w:r>
      <w:r>
        <w:rPr>
          <w:b/>
          <w:spacing w:val="-4"/>
          <w:sz w:val="20"/>
        </w:rPr>
        <w:t> </w:t>
      </w:r>
      <w:r>
        <w:rPr>
          <w:sz w:val="20"/>
        </w:rPr>
        <w:t>Temperature</w:t>
      </w:r>
      <w:r>
        <w:rPr>
          <w:spacing w:val="-12"/>
          <w:sz w:val="20"/>
        </w:rPr>
        <w:t> </w:t>
      </w:r>
      <w:r>
        <w:rPr>
          <w:sz w:val="20"/>
        </w:rPr>
        <w:t>features</w:t>
      </w:r>
      <w:r>
        <w:rPr>
          <w:spacing w:val="-13"/>
          <w:sz w:val="20"/>
        </w:rPr>
        <w:t> </w:t>
      </w:r>
      <w:r>
        <w:rPr>
          <w:sz w:val="20"/>
        </w:rPr>
        <w:t>(13</w:t>
      </w:r>
      <w:r>
        <w:rPr>
          <w:spacing w:val="-12"/>
          <w:sz w:val="20"/>
        </w:rPr>
        <w:t> </w:t>
      </w:r>
      <w:r>
        <w:rPr>
          <w:spacing w:val="-2"/>
          <w:sz w:val="20"/>
        </w:rPr>
        <w:t>features).</w:t>
      </w:r>
    </w:p>
    <w:p>
      <w:pPr>
        <w:pStyle w:val="BodyText"/>
        <w:spacing w:before="6"/>
        <w:rPr>
          <w:sz w:val="18"/>
        </w:rPr>
      </w:pPr>
      <w:r>
        <w:rPr>
          <w:sz w:val="18"/>
        </w:rPr>
        <mc:AlternateContent>
          <mc:Choice Requires="wps">
            <w:drawing>
              <wp:anchor distT="0" distB="0" distL="0" distR="0" allowOverlap="1" layoutInCell="1" locked="0" behindDoc="1" simplePos="0" relativeHeight="487641088">
                <wp:simplePos x="0" y="0"/>
                <wp:positionH relativeFrom="page">
                  <wp:posOffset>1280629</wp:posOffset>
                </wp:positionH>
                <wp:positionV relativeFrom="paragraph">
                  <wp:posOffset>150481</wp:posOffset>
                </wp:positionV>
                <wp:extent cx="5358765" cy="1270"/>
                <wp:effectExtent l="0" t="0" r="0" b="0"/>
                <wp:wrapTopAndBottom/>
                <wp:docPr id="289" name="Graphic 289"/>
                <wp:cNvGraphicFramePr>
                  <a:graphicFrameLocks/>
                </wp:cNvGraphicFramePr>
                <a:graphic>
                  <a:graphicData uri="http://schemas.microsoft.com/office/word/2010/wordprocessingShape">
                    <wps:wsp>
                      <wps:cNvPr id="289" name="Graphic 289"/>
                      <wps:cNvSpPr/>
                      <wps:spPr>
                        <a:xfrm>
                          <a:off x="0" y="0"/>
                          <a:ext cx="5358765" cy="1270"/>
                        </a:xfrm>
                        <a:custGeom>
                          <a:avLst/>
                          <a:gdLst/>
                          <a:ahLst/>
                          <a:cxnLst/>
                          <a:rect l="l" t="t" r="r" b="b"/>
                          <a:pathLst>
                            <a:path w="5358765" h="0">
                              <a:moveTo>
                                <a:pt x="0" y="0"/>
                              </a:moveTo>
                              <a:lnTo>
                                <a:pt x="5358739"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0.836998pt;margin-top:11.848958pt;width:421.95pt;height:.1pt;mso-position-horizontal-relative:page;mso-position-vertical-relative:paragraph;z-index:-15675392;mso-wrap-distance-left:0;mso-wrap-distance-right:0" id="docshape252" coordorigin="2017,237" coordsize="8439,0" path="m2017,237l10456,237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7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71"/>
        <w:gridCol w:w="978"/>
        <w:gridCol w:w="808"/>
        <w:gridCol w:w="354"/>
        <w:gridCol w:w="921"/>
        <w:gridCol w:w="524"/>
        <w:gridCol w:w="637"/>
        <w:gridCol w:w="2844"/>
      </w:tblGrid>
      <w:tr>
        <w:trPr>
          <w:trHeight w:val="381" w:hRule="atLeast"/>
        </w:trPr>
        <w:tc>
          <w:tcPr>
            <w:tcW w:w="1371" w:type="dxa"/>
            <w:tcBorders>
              <w:top w:val="nil"/>
              <w:left w:val="nil"/>
              <w:right w:val="single" w:sz="4" w:space="0" w:color="000000"/>
            </w:tcBorders>
          </w:tcPr>
          <w:p>
            <w:pPr>
              <w:pStyle w:val="TableParagraph"/>
              <w:spacing w:before="74"/>
              <w:ind w:left="59"/>
              <w:rPr>
                <w:sz w:val="18"/>
              </w:rPr>
            </w:pPr>
            <w:r>
              <w:rPr>
                <w:sz w:val="18"/>
              </w:rPr>
              <w:t>Feature</w:t>
            </w:r>
            <w:r>
              <w:rPr>
                <w:spacing w:val="-7"/>
                <w:sz w:val="18"/>
              </w:rPr>
              <w:t> </w:t>
            </w:r>
            <w:r>
              <w:rPr>
                <w:spacing w:val="-4"/>
                <w:sz w:val="18"/>
              </w:rPr>
              <w:t>name</w:t>
            </w:r>
          </w:p>
        </w:tc>
        <w:tc>
          <w:tcPr>
            <w:tcW w:w="978" w:type="dxa"/>
            <w:tcBorders>
              <w:top w:val="nil"/>
              <w:left w:val="single" w:sz="4" w:space="0" w:color="000000"/>
              <w:right w:val="single" w:sz="4" w:space="0" w:color="000000"/>
            </w:tcBorders>
          </w:tcPr>
          <w:p>
            <w:pPr>
              <w:pStyle w:val="TableParagraph"/>
              <w:spacing w:before="74"/>
              <w:ind w:left="58"/>
              <w:rPr>
                <w:sz w:val="18"/>
              </w:rPr>
            </w:pPr>
            <w:r>
              <w:rPr>
                <w:spacing w:val="-2"/>
                <w:sz w:val="18"/>
              </w:rPr>
              <w:t>Variable</w:t>
            </w:r>
          </w:p>
        </w:tc>
        <w:tc>
          <w:tcPr>
            <w:tcW w:w="808" w:type="dxa"/>
            <w:tcBorders>
              <w:top w:val="nil"/>
              <w:left w:val="single" w:sz="4" w:space="0" w:color="000000"/>
              <w:right w:val="single" w:sz="4" w:space="0" w:color="000000"/>
            </w:tcBorders>
          </w:tcPr>
          <w:p>
            <w:pPr>
              <w:pStyle w:val="TableParagraph"/>
              <w:spacing w:before="74"/>
              <w:ind w:left="58"/>
              <w:rPr>
                <w:sz w:val="18"/>
              </w:rPr>
            </w:pPr>
            <w:r>
              <w:rPr>
                <w:spacing w:val="-2"/>
                <w:sz w:val="18"/>
              </w:rPr>
              <w:t>Stage</w:t>
            </w:r>
          </w:p>
        </w:tc>
        <w:tc>
          <w:tcPr>
            <w:tcW w:w="354" w:type="dxa"/>
            <w:tcBorders>
              <w:top w:val="nil"/>
              <w:left w:val="single" w:sz="4" w:space="0" w:color="000000"/>
              <w:right w:val="single" w:sz="4" w:space="0" w:color="000000"/>
            </w:tcBorders>
          </w:tcPr>
          <w:p>
            <w:pPr>
              <w:pStyle w:val="TableParagraph"/>
              <w:spacing w:before="74"/>
              <w:ind w:left="58" w:right="-44"/>
              <w:rPr>
                <w:sz w:val="18"/>
              </w:rPr>
            </w:pPr>
            <w:r>
              <w:rPr>
                <w:spacing w:val="-9"/>
                <w:sz w:val="18"/>
              </w:rPr>
              <w:t>Year</w:t>
            </w:r>
          </w:p>
        </w:tc>
        <w:tc>
          <w:tcPr>
            <w:tcW w:w="921" w:type="dxa"/>
            <w:tcBorders>
              <w:top w:val="nil"/>
              <w:left w:val="single" w:sz="4" w:space="0" w:color="000000"/>
              <w:right w:val="single" w:sz="4" w:space="0" w:color="000000"/>
            </w:tcBorders>
          </w:tcPr>
          <w:p>
            <w:pPr>
              <w:pStyle w:val="TableParagraph"/>
              <w:spacing w:before="74"/>
              <w:ind w:left="58"/>
              <w:rPr>
                <w:sz w:val="18"/>
              </w:rPr>
            </w:pPr>
            <w:r>
              <w:rPr>
                <w:spacing w:val="-2"/>
                <w:sz w:val="18"/>
              </w:rPr>
              <w:t>Window</w:t>
            </w:r>
          </w:p>
        </w:tc>
        <w:tc>
          <w:tcPr>
            <w:tcW w:w="524" w:type="dxa"/>
            <w:tcBorders>
              <w:top w:val="nil"/>
              <w:left w:val="single" w:sz="4" w:space="0" w:color="000000"/>
              <w:right w:val="single" w:sz="4" w:space="0" w:color="000000"/>
            </w:tcBorders>
          </w:tcPr>
          <w:p>
            <w:pPr>
              <w:pStyle w:val="TableParagraph"/>
              <w:spacing w:before="74"/>
              <w:ind w:left="58"/>
              <w:rPr>
                <w:sz w:val="18"/>
              </w:rPr>
            </w:pPr>
            <w:r>
              <w:rPr>
                <w:spacing w:val="-4"/>
                <w:sz w:val="18"/>
              </w:rPr>
              <w:t>Unit</w:t>
            </w:r>
          </w:p>
        </w:tc>
        <w:tc>
          <w:tcPr>
            <w:tcW w:w="637" w:type="dxa"/>
            <w:tcBorders>
              <w:top w:val="nil"/>
              <w:left w:val="single" w:sz="4" w:space="0" w:color="000000"/>
              <w:right w:val="single" w:sz="4" w:space="0" w:color="000000"/>
            </w:tcBorders>
          </w:tcPr>
          <w:p>
            <w:pPr>
              <w:pStyle w:val="TableParagraph"/>
              <w:spacing w:before="74"/>
              <w:ind w:left="59"/>
              <w:rPr>
                <w:sz w:val="18"/>
              </w:rPr>
            </w:pPr>
            <w:r>
              <w:rPr>
                <w:spacing w:val="-4"/>
                <w:sz w:val="18"/>
              </w:rPr>
              <w:t>Calc</w:t>
            </w:r>
          </w:p>
        </w:tc>
        <w:tc>
          <w:tcPr>
            <w:tcW w:w="2844" w:type="dxa"/>
            <w:tcBorders>
              <w:top w:val="nil"/>
              <w:left w:val="single" w:sz="4" w:space="0" w:color="000000"/>
              <w:right w:val="nil"/>
            </w:tcBorders>
          </w:tcPr>
          <w:p>
            <w:pPr>
              <w:pStyle w:val="TableParagraph"/>
              <w:spacing w:before="74"/>
              <w:ind w:left="59"/>
              <w:rPr>
                <w:sz w:val="18"/>
              </w:rPr>
            </w:pPr>
            <w:r>
              <w:rPr>
                <w:sz w:val="18"/>
              </w:rPr>
              <w:t>Agronomic</w:t>
            </w:r>
            <w:r>
              <w:rPr>
                <w:spacing w:val="-10"/>
                <w:sz w:val="18"/>
              </w:rPr>
              <w:t> </w:t>
            </w:r>
            <w:r>
              <w:rPr>
                <w:spacing w:val="-2"/>
                <w:sz w:val="18"/>
              </w:rPr>
              <w:t>interpretation</w:t>
            </w:r>
          </w:p>
        </w:tc>
      </w:tr>
    </w:tbl>
    <w:p>
      <w:pPr>
        <w:pStyle w:val="BodyText"/>
        <w:spacing w:before="2"/>
        <w:rPr>
          <w:sz w:val="5"/>
        </w:rPr>
      </w:pPr>
    </w:p>
    <w:tbl>
      <w:tblPr>
        <w:tblW w:w="0" w:type="auto"/>
        <w:jc w:val="left"/>
        <w:tblInd w:w="7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71"/>
        <w:gridCol w:w="978"/>
        <w:gridCol w:w="808"/>
        <w:gridCol w:w="354"/>
        <w:gridCol w:w="921"/>
        <w:gridCol w:w="524"/>
        <w:gridCol w:w="637"/>
        <w:gridCol w:w="2844"/>
      </w:tblGrid>
      <w:tr>
        <w:trPr>
          <w:trHeight w:val="1152" w:hRule="atLeast"/>
        </w:trPr>
        <w:tc>
          <w:tcPr>
            <w:tcW w:w="1371" w:type="dxa"/>
            <w:tcBorders>
              <w:right w:val="single" w:sz="4" w:space="0" w:color="000000"/>
            </w:tcBorders>
          </w:tcPr>
          <w:p>
            <w:pPr>
              <w:pStyle w:val="TableParagraph"/>
              <w:spacing w:before="74"/>
              <w:ind w:left="59"/>
              <w:rPr>
                <w:sz w:val="18"/>
              </w:rPr>
            </w:pPr>
            <w:r>
              <w:rPr>
                <w:spacing w:val="-2"/>
                <w:sz w:val="18"/>
              </w:rPr>
              <w:t>tm_fl_y1_c15</w:t>
            </w:r>
          </w:p>
        </w:tc>
        <w:tc>
          <w:tcPr>
            <w:tcW w:w="978" w:type="dxa"/>
            <w:tcBorders>
              <w:left w:val="single" w:sz="4" w:space="0" w:color="000000"/>
              <w:right w:val="single" w:sz="4" w:space="0" w:color="000000"/>
            </w:tcBorders>
          </w:tcPr>
          <w:p>
            <w:pPr>
              <w:pStyle w:val="TableParagraph"/>
              <w:spacing w:line="307" w:lineRule="auto" w:before="74"/>
              <w:ind w:left="58"/>
              <w:rPr>
                <w:sz w:val="18"/>
              </w:rPr>
            </w:pPr>
            <w:r>
              <w:rPr>
                <w:sz w:val="18"/>
              </w:rPr>
              <w:t>Mean</w:t>
            </w:r>
            <w:r>
              <w:rPr>
                <w:spacing w:val="40"/>
                <w:sz w:val="18"/>
              </w:rPr>
              <w:t> </w:t>
            </w:r>
            <w:r>
              <w:rPr>
                <w:sz w:val="18"/>
              </w:rPr>
              <w:t>tem-</w:t>
            </w:r>
            <w:r>
              <w:rPr>
                <w:spacing w:val="-2"/>
                <w:sz w:val="18"/>
              </w:rPr>
              <w:t>perature</w:t>
            </w:r>
          </w:p>
        </w:tc>
        <w:tc>
          <w:tcPr>
            <w:tcW w:w="808" w:type="dxa"/>
            <w:tcBorders>
              <w:left w:val="single" w:sz="4" w:space="0" w:color="000000"/>
              <w:right w:val="single" w:sz="4" w:space="0" w:color="000000"/>
            </w:tcBorders>
          </w:tcPr>
          <w:p>
            <w:pPr>
              <w:pStyle w:val="TableParagraph"/>
              <w:spacing w:before="74"/>
              <w:ind w:left="36"/>
              <w:jc w:val="center"/>
              <w:rPr>
                <w:sz w:val="18"/>
              </w:rPr>
            </w:pPr>
            <w:r>
              <w:rPr>
                <w:spacing w:val="-2"/>
                <w:sz w:val="18"/>
              </w:rPr>
              <w:t>Flowering</w:t>
            </w:r>
          </w:p>
        </w:tc>
        <w:tc>
          <w:tcPr>
            <w:tcW w:w="354" w:type="dxa"/>
            <w:tcBorders>
              <w:left w:val="single" w:sz="4" w:space="0" w:color="000000"/>
              <w:right w:val="single" w:sz="4" w:space="0" w:color="000000"/>
            </w:tcBorders>
          </w:tcPr>
          <w:p>
            <w:pPr>
              <w:pStyle w:val="TableParagraph"/>
              <w:spacing w:before="74"/>
              <w:ind w:right="46"/>
              <w:jc w:val="center"/>
              <w:rPr>
                <w:sz w:val="18"/>
              </w:rPr>
            </w:pPr>
            <w:r>
              <w:rPr>
                <w:spacing w:val="-5"/>
                <w:sz w:val="18"/>
              </w:rPr>
              <w:t>y1</w:t>
            </w:r>
          </w:p>
        </w:tc>
        <w:tc>
          <w:tcPr>
            <w:tcW w:w="921" w:type="dxa"/>
            <w:tcBorders>
              <w:left w:val="single" w:sz="4" w:space="0" w:color="000000"/>
              <w:right w:val="single" w:sz="4" w:space="0" w:color="000000"/>
            </w:tcBorders>
          </w:tcPr>
          <w:p>
            <w:pPr>
              <w:pStyle w:val="TableParagraph"/>
              <w:spacing w:before="74"/>
              <w:ind w:left="58"/>
              <w:rPr>
                <w:sz w:val="18"/>
              </w:rPr>
            </w:pPr>
            <w:r>
              <w:rPr>
                <w:spacing w:val="-2"/>
                <w:sz w:val="18"/>
              </w:rPr>
              <w:t>centred</w:t>
            </w:r>
          </w:p>
          <w:p>
            <w:pPr>
              <w:pStyle w:val="TableParagraph"/>
              <w:spacing w:before="5"/>
              <w:ind w:left="58"/>
              <w:rPr>
                <w:sz w:val="18"/>
              </w:rPr>
            </w:pPr>
            <w:r>
              <w:rPr>
                <w:rFonts w:ascii="Meiryo UI" w:hAnsi="Meiryo UI"/>
                <w:i/>
                <w:spacing w:val="-4"/>
                <w:sz w:val="18"/>
              </w:rPr>
              <w:t>±</w:t>
            </w:r>
            <w:r>
              <w:rPr>
                <w:spacing w:val="-4"/>
                <w:sz w:val="18"/>
              </w:rPr>
              <w:t>15d</w:t>
            </w:r>
          </w:p>
        </w:tc>
        <w:tc>
          <w:tcPr>
            <w:tcW w:w="524" w:type="dxa"/>
            <w:tcBorders>
              <w:left w:val="single" w:sz="4" w:space="0" w:color="000000"/>
              <w:right w:val="single" w:sz="4" w:space="0" w:color="000000"/>
            </w:tcBorders>
          </w:tcPr>
          <w:p>
            <w:pPr>
              <w:pStyle w:val="TableParagraph"/>
              <w:numPr>
                <w:ilvl w:val="0"/>
                <w:numId w:val="43"/>
              </w:numPr>
              <w:tabs>
                <w:tab w:pos="136" w:val="left" w:leader="none"/>
              </w:tabs>
              <w:spacing w:line="240" w:lineRule="auto" w:before="4" w:after="0"/>
              <w:ind w:left="136" w:right="0" w:hanging="78"/>
              <w:jc w:val="left"/>
              <w:rPr>
                <w:position w:val="-6"/>
                <w:sz w:val="18"/>
              </w:rPr>
            </w:pPr>
            <w:r>
              <w:rPr>
                <w:spacing w:val="-10"/>
                <w:position w:val="-6"/>
                <w:sz w:val="18"/>
              </w:rPr>
              <w:t>C</w:t>
            </w:r>
          </w:p>
        </w:tc>
        <w:tc>
          <w:tcPr>
            <w:tcW w:w="637" w:type="dxa"/>
            <w:tcBorders>
              <w:left w:val="single" w:sz="4" w:space="0" w:color="000000"/>
              <w:right w:val="single" w:sz="4" w:space="0" w:color="000000"/>
            </w:tcBorders>
          </w:tcPr>
          <w:p>
            <w:pPr>
              <w:pStyle w:val="TableParagraph"/>
              <w:spacing w:before="74"/>
              <w:ind w:left="59" w:right="-15"/>
              <w:jc w:val="center"/>
              <w:rPr>
                <w:sz w:val="18"/>
              </w:rPr>
            </w:pPr>
            <w:r>
              <w:rPr>
                <w:spacing w:val="-7"/>
                <w:sz w:val="18"/>
              </w:rPr>
              <w:t>Average</w:t>
            </w:r>
          </w:p>
        </w:tc>
        <w:tc>
          <w:tcPr>
            <w:tcW w:w="2844" w:type="dxa"/>
            <w:tcBorders>
              <w:left w:val="single" w:sz="4" w:space="0" w:color="000000"/>
            </w:tcBorders>
          </w:tcPr>
          <w:p>
            <w:pPr>
              <w:pStyle w:val="TableParagraph"/>
              <w:spacing w:line="260" w:lineRule="atLeast" w:before="21"/>
              <w:ind w:left="55" w:right="26" w:firstLine="4"/>
              <w:jc w:val="both"/>
              <w:rPr>
                <w:sz w:val="18"/>
              </w:rPr>
            </w:pPr>
            <w:r>
              <w:rPr>
                <w:sz w:val="18"/>
              </w:rPr>
              <w:t>Thermal</w:t>
            </w:r>
            <w:r>
              <w:rPr>
                <w:spacing w:val="-4"/>
                <w:sz w:val="18"/>
              </w:rPr>
              <w:t> </w:t>
            </w:r>
            <w:r>
              <w:rPr>
                <w:sz w:val="18"/>
              </w:rPr>
              <w:t>conditions</w:t>
            </w:r>
            <w:r>
              <w:rPr>
                <w:spacing w:val="-4"/>
                <w:sz w:val="18"/>
              </w:rPr>
              <w:t> </w:t>
            </w:r>
            <w:r>
              <w:rPr>
                <w:sz w:val="18"/>
              </w:rPr>
              <w:t>during</w:t>
            </w:r>
            <w:r>
              <w:rPr>
                <w:spacing w:val="-4"/>
                <w:sz w:val="18"/>
              </w:rPr>
              <w:t> </w:t>
            </w:r>
            <w:r>
              <w:rPr>
                <w:sz w:val="18"/>
              </w:rPr>
              <w:t>the</w:t>
            </w:r>
            <w:r>
              <w:rPr>
                <w:spacing w:val="-4"/>
                <w:sz w:val="18"/>
              </w:rPr>
              <w:t> </w:t>
            </w:r>
            <w:r>
              <w:rPr>
                <w:sz w:val="18"/>
              </w:rPr>
              <w:t>critical flowering</w:t>
            </w:r>
            <w:r>
              <w:rPr>
                <w:spacing w:val="-2"/>
                <w:sz w:val="18"/>
              </w:rPr>
              <w:t> </w:t>
            </w:r>
            <w:r>
              <w:rPr>
                <w:sz w:val="18"/>
              </w:rPr>
              <w:t>window,</w:t>
            </w:r>
            <w:r>
              <w:rPr>
                <w:spacing w:val="-1"/>
                <w:sz w:val="18"/>
              </w:rPr>
              <w:t> </w:t>
            </w:r>
            <w:r>
              <w:rPr>
                <w:sz w:val="18"/>
              </w:rPr>
              <w:t>governs</w:t>
            </w:r>
            <w:r>
              <w:rPr>
                <w:spacing w:val="-2"/>
                <w:sz w:val="18"/>
              </w:rPr>
              <w:t> </w:t>
            </w:r>
            <w:r>
              <w:rPr>
                <w:sz w:val="18"/>
              </w:rPr>
              <w:t>pollen</w:t>
            </w:r>
            <w:r>
              <w:rPr>
                <w:spacing w:val="-3"/>
                <w:sz w:val="18"/>
              </w:rPr>
              <w:t> </w:t>
            </w:r>
            <w:r>
              <w:rPr>
                <w:sz w:val="18"/>
              </w:rPr>
              <w:t>vi-ability,</w:t>
            </w:r>
            <w:r>
              <w:rPr>
                <w:spacing w:val="-4"/>
                <w:sz w:val="18"/>
              </w:rPr>
              <w:t> </w:t>
            </w:r>
            <w:r>
              <w:rPr>
                <w:sz w:val="18"/>
              </w:rPr>
              <w:t>fruit</w:t>
            </w:r>
            <w:r>
              <w:rPr>
                <w:spacing w:val="-4"/>
                <w:sz w:val="18"/>
              </w:rPr>
              <w:t> </w:t>
            </w:r>
            <w:r>
              <w:rPr>
                <w:sz w:val="18"/>
              </w:rPr>
              <w:t>set,</w:t>
            </w:r>
            <w:r>
              <w:rPr>
                <w:spacing w:val="-4"/>
                <w:sz w:val="18"/>
              </w:rPr>
              <w:t> </w:t>
            </w:r>
            <w:r>
              <w:rPr>
                <w:sz w:val="18"/>
              </w:rPr>
              <w:t>and</w:t>
            </w:r>
            <w:r>
              <w:rPr>
                <w:spacing w:val="-4"/>
                <w:sz w:val="18"/>
              </w:rPr>
              <w:t> </w:t>
            </w:r>
            <w:r>
              <w:rPr>
                <w:sz w:val="18"/>
              </w:rPr>
              <w:t>inflorescence</w:t>
            </w:r>
            <w:r>
              <w:rPr>
                <w:spacing w:val="-4"/>
                <w:sz w:val="18"/>
              </w:rPr>
              <w:t> </w:t>
            </w:r>
            <w:r>
              <w:rPr>
                <w:sz w:val="18"/>
              </w:rPr>
              <w:t>de-</w:t>
            </w:r>
            <w:r>
              <w:rPr>
                <w:spacing w:val="-2"/>
                <w:sz w:val="18"/>
              </w:rPr>
              <w:t>velopment</w:t>
            </w:r>
          </w:p>
        </w:tc>
      </w:tr>
      <w:tr>
        <w:trPr>
          <w:trHeight w:val="877" w:hRule="atLeast"/>
        </w:trPr>
        <w:tc>
          <w:tcPr>
            <w:tcW w:w="1371" w:type="dxa"/>
            <w:tcBorders>
              <w:right w:val="single" w:sz="4" w:space="0" w:color="000000"/>
            </w:tcBorders>
          </w:tcPr>
          <w:p>
            <w:pPr>
              <w:pStyle w:val="TableParagraph"/>
              <w:spacing w:before="64"/>
              <w:ind w:left="59"/>
              <w:rPr>
                <w:sz w:val="18"/>
              </w:rPr>
            </w:pPr>
            <w:r>
              <w:rPr>
                <w:spacing w:val="-2"/>
                <w:sz w:val="18"/>
              </w:rPr>
              <w:t>tm_fl_y1_b10</w:t>
            </w:r>
          </w:p>
        </w:tc>
        <w:tc>
          <w:tcPr>
            <w:tcW w:w="978" w:type="dxa"/>
            <w:tcBorders>
              <w:left w:val="single" w:sz="4" w:space="0" w:color="000000"/>
              <w:right w:val="single" w:sz="4" w:space="0" w:color="000000"/>
            </w:tcBorders>
          </w:tcPr>
          <w:p>
            <w:pPr>
              <w:pStyle w:val="TableParagraph"/>
              <w:spacing w:line="307" w:lineRule="auto" w:before="64"/>
              <w:ind w:left="58"/>
              <w:rPr>
                <w:sz w:val="18"/>
              </w:rPr>
            </w:pPr>
            <w:r>
              <w:rPr>
                <w:sz w:val="18"/>
              </w:rPr>
              <w:t>Mean</w:t>
            </w:r>
            <w:r>
              <w:rPr>
                <w:spacing w:val="40"/>
                <w:sz w:val="18"/>
              </w:rPr>
              <w:t> </w:t>
            </w:r>
            <w:r>
              <w:rPr>
                <w:sz w:val="18"/>
              </w:rPr>
              <w:t>tem-</w:t>
            </w:r>
            <w:r>
              <w:rPr>
                <w:spacing w:val="-2"/>
                <w:sz w:val="18"/>
              </w:rPr>
              <w:t>perature</w:t>
            </w:r>
          </w:p>
        </w:tc>
        <w:tc>
          <w:tcPr>
            <w:tcW w:w="808" w:type="dxa"/>
            <w:tcBorders>
              <w:left w:val="single" w:sz="4" w:space="0" w:color="000000"/>
              <w:right w:val="single" w:sz="4" w:space="0" w:color="000000"/>
            </w:tcBorders>
          </w:tcPr>
          <w:p>
            <w:pPr>
              <w:pStyle w:val="TableParagraph"/>
              <w:spacing w:before="64"/>
              <w:ind w:left="36"/>
              <w:jc w:val="center"/>
              <w:rPr>
                <w:sz w:val="18"/>
              </w:rPr>
            </w:pPr>
            <w:r>
              <w:rPr>
                <w:spacing w:val="-2"/>
                <w:sz w:val="18"/>
              </w:rPr>
              <w:t>Flowering</w:t>
            </w:r>
          </w:p>
        </w:tc>
        <w:tc>
          <w:tcPr>
            <w:tcW w:w="354" w:type="dxa"/>
            <w:tcBorders>
              <w:left w:val="single" w:sz="4" w:space="0" w:color="000000"/>
              <w:right w:val="single" w:sz="4" w:space="0" w:color="000000"/>
            </w:tcBorders>
          </w:tcPr>
          <w:p>
            <w:pPr>
              <w:pStyle w:val="TableParagraph"/>
              <w:spacing w:before="64"/>
              <w:ind w:right="46"/>
              <w:jc w:val="center"/>
              <w:rPr>
                <w:sz w:val="18"/>
              </w:rPr>
            </w:pPr>
            <w:r>
              <w:rPr>
                <w:spacing w:val="-5"/>
                <w:sz w:val="18"/>
              </w:rPr>
              <w:t>y1</w:t>
            </w:r>
          </w:p>
        </w:tc>
        <w:tc>
          <w:tcPr>
            <w:tcW w:w="921" w:type="dxa"/>
            <w:tcBorders>
              <w:left w:val="single" w:sz="4" w:space="0" w:color="000000"/>
              <w:right w:val="single" w:sz="4" w:space="0" w:color="000000"/>
            </w:tcBorders>
          </w:tcPr>
          <w:p>
            <w:pPr>
              <w:pStyle w:val="TableParagraph"/>
              <w:spacing w:before="64"/>
              <w:ind w:left="58"/>
              <w:rPr>
                <w:sz w:val="18"/>
              </w:rPr>
            </w:pPr>
            <w:r>
              <w:rPr>
                <w:sz w:val="18"/>
              </w:rPr>
              <w:t>10d</w:t>
            </w:r>
            <w:r>
              <w:rPr>
                <w:spacing w:val="-4"/>
                <w:sz w:val="18"/>
              </w:rPr>
              <w:t> </w:t>
            </w:r>
            <w:r>
              <w:rPr>
                <w:spacing w:val="-2"/>
                <w:sz w:val="18"/>
              </w:rPr>
              <w:t>before</w:t>
            </w:r>
          </w:p>
        </w:tc>
        <w:tc>
          <w:tcPr>
            <w:tcW w:w="524" w:type="dxa"/>
            <w:tcBorders>
              <w:left w:val="single" w:sz="4" w:space="0" w:color="000000"/>
              <w:right w:val="single" w:sz="4" w:space="0" w:color="000000"/>
            </w:tcBorders>
          </w:tcPr>
          <w:p>
            <w:pPr>
              <w:pStyle w:val="TableParagraph"/>
              <w:numPr>
                <w:ilvl w:val="0"/>
                <w:numId w:val="44"/>
              </w:numPr>
              <w:tabs>
                <w:tab w:pos="136" w:val="left" w:leader="none"/>
              </w:tabs>
              <w:spacing w:line="232" w:lineRule="auto" w:before="0" w:after="0"/>
              <w:ind w:left="136" w:right="0" w:hanging="78"/>
              <w:jc w:val="left"/>
              <w:rPr>
                <w:position w:val="-6"/>
                <w:sz w:val="18"/>
              </w:rPr>
            </w:pPr>
            <w:r>
              <w:rPr>
                <w:spacing w:val="-10"/>
                <w:position w:val="-6"/>
                <w:sz w:val="18"/>
              </w:rPr>
              <w:t>C</w:t>
            </w:r>
          </w:p>
        </w:tc>
        <w:tc>
          <w:tcPr>
            <w:tcW w:w="637" w:type="dxa"/>
            <w:tcBorders>
              <w:left w:val="single" w:sz="4" w:space="0" w:color="000000"/>
              <w:right w:val="single" w:sz="4" w:space="0" w:color="000000"/>
            </w:tcBorders>
          </w:tcPr>
          <w:p>
            <w:pPr>
              <w:pStyle w:val="TableParagraph"/>
              <w:spacing w:before="64"/>
              <w:ind w:left="59" w:right="-15"/>
              <w:jc w:val="center"/>
              <w:rPr>
                <w:sz w:val="18"/>
              </w:rPr>
            </w:pPr>
            <w:r>
              <w:rPr>
                <w:spacing w:val="-7"/>
                <w:sz w:val="18"/>
              </w:rPr>
              <w:t>Average</w:t>
            </w:r>
          </w:p>
        </w:tc>
        <w:tc>
          <w:tcPr>
            <w:tcW w:w="2844" w:type="dxa"/>
            <w:tcBorders>
              <w:left w:val="single" w:sz="4" w:space="0" w:color="000000"/>
            </w:tcBorders>
          </w:tcPr>
          <w:p>
            <w:pPr>
              <w:pStyle w:val="TableParagraph"/>
              <w:spacing w:line="260" w:lineRule="atLeast" w:before="11"/>
              <w:ind w:left="59" w:right="26"/>
              <w:jc w:val="both"/>
              <w:rPr>
                <w:sz w:val="18"/>
              </w:rPr>
            </w:pPr>
            <w:r>
              <w:rPr>
                <w:spacing w:val="-2"/>
                <w:sz w:val="18"/>
              </w:rPr>
              <w:t>Pre-flowering thermal conditions, vine </w:t>
            </w:r>
            <w:r>
              <w:rPr>
                <w:sz w:val="18"/>
              </w:rPr>
              <w:t>heat</w:t>
            </w:r>
            <w:r>
              <w:rPr>
                <w:spacing w:val="-12"/>
                <w:sz w:val="18"/>
              </w:rPr>
              <w:t> </w:t>
            </w:r>
            <w:r>
              <w:rPr>
                <w:sz w:val="18"/>
              </w:rPr>
              <w:t>accumulation</w:t>
            </w:r>
            <w:r>
              <w:rPr>
                <w:spacing w:val="-11"/>
                <w:sz w:val="18"/>
              </w:rPr>
              <w:t> </w:t>
            </w:r>
            <w:r>
              <w:rPr>
                <w:sz w:val="18"/>
              </w:rPr>
              <w:t>entering</w:t>
            </w:r>
            <w:r>
              <w:rPr>
                <w:spacing w:val="-11"/>
                <w:sz w:val="18"/>
              </w:rPr>
              <w:t> </w:t>
            </w:r>
            <w:r>
              <w:rPr>
                <w:sz w:val="18"/>
              </w:rPr>
              <w:t>the</w:t>
            </w:r>
            <w:r>
              <w:rPr>
                <w:spacing w:val="-11"/>
                <w:sz w:val="18"/>
              </w:rPr>
              <w:t> </w:t>
            </w:r>
            <w:r>
              <w:rPr>
                <w:sz w:val="18"/>
              </w:rPr>
              <w:t>flower-ing phase</w:t>
            </w:r>
          </w:p>
        </w:tc>
      </w:tr>
      <w:tr>
        <w:trPr>
          <w:trHeight w:val="877" w:hRule="atLeast"/>
        </w:trPr>
        <w:tc>
          <w:tcPr>
            <w:tcW w:w="1371" w:type="dxa"/>
            <w:tcBorders>
              <w:right w:val="single" w:sz="4" w:space="0" w:color="000000"/>
            </w:tcBorders>
          </w:tcPr>
          <w:p>
            <w:pPr>
              <w:pStyle w:val="TableParagraph"/>
              <w:spacing w:before="64"/>
              <w:ind w:left="59"/>
              <w:rPr>
                <w:sz w:val="18"/>
              </w:rPr>
            </w:pPr>
            <w:r>
              <w:rPr>
                <w:spacing w:val="-2"/>
                <w:sz w:val="18"/>
              </w:rPr>
              <w:t>tm_fl_y1_a10</w:t>
            </w:r>
          </w:p>
        </w:tc>
        <w:tc>
          <w:tcPr>
            <w:tcW w:w="978" w:type="dxa"/>
            <w:tcBorders>
              <w:left w:val="single" w:sz="4" w:space="0" w:color="000000"/>
              <w:right w:val="single" w:sz="4" w:space="0" w:color="000000"/>
            </w:tcBorders>
          </w:tcPr>
          <w:p>
            <w:pPr>
              <w:pStyle w:val="TableParagraph"/>
              <w:spacing w:line="307" w:lineRule="auto" w:before="64"/>
              <w:ind w:left="58"/>
              <w:rPr>
                <w:sz w:val="18"/>
              </w:rPr>
            </w:pPr>
            <w:r>
              <w:rPr>
                <w:sz w:val="18"/>
              </w:rPr>
              <w:t>Mean</w:t>
            </w:r>
            <w:r>
              <w:rPr>
                <w:spacing w:val="40"/>
                <w:sz w:val="18"/>
              </w:rPr>
              <w:t> </w:t>
            </w:r>
            <w:r>
              <w:rPr>
                <w:sz w:val="18"/>
              </w:rPr>
              <w:t>tem-</w:t>
            </w:r>
            <w:r>
              <w:rPr>
                <w:spacing w:val="-2"/>
                <w:sz w:val="18"/>
              </w:rPr>
              <w:t>perature</w:t>
            </w:r>
          </w:p>
        </w:tc>
        <w:tc>
          <w:tcPr>
            <w:tcW w:w="808" w:type="dxa"/>
            <w:tcBorders>
              <w:left w:val="single" w:sz="4" w:space="0" w:color="000000"/>
              <w:right w:val="single" w:sz="4" w:space="0" w:color="000000"/>
            </w:tcBorders>
          </w:tcPr>
          <w:p>
            <w:pPr>
              <w:pStyle w:val="TableParagraph"/>
              <w:spacing w:before="64"/>
              <w:ind w:left="36"/>
              <w:jc w:val="center"/>
              <w:rPr>
                <w:sz w:val="18"/>
              </w:rPr>
            </w:pPr>
            <w:r>
              <w:rPr>
                <w:spacing w:val="-2"/>
                <w:sz w:val="18"/>
              </w:rPr>
              <w:t>Flowering</w:t>
            </w:r>
          </w:p>
        </w:tc>
        <w:tc>
          <w:tcPr>
            <w:tcW w:w="354" w:type="dxa"/>
            <w:tcBorders>
              <w:left w:val="single" w:sz="4" w:space="0" w:color="000000"/>
              <w:right w:val="single" w:sz="4" w:space="0" w:color="000000"/>
            </w:tcBorders>
          </w:tcPr>
          <w:p>
            <w:pPr>
              <w:pStyle w:val="TableParagraph"/>
              <w:spacing w:before="64"/>
              <w:ind w:right="46"/>
              <w:jc w:val="center"/>
              <w:rPr>
                <w:sz w:val="18"/>
              </w:rPr>
            </w:pPr>
            <w:r>
              <w:rPr>
                <w:spacing w:val="-5"/>
                <w:sz w:val="18"/>
              </w:rPr>
              <w:t>y1</w:t>
            </w:r>
          </w:p>
        </w:tc>
        <w:tc>
          <w:tcPr>
            <w:tcW w:w="921" w:type="dxa"/>
            <w:tcBorders>
              <w:left w:val="single" w:sz="4" w:space="0" w:color="000000"/>
              <w:right w:val="single" w:sz="4" w:space="0" w:color="000000"/>
            </w:tcBorders>
          </w:tcPr>
          <w:p>
            <w:pPr>
              <w:pStyle w:val="TableParagraph"/>
              <w:spacing w:before="64"/>
              <w:ind w:left="58"/>
              <w:rPr>
                <w:sz w:val="18"/>
              </w:rPr>
            </w:pPr>
            <w:r>
              <w:rPr>
                <w:sz w:val="18"/>
              </w:rPr>
              <w:t>10d</w:t>
            </w:r>
            <w:r>
              <w:rPr>
                <w:spacing w:val="-4"/>
                <w:sz w:val="18"/>
              </w:rPr>
              <w:t> after</w:t>
            </w:r>
          </w:p>
        </w:tc>
        <w:tc>
          <w:tcPr>
            <w:tcW w:w="524" w:type="dxa"/>
            <w:tcBorders>
              <w:left w:val="single" w:sz="4" w:space="0" w:color="000000"/>
              <w:right w:val="single" w:sz="4" w:space="0" w:color="000000"/>
            </w:tcBorders>
          </w:tcPr>
          <w:p>
            <w:pPr>
              <w:pStyle w:val="TableParagraph"/>
              <w:numPr>
                <w:ilvl w:val="0"/>
                <w:numId w:val="45"/>
              </w:numPr>
              <w:tabs>
                <w:tab w:pos="136" w:val="left" w:leader="none"/>
              </w:tabs>
              <w:spacing w:line="232" w:lineRule="auto" w:before="0" w:after="0"/>
              <w:ind w:left="136" w:right="0" w:hanging="78"/>
              <w:jc w:val="left"/>
              <w:rPr>
                <w:position w:val="-6"/>
                <w:sz w:val="18"/>
              </w:rPr>
            </w:pPr>
            <w:r>
              <w:rPr>
                <w:spacing w:val="-10"/>
                <w:position w:val="-6"/>
                <w:sz w:val="18"/>
              </w:rPr>
              <w:t>C</w:t>
            </w:r>
          </w:p>
        </w:tc>
        <w:tc>
          <w:tcPr>
            <w:tcW w:w="637" w:type="dxa"/>
            <w:tcBorders>
              <w:left w:val="single" w:sz="4" w:space="0" w:color="000000"/>
              <w:right w:val="single" w:sz="4" w:space="0" w:color="000000"/>
            </w:tcBorders>
          </w:tcPr>
          <w:p>
            <w:pPr>
              <w:pStyle w:val="TableParagraph"/>
              <w:spacing w:before="64"/>
              <w:ind w:left="59" w:right="-15"/>
              <w:jc w:val="center"/>
              <w:rPr>
                <w:sz w:val="18"/>
              </w:rPr>
            </w:pPr>
            <w:r>
              <w:rPr>
                <w:spacing w:val="-7"/>
                <w:sz w:val="18"/>
              </w:rPr>
              <w:t>Average</w:t>
            </w:r>
          </w:p>
        </w:tc>
        <w:tc>
          <w:tcPr>
            <w:tcW w:w="2844" w:type="dxa"/>
            <w:tcBorders>
              <w:left w:val="single" w:sz="4" w:space="0" w:color="000000"/>
            </w:tcBorders>
          </w:tcPr>
          <w:p>
            <w:pPr>
              <w:pStyle w:val="TableParagraph"/>
              <w:spacing w:line="260" w:lineRule="atLeast" w:before="11"/>
              <w:ind w:left="59" w:right="55"/>
              <w:jc w:val="both"/>
              <w:rPr>
                <w:sz w:val="18"/>
              </w:rPr>
            </w:pPr>
            <w:r>
              <w:rPr>
                <w:sz w:val="18"/>
              </w:rPr>
              <w:t>Post-flowering temperature, </w:t>
            </w:r>
            <w:r>
              <w:rPr>
                <w:sz w:val="18"/>
              </w:rPr>
              <w:t>governs </w:t>
            </w:r>
            <w:r>
              <w:rPr>
                <w:spacing w:val="-2"/>
                <w:sz w:val="18"/>
              </w:rPr>
              <w:t>initial</w:t>
            </w:r>
            <w:r>
              <w:rPr>
                <w:spacing w:val="-10"/>
                <w:sz w:val="18"/>
              </w:rPr>
              <w:t> </w:t>
            </w:r>
            <w:r>
              <w:rPr>
                <w:spacing w:val="-2"/>
                <w:sz w:val="18"/>
              </w:rPr>
              <w:t>berry</w:t>
            </w:r>
            <w:r>
              <w:rPr>
                <w:spacing w:val="-9"/>
                <w:sz w:val="18"/>
              </w:rPr>
              <w:t> </w:t>
            </w:r>
            <w:r>
              <w:rPr>
                <w:spacing w:val="-2"/>
                <w:sz w:val="18"/>
              </w:rPr>
              <w:t>cell</w:t>
            </w:r>
            <w:r>
              <w:rPr>
                <w:spacing w:val="-9"/>
                <w:sz w:val="18"/>
              </w:rPr>
              <w:t> </w:t>
            </w:r>
            <w:r>
              <w:rPr>
                <w:spacing w:val="-2"/>
                <w:sz w:val="18"/>
              </w:rPr>
              <w:t>division</w:t>
            </w:r>
            <w:r>
              <w:rPr>
                <w:spacing w:val="-9"/>
                <w:sz w:val="18"/>
              </w:rPr>
              <w:t> </w:t>
            </w:r>
            <w:r>
              <w:rPr>
                <w:spacing w:val="-2"/>
                <w:sz w:val="18"/>
              </w:rPr>
              <w:t>and</w:t>
            </w:r>
            <w:r>
              <w:rPr>
                <w:spacing w:val="-10"/>
                <w:sz w:val="18"/>
              </w:rPr>
              <w:t> </w:t>
            </w:r>
            <w:r>
              <w:rPr>
                <w:spacing w:val="-2"/>
                <w:sz w:val="18"/>
              </w:rPr>
              <w:t>early</w:t>
            </w:r>
            <w:r>
              <w:rPr>
                <w:spacing w:val="-9"/>
                <w:sz w:val="18"/>
              </w:rPr>
              <w:t> </w:t>
            </w:r>
            <w:r>
              <w:rPr>
                <w:spacing w:val="-2"/>
                <w:sz w:val="18"/>
              </w:rPr>
              <w:t>fruit development</w:t>
            </w:r>
          </w:p>
        </w:tc>
      </w:tr>
      <w:tr>
        <w:trPr>
          <w:trHeight w:val="903" w:hRule="atLeast"/>
        </w:trPr>
        <w:tc>
          <w:tcPr>
            <w:tcW w:w="1371" w:type="dxa"/>
            <w:tcBorders>
              <w:bottom w:val="single" w:sz="6" w:space="0" w:color="000000"/>
              <w:right w:val="single" w:sz="4" w:space="0" w:color="000000"/>
            </w:tcBorders>
          </w:tcPr>
          <w:p>
            <w:pPr>
              <w:pStyle w:val="TableParagraph"/>
              <w:spacing w:before="64"/>
              <w:ind w:left="59"/>
              <w:rPr>
                <w:sz w:val="18"/>
              </w:rPr>
            </w:pPr>
            <w:r>
              <w:rPr>
                <w:spacing w:val="-2"/>
                <w:sz w:val="18"/>
              </w:rPr>
              <w:t>tm_bb_y0_a15</w:t>
            </w:r>
          </w:p>
        </w:tc>
        <w:tc>
          <w:tcPr>
            <w:tcW w:w="978" w:type="dxa"/>
            <w:tcBorders>
              <w:left w:val="single" w:sz="4" w:space="0" w:color="000000"/>
              <w:bottom w:val="single" w:sz="6" w:space="0" w:color="000000"/>
              <w:right w:val="single" w:sz="4" w:space="0" w:color="000000"/>
            </w:tcBorders>
          </w:tcPr>
          <w:p>
            <w:pPr>
              <w:pStyle w:val="TableParagraph"/>
              <w:spacing w:line="307" w:lineRule="auto" w:before="64"/>
              <w:ind w:left="58"/>
              <w:rPr>
                <w:sz w:val="18"/>
              </w:rPr>
            </w:pPr>
            <w:r>
              <w:rPr>
                <w:sz w:val="18"/>
              </w:rPr>
              <w:t>Mean</w:t>
            </w:r>
            <w:r>
              <w:rPr>
                <w:spacing w:val="40"/>
                <w:sz w:val="18"/>
              </w:rPr>
              <w:t> </w:t>
            </w:r>
            <w:r>
              <w:rPr>
                <w:sz w:val="18"/>
              </w:rPr>
              <w:t>tem-</w:t>
            </w:r>
            <w:r>
              <w:rPr>
                <w:spacing w:val="-2"/>
                <w:sz w:val="18"/>
              </w:rPr>
              <w:t>perature</w:t>
            </w:r>
          </w:p>
        </w:tc>
        <w:tc>
          <w:tcPr>
            <w:tcW w:w="808" w:type="dxa"/>
            <w:tcBorders>
              <w:left w:val="single" w:sz="4" w:space="0" w:color="000000"/>
              <w:bottom w:val="single" w:sz="6" w:space="0" w:color="000000"/>
              <w:right w:val="single" w:sz="4" w:space="0" w:color="000000"/>
            </w:tcBorders>
          </w:tcPr>
          <w:p>
            <w:pPr>
              <w:pStyle w:val="TableParagraph"/>
              <w:spacing w:line="307" w:lineRule="auto" w:before="64"/>
              <w:ind w:left="58" w:right="300"/>
              <w:rPr>
                <w:sz w:val="18"/>
              </w:rPr>
            </w:pPr>
            <w:r>
              <w:rPr>
                <w:spacing w:val="-4"/>
                <w:sz w:val="18"/>
              </w:rPr>
              <w:t>Bud </w:t>
            </w:r>
            <w:r>
              <w:rPr>
                <w:spacing w:val="-2"/>
                <w:sz w:val="18"/>
              </w:rPr>
              <w:t>Break</w:t>
            </w:r>
          </w:p>
        </w:tc>
        <w:tc>
          <w:tcPr>
            <w:tcW w:w="354" w:type="dxa"/>
            <w:tcBorders>
              <w:left w:val="single" w:sz="4" w:space="0" w:color="000000"/>
              <w:bottom w:val="single" w:sz="6" w:space="0" w:color="000000"/>
              <w:right w:val="single" w:sz="4" w:space="0" w:color="000000"/>
            </w:tcBorders>
          </w:tcPr>
          <w:p>
            <w:pPr>
              <w:pStyle w:val="TableParagraph"/>
              <w:spacing w:before="64"/>
              <w:ind w:right="46"/>
              <w:jc w:val="center"/>
              <w:rPr>
                <w:sz w:val="18"/>
              </w:rPr>
            </w:pPr>
            <w:r>
              <w:rPr>
                <w:spacing w:val="-5"/>
                <w:sz w:val="18"/>
              </w:rPr>
              <w:t>y0</w:t>
            </w:r>
          </w:p>
        </w:tc>
        <w:tc>
          <w:tcPr>
            <w:tcW w:w="921" w:type="dxa"/>
            <w:tcBorders>
              <w:left w:val="single" w:sz="4" w:space="0" w:color="000000"/>
              <w:bottom w:val="single" w:sz="6" w:space="0" w:color="000000"/>
              <w:right w:val="single" w:sz="4" w:space="0" w:color="000000"/>
            </w:tcBorders>
          </w:tcPr>
          <w:p>
            <w:pPr>
              <w:pStyle w:val="TableParagraph"/>
              <w:spacing w:line="307" w:lineRule="auto" w:before="64"/>
              <w:ind w:left="58"/>
              <w:rPr>
                <w:sz w:val="18"/>
              </w:rPr>
            </w:pPr>
            <w:r>
              <w:rPr>
                <w:sz w:val="18"/>
              </w:rPr>
              <w:t>15d</w:t>
            </w:r>
            <w:r>
              <w:rPr>
                <w:spacing w:val="80"/>
                <w:sz w:val="18"/>
              </w:rPr>
              <w:t> </w:t>
            </w:r>
            <w:r>
              <w:rPr>
                <w:sz w:val="18"/>
              </w:rPr>
              <w:t>after prev. yr</w:t>
            </w:r>
          </w:p>
        </w:tc>
        <w:tc>
          <w:tcPr>
            <w:tcW w:w="524" w:type="dxa"/>
            <w:tcBorders>
              <w:left w:val="single" w:sz="4" w:space="0" w:color="000000"/>
              <w:bottom w:val="single" w:sz="6" w:space="0" w:color="000000"/>
              <w:right w:val="single" w:sz="4" w:space="0" w:color="000000"/>
            </w:tcBorders>
          </w:tcPr>
          <w:p>
            <w:pPr>
              <w:pStyle w:val="TableParagraph"/>
              <w:numPr>
                <w:ilvl w:val="0"/>
                <w:numId w:val="46"/>
              </w:numPr>
              <w:tabs>
                <w:tab w:pos="136" w:val="left" w:leader="none"/>
              </w:tabs>
              <w:spacing w:line="232" w:lineRule="auto" w:before="0" w:after="0"/>
              <w:ind w:left="136" w:right="0" w:hanging="78"/>
              <w:jc w:val="left"/>
              <w:rPr>
                <w:position w:val="-6"/>
                <w:sz w:val="18"/>
              </w:rPr>
            </w:pPr>
            <w:r>
              <w:rPr>
                <w:spacing w:val="-10"/>
                <w:position w:val="-6"/>
                <w:sz w:val="18"/>
              </w:rPr>
              <w:t>C</w:t>
            </w:r>
          </w:p>
        </w:tc>
        <w:tc>
          <w:tcPr>
            <w:tcW w:w="637" w:type="dxa"/>
            <w:tcBorders>
              <w:left w:val="single" w:sz="4" w:space="0" w:color="000000"/>
              <w:bottom w:val="single" w:sz="6" w:space="0" w:color="000000"/>
              <w:right w:val="single" w:sz="4" w:space="0" w:color="000000"/>
            </w:tcBorders>
          </w:tcPr>
          <w:p>
            <w:pPr>
              <w:pStyle w:val="TableParagraph"/>
              <w:spacing w:before="64"/>
              <w:ind w:left="59" w:right="-15"/>
              <w:jc w:val="center"/>
              <w:rPr>
                <w:sz w:val="18"/>
              </w:rPr>
            </w:pPr>
            <w:r>
              <w:rPr>
                <w:spacing w:val="-7"/>
                <w:sz w:val="18"/>
              </w:rPr>
              <w:t>Average</w:t>
            </w:r>
          </w:p>
        </w:tc>
        <w:tc>
          <w:tcPr>
            <w:tcW w:w="2844" w:type="dxa"/>
            <w:tcBorders>
              <w:left w:val="single" w:sz="4" w:space="0" w:color="000000"/>
              <w:bottom w:val="single" w:sz="6" w:space="0" w:color="000000"/>
            </w:tcBorders>
          </w:tcPr>
          <w:p>
            <w:pPr>
              <w:pStyle w:val="TableParagraph"/>
              <w:spacing w:line="307" w:lineRule="auto" w:before="64"/>
              <w:ind w:left="59" w:right="26"/>
              <w:jc w:val="both"/>
              <w:rPr>
                <w:sz w:val="18"/>
              </w:rPr>
            </w:pPr>
            <w:r>
              <w:rPr>
                <w:spacing w:val="-4"/>
                <w:sz w:val="18"/>
              </w:rPr>
              <w:t>Previous-year early spring thermal </w:t>
            </w:r>
            <w:r>
              <w:rPr>
                <w:spacing w:val="-4"/>
                <w:sz w:val="18"/>
              </w:rPr>
              <w:t>con-</w:t>
            </w:r>
            <w:r>
              <w:rPr>
                <w:sz w:val="18"/>
              </w:rPr>
              <w:t>ditions, influences inflorescence pri-mordia initiation for current year</w:t>
            </w:r>
          </w:p>
        </w:tc>
      </w:tr>
    </w:tbl>
    <w:p>
      <w:pPr>
        <w:spacing w:before="140"/>
        <w:ind w:left="0" w:right="1082" w:firstLine="0"/>
        <w:jc w:val="right"/>
        <w:rPr>
          <w:i/>
          <w:sz w:val="18"/>
        </w:rPr>
      </w:pPr>
      <w:r>
        <w:rPr>
          <w:i/>
          <w:sz w:val="18"/>
        </w:rPr>
        <w:t>Continued</w:t>
      </w:r>
      <w:r>
        <w:rPr>
          <w:i/>
          <w:spacing w:val="-7"/>
          <w:sz w:val="18"/>
        </w:rPr>
        <w:t> </w:t>
      </w:r>
      <w:r>
        <w:rPr>
          <w:i/>
          <w:sz w:val="18"/>
        </w:rPr>
        <w:t>on</w:t>
      </w:r>
      <w:r>
        <w:rPr>
          <w:i/>
          <w:spacing w:val="-6"/>
          <w:sz w:val="18"/>
        </w:rPr>
        <w:t> </w:t>
      </w:r>
      <w:r>
        <w:rPr>
          <w:i/>
          <w:sz w:val="18"/>
        </w:rPr>
        <w:t>next</w:t>
      </w:r>
      <w:r>
        <w:rPr>
          <w:i/>
          <w:spacing w:val="-7"/>
          <w:sz w:val="18"/>
        </w:rPr>
        <w:t> </w:t>
      </w:r>
      <w:r>
        <w:rPr>
          <w:i/>
          <w:spacing w:val="-4"/>
          <w:sz w:val="18"/>
        </w:rPr>
        <w:t>page</w:t>
      </w:r>
    </w:p>
    <w:p>
      <w:pPr>
        <w:pStyle w:val="BodyText"/>
        <w:spacing w:before="170"/>
        <w:rPr>
          <w:i/>
          <w:sz w:val="18"/>
        </w:rPr>
      </w:pPr>
    </w:p>
    <w:p>
      <w:pPr>
        <w:pStyle w:val="BodyText"/>
        <w:spacing w:before="1"/>
        <w:ind w:left="601" w:right="882"/>
        <w:jc w:val="center"/>
      </w:pPr>
      <w:r>
        <w:rPr>
          <w:spacing w:val="-5"/>
        </w:rPr>
        <w:t>99</w:t>
      </w:r>
    </w:p>
    <w:p>
      <w:pPr>
        <w:pStyle w:val="BodyText"/>
        <w:spacing w:after="0"/>
        <w:jc w:val="center"/>
        <w:sectPr>
          <w:headerReference w:type="default" r:id="rId123"/>
          <w:pgSz w:w="11910" w:h="16840"/>
          <w:pgMar w:header="0" w:footer="0" w:top="1920" w:bottom="280" w:left="1275" w:right="425"/>
        </w:sectPr>
      </w:pPr>
    </w:p>
    <w:p>
      <w:pPr>
        <w:pStyle w:val="BodyText"/>
        <w:rPr>
          <w:sz w:val="18"/>
        </w:rPr>
      </w:pPr>
    </w:p>
    <w:p>
      <w:pPr>
        <w:pStyle w:val="BodyText"/>
        <w:spacing w:before="178"/>
        <w:rPr>
          <w:sz w:val="18"/>
        </w:rPr>
      </w:pPr>
    </w:p>
    <w:p>
      <w:pPr>
        <w:spacing w:before="0"/>
        <w:ind w:left="234" w:right="0" w:firstLine="0"/>
        <w:jc w:val="left"/>
        <w:rPr>
          <w:i/>
          <w:sz w:val="18"/>
        </w:rPr>
      </w:pPr>
      <w:bookmarkStart w:name="_bookmark186" w:id="307"/>
      <w:bookmarkEnd w:id="307"/>
      <w:r>
        <w:rPr/>
      </w:r>
      <w:r>
        <w:rPr>
          <w:i/>
          <w:spacing w:val="-2"/>
          <w:sz w:val="18"/>
        </w:rPr>
        <w:t>Table </w:t>
      </w:r>
      <w:hyperlink w:history="true" w:anchor="_bookmark182">
        <w:r>
          <w:rPr>
            <w:i/>
            <w:color w:val="8B2C18"/>
            <w:spacing w:val="-2"/>
            <w:sz w:val="18"/>
          </w:rPr>
          <w:t>C.1</w:t>
        </w:r>
      </w:hyperlink>
      <w:r>
        <w:rPr>
          <w:i/>
          <w:color w:val="8B2C18"/>
          <w:spacing w:val="-1"/>
          <w:sz w:val="18"/>
        </w:rPr>
        <w:t> </w:t>
      </w:r>
      <w:r>
        <w:rPr>
          <w:i/>
          <w:spacing w:val="-2"/>
          <w:sz w:val="18"/>
        </w:rPr>
        <w:t>continued</w:t>
      </w:r>
      <w:r>
        <w:rPr>
          <w:i/>
          <w:spacing w:val="-1"/>
          <w:sz w:val="18"/>
        </w:rPr>
        <w:t> </w:t>
      </w:r>
      <w:r>
        <w:rPr>
          <w:i/>
          <w:spacing w:val="-2"/>
          <w:sz w:val="18"/>
        </w:rPr>
        <w:t>from previous</w:t>
      </w:r>
      <w:r>
        <w:rPr>
          <w:i/>
          <w:spacing w:val="-1"/>
          <w:sz w:val="18"/>
        </w:rPr>
        <w:t> </w:t>
      </w:r>
      <w:r>
        <w:rPr>
          <w:i/>
          <w:spacing w:val="-4"/>
          <w:sz w:val="18"/>
        </w:rPr>
        <w:t>page</w:t>
      </w:r>
    </w:p>
    <w:p>
      <w:pPr>
        <w:pStyle w:val="BodyText"/>
        <w:spacing w:before="3"/>
        <w:rPr>
          <w:i/>
          <w:sz w:val="4"/>
        </w:rPr>
      </w:pPr>
      <w:r>
        <w:rPr>
          <w:i/>
          <w:sz w:val="4"/>
        </w:rPr>
        <mc:AlternateContent>
          <mc:Choice Requires="wps">
            <w:drawing>
              <wp:anchor distT="0" distB="0" distL="0" distR="0" allowOverlap="1" layoutInCell="1" locked="0" behindDoc="1" simplePos="0" relativeHeight="487641600">
                <wp:simplePos x="0" y="0"/>
                <wp:positionH relativeFrom="page">
                  <wp:posOffset>920635</wp:posOffset>
                </wp:positionH>
                <wp:positionV relativeFrom="paragraph">
                  <wp:posOffset>46662</wp:posOffset>
                </wp:positionV>
                <wp:extent cx="5358765" cy="1270"/>
                <wp:effectExtent l="0" t="0" r="0" b="0"/>
                <wp:wrapTopAndBottom/>
                <wp:docPr id="294" name="Graphic 294"/>
                <wp:cNvGraphicFramePr>
                  <a:graphicFrameLocks/>
                </wp:cNvGraphicFramePr>
                <a:graphic>
                  <a:graphicData uri="http://schemas.microsoft.com/office/word/2010/wordprocessingShape">
                    <wps:wsp>
                      <wps:cNvPr id="294" name="Graphic 294"/>
                      <wps:cNvSpPr/>
                      <wps:spPr>
                        <a:xfrm>
                          <a:off x="0" y="0"/>
                          <a:ext cx="5358765" cy="1270"/>
                        </a:xfrm>
                        <a:custGeom>
                          <a:avLst/>
                          <a:gdLst/>
                          <a:ahLst/>
                          <a:cxnLst/>
                          <a:rect l="l" t="t" r="r" b="b"/>
                          <a:pathLst>
                            <a:path w="5358765" h="0">
                              <a:moveTo>
                                <a:pt x="0" y="0"/>
                              </a:moveTo>
                              <a:lnTo>
                                <a:pt x="5358739"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490997pt;margin-top:3.67418pt;width:421.95pt;height:.1pt;mso-position-horizontal-relative:page;mso-position-vertical-relative:paragraph;z-index:-15674880;mso-wrap-distance-left:0;mso-wrap-distance-right:0" id="docshape257" coordorigin="1450,73" coordsize="8439,0" path="m1450,73l9889,73e" filled="false" stroked="true" strokeweight=".868pt" strokecolor="#000000">
                <v:path arrowok="t"/>
                <v:stroke dashstyle="solid"/>
                <w10:wrap type="topAndBottom"/>
              </v:shape>
            </w:pict>
          </mc:Fallback>
        </mc:AlternateContent>
      </w:r>
    </w:p>
    <w:p>
      <w:pPr>
        <w:pStyle w:val="BodyText"/>
        <w:spacing w:before="9"/>
        <w:rPr>
          <w:i/>
          <w:sz w:val="4"/>
        </w:rPr>
      </w:pPr>
    </w:p>
    <w:tbl>
      <w:tblPr>
        <w:tblW w:w="0" w:type="auto"/>
        <w:jc w:val="left"/>
        <w:tblInd w:w="1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71"/>
        <w:gridCol w:w="978"/>
        <w:gridCol w:w="808"/>
        <w:gridCol w:w="354"/>
        <w:gridCol w:w="921"/>
        <w:gridCol w:w="524"/>
        <w:gridCol w:w="637"/>
        <w:gridCol w:w="2844"/>
      </w:tblGrid>
      <w:tr>
        <w:trPr>
          <w:trHeight w:val="381" w:hRule="atLeast"/>
        </w:trPr>
        <w:tc>
          <w:tcPr>
            <w:tcW w:w="1371" w:type="dxa"/>
            <w:tcBorders>
              <w:top w:val="nil"/>
              <w:left w:val="nil"/>
              <w:right w:val="single" w:sz="4" w:space="0" w:color="000000"/>
            </w:tcBorders>
          </w:tcPr>
          <w:p>
            <w:pPr>
              <w:pStyle w:val="TableParagraph"/>
              <w:spacing w:before="74"/>
              <w:ind w:left="59"/>
              <w:rPr>
                <w:sz w:val="18"/>
              </w:rPr>
            </w:pPr>
            <w:r>
              <w:rPr>
                <w:sz w:val="18"/>
              </w:rPr>
              <w:t>Feature</w:t>
            </w:r>
            <w:r>
              <w:rPr>
                <w:spacing w:val="-7"/>
                <w:sz w:val="18"/>
              </w:rPr>
              <w:t> </w:t>
            </w:r>
            <w:r>
              <w:rPr>
                <w:spacing w:val="-4"/>
                <w:sz w:val="18"/>
              </w:rPr>
              <w:t>name</w:t>
            </w:r>
          </w:p>
        </w:tc>
        <w:tc>
          <w:tcPr>
            <w:tcW w:w="978" w:type="dxa"/>
            <w:tcBorders>
              <w:top w:val="nil"/>
              <w:left w:val="single" w:sz="4" w:space="0" w:color="000000"/>
              <w:right w:val="single" w:sz="4" w:space="0" w:color="000000"/>
            </w:tcBorders>
          </w:tcPr>
          <w:p>
            <w:pPr>
              <w:pStyle w:val="TableParagraph"/>
              <w:spacing w:before="74"/>
              <w:ind w:left="58"/>
              <w:rPr>
                <w:sz w:val="18"/>
              </w:rPr>
            </w:pPr>
            <w:r>
              <w:rPr>
                <w:spacing w:val="-2"/>
                <w:sz w:val="18"/>
              </w:rPr>
              <w:t>Variable</w:t>
            </w:r>
          </w:p>
        </w:tc>
        <w:tc>
          <w:tcPr>
            <w:tcW w:w="808" w:type="dxa"/>
            <w:tcBorders>
              <w:top w:val="nil"/>
              <w:left w:val="single" w:sz="4" w:space="0" w:color="000000"/>
              <w:right w:val="single" w:sz="4" w:space="0" w:color="000000"/>
            </w:tcBorders>
          </w:tcPr>
          <w:p>
            <w:pPr>
              <w:pStyle w:val="TableParagraph"/>
              <w:spacing w:before="74"/>
              <w:ind w:left="58"/>
              <w:rPr>
                <w:sz w:val="18"/>
              </w:rPr>
            </w:pPr>
            <w:r>
              <w:rPr>
                <w:spacing w:val="-2"/>
                <w:sz w:val="18"/>
              </w:rPr>
              <w:t>Stage</w:t>
            </w:r>
          </w:p>
        </w:tc>
        <w:tc>
          <w:tcPr>
            <w:tcW w:w="354" w:type="dxa"/>
            <w:tcBorders>
              <w:top w:val="nil"/>
              <w:left w:val="single" w:sz="4" w:space="0" w:color="000000"/>
              <w:right w:val="single" w:sz="4" w:space="0" w:color="000000"/>
            </w:tcBorders>
          </w:tcPr>
          <w:p>
            <w:pPr>
              <w:pStyle w:val="TableParagraph"/>
              <w:spacing w:before="74"/>
              <w:ind w:left="58" w:right="-44"/>
              <w:rPr>
                <w:sz w:val="18"/>
              </w:rPr>
            </w:pPr>
            <w:r>
              <w:rPr>
                <w:spacing w:val="-9"/>
                <w:sz w:val="18"/>
              </w:rPr>
              <w:t>Year</w:t>
            </w:r>
          </w:p>
        </w:tc>
        <w:tc>
          <w:tcPr>
            <w:tcW w:w="921" w:type="dxa"/>
            <w:tcBorders>
              <w:top w:val="nil"/>
              <w:left w:val="single" w:sz="4" w:space="0" w:color="000000"/>
              <w:right w:val="single" w:sz="4" w:space="0" w:color="000000"/>
            </w:tcBorders>
          </w:tcPr>
          <w:p>
            <w:pPr>
              <w:pStyle w:val="TableParagraph"/>
              <w:spacing w:before="74"/>
              <w:ind w:left="58"/>
              <w:rPr>
                <w:sz w:val="18"/>
              </w:rPr>
            </w:pPr>
            <w:r>
              <w:rPr>
                <w:spacing w:val="-2"/>
                <w:sz w:val="18"/>
              </w:rPr>
              <w:t>Window</w:t>
            </w:r>
          </w:p>
        </w:tc>
        <w:tc>
          <w:tcPr>
            <w:tcW w:w="524" w:type="dxa"/>
            <w:tcBorders>
              <w:top w:val="nil"/>
              <w:left w:val="single" w:sz="4" w:space="0" w:color="000000"/>
              <w:right w:val="single" w:sz="4" w:space="0" w:color="000000"/>
            </w:tcBorders>
          </w:tcPr>
          <w:p>
            <w:pPr>
              <w:pStyle w:val="TableParagraph"/>
              <w:spacing w:before="74"/>
              <w:ind w:left="58"/>
              <w:rPr>
                <w:sz w:val="18"/>
              </w:rPr>
            </w:pPr>
            <w:r>
              <w:rPr>
                <w:spacing w:val="-4"/>
                <w:sz w:val="18"/>
              </w:rPr>
              <w:t>Unit</w:t>
            </w:r>
          </w:p>
        </w:tc>
        <w:tc>
          <w:tcPr>
            <w:tcW w:w="637" w:type="dxa"/>
            <w:tcBorders>
              <w:top w:val="nil"/>
              <w:left w:val="single" w:sz="4" w:space="0" w:color="000000"/>
              <w:right w:val="single" w:sz="4" w:space="0" w:color="000000"/>
            </w:tcBorders>
          </w:tcPr>
          <w:p>
            <w:pPr>
              <w:pStyle w:val="TableParagraph"/>
              <w:spacing w:before="74"/>
              <w:ind w:left="59"/>
              <w:rPr>
                <w:sz w:val="18"/>
              </w:rPr>
            </w:pPr>
            <w:r>
              <w:rPr>
                <w:spacing w:val="-4"/>
                <w:sz w:val="18"/>
              </w:rPr>
              <w:t>Calc</w:t>
            </w:r>
          </w:p>
        </w:tc>
        <w:tc>
          <w:tcPr>
            <w:tcW w:w="2844" w:type="dxa"/>
            <w:tcBorders>
              <w:top w:val="nil"/>
              <w:left w:val="single" w:sz="4" w:space="0" w:color="000000"/>
              <w:right w:val="nil"/>
            </w:tcBorders>
          </w:tcPr>
          <w:p>
            <w:pPr>
              <w:pStyle w:val="TableParagraph"/>
              <w:spacing w:before="74"/>
              <w:ind w:left="59"/>
              <w:rPr>
                <w:sz w:val="18"/>
              </w:rPr>
            </w:pPr>
            <w:r>
              <w:rPr>
                <w:sz w:val="18"/>
              </w:rPr>
              <w:t>Agronomic</w:t>
            </w:r>
            <w:r>
              <w:rPr>
                <w:spacing w:val="-10"/>
                <w:sz w:val="18"/>
              </w:rPr>
              <w:t> </w:t>
            </w:r>
            <w:r>
              <w:rPr>
                <w:spacing w:val="-2"/>
                <w:sz w:val="18"/>
              </w:rPr>
              <w:t>interpretation</w:t>
            </w:r>
          </w:p>
        </w:tc>
      </w:tr>
    </w:tbl>
    <w:p>
      <w:pPr>
        <w:pStyle w:val="BodyText"/>
        <w:spacing w:before="10"/>
        <w:rPr>
          <w:i/>
          <w:sz w:val="4"/>
        </w:rPr>
      </w:pPr>
    </w:p>
    <w:tbl>
      <w:tblPr>
        <w:tblW w:w="0" w:type="auto"/>
        <w:jc w:val="left"/>
        <w:tblInd w:w="1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71"/>
        <w:gridCol w:w="978"/>
        <w:gridCol w:w="808"/>
        <w:gridCol w:w="354"/>
        <w:gridCol w:w="921"/>
        <w:gridCol w:w="524"/>
        <w:gridCol w:w="637"/>
        <w:gridCol w:w="2844"/>
      </w:tblGrid>
      <w:tr>
        <w:trPr>
          <w:trHeight w:val="886" w:hRule="atLeast"/>
        </w:trPr>
        <w:tc>
          <w:tcPr>
            <w:tcW w:w="1371" w:type="dxa"/>
            <w:tcBorders>
              <w:right w:val="single" w:sz="4" w:space="0" w:color="000000"/>
            </w:tcBorders>
          </w:tcPr>
          <w:p>
            <w:pPr>
              <w:pStyle w:val="TableParagraph"/>
              <w:spacing w:before="74"/>
              <w:ind w:left="59"/>
              <w:rPr>
                <w:sz w:val="18"/>
              </w:rPr>
            </w:pPr>
            <w:r>
              <w:rPr>
                <w:spacing w:val="-2"/>
                <w:sz w:val="18"/>
              </w:rPr>
              <w:t>tm_bb_y0_a30</w:t>
            </w:r>
          </w:p>
        </w:tc>
        <w:tc>
          <w:tcPr>
            <w:tcW w:w="978" w:type="dxa"/>
            <w:tcBorders>
              <w:left w:val="single" w:sz="4" w:space="0" w:color="000000"/>
              <w:right w:val="single" w:sz="4" w:space="0" w:color="000000"/>
            </w:tcBorders>
          </w:tcPr>
          <w:p>
            <w:pPr>
              <w:pStyle w:val="TableParagraph"/>
              <w:spacing w:line="307" w:lineRule="auto" w:before="74"/>
              <w:ind w:left="58"/>
              <w:rPr>
                <w:sz w:val="18"/>
              </w:rPr>
            </w:pPr>
            <w:r>
              <w:rPr>
                <w:sz w:val="18"/>
              </w:rPr>
              <w:t>Mean</w:t>
            </w:r>
            <w:r>
              <w:rPr>
                <w:spacing w:val="40"/>
                <w:sz w:val="18"/>
              </w:rPr>
              <w:t> </w:t>
            </w:r>
            <w:r>
              <w:rPr>
                <w:sz w:val="18"/>
              </w:rPr>
              <w:t>tem-</w:t>
            </w:r>
            <w:r>
              <w:rPr>
                <w:spacing w:val="-2"/>
                <w:sz w:val="18"/>
              </w:rPr>
              <w:t>perature</w:t>
            </w:r>
          </w:p>
        </w:tc>
        <w:tc>
          <w:tcPr>
            <w:tcW w:w="808" w:type="dxa"/>
            <w:tcBorders>
              <w:left w:val="single" w:sz="4" w:space="0" w:color="000000"/>
              <w:right w:val="single" w:sz="4" w:space="0" w:color="000000"/>
            </w:tcBorders>
          </w:tcPr>
          <w:p>
            <w:pPr>
              <w:pStyle w:val="TableParagraph"/>
              <w:spacing w:line="307" w:lineRule="auto" w:before="74"/>
              <w:ind w:left="58" w:right="300"/>
              <w:rPr>
                <w:sz w:val="18"/>
              </w:rPr>
            </w:pPr>
            <w:r>
              <w:rPr>
                <w:spacing w:val="-4"/>
                <w:sz w:val="18"/>
              </w:rPr>
              <w:t>Bud </w:t>
            </w:r>
            <w:r>
              <w:rPr>
                <w:spacing w:val="-2"/>
                <w:sz w:val="18"/>
              </w:rPr>
              <w:t>Break</w:t>
            </w:r>
          </w:p>
        </w:tc>
        <w:tc>
          <w:tcPr>
            <w:tcW w:w="354" w:type="dxa"/>
            <w:tcBorders>
              <w:left w:val="single" w:sz="4" w:space="0" w:color="000000"/>
              <w:right w:val="single" w:sz="4" w:space="0" w:color="000000"/>
            </w:tcBorders>
          </w:tcPr>
          <w:p>
            <w:pPr>
              <w:pStyle w:val="TableParagraph"/>
              <w:spacing w:before="74"/>
              <w:ind w:right="46"/>
              <w:jc w:val="center"/>
              <w:rPr>
                <w:sz w:val="18"/>
              </w:rPr>
            </w:pPr>
            <w:r>
              <w:rPr>
                <w:spacing w:val="-5"/>
                <w:sz w:val="18"/>
              </w:rPr>
              <w:t>y0</w:t>
            </w:r>
          </w:p>
        </w:tc>
        <w:tc>
          <w:tcPr>
            <w:tcW w:w="921" w:type="dxa"/>
            <w:tcBorders>
              <w:left w:val="single" w:sz="4" w:space="0" w:color="000000"/>
              <w:right w:val="single" w:sz="4" w:space="0" w:color="000000"/>
            </w:tcBorders>
          </w:tcPr>
          <w:p>
            <w:pPr>
              <w:pStyle w:val="TableParagraph"/>
              <w:spacing w:line="307" w:lineRule="auto" w:before="74"/>
              <w:ind w:left="58"/>
              <w:rPr>
                <w:sz w:val="18"/>
              </w:rPr>
            </w:pPr>
            <w:r>
              <w:rPr>
                <w:sz w:val="18"/>
              </w:rPr>
              <w:t>30d</w:t>
            </w:r>
            <w:r>
              <w:rPr>
                <w:spacing w:val="80"/>
                <w:sz w:val="18"/>
              </w:rPr>
              <w:t> </w:t>
            </w:r>
            <w:r>
              <w:rPr>
                <w:sz w:val="18"/>
              </w:rPr>
              <w:t>after prev. yr</w:t>
            </w:r>
          </w:p>
        </w:tc>
        <w:tc>
          <w:tcPr>
            <w:tcW w:w="524" w:type="dxa"/>
            <w:tcBorders>
              <w:left w:val="single" w:sz="4" w:space="0" w:color="000000"/>
              <w:right w:val="single" w:sz="4" w:space="0" w:color="000000"/>
            </w:tcBorders>
          </w:tcPr>
          <w:p>
            <w:pPr>
              <w:pStyle w:val="TableParagraph"/>
              <w:numPr>
                <w:ilvl w:val="0"/>
                <w:numId w:val="47"/>
              </w:numPr>
              <w:tabs>
                <w:tab w:pos="136" w:val="left" w:leader="none"/>
              </w:tabs>
              <w:spacing w:line="240" w:lineRule="auto" w:before="4" w:after="0"/>
              <w:ind w:left="136" w:right="0" w:hanging="78"/>
              <w:jc w:val="left"/>
              <w:rPr>
                <w:position w:val="-6"/>
                <w:sz w:val="18"/>
              </w:rPr>
            </w:pPr>
            <w:r>
              <w:rPr>
                <w:spacing w:val="-10"/>
                <w:position w:val="-6"/>
                <w:sz w:val="18"/>
              </w:rPr>
              <w:t>C</w:t>
            </w:r>
          </w:p>
        </w:tc>
        <w:tc>
          <w:tcPr>
            <w:tcW w:w="637" w:type="dxa"/>
            <w:tcBorders>
              <w:left w:val="single" w:sz="4" w:space="0" w:color="000000"/>
              <w:right w:val="single" w:sz="4" w:space="0" w:color="000000"/>
            </w:tcBorders>
          </w:tcPr>
          <w:p>
            <w:pPr>
              <w:pStyle w:val="TableParagraph"/>
              <w:spacing w:before="74"/>
              <w:ind w:left="59" w:right="-15"/>
              <w:jc w:val="center"/>
              <w:rPr>
                <w:sz w:val="18"/>
              </w:rPr>
            </w:pPr>
            <w:r>
              <w:rPr>
                <w:spacing w:val="-7"/>
                <w:sz w:val="18"/>
              </w:rPr>
              <w:t>Average</w:t>
            </w:r>
          </w:p>
        </w:tc>
        <w:tc>
          <w:tcPr>
            <w:tcW w:w="2844" w:type="dxa"/>
            <w:tcBorders>
              <w:left w:val="single" w:sz="4" w:space="0" w:color="000000"/>
            </w:tcBorders>
          </w:tcPr>
          <w:p>
            <w:pPr>
              <w:pStyle w:val="TableParagraph"/>
              <w:spacing w:line="260" w:lineRule="atLeast" w:before="21"/>
              <w:ind w:left="59" w:right="26"/>
              <w:jc w:val="both"/>
              <w:rPr>
                <w:sz w:val="18"/>
              </w:rPr>
            </w:pPr>
            <w:r>
              <w:rPr>
                <w:sz w:val="18"/>
              </w:rPr>
              <w:t>Wider</w:t>
            </w:r>
            <w:r>
              <w:rPr>
                <w:spacing w:val="-12"/>
                <w:sz w:val="18"/>
              </w:rPr>
              <w:t> </w:t>
            </w:r>
            <w:r>
              <w:rPr>
                <w:sz w:val="18"/>
              </w:rPr>
              <w:t>post-budburst</w:t>
            </w:r>
            <w:r>
              <w:rPr>
                <w:spacing w:val="-11"/>
                <w:sz w:val="18"/>
              </w:rPr>
              <w:t> </w:t>
            </w:r>
            <w:r>
              <w:rPr>
                <w:sz w:val="18"/>
              </w:rPr>
              <w:t>window</w:t>
            </w:r>
            <w:r>
              <w:rPr>
                <w:spacing w:val="-11"/>
                <w:sz w:val="18"/>
              </w:rPr>
              <w:t> </w:t>
            </w:r>
            <w:r>
              <w:rPr>
                <w:sz w:val="18"/>
              </w:rPr>
              <w:t>in</w:t>
            </w:r>
            <w:r>
              <w:rPr>
                <w:spacing w:val="-11"/>
                <w:sz w:val="18"/>
              </w:rPr>
              <w:t> </w:t>
            </w:r>
            <w:r>
              <w:rPr>
                <w:sz w:val="18"/>
              </w:rPr>
              <w:t>previ-ous</w:t>
            </w:r>
            <w:r>
              <w:rPr>
                <w:spacing w:val="-8"/>
                <w:sz w:val="18"/>
              </w:rPr>
              <w:t> </w:t>
            </w:r>
            <w:r>
              <w:rPr>
                <w:sz w:val="18"/>
              </w:rPr>
              <w:t>year,</w:t>
            </w:r>
            <w:r>
              <w:rPr>
                <w:spacing w:val="-8"/>
                <w:sz w:val="18"/>
              </w:rPr>
              <w:t> </w:t>
            </w:r>
            <w:r>
              <w:rPr>
                <w:sz w:val="18"/>
              </w:rPr>
              <w:t>vine</w:t>
            </w:r>
            <w:r>
              <w:rPr>
                <w:spacing w:val="-8"/>
                <w:sz w:val="18"/>
              </w:rPr>
              <w:t> </w:t>
            </w:r>
            <w:r>
              <w:rPr>
                <w:sz w:val="18"/>
              </w:rPr>
              <w:t>carbohydrate</w:t>
            </w:r>
            <w:r>
              <w:rPr>
                <w:spacing w:val="-8"/>
                <w:sz w:val="18"/>
              </w:rPr>
              <w:t> </w:t>
            </w:r>
            <w:r>
              <w:rPr>
                <w:sz w:val="18"/>
              </w:rPr>
              <w:t>allocation and early season vigour</w:t>
            </w:r>
          </w:p>
        </w:tc>
      </w:tr>
      <w:tr>
        <w:trPr>
          <w:trHeight w:val="877" w:hRule="atLeast"/>
        </w:trPr>
        <w:tc>
          <w:tcPr>
            <w:tcW w:w="1371" w:type="dxa"/>
            <w:tcBorders>
              <w:right w:val="single" w:sz="4" w:space="0" w:color="000000"/>
            </w:tcBorders>
          </w:tcPr>
          <w:p>
            <w:pPr>
              <w:pStyle w:val="TableParagraph"/>
              <w:spacing w:before="64"/>
              <w:ind w:left="59"/>
              <w:rPr>
                <w:sz w:val="18"/>
              </w:rPr>
            </w:pPr>
            <w:r>
              <w:rPr>
                <w:spacing w:val="-2"/>
                <w:sz w:val="18"/>
              </w:rPr>
              <w:t>tm_sm_y1_c20</w:t>
            </w:r>
          </w:p>
        </w:tc>
        <w:tc>
          <w:tcPr>
            <w:tcW w:w="978" w:type="dxa"/>
            <w:tcBorders>
              <w:left w:val="single" w:sz="4" w:space="0" w:color="000000"/>
              <w:right w:val="single" w:sz="4" w:space="0" w:color="000000"/>
            </w:tcBorders>
          </w:tcPr>
          <w:p>
            <w:pPr>
              <w:pStyle w:val="TableParagraph"/>
              <w:spacing w:line="307" w:lineRule="auto" w:before="64"/>
              <w:ind w:left="58"/>
              <w:rPr>
                <w:sz w:val="18"/>
              </w:rPr>
            </w:pPr>
            <w:r>
              <w:rPr>
                <w:sz w:val="18"/>
              </w:rPr>
              <w:t>Mean</w:t>
            </w:r>
            <w:r>
              <w:rPr>
                <w:spacing w:val="40"/>
                <w:sz w:val="18"/>
              </w:rPr>
              <w:t> </w:t>
            </w:r>
            <w:r>
              <w:rPr>
                <w:sz w:val="18"/>
              </w:rPr>
              <w:t>tem-</w:t>
            </w:r>
            <w:r>
              <w:rPr>
                <w:spacing w:val="-2"/>
                <w:sz w:val="18"/>
              </w:rPr>
              <w:t>perature</w:t>
            </w:r>
          </w:p>
        </w:tc>
        <w:tc>
          <w:tcPr>
            <w:tcW w:w="808" w:type="dxa"/>
            <w:tcBorders>
              <w:left w:val="single" w:sz="4" w:space="0" w:color="000000"/>
              <w:right w:val="single" w:sz="4" w:space="0" w:color="000000"/>
            </w:tcBorders>
          </w:tcPr>
          <w:p>
            <w:pPr>
              <w:pStyle w:val="TableParagraph"/>
              <w:spacing w:line="307" w:lineRule="auto" w:before="64"/>
              <w:ind w:left="58"/>
              <w:rPr>
                <w:sz w:val="18"/>
              </w:rPr>
            </w:pPr>
            <w:r>
              <w:rPr>
                <w:sz w:val="18"/>
              </w:rPr>
              <w:t>Start</w:t>
            </w:r>
            <w:r>
              <w:rPr>
                <w:spacing w:val="-7"/>
                <w:sz w:val="18"/>
              </w:rPr>
              <w:t> </w:t>
            </w:r>
            <w:r>
              <w:rPr>
                <w:sz w:val="18"/>
              </w:rPr>
              <w:t>Ma-</w:t>
            </w:r>
            <w:r>
              <w:rPr>
                <w:spacing w:val="-2"/>
                <w:sz w:val="18"/>
              </w:rPr>
              <w:t>turity</w:t>
            </w:r>
          </w:p>
        </w:tc>
        <w:tc>
          <w:tcPr>
            <w:tcW w:w="354" w:type="dxa"/>
            <w:tcBorders>
              <w:left w:val="single" w:sz="4" w:space="0" w:color="000000"/>
              <w:right w:val="single" w:sz="4" w:space="0" w:color="000000"/>
            </w:tcBorders>
          </w:tcPr>
          <w:p>
            <w:pPr>
              <w:pStyle w:val="TableParagraph"/>
              <w:spacing w:before="64"/>
              <w:ind w:right="46"/>
              <w:jc w:val="center"/>
              <w:rPr>
                <w:sz w:val="18"/>
              </w:rPr>
            </w:pPr>
            <w:r>
              <w:rPr>
                <w:spacing w:val="-5"/>
                <w:sz w:val="18"/>
              </w:rPr>
              <w:t>y1</w:t>
            </w:r>
          </w:p>
        </w:tc>
        <w:tc>
          <w:tcPr>
            <w:tcW w:w="921" w:type="dxa"/>
            <w:tcBorders>
              <w:left w:val="single" w:sz="4" w:space="0" w:color="000000"/>
              <w:right w:val="single" w:sz="4" w:space="0" w:color="000000"/>
            </w:tcBorders>
          </w:tcPr>
          <w:p>
            <w:pPr>
              <w:pStyle w:val="TableParagraph"/>
              <w:spacing w:before="64"/>
              <w:ind w:left="58"/>
              <w:rPr>
                <w:sz w:val="18"/>
              </w:rPr>
            </w:pPr>
            <w:r>
              <w:rPr>
                <w:spacing w:val="-2"/>
                <w:sz w:val="18"/>
              </w:rPr>
              <w:t>centred</w:t>
            </w:r>
          </w:p>
          <w:p>
            <w:pPr>
              <w:pStyle w:val="TableParagraph"/>
              <w:spacing w:before="5"/>
              <w:ind w:left="58"/>
              <w:rPr>
                <w:sz w:val="18"/>
              </w:rPr>
            </w:pPr>
            <w:r>
              <w:rPr>
                <w:rFonts w:ascii="Meiryo UI" w:hAnsi="Meiryo UI"/>
                <w:i/>
                <w:spacing w:val="-4"/>
                <w:sz w:val="18"/>
              </w:rPr>
              <w:t>±</w:t>
            </w:r>
            <w:r>
              <w:rPr>
                <w:spacing w:val="-4"/>
                <w:sz w:val="18"/>
              </w:rPr>
              <w:t>20d</w:t>
            </w:r>
          </w:p>
        </w:tc>
        <w:tc>
          <w:tcPr>
            <w:tcW w:w="524" w:type="dxa"/>
            <w:tcBorders>
              <w:left w:val="single" w:sz="4" w:space="0" w:color="000000"/>
              <w:right w:val="single" w:sz="4" w:space="0" w:color="000000"/>
            </w:tcBorders>
          </w:tcPr>
          <w:p>
            <w:pPr>
              <w:pStyle w:val="TableParagraph"/>
              <w:numPr>
                <w:ilvl w:val="0"/>
                <w:numId w:val="48"/>
              </w:numPr>
              <w:tabs>
                <w:tab w:pos="136" w:val="left" w:leader="none"/>
              </w:tabs>
              <w:spacing w:line="232" w:lineRule="auto" w:before="0" w:after="0"/>
              <w:ind w:left="136" w:right="0" w:hanging="78"/>
              <w:jc w:val="left"/>
              <w:rPr>
                <w:position w:val="-6"/>
                <w:sz w:val="18"/>
              </w:rPr>
            </w:pPr>
            <w:r>
              <w:rPr>
                <w:spacing w:val="-10"/>
                <w:position w:val="-6"/>
                <w:sz w:val="18"/>
              </w:rPr>
              <w:t>C</w:t>
            </w:r>
          </w:p>
        </w:tc>
        <w:tc>
          <w:tcPr>
            <w:tcW w:w="637" w:type="dxa"/>
            <w:tcBorders>
              <w:left w:val="single" w:sz="4" w:space="0" w:color="000000"/>
              <w:right w:val="single" w:sz="4" w:space="0" w:color="000000"/>
            </w:tcBorders>
          </w:tcPr>
          <w:p>
            <w:pPr>
              <w:pStyle w:val="TableParagraph"/>
              <w:spacing w:before="64"/>
              <w:ind w:left="59" w:right="-15"/>
              <w:jc w:val="center"/>
              <w:rPr>
                <w:sz w:val="18"/>
              </w:rPr>
            </w:pPr>
            <w:r>
              <w:rPr>
                <w:spacing w:val="-7"/>
                <w:sz w:val="18"/>
              </w:rPr>
              <w:t>Average</w:t>
            </w:r>
          </w:p>
        </w:tc>
        <w:tc>
          <w:tcPr>
            <w:tcW w:w="2844" w:type="dxa"/>
            <w:tcBorders>
              <w:left w:val="single" w:sz="4" w:space="0" w:color="000000"/>
            </w:tcBorders>
          </w:tcPr>
          <w:p>
            <w:pPr>
              <w:pStyle w:val="TableParagraph"/>
              <w:spacing w:line="260" w:lineRule="atLeast" w:before="11"/>
              <w:ind w:left="59" w:right="26"/>
              <w:jc w:val="both"/>
              <w:rPr>
                <w:sz w:val="18"/>
              </w:rPr>
            </w:pPr>
            <w:r>
              <w:rPr>
                <w:sz w:val="18"/>
              </w:rPr>
              <w:t>Temperature at veraison onset, </w:t>
            </w:r>
            <w:r>
              <w:rPr>
                <w:sz w:val="18"/>
              </w:rPr>
              <w:t>gov-erns</w:t>
            </w:r>
            <w:r>
              <w:rPr>
                <w:spacing w:val="-12"/>
                <w:sz w:val="18"/>
              </w:rPr>
              <w:t> </w:t>
            </w:r>
            <w:r>
              <w:rPr>
                <w:sz w:val="18"/>
              </w:rPr>
              <w:t>timing</w:t>
            </w:r>
            <w:r>
              <w:rPr>
                <w:spacing w:val="-11"/>
                <w:sz w:val="18"/>
              </w:rPr>
              <w:t> </w:t>
            </w:r>
            <w:r>
              <w:rPr>
                <w:sz w:val="18"/>
              </w:rPr>
              <w:t>of</w:t>
            </w:r>
            <w:r>
              <w:rPr>
                <w:spacing w:val="-11"/>
                <w:sz w:val="18"/>
              </w:rPr>
              <w:t> </w:t>
            </w:r>
            <w:r>
              <w:rPr>
                <w:sz w:val="18"/>
              </w:rPr>
              <w:t>berry</w:t>
            </w:r>
            <w:r>
              <w:rPr>
                <w:spacing w:val="-11"/>
                <w:sz w:val="18"/>
              </w:rPr>
              <w:t> </w:t>
            </w:r>
            <w:r>
              <w:rPr>
                <w:sz w:val="18"/>
              </w:rPr>
              <w:t>colour</w:t>
            </w:r>
            <w:r>
              <w:rPr>
                <w:spacing w:val="-12"/>
                <w:sz w:val="18"/>
              </w:rPr>
              <w:t> </w:t>
            </w:r>
            <w:r>
              <w:rPr>
                <w:sz w:val="18"/>
              </w:rPr>
              <w:t>change</w:t>
            </w:r>
            <w:r>
              <w:rPr>
                <w:spacing w:val="-11"/>
                <w:sz w:val="18"/>
              </w:rPr>
              <w:t> </w:t>
            </w:r>
            <w:r>
              <w:rPr>
                <w:sz w:val="18"/>
              </w:rPr>
              <w:t>and ripening acceleration</w:t>
            </w:r>
          </w:p>
        </w:tc>
      </w:tr>
      <w:tr>
        <w:trPr>
          <w:trHeight w:val="877" w:hRule="atLeast"/>
        </w:trPr>
        <w:tc>
          <w:tcPr>
            <w:tcW w:w="1371" w:type="dxa"/>
            <w:tcBorders>
              <w:right w:val="single" w:sz="4" w:space="0" w:color="000000"/>
            </w:tcBorders>
          </w:tcPr>
          <w:p>
            <w:pPr>
              <w:pStyle w:val="TableParagraph"/>
              <w:spacing w:before="64"/>
              <w:ind w:left="59"/>
              <w:rPr>
                <w:sz w:val="18"/>
              </w:rPr>
            </w:pPr>
            <w:r>
              <w:rPr>
                <w:spacing w:val="-2"/>
                <w:sz w:val="18"/>
              </w:rPr>
              <w:t>tm_sm_y0_a20</w:t>
            </w:r>
          </w:p>
        </w:tc>
        <w:tc>
          <w:tcPr>
            <w:tcW w:w="978" w:type="dxa"/>
            <w:tcBorders>
              <w:left w:val="single" w:sz="4" w:space="0" w:color="000000"/>
              <w:right w:val="single" w:sz="4" w:space="0" w:color="000000"/>
            </w:tcBorders>
          </w:tcPr>
          <w:p>
            <w:pPr>
              <w:pStyle w:val="TableParagraph"/>
              <w:spacing w:line="307" w:lineRule="auto" w:before="64"/>
              <w:ind w:left="58"/>
              <w:rPr>
                <w:sz w:val="18"/>
              </w:rPr>
            </w:pPr>
            <w:r>
              <w:rPr>
                <w:sz w:val="18"/>
              </w:rPr>
              <w:t>Mean</w:t>
            </w:r>
            <w:r>
              <w:rPr>
                <w:spacing w:val="40"/>
                <w:sz w:val="18"/>
              </w:rPr>
              <w:t> </w:t>
            </w:r>
            <w:r>
              <w:rPr>
                <w:sz w:val="18"/>
              </w:rPr>
              <w:t>tem-</w:t>
            </w:r>
            <w:r>
              <w:rPr>
                <w:spacing w:val="-2"/>
                <w:sz w:val="18"/>
              </w:rPr>
              <w:t>perature</w:t>
            </w:r>
          </w:p>
        </w:tc>
        <w:tc>
          <w:tcPr>
            <w:tcW w:w="808" w:type="dxa"/>
            <w:tcBorders>
              <w:left w:val="single" w:sz="4" w:space="0" w:color="000000"/>
              <w:right w:val="single" w:sz="4" w:space="0" w:color="000000"/>
            </w:tcBorders>
          </w:tcPr>
          <w:p>
            <w:pPr>
              <w:pStyle w:val="TableParagraph"/>
              <w:spacing w:line="307" w:lineRule="auto" w:before="64"/>
              <w:ind w:left="58"/>
              <w:rPr>
                <w:sz w:val="18"/>
              </w:rPr>
            </w:pPr>
            <w:r>
              <w:rPr>
                <w:sz w:val="18"/>
              </w:rPr>
              <w:t>Start</w:t>
            </w:r>
            <w:r>
              <w:rPr>
                <w:spacing w:val="-7"/>
                <w:sz w:val="18"/>
              </w:rPr>
              <w:t> </w:t>
            </w:r>
            <w:r>
              <w:rPr>
                <w:sz w:val="18"/>
              </w:rPr>
              <w:t>Ma-</w:t>
            </w:r>
            <w:r>
              <w:rPr>
                <w:spacing w:val="-2"/>
                <w:sz w:val="18"/>
              </w:rPr>
              <w:t>turity</w:t>
            </w:r>
          </w:p>
        </w:tc>
        <w:tc>
          <w:tcPr>
            <w:tcW w:w="354" w:type="dxa"/>
            <w:tcBorders>
              <w:left w:val="single" w:sz="4" w:space="0" w:color="000000"/>
              <w:right w:val="single" w:sz="4" w:space="0" w:color="000000"/>
            </w:tcBorders>
          </w:tcPr>
          <w:p>
            <w:pPr>
              <w:pStyle w:val="TableParagraph"/>
              <w:spacing w:before="64"/>
              <w:ind w:right="46"/>
              <w:jc w:val="center"/>
              <w:rPr>
                <w:sz w:val="18"/>
              </w:rPr>
            </w:pPr>
            <w:r>
              <w:rPr>
                <w:spacing w:val="-5"/>
                <w:sz w:val="18"/>
              </w:rPr>
              <w:t>y0</w:t>
            </w:r>
          </w:p>
        </w:tc>
        <w:tc>
          <w:tcPr>
            <w:tcW w:w="921" w:type="dxa"/>
            <w:tcBorders>
              <w:left w:val="single" w:sz="4" w:space="0" w:color="000000"/>
              <w:right w:val="single" w:sz="4" w:space="0" w:color="000000"/>
            </w:tcBorders>
          </w:tcPr>
          <w:p>
            <w:pPr>
              <w:pStyle w:val="TableParagraph"/>
              <w:spacing w:line="307" w:lineRule="auto" w:before="64"/>
              <w:ind w:left="58"/>
              <w:rPr>
                <w:sz w:val="18"/>
              </w:rPr>
            </w:pPr>
            <w:r>
              <w:rPr>
                <w:sz w:val="18"/>
              </w:rPr>
              <w:t>20d</w:t>
            </w:r>
            <w:r>
              <w:rPr>
                <w:spacing w:val="80"/>
                <w:sz w:val="18"/>
              </w:rPr>
              <w:t> </w:t>
            </w:r>
            <w:r>
              <w:rPr>
                <w:sz w:val="18"/>
              </w:rPr>
              <w:t>after prev. yr</w:t>
            </w:r>
          </w:p>
        </w:tc>
        <w:tc>
          <w:tcPr>
            <w:tcW w:w="524" w:type="dxa"/>
            <w:tcBorders>
              <w:left w:val="single" w:sz="4" w:space="0" w:color="000000"/>
              <w:right w:val="single" w:sz="4" w:space="0" w:color="000000"/>
            </w:tcBorders>
          </w:tcPr>
          <w:p>
            <w:pPr>
              <w:pStyle w:val="TableParagraph"/>
              <w:numPr>
                <w:ilvl w:val="0"/>
                <w:numId w:val="49"/>
              </w:numPr>
              <w:tabs>
                <w:tab w:pos="136" w:val="left" w:leader="none"/>
              </w:tabs>
              <w:spacing w:line="232" w:lineRule="auto" w:before="0" w:after="0"/>
              <w:ind w:left="136" w:right="0" w:hanging="78"/>
              <w:jc w:val="left"/>
              <w:rPr>
                <w:position w:val="-6"/>
                <w:sz w:val="18"/>
              </w:rPr>
            </w:pPr>
            <w:r>
              <w:rPr>
                <w:spacing w:val="-10"/>
                <w:position w:val="-6"/>
                <w:sz w:val="18"/>
              </w:rPr>
              <w:t>C</w:t>
            </w:r>
          </w:p>
        </w:tc>
        <w:tc>
          <w:tcPr>
            <w:tcW w:w="637" w:type="dxa"/>
            <w:tcBorders>
              <w:left w:val="single" w:sz="4" w:space="0" w:color="000000"/>
              <w:right w:val="single" w:sz="4" w:space="0" w:color="000000"/>
            </w:tcBorders>
          </w:tcPr>
          <w:p>
            <w:pPr>
              <w:pStyle w:val="TableParagraph"/>
              <w:spacing w:before="64"/>
              <w:ind w:left="59" w:right="-15"/>
              <w:jc w:val="center"/>
              <w:rPr>
                <w:sz w:val="18"/>
              </w:rPr>
            </w:pPr>
            <w:r>
              <w:rPr>
                <w:spacing w:val="-7"/>
                <w:sz w:val="18"/>
              </w:rPr>
              <w:t>Average</w:t>
            </w:r>
          </w:p>
        </w:tc>
        <w:tc>
          <w:tcPr>
            <w:tcW w:w="2844" w:type="dxa"/>
            <w:tcBorders>
              <w:left w:val="single" w:sz="4" w:space="0" w:color="000000"/>
            </w:tcBorders>
          </w:tcPr>
          <w:p>
            <w:pPr>
              <w:pStyle w:val="TableParagraph"/>
              <w:spacing w:line="260" w:lineRule="atLeast" w:before="11"/>
              <w:ind w:left="59" w:right="40"/>
              <w:jc w:val="both"/>
              <w:rPr>
                <w:sz w:val="18"/>
              </w:rPr>
            </w:pPr>
            <w:r>
              <w:rPr>
                <w:sz w:val="18"/>
              </w:rPr>
              <w:t>Previous-year</w:t>
            </w:r>
            <w:r>
              <w:rPr>
                <w:spacing w:val="-12"/>
                <w:sz w:val="18"/>
              </w:rPr>
              <w:t> </w:t>
            </w:r>
            <w:r>
              <w:rPr>
                <w:sz w:val="18"/>
              </w:rPr>
              <w:t>post-veraison</w:t>
            </w:r>
            <w:r>
              <w:rPr>
                <w:spacing w:val="-11"/>
                <w:sz w:val="18"/>
              </w:rPr>
              <w:t> </w:t>
            </w:r>
            <w:r>
              <w:rPr>
                <w:sz w:val="18"/>
              </w:rPr>
              <w:t>heat,</w:t>
            </w:r>
            <w:r>
              <w:rPr>
                <w:spacing w:val="-11"/>
                <w:sz w:val="18"/>
              </w:rPr>
              <w:t> </w:t>
            </w:r>
            <w:r>
              <w:rPr>
                <w:sz w:val="18"/>
              </w:rPr>
              <w:t>vine thermal stress at end of prior </w:t>
            </w:r>
            <w:r>
              <w:rPr>
                <w:sz w:val="18"/>
              </w:rPr>
              <w:t>season; affects reserve accumulation</w:t>
            </w:r>
          </w:p>
        </w:tc>
      </w:tr>
      <w:tr>
        <w:trPr>
          <w:trHeight w:val="877" w:hRule="atLeast"/>
        </w:trPr>
        <w:tc>
          <w:tcPr>
            <w:tcW w:w="1371" w:type="dxa"/>
            <w:tcBorders>
              <w:right w:val="single" w:sz="4" w:space="0" w:color="000000"/>
            </w:tcBorders>
          </w:tcPr>
          <w:p>
            <w:pPr>
              <w:pStyle w:val="TableParagraph"/>
              <w:spacing w:before="64"/>
              <w:ind w:left="59"/>
              <w:rPr>
                <w:sz w:val="18"/>
              </w:rPr>
            </w:pPr>
            <w:r>
              <w:rPr>
                <w:spacing w:val="-2"/>
                <w:sz w:val="18"/>
              </w:rPr>
              <w:t>tm_sm_y0_b20</w:t>
            </w:r>
          </w:p>
        </w:tc>
        <w:tc>
          <w:tcPr>
            <w:tcW w:w="978" w:type="dxa"/>
            <w:tcBorders>
              <w:left w:val="single" w:sz="4" w:space="0" w:color="000000"/>
              <w:right w:val="single" w:sz="4" w:space="0" w:color="000000"/>
            </w:tcBorders>
          </w:tcPr>
          <w:p>
            <w:pPr>
              <w:pStyle w:val="TableParagraph"/>
              <w:spacing w:line="307" w:lineRule="auto" w:before="64"/>
              <w:ind w:left="58"/>
              <w:rPr>
                <w:sz w:val="18"/>
              </w:rPr>
            </w:pPr>
            <w:r>
              <w:rPr>
                <w:sz w:val="18"/>
              </w:rPr>
              <w:t>Mean</w:t>
            </w:r>
            <w:r>
              <w:rPr>
                <w:spacing w:val="40"/>
                <w:sz w:val="18"/>
              </w:rPr>
              <w:t> </w:t>
            </w:r>
            <w:r>
              <w:rPr>
                <w:sz w:val="18"/>
              </w:rPr>
              <w:t>tem-</w:t>
            </w:r>
            <w:r>
              <w:rPr>
                <w:spacing w:val="-2"/>
                <w:sz w:val="18"/>
              </w:rPr>
              <w:t>perature</w:t>
            </w:r>
          </w:p>
        </w:tc>
        <w:tc>
          <w:tcPr>
            <w:tcW w:w="808" w:type="dxa"/>
            <w:tcBorders>
              <w:left w:val="single" w:sz="4" w:space="0" w:color="000000"/>
              <w:right w:val="single" w:sz="4" w:space="0" w:color="000000"/>
            </w:tcBorders>
          </w:tcPr>
          <w:p>
            <w:pPr>
              <w:pStyle w:val="TableParagraph"/>
              <w:spacing w:line="307" w:lineRule="auto" w:before="64"/>
              <w:ind w:left="58"/>
              <w:rPr>
                <w:sz w:val="18"/>
              </w:rPr>
            </w:pPr>
            <w:r>
              <w:rPr>
                <w:sz w:val="18"/>
              </w:rPr>
              <w:t>Start</w:t>
            </w:r>
            <w:r>
              <w:rPr>
                <w:spacing w:val="-7"/>
                <w:sz w:val="18"/>
              </w:rPr>
              <w:t> </w:t>
            </w:r>
            <w:r>
              <w:rPr>
                <w:sz w:val="18"/>
              </w:rPr>
              <w:t>Ma-</w:t>
            </w:r>
            <w:r>
              <w:rPr>
                <w:spacing w:val="-2"/>
                <w:sz w:val="18"/>
              </w:rPr>
              <w:t>turity</w:t>
            </w:r>
          </w:p>
        </w:tc>
        <w:tc>
          <w:tcPr>
            <w:tcW w:w="354" w:type="dxa"/>
            <w:tcBorders>
              <w:left w:val="single" w:sz="4" w:space="0" w:color="000000"/>
              <w:right w:val="single" w:sz="4" w:space="0" w:color="000000"/>
            </w:tcBorders>
          </w:tcPr>
          <w:p>
            <w:pPr>
              <w:pStyle w:val="TableParagraph"/>
              <w:spacing w:before="64"/>
              <w:ind w:right="46"/>
              <w:jc w:val="center"/>
              <w:rPr>
                <w:sz w:val="18"/>
              </w:rPr>
            </w:pPr>
            <w:r>
              <w:rPr>
                <w:spacing w:val="-5"/>
                <w:sz w:val="18"/>
              </w:rPr>
              <w:t>y0</w:t>
            </w:r>
          </w:p>
        </w:tc>
        <w:tc>
          <w:tcPr>
            <w:tcW w:w="921" w:type="dxa"/>
            <w:tcBorders>
              <w:left w:val="single" w:sz="4" w:space="0" w:color="000000"/>
              <w:right w:val="single" w:sz="4" w:space="0" w:color="000000"/>
            </w:tcBorders>
          </w:tcPr>
          <w:p>
            <w:pPr>
              <w:pStyle w:val="TableParagraph"/>
              <w:spacing w:line="307" w:lineRule="auto" w:before="64"/>
              <w:ind w:left="58"/>
              <w:rPr>
                <w:sz w:val="18"/>
              </w:rPr>
            </w:pPr>
            <w:r>
              <w:rPr>
                <w:sz w:val="18"/>
              </w:rPr>
              <w:t>20d</w:t>
            </w:r>
            <w:r>
              <w:rPr>
                <w:spacing w:val="-12"/>
                <w:sz w:val="18"/>
              </w:rPr>
              <w:t> </w:t>
            </w:r>
            <w:r>
              <w:rPr>
                <w:sz w:val="18"/>
              </w:rPr>
              <w:t>before prev. yr</w:t>
            </w:r>
          </w:p>
        </w:tc>
        <w:tc>
          <w:tcPr>
            <w:tcW w:w="524" w:type="dxa"/>
            <w:tcBorders>
              <w:left w:val="single" w:sz="4" w:space="0" w:color="000000"/>
              <w:right w:val="single" w:sz="4" w:space="0" w:color="000000"/>
            </w:tcBorders>
          </w:tcPr>
          <w:p>
            <w:pPr>
              <w:pStyle w:val="TableParagraph"/>
              <w:numPr>
                <w:ilvl w:val="0"/>
                <w:numId w:val="50"/>
              </w:numPr>
              <w:tabs>
                <w:tab w:pos="136" w:val="left" w:leader="none"/>
              </w:tabs>
              <w:spacing w:line="232" w:lineRule="auto" w:before="0" w:after="0"/>
              <w:ind w:left="136" w:right="0" w:hanging="78"/>
              <w:jc w:val="left"/>
              <w:rPr>
                <w:position w:val="-6"/>
                <w:sz w:val="18"/>
              </w:rPr>
            </w:pPr>
            <w:r>
              <w:rPr>
                <w:spacing w:val="-10"/>
                <w:position w:val="-6"/>
                <w:sz w:val="18"/>
              </w:rPr>
              <w:t>C</w:t>
            </w:r>
          </w:p>
        </w:tc>
        <w:tc>
          <w:tcPr>
            <w:tcW w:w="637" w:type="dxa"/>
            <w:tcBorders>
              <w:left w:val="single" w:sz="4" w:space="0" w:color="000000"/>
              <w:right w:val="single" w:sz="4" w:space="0" w:color="000000"/>
            </w:tcBorders>
          </w:tcPr>
          <w:p>
            <w:pPr>
              <w:pStyle w:val="TableParagraph"/>
              <w:spacing w:before="64"/>
              <w:ind w:left="59" w:right="-15"/>
              <w:jc w:val="center"/>
              <w:rPr>
                <w:sz w:val="18"/>
              </w:rPr>
            </w:pPr>
            <w:r>
              <w:rPr>
                <w:spacing w:val="-7"/>
                <w:sz w:val="18"/>
              </w:rPr>
              <w:t>Average</w:t>
            </w:r>
          </w:p>
        </w:tc>
        <w:tc>
          <w:tcPr>
            <w:tcW w:w="2844" w:type="dxa"/>
            <w:tcBorders>
              <w:left w:val="single" w:sz="4" w:space="0" w:color="000000"/>
            </w:tcBorders>
          </w:tcPr>
          <w:p>
            <w:pPr>
              <w:pStyle w:val="TableParagraph"/>
              <w:spacing w:line="260" w:lineRule="atLeast" w:before="11"/>
              <w:ind w:left="59" w:right="26"/>
              <w:jc w:val="both"/>
              <w:rPr>
                <w:sz w:val="18"/>
              </w:rPr>
            </w:pPr>
            <w:r>
              <w:rPr>
                <w:sz w:val="18"/>
              </w:rPr>
              <w:t>Previous-year pre-veraison </w:t>
            </w:r>
            <w:r>
              <w:rPr>
                <w:sz w:val="18"/>
              </w:rPr>
              <w:t>tempera-ture, mid-ripening thermal conditions in prior season</w:t>
            </w:r>
          </w:p>
        </w:tc>
      </w:tr>
      <w:tr>
        <w:trPr>
          <w:trHeight w:val="877" w:hRule="atLeast"/>
        </w:trPr>
        <w:tc>
          <w:tcPr>
            <w:tcW w:w="1371" w:type="dxa"/>
            <w:tcBorders>
              <w:right w:val="single" w:sz="4" w:space="0" w:color="000000"/>
            </w:tcBorders>
          </w:tcPr>
          <w:p>
            <w:pPr>
              <w:pStyle w:val="TableParagraph"/>
              <w:spacing w:before="64"/>
              <w:ind w:left="59"/>
              <w:rPr>
                <w:sz w:val="18"/>
              </w:rPr>
            </w:pPr>
            <w:r>
              <w:rPr>
                <w:spacing w:val="-2"/>
                <w:sz w:val="18"/>
              </w:rPr>
              <w:t>tm_hv_y1_c10</w:t>
            </w:r>
          </w:p>
        </w:tc>
        <w:tc>
          <w:tcPr>
            <w:tcW w:w="978" w:type="dxa"/>
            <w:tcBorders>
              <w:left w:val="single" w:sz="4" w:space="0" w:color="000000"/>
              <w:right w:val="single" w:sz="4" w:space="0" w:color="000000"/>
            </w:tcBorders>
          </w:tcPr>
          <w:p>
            <w:pPr>
              <w:pStyle w:val="TableParagraph"/>
              <w:spacing w:line="307" w:lineRule="auto" w:before="64"/>
              <w:ind w:left="58"/>
              <w:rPr>
                <w:sz w:val="18"/>
              </w:rPr>
            </w:pPr>
            <w:r>
              <w:rPr>
                <w:sz w:val="18"/>
              </w:rPr>
              <w:t>Mean</w:t>
            </w:r>
            <w:r>
              <w:rPr>
                <w:spacing w:val="40"/>
                <w:sz w:val="18"/>
              </w:rPr>
              <w:t> </w:t>
            </w:r>
            <w:r>
              <w:rPr>
                <w:sz w:val="18"/>
              </w:rPr>
              <w:t>tem-</w:t>
            </w:r>
            <w:r>
              <w:rPr>
                <w:spacing w:val="-2"/>
                <w:sz w:val="18"/>
              </w:rPr>
              <w:t>perature</w:t>
            </w:r>
          </w:p>
        </w:tc>
        <w:tc>
          <w:tcPr>
            <w:tcW w:w="808" w:type="dxa"/>
            <w:tcBorders>
              <w:left w:val="single" w:sz="4" w:space="0" w:color="000000"/>
              <w:right w:val="single" w:sz="4" w:space="0" w:color="000000"/>
            </w:tcBorders>
          </w:tcPr>
          <w:p>
            <w:pPr>
              <w:pStyle w:val="TableParagraph"/>
              <w:spacing w:before="64"/>
              <w:ind w:left="58"/>
              <w:rPr>
                <w:sz w:val="18"/>
              </w:rPr>
            </w:pPr>
            <w:r>
              <w:rPr>
                <w:spacing w:val="-2"/>
                <w:sz w:val="18"/>
              </w:rPr>
              <w:t>Harvest</w:t>
            </w:r>
          </w:p>
        </w:tc>
        <w:tc>
          <w:tcPr>
            <w:tcW w:w="354" w:type="dxa"/>
            <w:tcBorders>
              <w:left w:val="single" w:sz="4" w:space="0" w:color="000000"/>
              <w:right w:val="single" w:sz="4" w:space="0" w:color="000000"/>
            </w:tcBorders>
          </w:tcPr>
          <w:p>
            <w:pPr>
              <w:pStyle w:val="TableParagraph"/>
              <w:spacing w:before="64"/>
              <w:ind w:right="46"/>
              <w:jc w:val="center"/>
              <w:rPr>
                <w:sz w:val="18"/>
              </w:rPr>
            </w:pPr>
            <w:r>
              <w:rPr>
                <w:spacing w:val="-5"/>
                <w:sz w:val="18"/>
              </w:rPr>
              <w:t>y1</w:t>
            </w:r>
          </w:p>
        </w:tc>
        <w:tc>
          <w:tcPr>
            <w:tcW w:w="921" w:type="dxa"/>
            <w:tcBorders>
              <w:left w:val="single" w:sz="4" w:space="0" w:color="000000"/>
              <w:right w:val="single" w:sz="4" w:space="0" w:color="000000"/>
            </w:tcBorders>
          </w:tcPr>
          <w:p>
            <w:pPr>
              <w:pStyle w:val="TableParagraph"/>
              <w:spacing w:before="64"/>
              <w:ind w:left="58"/>
              <w:rPr>
                <w:sz w:val="18"/>
              </w:rPr>
            </w:pPr>
            <w:r>
              <w:rPr>
                <w:spacing w:val="-2"/>
                <w:sz w:val="18"/>
              </w:rPr>
              <w:t>centred</w:t>
            </w:r>
          </w:p>
          <w:p>
            <w:pPr>
              <w:pStyle w:val="TableParagraph"/>
              <w:spacing w:before="5"/>
              <w:ind w:left="58"/>
              <w:rPr>
                <w:sz w:val="18"/>
              </w:rPr>
            </w:pPr>
            <w:r>
              <w:rPr>
                <w:rFonts w:ascii="Meiryo UI" w:hAnsi="Meiryo UI"/>
                <w:i/>
                <w:spacing w:val="-4"/>
                <w:sz w:val="18"/>
              </w:rPr>
              <w:t>±</w:t>
            </w:r>
            <w:r>
              <w:rPr>
                <w:spacing w:val="-4"/>
                <w:sz w:val="18"/>
              </w:rPr>
              <w:t>10d</w:t>
            </w:r>
          </w:p>
        </w:tc>
        <w:tc>
          <w:tcPr>
            <w:tcW w:w="524" w:type="dxa"/>
            <w:tcBorders>
              <w:left w:val="single" w:sz="4" w:space="0" w:color="000000"/>
              <w:right w:val="single" w:sz="4" w:space="0" w:color="000000"/>
            </w:tcBorders>
          </w:tcPr>
          <w:p>
            <w:pPr>
              <w:pStyle w:val="TableParagraph"/>
              <w:numPr>
                <w:ilvl w:val="0"/>
                <w:numId w:val="51"/>
              </w:numPr>
              <w:tabs>
                <w:tab w:pos="136" w:val="left" w:leader="none"/>
              </w:tabs>
              <w:spacing w:line="232" w:lineRule="auto" w:before="0" w:after="0"/>
              <w:ind w:left="136" w:right="0" w:hanging="78"/>
              <w:jc w:val="left"/>
              <w:rPr>
                <w:position w:val="-6"/>
                <w:sz w:val="18"/>
              </w:rPr>
            </w:pPr>
            <w:r>
              <w:rPr>
                <w:spacing w:val="-10"/>
                <w:position w:val="-6"/>
                <w:sz w:val="18"/>
              </w:rPr>
              <w:t>C</w:t>
            </w:r>
          </w:p>
        </w:tc>
        <w:tc>
          <w:tcPr>
            <w:tcW w:w="637" w:type="dxa"/>
            <w:tcBorders>
              <w:left w:val="single" w:sz="4" w:space="0" w:color="000000"/>
              <w:right w:val="single" w:sz="4" w:space="0" w:color="000000"/>
            </w:tcBorders>
          </w:tcPr>
          <w:p>
            <w:pPr>
              <w:pStyle w:val="TableParagraph"/>
              <w:spacing w:before="64"/>
              <w:ind w:left="59" w:right="-15"/>
              <w:jc w:val="center"/>
              <w:rPr>
                <w:sz w:val="18"/>
              </w:rPr>
            </w:pPr>
            <w:r>
              <w:rPr>
                <w:spacing w:val="-7"/>
                <w:sz w:val="18"/>
              </w:rPr>
              <w:t>Average</w:t>
            </w:r>
          </w:p>
        </w:tc>
        <w:tc>
          <w:tcPr>
            <w:tcW w:w="2844" w:type="dxa"/>
            <w:tcBorders>
              <w:left w:val="single" w:sz="4" w:space="0" w:color="000000"/>
            </w:tcBorders>
          </w:tcPr>
          <w:p>
            <w:pPr>
              <w:pStyle w:val="TableParagraph"/>
              <w:spacing w:line="260" w:lineRule="atLeast" w:before="11"/>
              <w:ind w:left="59" w:right="55"/>
              <w:jc w:val="both"/>
              <w:rPr>
                <w:sz w:val="18"/>
              </w:rPr>
            </w:pPr>
            <w:r>
              <w:rPr>
                <w:sz w:val="18"/>
              </w:rPr>
              <w:t>Temperature</w:t>
            </w:r>
            <w:r>
              <w:rPr>
                <w:spacing w:val="-10"/>
                <w:sz w:val="18"/>
              </w:rPr>
              <w:t> </w:t>
            </w:r>
            <w:r>
              <w:rPr>
                <w:sz w:val="18"/>
              </w:rPr>
              <w:t>at</w:t>
            </w:r>
            <w:r>
              <w:rPr>
                <w:spacing w:val="-10"/>
                <w:sz w:val="18"/>
              </w:rPr>
              <w:t> </w:t>
            </w:r>
            <w:r>
              <w:rPr>
                <w:sz w:val="18"/>
              </w:rPr>
              <w:t>harvest,</w:t>
            </w:r>
            <w:r>
              <w:rPr>
                <w:spacing w:val="-10"/>
                <w:sz w:val="18"/>
              </w:rPr>
              <w:t> </w:t>
            </w:r>
            <w:r>
              <w:rPr>
                <w:sz w:val="18"/>
              </w:rPr>
              <w:t>final</w:t>
            </w:r>
            <w:r>
              <w:rPr>
                <w:spacing w:val="-10"/>
                <w:sz w:val="18"/>
              </w:rPr>
              <w:t> </w:t>
            </w:r>
            <w:r>
              <w:rPr>
                <w:sz w:val="18"/>
              </w:rPr>
              <w:t>ripening </w:t>
            </w:r>
            <w:r>
              <w:rPr>
                <w:spacing w:val="-2"/>
                <w:sz w:val="18"/>
              </w:rPr>
              <w:t>conditions;</w:t>
            </w:r>
            <w:r>
              <w:rPr>
                <w:spacing w:val="-10"/>
                <w:sz w:val="18"/>
              </w:rPr>
              <w:t> </w:t>
            </w:r>
            <w:r>
              <w:rPr>
                <w:spacing w:val="-2"/>
                <w:sz w:val="18"/>
              </w:rPr>
              <w:t>warmer</w:t>
            </w:r>
            <w:r>
              <w:rPr>
                <w:spacing w:val="-9"/>
                <w:sz w:val="18"/>
              </w:rPr>
              <w:t> </w:t>
            </w:r>
            <w:r>
              <w:rPr>
                <w:spacing w:val="-2"/>
                <w:sz w:val="18"/>
              </w:rPr>
              <w:t>harvest</w:t>
            </w:r>
            <w:r>
              <w:rPr>
                <w:spacing w:val="-9"/>
                <w:sz w:val="18"/>
              </w:rPr>
              <w:t> </w:t>
            </w:r>
            <w:r>
              <w:rPr>
                <w:spacing w:val="-2"/>
                <w:sz w:val="18"/>
              </w:rPr>
              <w:t>accelerates </w:t>
            </w:r>
            <w:r>
              <w:rPr>
                <w:sz w:val="18"/>
              </w:rPr>
              <w:t>sugar accumulation</w:t>
            </w:r>
          </w:p>
        </w:tc>
      </w:tr>
      <w:tr>
        <w:trPr>
          <w:trHeight w:val="877" w:hRule="atLeast"/>
        </w:trPr>
        <w:tc>
          <w:tcPr>
            <w:tcW w:w="1371" w:type="dxa"/>
            <w:tcBorders>
              <w:right w:val="single" w:sz="4" w:space="0" w:color="000000"/>
            </w:tcBorders>
          </w:tcPr>
          <w:p>
            <w:pPr>
              <w:pStyle w:val="TableParagraph"/>
              <w:spacing w:before="64"/>
              <w:ind w:left="59"/>
              <w:rPr>
                <w:sz w:val="18"/>
              </w:rPr>
            </w:pPr>
            <w:r>
              <w:rPr>
                <w:spacing w:val="-2"/>
                <w:sz w:val="18"/>
              </w:rPr>
              <w:t>tm_hv_y1_b20</w:t>
            </w:r>
          </w:p>
        </w:tc>
        <w:tc>
          <w:tcPr>
            <w:tcW w:w="978" w:type="dxa"/>
            <w:tcBorders>
              <w:left w:val="single" w:sz="4" w:space="0" w:color="000000"/>
              <w:right w:val="single" w:sz="4" w:space="0" w:color="000000"/>
            </w:tcBorders>
          </w:tcPr>
          <w:p>
            <w:pPr>
              <w:pStyle w:val="TableParagraph"/>
              <w:spacing w:line="307" w:lineRule="auto" w:before="64"/>
              <w:ind w:left="58"/>
              <w:rPr>
                <w:sz w:val="18"/>
              </w:rPr>
            </w:pPr>
            <w:r>
              <w:rPr>
                <w:sz w:val="18"/>
              </w:rPr>
              <w:t>Mean</w:t>
            </w:r>
            <w:r>
              <w:rPr>
                <w:spacing w:val="40"/>
                <w:sz w:val="18"/>
              </w:rPr>
              <w:t> </w:t>
            </w:r>
            <w:r>
              <w:rPr>
                <w:sz w:val="18"/>
              </w:rPr>
              <w:t>tem-</w:t>
            </w:r>
            <w:r>
              <w:rPr>
                <w:spacing w:val="-2"/>
                <w:sz w:val="18"/>
              </w:rPr>
              <w:t>perature</w:t>
            </w:r>
          </w:p>
        </w:tc>
        <w:tc>
          <w:tcPr>
            <w:tcW w:w="808" w:type="dxa"/>
            <w:tcBorders>
              <w:left w:val="single" w:sz="4" w:space="0" w:color="000000"/>
              <w:right w:val="single" w:sz="4" w:space="0" w:color="000000"/>
            </w:tcBorders>
          </w:tcPr>
          <w:p>
            <w:pPr>
              <w:pStyle w:val="TableParagraph"/>
              <w:spacing w:before="64"/>
              <w:ind w:left="58"/>
              <w:rPr>
                <w:sz w:val="18"/>
              </w:rPr>
            </w:pPr>
            <w:r>
              <w:rPr>
                <w:spacing w:val="-2"/>
                <w:sz w:val="18"/>
              </w:rPr>
              <w:t>Harvest</w:t>
            </w:r>
          </w:p>
        </w:tc>
        <w:tc>
          <w:tcPr>
            <w:tcW w:w="354" w:type="dxa"/>
            <w:tcBorders>
              <w:left w:val="single" w:sz="4" w:space="0" w:color="000000"/>
              <w:right w:val="single" w:sz="4" w:space="0" w:color="000000"/>
            </w:tcBorders>
          </w:tcPr>
          <w:p>
            <w:pPr>
              <w:pStyle w:val="TableParagraph"/>
              <w:spacing w:before="64"/>
              <w:ind w:right="46"/>
              <w:jc w:val="center"/>
              <w:rPr>
                <w:sz w:val="18"/>
              </w:rPr>
            </w:pPr>
            <w:r>
              <w:rPr>
                <w:spacing w:val="-5"/>
                <w:sz w:val="18"/>
              </w:rPr>
              <w:t>y1</w:t>
            </w:r>
          </w:p>
        </w:tc>
        <w:tc>
          <w:tcPr>
            <w:tcW w:w="921" w:type="dxa"/>
            <w:tcBorders>
              <w:left w:val="single" w:sz="4" w:space="0" w:color="000000"/>
              <w:right w:val="single" w:sz="4" w:space="0" w:color="000000"/>
            </w:tcBorders>
          </w:tcPr>
          <w:p>
            <w:pPr>
              <w:pStyle w:val="TableParagraph"/>
              <w:spacing w:before="64"/>
              <w:ind w:left="58"/>
              <w:rPr>
                <w:sz w:val="18"/>
              </w:rPr>
            </w:pPr>
            <w:r>
              <w:rPr>
                <w:sz w:val="18"/>
              </w:rPr>
              <w:t>20d</w:t>
            </w:r>
            <w:r>
              <w:rPr>
                <w:spacing w:val="-4"/>
                <w:sz w:val="18"/>
              </w:rPr>
              <w:t> </w:t>
            </w:r>
            <w:r>
              <w:rPr>
                <w:spacing w:val="-2"/>
                <w:sz w:val="18"/>
              </w:rPr>
              <w:t>before</w:t>
            </w:r>
          </w:p>
        </w:tc>
        <w:tc>
          <w:tcPr>
            <w:tcW w:w="524" w:type="dxa"/>
            <w:tcBorders>
              <w:left w:val="single" w:sz="4" w:space="0" w:color="000000"/>
              <w:right w:val="single" w:sz="4" w:space="0" w:color="000000"/>
            </w:tcBorders>
          </w:tcPr>
          <w:p>
            <w:pPr>
              <w:pStyle w:val="TableParagraph"/>
              <w:numPr>
                <w:ilvl w:val="0"/>
                <w:numId w:val="52"/>
              </w:numPr>
              <w:tabs>
                <w:tab w:pos="136" w:val="left" w:leader="none"/>
              </w:tabs>
              <w:spacing w:line="232" w:lineRule="auto" w:before="0" w:after="0"/>
              <w:ind w:left="136" w:right="0" w:hanging="78"/>
              <w:jc w:val="left"/>
              <w:rPr>
                <w:position w:val="-6"/>
                <w:sz w:val="18"/>
              </w:rPr>
            </w:pPr>
            <w:r>
              <w:rPr>
                <w:spacing w:val="-10"/>
                <w:position w:val="-6"/>
                <w:sz w:val="18"/>
              </w:rPr>
              <w:t>C</w:t>
            </w:r>
          </w:p>
        </w:tc>
        <w:tc>
          <w:tcPr>
            <w:tcW w:w="637" w:type="dxa"/>
            <w:tcBorders>
              <w:left w:val="single" w:sz="4" w:space="0" w:color="000000"/>
              <w:right w:val="single" w:sz="4" w:space="0" w:color="000000"/>
            </w:tcBorders>
          </w:tcPr>
          <w:p>
            <w:pPr>
              <w:pStyle w:val="TableParagraph"/>
              <w:spacing w:before="64"/>
              <w:ind w:left="59" w:right="-15"/>
              <w:jc w:val="center"/>
              <w:rPr>
                <w:sz w:val="18"/>
              </w:rPr>
            </w:pPr>
            <w:r>
              <w:rPr>
                <w:spacing w:val="-7"/>
                <w:sz w:val="18"/>
              </w:rPr>
              <w:t>Average</w:t>
            </w:r>
          </w:p>
        </w:tc>
        <w:tc>
          <w:tcPr>
            <w:tcW w:w="2844" w:type="dxa"/>
            <w:tcBorders>
              <w:left w:val="single" w:sz="4" w:space="0" w:color="000000"/>
            </w:tcBorders>
          </w:tcPr>
          <w:p>
            <w:pPr>
              <w:pStyle w:val="TableParagraph"/>
              <w:spacing w:line="260" w:lineRule="atLeast" w:before="11"/>
              <w:ind w:left="59" w:right="26"/>
              <w:jc w:val="both"/>
              <w:rPr>
                <w:sz w:val="18"/>
              </w:rPr>
            </w:pPr>
            <w:r>
              <w:rPr>
                <w:sz w:val="18"/>
              </w:rPr>
              <w:t>Pre-harvest temperature, late-season thermal driver of final berry </w:t>
            </w:r>
            <w:r>
              <w:rPr>
                <w:sz w:val="18"/>
              </w:rPr>
              <w:t>matura-</w:t>
            </w:r>
            <w:r>
              <w:rPr>
                <w:spacing w:val="-4"/>
                <w:sz w:val="18"/>
              </w:rPr>
              <w:t>tion</w:t>
            </w:r>
          </w:p>
        </w:tc>
      </w:tr>
      <w:tr>
        <w:trPr>
          <w:trHeight w:val="877" w:hRule="atLeast"/>
        </w:trPr>
        <w:tc>
          <w:tcPr>
            <w:tcW w:w="1371" w:type="dxa"/>
            <w:tcBorders>
              <w:right w:val="single" w:sz="4" w:space="0" w:color="000000"/>
            </w:tcBorders>
          </w:tcPr>
          <w:p>
            <w:pPr>
              <w:pStyle w:val="TableParagraph"/>
              <w:spacing w:before="64"/>
              <w:ind w:left="59"/>
              <w:rPr>
                <w:sz w:val="18"/>
              </w:rPr>
            </w:pPr>
            <w:r>
              <w:rPr>
                <w:spacing w:val="-2"/>
                <w:sz w:val="18"/>
              </w:rPr>
              <w:t>tm_fl_y0_b10</w:t>
            </w:r>
          </w:p>
        </w:tc>
        <w:tc>
          <w:tcPr>
            <w:tcW w:w="978" w:type="dxa"/>
            <w:tcBorders>
              <w:left w:val="single" w:sz="4" w:space="0" w:color="000000"/>
              <w:right w:val="single" w:sz="4" w:space="0" w:color="000000"/>
            </w:tcBorders>
          </w:tcPr>
          <w:p>
            <w:pPr>
              <w:pStyle w:val="TableParagraph"/>
              <w:spacing w:line="307" w:lineRule="auto" w:before="64"/>
              <w:ind w:left="58"/>
              <w:rPr>
                <w:sz w:val="18"/>
              </w:rPr>
            </w:pPr>
            <w:r>
              <w:rPr>
                <w:sz w:val="18"/>
              </w:rPr>
              <w:t>Mean</w:t>
            </w:r>
            <w:r>
              <w:rPr>
                <w:spacing w:val="40"/>
                <w:sz w:val="18"/>
              </w:rPr>
              <w:t> </w:t>
            </w:r>
            <w:r>
              <w:rPr>
                <w:sz w:val="18"/>
              </w:rPr>
              <w:t>tem-</w:t>
            </w:r>
            <w:r>
              <w:rPr>
                <w:spacing w:val="-2"/>
                <w:sz w:val="18"/>
              </w:rPr>
              <w:t>perature</w:t>
            </w:r>
          </w:p>
        </w:tc>
        <w:tc>
          <w:tcPr>
            <w:tcW w:w="808" w:type="dxa"/>
            <w:tcBorders>
              <w:left w:val="single" w:sz="4" w:space="0" w:color="000000"/>
              <w:right w:val="single" w:sz="4" w:space="0" w:color="000000"/>
            </w:tcBorders>
          </w:tcPr>
          <w:p>
            <w:pPr>
              <w:pStyle w:val="TableParagraph"/>
              <w:spacing w:before="64"/>
              <w:ind w:left="58"/>
              <w:rPr>
                <w:sz w:val="18"/>
              </w:rPr>
            </w:pPr>
            <w:r>
              <w:rPr>
                <w:spacing w:val="-2"/>
                <w:sz w:val="18"/>
              </w:rPr>
              <w:t>Flowering</w:t>
            </w:r>
          </w:p>
        </w:tc>
        <w:tc>
          <w:tcPr>
            <w:tcW w:w="354" w:type="dxa"/>
            <w:tcBorders>
              <w:left w:val="single" w:sz="4" w:space="0" w:color="000000"/>
              <w:right w:val="single" w:sz="4" w:space="0" w:color="000000"/>
            </w:tcBorders>
          </w:tcPr>
          <w:p>
            <w:pPr>
              <w:pStyle w:val="TableParagraph"/>
              <w:spacing w:before="64"/>
              <w:ind w:right="46"/>
              <w:jc w:val="center"/>
              <w:rPr>
                <w:sz w:val="18"/>
              </w:rPr>
            </w:pPr>
            <w:r>
              <w:rPr>
                <w:spacing w:val="-5"/>
                <w:sz w:val="18"/>
              </w:rPr>
              <w:t>y0</w:t>
            </w:r>
          </w:p>
        </w:tc>
        <w:tc>
          <w:tcPr>
            <w:tcW w:w="921" w:type="dxa"/>
            <w:tcBorders>
              <w:left w:val="single" w:sz="4" w:space="0" w:color="000000"/>
              <w:right w:val="single" w:sz="4" w:space="0" w:color="000000"/>
            </w:tcBorders>
          </w:tcPr>
          <w:p>
            <w:pPr>
              <w:pStyle w:val="TableParagraph"/>
              <w:spacing w:line="307" w:lineRule="auto" w:before="64"/>
              <w:ind w:left="58"/>
              <w:rPr>
                <w:sz w:val="18"/>
              </w:rPr>
            </w:pPr>
            <w:r>
              <w:rPr>
                <w:sz w:val="18"/>
              </w:rPr>
              <w:t>10d</w:t>
            </w:r>
            <w:r>
              <w:rPr>
                <w:spacing w:val="-12"/>
                <w:sz w:val="18"/>
              </w:rPr>
              <w:t> </w:t>
            </w:r>
            <w:r>
              <w:rPr>
                <w:sz w:val="18"/>
              </w:rPr>
              <w:t>before prev. yr</w:t>
            </w:r>
          </w:p>
        </w:tc>
        <w:tc>
          <w:tcPr>
            <w:tcW w:w="524" w:type="dxa"/>
            <w:tcBorders>
              <w:left w:val="single" w:sz="4" w:space="0" w:color="000000"/>
              <w:right w:val="single" w:sz="4" w:space="0" w:color="000000"/>
            </w:tcBorders>
          </w:tcPr>
          <w:p>
            <w:pPr>
              <w:pStyle w:val="TableParagraph"/>
              <w:numPr>
                <w:ilvl w:val="0"/>
                <w:numId w:val="53"/>
              </w:numPr>
              <w:tabs>
                <w:tab w:pos="136" w:val="left" w:leader="none"/>
              </w:tabs>
              <w:spacing w:line="232" w:lineRule="auto" w:before="0" w:after="0"/>
              <w:ind w:left="136" w:right="0" w:hanging="78"/>
              <w:jc w:val="left"/>
              <w:rPr>
                <w:position w:val="-6"/>
                <w:sz w:val="18"/>
              </w:rPr>
            </w:pPr>
            <w:r>
              <w:rPr>
                <w:spacing w:val="-10"/>
                <w:position w:val="-6"/>
                <w:sz w:val="18"/>
              </w:rPr>
              <w:t>C</w:t>
            </w:r>
          </w:p>
        </w:tc>
        <w:tc>
          <w:tcPr>
            <w:tcW w:w="637" w:type="dxa"/>
            <w:tcBorders>
              <w:left w:val="single" w:sz="4" w:space="0" w:color="000000"/>
              <w:right w:val="single" w:sz="4" w:space="0" w:color="000000"/>
            </w:tcBorders>
          </w:tcPr>
          <w:p>
            <w:pPr>
              <w:pStyle w:val="TableParagraph"/>
              <w:spacing w:before="64"/>
              <w:ind w:left="59" w:right="-15"/>
              <w:jc w:val="center"/>
              <w:rPr>
                <w:sz w:val="18"/>
              </w:rPr>
            </w:pPr>
            <w:r>
              <w:rPr>
                <w:spacing w:val="-7"/>
                <w:sz w:val="18"/>
              </w:rPr>
              <w:t>Average</w:t>
            </w:r>
          </w:p>
        </w:tc>
        <w:tc>
          <w:tcPr>
            <w:tcW w:w="2844" w:type="dxa"/>
            <w:tcBorders>
              <w:left w:val="single" w:sz="4" w:space="0" w:color="000000"/>
            </w:tcBorders>
          </w:tcPr>
          <w:p>
            <w:pPr>
              <w:pStyle w:val="TableParagraph"/>
              <w:spacing w:line="260" w:lineRule="atLeast" w:before="11"/>
              <w:ind w:left="59" w:right="26"/>
              <w:jc w:val="both"/>
              <w:rPr>
                <w:sz w:val="18"/>
              </w:rPr>
            </w:pPr>
            <w:r>
              <w:rPr>
                <w:sz w:val="18"/>
              </w:rPr>
              <w:t>Previous-year</w:t>
            </w:r>
            <w:r>
              <w:rPr>
                <w:spacing w:val="-3"/>
                <w:sz w:val="18"/>
              </w:rPr>
              <w:t> </w:t>
            </w:r>
            <w:r>
              <w:rPr>
                <w:sz w:val="18"/>
              </w:rPr>
              <w:t>pre-flowering</w:t>
            </w:r>
            <w:r>
              <w:rPr>
                <w:spacing w:val="-3"/>
                <w:sz w:val="18"/>
              </w:rPr>
              <w:t> </w:t>
            </w:r>
            <w:r>
              <w:rPr>
                <w:sz w:val="18"/>
              </w:rPr>
              <w:t>tempera-ture, key driver of inflorescence pri-mordia differentiation</w:t>
            </w:r>
          </w:p>
        </w:tc>
      </w:tr>
      <w:tr>
        <w:trPr>
          <w:trHeight w:val="877" w:hRule="atLeast"/>
        </w:trPr>
        <w:tc>
          <w:tcPr>
            <w:tcW w:w="1371" w:type="dxa"/>
            <w:tcBorders>
              <w:right w:val="single" w:sz="4" w:space="0" w:color="000000"/>
            </w:tcBorders>
          </w:tcPr>
          <w:p>
            <w:pPr>
              <w:pStyle w:val="TableParagraph"/>
              <w:spacing w:before="64"/>
              <w:ind w:left="59"/>
              <w:rPr>
                <w:sz w:val="18"/>
              </w:rPr>
            </w:pPr>
            <w:r>
              <w:rPr>
                <w:spacing w:val="-2"/>
                <w:sz w:val="18"/>
              </w:rPr>
              <w:t>tm_fl_y0_a10</w:t>
            </w:r>
          </w:p>
        </w:tc>
        <w:tc>
          <w:tcPr>
            <w:tcW w:w="978" w:type="dxa"/>
            <w:tcBorders>
              <w:left w:val="single" w:sz="4" w:space="0" w:color="000000"/>
              <w:right w:val="single" w:sz="4" w:space="0" w:color="000000"/>
            </w:tcBorders>
          </w:tcPr>
          <w:p>
            <w:pPr>
              <w:pStyle w:val="TableParagraph"/>
              <w:spacing w:line="307" w:lineRule="auto" w:before="64"/>
              <w:ind w:left="58"/>
              <w:rPr>
                <w:sz w:val="18"/>
              </w:rPr>
            </w:pPr>
            <w:r>
              <w:rPr>
                <w:sz w:val="18"/>
              </w:rPr>
              <w:t>Mean</w:t>
            </w:r>
            <w:r>
              <w:rPr>
                <w:spacing w:val="40"/>
                <w:sz w:val="18"/>
              </w:rPr>
              <w:t> </w:t>
            </w:r>
            <w:r>
              <w:rPr>
                <w:sz w:val="18"/>
              </w:rPr>
              <w:t>tem-</w:t>
            </w:r>
            <w:r>
              <w:rPr>
                <w:spacing w:val="-2"/>
                <w:sz w:val="18"/>
              </w:rPr>
              <w:t>perature</w:t>
            </w:r>
          </w:p>
        </w:tc>
        <w:tc>
          <w:tcPr>
            <w:tcW w:w="808" w:type="dxa"/>
            <w:tcBorders>
              <w:left w:val="single" w:sz="4" w:space="0" w:color="000000"/>
              <w:right w:val="single" w:sz="4" w:space="0" w:color="000000"/>
            </w:tcBorders>
          </w:tcPr>
          <w:p>
            <w:pPr>
              <w:pStyle w:val="TableParagraph"/>
              <w:spacing w:before="64"/>
              <w:ind w:left="58"/>
              <w:rPr>
                <w:sz w:val="18"/>
              </w:rPr>
            </w:pPr>
            <w:r>
              <w:rPr>
                <w:spacing w:val="-2"/>
                <w:sz w:val="18"/>
              </w:rPr>
              <w:t>Flowering</w:t>
            </w:r>
          </w:p>
        </w:tc>
        <w:tc>
          <w:tcPr>
            <w:tcW w:w="354" w:type="dxa"/>
            <w:tcBorders>
              <w:left w:val="single" w:sz="4" w:space="0" w:color="000000"/>
              <w:right w:val="single" w:sz="4" w:space="0" w:color="000000"/>
            </w:tcBorders>
          </w:tcPr>
          <w:p>
            <w:pPr>
              <w:pStyle w:val="TableParagraph"/>
              <w:spacing w:before="64"/>
              <w:ind w:right="46"/>
              <w:jc w:val="center"/>
              <w:rPr>
                <w:sz w:val="18"/>
              </w:rPr>
            </w:pPr>
            <w:r>
              <w:rPr>
                <w:spacing w:val="-5"/>
                <w:sz w:val="18"/>
              </w:rPr>
              <w:t>y0</w:t>
            </w:r>
          </w:p>
        </w:tc>
        <w:tc>
          <w:tcPr>
            <w:tcW w:w="921" w:type="dxa"/>
            <w:tcBorders>
              <w:left w:val="single" w:sz="4" w:space="0" w:color="000000"/>
              <w:right w:val="single" w:sz="4" w:space="0" w:color="000000"/>
            </w:tcBorders>
          </w:tcPr>
          <w:p>
            <w:pPr>
              <w:pStyle w:val="TableParagraph"/>
              <w:spacing w:line="307" w:lineRule="auto" w:before="64"/>
              <w:ind w:left="58"/>
              <w:rPr>
                <w:sz w:val="18"/>
              </w:rPr>
            </w:pPr>
            <w:r>
              <w:rPr>
                <w:sz w:val="18"/>
              </w:rPr>
              <w:t>10d</w:t>
            </w:r>
            <w:r>
              <w:rPr>
                <w:spacing w:val="80"/>
                <w:sz w:val="18"/>
              </w:rPr>
              <w:t> </w:t>
            </w:r>
            <w:r>
              <w:rPr>
                <w:sz w:val="18"/>
              </w:rPr>
              <w:t>after prev. yr</w:t>
            </w:r>
          </w:p>
        </w:tc>
        <w:tc>
          <w:tcPr>
            <w:tcW w:w="524" w:type="dxa"/>
            <w:tcBorders>
              <w:left w:val="single" w:sz="4" w:space="0" w:color="000000"/>
              <w:right w:val="single" w:sz="4" w:space="0" w:color="000000"/>
            </w:tcBorders>
          </w:tcPr>
          <w:p>
            <w:pPr>
              <w:pStyle w:val="TableParagraph"/>
              <w:numPr>
                <w:ilvl w:val="0"/>
                <w:numId w:val="54"/>
              </w:numPr>
              <w:tabs>
                <w:tab w:pos="136" w:val="left" w:leader="none"/>
              </w:tabs>
              <w:spacing w:line="232" w:lineRule="auto" w:before="0" w:after="0"/>
              <w:ind w:left="136" w:right="0" w:hanging="78"/>
              <w:jc w:val="left"/>
              <w:rPr>
                <w:position w:val="-6"/>
                <w:sz w:val="18"/>
              </w:rPr>
            </w:pPr>
            <w:r>
              <w:rPr>
                <w:spacing w:val="-10"/>
                <w:position w:val="-6"/>
                <w:sz w:val="18"/>
              </w:rPr>
              <w:t>C</w:t>
            </w:r>
          </w:p>
        </w:tc>
        <w:tc>
          <w:tcPr>
            <w:tcW w:w="637" w:type="dxa"/>
            <w:tcBorders>
              <w:left w:val="single" w:sz="4" w:space="0" w:color="000000"/>
              <w:right w:val="single" w:sz="4" w:space="0" w:color="000000"/>
            </w:tcBorders>
          </w:tcPr>
          <w:p>
            <w:pPr>
              <w:pStyle w:val="TableParagraph"/>
              <w:spacing w:before="64"/>
              <w:ind w:left="59" w:right="-15"/>
              <w:jc w:val="center"/>
              <w:rPr>
                <w:sz w:val="18"/>
              </w:rPr>
            </w:pPr>
            <w:r>
              <w:rPr>
                <w:spacing w:val="-7"/>
                <w:sz w:val="18"/>
              </w:rPr>
              <w:t>Average</w:t>
            </w:r>
          </w:p>
        </w:tc>
        <w:tc>
          <w:tcPr>
            <w:tcW w:w="2844" w:type="dxa"/>
            <w:tcBorders>
              <w:left w:val="single" w:sz="4" w:space="0" w:color="000000"/>
            </w:tcBorders>
          </w:tcPr>
          <w:p>
            <w:pPr>
              <w:pStyle w:val="TableParagraph"/>
              <w:spacing w:line="260" w:lineRule="atLeast" w:before="11"/>
              <w:ind w:left="59" w:right="26"/>
              <w:jc w:val="both"/>
              <w:rPr>
                <w:sz w:val="18"/>
              </w:rPr>
            </w:pPr>
            <w:r>
              <w:rPr>
                <w:spacing w:val="-2"/>
                <w:sz w:val="18"/>
              </w:rPr>
              <w:t>Previous-year</w:t>
            </w:r>
            <w:r>
              <w:rPr>
                <w:spacing w:val="-3"/>
                <w:sz w:val="18"/>
              </w:rPr>
              <w:t> </w:t>
            </w:r>
            <w:r>
              <w:rPr>
                <w:spacing w:val="-2"/>
                <w:sz w:val="18"/>
              </w:rPr>
              <w:t>post-flowering</w:t>
            </w:r>
            <w:r>
              <w:rPr>
                <w:spacing w:val="-3"/>
                <w:sz w:val="18"/>
              </w:rPr>
              <w:t> </w:t>
            </w:r>
            <w:r>
              <w:rPr>
                <w:spacing w:val="-2"/>
                <w:sz w:val="18"/>
              </w:rPr>
              <w:t>tempera-</w:t>
            </w:r>
            <w:r>
              <w:rPr>
                <w:sz w:val="18"/>
              </w:rPr>
              <w:t>ture, affects fruit set and bunch archi-tecture for current year</w:t>
            </w:r>
          </w:p>
        </w:tc>
      </w:tr>
      <w:tr>
        <w:trPr>
          <w:trHeight w:val="1169" w:hRule="atLeast"/>
        </w:trPr>
        <w:tc>
          <w:tcPr>
            <w:tcW w:w="1371" w:type="dxa"/>
            <w:tcBorders>
              <w:bottom w:val="single" w:sz="8" w:space="0" w:color="000000"/>
              <w:right w:val="single" w:sz="4" w:space="0" w:color="000000"/>
            </w:tcBorders>
          </w:tcPr>
          <w:p>
            <w:pPr>
              <w:pStyle w:val="TableParagraph"/>
              <w:spacing w:before="64"/>
              <w:ind w:left="59"/>
              <w:rPr>
                <w:sz w:val="18"/>
              </w:rPr>
            </w:pPr>
            <w:r>
              <w:rPr>
                <w:spacing w:val="-2"/>
                <w:sz w:val="18"/>
              </w:rPr>
              <w:t>tn_hv_y0_a30</w:t>
            </w:r>
          </w:p>
        </w:tc>
        <w:tc>
          <w:tcPr>
            <w:tcW w:w="978" w:type="dxa"/>
            <w:tcBorders>
              <w:left w:val="single" w:sz="4" w:space="0" w:color="000000"/>
              <w:bottom w:val="single" w:sz="8" w:space="0" w:color="000000"/>
              <w:right w:val="single" w:sz="4" w:space="0" w:color="000000"/>
            </w:tcBorders>
          </w:tcPr>
          <w:p>
            <w:pPr>
              <w:pStyle w:val="TableParagraph"/>
              <w:spacing w:line="307" w:lineRule="auto" w:before="64"/>
              <w:ind w:left="58"/>
              <w:rPr>
                <w:sz w:val="18"/>
              </w:rPr>
            </w:pPr>
            <w:r>
              <w:rPr>
                <w:spacing w:val="-4"/>
                <w:sz w:val="18"/>
              </w:rPr>
              <w:t>Min</w:t>
            </w:r>
            <w:r>
              <w:rPr>
                <w:spacing w:val="-8"/>
                <w:sz w:val="18"/>
              </w:rPr>
              <w:t> </w:t>
            </w:r>
            <w:r>
              <w:rPr>
                <w:spacing w:val="-4"/>
                <w:sz w:val="18"/>
              </w:rPr>
              <w:t>temper-</w:t>
            </w:r>
            <w:r>
              <w:rPr>
                <w:spacing w:val="-2"/>
                <w:sz w:val="18"/>
              </w:rPr>
              <w:t>ature</w:t>
            </w:r>
          </w:p>
        </w:tc>
        <w:tc>
          <w:tcPr>
            <w:tcW w:w="808" w:type="dxa"/>
            <w:tcBorders>
              <w:left w:val="single" w:sz="4" w:space="0" w:color="000000"/>
              <w:bottom w:val="single" w:sz="8" w:space="0" w:color="000000"/>
              <w:right w:val="single" w:sz="4" w:space="0" w:color="000000"/>
            </w:tcBorders>
          </w:tcPr>
          <w:p>
            <w:pPr>
              <w:pStyle w:val="TableParagraph"/>
              <w:spacing w:before="64"/>
              <w:ind w:left="58"/>
              <w:rPr>
                <w:sz w:val="18"/>
              </w:rPr>
            </w:pPr>
            <w:r>
              <w:rPr>
                <w:spacing w:val="-2"/>
                <w:sz w:val="18"/>
              </w:rPr>
              <w:t>Harvest</w:t>
            </w:r>
          </w:p>
        </w:tc>
        <w:tc>
          <w:tcPr>
            <w:tcW w:w="354" w:type="dxa"/>
            <w:tcBorders>
              <w:left w:val="single" w:sz="4" w:space="0" w:color="000000"/>
              <w:bottom w:val="single" w:sz="8" w:space="0" w:color="000000"/>
              <w:right w:val="single" w:sz="4" w:space="0" w:color="000000"/>
            </w:tcBorders>
          </w:tcPr>
          <w:p>
            <w:pPr>
              <w:pStyle w:val="TableParagraph"/>
              <w:spacing w:before="64"/>
              <w:ind w:right="46"/>
              <w:jc w:val="center"/>
              <w:rPr>
                <w:sz w:val="18"/>
              </w:rPr>
            </w:pPr>
            <w:r>
              <w:rPr>
                <w:spacing w:val="-5"/>
                <w:sz w:val="18"/>
              </w:rPr>
              <w:t>y0</w:t>
            </w:r>
          </w:p>
        </w:tc>
        <w:tc>
          <w:tcPr>
            <w:tcW w:w="921" w:type="dxa"/>
            <w:tcBorders>
              <w:left w:val="single" w:sz="4" w:space="0" w:color="000000"/>
              <w:bottom w:val="single" w:sz="8" w:space="0" w:color="000000"/>
              <w:right w:val="single" w:sz="4" w:space="0" w:color="000000"/>
            </w:tcBorders>
          </w:tcPr>
          <w:p>
            <w:pPr>
              <w:pStyle w:val="TableParagraph"/>
              <w:spacing w:line="307" w:lineRule="auto" w:before="64"/>
              <w:ind w:left="58"/>
              <w:rPr>
                <w:sz w:val="18"/>
              </w:rPr>
            </w:pPr>
            <w:r>
              <w:rPr>
                <w:sz w:val="18"/>
              </w:rPr>
              <w:t>30d</w:t>
            </w:r>
            <w:r>
              <w:rPr>
                <w:spacing w:val="80"/>
                <w:sz w:val="18"/>
              </w:rPr>
              <w:t> </w:t>
            </w:r>
            <w:r>
              <w:rPr>
                <w:sz w:val="18"/>
              </w:rPr>
              <w:t>after prev. yr</w:t>
            </w:r>
          </w:p>
        </w:tc>
        <w:tc>
          <w:tcPr>
            <w:tcW w:w="524" w:type="dxa"/>
            <w:tcBorders>
              <w:left w:val="single" w:sz="4" w:space="0" w:color="000000"/>
              <w:bottom w:val="single" w:sz="8" w:space="0" w:color="000000"/>
              <w:right w:val="single" w:sz="4" w:space="0" w:color="000000"/>
            </w:tcBorders>
          </w:tcPr>
          <w:p>
            <w:pPr>
              <w:pStyle w:val="TableParagraph"/>
              <w:numPr>
                <w:ilvl w:val="0"/>
                <w:numId w:val="55"/>
              </w:numPr>
              <w:tabs>
                <w:tab w:pos="136" w:val="left" w:leader="none"/>
              </w:tabs>
              <w:spacing w:line="232" w:lineRule="auto" w:before="0" w:after="0"/>
              <w:ind w:left="136" w:right="0" w:hanging="78"/>
              <w:jc w:val="left"/>
              <w:rPr>
                <w:position w:val="-6"/>
                <w:sz w:val="18"/>
              </w:rPr>
            </w:pPr>
            <w:r>
              <w:rPr>
                <w:spacing w:val="-10"/>
                <w:position w:val="-6"/>
                <w:sz w:val="18"/>
              </w:rPr>
              <w:t>C</w:t>
            </w:r>
          </w:p>
        </w:tc>
        <w:tc>
          <w:tcPr>
            <w:tcW w:w="637" w:type="dxa"/>
            <w:tcBorders>
              <w:left w:val="single" w:sz="4" w:space="0" w:color="000000"/>
              <w:bottom w:val="single" w:sz="8" w:space="0" w:color="000000"/>
              <w:right w:val="single" w:sz="4" w:space="0" w:color="000000"/>
            </w:tcBorders>
          </w:tcPr>
          <w:p>
            <w:pPr>
              <w:pStyle w:val="TableParagraph"/>
              <w:spacing w:before="64"/>
              <w:ind w:left="59" w:right="-15"/>
              <w:jc w:val="center"/>
              <w:rPr>
                <w:sz w:val="18"/>
              </w:rPr>
            </w:pPr>
            <w:r>
              <w:rPr>
                <w:spacing w:val="-7"/>
                <w:sz w:val="18"/>
              </w:rPr>
              <w:t>Average</w:t>
            </w:r>
          </w:p>
        </w:tc>
        <w:tc>
          <w:tcPr>
            <w:tcW w:w="2844" w:type="dxa"/>
            <w:tcBorders>
              <w:left w:val="single" w:sz="4" w:space="0" w:color="000000"/>
              <w:bottom w:val="single" w:sz="8" w:space="0" w:color="000000"/>
            </w:tcBorders>
          </w:tcPr>
          <w:p>
            <w:pPr>
              <w:pStyle w:val="TableParagraph"/>
              <w:spacing w:line="307" w:lineRule="auto" w:before="64"/>
              <w:ind w:left="59" w:right="26"/>
              <w:jc w:val="both"/>
              <w:rPr>
                <w:sz w:val="18"/>
              </w:rPr>
            </w:pPr>
            <w:r>
              <w:rPr>
                <w:sz w:val="18"/>
              </w:rPr>
              <w:t>Previous-year</w:t>
            </w:r>
            <w:r>
              <w:rPr>
                <w:spacing w:val="-1"/>
                <w:sz w:val="18"/>
              </w:rPr>
              <w:t> </w:t>
            </w:r>
            <w:r>
              <w:rPr>
                <w:sz w:val="18"/>
              </w:rPr>
              <w:t>post-harvest</w:t>
            </w:r>
            <w:r>
              <w:rPr>
                <w:spacing w:val="-1"/>
                <w:sz w:val="18"/>
              </w:rPr>
              <w:t> </w:t>
            </w:r>
            <w:r>
              <w:rPr>
                <w:sz w:val="18"/>
              </w:rPr>
              <w:t>night</w:t>
            </w:r>
            <w:r>
              <w:rPr>
                <w:spacing w:val="-1"/>
                <w:sz w:val="18"/>
              </w:rPr>
              <w:t> </w:t>
            </w:r>
            <w:r>
              <w:rPr>
                <w:sz w:val="18"/>
              </w:rPr>
              <w:t>tem-peratures, warm nights maintain vine </w:t>
            </w:r>
            <w:r>
              <w:rPr>
                <w:spacing w:val="-2"/>
                <w:sz w:val="18"/>
              </w:rPr>
              <w:t>metabolic activity; affect carbohydrate </w:t>
            </w:r>
            <w:r>
              <w:rPr>
                <w:sz w:val="18"/>
              </w:rPr>
              <w:t>reserve building</w:t>
            </w:r>
          </w:p>
        </w:tc>
      </w:tr>
    </w:tbl>
    <w:p>
      <w:pPr>
        <w:pStyle w:val="BodyText"/>
        <w:rPr>
          <w:i/>
          <w:sz w:val="18"/>
        </w:rPr>
      </w:pPr>
    </w:p>
    <w:p>
      <w:pPr>
        <w:pStyle w:val="BodyText"/>
        <w:spacing w:before="115"/>
        <w:rPr>
          <w:i/>
          <w:sz w:val="18"/>
        </w:rPr>
      </w:pPr>
    </w:p>
    <w:p>
      <w:pPr>
        <w:pStyle w:val="Heading2"/>
        <w:numPr>
          <w:ilvl w:val="1"/>
          <w:numId w:val="42"/>
        </w:numPr>
        <w:tabs>
          <w:tab w:pos="851" w:val="left" w:leader="none"/>
        </w:tabs>
        <w:spacing w:line="240" w:lineRule="auto" w:before="0" w:after="0"/>
        <w:ind w:left="851" w:right="0" w:hanging="709"/>
        <w:jc w:val="left"/>
      </w:pPr>
      <w:bookmarkStart w:name="C.2 Cold and Frost Day Features (5 featu" w:id="308"/>
      <w:bookmarkEnd w:id="308"/>
      <w:r>
        <w:rPr>
          <w:b w:val="0"/>
        </w:rPr>
      </w:r>
      <w:bookmarkStart w:name="_bookmark183" w:id="309"/>
      <w:bookmarkEnd w:id="309"/>
      <w:r>
        <w:rPr>
          <w:b w:val="0"/>
        </w:rPr>
      </w:r>
      <w:r>
        <w:rPr/>
        <w:t>Cold</w:t>
      </w:r>
      <w:r>
        <w:rPr>
          <w:spacing w:val="9"/>
        </w:rPr>
        <w:t> </w:t>
      </w:r>
      <w:r>
        <w:rPr/>
        <w:t>and</w:t>
      </w:r>
      <w:r>
        <w:rPr>
          <w:spacing w:val="9"/>
        </w:rPr>
        <w:t> </w:t>
      </w:r>
      <w:r>
        <w:rPr/>
        <w:t>Frost</w:t>
      </w:r>
      <w:r>
        <w:rPr>
          <w:spacing w:val="9"/>
        </w:rPr>
        <w:t> </w:t>
      </w:r>
      <w:r>
        <w:rPr/>
        <w:t>Day</w:t>
      </w:r>
      <w:r>
        <w:rPr>
          <w:spacing w:val="9"/>
        </w:rPr>
        <w:t> </w:t>
      </w:r>
      <w:r>
        <w:rPr/>
        <w:t>Features</w:t>
      </w:r>
      <w:r>
        <w:rPr>
          <w:spacing w:val="9"/>
        </w:rPr>
        <w:t> </w:t>
      </w:r>
      <w:r>
        <w:rPr/>
        <w:t>(5</w:t>
      </w:r>
      <w:r>
        <w:rPr>
          <w:spacing w:val="9"/>
        </w:rPr>
        <w:t> </w:t>
      </w:r>
      <w:r>
        <w:rPr>
          <w:spacing w:val="-2"/>
        </w:rPr>
        <w:t>features)</w:t>
      </w:r>
    </w:p>
    <w:p>
      <w:pPr>
        <w:pStyle w:val="BodyText"/>
        <w:spacing w:before="17"/>
        <w:rPr>
          <w:b/>
          <w:sz w:val="28"/>
        </w:rPr>
      </w:pPr>
    </w:p>
    <w:p>
      <w:pPr>
        <w:pStyle w:val="Heading2"/>
        <w:numPr>
          <w:ilvl w:val="1"/>
          <w:numId w:val="42"/>
        </w:numPr>
        <w:tabs>
          <w:tab w:pos="851" w:val="left" w:leader="none"/>
        </w:tabs>
        <w:spacing w:line="240" w:lineRule="auto" w:before="0" w:after="0"/>
        <w:ind w:left="851" w:right="0" w:hanging="709"/>
        <w:jc w:val="left"/>
      </w:pPr>
      <w:bookmarkStart w:name="C.3 Heat Stress Day Features (4 features" w:id="310"/>
      <w:bookmarkEnd w:id="310"/>
      <w:r>
        <w:rPr>
          <w:b w:val="0"/>
        </w:rPr>
      </w:r>
      <w:bookmarkStart w:name="_bookmark184" w:id="311"/>
      <w:bookmarkEnd w:id="311"/>
      <w:r>
        <w:rPr>
          <w:b w:val="0"/>
        </w:rPr>
      </w:r>
      <w:r>
        <w:rPr/>
        <w:t>Heat</w:t>
      </w:r>
      <w:r>
        <w:rPr>
          <w:spacing w:val="9"/>
        </w:rPr>
        <w:t> </w:t>
      </w:r>
      <w:r>
        <w:rPr/>
        <w:t>Stress</w:t>
      </w:r>
      <w:r>
        <w:rPr>
          <w:spacing w:val="9"/>
        </w:rPr>
        <w:t> </w:t>
      </w:r>
      <w:r>
        <w:rPr/>
        <w:t>Day</w:t>
      </w:r>
      <w:r>
        <w:rPr>
          <w:spacing w:val="9"/>
        </w:rPr>
        <w:t> </w:t>
      </w:r>
      <w:r>
        <w:rPr/>
        <w:t>Features</w:t>
      </w:r>
      <w:r>
        <w:rPr>
          <w:spacing w:val="9"/>
        </w:rPr>
        <w:t> </w:t>
      </w:r>
      <w:r>
        <w:rPr/>
        <w:t>(4</w:t>
      </w:r>
      <w:r>
        <w:rPr>
          <w:spacing w:val="9"/>
        </w:rPr>
        <w:t> </w:t>
      </w:r>
      <w:r>
        <w:rPr>
          <w:spacing w:val="-2"/>
        </w:rPr>
        <w:t>features)</w:t>
      </w:r>
    </w:p>
    <w:p>
      <w:pPr>
        <w:pStyle w:val="BodyText"/>
        <w:spacing w:before="17"/>
        <w:rPr>
          <w:b/>
          <w:sz w:val="28"/>
        </w:rPr>
      </w:pPr>
    </w:p>
    <w:p>
      <w:pPr>
        <w:pStyle w:val="Heading2"/>
        <w:numPr>
          <w:ilvl w:val="1"/>
          <w:numId w:val="42"/>
        </w:numPr>
        <w:tabs>
          <w:tab w:pos="851" w:val="left" w:leader="none"/>
        </w:tabs>
        <w:spacing w:line="240" w:lineRule="auto" w:before="0" w:after="0"/>
        <w:ind w:left="851" w:right="0" w:hanging="709"/>
        <w:jc w:val="left"/>
      </w:pPr>
      <w:bookmarkStart w:name="C.4 Rainfall Features (8 features)" w:id="312"/>
      <w:bookmarkEnd w:id="312"/>
      <w:r>
        <w:rPr>
          <w:b w:val="0"/>
        </w:rPr>
      </w:r>
      <w:bookmarkStart w:name="_bookmark185" w:id="313"/>
      <w:bookmarkEnd w:id="313"/>
      <w:r>
        <w:rPr>
          <w:b w:val="0"/>
        </w:rPr>
      </w:r>
      <w:r>
        <w:rPr/>
        <w:t>Rainfall</w:t>
      </w:r>
      <w:r>
        <w:rPr>
          <w:spacing w:val="11"/>
        </w:rPr>
        <w:t> </w:t>
      </w:r>
      <w:r>
        <w:rPr/>
        <w:t>Features</w:t>
      </w:r>
      <w:r>
        <w:rPr>
          <w:spacing w:val="11"/>
        </w:rPr>
        <w:t> </w:t>
      </w:r>
      <w:r>
        <w:rPr/>
        <w:t>(8</w:t>
      </w:r>
      <w:r>
        <w:rPr>
          <w:spacing w:val="11"/>
        </w:rPr>
        <w:t> </w:t>
      </w:r>
      <w:r>
        <w:rPr>
          <w:spacing w:val="-2"/>
        </w:rPr>
        <w:t>features)</w:t>
      </w:r>
    </w:p>
    <w:p>
      <w:pPr>
        <w:pStyle w:val="Heading2"/>
        <w:spacing w:after="0" w:line="240" w:lineRule="auto"/>
        <w:jc w:val="left"/>
        <w:sectPr>
          <w:headerReference w:type="even" r:id="rId124"/>
          <w:headerReference w:type="default" r:id="rId125"/>
          <w:pgSz w:w="11910" w:h="16840"/>
          <w:pgMar w:header="1160" w:footer="0" w:top="1420" w:bottom="280" w:left="1275" w:right="425"/>
          <w:pgNumType w:start="100"/>
        </w:sectPr>
      </w:pPr>
    </w:p>
    <w:p>
      <w:pPr>
        <w:pStyle w:val="BodyText"/>
        <w:spacing w:before="209"/>
        <w:rPr>
          <w:b/>
          <w:sz w:val="20"/>
        </w:rPr>
      </w:pPr>
    </w:p>
    <w:p>
      <w:pPr>
        <w:spacing w:before="0"/>
        <w:ind w:left="601" w:right="888" w:firstLine="0"/>
        <w:jc w:val="center"/>
        <w:rPr>
          <w:sz w:val="20"/>
        </w:rPr>
      </w:pPr>
      <w:bookmarkStart w:name="_bookmark187" w:id="314"/>
      <w:bookmarkEnd w:id="314"/>
      <w:r>
        <w:rPr/>
      </w:r>
      <w:r>
        <w:rPr>
          <w:b/>
          <w:spacing w:val="-2"/>
          <w:sz w:val="20"/>
        </w:rPr>
        <w:t>Table</w:t>
      </w:r>
      <w:r>
        <w:rPr>
          <w:b/>
          <w:spacing w:val="-11"/>
          <w:sz w:val="20"/>
        </w:rPr>
        <w:t> </w:t>
      </w:r>
      <w:r>
        <w:rPr>
          <w:b/>
          <w:spacing w:val="-2"/>
          <w:sz w:val="20"/>
        </w:rPr>
        <w:t>C.2:</w:t>
      </w:r>
      <w:r>
        <w:rPr>
          <w:b/>
          <w:spacing w:val="5"/>
          <w:sz w:val="20"/>
        </w:rPr>
        <w:t> </w:t>
      </w:r>
      <w:r>
        <w:rPr>
          <w:spacing w:val="-2"/>
          <w:sz w:val="20"/>
        </w:rPr>
        <w:t>Cold</w:t>
      </w:r>
      <w:r>
        <w:rPr>
          <w:spacing w:val="-4"/>
          <w:sz w:val="20"/>
        </w:rPr>
        <w:t> </w:t>
      </w:r>
      <w:r>
        <w:rPr>
          <w:spacing w:val="-2"/>
          <w:sz w:val="20"/>
        </w:rPr>
        <w:t>day</w:t>
      </w:r>
      <w:r>
        <w:rPr>
          <w:spacing w:val="-5"/>
          <w:sz w:val="20"/>
        </w:rPr>
        <w:t> </w:t>
      </w:r>
      <w:r>
        <w:rPr>
          <w:spacing w:val="-2"/>
          <w:sz w:val="20"/>
        </w:rPr>
        <w:t>(Tmed</w:t>
      </w:r>
      <w:r>
        <w:rPr>
          <w:spacing w:val="-4"/>
          <w:sz w:val="20"/>
        </w:rPr>
        <w:t> </w:t>
      </w:r>
      <w:r>
        <w:rPr>
          <w:rFonts w:ascii="Meiryo UI" w:hAnsi="Meiryo UI"/>
          <w:i/>
          <w:spacing w:val="-2"/>
          <w:sz w:val="20"/>
        </w:rPr>
        <w:t>&lt;</w:t>
      </w:r>
      <w:r>
        <w:rPr>
          <w:rFonts w:ascii="Meiryo UI" w:hAnsi="Meiryo UI"/>
          <w:i/>
          <w:spacing w:val="-19"/>
          <w:sz w:val="20"/>
        </w:rPr>
        <w:t> </w:t>
      </w:r>
      <w:r>
        <w:rPr>
          <w:spacing w:val="-2"/>
          <w:sz w:val="20"/>
        </w:rPr>
        <w:t>15</w:t>
      </w:r>
      <w:r>
        <w:rPr>
          <w:rFonts w:ascii="Meiryo UI" w:hAnsi="Meiryo UI"/>
          <w:i/>
          <w:spacing w:val="-2"/>
          <w:sz w:val="20"/>
          <w:vertAlign w:val="superscript"/>
        </w:rPr>
        <w:t>◦</w:t>
      </w:r>
      <w:r>
        <w:rPr>
          <w:spacing w:val="-2"/>
          <w:sz w:val="20"/>
          <w:vertAlign w:val="baseline"/>
        </w:rPr>
        <w:t>C)</w:t>
      </w:r>
      <w:r>
        <w:rPr>
          <w:spacing w:val="-5"/>
          <w:sz w:val="20"/>
          <w:vertAlign w:val="baseline"/>
        </w:rPr>
        <w:t> </w:t>
      </w:r>
      <w:r>
        <w:rPr>
          <w:spacing w:val="-2"/>
          <w:sz w:val="20"/>
          <w:vertAlign w:val="baseline"/>
        </w:rPr>
        <w:t>and</w:t>
      </w:r>
      <w:r>
        <w:rPr>
          <w:spacing w:val="-5"/>
          <w:sz w:val="20"/>
          <w:vertAlign w:val="baseline"/>
        </w:rPr>
        <w:t> </w:t>
      </w:r>
      <w:r>
        <w:rPr>
          <w:spacing w:val="-2"/>
          <w:sz w:val="20"/>
          <w:vertAlign w:val="baseline"/>
        </w:rPr>
        <w:t>frost</w:t>
      </w:r>
      <w:r>
        <w:rPr>
          <w:spacing w:val="-4"/>
          <w:sz w:val="20"/>
          <w:vertAlign w:val="baseline"/>
        </w:rPr>
        <w:t> </w:t>
      </w:r>
      <w:r>
        <w:rPr>
          <w:spacing w:val="-2"/>
          <w:sz w:val="20"/>
          <w:vertAlign w:val="baseline"/>
        </w:rPr>
        <w:t>day</w:t>
      </w:r>
      <w:r>
        <w:rPr>
          <w:spacing w:val="-5"/>
          <w:sz w:val="20"/>
          <w:vertAlign w:val="baseline"/>
        </w:rPr>
        <w:t> </w:t>
      </w:r>
      <w:r>
        <w:rPr>
          <w:spacing w:val="-2"/>
          <w:sz w:val="20"/>
          <w:vertAlign w:val="baseline"/>
        </w:rPr>
        <w:t>(Tmin</w:t>
      </w:r>
      <w:r>
        <w:rPr>
          <w:spacing w:val="-4"/>
          <w:sz w:val="20"/>
          <w:vertAlign w:val="baseline"/>
        </w:rPr>
        <w:t> </w:t>
      </w:r>
      <w:r>
        <w:rPr>
          <w:rFonts w:ascii="Meiryo UI" w:hAnsi="Meiryo UI"/>
          <w:i/>
          <w:spacing w:val="-2"/>
          <w:sz w:val="20"/>
          <w:vertAlign w:val="baseline"/>
        </w:rPr>
        <w:t>&lt;</w:t>
      </w:r>
      <w:r>
        <w:rPr>
          <w:rFonts w:ascii="Meiryo UI" w:hAnsi="Meiryo UI"/>
          <w:i/>
          <w:spacing w:val="-19"/>
          <w:sz w:val="20"/>
          <w:vertAlign w:val="baseline"/>
        </w:rPr>
        <w:t> </w:t>
      </w:r>
      <w:r>
        <w:rPr>
          <w:spacing w:val="-2"/>
          <w:sz w:val="20"/>
          <w:vertAlign w:val="baseline"/>
        </w:rPr>
        <w:t>0</w:t>
      </w:r>
      <w:r>
        <w:rPr>
          <w:rFonts w:ascii="Meiryo UI" w:hAnsi="Meiryo UI"/>
          <w:i/>
          <w:spacing w:val="-2"/>
          <w:sz w:val="20"/>
          <w:vertAlign w:val="superscript"/>
        </w:rPr>
        <w:t>◦</w:t>
      </w:r>
      <w:r>
        <w:rPr>
          <w:spacing w:val="-2"/>
          <w:sz w:val="20"/>
          <w:vertAlign w:val="baseline"/>
        </w:rPr>
        <w:t>C)</w:t>
      </w:r>
      <w:r>
        <w:rPr>
          <w:spacing w:val="-5"/>
          <w:sz w:val="20"/>
          <w:vertAlign w:val="baseline"/>
        </w:rPr>
        <w:t> </w:t>
      </w:r>
      <w:r>
        <w:rPr>
          <w:spacing w:val="-2"/>
          <w:sz w:val="20"/>
          <w:vertAlign w:val="baseline"/>
        </w:rPr>
        <w:t>features</w:t>
      </w:r>
      <w:r>
        <w:rPr>
          <w:spacing w:val="-4"/>
          <w:sz w:val="20"/>
          <w:vertAlign w:val="baseline"/>
        </w:rPr>
        <w:t> </w:t>
      </w:r>
      <w:r>
        <w:rPr>
          <w:spacing w:val="-2"/>
          <w:sz w:val="20"/>
          <w:vertAlign w:val="baseline"/>
        </w:rPr>
        <w:t>(5</w:t>
      </w:r>
      <w:r>
        <w:rPr>
          <w:spacing w:val="-5"/>
          <w:sz w:val="20"/>
          <w:vertAlign w:val="baseline"/>
        </w:rPr>
        <w:t> </w:t>
      </w:r>
      <w:r>
        <w:rPr>
          <w:spacing w:val="-2"/>
          <w:sz w:val="20"/>
          <w:vertAlign w:val="baseline"/>
        </w:rPr>
        <w:t>features).</w:t>
      </w:r>
    </w:p>
    <w:p>
      <w:pPr>
        <w:pStyle w:val="BodyText"/>
        <w:spacing w:before="11"/>
        <w:rPr>
          <w:sz w:val="14"/>
        </w:rPr>
      </w:pPr>
      <w:r>
        <w:rPr>
          <w:sz w:val="14"/>
        </w:rPr>
        <mc:AlternateContent>
          <mc:Choice Requires="wps">
            <w:drawing>
              <wp:anchor distT="0" distB="0" distL="0" distR="0" allowOverlap="1" layoutInCell="1" locked="0" behindDoc="1" simplePos="0" relativeHeight="487642112">
                <wp:simplePos x="0" y="0"/>
                <wp:positionH relativeFrom="page">
                  <wp:posOffset>1260005</wp:posOffset>
                </wp:positionH>
                <wp:positionV relativeFrom="paragraph">
                  <wp:posOffset>124450</wp:posOffset>
                </wp:positionV>
                <wp:extent cx="5400040" cy="1270"/>
                <wp:effectExtent l="0" t="0" r="0" b="0"/>
                <wp:wrapTopAndBottom/>
                <wp:docPr id="295" name="Graphic 295"/>
                <wp:cNvGraphicFramePr>
                  <a:graphicFrameLocks/>
                </wp:cNvGraphicFramePr>
                <a:graphic>
                  <a:graphicData uri="http://schemas.microsoft.com/office/word/2010/wordprocessingShape">
                    <wps:wsp>
                      <wps:cNvPr id="295" name="Graphic 295"/>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9.799266pt;width:425.2pt;height:.1pt;mso-position-horizontal-relative:page;mso-position-vertical-relative:paragraph;z-index:-15674368;mso-wrap-distance-left:0;mso-wrap-distance-right:0" id="docshape258" coordorigin="1984,196" coordsize="8504,0" path="m1984,196l10488,196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7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24"/>
        <w:gridCol w:w="1131"/>
        <w:gridCol w:w="961"/>
        <w:gridCol w:w="451"/>
        <w:gridCol w:w="1075"/>
        <w:gridCol w:w="621"/>
        <w:gridCol w:w="791"/>
        <w:gridCol w:w="1950"/>
      </w:tblGrid>
      <w:tr>
        <w:trPr>
          <w:trHeight w:val="320" w:hRule="atLeast"/>
        </w:trPr>
        <w:tc>
          <w:tcPr>
            <w:tcW w:w="1524" w:type="dxa"/>
            <w:tcBorders>
              <w:top w:val="nil"/>
              <w:left w:val="nil"/>
              <w:right w:val="single" w:sz="4" w:space="0" w:color="000000"/>
            </w:tcBorders>
          </w:tcPr>
          <w:p>
            <w:pPr>
              <w:pStyle w:val="TableParagraph"/>
              <w:spacing w:before="31"/>
              <w:ind w:left="79"/>
              <w:rPr>
                <w:sz w:val="18"/>
              </w:rPr>
            </w:pPr>
            <w:r>
              <w:rPr>
                <w:sz w:val="18"/>
              </w:rPr>
              <w:t>Feature</w:t>
            </w:r>
            <w:r>
              <w:rPr>
                <w:spacing w:val="-7"/>
                <w:sz w:val="18"/>
              </w:rPr>
              <w:t> </w:t>
            </w:r>
            <w:r>
              <w:rPr>
                <w:spacing w:val="-4"/>
                <w:sz w:val="18"/>
              </w:rPr>
              <w:t>name</w:t>
            </w:r>
          </w:p>
        </w:tc>
        <w:tc>
          <w:tcPr>
            <w:tcW w:w="1131" w:type="dxa"/>
            <w:tcBorders>
              <w:top w:val="nil"/>
              <w:left w:val="single" w:sz="4" w:space="0" w:color="000000"/>
              <w:right w:val="single" w:sz="4" w:space="0" w:color="000000"/>
            </w:tcBorders>
          </w:tcPr>
          <w:p>
            <w:pPr>
              <w:pStyle w:val="TableParagraph"/>
              <w:spacing w:before="31"/>
              <w:ind w:left="78"/>
              <w:rPr>
                <w:sz w:val="18"/>
              </w:rPr>
            </w:pPr>
            <w:r>
              <w:rPr>
                <w:spacing w:val="-2"/>
                <w:sz w:val="18"/>
              </w:rPr>
              <w:t>Variable</w:t>
            </w:r>
          </w:p>
        </w:tc>
        <w:tc>
          <w:tcPr>
            <w:tcW w:w="961" w:type="dxa"/>
            <w:tcBorders>
              <w:top w:val="nil"/>
              <w:left w:val="single" w:sz="4" w:space="0" w:color="000000"/>
              <w:right w:val="single" w:sz="4" w:space="0" w:color="000000"/>
            </w:tcBorders>
          </w:tcPr>
          <w:p>
            <w:pPr>
              <w:pStyle w:val="TableParagraph"/>
              <w:spacing w:before="31"/>
              <w:ind w:left="78"/>
              <w:rPr>
                <w:sz w:val="18"/>
              </w:rPr>
            </w:pPr>
            <w:r>
              <w:rPr>
                <w:spacing w:val="-2"/>
                <w:sz w:val="18"/>
              </w:rPr>
              <w:t>Stage</w:t>
            </w:r>
          </w:p>
        </w:tc>
        <w:tc>
          <w:tcPr>
            <w:tcW w:w="451" w:type="dxa"/>
            <w:tcBorders>
              <w:top w:val="nil"/>
              <w:left w:val="single" w:sz="4" w:space="0" w:color="000000"/>
              <w:right w:val="single" w:sz="4" w:space="0" w:color="000000"/>
            </w:tcBorders>
          </w:tcPr>
          <w:p>
            <w:pPr>
              <w:pStyle w:val="TableParagraph"/>
              <w:spacing w:before="31"/>
              <w:ind w:left="78"/>
              <w:rPr>
                <w:sz w:val="18"/>
              </w:rPr>
            </w:pPr>
            <w:r>
              <w:rPr>
                <w:spacing w:val="-4"/>
                <w:sz w:val="18"/>
              </w:rPr>
              <w:t>Year</w:t>
            </w:r>
          </w:p>
        </w:tc>
        <w:tc>
          <w:tcPr>
            <w:tcW w:w="1075" w:type="dxa"/>
            <w:tcBorders>
              <w:top w:val="nil"/>
              <w:left w:val="single" w:sz="4" w:space="0" w:color="000000"/>
              <w:right w:val="single" w:sz="4" w:space="0" w:color="000000"/>
            </w:tcBorders>
          </w:tcPr>
          <w:p>
            <w:pPr>
              <w:pStyle w:val="TableParagraph"/>
              <w:spacing w:before="31"/>
              <w:ind w:left="78"/>
              <w:rPr>
                <w:sz w:val="18"/>
              </w:rPr>
            </w:pPr>
            <w:r>
              <w:rPr>
                <w:spacing w:val="-2"/>
                <w:sz w:val="18"/>
              </w:rPr>
              <w:t>Window</w:t>
            </w:r>
          </w:p>
        </w:tc>
        <w:tc>
          <w:tcPr>
            <w:tcW w:w="621" w:type="dxa"/>
            <w:tcBorders>
              <w:top w:val="nil"/>
              <w:left w:val="single" w:sz="4" w:space="0" w:color="000000"/>
              <w:right w:val="single" w:sz="4" w:space="0" w:color="000000"/>
            </w:tcBorders>
          </w:tcPr>
          <w:p>
            <w:pPr>
              <w:pStyle w:val="TableParagraph"/>
              <w:spacing w:before="31"/>
              <w:ind w:left="78"/>
              <w:rPr>
                <w:sz w:val="18"/>
              </w:rPr>
            </w:pPr>
            <w:r>
              <w:rPr>
                <w:spacing w:val="-4"/>
                <w:sz w:val="18"/>
              </w:rPr>
              <w:t>Unit</w:t>
            </w:r>
          </w:p>
        </w:tc>
        <w:tc>
          <w:tcPr>
            <w:tcW w:w="791" w:type="dxa"/>
            <w:tcBorders>
              <w:top w:val="nil"/>
              <w:left w:val="single" w:sz="4" w:space="0" w:color="000000"/>
              <w:right w:val="single" w:sz="4" w:space="0" w:color="000000"/>
            </w:tcBorders>
          </w:tcPr>
          <w:p>
            <w:pPr>
              <w:pStyle w:val="TableParagraph"/>
              <w:spacing w:before="31"/>
              <w:ind w:left="78"/>
              <w:rPr>
                <w:sz w:val="18"/>
              </w:rPr>
            </w:pPr>
            <w:r>
              <w:rPr>
                <w:spacing w:val="-4"/>
                <w:sz w:val="18"/>
              </w:rPr>
              <w:t>Calc</w:t>
            </w:r>
          </w:p>
        </w:tc>
        <w:tc>
          <w:tcPr>
            <w:tcW w:w="1950" w:type="dxa"/>
            <w:tcBorders>
              <w:top w:val="nil"/>
              <w:left w:val="single" w:sz="4" w:space="0" w:color="000000"/>
              <w:right w:val="nil"/>
            </w:tcBorders>
          </w:tcPr>
          <w:p>
            <w:pPr>
              <w:pStyle w:val="TableParagraph"/>
              <w:spacing w:before="31"/>
              <w:ind w:left="78"/>
              <w:rPr>
                <w:sz w:val="18"/>
              </w:rPr>
            </w:pPr>
            <w:r>
              <w:rPr>
                <w:spacing w:val="-4"/>
                <w:sz w:val="18"/>
              </w:rPr>
              <w:t>Agronomic</w:t>
            </w:r>
            <w:r>
              <w:rPr>
                <w:spacing w:val="5"/>
                <w:sz w:val="18"/>
              </w:rPr>
              <w:t> </w:t>
            </w:r>
            <w:r>
              <w:rPr>
                <w:spacing w:val="-2"/>
                <w:sz w:val="18"/>
              </w:rPr>
              <w:t>interpretation</w:t>
            </w:r>
          </w:p>
        </w:tc>
      </w:tr>
    </w:tbl>
    <w:p>
      <w:pPr>
        <w:pStyle w:val="BodyText"/>
        <w:spacing w:before="10"/>
        <w:rPr>
          <w:sz w:val="4"/>
        </w:rPr>
      </w:pPr>
    </w:p>
    <w:tbl>
      <w:tblPr>
        <w:tblW w:w="0" w:type="auto"/>
        <w:jc w:val="left"/>
        <w:tblInd w:w="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24"/>
        <w:gridCol w:w="1131"/>
        <w:gridCol w:w="961"/>
        <w:gridCol w:w="451"/>
        <w:gridCol w:w="1075"/>
        <w:gridCol w:w="621"/>
        <w:gridCol w:w="791"/>
        <w:gridCol w:w="1950"/>
      </w:tblGrid>
      <w:tr>
        <w:trPr>
          <w:trHeight w:val="1160" w:hRule="atLeast"/>
        </w:trPr>
        <w:tc>
          <w:tcPr>
            <w:tcW w:w="1524" w:type="dxa"/>
            <w:tcBorders>
              <w:right w:val="single" w:sz="4" w:space="0" w:color="000000"/>
            </w:tcBorders>
          </w:tcPr>
          <w:p>
            <w:pPr>
              <w:pStyle w:val="TableParagraph"/>
              <w:spacing w:line="254" w:lineRule="auto" w:before="31"/>
              <w:ind w:left="79"/>
              <w:rPr>
                <w:sz w:val="18"/>
              </w:rPr>
            </w:pPr>
            <w:r>
              <w:rPr>
                <w:spacing w:val="-2"/>
                <w:sz w:val="18"/>
              </w:rPr>
              <w:t>tm.days.less.15_ fl_y1_c15</w:t>
            </w:r>
          </w:p>
        </w:tc>
        <w:tc>
          <w:tcPr>
            <w:tcW w:w="1131" w:type="dxa"/>
            <w:tcBorders>
              <w:left w:val="single" w:sz="4" w:space="0" w:color="000000"/>
              <w:right w:val="single" w:sz="4" w:space="0" w:color="000000"/>
            </w:tcBorders>
          </w:tcPr>
          <w:p>
            <w:pPr>
              <w:pStyle w:val="TableParagraph"/>
              <w:tabs>
                <w:tab w:pos="707" w:val="left" w:leader="none"/>
              </w:tabs>
              <w:spacing w:line="187" w:lineRule="auto" w:before="68"/>
              <w:ind w:left="72" w:right="47" w:firstLine="5"/>
              <w:rPr>
                <w:sz w:val="18"/>
              </w:rPr>
            </w:pPr>
            <w:r>
              <w:rPr>
                <w:spacing w:val="-4"/>
                <w:sz w:val="18"/>
              </w:rPr>
              <w:t>Cold</w:t>
            </w:r>
            <w:r>
              <w:rPr>
                <w:sz w:val="18"/>
              </w:rPr>
              <w:tab/>
            </w:r>
            <w:r>
              <w:rPr>
                <w:spacing w:val="-4"/>
                <w:sz w:val="18"/>
              </w:rPr>
              <w:t>days </w:t>
            </w:r>
            <w:r>
              <w:rPr>
                <w:spacing w:val="-2"/>
                <w:w w:val="90"/>
                <w:sz w:val="18"/>
              </w:rPr>
              <w:t>(Tmed&lt;15</w:t>
            </w:r>
            <w:r>
              <w:rPr>
                <w:rFonts w:ascii="Meiryo UI" w:hAnsi="Meiryo UI"/>
                <w:i/>
                <w:spacing w:val="-2"/>
                <w:w w:val="90"/>
                <w:position w:val="7"/>
                <w:sz w:val="14"/>
              </w:rPr>
              <w:t>◦</w:t>
            </w:r>
            <w:r>
              <w:rPr>
                <w:spacing w:val="-2"/>
                <w:w w:val="90"/>
                <w:sz w:val="18"/>
              </w:rPr>
              <w:t>C)</w:t>
            </w:r>
          </w:p>
        </w:tc>
        <w:tc>
          <w:tcPr>
            <w:tcW w:w="961" w:type="dxa"/>
            <w:tcBorders>
              <w:left w:val="single" w:sz="4" w:space="0" w:color="000000"/>
              <w:right w:val="single" w:sz="4" w:space="0" w:color="000000"/>
            </w:tcBorders>
          </w:tcPr>
          <w:p>
            <w:pPr>
              <w:pStyle w:val="TableParagraph"/>
              <w:spacing w:before="31"/>
              <w:ind w:right="58"/>
              <w:jc w:val="center"/>
              <w:rPr>
                <w:sz w:val="18"/>
              </w:rPr>
            </w:pPr>
            <w:r>
              <w:rPr>
                <w:spacing w:val="-2"/>
                <w:sz w:val="18"/>
              </w:rPr>
              <w:t>Flowering</w:t>
            </w:r>
          </w:p>
        </w:tc>
        <w:tc>
          <w:tcPr>
            <w:tcW w:w="451" w:type="dxa"/>
            <w:tcBorders>
              <w:left w:val="single" w:sz="4" w:space="0" w:color="000000"/>
              <w:right w:val="single" w:sz="4" w:space="0" w:color="000000"/>
            </w:tcBorders>
          </w:tcPr>
          <w:p>
            <w:pPr>
              <w:pStyle w:val="TableParagraph"/>
              <w:spacing w:before="31"/>
              <w:ind w:left="78"/>
              <w:rPr>
                <w:sz w:val="18"/>
              </w:rPr>
            </w:pPr>
            <w:r>
              <w:rPr>
                <w:spacing w:val="-5"/>
                <w:sz w:val="18"/>
              </w:rPr>
              <w:t>y1</w:t>
            </w:r>
          </w:p>
        </w:tc>
        <w:tc>
          <w:tcPr>
            <w:tcW w:w="1075" w:type="dxa"/>
            <w:tcBorders>
              <w:left w:val="single" w:sz="4" w:space="0" w:color="000000"/>
              <w:right w:val="single" w:sz="4" w:space="0" w:color="000000"/>
            </w:tcBorders>
          </w:tcPr>
          <w:p>
            <w:pPr>
              <w:pStyle w:val="TableParagraph"/>
              <w:spacing w:line="186" w:lineRule="exact" w:before="31"/>
              <w:ind w:left="78"/>
              <w:rPr>
                <w:sz w:val="18"/>
              </w:rPr>
            </w:pPr>
            <w:r>
              <w:rPr>
                <w:spacing w:val="-2"/>
                <w:sz w:val="18"/>
              </w:rPr>
              <w:t>centred</w:t>
            </w:r>
          </w:p>
          <w:p>
            <w:pPr>
              <w:pStyle w:val="TableParagraph"/>
              <w:spacing w:line="277" w:lineRule="exact" w:before="0"/>
              <w:ind w:left="78"/>
              <w:rPr>
                <w:sz w:val="18"/>
              </w:rPr>
            </w:pPr>
            <w:r>
              <w:rPr>
                <w:rFonts w:ascii="Meiryo UI" w:hAnsi="Meiryo UI"/>
                <w:i/>
                <w:spacing w:val="-4"/>
                <w:sz w:val="18"/>
              </w:rPr>
              <w:t>±</w:t>
            </w:r>
            <w:r>
              <w:rPr>
                <w:spacing w:val="-4"/>
                <w:sz w:val="18"/>
              </w:rPr>
              <w:t>15d</w:t>
            </w:r>
          </w:p>
        </w:tc>
        <w:tc>
          <w:tcPr>
            <w:tcW w:w="621" w:type="dxa"/>
            <w:tcBorders>
              <w:left w:val="single" w:sz="4" w:space="0" w:color="000000"/>
              <w:right w:val="single" w:sz="4" w:space="0" w:color="000000"/>
            </w:tcBorders>
          </w:tcPr>
          <w:p>
            <w:pPr>
              <w:pStyle w:val="TableParagraph"/>
              <w:spacing w:before="31"/>
              <w:ind w:left="78"/>
              <w:rPr>
                <w:sz w:val="18"/>
              </w:rPr>
            </w:pPr>
            <w:r>
              <w:rPr>
                <w:spacing w:val="-4"/>
                <w:sz w:val="18"/>
              </w:rPr>
              <w:t>days</w:t>
            </w:r>
          </w:p>
        </w:tc>
        <w:tc>
          <w:tcPr>
            <w:tcW w:w="791" w:type="dxa"/>
            <w:tcBorders>
              <w:left w:val="single" w:sz="4" w:space="0" w:color="000000"/>
              <w:right w:val="single" w:sz="4" w:space="0" w:color="000000"/>
            </w:tcBorders>
          </w:tcPr>
          <w:p>
            <w:pPr>
              <w:pStyle w:val="TableParagraph"/>
              <w:spacing w:before="31"/>
              <w:ind w:left="78"/>
              <w:rPr>
                <w:sz w:val="18"/>
              </w:rPr>
            </w:pPr>
            <w:r>
              <w:rPr>
                <w:spacing w:val="-2"/>
                <w:sz w:val="18"/>
              </w:rPr>
              <w:t>Count</w:t>
            </w:r>
          </w:p>
        </w:tc>
        <w:tc>
          <w:tcPr>
            <w:tcW w:w="1950" w:type="dxa"/>
            <w:tcBorders>
              <w:left w:val="single" w:sz="4" w:space="0" w:color="000000"/>
            </w:tcBorders>
          </w:tcPr>
          <w:p>
            <w:pPr>
              <w:pStyle w:val="TableParagraph"/>
              <w:spacing w:line="254" w:lineRule="auto" w:before="31"/>
              <w:ind w:left="78" w:right="47"/>
              <w:jc w:val="both"/>
              <w:rPr>
                <w:sz w:val="18"/>
              </w:rPr>
            </w:pPr>
            <w:r>
              <w:rPr>
                <w:spacing w:val="-2"/>
                <w:sz w:val="18"/>
              </w:rPr>
              <w:t>Number</w:t>
            </w:r>
            <w:r>
              <w:rPr>
                <w:spacing w:val="-10"/>
                <w:sz w:val="18"/>
              </w:rPr>
              <w:t> </w:t>
            </w:r>
            <w:r>
              <w:rPr>
                <w:spacing w:val="-2"/>
                <w:sz w:val="18"/>
              </w:rPr>
              <w:t>of</w:t>
            </w:r>
            <w:r>
              <w:rPr>
                <w:spacing w:val="-9"/>
                <w:sz w:val="18"/>
              </w:rPr>
              <w:t> </w:t>
            </w:r>
            <w:r>
              <w:rPr>
                <w:spacing w:val="-2"/>
                <w:sz w:val="18"/>
              </w:rPr>
              <w:t>cold</w:t>
            </w:r>
            <w:r>
              <w:rPr>
                <w:spacing w:val="-9"/>
                <w:sz w:val="18"/>
              </w:rPr>
              <w:t> </w:t>
            </w:r>
            <w:r>
              <w:rPr>
                <w:spacing w:val="-2"/>
                <w:sz w:val="18"/>
              </w:rPr>
              <w:t>days</w:t>
            </w:r>
            <w:r>
              <w:rPr>
                <w:spacing w:val="-9"/>
                <w:sz w:val="18"/>
              </w:rPr>
              <w:t> </w:t>
            </w:r>
            <w:r>
              <w:rPr>
                <w:spacing w:val="-2"/>
                <w:sz w:val="18"/>
              </w:rPr>
              <w:t>dur-</w:t>
            </w:r>
            <w:r>
              <w:rPr>
                <w:sz w:val="18"/>
              </w:rPr>
              <w:t>ing flowering, impairs </w:t>
            </w:r>
            <w:r>
              <w:rPr>
                <w:spacing w:val="-2"/>
                <w:sz w:val="18"/>
              </w:rPr>
              <w:t>pollen</w:t>
            </w:r>
            <w:r>
              <w:rPr>
                <w:spacing w:val="-9"/>
                <w:sz w:val="18"/>
              </w:rPr>
              <w:t> </w:t>
            </w:r>
            <w:r>
              <w:rPr>
                <w:spacing w:val="-2"/>
                <w:sz w:val="18"/>
              </w:rPr>
              <w:t>viability</w:t>
            </w:r>
            <w:r>
              <w:rPr>
                <w:spacing w:val="-9"/>
                <w:sz w:val="18"/>
              </w:rPr>
              <w:t> </w:t>
            </w:r>
            <w:r>
              <w:rPr>
                <w:spacing w:val="-2"/>
                <w:sz w:val="18"/>
              </w:rPr>
              <w:t>and</w:t>
            </w:r>
            <w:r>
              <w:rPr>
                <w:spacing w:val="-9"/>
                <w:sz w:val="18"/>
              </w:rPr>
              <w:t> </w:t>
            </w:r>
            <w:r>
              <w:rPr>
                <w:spacing w:val="-2"/>
                <w:sz w:val="18"/>
              </w:rPr>
              <w:t>fertil-</w:t>
            </w:r>
            <w:r>
              <w:rPr>
                <w:sz w:val="18"/>
              </w:rPr>
              <w:t>isation; directly reduces berry set</w:t>
            </w:r>
          </w:p>
        </w:tc>
      </w:tr>
      <w:tr>
        <w:trPr>
          <w:trHeight w:val="723" w:hRule="atLeast"/>
        </w:trPr>
        <w:tc>
          <w:tcPr>
            <w:tcW w:w="1524" w:type="dxa"/>
            <w:tcBorders>
              <w:right w:val="single" w:sz="4" w:space="0" w:color="000000"/>
            </w:tcBorders>
          </w:tcPr>
          <w:p>
            <w:pPr>
              <w:pStyle w:val="TableParagraph"/>
              <w:spacing w:line="254" w:lineRule="auto"/>
              <w:ind w:left="79"/>
              <w:rPr>
                <w:sz w:val="18"/>
              </w:rPr>
            </w:pPr>
            <w:r>
              <w:rPr>
                <w:spacing w:val="-2"/>
                <w:sz w:val="18"/>
              </w:rPr>
              <w:t>tm.days.less.15_ fl_y1_b15</w:t>
            </w:r>
          </w:p>
        </w:tc>
        <w:tc>
          <w:tcPr>
            <w:tcW w:w="1131" w:type="dxa"/>
            <w:tcBorders>
              <w:left w:val="single" w:sz="4" w:space="0" w:color="000000"/>
              <w:right w:val="single" w:sz="4" w:space="0" w:color="000000"/>
            </w:tcBorders>
          </w:tcPr>
          <w:p>
            <w:pPr>
              <w:pStyle w:val="TableParagraph"/>
              <w:tabs>
                <w:tab w:pos="707" w:val="left" w:leader="none"/>
              </w:tabs>
              <w:spacing w:line="187" w:lineRule="auto" w:before="69"/>
              <w:ind w:left="72" w:right="47" w:firstLine="5"/>
              <w:rPr>
                <w:sz w:val="18"/>
              </w:rPr>
            </w:pPr>
            <w:r>
              <w:rPr>
                <w:spacing w:val="-4"/>
                <w:sz w:val="18"/>
              </w:rPr>
              <w:t>Cold</w:t>
            </w:r>
            <w:r>
              <w:rPr>
                <w:sz w:val="18"/>
              </w:rPr>
              <w:tab/>
            </w:r>
            <w:r>
              <w:rPr>
                <w:spacing w:val="-4"/>
                <w:sz w:val="18"/>
              </w:rPr>
              <w:t>days </w:t>
            </w:r>
            <w:r>
              <w:rPr>
                <w:spacing w:val="-2"/>
                <w:w w:val="90"/>
                <w:sz w:val="18"/>
              </w:rPr>
              <w:t>(Tmed&lt;15</w:t>
            </w:r>
            <w:r>
              <w:rPr>
                <w:rFonts w:ascii="Meiryo UI" w:hAnsi="Meiryo UI"/>
                <w:i/>
                <w:spacing w:val="-2"/>
                <w:w w:val="90"/>
                <w:position w:val="7"/>
                <w:sz w:val="14"/>
              </w:rPr>
              <w:t>◦</w:t>
            </w:r>
            <w:r>
              <w:rPr>
                <w:spacing w:val="-2"/>
                <w:w w:val="90"/>
                <w:sz w:val="18"/>
              </w:rPr>
              <w:t>C)</w:t>
            </w:r>
          </w:p>
        </w:tc>
        <w:tc>
          <w:tcPr>
            <w:tcW w:w="961" w:type="dxa"/>
            <w:tcBorders>
              <w:left w:val="single" w:sz="4" w:space="0" w:color="000000"/>
              <w:right w:val="single" w:sz="4" w:space="0" w:color="000000"/>
            </w:tcBorders>
          </w:tcPr>
          <w:p>
            <w:pPr>
              <w:pStyle w:val="TableParagraph"/>
              <w:ind w:right="58"/>
              <w:jc w:val="center"/>
              <w:rPr>
                <w:sz w:val="18"/>
              </w:rPr>
            </w:pPr>
            <w:r>
              <w:rPr>
                <w:spacing w:val="-2"/>
                <w:sz w:val="18"/>
              </w:rPr>
              <w:t>Flowering</w:t>
            </w:r>
          </w:p>
        </w:tc>
        <w:tc>
          <w:tcPr>
            <w:tcW w:w="451" w:type="dxa"/>
            <w:tcBorders>
              <w:left w:val="single" w:sz="4" w:space="0" w:color="000000"/>
              <w:right w:val="single" w:sz="4" w:space="0" w:color="000000"/>
            </w:tcBorders>
          </w:tcPr>
          <w:p>
            <w:pPr>
              <w:pStyle w:val="TableParagraph"/>
              <w:ind w:left="78"/>
              <w:rPr>
                <w:sz w:val="18"/>
              </w:rPr>
            </w:pPr>
            <w:r>
              <w:rPr>
                <w:spacing w:val="-5"/>
                <w:sz w:val="18"/>
              </w:rPr>
              <w:t>y1</w:t>
            </w:r>
          </w:p>
        </w:tc>
        <w:tc>
          <w:tcPr>
            <w:tcW w:w="1075" w:type="dxa"/>
            <w:tcBorders>
              <w:left w:val="single" w:sz="4" w:space="0" w:color="000000"/>
              <w:right w:val="single" w:sz="4" w:space="0" w:color="000000"/>
            </w:tcBorders>
          </w:tcPr>
          <w:p>
            <w:pPr>
              <w:pStyle w:val="TableParagraph"/>
              <w:ind w:left="78"/>
              <w:rPr>
                <w:sz w:val="18"/>
              </w:rPr>
            </w:pPr>
            <w:r>
              <w:rPr>
                <w:sz w:val="18"/>
              </w:rPr>
              <w:t>15d</w:t>
            </w:r>
            <w:r>
              <w:rPr>
                <w:spacing w:val="-4"/>
                <w:sz w:val="18"/>
              </w:rPr>
              <w:t> </w:t>
            </w:r>
            <w:r>
              <w:rPr>
                <w:spacing w:val="-2"/>
                <w:sz w:val="18"/>
              </w:rPr>
              <w:t>before</w:t>
            </w:r>
          </w:p>
        </w:tc>
        <w:tc>
          <w:tcPr>
            <w:tcW w:w="621" w:type="dxa"/>
            <w:tcBorders>
              <w:left w:val="single" w:sz="4" w:space="0" w:color="000000"/>
              <w:right w:val="single" w:sz="4" w:space="0" w:color="000000"/>
            </w:tcBorders>
          </w:tcPr>
          <w:p>
            <w:pPr>
              <w:pStyle w:val="TableParagraph"/>
              <w:ind w:left="78"/>
              <w:rPr>
                <w:sz w:val="18"/>
              </w:rPr>
            </w:pPr>
            <w:r>
              <w:rPr>
                <w:spacing w:val="-4"/>
                <w:sz w:val="18"/>
              </w:rPr>
              <w:t>days</w:t>
            </w:r>
          </w:p>
        </w:tc>
        <w:tc>
          <w:tcPr>
            <w:tcW w:w="791" w:type="dxa"/>
            <w:tcBorders>
              <w:left w:val="single" w:sz="4" w:space="0" w:color="000000"/>
              <w:right w:val="single" w:sz="4" w:space="0" w:color="000000"/>
            </w:tcBorders>
          </w:tcPr>
          <w:p>
            <w:pPr>
              <w:pStyle w:val="TableParagraph"/>
              <w:ind w:left="78"/>
              <w:rPr>
                <w:sz w:val="18"/>
              </w:rPr>
            </w:pPr>
            <w:r>
              <w:rPr>
                <w:spacing w:val="-2"/>
                <w:sz w:val="18"/>
              </w:rPr>
              <w:t>Count</w:t>
            </w:r>
          </w:p>
        </w:tc>
        <w:tc>
          <w:tcPr>
            <w:tcW w:w="1950" w:type="dxa"/>
            <w:tcBorders>
              <w:left w:val="single" w:sz="4" w:space="0" w:color="000000"/>
            </w:tcBorders>
          </w:tcPr>
          <w:p>
            <w:pPr>
              <w:pStyle w:val="TableParagraph"/>
              <w:spacing w:line="254" w:lineRule="auto"/>
              <w:ind w:left="78" w:right="55"/>
              <w:jc w:val="both"/>
              <w:rPr>
                <w:sz w:val="18"/>
              </w:rPr>
            </w:pPr>
            <w:r>
              <w:rPr>
                <w:sz w:val="18"/>
              </w:rPr>
              <w:t>Pre-flowering</w:t>
            </w:r>
            <w:r>
              <w:rPr>
                <w:spacing w:val="-2"/>
                <w:sz w:val="18"/>
              </w:rPr>
              <w:t> </w:t>
            </w:r>
            <w:r>
              <w:rPr>
                <w:sz w:val="18"/>
              </w:rPr>
              <w:t>cold</w:t>
            </w:r>
            <w:r>
              <w:rPr>
                <w:spacing w:val="-2"/>
                <w:sz w:val="18"/>
              </w:rPr>
              <w:t> </w:t>
            </w:r>
            <w:r>
              <w:rPr>
                <w:sz w:val="18"/>
              </w:rPr>
              <w:t>days, cool conditions entering the flowering phase</w:t>
            </w:r>
          </w:p>
        </w:tc>
      </w:tr>
      <w:tr>
        <w:trPr>
          <w:trHeight w:val="1161" w:hRule="atLeast"/>
        </w:trPr>
        <w:tc>
          <w:tcPr>
            <w:tcW w:w="1524" w:type="dxa"/>
            <w:tcBorders>
              <w:right w:val="single" w:sz="4" w:space="0" w:color="000000"/>
            </w:tcBorders>
          </w:tcPr>
          <w:p>
            <w:pPr>
              <w:pStyle w:val="TableParagraph"/>
              <w:spacing w:line="254" w:lineRule="auto"/>
              <w:ind w:left="79"/>
              <w:rPr>
                <w:sz w:val="18"/>
              </w:rPr>
            </w:pPr>
            <w:r>
              <w:rPr>
                <w:spacing w:val="-2"/>
                <w:sz w:val="18"/>
              </w:rPr>
              <w:t>days_ minTemp.less.0_ bb_y1_c20</w:t>
            </w:r>
          </w:p>
        </w:tc>
        <w:tc>
          <w:tcPr>
            <w:tcW w:w="1131" w:type="dxa"/>
            <w:tcBorders>
              <w:left w:val="single" w:sz="4" w:space="0" w:color="000000"/>
              <w:right w:val="single" w:sz="4" w:space="0" w:color="000000"/>
            </w:tcBorders>
          </w:tcPr>
          <w:p>
            <w:pPr>
              <w:pStyle w:val="TableParagraph"/>
              <w:tabs>
                <w:tab w:pos="707" w:val="left" w:leader="none"/>
              </w:tabs>
              <w:spacing w:line="187" w:lineRule="auto" w:before="69"/>
              <w:ind w:left="72" w:right="76" w:firstLine="5"/>
              <w:rPr>
                <w:sz w:val="18"/>
              </w:rPr>
            </w:pPr>
            <w:r>
              <w:rPr>
                <w:spacing w:val="-2"/>
                <w:sz w:val="18"/>
              </w:rPr>
              <w:t>Frost</w:t>
            </w:r>
            <w:r>
              <w:rPr>
                <w:sz w:val="18"/>
              </w:rPr>
              <w:tab/>
            </w:r>
            <w:r>
              <w:rPr>
                <w:spacing w:val="-4"/>
                <w:sz w:val="18"/>
              </w:rPr>
              <w:t>days </w:t>
            </w:r>
            <w:r>
              <w:rPr>
                <w:spacing w:val="-2"/>
                <w:sz w:val="18"/>
              </w:rPr>
              <w:t>(Tmin&lt;0</w:t>
            </w:r>
            <w:r>
              <w:rPr>
                <w:rFonts w:ascii="Meiryo UI" w:hAnsi="Meiryo UI"/>
                <w:i/>
                <w:spacing w:val="-2"/>
                <w:position w:val="7"/>
                <w:sz w:val="14"/>
              </w:rPr>
              <w:t>◦</w:t>
            </w:r>
            <w:r>
              <w:rPr>
                <w:spacing w:val="-2"/>
                <w:sz w:val="18"/>
              </w:rPr>
              <w:t>C)</w:t>
            </w:r>
          </w:p>
        </w:tc>
        <w:tc>
          <w:tcPr>
            <w:tcW w:w="961" w:type="dxa"/>
            <w:tcBorders>
              <w:left w:val="single" w:sz="4" w:space="0" w:color="000000"/>
              <w:right w:val="single" w:sz="4" w:space="0" w:color="000000"/>
            </w:tcBorders>
          </w:tcPr>
          <w:p>
            <w:pPr>
              <w:pStyle w:val="TableParagraph"/>
              <w:ind w:left="39" w:right="58"/>
              <w:jc w:val="center"/>
              <w:rPr>
                <w:sz w:val="18"/>
              </w:rPr>
            </w:pPr>
            <w:r>
              <w:rPr>
                <w:sz w:val="18"/>
              </w:rPr>
              <w:t>Bud</w:t>
            </w:r>
            <w:r>
              <w:rPr>
                <w:spacing w:val="-6"/>
                <w:sz w:val="18"/>
              </w:rPr>
              <w:t> </w:t>
            </w:r>
            <w:r>
              <w:rPr>
                <w:spacing w:val="-2"/>
                <w:sz w:val="18"/>
              </w:rPr>
              <w:t>Break</w:t>
            </w:r>
          </w:p>
        </w:tc>
        <w:tc>
          <w:tcPr>
            <w:tcW w:w="451" w:type="dxa"/>
            <w:tcBorders>
              <w:left w:val="single" w:sz="4" w:space="0" w:color="000000"/>
              <w:right w:val="single" w:sz="4" w:space="0" w:color="000000"/>
            </w:tcBorders>
          </w:tcPr>
          <w:p>
            <w:pPr>
              <w:pStyle w:val="TableParagraph"/>
              <w:ind w:left="78"/>
              <w:rPr>
                <w:sz w:val="18"/>
              </w:rPr>
            </w:pPr>
            <w:r>
              <w:rPr>
                <w:spacing w:val="-5"/>
                <w:sz w:val="18"/>
              </w:rPr>
              <w:t>y1</w:t>
            </w:r>
          </w:p>
        </w:tc>
        <w:tc>
          <w:tcPr>
            <w:tcW w:w="1075" w:type="dxa"/>
            <w:tcBorders>
              <w:left w:val="single" w:sz="4" w:space="0" w:color="000000"/>
              <w:right w:val="single" w:sz="4" w:space="0" w:color="000000"/>
            </w:tcBorders>
          </w:tcPr>
          <w:p>
            <w:pPr>
              <w:pStyle w:val="TableParagraph"/>
              <w:spacing w:line="186" w:lineRule="exact"/>
              <w:ind w:left="78"/>
              <w:rPr>
                <w:sz w:val="18"/>
              </w:rPr>
            </w:pPr>
            <w:r>
              <w:rPr>
                <w:spacing w:val="-2"/>
                <w:sz w:val="18"/>
              </w:rPr>
              <w:t>centred</w:t>
            </w:r>
          </w:p>
          <w:p>
            <w:pPr>
              <w:pStyle w:val="TableParagraph"/>
              <w:spacing w:line="277" w:lineRule="exact" w:before="0"/>
              <w:ind w:left="78"/>
              <w:rPr>
                <w:sz w:val="18"/>
              </w:rPr>
            </w:pPr>
            <w:r>
              <w:rPr>
                <w:rFonts w:ascii="Meiryo UI" w:hAnsi="Meiryo UI"/>
                <w:i/>
                <w:spacing w:val="-4"/>
                <w:sz w:val="18"/>
              </w:rPr>
              <w:t>±</w:t>
            </w:r>
            <w:r>
              <w:rPr>
                <w:spacing w:val="-4"/>
                <w:sz w:val="18"/>
              </w:rPr>
              <w:t>20d</w:t>
            </w:r>
          </w:p>
        </w:tc>
        <w:tc>
          <w:tcPr>
            <w:tcW w:w="621" w:type="dxa"/>
            <w:tcBorders>
              <w:left w:val="single" w:sz="4" w:space="0" w:color="000000"/>
              <w:right w:val="single" w:sz="4" w:space="0" w:color="000000"/>
            </w:tcBorders>
          </w:tcPr>
          <w:p>
            <w:pPr>
              <w:pStyle w:val="TableParagraph"/>
              <w:ind w:left="78"/>
              <w:rPr>
                <w:sz w:val="18"/>
              </w:rPr>
            </w:pPr>
            <w:r>
              <w:rPr>
                <w:spacing w:val="-4"/>
                <w:sz w:val="18"/>
              </w:rPr>
              <w:t>days</w:t>
            </w:r>
          </w:p>
        </w:tc>
        <w:tc>
          <w:tcPr>
            <w:tcW w:w="791" w:type="dxa"/>
            <w:tcBorders>
              <w:left w:val="single" w:sz="4" w:space="0" w:color="000000"/>
              <w:right w:val="single" w:sz="4" w:space="0" w:color="000000"/>
            </w:tcBorders>
          </w:tcPr>
          <w:p>
            <w:pPr>
              <w:pStyle w:val="TableParagraph"/>
              <w:ind w:left="78"/>
              <w:rPr>
                <w:sz w:val="18"/>
              </w:rPr>
            </w:pPr>
            <w:r>
              <w:rPr>
                <w:spacing w:val="-2"/>
                <w:sz w:val="18"/>
              </w:rPr>
              <w:t>Count</w:t>
            </w:r>
          </w:p>
        </w:tc>
        <w:tc>
          <w:tcPr>
            <w:tcW w:w="1950" w:type="dxa"/>
            <w:tcBorders>
              <w:left w:val="single" w:sz="4" w:space="0" w:color="000000"/>
            </w:tcBorders>
          </w:tcPr>
          <w:p>
            <w:pPr>
              <w:pStyle w:val="TableParagraph"/>
              <w:spacing w:line="254" w:lineRule="auto"/>
              <w:ind w:left="78" w:right="55"/>
              <w:jc w:val="both"/>
              <w:rPr>
                <w:sz w:val="18"/>
              </w:rPr>
            </w:pPr>
            <w:r>
              <w:rPr>
                <w:sz w:val="18"/>
              </w:rPr>
              <w:t>Frost days at </w:t>
            </w:r>
            <w:r>
              <w:rPr>
                <w:sz w:val="18"/>
              </w:rPr>
              <w:t>budburst, potential spring frost damage to emerging shoots; severe frosts can destroy entire crop</w:t>
            </w:r>
          </w:p>
        </w:tc>
      </w:tr>
      <w:tr>
        <w:trPr>
          <w:trHeight w:val="723" w:hRule="atLeast"/>
        </w:trPr>
        <w:tc>
          <w:tcPr>
            <w:tcW w:w="1524" w:type="dxa"/>
            <w:tcBorders>
              <w:right w:val="single" w:sz="4" w:space="0" w:color="000000"/>
            </w:tcBorders>
          </w:tcPr>
          <w:p>
            <w:pPr>
              <w:pStyle w:val="TableParagraph"/>
              <w:spacing w:line="254" w:lineRule="auto"/>
              <w:ind w:left="79" w:right="-44"/>
              <w:rPr>
                <w:sz w:val="18"/>
              </w:rPr>
            </w:pPr>
            <w:r>
              <w:rPr>
                <w:spacing w:val="-4"/>
                <w:sz w:val="18"/>
              </w:rPr>
              <w:t>days.minTemp.less.0 </w:t>
            </w:r>
            <w:r>
              <w:rPr>
                <w:spacing w:val="-2"/>
                <w:sz w:val="18"/>
              </w:rPr>
              <w:t>bb_y1_a30</w:t>
            </w:r>
          </w:p>
        </w:tc>
        <w:tc>
          <w:tcPr>
            <w:tcW w:w="1131" w:type="dxa"/>
            <w:tcBorders>
              <w:left w:val="single" w:sz="4" w:space="0" w:color="000000"/>
              <w:right w:val="single" w:sz="4" w:space="0" w:color="000000"/>
            </w:tcBorders>
          </w:tcPr>
          <w:p>
            <w:pPr>
              <w:pStyle w:val="TableParagraph"/>
              <w:tabs>
                <w:tab w:pos="707" w:val="left" w:leader="none"/>
              </w:tabs>
              <w:spacing w:line="187" w:lineRule="auto" w:before="69"/>
              <w:ind w:left="72" w:right="76" w:hanging="46"/>
              <w:rPr>
                <w:sz w:val="18"/>
              </w:rPr>
            </w:pPr>
            <w:r>
              <w:rPr>
                <w:spacing w:val="-2"/>
                <w:sz w:val="18"/>
              </w:rPr>
              <w:t>_Frost</w:t>
            </w:r>
            <w:r>
              <w:rPr>
                <w:sz w:val="18"/>
              </w:rPr>
              <w:tab/>
            </w:r>
            <w:r>
              <w:rPr>
                <w:spacing w:val="-4"/>
                <w:sz w:val="18"/>
              </w:rPr>
              <w:t>days </w:t>
            </w:r>
            <w:r>
              <w:rPr>
                <w:spacing w:val="-2"/>
                <w:sz w:val="18"/>
              </w:rPr>
              <w:t>(Tmin&lt;0</w:t>
            </w:r>
            <w:r>
              <w:rPr>
                <w:rFonts w:ascii="Meiryo UI" w:hAnsi="Meiryo UI"/>
                <w:i/>
                <w:spacing w:val="-2"/>
                <w:position w:val="7"/>
                <w:sz w:val="14"/>
              </w:rPr>
              <w:t>◦</w:t>
            </w:r>
            <w:r>
              <w:rPr>
                <w:spacing w:val="-2"/>
                <w:sz w:val="18"/>
              </w:rPr>
              <w:t>C)</w:t>
            </w:r>
          </w:p>
        </w:tc>
        <w:tc>
          <w:tcPr>
            <w:tcW w:w="961" w:type="dxa"/>
            <w:tcBorders>
              <w:left w:val="single" w:sz="4" w:space="0" w:color="000000"/>
              <w:right w:val="single" w:sz="4" w:space="0" w:color="000000"/>
            </w:tcBorders>
          </w:tcPr>
          <w:p>
            <w:pPr>
              <w:pStyle w:val="TableParagraph"/>
              <w:ind w:left="39" w:right="58"/>
              <w:jc w:val="center"/>
              <w:rPr>
                <w:sz w:val="18"/>
              </w:rPr>
            </w:pPr>
            <w:r>
              <w:rPr>
                <w:sz w:val="18"/>
              </w:rPr>
              <w:t>Bud</w:t>
            </w:r>
            <w:r>
              <w:rPr>
                <w:spacing w:val="-6"/>
                <w:sz w:val="18"/>
              </w:rPr>
              <w:t> </w:t>
            </w:r>
            <w:r>
              <w:rPr>
                <w:spacing w:val="-2"/>
                <w:sz w:val="18"/>
              </w:rPr>
              <w:t>Break</w:t>
            </w:r>
          </w:p>
        </w:tc>
        <w:tc>
          <w:tcPr>
            <w:tcW w:w="451" w:type="dxa"/>
            <w:tcBorders>
              <w:left w:val="single" w:sz="4" w:space="0" w:color="000000"/>
              <w:right w:val="single" w:sz="4" w:space="0" w:color="000000"/>
            </w:tcBorders>
          </w:tcPr>
          <w:p>
            <w:pPr>
              <w:pStyle w:val="TableParagraph"/>
              <w:ind w:left="78"/>
              <w:rPr>
                <w:sz w:val="18"/>
              </w:rPr>
            </w:pPr>
            <w:r>
              <w:rPr>
                <w:spacing w:val="-5"/>
                <w:sz w:val="18"/>
              </w:rPr>
              <w:t>y1</w:t>
            </w:r>
          </w:p>
        </w:tc>
        <w:tc>
          <w:tcPr>
            <w:tcW w:w="1075" w:type="dxa"/>
            <w:tcBorders>
              <w:left w:val="single" w:sz="4" w:space="0" w:color="000000"/>
              <w:right w:val="single" w:sz="4" w:space="0" w:color="000000"/>
            </w:tcBorders>
          </w:tcPr>
          <w:p>
            <w:pPr>
              <w:pStyle w:val="TableParagraph"/>
              <w:ind w:left="78"/>
              <w:rPr>
                <w:sz w:val="18"/>
              </w:rPr>
            </w:pPr>
            <w:r>
              <w:rPr>
                <w:sz w:val="18"/>
              </w:rPr>
              <w:t>30d</w:t>
            </w:r>
            <w:r>
              <w:rPr>
                <w:spacing w:val="-4"/>
                <w:sz w:val="18"/>
              </w:rPr>
              <w:t> after</w:t>
            </w:r>
          </w:p>
        </w:tc>
        <w:tc>
          <w:tcPr>
            <w:tcW w:w="621" w:type="dxa"/>
            <w:tcBorders>
              <w:left w:val="single" w:sz="4" w:space="0" w:color="000000"/>
              <w:right w:val="single" w:sz="4" w:space="0" w:color="000000"/>
            </w:tcBorders>
          </w:tcPr>
          <w:p>
            <w:pPr>
              <w:pStyle w:val="TableParagraph"/>
              <w:ind w:left="78"/>
              <w:rPr>
                <w:sz w:val="18"/>
              </w:rPr>
            </w:pPr>
            <w:r>
              <w:rPr>
                <w:spacing w:val="-4"/>
                <w:sz w:val="18"/>
              </w:rPr>
              <w:t>days</w:t>
            </w:r>
          </w:p>
        </w:tc>
        <w:tc>
          <w:tcPr>
            <w:tcW w:w="791" w:type="dxa"/>
            <w:tcBorders>
              <w:left w:val="single" w:sz="4" w:space="0" w:color="000000"/>
              <w:right w:val="single" w:sz="4" w:space="0" w:color="000000"/>
            </w:tcBorders>
          </w:tcPr>
          <w:p>
            <w:pPr>
              <w:pStyle w:val="TableParagraph"/>
              <w:ind w:left="78"/>
              <w:rPr>
                <w:sz w:val="18"/>
              </w:rPr>
            </w:pPr>
            <w:r>
              <w:rPr>
                <w:spacing w:val="-2"/>
                <w:sz w:val="18"/>
              </w:rPr>
              <w:t>Count</w:t>
            </w:r>
          </w:p>
        </w:tc>
        <w:tc>
          <w:tcPr>
            <w:tcW w:w="1950" w:type="dxa"/>
            <w:tcBorders>
              <w:left w:val="single" w:sz="4" w:space="0" w:color="000000"/>
            </w:tcBorders>
          </w:tcPr>
          <w:p>
            <w:pPr>
              <w:pStyle w:val="TableParagraph"/>
              <w:spacing w:line="254" w:lineRule="auto"/>
              <w:ind w:left="71" w:right="73" w:firstLine="6"/>
              <w:jc w:val="both"/>
              <w:rPr>
                <w:sz w:val="18"/>
              </w:rPr>
            </w:pPr>
            <w:r>
              <w:rPr>
                <w:sz w:val="18"/>
              </w:rPr>
              <w:t>Post-budburst frost </w:t>
            </w:r>
            <w:r>
              <w:rPr>
                <w:sz w:val="18"/>
              </w:rPr>
              <w:t>risk window, young shoots most vulnerable</w:t>
            </w:r>
          </w:p>
        </w:tc>
      </w:tr>
      <w:tr>
        <w:trPr>
          <w:trHeight w:val="979" w:hRule="atLeast"/>
        </w:trPr>
        <w:tc>
          <w:tcPr>
            <w:tcW w:w="1524" w:type="dxa"/>
            <w:tcBorders>
              <w:bottom w:val="single" w:sz="8" w:space="0" w:color="000000"/>
              <w:right w:val="single" w:sz="4" w:space="0" w:color="000000"/>
            </w:tcBorders>
          </w:tcPr>
          <w:p>
            <w:pPr>
              <w:pStyle w:val="TableParagraph"/>
              <w:spacing w:line="254" w:lineRule="auto"/>
              <w:ind w:left="79" w:right="-44"/>
              <w:rPr>
                <w:sz w:val="18"/>
              </w:rPr>
            </w:pPr>
            <w:r>
              <w:rPr>
                <w:spacing w:val="-4"/>
                <w:sz w:val="18"/>
              </w:rPr>
              <w:t>days.minTemp.less.0 </w:t>
            </w:r>
            <w:r>
              <w:rPr>
                <w:spacing w:val="-2"/>
                <w:sz w:val="18"/>
              </w:rPr>
              <w:t>fl_y1_a10</w:t>
            </w:r>
          </w:p>
        </w:tc>
        <w:tc>
          <w:tcPr>
            <w:tcW w:w="1131" w:type="dxa"/>
            <w:tcBorders>
              <w:left w:val="single" w:sz="4" w:space="0" w:color="000000"/>
              <w:bottom w:val="single" w:sz="8" w:space="0" w:color="000000"/>
              <w:right w:val="single" w:sz="4" w:space="0" w:color="000000"/>
            </w:tcBorders>
          </w:tcPr>
          <w:p>
            <w:pPr>
              <w:pStyle w:val="TableParagraph"/>
              <w:tabs>
                <w:tab w:pos="707" w:val="left" w:leader="none"/>
              </w:tabs>
              <w:spacing w:line="187" w:lineRule="auto" w:before="69"/>
              <w:ind w:left="72" w:right="76" w:hanging="46"/>
              <w:rPr>
                <w:sz w:val="18"/>
              </w:rPr>
            </w:pPr>
            <w:r>
              <w:rPr>
                <w:spacing w:val="-2"/>
                <w:sz w:val="18"/>
              </w:rPr>
              <w:t>_Frost</w:t>
            </w:r>
            <w:r>
              <w:rPr>
                <w:sz w:val="18"/>
              </w:rPr>
              <w:tab/>
            </w:r>
            <w:r>
              <w:rPr>
                <w:spacing w:val="-4"/>
                <w:sz w:val="18"/>
              </w:rPr>
              <w:t>days </w:t>
            </w:r>
            <w:r>
              <w:rPr>
                <w:spacing w:val="-2"/>
                <w:sz w:val="18"/>
              </w:rPr>
              <w:t>(Tmin&lt;0</w:t>
            </w:r>
            <w:r>
              <w:rPr>
                <w:rFonts w:ascii="Meiryo UI" w:hAnsi="Meiryo UI"/>
                <w:i/>
                <w:spacing w:val="-2"/>
                <w:position w:val="7"/>
                <w:sz w:val="14"/>
              </w:rPr>
              <w:t>◦</w:t>
            </w:r>
            <w:r>
              <w:rPr>
                <w:spacing w:val="-2"/>
                <w:sz w:val="18"/>
              </w:rPr>
              <w:t>C)</w:t>
            </w:r>
          </w:p>
        </w:tc>
        <w:tc>
          <w:tcPr>
            <w:tcW w:w="961" w:type="dxa"/>
            <w:tcBorders>
              <w:left w:val="single" w:sz="4" w:space="0" w:color="000000"/>
              <w:bottom w:val="single" w:sz="8" w:space="0" w:color="000000"/>
              <w:right w:val="single" w:sz="4" w:space="0" w:color="000000"/>
            </w:tcBorders>
          </w:tcPr>
          <w:p>
            <w:pPr>
              <w:pStyle w:val="TableParagraph"/>
              <w:ind w:right="58"/>
              <w:jc w:val="center"/>
              <w:rPr>
                <w:sz w:val="18"/>
              </w:rPr>
            </w:pPr>
            <w:r>
              <w:rPr>
                <w:spacing w:val="-2"/>
                <w:sz w:val="18"/>
              </w:rPr>
              <w:t>Flowering</w:t>
            </w:r>
          </w:p>
        </w:tc>
        <w:tc>
          <w:tcPr>
            <w:tcW w:w="451" w:type="dxa"/>
            <w:tcBorders>
              <w:left w:val="single" w:sz="4" w:space="0" w:color="000000"/>
              <w:bottom w:val="single" w:sz="8" w:space="0" w:color="000000"/>
              <w:right w:val="single" w:sz="4" w:space="0" w:color="000000"/>
            </w:tcBorders>
          </w:tcPr>
          <w:p>
            <w:pPr>
              <w:pStyle w:val="TableParagraph"/>
              <w:ind w:left="78"/>
              <w:rPr>
                <w:sz w:val="18"/>
              </w:rPr>
            </w:pPr>
            <w:r>
              <w:rPr>
                <w:spacing w:val="-5"/>
                <w:sz w:val="18"/>
              </w:rPr>
              <w:t>y1</w:t>
            </w:r>
          </w:p>
        </w:tc>
        <w:tc>
          <w:tcPr>
            <w:tcW w:w="1075" w:type="dxa"/>
            <w:tcBorders>
              <w:left w:val="single" w:sz="4" w:space="0" w:color="000000"/>
              <w:bottom w:val="single" w:sz="8" w:space="0" w:color="000000"/>
              <w:right w:val="single" w:sz="4" w:space="0" w:color="000000"/>
            </w:tcBorders>
          </w:tcPr>
          <w:p>
            <w:pPr>
              <w:pStyle w:val="TableParagraph"/>
              <w:ind w:left="78"/>
              <w:rPr>
                <w:sz w:val="18"/>
              </w:rPr>
            </w:pPr>
            <w:r>
              <w:rPr>
                <w:sz w:val="18"/>
              </w:rPr>
              <w:t>10d</w:t>
            </w:r>
            <w:r>
              <w:rPr>
                <w:spacing w:val="-4"/>
                <w:sz w:val="18"/>
              </w:rPr>
              <w:t> after</w:t>
            </w:r>
          </w:p>
        </w:tc>
        <w:tc>
          <w:tcPr>
            <w:tcW w:w="621" w:type="dxa"/>
            <w:tcBorders>
              <w:left w:val="single" w:sz="4" w:space="0" w:color="000000"/>
              <w:bottom w:val="single" w:sz="8" w:space="0" w:color="000000"/>
              <w:right w:val="single" w:sz="4" w:space="0" w:color="000000"/>
            </w:tcBorders>
          </w:tcPr>
          <w:p>
            <w:pPr>
              <w:pStyle w:val="TableParagraph"/>
              <w:ind w:left="78"/>
              <w:rPr>
                <w:sz w:val="18"/>
              </w:rPr>
            </w:pPr>
            <w:r>
              <w:rPr>
                <w:spacing w:val="-4"/>
                <w:sz w:val="18"/>
              </w:rPr>
              <w:t>days</w:t>
            </w:r>
          </w:p>
        </w:tc>
        <w:tc>
          <w:tcPr>
            <w:tcW w:w="791" w:type="dxa"/>
            <w:tcBorders>
              <w:left w:val="single" w:sz="4" w:space="0" w:color="000000"/>
              <w:bottom w:val="single" w:sz="8" w:space="0" w:color="000000"/>
              <w:right w:val="single" w:sz="4" w:space="0" w:color="000000"/>
            </w:tcBorders>
          </w:tcPr>
          <w:p>
            <w:pPr>
              <w:pStyle w:val="TableParagraph"/>
              <w:ind w:left="78"/>
              <w:rPr>
                <w:sz w:val="18"/>
              </w:rPr>
            </w:pPr>
            <w:r>
              <w:rPr>
                <w:spacing w:val="-2"/>
                <w:sz w:val="18"/>
              </w:rPr>
              <w:t>Count</w:t>
            </w:r>
          </w:p>
        </w:tc>
        <w:tc>
          <w:tcPr>
            <w:tcW w:w="1950" w:type="dxa"/>
            <w:tcBorders>
              <w:left w:val="single" w:sz="4" w:space="0" w:color="000000"/>
              <w:bottom w:val="single" w:sz="8" w:space="0" w:color="000000"/>
            </w:tcBorders>
          </w:tcPr>
          <w:p>
            <w:pPr>
              <w:pStyle w:val="TableParagraph"/>
              <w:spacing w:line="254" w:lineRule="auto"/>
              <w:ind w:left="78" w:right="55"/>
              <w:jc w:val="both"/>
              <w:rPr>
                <w:sz w:val="18"/>
              </w:rPr>
            </w:pPr>
            <w:r>
              <w:rPr>
                <w:sz w:val="18"/>
              </w:rPr>
              <w:t>Late frost at </w:t>
            </w:r>
            <w:r>
              <w:rPr>
                <w:sz w:val="18"/>
              </w:rPr>
              <w:t>flowering, unusual but damaging frost events during fruit </w:t>
            </w:r>
            <w:r>
              <w:rPr>
                <w:spacing w:val="-4"/>
                <w:sz w:val="18"/>
              </w:rPr>
              <w:t>set</w:t>
            </w:r>
          </w:p>
        </w:tc>
      </w:tr>
    </w:tbl>
    <w:p>
      <w:pPr>
        <w:pStyle w:val="BodyText"/>
        <w:spacing w:before="212"/>
        <w:rPr>
          <w:sz w:val="20"/>
        </w:rPr>
      </w:pPr>
    </w:p>
    <w:p>
      <w:pPr>
        <w:spacing w:before="0"/>
        <w:ind w:left="601" w:right="888" w:firstLine="0"/>
        <w:jc w:val="center"/>
        <w:rPr>
          <w:sz w:val="20"/>
        </w:rPr>
      </w:pPr>
      <w:r>
        <w:rPr>
          <w:b/>
          <w:sz w:val="20"/>
        </w:rPr>
        <w:t>Table</w:t>
      </w:r>
      <w:r>
        <w:rPr>
          <w:b/>
          <w:spacing w:val="-7"/>
          <w:sz w:val="20"/>
        </w:rPr>
        <w:t> </w:t>
      </w:r>
      <w:r>
        <w:rPr>
          <w:b/>
          <w:sz w:val="20"/>
        </w:rPr>
        <w:t>C.4:</w:t>
      </w:r>
      <w:r>
        <w:rPr>
          <w:b/>
          <w:spacing w:val="3"/>
          <w:sz w:val="20"/>
        </w:rPr>
        <w:t> </w:t>
      </w:r>
      <w:r>
        <w:rPr>
          <w:sz w:val="20"/>
        </w:rPr>
        <w:t>Rainfall</w:t>
      </w:r>
      <w:r>
        <w:rPr>
          <w:spacing w:val="-7"/>
          <w:sz w:val="20"/>
        </w:rPr>
        <w:t> </w:t>
      </w:r>
      <w:r>
        <w:rPr>
          <w:sz w:val="20"/>
        </w:rPr>
        <w:t>total</w:t>
      </w:r>
      <w:r>
        <w:rPr>
          <w:spacing w:val="-7"/>
          <w:sz w:val="20"/>
        </w:rPr>
        <w:t> </w:t>
      </w:r>
      <w:r>
        <w:rPr>
          <w:sz w:val="20"/>
        </w:rPr>
        <w:t>and</w:t>
      </w:r>
      <w:r>
        <w:rPr>
          <w:spacing w:val="-7"/>
          <w:sz w:val="20"/>
        </w:rPr>
        <w:t> </w:t>
      </w:r>
      <w:r>
        <w:rPr>
          <w:sz w:val="20"/>
        </w:rPr>
        <w:t>wet</w:t>
      </w:r>
      <w:r>
        <w:rPr>
          <w:spacing w:val="-6"/>
          <w:sz w:val="20"/>
        </w:rPr>
        <w:t> </w:t>
      </w:r>
      <w:r>
        <w:rPr>
          <w:sz w:val="20"/>
        </w:rPr>
        <w:t>day</w:t>
      </w:r>
      <w:r>
        <w:rPr>
          <w:spacing w:val="-7"/>
          <w:sz w:val="20"/>
        </w:rPr>
        <w:t> </w:t>
      </w:r>
      <w:r>
        <w:rPr>
          <w:sz w:val="20"/>
        </w:rPr>
        <w:t>count</w:t>
      </w:r>
      <w:r>
        <w:rPr>
          <w:spacing w:val="-7"/>
          <w:sz w:val="20"/>
        </w:rPr>
        <w:t> </w:t>
      </w:r>
      <w:r>
        <w:rPr>
          <w:sz w:val="20"/>
        </w:rPr>
        <w:t>features</w:t>
      </w:r>
      <w:r>
        <w:rPr>
          <w:spacing w:val="-7"/>
          <w:sz w:val="20"/>
        </w:rPr>
        <w:t> </w:t>
      </w:r>
      <w:r>
        <w:rPr>
          <w:sz w:val="20"/>
        </w:rPr>
        <w:t>(8</w:t>
      </w:r>
      <w:r>
        <w:rPr>
          <w:spacing w:val="-7"/>
          <w:sz w:val="20"/>
        </w:rPr>
        <w:t> </w:t>
      </w:r>
      <w:r>
        <w:rPr>
          <w:spacing w:val="-2"/>
          <w:sz w:val="20"/>
        </w:rPr>
        <w:t>features).</w:t>
      </w:r>
    </w:p>
    <w:p>
      <w:pPr>
        <w:pStyle w:val="BodyText"/>
        <w:spacing w:before="5"/>
        <w:rPr>
          <w:sz w:val="18"/>
        </w:rPr>
      </w:pPr>
      <w:r>
        <w:rPr>
          <w:sz w:val="18"/>
        </w:rPr>
        <mc:AlternateContent>
          <mc:Choice Requires="wps">
            <w:drawing>
              <wp:anchor distT="0" distB="0" distL="0" distR="0" allowOverlap="1" layoutInCell="1" locked="0" behindDoc="1" simplePos="0" relativeHeight="487642624">
                <wp:simplePos x="0" y="0"/>
                <wp:positionH relativeFrom="page">
                  <wp:posOffset>1280629</wp:posOffset>
                </wp:positionH>
                <wp:positionV relativeFrom="paragraph">
                  <wp:posOffset>150181</wp:posOffset>
                </wp:positionV>
                <wp:extent cx="5358765" cy="1270"/>
                <wp:effectExtent l="0" t="0" r="0" b="0"/>
                <wp:wrapTopAndBottom/>
                <wp:docPr id="296" name="Graphic 296"/>
                <wp:cNvGraphicFramePr>
                  <a:graphicFrameLocks/>
                </wp:cNvGraphicFramePr>
                <a:graphic>
                  <a:graphicData uri="http://schemas.microsoft.com/office/word/2010/wordprocessingShape">
                    <wps:wsp>
                      <wps:cNvPr id="296" name="Graphic 296"/>
                      <wps:cNvSpPr/>
                      <wps:spPr>
                        <a:xfrm>
                          <a:off x="0" y="0"/>
                          <a:ext cx="5358765" cy="1270"/>
                        </a:xfrm>
                        <a:custGeom>
                          <a:avLst/>
                          <a:gdLst/>
                          <a:ahLst/>
                          <a:cxnLst/>
                          <a:rect l="l" t="t" r="r" b="b"/>
                          <a:pathLst>
                            <a:path w="5358765" h="0">
                              <a:moveTo>
                                <a:pt x="0" y="0"/>
                              </a:moveTo>
                              <a:lnTo>
                                <a:pt x="5358739"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0.836998pt;margin-top:11.825344pt;width:421.95pt;height:.1pt;mso-position-horizontal-relative:page;mso-position-vertical-relative:paragraph;z-index:-15673856;mso-wrap-distance-left:0;mso-wrap-distance-right:0" id="docshape259" coordorigin="2017,237" coordsize="8439,0" path="m2017,237l10456,237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7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03"/>
        <w:gridCol w:w="978"/>
        <w:gridCol w:w="808"/>
        <w:gridCol w:w="354"/>
        <w:gridCol w:w="921"/>
        <w:gridCol w:w="524"/>
        <w:gridCol w:w="637"/>
        <w:gridCol w:w="2877"/>
      </w:tblGrid>
      <w:tr>
        <w:trPr>
          <w:trHeight w:val="381" w:hRule="atLeast"/>
        </w:trPr>
        <w:tc>
          <w:tcPr>
            <w:tcW w:w="1403" w:type="dxa"/>
            <w:tcBorders>
              <w:top w:val="nil"/>
              <w:left w:val="nil"/>
              <w:right w:val="single" w:sz="4" w:space="0" w:color="000000"/>
            </w:tcBorders>
          </w:tcPr>
          <w:p>
            <w:pPr>
              <w:pStyle w:val="TableParagraph"/>
              <w:spacing w:before="74"/>
              <w:ind w:left="92"/>
              <w:rPr>
                <w:sz w:val="18"/>
              </w:rPr>
            </w:pPr>
            <w:r>
              <w:rPr>
                <w:sz w:val="18"/>
              </w:rPr>
              <w:t>Feature</w:t>
            </w:r>
            <w:r>
              <w:rPr>
                <w:spacing w:val="-7"/>
                <w:sz w:val="18"/>
              </w:rPr>
              <w:t> </w:t>
            </w:r>
            <w:r>
              <w:rPr>
                <w:spacing w:val="-4"/>
                <w:sz w:val="18"/>
              </w:rPr>
              <w:t>name</w:t>
            </w:r>
          </w:p>
        </w:tc>
        <w:tc>
          <w:tcPr>
            <w:tcW w:w="978" w:type="dxa"/>
            <w:tcBorders>
              <w:top w:val="nil"/>
              <w:left w:val="single" w:sz="4" w:space="0" w:color="000000"/>
              <w:right w:val="single" w:sz="4" w:space="0" w:color="000000"/>
            </w:tcBorders>
          </w:tcPr>
          <w:p>
            <w:pPr>
              <w:pStyle w:val="TableParagraph"/>
              <w:spacing w:before="74"/>
              <w:ind w:left="59"/>
              <w:rPr>
                <w:sz w:val="18"/>
              </w:rPr>
            </w:pPr>
            <w:r>
              <w:rPr>
                <w:spacing w:val="-2"/>
                <w:sz w:val="18"/>
              </w:rPr>
              <w:t>Variable</w:t>
            </w:r>
          </w:p>
        </w:tc>
        <w:tc>
          <w:tcPr>
            <w:tcW w:w="808" w:type="dxa"/>
            <w:tcBorders>
              <w:top w:val="nil"/>
              <w:left w:val="single" w:sz="4" w:space="0" w:color="000000"/>
              <w:right w:val="single" w:sz="4" w:space="0" w:color="000000"/>
            </w:tcBorders>
          </w:tcPr>
          <w:p>
            <w:pPr>
              <w:pStyle w:val="TableParagraph"/>
              <w:spacing w:before="74"/>
              <w:ind w:left="58"/>
              <w:rPr>
                <w:sz w:val="18"/>
              </w:rPr>
            </w:pPr>
            <w:r>
              <w:rPr>
                <w:spacing w:val="-2"/>
                <w:sz w:val="18"/>
              </w:rPr>
              <w:t>Stage</w:t>
            </w:r>
          </w:p>
        </w:tc>
        <w:tc>
          <w:tcPr>
            <w:tcW w:w="354" w:type="dxa"/>
            <w:tcBorders>
              <w:top w:val="nil"/>
              <w:left w:val="single" w:sz="4" w:space="0" w:color="000000"/>
              <w:right w:val="single" w:sz="4" w:space="0" w:color="000000"/>
            </w:tcBorders>
          </w:tcPr>
          <w:p>
            <w:pPr>
              <w:pStyle w:val="TableParagraph"/>
              <w:spacing w:before="74"/>
              <w:ind w:left="58" w:right="-44"/>
              <w:rPr>
                <w:sz w:val="18"/>
              </w:rPr>
            </w:pPr>
            <w:r>
              <w:rPr>
                <w:spacing w:val="-9"/>
                <w:sz w:val="18"/>
              </w:rPr>
              <w:t>Year</w:t>
            </w:r>
          </w:p>
        </w:tc>
        <w:tc>
          <w:tcPr>
            <w:tcW w:w="921" w:type="dxa"/>
            <w:tcBorders>
              <w:top w:val="nil"/>
              <w:left w:val="single" w:sz="4" w:space="0" w:color="000000"/>
              <w:right w:val="single" w:sz="4" w:space="0" w:color="000000"/>
            </w:tcBorders>
          </w:tcPr>
          <w:p>
            <w:pPr>
              <w:pStyle w:val="TableParagraph"/>
              <w:spacing w:before="74"/>
              <w:ind w:left="59"/>
              <w:rPr>
                <w:sz w:val="18"/>
              </w:rPr>
            </w:pPr>
            <w:r>
              <w:rPr>
                <w:spacing w:val="-2"/>
                <w:sz w:val="18"/>
              </w:rPr>
              <w:t>Window</w:t>
            </w:r>
          </w:p>
        </w:tc>
        <w:tc>
          <w:tcPr>
            <w:tcW w:w="524" w:type="dxa"/>
            <w:tcBorders>
              <w:top w:val="nil"/>
              <w:left w:val="single" w:sz="4" w:space="0" w:color="000000"/>
              <w:right w:val="single" w:sz="4" w:space="0" w:color="000000"/>
            </w:tcBorders>
          </w:tcPr>
          <w:p>
            <w:pPr>
              <w:pStyle w:val="TableParagraph"/>
              <w:spacing w:before="74"/>
              <w:ind w:left="59"/>
              <w:rPr>
                <w:sz w:val="18"/>
              </w:rPr>
            </w:pPr>
            <w:r>
              <w:rPr>
                <w:spacing w:val="-4"/>
                <w:sz w:val="18"/>
              </w:rPr>
              <w:t>Unit</w:t>
            </w:r>
          </w:p>
        </w:tc>
        <w:tc>
          <w:tcPr>
            <w:tcW w:w="637" w:type="dxa"/>
            <w:tcBorders>
              <w:top w:val="nil"/>
              <w:left w:val="single" w:sz="4" w:space="0" w:color="000000"/>
              <w:right w:val="single" w:sz="4" w:space="0" w:color="000000"/>
            </w:tcBorders>
          </w:tcPr>
          <w:p>
            <w:pPr>
              <w:pStyle w:val="TableParagraph"/>
              <w:spacing w:before="74"/>
              <w:ind w:left="59"/>
              <w:rPr>
                <w:sz w:val="18"/>
              </w:rPr>
            </w:pPr>
            <w:r>
              <w:rPr>
                <w:spacing w:val="-4"/>
                <w:sz w:val="18"/>
              </w:rPr>
              <w:t>Calc</w:t>
            </w:r>
          </w:p>
        </w:tc>
        <w:tc>
          <w:tcPr>
            <w:tcW w:w="2877" w:type="dxa"/>
            <w:tcBorders>
              <w:top w:val="nil"/>
              <w:left w:val="single" w:sz="4" w:space="0" w:color="000000"/>
              <w:right w:val="nil"/>
            </w:tcBorders>
          </w:tcPr>
          <w:p>
            <w:pPr>
              <w:pStyle w:val="TableParagraph"/>
              <w:spacing w:before="74"/>
              <w:ind w:left="60"/>
              <w:rPr>
                <w:sz w:val="18"/>
              </w:rPr>
            </w:pPr>
            <w:r>
              <w:rPr>
                <w:sz w:val="18"/>
              </w:rPr>
              <w:t>Agronomic</w:t>
            </w:r>
            <w:r>
              <w:rPr>
                <w:spacing w:val="-10"/>
                <w:sz w:val="18"/>
              </w:rPr>
              <w:t> </w:t>
            </w:r>
            <w:r>
              <w:rPr>
                <w:spacing w:val="-2"/>
                <w:sz w:val="18"/>
              </w:rPr>
              <w:t>interpretation</w:t>
            </w:r>
          </w:p>
        </w:tc>
      </w:tr>
    </w:tbl>
    <w:p>
      <w:pPr>
        <w:pStyle w:val="BodyText"/>
        <w:spacing w:before="2"/>
        <w:rPr>
          <w:sz w:val="5"/>
        </w:rPr>
      </w:pPr>
    </w:p>
    <w:tbl>
      <w:tblPr>
        <w:tblW w:w="0" w:type="auto"/>
        <w:jc w:val="left"/>
        <w:tblInd w:w="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03"/>
        <w:gridCol w:w="978"/>
        <w:gridCol w:w="808"/>
        <w:gridCol w:w="354"/>
        <w:gridCol w:w="921"/>
        <w:gridCol w:w="524"/>
        <w:gridCol w:w="637"/>
        <w:gridCol w:w="2877"/>
      </w:tblGrid>
      <w:tr>
        <w:trPr>
          <w:trHeight w:val="888" w:hRule="atLeast"/>
        </w:trPr>
        <w:tc>
          <w:tcPr>
            <w:tcW w:w="1403" w:type="dxa"/>
            <w:tcBorders>
              <w:right w:val="single" w:sz="4" w:space="0" w:color="000000"/>
            </w:tcBorders>
          </w:tcPr>
          <w:p>
            <w:pPr>
              <w:pStyle w:val="TableParagraph"/>
              <w:spacing w:before="74"/>
              <w:ind w:left="92"/>
              <w:rPr>
                <w:sz w:val="18"/>
              </w:rPr>
            </w:pPr>
            <w:r>
              <w:rPr>
                <w:spacing w:val="-2"/>
                <w:sz w:val="18"/>
              </w:rPr>
              <w:t>rf_fl_y1_a10</w:t>
            </w:r>
          </w:p>
        </w:tc>
        <w:tc>
          <w:tcPr>
            <w:tcW w:w="978" w:type="dxa"/>
            <w:tcBorders>
              <w:left w:val="single" w:sz="4" w:space="0" w:color="000000"/>
              <w:right w:val="single" w:sz="4" w:space="0" w:color="000000"/>
            </w:tcBorders>
          </w:tcPr>
          <w:p>
            <w:pPr>
              <w:pStyle w:val="TableParagraph"/>
              <w:spacing w:line="307" w:lineRule="auto" w:before="74"/>
              <w:ind w:left="59"/>
              <w:rPr>
                <w:sz w:val="18"/>
              </w:rPr>
            </w:pPr>
            <w:r>
              <w:rPr>
                <w:sz w:val="18"/>
              </w:rPr>
              <w:t>Rainfall</w:t>
            </w:r>
            <w:r>
              <w:rPr>
                <w:spacing w:val="18"/>
                <w:sz w:val="18"/>
              </w:rPr>
              <w:t> </w:t>
            </w:r>
            <w:r>
              <w:rPr>
                <w:sz w:val="18"/>
              </w:rPr>
              <w:t>to-</w:t>
            </w:r>
            <w:r>
              <w:rPr>
                <w:spacing w:val="-4"/>
                <w:sz w:val="18"/>
              </w:rPr>
              <w:t>tal</w:t>
            </w:r>
          </w:p>
        </w:tc>
        <w:tc>
          <w:tcPr>
            <w:tcW w:w="808" w:type="dxa"/>
            <w:tcBorders>
              <w:left w:val="single" w:sz="4" w:space="0" w:color="000000"/>
              <w:right w:val="single" w:sz="4" w:space="0" w:color="000000"/>
            </w:tcBorders>
          </w:tcPr>
          <w:p>
            <w:pPr>
              <w:pStyle w:val="TableParagraph"/>
              <w:spacing w:before="74"/>
              <w:ind w:left="58"/>
              <w:rPr>
                <w:sz w:val="18"/>
              </w:rPr>
            </w:pPr>
            <w:r>
              <w:rPr>
                <w:spacing w:val="-2"/>
                <w:sz w:val="18"/>
              </w:rPr>
              <w:t>Flowering</w:t>
            </w:r>
          </w:p>
        </w:tc>
        <w:tc>
          <w:tcPr>
            <w:tcW w:w="354" w:type="dxa"/>
            <w:tcBorders>
              <w:left w:val="single" w:sz="4" w:space="0" w:color="000000"/>
              <w:right w:val="single" w:sz="4" w:space="0" w:color="000000"/>
            </w:tcBorders>
          </w:tcPr>
          <w:p>
            <w:pPr>
              <w:pStyle w:val="TableParagraph"/>
              <w:spacing w:before="74"/>
              <w:ind w:left="1" w:right="46"/>
              <w:jc w:val="center"/>
              <w:rPr>
                <w:sz w:val="18"/>
              </w:rPr>
            </w:pPr>
            <w:r>
              <w:rPr>
                <w:spacing w:val="-5"/>
                <w:sz w:val="18"/>
              </w:rPr>
              <w:t>y1</w:t>
            </w:r>
          </w:p>
        </w:tc>
        <w:tc>
          <w:tcPr>
            <w:tcW w:w="921" w:type="dxa"/>
            <w:tcBorders>
              <w:left w:val="single" w:sz="4" w:space="0" w:color="000000"/>
              <w:right w:val="single" w:sz="4" w:space="0" w:color="000000"/>
            </w:tcBorders>
          </w:tcPr>
          <w:p>
            <w:pPr>
              <w:pStyle w:val="TableParagraph"/>
              <w:spacing w:before="74"/>
              <w:ind w:left="59"/>
              <w:rPr>
                <w:sz w:val="18"/>
              </w:rPr>
            </w:pPr>
            <w:r>
              <w:rPr>
                <w:sz w:val="18"/>
              </w:rPr>
              <w:t>10d</w:t>
            </w:r>
            <w:r>
              <w:rPr>
                <w:spacing w:val="-4"/>
                <w:sz w:val="18"/>
              </w:rPr>
              <w:t> after</w:t>
            </w:r>
          </w:p>
        </w:tc>
        <w:tc>
          <w:tcPr>
            <w:tcW w:w="524" w:type="dxa"/>
            <w:tcBorders>
              <w:left w:val="single" w:sz="4" w:space="0" w:color="000000"/>
              <w:right w:val="single" w:sz="4" w:space="0" w:color="000000"/>
            </w:tcBorders>
          </w:tcPr>
          <w:p>
            <w:pPr>
              <w:pStyle w:val="TableParagraph"/>
              <w:spacing w:before="74"/>
              <w:ind w:left="22" w:right="136"/>
              <w:jc w:val="center"/>
              <w:rPr>
                <w:sz w:val="18"/>
              </w:rPr>
            </w:pPr>
            <w:r>
              <w:rPr>
                <w:spacing w:val="-5"/>
                <w:sz w:val="18"/>
              </w:rPr>
              <w:t>mm</w:t>
            </w:r>
          </w:p>
        </w:tc>
        <w:tc>
          <w:tcPr>
            <w:tcW w:w="637" w:type="dxa"/>
            <w:tcBorders>
              <w:left w:val="single" w:sz="4" w:space="0" w:color="000000"/>
              <w:right w:val="single" w:sz="4" w:space="0" w:color="000000"/>
            </w:tcBorders>
          </w:tcPr>
          <w:p>
            <w:pPr>
              <w:pStyle w:val="TableParagraph"/>
              <w:spacing w:before="74"/>
              <w:ind w:right="176"/>
              <w:jc w:val="center"/>
              <w:rPr>
                <w:sz w:val="18"/>
              </w:rPr>
            </w:pPr>
            <w:r>
              <w:rPr>
                <w:spacing w:val="-5"/>
                <w:sz w:val="18"/>
              </w:rPr>
              <w:t>Sum</w:t>
            </w:r>
          </w:p>
        </w:tc>
        <w:tc>
          <w:tcPr>
            <w:tcW w:w="2877" w:type="dxa"/>
            <w:tcBorders>
              <w:left w:val="single" w:sz="4" w:space="0" w:color="000000"/>
            </w:tcBorders>
          </w:tcPr>
          <w:p>
            <w:pPr>
              <w:pStyle w:val="TableParagraph"/>
              <w:spacing w:line="307" w:lineRule="auto" w:before="74"/>
              <w:ind w:left="60" w:right="65"/>
              <w:jc w:val="both"/>
              <w:rPr>
                <w:sz w:val="18"/>
              </w:rPr>
            </w:pPr>
            <w:r>
              <w:rPr>
                <w:sz w:val="18"/>
              </w:rPr>
              <w:t>Rainfall immediately post-</w:t>
            </w:r>
            <w:r>
              <w:rPr>
                <w:sz w:val="18"/>
              </w:rPr>
              <w:t>flowering, </w:t>
            </w:r>
            <w:r>
              <w:rPr>
                <w:spacing w:val="-2"/>
                <w:sz w:val="18"/>
              </w:rPr>
              <w:t>disease</w:t>
            </w:r>
            <w:r>
              <w:rPr>
                <w:spacing w:val="-5"/>
                <w:sz w:val="18"/>
              </w:rPr>
              <w:t> </w:t>
            </w:r>
            <w:r>
              <w:rPr>
                <w:spacing w:val="-2"/>
                <w:sz w:val="18"/>
              </w:rPr>
              <w:t>risk</w:t>
            </w:r>
            <w:r>
              <w:rPr>
                <w:spacing w:val="-5"/>
                <w:sz w:val="18"/>
              </w:rPr>
              <w:t> </w:t>
            </w:r>
            <w:r>
              <w:rPr>
                <w:spacing w:val="-2"/>
                <w:sz w:val="18"/>
              </w:rPr>
              <w:t>(Botrytis,</w:t>
            </w:r>
            <w:r>
              <w:rPr>
                <w:spacing w:val="-5"/>
                <w:sz w:val="18"/>
              </w:rPr>
              <w:t> </w:t>
            </w:r>
            <w:r>
              <w:rPr>
                <w:spacing w:val="-2"/>
                <w:sz w:val="18"/>
              </w:rPr>
              <w:t>downy</w:t>
            </w:r>
            <w:r>
              <w:rPr>
                <w:spacing w:val="-5"/>
                <w:sz w:val="18"/>
              </w:rPr>
              <w:t> </w:t>
            </w:r>
            <w:r>
              <w:rPr>
                <w:spacing w:val="-2"/>
                <w:sz w:val="18"/>
              </w:rPr>
              <w:t>mildew); </w:t>
            </w:r>
            <w:r>
              <w:rPr>
                <w:sz w:val="18"/>
              </w:rPr>
              <w:t>excess</w:t>
            </w:r>
            <w:r>
              <w:rPr>
                <w:spacing w:val="-4"/>
                <w:sz w:val="18"/>
              </w:rPr>
              <w:t> </w:t>
            </w:r>
            <w:r>
              <w:rPr>
                <w:sz w:val="18"/>
              </w:rPr>
              <w:t>rain</w:t>
            </w:r>
            <w:r>
              <w:rPr>
                <w:spacing w:val="-4"/>
                <w:sz w:val="18"/>
              </w:rPr>
              <w:t> </w:t>
            </w:r>
            <w:r>
              <w:rPr>
                <w:sz w:val="18"/>
              </w:rPr>
              <w:t>dilutes</w:t>
            </w:r>
            <w:r>
              <w:rPr>
                <w:spacing w:val="-4"/>
                <w:sz w:val="18"/>
              </w:rPr>
              <w:t> </w:t>
            </w:r>
            <w:r>
              <w:rPr>
                <w:sz w:val="18"/>
              </w:rPr>
              <w:t>berry</w:t>
            </w:r>
            <w:r>
              <w:rPr>
                <w:spacing w:val="-4"/>
                <w:sz w:val="18"/>
              </w:rPr>
              <w:t> </w:t>
            </w:r>
            <w:r>
              <w:rPr>
                <w:sz w:val="18"/>
              </w:rPr>
              <w:t>development</w:t>
            </w:r>
          </w:p>
        </w:tc>
      </w:tr>
      <w:tr>
        <w:trPr>
          <w:trHeight w:val="877" w:hRule="atLeast"/>
        </w:trPr>
        <w:tc>
          <w:tcPr>
            <w:tcW w:w="1403" w:type="dxa"/>
            <w:tcBorders>
              <w:right w:val="single" w:sz="4" w:space="0" w:color="000000"/>
            </w:tcBorders>
          </w:tcPr>
          <w:p>
            <w:pPr>
              <w:pStyle w:val="TableParagraph"/>
              <w:spacing w:before="62"/>
              <w:ind w:left="92"/>
              <w:rPr>
                <w:sz w:val="18"/>
              </w:rPr>
            </w:pPr>
            <w:r>
              <w:rPr>
                <w:spacing w:val="-2"/>
                <w:sz w:val="18"/>
              </w:rPr>
              <w:t>rf_hv_y1_b10</w:t>
            </w:r>
          </w:p>
        </w:tc>
        <w:tc>
          <w:tcPr>
            <w:tcW w:w="978" w:type="dxa"/>
            <w:tcBorders>
              <w:left w:val="single" w:sz="4" w:space="0" w:color="000000"/>
              <w:right w:val="single" w:sz="4" w:space="0" w:color="000000"/>
            </w:tcBorders>
          </w:tcPr>
          <w:p>
            <w:pPr>
              <w:pStyle w:val="TableParagraph"/>
              <w:spacing w:line="307" w:lineRule="auto" w:before="62"/>
              <w:ind w:left="59"/>
              <w:rPr>
                <w:sz w:val="18"/>
              </w:rPr>
            </w:pPr>
            <w:r>
              <w:rPr>
                <w:sz w:val="18"/>
              </w:rPr>
              <w:t>Rainfall</w:t>
            </w:r>
            <w:r>
              <w:rPr>
                <w:spacing w:val="18"/>
                <w:sz w:val="18"/>
              </w:rPr>
              <w:t> </w:t>
            </w:r>
            <w:r>
              <w:rPr>
                <w:sz w:val="18"/>
              </w:rPr>
              <w:t>to-</w:t>
            </w:r>
            <w:r>
              <w:rPr>
                <w:spacing w:val="-4"/>
                <w:sz w:val="18"/>
              </w:rPr>
              <w:t>tal</w:t>
            </w:r>
          </w:p>
        </w:tc>
        <w:tc>
          <w:tcPr>
            <w:tcW w:w="808" w:type="dxa"/>
            <w:tcBorders>
              <w:left w:val="single" w:sz="4" w:space="0" w:color="000000"/>
              <w:right w:val="single" w:sz="4" w:space="0" w:color="000000"/>
            </w:tcBorders>
          </w:tcPr>
          <w:p>
            <w:pPr>
              <w:pStyle w:val="TableParagraph"/>
              <w:spacing w:before="62"/>
              <w:ind w:left="58"/>
              <w:rPr>
                <w:sz w:val="18"/>
              </w:rPr>
            </w:pPr>
            <w:r>
              <w:rPr>
                <w:spacing w:val="-2"/>
                <w:sz w:val="18"/>
              </w:rPr>
              <w:t>Harvest</w:t>
            </w:r>
          </w:p>
        </w:tc>
        <w:tc>
          <w:tcPr>
            <w:tcW w:w="354" w:type="dxa"/>
            <w:tcBorders>
              <w:left w:val="single" w:sz="4" w:space="0" w:color="000000"/>
              <w:right w:val="single" w:sz="4" w:space="0" w:color="000000"/>
            </w:tcBorders>
          </w:tcPr>
          <w:p>
            <w:pPr>
              <w:pStyle w:val="TableParagraph"/>
              <w:spacing w:before="62"/>
              <w:ind w:left="1" w:right="46"/>
              <w:jc w:val="center"/>
              <w:rPr>
                <w:sz w:val="18"/>
              </w:rPr>
            </w:pPr>
            <w:r>
              <w:rPr>
                <w:spacing w:val="-5"/>
                <w:sz w:val="18"/>
              </w:rPr>
              <w:t>y1</w:t>
            </w:r>
          </w:p>
        </w:tc>
        <w:tc>
          <w:tcPr>
            <w:tcW w:w="921" w:type="dxa"/>
            <w:tcBorders>
              <w:left w:val="single" w:sz="4" w:space="0" w:color="000000"/>
              <w:right w:val="single" w:sz="4" w:space="0" w:color="000000"/>
            </w:tcBorders>
          </w:tcPr>
          <w:p>
            <w:pPr>
              <w:pStyle w:val="TableParagraph"/>
              <w:spacing w:before="62"/>
              <w:ind w:left="59"/>
              <w:rPr>
                <w:sz w:val="18"/>
              </w:rPr>
            </w:pPr>
            <w:r>
              <w:rPr>
                <w:sz w:val="18"/>
              </w:rPr>
              <w:t>10d</w:t>
            </w:r>
            <w:r>
              <w:rPr>
                <w:spacing w:val="-4"/>
                <w:sz w:val="18"/>
              </w:rPr>
              <w:t> </w:t>
            </w:r>
            <w:r>
              <w:rPr>
                <w:spacing w:val="-2"/>
                <w:sz w:val="18"/>
              </w:rPr>
              <w:t>before</w:t>
            </w:r>
          </w:p>
        </w:tc>
        <w:tc>
          <w:tcPr>
            <w:tcW w:w="524" w:type="dxa"/>
            <w:tcBorders>
              <w:left w:val="single" w:sz="4" w:space="0" w:color="000000"/>
              <w:right w:val="single" w:sz="4" w:space="0" w:color="000000"/>
            </w:tcBorders>
          </w:tcPr>
          <w:p>
            <w:pPr>
              <w:pStyle w:val="TableParagraph"/>
              <w:spacing w:before="62"/>
              <w:ind w:left="22" w:right="136"/>
              <w:jc w:val="center"/>
              <w:rPr>
                <w:sz w:val="18"/>
              </w:rPr>
            </w:pPr>
            <w:r>
              <w:rPr>
                <w:spacing w:val="-5"/>
                <w:sz w:val="18"/>
              </w:rPr>
              <w:t>mm</w:t>
            </w:r>
          </w:p>
        </w:tc>
        <w:tc>
          <w:tcPr>
            <w:tcW w:w="637" w:type="dxa"/>
            <w:tcBorders>
              <w:left w:val="single" w:sz="4" w:space="0" w:color="000000"/>
              <w:right w:val="single" w:sz="4" w:space="0" w:color="000000"/>
            </w:tcBorders>
          </w:tcPr>
          <w:p>
            <w:pPr>
              <w:pStyle w:val="TableParagraph"/>
              <w:spacing w:before="62"/>
              <w:ind w:right="176"/>
              <w:jc w:val="center"/>
              <w:rPr>
                <w:sz w:val="18"/>
              </w:rPr>
            </w:pPr>
            <w:r>
              <w:rPr>
                <w:spacing w:val="-5"/>
                <w:sz w:val="18"/>
              </w:rPr>
              <w:t>Sum</w:t>
            </w:r>
          </w:p>
        </w:tc>
        <w:tc>
          <w:tcPr>
            <w:tcW w:w="2877" w:type="dxa"/>
            <w:tcBorders>
              <w:left w:val="single" w:sz="4" w:space="0" w:color="000000"/>
            </w:tcBorders>
          </w:tcPr>
          <w:p>
            <w:pPr>
              <w:pStyle w:val="TableParagraph"/>
              <w:spacing w:line="307" w:lineRule="auto" w:before="62"/>
              <w:ind w:left="60" w:right="88"/>
              <w:jc w:val="both"/>
              <w:rPr>
                <w:sz w:val="18"/>
              </w:rPr>
            </w:pPr>
            <w:r>
              <w:rPr>
                <w:spacing w:val="-2"/>
                <w:sz w:val="18"/>
              </w:rPr>
              <w:t>Pre-harvest</w:t>
            </w:r>
            <w:r>
              <w:rPr>
                <w:spacing w:val="-9"/>
                <w:sz w:val="18"/>
              </w:rPr>
              <w:t> </w:t>
            </w:r>
            <w:r>
              <w:rPr>
                <w:spacing w:val="-2"/>
                <w:sz w:val="18"/>
              </w:rPr>
              <w:t>rainfall,</w:t>
            </w:r>
            <w:r>
              <w:rPr>
                <w:spacing w:val="-9"/>
                <w:sz w:val="18"/>
              </w:rPr>
              <w:t> </w:t>
            </w:r>
            <w:r>
              <w:rPr>
                <w:spacing w:val="-2"/>
                <w:sz w:val="18"/>
              </w:rPr>
              <w:t>late</w:t>
            </w:r>
            <w:r>
              <w:rPr>
                <w:spacing w:val="-9"/>
                <w:sz w:val="18"/>
              </w:rPr>
              <w:t> </w:t>
            </w:r>
            <w:r>
              <w:rPr>
                <w:spacing w:val="-2"/>
                <w:sz w:val="18"/>
              </w:rPr>
              <w:t>rain</w:t>
            </w:r>
            <w:r>
              <w:rPr>
                <w:spacing w:val="-9"/>
                <w:sz w:val="18"/>
              </w:rPr>
              <w:t> </w:t>
            </w:r>
            <w:r>
              <w:rPr>
                <w:spacing w:val="-2"/>
                <w:sz w:val="18"/>
              </w:rPr>
              <w:t>can</w:t>
            </w:r>
            <w:r>
              <w:rPr>
                <w:spacing w:val="-9"/>
                <w:sz w:val="18"/>
              </w:rPr>
              <w:t> </w:t>
            </w:r>
            <w:r>
              <w:rPr>
                <w:spacing w:val="-2"/>
                <w:sz w:val="18"/>
              </w:rPr>
              <w:t>cause </w:t>
            </w:r>
            <w:r>
              <w:rPr>
                <w:sz w:val="18"/>
              </w:rPr>
              <w:t>berry</w:t>
            </w:r>
            <w:r>
              <w:rPr>
                <w:spacing w:val="-7"/>
                <w:sz w:val="18"/>
              </w:rPr>
              <w:t> </w:t>
            </w:r>
            <w:r>
              <w:rPr>
                <w:sz w:val="18"/>
              </w:rPr>
              <w:t>splitting,</w:t>
            </w:r>
            <w:r>
              <w:rPr>
                <w:spacing w:val="-7"/>
                <w:sz w:val="18"/>
              </w:rPr>
              <w:t> </w:t>
            </w:r>
            <w:r>
              <w:rPr>
                <w:sz w:val="18"/>
              </w:rPr>
              <w:t>dilution</w:t>
            </w:r>
            <w:r>
              <w:rPr>
                <w:spacing w:val="-7"/>
                <w:sz w:val="18"/>
              </w:rPr>
              <w:t> </w:t>
            </w:r>
            <w:r>
              <w:rPr>
                <w:sz w:val="18"/>
              </w:rPr>
              <w:t>of</w:t>
            </w:r>
            <w:r>
              <w:rPr>
                <w:spacing w:val="-7"/>
                <w:sz w:val="18"/>
              </w:rPr>
              <w:t> </w:t>
            </w:r>
            <w:r>
              <w:rPr>
                <w:sz w:val="18"/>
              </w:rPr>
              <w:t>sugars,</w:t>
            </w:r>
            <w:r>
              <w:rPr>
                <w:spacing w:val="-7"/>
                <w:sz w:val="18"/>
              </w:rPr>
              <w:t> </w:t>
            </w:r>
            <w:r>
              <w:rPr>
                <w:sz w:val="18"/>
              </w:rPr>
              <w:t>and Botrytis infection</w:t>
            </w:r>
          </w:p>
        </w:tc>
      </w:tr>
      <w:tr>
        <w:trPr>
          <w:trHeight w:val="877" w:hRule="atLeast"/>
        </w:trPr>
        <w:tc>
          <w:tcPr>
            <w:tcW w:w="1403" w:type="dxa"/>
            <w:tcBorders>
              <w:right w:val="single" w:sz="4" w:space="0" w:color="000000"/>
            </w:tcBorders>
          </w:tcPr>
          <w:p>
            <w:pPr>
              <w:pStyle w:val="TableParagraph"/>
              <w:spacing w:before="62"/>
              <w:ind w:left="92"/>
              <w:rPr>
                <w:sz w:val="18"/>
              </w:rPr>
            </w:pPr>
            <w:r>
              <w:rPr>
                <w:spacing w:val="-2"/>
                <w:sz w:val="18"/>
              </w:rPr>
              <w:t>rf_hv_y0_a10</w:t>
            </w:r>
          </w:p>
        </w:tc>
        <w:tc>
          <w:tcPr>
            <w:tcW w:w="978" w:type="dxa"/>
            <w:tcBorders>
              <w:left w:val="single" w:sz="4" w:space="0" w:color="000000"/>
              <w:right w:val="single" w:sz="4" w:space="0" w:color="000000"/>
            </w:tcBorders>
          </w:tcPr>
          <w:p>
            <w:pPr>
              <w:pStyle w:val="TableParagraph"/>
              <w:spacing w:line="307" w:lineRule="auto" w:before="62"/>
              <w:ind w:left="59"/>
              <w:rPr>
                <w:sz w:val="18"/>
              </w:rPr>
            </w:pPr>
            <w:r>
              <w:rPr>
                <w:sz w:val="18"/>
              </w:rPr>
              <w:t>Rainfall</w:t>
            </w:r>
            <w:r>
              <w:rPr>
                <w:spacing w:val="18"/>
                <w:sz w:val="18"/>
              </w:rPr>
              <w:t> </w:t>
            </w:r>
            <w:r>
              <w:rPr>
                <w:sz w:val="18"/>
              </w:rPr>
              <w:t>to-</w:t>
            </w:r>
            <w:r>
              <w:rPr>
                <w:spacing w:val="-4"/>
                <w:sz w:val="18"/>
              </w:rPr>
              <w:t>tal</w:t>
            </w:r>
          </w:p>
        </w:tc>
        <w:tc>
          <w:tcPr>
            <w:tcW w:w="808" w:type="dxa"/>
            <w:tcBorders>
              <w:left w:val="single" w:sz="4" w:space="0" w:color="000000"/>
              <w:right w:val="single" w:sz="4" w:space="0" w:color="000000"/>
            </w:tcBorders>
          </w:tcPr>
          <w:p>
            <w:pPr>
              <w:pStyle w:val="TableParagraph"/>
              <w:spacing w:before="62"/>
              <w:ind w:left="58"/>
              <w:rPr>
                <w:sz w:val="18"/>
              </w:rPr>
            </w:pPr>
            <w:r>
              <w:rPr>
                <w:spacing w:val="-2"/>
                <w:sz w:val="18"/>
              </w:rPr>
              <w:t>Harvest</w:t>
            </w:r>
          </w:p>
        </w:tc>
        <w:tc>
          <w:tcPr>
            <w:tcW w:w="354" w:type="dxa"/>
            <w:tcBorders>
              <w:left w:val="single" w:sz="4" w:space="0" w:color="000000"/>
              <w:right w:val="single" w:sz="4" w:space="0" w:color="000000"/>
            </w:tcBorders>
          </w:tcPr>
          <w:p>
            <w:pPr>
              <w:pStyle w:val="TableParagraph"/>
              <w:spacing w:before="62"/>
              <w:ind w:left="1" w:right="46"/>
              <w:jc w:val="center"/>
              <w:rPr>
                <w:sz w:val="18"/>
              </w:rPr>
            </w:pPr>
            <w:r>
              <w:rPr>
                <w:spacing w:val="-5"/>
                <w:sz w:val="18"/>
              </w:rPr>
              <w:t>y0</w:t>
            </w:r>
          </w:p>
        </w:tc>
        <w:tc>
          <w:tcPr>
            <w:tcW w:w="921" w:type="dxa"/>
            <w:tcBorders>
              <w:left w:val="single" w:sz="4" w:space="0" w:color="000000"/>
              <w:right w:val="single" w:sz="4" w:space="0" w:color="000000"/>
            </w:tcBorders>
          </w:tcPr>
          <w:p>
            <w:pPr>
              <w:pStyle w:val="TableParagraph"/>
              <w:spacing w:line="307" w:lineRule="auto" w:before="62"/>
              <w:ind w:left="59"/>
              <w:rPr>
                <w:sz w:val="18"/>
              </w:rPr>
            </w:pPr>
            <w:r>
              <w:rPr>
                <w:sz w:val="18"/>
              </w:rPr>
              <w:t>10d</w:t>
            </w:r>
            <w:r>
              <w:rPr>
                <w:spacing w:val="80"/>
                <w:sz w:val="18"/>
              </w:rPr>
              <w:t> </w:t>
            </w:r>
            <w:r>
              <w:rPr>
                <w:sz w:val="18"/>
              </w:rPr>
              <w:t>after prev. yr</w:t>
            </w:r>
          </w:p>
        </w:tc>
        <w:tc>
          <w:tcPr>
            <w:tcW w:w="524" w:type="dxa"/>
            <w:tcBorders>
              <w:left w:val="single" w:sz="4" w:space="0" w:color="000000"/>
              <w:right w:val="single" w:sz="4" w:space="0" w:color="000000"/>
            </w:tcBorders>
          </w:tcPr>
          <w:p>
            <w:pPr>
              <w:pStyle w:val="TableParagraph"/>
              <w:spacing w:before="62"/>
              <w:ind w:left="22" w:right="136"/>
              <w:jc w:val="center"/>
              <w:rPr>
                <w:sz w:val="18"/>
              </w:rPr>
            </w:pPr>
            <w:r>
              <w:rPr>
                <w:spacing w:val="-5"/>
                <w:sz w:val="18"/>
              </w:rPr>
              <w:t>mm</w:t>
            </w:r>
          </w:p>
        </w:tc>
        <w:tc>
          <w:tcPr>
            <w:tcW w:w="637" w:type="dxa"/>
            <w:tcBorders>
              <w:left w:val="single" w:sz="4" w:space="0" w:color="000000"/>
              <w:right w:val="single" w:sz="4" w:space="0" w:color="000000"/>
            </w:tcBorders>
          </w:tcPr>
          <w:p>
            <w:pPr>
              <w:pStyle w:val="TableParagraph"/>
              <w:spacing w:before="62"/>
              <w:ind w:right="176"/>
              <w:jc w:val="center"/>
              <w:rPr>
                <w:sz w:val="18"/>
              </w:rPr>
            </w:pPr>
            <w:r>
              <w:rPr>
                <w:spacing w:val="-5"/>
                <w:sz w:val="18"/>
              </w:rPr>
              <w:t>Sum</w:t>
            </w:r>
          </w:p>
        </w:tc>
        <w:tc>
          <w:tcPr>
            <w:tcW w:w="2877" w:type="dxa"/>
            <w:tcBorders>
              <w:left w:val="single" w:sz="4" w:space="0" w:color="000000"/>
            </w:tcBorders>
          </w:tcPr>
          <w:p>
            <w:pPr>
              <w:pStyle w:val="TableParagraph"/>
              <w:spacing w:line="307" w:lineRule="auto" w:before="62"/>
              <w:ind w:left="60" w:right="65"/>
              <w:jc w:val="both"/>
              <w:rPr>
                <w:sz w:val="18"/>
              </w:rPr>
            </w:pPr>
            <w:r>
              <w:rPr>
                <w:sz w:val="18"/>
              </w:rPr>
              <w:t>Post-harvest rainfall in previous </w:t>
            </w:r>
            <w:r>
              <w:rPr>
                <w:sz w:val="18"/>
              </w:rPr>
              <w:t>year, begins recharging soil water reserves for the following season</w:t>
            </w:r>
          </w:p>
        </w:tc>
      </w:tr>
      <w:tr>
        <w:trPr>
          <w:trHeight w:val="877" w:hRule="atLeast"/>
        </w:trPr>
        <w:tc>
          <w:tcPr>
            <w:tcW w:w="1403" w:type="dxa"/>
            <w:tcBorders>
              <w:right w:val="single" w:sz="4" w:space="0" w:color="000000"/>
            </w:tcBorders>
          </w:tcPr>
          <w:p>
            <w:pPr>
              <w:pStyle w:val="TableParagraph"/>
              <w:spacing w:line="307" w:lineRule="auto" w:before="62"/>
              <w:ind w:left="92" w:right="-44"/>
              <w:rPr>
                <w:sz w:val="18"/>
              </w:rPr>
            </w:pPr>
            <w:r>
              <w:rPr>
                <w:spacing w:val="-4"/>
                <w:sz w:val="18"/>
              </w:rPr>
              <w:t>days.rf.above.1mm </w:t>
            </w:r>
            <w:r>
              <w:rPr>
                <w:spacing w:val="-2"/>
                <w:sz w:val="18"/>
              </w:rPr>
              <w:t>fl_y1_c15</w:t>
            </w:r>
          </w:p>
        </w:tc>
        <w:tc>
          <w:tcPr>
            <w:tcW w:w="978" w:type="dxa"/>
            <w:tcBorders>
              <w:left w:val="single" w:sz="4" w:space="0" w:color="000000"/>
              <w:right w:val="single" w:sz="4" w:space="0" w:color="000000"/>
            </w:tcBorders>
          </w:tcPr>
          <w:p>
            <w:pPr>
              <w:pStyle w:val="TableParagraph"/>
              <w:tabs>
                <w:tab w:pos="574" w:val="left" w:leader="none"/>
              </w:tabs>
              <w:spacing w:line="307" w:lineRule="auto" w:before="62"/>
              <w:ind w:left="53" w:right="3" w:hanging="23"/>
              <w:rPr>
                <w:sz w:val="18"/>
              </w:rPr>
            </w:pPr>
            <w:r>
              <w:rPr>
                <w:spacing w:val="-4"/>
                <w:sz w:val="18"/>
              </w:rPr>
              <w:t>_Wet</w:t>
            </w:r>
            <w:r>
              <w:rPr>
                <w:sz w:val="18"/>
              </w:rPr>
              <w:tab/>
            </w:r>
            <w:r>
              <w:rPr>
                <w:spacing w:val="-4"/>
                <w:sz w:val="18"/>
              </w:rPr>
              <w:t>days (Rain&gt;1mm)</w:t>
            </w:r>
          </w:p>
        </w:tc>
        <w:tc>
          <w:tcPr>
            <w:tcW w:w="808" w:type="dxa"/>
            <w:tcBorders>
              <w:left w:val="single" w:sz="4" w:space="0" w:color="000000"/>
              <w:right w:val="single" w:sz="4" w:space="0" w:color="000000"/>
            </w:tcBorders>
          </w:tcPr>
          <w:p>
            <w:pPr>
              <w:pStyle w:val="TableParagraph"/>
              <w:spacing w:before="62"/>
              <w:ind w:left="58"/>
              <w:rPr>
                <w:sz w:val="18"/>
              </w:rPr>
            </w:pPr>
            <w:r>
              <w:rPr>
                <w:spacing w:val="-2"/>
                <w:sz w:val="18"/>
              </w:rPr>
              <w:t>Flowering</w:t>
            </w:r>
          </w:p>
        </w:tc>
        <w:tc>
          <w:tcPr>
            <w:tcW w:w="354" w:type="dxa"/>
            <w:tcBorders>
              <w:left w:val="single" w:sz="4" w:space="0" w:color="000000"/>
              <w:right w:val="single" w:sz="4" w:space="0" w:color="000000"/>
            </w:tcBorders>
          </w:tcPr>
          <w:p>
            <w:pPr>
              <w:pStyle w:val="TableParagraph"/>
              <w:spacing w:before="62"/>
              <w:ind w:left="1" w:right="46"/>
              <w:jc w:val="center"/>
              <w:rPr>
                <w:sz w:val="18"/>
              </w:rPr>
            </w:pPr>
            <w:r>
              <w:rPr>
                <w:spacing w:val="-5"/>
                <w:sz w:val="18"/>
              </w:rPr>
              <w:t>y1</w:t>
            </w:r>
          </w:p>
        </w:tc>
        <w:tc>
          <w:tcPr>
            <w:tcW w:w="921" w:type="dxa"/>
            <w:tcBorders>
              <w:left w:val="single" w:sz="4" w:space="0" w:color="000000"/>
              <w:right w:val="single" w:sz="4" w:space="0" w:color="000000"/>
            </w:tcBorders>
          </w:tcPr>
          <w:p>
            <w:pPr>
              <w:pStyle w:val="TableParagraph"/>
              <w:spacing w:before="62"/>
              <w:ind w:left="59"/>
              <w:rPr>
                <w:sz w:val="18"/>
              </w:rPr>
            </w:pPr>
            <w:r>
              <w:rPr>
                <w:spacing w:val="-2"/>
                <w:sz w:val="18"/>
              </w:rPr>
              <w:t>centred</w:t>
            </w:r>
          </w:p>
          <w:p>
            <w:pPr>
              <w:pStyle w:val="TableParagraph"/>
              <w:spacing w:before="5"/>
              <w:ind w:left="59"/>
              <w:rPr>
                <w:sz w:val="18"/>
              </w:rPr>
            </w:pPr>
            <w:r>
              <w:rPr>
                <w:rFonts w:ascii="Meiryo UI" w:hAnsi="Meiryo UI"/>
                <w:i/>
                <w:spacing w:val="-4"/>
                <w:sz w:val="18"/>
              </w:rPr>
              <w:t>±</w:t>
            </w:r>
            <w:r>
              <w:rPr>
                <w:spacing w:val="-4"/>
                <w:sz w:val="18"/>
              </w:rPr>
              <w:t>15d</w:t>
            </w:r>
          </w:p>
        </w:tc>
        <w:tc>
          <w:tcPr>
            <w:tcW w:w="524" w:type="dxa"/>
            <w:tcBorders>
              <w:left w:val="single" w:sz="4" w:space="0" w:color="000000"/>
              <w:right w:val="single" w:sz="4" w:space="0" w:color="000000"/>
            </w:tcBorders>
          </w:tcPr>
          <w:p>
            <w:pPr>
              <w:pStyle w:val="TableParagraph"/>
              <w:spacing w:before="62"/>
              <w:ind w:right="64"/>
              <w:jc w:val="center"/>
              <w:rPr>
                <w:sz w:val="18"/>
              </w:rPr>
            </w:pPr>
            <w:r>
              <w:rPr>
                <w:spacing w:val="-4"/>
                <w:sz w:val="18"/>
              </w:rPr>
              <w:t>days</w:t>
            </w:r>
          </w:p>
        </w:tc>
        <w:tc>
          <w:tcPr>
            <w:tcW w:w="637" w:type="dxa"/>
            <w:tcBorders>
              <w:left w:val="single" w:sz="4" w:space="0" w:color="000000"/>
              <w:right w:val="single" w:sz="4" w:space="0" w:color="000000"/>
            </w:tcBorders>
          </w:tcPr>
          <w:p>
            <w:pPr>
              <w:pStyle w:val="TableParagraph"/>
              <w:spacing w:before="62"/>
              <w:ind w:left="1" w:right="68"/>
              <w:jc w:val="center"/>
              <w:rPr>
                <w:sz w:val="18"/>
              </w:rPr>
            </w:pPr>
            <w:r>
              <w:rPr>
                <w:spacing w:val="-2"/>
                <w:sz w:val="18"/>
              </w:rPr>
              <w:t>Count</w:t>
            </w:r>
          </w:p>
        </w:tc>
        <w:tc>
          <w:tcPr>
            <w:tcW w:w="2877" w:type="dxa"/>
            <w:tcBorders>
              <w:left w:val="single" w:sz="4" w:space="0" w:color="000000"/>
            </w:tcBorders>
          </w:tcPr>
          <w:p>
            <w:pPr>
              <w:pStyle w:val="TableParagraph"/>
              <w:spacing w:line="307" w:lineRule="auto" w:before="62"/>
              <w:ind w:left="60" w:right="65"/>
              <w:jc w:val="both"/>
              <w:rPr>
                <w:sz w:val="18"/>
              </w:rPr>
            </w:pPr>
            <w:r>
              <w:rPr>
                <w:sz w:val="18"/>
              </w:rPr>
              <w:t>Frequency of rain days at </w:t>
            </w:r>
            <w:r>
              <w:rPr>
                <w:sz w:val="18"/>
              </w:rPr>
              <w:t>flowering, high frequency promotes disease and physically interferes with pollination</w:t>
            </w:r>
          </w:p>
        </w:tc>
      </w:tr>
      <w:tr>
        <w:trPr>
          <w:trHeight w:val="877" w:hRule="atLeast"/>
        </w:trPr>
        <w:tc>
          <w:tcPr>
            <w:tcW w:w="1403" w:type="dxa"/>
            <w:tcBorders>
              <w:right w:val="single" w:sz="4" w:space="0" w:color="000000"/>
            </w:tcBorders>
          </w:tcPr>
          <w:p>
            <w:pPr>
              <w:pStyle w:val="TableParagraph"/>
              <w:spacing w:line="307" w:lineRule="auto" w:before="62"/>
              <w:ind w:left="92" w:right="-44"/>
              <w:rPr>
                <w:sz w:val="18"/>
              </w:rPr>
            </w:pPr>
            <w:r>
              <w:rPr>
                <w:spacing w:val="-4"/>
                <w:sz w:val="18"/>
              </w:rPr>
              <w:t>days.rf.above.1mm </w:t>
            </w:r>
            <w:r>
              <w:rPr>
                <w:spacing w:val="-2"/>
                <w:sz w:val="18"/>
              </w:rPr>
              <w:t>fl_y1_a20</w:t>
            </w:r>
          </w:p>
        </w:tc>
        <w:tc>
          <w:tcPr>
            <w:tcW w:w="978" w:type="dxa"/>
            <w:tcBorders>
              <w:left w:val="single" w:sz="4" w:space="0" w:color="000000"/>
              <w:right w:val="single" w:sz="4" w:space="0" w:color="000000"/>
            </w:tcBorders>
          </w:tcPr>
          <w:p>
            <w:pPr>
              <w:pStyle w:val="TableParagraph"/>
              <w:tabs>
                <w:tab w:pos="574" w:val="left" w:leader="none"/>
              </w:tabs>
              <w:spacing w:line="307" w:lineRule="auto" w:before="62"/>
              <w:ind w:left="53" w:right="3" w:hanging="23"/>
              <w:rPr>
                <w:sz w:val="18"/>
              </w:rPr>
            </w:pPr>
            <w:r>
              <w:rPr>
                <w:spacing w:val="-4"/>
                <w:sz w:val="18"/>
              </w:rPr>
              <w:t>_Wet</w:t>
            </w:r>
            <w:r>
              <w:rPr>
                <w:sz w:val="18"/>
              </w:rPr>
              <w:tab/>
            </w:r>
            <w:r>
              <w:rPr>
                <w:spacing w:val="-4"/>
                <w:sz w:val="18"/>
              </w:rPr>
              <w:t>days (Rain&gt;1mm)</w:t>
            </w:r>
          </w:p>
        </w:tc>
        <w:tc>
          <w:tcPr>
            <w:tcW w:w="808" w:type="dxa"/>
            <w:tcBorders>
              <w:left w:val="single" w:sz="4" w:space="0" w:color="000000"/>
              <w:right w:val="single" w:sz="4" w:space="0" w:color="000000"/>
            </w:tcBorders>
          </w:tcPr>
          <w:p>
            <w:pPr>
              <w:pStyle w:val="TableParagraph"/>
              <w:spacing w:before="62"/>
              <w:ind w:left="58"/>
              <w:rPr>
                <w:sz w:val="18"/>
              </w:rPr>
            </w:pPr>
            <w:r>
              <w:rPr>
                <w:spacing w:val="-2"/>
                <w:sz w:val="18"/>
              </w:rPr>
              <w:t>Flowering</w:t>
            </w:r>
          </w:p>
        </w:tc>
        <w:tc>
          <w:tcPr>
            <w:tcW w:w="354" w:type="dxa"/>
            <w:tcBorders>
              <w:left w:val="single" w:sz="4" w:space="0" w:color="000000"/>
              <w:right w:val="single" w:sz="4" w:space="0" w:color="000000"/>
            </w:tcBorders>
          </w:tcPr>
          <w:p>
            <w:pPr>
              <w:pStyle w:val="TableParagraph"/>
              <w:spacing w:before="62"/>
              <w:ind w:left="1" w:right="46"/>
              <w:jc w:val="center"/>
              <w:rPr>
                <w:sz w:val="18"/>
              </w:rPr>
            </w:pPr>
            <w:r>
              <w:rPr>
                <w:spacing w:val="-5"/>
                <w:sz w:val="18"/>
              </w:rPr>
              <w:t>y1</w:t>
            </w:r>
          </w:p>
        </w:tc>
        <w:tc>
          <w:tcPr>
            <w:tcW w:w="921" w:type="dxa"/>
            <w:tcBorders>
              <w:left w:val="single" w:sz="4" w:space="0" w:color="000000"/>
              <w:right w:val="single" w:sz="4" w:space="0" w:color="000000"/>
            </w:tcBorders>
          </w:tcPr>
          <w:p>
            <w:pPr>
              <w:pStyle w:val="TableParagraph"/>
              <w:spacing w:before="62"/>
              <w:ind w:left="59"/>
              <w:rPr>
                <w:sz w:val="18"/>
              </w:rPr>
            </w:pPr>
            <w:r>
              <w:rPr>
                <w:sz w:val="18"/>
              </w:rPr>
              <w:t>20d</w:t>
            </w:r>
            <w:r>
              <w:rPr>
                <w:spacing w:val="-4"/>
                <w:sz w:val="18"/>
              </w:rPr>
              <w:t> after</w:t>
            </w:r>
          </w:p>
        </w:tc>
        <w:tc>
          <w:tcPr>
            <w:tcW w:w="524" w:type="dxa"/>
            <w:tcBorders>
              <w:left w:val="single" w:sz="4" w:space="0" w:color="000000"/>
              <w:right w:val="single" w:sz="4" w:space="0" w:color="000000"/>
            </w:tcBorders>
          </w:tcPr>
          <w:p>
            <w:pPr>
              <w:pStyle w:val="TableParagraph"/>
              <w:spacing w:before="62"/>
              <w:ind w:right="64"/>
              <w:jc w:val="center"/>
              <w:rPr>
                <w:sz w:val="18"/>
              </w:rPr>
            </w:pPr>
            <w:r>
              <w:rPr>
                <w:spacing w:val="-4"/>
                <w:sz w:val="18"/>
              </w:rPr>
              <w:t>days</w:t>
            </w:r>
          </w:p>
        </w:tc>
        <w:tc>
          <w:tcPr>
            <w:tcW w:w="637" w:type="dxa"/>
            <w:tcBorders>
              <w:left w:val="single" w:sz="4" w:space="0" w:color="000000"/>
              <w:right w:val="single" w:sz="4" w:space="0" w:color="000000"/>
            </w:tcBorders>
          </w:tcPr>
          <w:p>
            <w:pPr>
              <w:pStyle w:val="TableParagraph"/>
              <w:spacing w:before="62"/>
              <w:ind w:left="1" w:right="68"/>
              <w:jc w:val="center"/>
              <w:rPr>
                <w:sz w:val="18"/>
              </w:rPr>
            </w:pPr>
            <w:r>
              <w:rPr>
                <w:spacing w:val="-2"/>
                <w:sz w:val="18"/>
              </w:rPr>
              <w:t>Count</w:t>
            </w:r>
          </w:p>
        </w:tc>
        <w:tc>
          <w:tcPr>
            <w:tcW w:w="2877" w:type="dxa"/>
            <w:tcBorders>
              <w:left w:val="single" w:sz="4" w:space="0" w:color="000000"/>
            </w:tcBorders>
          </w:tcPr>
          <w:p>
            <w:pPr>
              <w:pStyle w:val="TableParagraph"/>
              <w:spacing w:line="307" w:lineRule="auto" w:before="62"/>
              <w:ind w:left="60" w:right="81"/>
              <w:jc w:val="both"/>
              <w:rPr>
                <w:sz w:val="18"/>
              </w:rPr>
            </w:pPr>
            <w:r>
              <w:rPr>
                <w:sz w:val="18"/>
              </w:rPr>
              <w:t>Post-flowering rain event count, </w:t>
            </w:r>
            <w:r>
              <w:rPr>
                <w:sz w:val="18"/>
              </w:rPr>
              <w:t>key disease pressure indicator in the Douro; DRY = above trend</w:t>
            </w:r>
          </w:p>
        </w:tc>
      </w:tr>
      <w:tr>
        <w:trPr>
          <w:trHeight w:val="635" w:hRule="atLeast"/>
        </w:trPr>
        <w:tc>
          <w:tcPr>
            <w:tcW w:w="1403" w:type="dxa"/>
            <w:tcBorders>
              <w:bottom w:val="single" w:sz="6" w:space="0" w:color="000000"/>
              <w:right w:val="single" w:sz="4" w:space="0" w:color="000000"/>
            </w:tcBorders>
          </w:tcPr>
          <w:p>
            <w:pPr>
              <w:pStyle w:val="TableParagraph"/>
              <w:spacing w:line="307" w:lineRule="auto" w:before="62"/>
              <w:ind w:left="92" w:right="-44"/>
              <w:rPr>
                <w:sz w:val="18"/>
              </w:rPr>
            </w:pPr>
            <w:r>
              <w:rPr>
                <w:spacing w:val="-4"/>
                <w:sz w:val="18"/>
              </w:rPr>
              <w:t>days.rf.above.1mm </w:t>
            </w:r>
            <w:r>
              <w:rPr>
                <w:spacing w:val="-2"/>
                <w:sz w:val="18"/>
              </w:rPr>
              <w:t>sm_y1_b20</w:t>
            </w:r>
          </w:p>
        </w:tc>
        <w:tc>
          <w:tcPr>
            <w:tcW w:w="978" w:type="dxa"/>
            <w:tcBorders>
              <w:left w:val="single" w:sz="4" w:space="0" w:color="000000"/>
              <w:bottom w:val="single" w:sz="6" w:space="0" w:color="000000"/>
              <w:right w:val="single" w:sz="4" w:space="0" w:color="000000"/>
            </w:tcBorders>
          </w:tcPr>
          <w:p>
            <w:pPr>
              <w:pStyle w:val="TableParagraph"/>
              <w:tabs>
                <w:tab w:pos="574" w:val="left" w:leader="none"/>
              </w:tabs>
              <w:spacing w:line="307" w:lineRule="auto" w:before="62"/>
              <w:ind w:left="53" w:right="3" w:hanging="23"/>
              <w:rPr>
                <w:sz w:val="18"/>
              </w:rPr>
            </w:pPr>
            <w:r>
              <w:rPr>
                <w:spacing w:val="-4"/>
                <w:sz w:val="18"/>
              </w:rPr>
              <w:t>_Wet</w:t>
            </w:r>
            <w:r>
              <w:rPr>
                <w:sz w:val="18"/>
              </w:rPr>
              <w:tab/>
            </w:r>
            <w:r>
              <w:rPr>
                <w:spacing w:val="-4"/>
                <w:sz w:val="18"/>
              </w:rPr>
              <w:t>days (Rain&gt;1mm)</w:t>
            </w:r>
          </w:p>
        </w:tc>
        <w:tc>
          <w:tcPr>
            <w:tcW w:w="808" w:type="dxa"/>
            <w:tcBorders>
              <w:left w:val="single" w:sz="4" w:space="0" w:color="000000"/>
              <w:bottom w:val="single" w:sz="6" w:space="0" w:color="000000"/>
              <w:right w:val="single" w:sz="4" w:space="0" w:color="000000"/>
            </w:tcBorders>
          </w:tcPr>
          <w:p>
            <w:pPr>
              <w:pStyle w:val="TableParagraph"/>
              <w:spacing w:line="307" w:lineRule="auto" w:before="62"/>
              <w:ind w:left="58"/>
              <w:rPr>
                <w:sz w:val="18"/>
              </w:rPr>
            </w:pPr>
            <w:r>
              <w:rPr>
                <w:sz w:val="18"/>
              </w:rPr>
              <w:t>Start</w:t>
            </w:r>
            <w:r>
              <w:rPr>
                <w:spacing w:val="-7"/>
                <w:sz w:val="18"/>
              </w:rPr>
              <w:t> </w:t>
            </w:r>
            <w:r>
              <w:rPr>
                <w:sz w:val="18"/>
              </w:rPr>
              <w:t>Ma-</w:t>
            </w:r>
            <w:r>
              <w:rPr>
                <w:spacing w:val="-2"/>
                <w:sz w:val="18"/>
              </w:rPr>
              <w:t>turity</w:t>
            </w:r>
          </w:p>
        </w:tc>
        <w:tc>
          <w:tcPr>
            <w:tcW w:w="354" w:type="dxa"/>
            <w:tcBorders>
              <w:left w:val="single" w:sz="4" w:space="0" w:color="000000"/>
              <w:bottom w:val="single" w:sz="6" w:space="0" w:color="000000"/>
              <w:right w:val="single" w:sz="4" w:space="0" w:color="000000"/>
            </w:tcBorders>
          </w:tcPr>
          <w:p>
            <w:pPr>
              <w:pStyle w:val="TableParagraph"/>
              <w:spacing w:before="62"/>
              <w:ind w:left="1" w:right="46"/>
              <w:jc w:val="center"/>
              <w:rPr>
                <w:sz w:val="18"/>
              </w:rPr>
            </w:pPr>
            <w:r>
              <w:rPr>
                <w:spacing w:val="-5"/>
                <w:sz w:val="18"/>
              </w:rPr>
              <w:t>y1</w:t>
            </w:r>
          </w:p>
        </w:tc>
        <w:tc>
          <w:tcPr>
            <w:tcW w:w="921" w:type="dxa"/>
            <w:tcBorders>
              <w:left w:val="single" w:sz="4" w:space="0" w:color="000000"/>
              <w:bottom w:val="single" w:sz="6" w:space="0" w:color="000000"/>
              <w:right w:val="single" w:sz="4" w:space="0" w:color="000000"/>
            </w:tcBorders>
          </w:tcPr>
          <w:p>
            <w:pPr>
              <w:pStyle w:val="TableParagraph"/>
              <w:spacing w:before="62"/>
              <w:ind w:left="59"/>
              <w:rPr>
                <w:sz w:val="18"/>
              </w:rPr>
            </w:pPr>
            <w:r>
              <w:rPr>
                <w:sz w:val="18"/>
              </w:rPr>
              <w:t>20d</w:t>
            </w:r>
            <w:r>
              <w:rPr>
                <w:spacing w:val="-4"/>
                <w:sz w:val="18"/>
              </w:rPr>
              <w:t> </w:t>
            </w:r>
            <w:r>
              <w:rPr>
                <w:spacing w:val="-2"/>
                <w:sz w:val="18"/>
              </w:rPr>
              <w:t>before</w:t>
            </w:r>
          </w:p>
        </w:tc>
        <w:tc>
          <w:tcPr>
            <w:tcW w:w="524" w:type="dxa"/>
            <w:tcBorders>
              <w:left w:val="single" w:sz="4" w:space="0" w:color="000000"/>
              <w:bottom w:val="single" w:sz="6" w:space="0" w:color="000000"/>
              <w:right w:val="single" w:sz="4" w:space="0" w:color="000000"/>
            </w:tcBorders>
          </w:tcPr>
          <w:p>
            <w:pPr>
              <w:pStyle w:val="TableParagraph"/>
              <w:spacing w:before="62"/>
              <w:ind w:right="64"/>
              <w:jc w:val="center"/>
              <w:rPr>
                <w:sz w:val="18"/>
              </w:rPr>
            </w:pPr>
            <w:r>
              <w:rPr>
                <w:spacing w:val="-4"/>
                <w:sz w:val="18"/>
              </w:rPr>
              <w:t>days</w:t>
            </w:r>
          </w:p>
        </w:tc>
        <w:tc>
          <w:tcPr>
            <w:tcW w:w="637" w:type="dxa"/>
            <w:tcBorders>
              <w:left w:val="single" w:sz="4" w:space="0" w:color="000000"/>
              <w:bottom w:val="single" w:sz="6" w:space="0" w:color="000000"/>
              <w:right w:val="single" w:sz="4" w:space="0" w:color="000000"/>
            </w:tcBorders>
          </w:tcPr>
          <w:p>
            <w:pPr>
              <w:pStyle w:val="TableParagraph"/>
              <w:spacing w:before="62"/>
              <w:ind w:left="1" w:right="68"/>
              <w:jc w:val="center"/>
              <w:rPr>
                <w:sz w:val="18"/>
              </w:rPr>
            </w:pPr>
            <w:r>
              <w:rPr>
                <w:spacing w:val="-2"/>
                <w:sz w:val="18"/>
              </w:rPr>
              <w:t>Count</w:t>
            </w:r>
          </w:p>
        </w:tc>
        <w:tc>
          <w:tcPr>
            <w:tcW w:w="2877" w:type="dxa"/>
            <w:tcBorders>
              <w:left w:val="single" w:sz="4" w:space="0" w:color="000000"/>
              <w:bottom w:val="single" w:sz="6" w:space="0" w:color="000000"/>
            </w:tcBorders>
          </w:tcPr>
          <w:p>
            <w:pPr>
              <w:pStyle w:val="TableParagraph"/>
              <w:spacing w:line="307" w:lineRule="auto" w:before="62"/>
              <w:ind w:left="60"/>
              <w:rPr>
                <w:sz w:val="18"/>
              </w:rPr>
            </w:pPr>
            <w:r>
              <w:rPr>
                <w:spacing w:val="-2"/>
                <w:sz w:val="18"/>
              </w:rPr>
              <w:t>Rain</w:t>
            </w:r>
            <w:r>
              <w:rPr>
                <w:spacing w:val="-7"/>
                <w:sz w:val="18"/>
              </w:rPr>
              <w:t> </w:t>
            </w:r>
            <w:r>
              <w:rPr>
                <w:spacing w:val="-2"/>
                <w:sz w:val="18"/>
              </w:rPr>
              <w:t>days</w:t>
            </w:r>
            <w:r>
              <w:rPr>
                <w:spacing w:val="-7"/>
                <w:sz w:val="18"/>
              </w:rPr>
              <w:t> </w:t>
            </w:r>
            <w:r>
              <w:rPr>
                <w:spacing w:val="-2"/>
                <w:sz w:val="18"/>
              </w:rPr>
              <w:t>approaching</w:t>
            </w:r>
            <w:r>
              <w:rPr>
                <w:spacing w:val="-7"/>
                <w:sz w:val="18"/>
              </w:rPr>
              <w:t> </w:t>
            </w:r>
            <w:r>
              <w:rPr>
                <w:spacing w:val="-2"/>
                <w:sz w:val="18"/>
              </w:rPr>
              <w:t>veraison,</w:t>
            </w:r>
            <w:r>
              <w:rPr>
                <w:spacing w:val="-7"/>
                <w:sz w:val="18"/>
              </w:rPr>
              <w:t> </w:t>
            </w:r>
            <w:r>
              <w:rPr>
                <w:spacing w:val="-2"/>
                <w:sz w:val="18"/>
              </w:rPr>
              <w:t>mois-ture</w:t>
            </w:r>
            <w:r>
              <w:rPr>
                <w:spacing w:val="1"/>
                <w:sz w:val="18"/>
              </w:rPr>
              <w:t> </w:t>
            </w:r>
            <w:r>
              <w:rPr>
                <w:spacing w:val="-2"/>
                <w:sz w:val="18"/>
              </w:rPr>
              <w:t>during</w:t>
            </w:r>
            <w:r>
              <w:rPr>
                <w:spacing w:val="2"/>
                <w:sz w:val="18"/>
              </w:rPr>
              <w:t> </w:t>
            </w:r>
            <w:r>
              <w:rPr>
                <w:spacing w:val="-2"/>
                <w:sz w:val="18"/>
              </w:rPr>
              <w:t>mid-season</w:t>
            </w:r>
            <w:r>
              <w:rPr>
                <w:spacing w:val="2"/>
                <w:sz w:val="18"/>
              </w:rPr>
              <w:t> </w:t>
            </w:r>
            <w:r>
              <w:rPr>
                <w:spacing w:val="-2"/>
                <w:sz w:val="18"/>
              </w:rPr>
              <w:t>ripening</w:t>
            </w:r>
            <w:r>
              <w:rPr>
                <w:spacing w:val="2"/>
                <w:sz w:val="18"/>
              </w:rPr>
              <w:t> </w:t>
            </w:r>
            <w:r>
              <w:rPr>
                <w:spacing w:val="-2"/>
                <w:sz w:val="18"/>
              </w:rPr>
              <w:t>phase</w:t>
            </w:r>
          </w:p>
        </w:tc>
      </w:tr>
    </w:tbl>
    <w:p>
      <w:pPr>
        <w:spacing w:before="141"/>
        <w:ind w:left="0" w:right="1082" w:firstLine="0"/>
        <w:jc w:val="right"/>
        <w:rPr>
          <w:i/>
          <w:sz w:val="18"/>
        </w:rPr>
      </w:pPr>
      <w:r>
        <w:rPr>
          <w:i/>
          <w:sz w:val="18"/>
        </w:rPr>
        <w:t>Continued</w:t>
      </w:r>
      <w:r>
        <w:rPr>
          <w:i/>
          <w:spacing w:val="-7"/>
          <w:sz w:val="18"/>
        </w:rPr>
        <w:t> </w:t>
      </w:r>
      <w:r>
        <w:rPr>
          <w:i/>
          <w:sz w:val="18"/>
        </w:rPr>
        <w:t>on</w:t>
      </w:r>
      <w:r>
        <w:rPr>
          <w:i/>
          <w:spacing w:val="-6"/>
          <w:sz w:val="18"/>
        </w:rPr>
        <w:t> </w:t>
      </w:r>
      <w:r>
        <w:rPr>
          <w:i/>
          <w:sz w:val="18"/>
        </w:rPr>
        <w:t>next</w:t>
      </w:r>
      <w:r>
        <w:rPr>
          <w:i/>
          <w:spacing w:val="-7"/>
          <w:sz w:val="18"/>
        </w:rPr>
        <w:t> </w:t>
      </w:r>
      <w:r>
        <w:rPr>
          <w:i/>
          <w:spacing w:val="-4"/>
          <w:sz w:val="18"/>
        </w:rPr>
        <w:t>page</w:t>
      </w:r>
    </w:p>
    <w:p>
      <w:pPr>
        <w:spacing w:after="0"/>
        <w:jc w:val="right"/>
        <w:rPr>
          <w:i/>
          <w:sz w:val="18"/>
        </w:rPr>
        <w:sectPr>
          <w:pgSz w:w="11910" w:h="16840"/>
          <w:pgMar w:header="1160" w:footer="0" w:top="1420" w:bottom="280" w:left="1275" w:right="425"/>
        </w:sectPr>
      </w:pPr>
    </w:p>
    <w:p>
      <w:pPr>
        <w:pStyle w:val="BodyText"/>
        <w:rPr>
          <w:i/>
          <w:sz w:val="18"/>
        </w:rPr>
      </w:pPr>
    </w:p>
    <w:p>
      <w:pPr>
        <w:pStyle w:val="BodyText"/>
        <w:spacing w:before="178"/>
        <w:rPr>
          <w:i/>
          <w:sz w:val="18"/>
        </w:rPr>
      </w:pPr>
    </w:p>
    <w:p>
      <w:pPr>
        <w:spacing w:before="0"/>
        <w:ind w:left="234" w:right="0" w:firstLine="0"/>
        <w:jc w:val="left"/>
        <w:rPr>
          <w:i/>
          <w:sz w:val="18"/>
        </w:rPr>
      </w:pPr>
      <w:r>
        <w:rPr>
          <w:i/>
          <w:spacing w:val="-2"/>
          <w:sz w:val="18"/>
        </w:rPr>
        <w:t>Table </w:t>
      </w:r>
      <w:hyperlink w:history="true" w:anchor="_bookmark186">
        <w:r>
          <w:rPr>
            <w:i/>
            <w:color w:val="8B2C18"/>
            <w:spacing w:val="-2"/>
            <w:sz w:val="18"/>
          </w:rPr>
          <w:t>C.4</w:t>
        </w:r>
      </w:hyperlink>
      <w:r>
        <w:rPr>
          <w:i/>
          <w:color w:val="8B2C18"/>
          <w:spacing w:val="-1"/>
          <w:sz w:val="18"/>
        </w:rPr>
        <w:t> </w:t>
      </w:r>
      <w:r>
        <w:rPr>
          <w:i/>
          <w:spacing w:val="-2"/>
          <w:sz w:val="18"/>
        </w:rPr>
        <w:t>continued</w:t>
      </w:r>
      <w:r>
        <w:rPr>
          <w:i/>
          <w:spacing w:val="-1"/>
          <w:sz w:val="18"/>
        </w:rPr>
        <w:t> </w:t>
      </w:r>
      <w:r>
        <w:rPr>
          <w:i/>
          <w:spacing w:val="-2"/>
          <w:sz w:val="18"/>
        </w:rPr>
        <w:t>from previous</w:t>
      </w:r>
      <w:r>
        <w:rPr>
          <w:i/>
          <w:spacing w:val="-1"/>
          <w:sz w:val="18"/>
        </w:rPr>
        <w:t> </w:t>
      </w:r>
      <w:r>
        <w:rPr>
          <w:i/>
          <w:spacing w:val="-4"/>
          <w:sz w:val="18"/>
        </w:rPr>
        <w:t>page</w:t>
      </w:r>
    </w:p>
    <w:p>
      <w:pPr>
        <w:pStyle w:val="BodyText"/>
        <w:spacing w:before="3"/>
        <w:rPr>
          <w:i/>
          <w:sz w:val="4"/>
        </w:rPr>
      </w:pPr>
      <w:r>
        <w:rPr>
          <w:i/>
          <w:sz w:val="4"/>
        </w:rPr>
        <mc:AlternateContent>
          <mc:Choice Requires="wps">
            <w:drawing>
              <wp:anchor distT="0" distB="0" distL="0" distR="0" allowOverlap="1" layoutInCell="1" locked="0" behindDoc="1" simplePos="0" relativeHeight="487643136">
                <wp:simplePos x="0" y="0"/>
                <wp:positionH relativeFrom="page">
                  <wp:posOffset>920635</wp:posOffset>
                </wp:positionH>
                <wp:positionV relativeFrom="paragraph">
                  <wp:posOffset>46662</wp:posOffset>
                </wp:positionV>
                <wp:extent cx="5358765" cy="1270"/>
                <wp:effectExtent l="0" t="0" r="0" b="0"/>
                <wp:wrapTopAndBottom/>
                <wp:docPr id="297" name="Graphic 297"/>
                <wp:cNvGraphicFramePr>
                  <a:graphicFrameLocks/>
                </wp:cNvGraphicFramePr>
                <a:graphic>
                  <a:graphicData uri="http://schemas.microsoft.com/office/word/2010/wordprocessingShape">
                    <wps:wsp>
                      <wps:cNvPr id="297" name="Graphic 297"/>
                      <wps:cNvSpPr/>
                      <wps:spPr>
                        <a:xfrm>
                          <a:off x="0" y="0"/>
                          <a:ext cx="5358765" cy="1270"/>
                        </a:xfrm>
                        <a:custGeom>
                          <a:avLst/>
                          <a:gdLst/>
                          <a:ahLst/>
                          <a:cxnLst/>
                          <a:rect l="l" t="t" r="r" b="b"/>
                          <a:pathLst>
                            <a:path w="5358765" h="0">
                              <a:moveTo>
                                <a:pt x="0" y="0"/>
                              </a:moveTo>
                              <a:lnTo>
                                <a:pt x="5358739"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490997pt;margin-top:3.67418pt;width:421.95pt;height:.1pt;mso-position-horizontal-relative:page;mso-position-vertical-relative:paragraph;z-index:-15673344;mso-wrap-distance-left:0;mso-wrap-distance-right:0" id="docshape260" coordorigin="1450,73" coordsize="8439,0" path="m1450,73l9889,73e" filled="false" stroked="true" strokeweight=".868pt" strokecolor="#000000">
                <v:path arrowok="t"/>
                <v:stroke dashstyle="solid"/>
                <w10:wrap type="topAndBottom"/>
              </v:shape>
            </w:pict>
          </mc:Fallback>
        </mc:AlternateContent>
      </w:r>
    </w:p>
    <w:p>
      <w:pPr>
        <w:pStyle w:val="BodyText"/>
        <w:spacing w:before="9"/>
        <w:rPr>
          <w:i/>
          <w:sz w:val="4"/>
        </w:rPr>
      </w:pPr>
    </w:p>
    <w:tbl>
      <w:tblPr>
        <w:tblW w:w="0" w:type="auto"/>
        <w:jc w:val="left"/>
        <w:tblInd w:w="1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71"/>
        <w:gridCol w:w="978"/>
        <w:gridCol w:w="808"/>
        <w:gridCol w:w="354"/>
        <w:gridCol w:w="921"/>
        <w:gridCol w:w="524"/>
        <w:gridCol w:w="637"/>
        <w:gridCol w:w="2844"/>
      </w:tblGrid>
      <w:tr>
        <w:trPr>
          <w:trHeight w:val="381" w:hRule="atLeast"/>
        </w:trPr>
        <w:tc>
          <w:tcPr>
            <w:tcW w:w="1371" w:type="dxa"/>
            <w:tcBorders>
              <w:top w:val="nil"/>
              <w:left w:val="nil"/>
              <w:right w:val="single" w:sz="4" w:space="0" w:color="000000"/>
            </w:tcBorders>
          </w:tcPr>
          <w:p>
            <w:pPr>
              <w:pStyle w:val="TableParagraph"/>
              <w:spacing w:before="74"/>
              <w:ind w:left="59"/>
              <w:rPr>
                <w:sz w:val="18"/>
              </w:rPr>
            </w:pPr>
            <w:r>
              <w:rPr>
                <w:sz w:val="18"/>
              </w:rPr>
              <w:t>Feature</w:t>
            </w:r>
            <w:r>
              <w:rPr>
                <w:spacing w:val="-7"/>
                <w:sz w:val="18"/>
              </w:rPr>
              <w:t> </w:t>
            </w:r>
            <w:r>
              <w:rPr>
                <w:spacing w:val="-4"/>
                <w:sz w:val="18"/>
              </w:rPr>
              <w:t>name</w:t>
            </w:r>
          </w:p>
        </w:tc>
        <w:tc>
          <w:tcPr>
            <w:tcW w:w="978" w:type="dxa"/>
            <w:tcBorders>
              <w:top w:val="nil"/>
              <w:left w:val="single" w:sz="4" w:space="0" w:color="000000"/>
              <w:right w:val="single" w:sz="4" w:space="0" w:color="000000"/>
            </w:tcBorders>
          </w:tcPr>
          <w:p>
            <w:pPr>
              <w:pStyle w:val="TableParagraph"/>
              <w:spacing w:before="74"/>
              <w:ind w:left="58"/>
              <w:rPr>
                <w:sz w:val="18"/>
              </w:rPr>
            </w:pPr>
            <w:r>
              <w:rPr>
                <w:spacing w:val="-2"/>
                <w:sz w:val="18"/>
              </w:rPr>
              <w:t>Variable</w:t>
            </w:r>
          </w:p>
        </w:tc>
        <w:tc>
          <w:tcPr>
            <w:tcW w:w="808" w:type="dxa"/>
            <w:tcBorders>
              <w:top w:val="nil"/>
              <w:left w:val="single" w:sz="4" w:space="0" w:color="000000"/>
              <w:right w:val="single" w:sz="4" w:space="0" w:color="000000"/>
            </w:tcBorders>
          </w:tcPr>
          <w:p>
            <w:pPr>
              <w:pStyle w:val="TableParagraph"/>
              <w:spacing w:before="74"/>
              <w:ind w:left="58"/>
              <w:rPr>
                <w:sz w:val="18"/>
              </w:rPr>
            </w:pPr>
            <w:r>
              <w:rPr>
                <w:spacing w:val="-2"/>
                <w:sz w:val="18"/>
              </w:rPr>
              <w:t>Stage</w:t>
            </w:r>
          </w:p>
        </w:tc>
        <w:tc>
          <w:tcPr>
            <w:tcW w:w="354" w:type="dxa"/>
            <w:tcBorders>
              <w:top w:val="nil"/>
              <w:left w:val="single" w:sz="4" w:space="0" w:color="000000"/>
              <w:right w:val="single" w:sz="4" w:space="0" w:color="000000"/>
            </w:tcBorders>
          </w:tcPr>
          <w:p>
            <w:pPr>
              <w:pStyle w:val="TableParagraph"/>
              <w:spacing w:before="74"/>
              <w:ind w:left="58" w:right="-44"/>
              <w:rPr>
                <w:sz w:val="18"/>
              </w:rPr>
            </w:pPr>
            <w:r>
              <w:rPr>
                <w:spacing w:val="-9"/>
                <w:sz w:val="18"/>
              </w:rPr>
              <w:t>Year</w:t>
            </w:r>
          </w:p>
        </w:tc>
        <w:tc>
          <w:tcPr>
            <w:tcW w:w="921" w:type="dxa"/>
            <w:tcBorders>
              <w:top w:val="nil"/>
              <w:left w:val="single" w:sz="4" w:space="0" w:color="000000"/>
              <w:right w:val="single" w:sz="4" w:space="0" w:color="000000"/>
            </w:tcBorders>
          </w:tcPr>
          <w:p>
            <w:pPr>
              <w:pStyle w:val="TableParagraph"/>
              <w:spacing w:before="74"/>
              <w:ind w:left="58"/>
              <w:rPr>
                <w:sz w:val="18"/>
              </w:rPr>
            </w:pPr>
            <w:r>
              <w:rPr>
                <w:spacing w:val="-2"/>
                <w:sz w:val="18"/>
              </w:rPr>
              <w:t>Window</w:t>
            </w:r>
          </w:p>
        </w:tc>
        <w:tc>
          <w:tcPr>
            <w:tcW w:w="524" w:type="dxa"/>
            <w:tcBorders>
              <w:top w:val="nil"/>
              <w:left w:val="single" w:sz="4" w:space="0" w:color="000000"/>
              <w:right w:val="single" w:sz="4" w:space="0" w:color="000000"/>
            </w:tcBorders>
          </w:tcPr>
          <w:p>
            <w:pPr>
              <w:pStyle w:val="TableParagraph"/>
              <w:spacing w:before="74"/>
              <w:ind w:left="58"/>
              <w:rPr>
                <w:sz w:val="18"/>
              </w:rPr>
            </w:pPr>
            <w:r>
              <w:rPr>
                <w:spacing w:val="-4"/>
                <w:sz w:val="18"/>
              </w:rPr>
              <w:t>Unit</w:t>
            </w:r>
          </w:p>
        </w:tc>
        <w:tc>
          <w:tcPr>
            <w:tcW w:w="637" w:type="dxa"/>
            <w:tcBorders>
              <w:top w:val="nil"/>
              <w:left w:val="single" w:sz="4" w:space="0" w:color="000000"/>
              <w:right w:val="single" w:sz="4" w:space="0" w:color="000000"/>
            </w:tcBorders>
          </w:tcPr>
          <w:p>
            <w:pPr>
              <w:pStyle w:val="TableParagraph"/>
              <w:spacing w:before="74"/>
              <w:ind w:left="59"/>
              <w:rPr>
                <w:sz w:val="18"/>
              </w:rPr>
            </w:pPr>
            <w:r>
              <w:rPr>
                <w:spacing w:val="-4"/>
                <w:sz w:val="18"/>
              </w:rPr>
              <w:t>Calc</w:t>
            </w:r>
          </w:p>
        </w:tc>
        <w:tc>
          <w:tcPr>
            <w:tcW w:w="2844" w:type="dxa"/>
            <w:tcBorders>
              <w:top w:val="nil"/>
              <w:left w:val="single" w:sz="4" w:space="0" w:color="000000"/>
              <w:right w:val="nil"/>
            </w:tcBorders>
          </w:tcPr>
          <w:p>
            <w:pPr>
              <w:pStyle w:val="TableParagraph"/>
              <w:spacing w:before="74"/>
              <w:ind w:left="59"/>
              <w:rPr>
                <w:sz w:val="18"/>
              </w:rPr>
            </w:pPr>
            <w:r>
              <w:rPr>
                <w:sz w:val="18"/>
              </w:rPr>
              <w:t>Agronomic</w:t>
            </w:r>
            <w:r>
              <w:rPr>
                <w:spacing w:val="-10"/>
                <w:sz w:val="18"/>
              </w:rPr>
              <w:t> </w:t>
            </w:r>
            <w:r>
              <w:rPr>
                <w:spacing w:val="-2"/>
                <w:sz w:val="18"/>
              </w:rPr>
              <w:t>interpretation</w:t>
            </w:r>
          </w:p>
        </w:tc>
      </w:tr>
    </w:tbl>
    <w:p>
      <w:pPr>
        <w:pStyle w:val="BodyText"/>
        <w:spacing w:before="10"/>
        <w:rPr>
          <w:i/>
          <w:sz w:val="4"/>
        </w:r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1"/>
        <w:gridCol w:w="978"/>
        <w:gridCol w:w="808"/>
        <w:gridCol w:w="354"/>
        <w:gridCol w:w="921"/>
        <w:gridCol w:w="524"/>
        <w:gridCol w:w="637"/>
        <w:gridCol w:w="2844"/>
      </w:tblGrid>
      <w:tr>
        <w:trPr>
          <w:trHeight w:val="888" w:hRule="atLeast"/>
        </w:trPr>
        <w:tc>
          <w:tcPr>
            <w:tcW w:w="1371" w:type="dxa"/>
            <w:tcBorders>
              <w:top w:val="nil"/>
              <w:left w:val="nil"/>
              <w:bottom w:val="nil"/>
            </w:tcBorders>
          </w:tcPr>
          <w:p>
            <w:pPr>
              <w:pStyle w:val="TableParagraph"/>
              <w:spacing w:line="307" w:lineRule="auto" w:before="74"/>
              <w:ind w:left="59" w:right="-44"/>
              <w:rPr>
                <w:sz w:val="18"/>
              </w:rPr>
            </w:pPr>
            <w:r>
              <w:rPr>
                <w:spacing w:val="-4"/>
                <w:sz w:val="18"/>
              </w:rPr>
              <w:t>days.rf.above.1mm </w:t>
            </w:r>
            <w:r>
              <w:rPr>
                <w:spacing w:val="-2"/>
                <w:sz w:val="18"/>
              </w:rPr>
              <w:t>sm_y1_a20</w:t>
            </w:r>
          </w:p>
        </w:tc>
        <w:tc>
          <w:tcPr>
            <w:tcW w:w="978" w:type="dxa"/>
            <w:tcBorders>
              <w:top w:val="nil"/>
              <w:bottom w:val="nil"/>
            </w:tcBorders>
          </w:tcPr>
          <w:p>
            <w:pPr>
              <w:pStyle w:val="TableParagraph"/>
              <w:tabs>
                <w:tab w:pos="573" w:val="left" w:leader="none"/>
              </w:tabs>
              <w:spacing w:line="307" w:lineRule="auto" w:before="74"/>
              <w:ind w:left="52" w:right="3" w:hanging="23"/>
              <w:rPr>
                <w:sz w:val="18"/>
              </w:rPr>
            </w:pPr>
            <w:r>
              <w:rPr>
                <w:spacing w:val="-4"/>
                <w:sz w:val="18"/>
              </w:rPr>
              <w:t>_Wet</w:t>
            </w:r>
            <w:r>
              <w:rPr>
                <w:sz w:val="18"/>
              </w:rPr>
              <w:tab/>
            </w:r>
            <w:r>
              <w:rPr>
                <w:spacing w:val="-4"/>
                <w:sz w:val="18"/>
              </w:rPr>
              <w:t>days (Rain&gt;1mm)</w:t>
            </w:r>
          </w:p>
        </w:tc>
        <w:tc>
          <w:tcPr>
            <w:tcW w:w="808" w:type="dxa"/>
            <w:tcBorders>
              <w:top w:val="nil"/>
              <w:bottom w:val="nil"/>
            </w:tcBorders>
          </w:tcPr>
          <w:p>
            <w:pPr>
              <w:pStyle w:val="TableParagraph"/>
              <w:spacing w:line="307" w:lineRule="auto" w:before="74"/>
              <w:ind w:left="58"/>
              <w:rPr>
                <w:sz w:val="18"/>
              </w:rPr>
            </w:pPr>
            <w:r>
              <w:rPr>
                <w:sz w:val="18"/>
              </w:rPr>
              <w:t>Start</w:t>
            </w:r>
            <w:r>
              <w:rPr>
                <w:spacing w:val="-7"/>
                <w:sz w:val="18"/>
              </w:rPr>
              <w:t> </w:t>
            </w:r>
            <w:r>
              <w:rPr>
                <w:sz w:val="18"/>
              </w:rPr>
              <w:t>Ma-</w:t>
            </w:r>
            <w:r>
              <w:rPr>
                <w:spacing w:val="-2"/>
                <w:sz w:val="18"/>
              </w:rPr>
              <w:t>turity</w:t>
            </w:r>
          </w:p>
        </w:tc>
        <w:tc>
          <w:tcPr>
            <w:tcW w:w="354" w:type="dxa"/>
            <w:tcBorders>
              <w:top w:val="nil"/>
              <w:bottom w:val="nil"/>
            </w:tcBorders>
          </w:tcPr>
          <w:p>
            <w:pPr>
              <w:pStyle w:val="TableParagraph"/>
              <w:spacing w:before="74"/>
              <w:ind w:right="46"/>
              <w:jc w:val="center"/>
              <w:rPr>
                <w:sz w:val="18"/>
              </w:rPr>
            </w:pPr>
            <w:r>
              <w:rPr>
                <w:spacing w:val="-5"/>
                <w:sz w:val="18"/>
              </w:rPr>
              <w:t>y1</w:t>
            </w:r>
          </w:p>
        </w:tc>
        <w:tc>
          <w:tcPr>
            <w:tcW w:w="921" w:type="dxa"/>
            <w:tcBorders>
              <w:top w:val="nil"/>
              <w:bottom w:val="nil"/>
            </w:tcBorders>
          </w:tcPr>
          <w:p>
            <w:pPr>
              <w:pStyle w:val="TableParagraph"/>
              <w:spacing w:before="74"/>
              <w:ind w:left="58"/>
              <w:rPr>
                <w:sz w:val="18"/>
              </w:rPr>
            </w:pPr>
            <w:r>
              <w:rPr>
                <w:sz w:val="18"/>
              </w:rPr>
              <w:t>20d</w:t>
            </w:r>
            <w:r>
              <w:rPr>
                <w:spacing w:val="-4"/>
                <w:sz w:val="18"/>
              </w:rPr>
              <w:t> after</w:t>
            </w:r>
          </w:p>
        </w:tc>
        <w:tc>
          <w:tcPr>
            <w:tcW w:w="524" w:type="dxa"/>
            <w:tcBorders>
              <w:top w:val="nil"/>
              <w:bottom w:val="nil"/>
            </w:tcBorders>
          </w:tcPr>
          <w:p>
            <w:pPr>
              <w:pStyle w:val="TableParagraph"/>
              <w:spacing w:before="74"/>
              <w:ind w:left="58"/>
              <w:rPr>
                <w:sz w:val="18"/>
              </w:rPr>
            </w:pPr>
            <w:r>
              <w:rPr>
                <w:spacing w:val="-4"/>
                <w:sz w:val="18"/>
              </w:rPr>
              <w:t>days</w:t>
            </w:r>
          </w:p>
        </w:tc>
        <w:tc>
          <w:tcPr>
            <w:tcW w:w="637" w:type="dxa"/>
            <w:tcBorders>
              <w:top w:val="nil"/>
              <w:bottom w:val="nil"/>
            </w:tcBorders>
          </w:tcPr>
          <w:p>
            <w:pPr>
              <w:pStyle w:val="TableParagraph"/>
              <w:spacing w:before="74"/>
              <w:ind w:right="68"/>
              <w:jc w:val="center"/>
              <w:rPr>
                <w:sz w:val="18"/>
              </w:rPr>
            </w:pPr>
            <w:r>
              <w:rPr>
                <w:spacing w:val="-2"/>
                <w:sz w:val="18"/>
              </w:rPr>
              <w:t>Count</w:t>
            </w:r>
          </w:p>
        </w:tc>
        <w:tc>
          <w:tcPr>
            <w:tcW w:w="2844" w:type="dxa"/>
            <w:tcBorders>
              <w:top w:val="nil"/>
              <w:bottom w:val="nil"/>
              <w:right w:val="nil"/>
            </w:tcBorders>
          </w:tcPr>
          <w:p>
            <w:pPr>
              <w:pStyle w:val="TableParagraph"/>
              <w:spacing w:line="307" w:lineRule="auto" w:before="74"/>
              <w:ind w:left="59" w:right="40"/>
              <w:jc w:val="both"/>
              <w:rPr>
                <w:sz w:val="18"/>
              </w:rPr>
            </w:pPr>
            <w:r>
              <w:rPr>
                <w:sz w:val="18"/>
              </w:rPr>
              <w:t>Post-veraison rain days, disease and </w:t>
            </w:r>
            <w:r>
              <w:rPr>
                <w:spacing w:val="-2"/>
                <w:sz w:val="18"/>
              </w:rPr>
              <w:t>dilution</w:t>
            </w:r>
            <w:r>
              <w:rPr>
                <w:spacing w:val="-7"/>
                <w:sz w:val="18"/>
              </w:rPr>
              <w:t> </w:t>
            </w:r>
            <w:r>
              <w:rPr>
                <w:spacing w:val="-2"/>
                <w:sz w:val="18"/>
              </w:rPr>
              <w:t>risk</w:t>
            </w:r>
            <w:r>
              <w:rPr>
                <w:spacing w:val="-7"/>
                <w:sz w:val="18"/>
              </w:rPr>
              <w:t> </w:t>
            </w:r>
            <w:r>
              <w:rPr>
                <w:spacing w:val="-2"/>
                <w:sz w:val="18"/>
              </w:rPr>
              <w:t>during</w:t>
            </w:r>
            <w:r>
              <w:rPr>
                <w:spacing w:val="-7"/>
                <w:sz w:val="18"/>
              </w:rPr>
              <w:t> </w:t>
            </w:r>
            <w:r>
              <w:rPr>
                <w:spacing w:val="-2"/>
                <w:sz w:val="18"/>
              </w:rPr>
              <w:t>the</w:t>
            </w:r>
            <w:r>
              <w:rPr>
                <w:spacing w:val="-7"/>
                <w:sz w:val="18"/>
              </w:rPr>
              <w:t> </w:t>
            </w:r>
            <w:r>
              <w:rPr>
                <w:spacing w:val="-2"/>
                <w:sz w:val="18"/>
              </w:rPr>
              <w:t>ripening</w:t>
            </w:r>
            <w:r>
              <w:rPr>
                <w:spacing w:val="-7"/>
                <w:sz w:val="18"/>
              </w:rPr>
              <w:t> </w:t>
            </w:r>
            <w:r>
              <w:rPr>
                <w:spacing w:val="-2"/>
                <w:sz w:val="18"/>
              </w:rPr>
              <w:t>phase; </w:t>
            </w:r>
            <w:r>
              <w:rPr>
                <w:sz w:val="18"/>
              </w:rPr>
              <w:t>2nd most frequent RDD rule feature</w:t>
            </w:r>
          </w:p>
        </w:tc>
      </w:tr>
      <w:tr>
        <w:trPr>
          <w:trHeight w:val="902" w:hRule="atLeast"/>
        </w:trPr>
        <w:tc>
          <w:tcPr>
            <w:tcW w:w="1371" w:type="dxa"/>
            <w:tcBorders>
              <w:top w:val="nil"/>
              <w:left w:val="nil"/>
              <w:bottom w:val="single" w:sz="8" w:space="0" w:color="000000"/>
            </w:tcBorders>
          </w:tcPr>
          <w:p>
            <w:pPr>
              <w:pStyle w:val="TableParagraph"/>
              <w:spacing w:line="307" w:lineRule="auto" w:before="62"/>
              <w:ind w:left="59" w:right="-44"/>
              <w:rPr>
                <w:sz w:val="18"/>
              </w:rPr>
            </w:pPr>
            <w:r>
              <w:rPr>
                <w:spacing w:val="-4"/>
                <w:sz w:val="18"/>
              </w:rPr>
              <w:t>days.rf.above.1mm </w:t>
            </w:r>
            <w:r>
              <w:rPr>
                <w:spacing w:val="-2"/>
                <w:sz w:val="18"/>
              </w:rPr>
              <w:t>hv_y1_c10</w:t>
            </w:r>
          </w:p>
        </w:tc>
        <w:tc>
          <w:tcPr>
            <w:tcW w:w="978" w:type="dxa"/>
            <w:tcBorders>
              <w:top w:val="nil"/>
              <w:bottom w:val="single" w:sz="8" w:space="0" w:color="000000"/>
            </w:tcBorders>
          </w:tcPr>
          <w:p>
            <w:pPr>
              <w:pStyle w:val="TableParagraph"/>
              <w:tabs>
                <w:tab w:pos="573" w:val="left" w:leader="none"/>
              </w:tabs>
              <w:spacing w:line="307" w:lineRule="auto" w:before="62"/>
              <w:ind w:left="52" w:right="3" w:hanging="23"/>
              <w:rPr>
                <w:sz w:val="18"/>
              </w:rPr>
            </w:pPr>
            <w:r>
              <w:rPr>
                <w:spacing w:val="-4"/>
                <w:sz w:val="18"/>
              </w:rPr>
              <w:t>_Wet</w:t>
            </w:r>
            <w:r>
              <w:rPr>
                <w:sz w:val="18"/>
              </w:rPr>
              <w:tab/>
            </w:r>
            <w:r>
              <w:rPr>
                <w:spacing w:val="-4"/>
                <w:sz w:val="18"/>
              </w:rPr>
              <w:t>days (Rain&gt;1mm)</w:t>
            </w:r>
          </w:p>
        </w:tc>
        <w:tc>
          <w:tcPr>
            <w:tcW w:w="808" w:type="dxa"/>
            <w:tcBorders>
              <w:top w:val="nil"/>
              <w:bottom w:val="single" w:sz="8" w:space="0" w:color="000000"/>
            </w:tcBorders>
          </w:tcPr>
          <w:p>
            <w:pPr>
              <w:pStyle w:val="TableParagraph"/>
              <w:spacing w:before="62"/>
              <w:ind w:left="58"/>
              <w:rPr>
                <w:sz w:val="18"/>
              </w:rPr>
            </w:pPr>
            <w:r>
              <w:rPr>
                <w:spacing w:val="-2"/>
                <w:sz w:val="18"/>
              </w:rPr>
              <w:t>Harvest</w:t>
            </w:r>
          </w:p>
        </w:tc>
        <w:tc>
          <w:tcPr>
            <w:tcW w:w="354" w:type="dxa"/>
            <w:tcBorders>
              <w:top w:val="nil"/>
              <w:bottom w:val="single" w:sz="8" w:space="0" w:color="000000"/>
            </w:tcBorders>
          </w:tcPr>
          <w:p>
            <w:pPr>
              <w:pStyle w:val="TableParagraph"/>
              <w:spacing w:before="62"/>
              <w:ind w:right="46"/>
              <w:jc w:val="center"/>
              <w:rPr>
                <w:sz w:val="18"/>
              </w:rPr>
            </w:pPr>
            <w:r>
              <w:rPr>
                <w:spacing w:val="-5"/>
                <w:sz w:val="18"/>
              </w:rPr>
              <w:t>y1</w:t>
            </w:r>
          </w:p>
        </w:tc>
        <w:tc>
          <w:tcPr>
            <w:tcW w:w="921" w:type="dxa"/>
            <w:tcBorders>
              <w:top w:val="nil"/>
              <w:bottom w:val="single" w:sz="8" w:space="0" w:color="000000"/>
            </w:tcBorders>
          </w:tcPr>
          <w:p>
            <w:pPr>
              <w:pStyle w:val="TableParagraph"/>
              <w:spacing w:before="62"/>
              <w:ind w:left="58"/>
              <w:rPr>
                <w:sz w:val="18"/>
              </w:rPr>
            </w:pPr>
            <w:r>
              <w:rPr>
                <w:spacing w:val="-2"/>
                <w:sz w:val="18"/>
              </w:rPr>
              <w:t>centred</w:t>
            </w:r>
          </w:p>
          <w:p>
            <w:pPr>
              <w:pStyle w:val="TableParagraph"/>
              <w:spacing w:before="5"/>
              <w:ind w:left="58"/>
              <w:rPr>
                <w:sz w:val="18"/>
              </w:rPr>
            </w:pPr>
            <w:r>
              <w:rPr>
                <w:rFonts w:ascii="Meiryo UI" w:hAnsi="Meiryo UI"/>
                <w:i/>
                <w:spacing w:val="-4"/>
                <w:sz w:val="18"/>
              </w:rPr>
              <w:t>±</w:t>
            </w:r>
            <w:r>
              <w:rPr>
                <w:spacing w:val="-4"/>
                <w:sz w:val="18"/>
              </w:rPr>
              <w:t>10d</w:t>
            </w:r>
          </w:p>
        </w:tc>
        <w:tc>
          <w:tcPr>
            <w:tcW w:w="524" w:type="dxa"/>
            <w:tcBorders>
              <w:top w:val="nil"/>
              <w:bottom w:val="single" w:sz="8" w:space="0" w:color="000000"/>
            </w:tcBorders>
          </w:tcPr>
          <w:p>
            <w:pPr>
              <w:pStyle w:val="TableParagraph"/>
              <w:spacing w:before="62"/>
              <w:ind w:left="58"/>
              <w:rPr>
                <w:sz w:val="18"/>
              </w:rPr>
            </w:pPr>
            <w:r>
              <w:rPr>
                <w:spacing w:val="-4"/>
                <w:sz w:val="18"/>
              </w:rPr>
              <w:t>days</w:t>
            </w:r>
          </w:p>
        </w:tc>
        <w:tc>
          <w:tcPr>
            <w:tcW w:w="637" w:type="dxa"/>
            <w:tcBorders>
              <w:top w:val="nil"/>
              <w:bottom w:val="single" w:sz="8" w:space="0" w:color="000000"/>
            </w:tcBorders>
          </w:tcPr>
          <w:p>
            <w:pPr>
              <w:pStyle w:val="TableParagraph"/>
              <w:spacing w:before="62"/>
              <w:ind w:right="68"/>
              <w:jc w:val="center"/>
              <w:rPr>
                <w:sz w:val="18"/>
              </w:rPr>
            </w:pPr>
            <w:r>
              <w:rPr>
                <w:spacing w:val="-2"/>
                <w:sz w:val="18"/>
              </w:rPr>
              <w:t>Count</w:t>
            </w:r>
          </w:p>
        </w:tc>
        <w:tc>
          <w:tcPr>
            <w:tcW w:w="2844" w:type="dxa"/>
            <w:tcBorders>
              <w:top w:val="nil"/>
              <w:bottom w:val="single" w:sz="8" w:space="0" w:color="000000"/>
              <w:right w:val="nil"/>
            </w:tcBorders>
          </w:tcPr>
          <w:p>
            <w:pPr>
              <w:pStyle w:val="TableParagraph"/>
              <w:spacing w:line="307" w:lineRule="auto" w:before="62"/>
              <w:ind w:left="59" w:right="26"/>
              <w:jc w:val="both"/>
              <w:rPr>
                <w:sz w:val="18"/>
              </w:rPr>
            </w:pPr>
            <w:r>
              <w:rPr>
                <w:sz w:val="18"/>
              </w:rPr>
              <w:t>Rain</w:t>
            </w:r>
            <w:r>
              <w:rPr>
                <w:spacing w:val="-4"/>
                <w:sz w:val="18"/>
              </w:rPr>
              <w:t> </w:t>
            </w:r>
            <w:r>
              <w:rPr>
                <w:sz w:val="18"/>
              </w:rPr>
              <w:t>days</w:t>
            </w:r>
            <w:r>
              <w:rPr>
                <w:spacing w:val="-4"/>
                <w:sz w:val="18"/>
              </w:rPr>
              <w:t> </w:t>
            </w:r>
            <w:r>
              <w:rPr>
                <w:sz w:val="18"/>
              </w:rPr>
              <w:t>at</w:t>
            </w:r>
            <w:r>
              <w:rPr>
                <w:spacing w:val="-4"/>
                <w:sz w:val="18"/>
              </w:rPr>
              <w:t> </w:t>
            </w:r>
            <w:r>
              <w:rPr>
                <w:sz w:val="18"/>
              </w:rPr>
              <w:t>harvest,</w:t>
            </w:r>
            <w:r>
              <w:rPr>
                <w:spacing w:val="-3"/>
                <w:sz w:val="18"/>
              </w:rPr>
              <w:t> </w:t>
            </w:r>
            <w:r>
              <w:rPr>
                <w:sz w:val="18"/>
              </w:rPr>
              <w:t>wet</w:t>
            </w:r>
            <w:r>
              <w:rPr>
                <w:spacing w:val="-4"/>
                <w:sz w:val="18"/>
              </w:rPr>
              <w:t> </w:t>
            </w:r>
            <w:r>
              <w:rPr>
                <w:sz w:val="18"/>
              </w:rPr>
              <w:t>harvest</w:t>
            </w:r>
            <w:r>
              <w:rPr>
                <w:spacing w:val="-4"/>
                <w:sz w:val="18"/>
              </w:rPr>
              <w:t> </w:t>
            </w:r>
            <w:r>
              <w:rPr>
                <w:sz w:val="18"/>
              </w:rPr>
              <w:t>con-ditions</w:t>
            </w:r>
            <w:r>
              <w:rPr>
                <w:spacing w:val="-1"/>
                <w:sz w:val="18"/>
              </w:rPr>
              <w:t> </w:t>
            </w:r>
            <w:r>
              <w:rPr>
                <w:sz w:val="18"/>
              </w:rPr>
              <w:t>cause</w:t>
            </w:r>
            <w:r>
              <w:rPr>
                <w:spacing w:val="-1"/>
                <w:sz w:val="18"/>
              </w:rPr>
              <w:t> </w:t>
            </w:r>
            <w:r>
              <w:rPr>
                <w:sz w:val="18"/>
              </w:rPr>
              <w:t>berry</w:t>
            </w:r>
            <w:r>
              <w:rPr>
                <w:spacing w:val="-1"/>
                <w:sz w:val="18"/>
              </w:rPr>
              <w:t> </w:t>
            </w:r>
            <w:r>
              <w:rPr>
                <w:sz w:val="18"/>
              </w:rPr>
              <w:t>splitting,</w:t>
            </w:r>
            <w:r>
              <w:rPr>
                <w:spacing w:val="-1"/>
                <w:sz w:val="18"/>
              </w:rPr>
              <w:t> </w:t>
            </w:r>
            <w:r>
              <w:rPr>
                <w:sz w:val="18"/>
              </w:rPr>
              <w:t>Botrytis; reduce quality and quantity</w:t>
            </w:r>
          </w:p>
        </w:tc>
      </w:tr>
    </w:tbl>
    <w:p>
      <w:pPr>
        <w:pStyle w:val="BodyText"/>
        <w:rPr>
          <w:i/>
          <w:sz w:val="18"/>
        </w:rPr>
      </w:pPr>
    </w:p>
    <w:p>
      <w:pPr>
        <w:pStyle w:val="BodyText"/>
        <w:spacing w:before="112"/>
        <w:rPr>
          <w:i/>
          <w:sz w:val="18"/>
        </w:rPr>
      </w:pPr>
    </w:p>
    <w:p>
      <w:pPr>
        <w:pStyle w:val="Heading2"/>
        <w:numPr>
          <w:ilvl w:val="1"/>
          <w:numId w:val="42"/>
        </w:numPr>
        <w:tabs>
          <w:tab w:pos="851" w:val="left" w:leader="none"/>
        </w:tabs>
        <w:spacing w:line="240" w:lineRule="auto" w:before="0" w:after="0"/>
        <w:ind w:left="851" w:right="0" w:hanging="709"/>
        <w:jc w:val="left"/>
      </w:pPr>
      <w:bookmarkStart w:name="C.5 Leaf Area Index (LAI) Features (10 f" w:id="315"/>
      <w:bookmarkEnd w:id="315"/>
      <w:r>
        <w:rPr>
          <w:b w:val="0"/>
        </w:rPr>
      </w:r>
      <w:bookmarkStart w:name="_bookmark188" w:id="316"/>
      <w:bookmarkEnd w:id="316"/>
      <w:r>
        <w:rPr>
          <w:b w:val="0"/>
        </w:rPr>
      </w:r>
      <w:r>
        <w:rPr/>
        <w:t>Leaf</w:t>
      </w:r>
      <w:r>
        <w:rPr>
          <w:spacing w:val="10"/>
        </w:rPr>
        <w:t> </w:t>
      </w:r>
      <w:r>
        <w:rPr/>
        <w:t>Area</w:t>
      </w:r>
      <w:r>
        <w:rPr>
          <w:spacing w:val="11"/>
        </w:rPr>
        <w:t> </w:t>
      </w:r>
      <w:r>
        <w:rPr/>
        <w:t>Index</w:t>
      </w:r>
      <w:r>
        <w:rPr>
          <w:spacing w:val="11"/>
        </w:rPr>
        <w:t> </w:t>
      </w:r>
      <w:r>
        <w:rPr/>
        <w:t>(LAI)</w:t>
      </w:r>
      <w:r>
        <w:rPr>
          <w:spacing w:val="10"/>
        </w:rPr>
        <w:t> </w:t>
      </w:r>
      <w:r>
        <w:rPr/>
        <w:t>Features</w:t>
      </w:r>
      <w:r>
        <w:rPr>
          <w:spacing w:val="11"/>
        </w:rPr>
        <w:t> </w:t>
      </w:r>
      <w:r>
        <w:rPr/>
        <w:t>(10</w:t>
      </w:r>
      <w:r>
        <w:rPr>
          <w:spacing w:val="11"/>
        </w:rPr>
        <w:t> </w:t>
      </w:r>
      <w:r>
        <w:rPr>
          <w:spacing w:val="-2"/>
        </w:rPr>
        <w:t>features)</w:t>
      </w:r>
    </w:p>
    <w:p>
      <w:pPr>
        <w:pStyle w:val="BodyText"/>
        <w:spacing w:before="165"/>
        <w:rPr>
          <w:b/>
          <w:sz w:val="28"/>
        </w:rPr>
      </w:pPr>
    </w:p>
    <w:p>
      <w:pPr>
        <w:spacing w:before="0"/>
        <w:ind w:left="2116" w:right="0" w:firstLine="0"/>
        <w:jc w:val="left"/>
        <w:rPr>
          <w:sz w:val="20"/>
        </w:rPr>
      </w:pPr>
      <w:bookmarkStart w:name="_bookmark189" w:id="317"/>
      <w:bookmarkEnd w:id="317"/>
      <w:r>
        <w:rPr/>
      </w:r>
      <w:r>
        <w:rPr>
          <w:b/>
          <w:sz w:val="20"/>
        </w:rPr>
        <w:t>Table</w:t>
      </w:r>
      <w:r>
        <w:rPr>
          <w:b/>
          <w:spacing w:val="-8"/>
          <w:sz w:val="20"/>
        </w:rPr>
        <w:t> </w:t>
      </w:r>
      <w:r>
        <w:rPr>
          <w:b/>
          <w:sz w:val="20"/>
        </w:rPr>
        <w:t>C.5:</w:t>
      </w:r>
      <w:r>
        <w:rPr>
          <w:b/>
          <w:spacing w:val="2"/>
          <w:sz w:val="20"/>
        </w:rPr>
        <w:t> </w:t>
      </w:r>
      <w:r>
        <w:rPr>
          <w:sz w:val="20"/>
        </w:rPr>
        <w:t>Leaf</w:t>
      </w:r>
      <w:r>
        <w:rPr>
          <w:spacing w:val="-8"/>
          <w:sz w:val="20"/>
        </w:rPr>
        <w:t> </w:t>
      </w:r>
      <w:r>
        <w:rPr>
          <w:sz w:val="20"/>
        </w:rPr>
        <w:t>Area</w:t>
      </w:r>
      <w:r>
        <w:rPr>
          <w:spacing w:val="-7"/>
          <w:sz w:val="20"/>
        </w:rPr>
        <w:t> </w:t>
      </w:r>
      <w:r>
        <w:rPr>
          <w:sz w:val="20"/>
        </w:rPr>
        <w:t>Index</w:t>
      </w:r>
      <w:r>
        <w:rPr>
          <w:spacing w:val="-8"/>
          <w:sz w:val="20"/>
        </w:rPr>
        <w:t> </w:t>
      </w:r>
      <w:r>
        <w:rPr>
          <w:sz w:val="20"/>
        </w:rPr>
        <w:t>(LAI)</w:t>
      </w:r>
      <w:r>
        <w:rPr>
          <w:spacing w:val="-8"/>
          <w:sz w:val="20"/>
        </w:rPr>
        <w:t> </w:t>
      </w:r>
      <w:r>
        <w:rPr>
          <w:sz w:val="20"/>
        </w:rPr>
        <w:t>features</w:t>
      </w:r>
      <w:r>
        <w:rPr>
          <w:spacing w:val="-8"/>
          <w:sz w:val="20"/>
        </w:rPr>
        <w:t> </w:t>
      </w:r>
      <w:r>
        <w:rPr>
          <w:sz w:val="20"/>
        </w:rPr>
        <w:t>(10</w:t>
      </w:r>
      <w:r>
        <w:rPr>
          <w:spacing w:val="-8"/>
          <w:sz w:val="20"/>
        </w:rPr>
        <w:t> </w:t>
      </w:r>
      <w:r>
        <w:rPr>
          <w:spacing w:val="-2"/>
          <w:sz w:val="20"/>
        </w:rPr>
        <w:t>features).</w:t>
      </w:r>
    </w:p>
    <w:p>
      <w:pPr>
        <w:pStyle w:val="BodyText"/>
        <w:spacing w:before="5"/>
        <w:rPr>
          <w:sz w:val="18"/>
        </w:rPr>
      </w:pPr>
      <w:r>
        <w:rPr>
          <w:sz w:val="18"/>
        </w:rPr>
        <mc:AlternateContent>
          <mc:Choice Requires="wps">
            <w:drawing>
              <wp:anchor distT="0" distB="0" distL="0" distR="0" allowOverlap="1" layoutInCell="1" locked="0" behindDoc="1" simplePos="0" relativeHeight="487643648">
                <wp:simplePos x="0" y="0"/>
                <wp:positionH relativeFrom="page">
                  <wp:posOffset>920635</wp:posOffset>
                </wp:positionH>
                <wp:positionV relativeFrom="paragraph">
                  <wp:posOffset>150277</wp:posOffset>
                </wp:positionV>
                <wp:extent cx="5358765" cy="1270"/>
                <wp:effectExtent l="0" t="0" r="0" b="0"/>
                <wp:wrapTopAndBottom/>
                <wp:docPr id="298" name="Graphic 298"/>
                <wp:cNvGraphicFramePr>
                  <a:graphicFrameLocks/>
                </wp:cNvGraphicFramePr>
                <a:graphic>
                  <a:graphicData uri="http://schemas.microsoft.com/office/word/2010/wordprocessingShape">
                    <wps:wsp>
                      <wps:cNvPr id="298" name="Graphic 298"/>
                      <wps:cNvSpPr/>
                      <wps:spPr>
                        <a:xfrm>
                          <a:off x="0" y="0"/>
                          <a:ext cx="5358765" cy="1270"/>
                        </a:xfrm>
                        <a:custGeom>
                          <a:avLst/>
                          <a:gdLst/>
                          <a:ahLst/>
                          <a:cxnLst/>
                          <a:rect l="l" t="t" r="r" b="b"/>
                          <a:pathLst>
                            <a:path w="5358765" h="0">
                              <a:moveTo>
                                <a:pt x="0" y="0"/>
                              </a:moveTo>
                              <a:lnTo>
                                <a:pt x="5358739"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490997pt;margin-top:11.832859pt;width:421.95pt;height:.1pt;mso-position-horizontal-relative:page;mso-position-vertical-relative:paragraph;z-index:-15672832;mso-wrap-distance-left:0;mso-wrap-distance-right:0" id="docshape261" coordorigin="1450,237" coordsize="8439,0" path="m1450,237l9889,237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1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71"/>
        <w:gridCol w:w="978"/>
        <w:gridCol w:w="808"/>
        <w:gridCol w:w="354"/>
        <w:gridCol w:w="921"/>
        <w:gridCol w:w="524"/>
        <w:gridCol w:w="637"/>
        <w:gridCol w:w="2844"/>
      </w:tblGrid>
      <w:tr>
        <w:trPr>
          <w:trHeight w:val="381" w:hRule="atLeast"/>
        </w:trPr>
        <w:tc>
          <w:tcPr>
            <w:tcW w:w="1371" w:type="dxa"/>
            <w:tcBorders>
              <w:top w:val="nil"/>
              <w:left w:val="nil"/>
              <w:right w:val="single" w:sz="4" w:space="0" w:color="000000"/>
            </w:tcBorders>
          </w:tcPr>
          <w:p>
            <w:pPr>
              <w:pStyle w:val="TableParagraph"/>
              <w:spacing w:before="74"/>
              <w:ind w:left="59"/>
              <w:rPr>
                <w:sz w:val="18"/>
              </w:rPr>
            </w:pPr>
            <w:r>
              <w:rPr>
                <w:sz w:val="18"/>
              </w:rPr>
              <w:t>Feature</w:t>
            </w:r>
            <w:r>
              <w:rPr>
                <w:spacing w:val="-7"/>
                <w:sz w:val="18"/>
              </w:rPr>
              <w:t> </w:t>
            </w:r>
            <w:r>
              <w:rPr>
                <w:spacing w:val="-4"/>
                <w:sz w:val="18"/>
              </w:rPr>
              <w:t>name</w:t>
            </w:r>
          </w:p>
        </w:tc>
        <w:tc>
          <w:tcPr>
            <w:tcW w:w="978" w:type="dxa"/>
            <w:tcBorders>
              <w:top w:val="nil"/>
              <w:left w:val="single" w:sz="4" w:space="0" w:color="000000"/>
              <w:right w:val="single" w:sz="4" w:space="0" w:color="000000"/>
            </w:tcBorders>
          </w:tcPr>
          <w:p>
            <w:pPr>
              <w:pStyle w:val="TableParagraph"/>
              <w:spacing w:before="74"/>
              <w:ind w:left="58"/>
              <w:rPr>
                <w:sz w:val="18"/>
              </w:rPr>
            </w:pPr>
            <w:r>
              <w:rPr>
                <w:spacing w:val="-2"/>
                <w:sz w:val="18"/>
              </w:rPr>
              <w:t>Variable</w:t>
            </w:r>
          </w:p>
        </w:tc>
        <w:tc>
          <w:tcPr>
            <w:tcW w:w="808" w:type="dxa"/>
            <w:tcBorders>
              <w:top w:val="nil"/>
              <w:left w:val="single" w:sz="4" w:space="0" w:color="000000"/>
              <w:right w:val="single" w:sz="4" w:space="0" w:color="000000"/>
            </w:tcBorders>
          </w:tcPr>
          <w:p>
            <w:pPr>
              <w:pStyle w:val="TableParagraph"/>
              <w:spacing w:before="74"/>
              <w:ind w:left="58"/>
              <w:rPr>
                <w:sz w:val="18"/>
              </w:rPr>
            </w:pPr>
            <w:r>
              <w:rPr>
                <w:spacing w:val="-2"/>
                <w:sz w:val="18"/>
              </w:rPr>
              <w:t>Stage</w:t>
            </w:r>
          </w:p>
        </w:tc>
        <w:tc>
          <w:tcPr>
            <w:tcW w:w="354" w:type="dxa"/>
            <w:tcBorders>
              <w:top w:val="nil"/>
              <w:left w:val="single" w:sz="4" w:space="0" w:color="000000"/>
              <w:right w:val="single" w:sz="4" w:space="0" w:color="000000"/>
            </w:tcBorders>
          </w:tcPr>
          <w:p>
            <w:pPr>
              <w:pStyle w:val="TableParagraph"/>
              <w:spacing w:before="74"/>
              <w:ind w:left="58" w:right="-44"/>
              <w:rPr>
                <w:sz w:val="18"/>
              </w:rPr>
            </w:pPr>
            <w:r>
              <w:rPr>
                <w:spacing w:val="-9"/>
                <w:sz w:val="18"/>
              </w:rPr>
              <w:t>Year</w:t>
            </w:r>
          </w:p>
        </w:tc>
        <w:tc>
          <w:tcPr>
            <w:tcW w:w="921" w:type="dxa"/>
            <w:tcBorders>
              <w:top w:val="nil"/>
              <w:left w:val="single" w:sz="4" w:space="0" w:color="000000"/>
              <w:right w:val="single" w:sz="4" w:space="0" w:color="000000"/>
            </w:tcBorders>
          </w:tcPr>
          <w:p>
            <w:pPr>
              <w:pStyle w:val="TableParagraph"/>
              <w:spacing w:before="74"/>
              <w:ind w:left="58"/>
              <w:rPr>
                <w:sz w:val="18"/>
              </w:rPr>
            </w:pPr>
            <w:r>
              <w:rPr>
                <w:spacing w:val="-2"/>
                <w:sz w:val="18"/>
              </w:rPr>
              <w:t>Window</w:t>
            </w:r>
          </w:p>
        </w:tc>
        <w:tc>
          <w:tcPr>
            <w:tcW w:w="524" w:type="dxa"/>
            <w:tcBorders>
              <w:top w:val="nil"/>
              <w:left w:val="single" w:sz="4" w:space="0" w:color="000000"/>
              <w:right w:val="single" w:sz="4" w:space="0" w:color="000000"/>
            </w:tcBorders>
          </w:tcPr>
          <w:p>
            <w:pPr>
              <w:pStyle w:val="TableParagraph"/>
              <w:spacing w:before="74"/>
              <w:ind w:left="58"/>
              <w:rPr>
                <w:sz w:val="18"/>
              </w:rPr>
            </w:pPr>
            <w:r>
              <w:rPr>
                <w:spacing w:val="-4"/>
                <w:sz w:val="18"/>
              </w:rPr>
              <w:t>Unit</w:t>
            </w:r>
          </w:p>
        </w:tc>
        <w:tc>
          <w:tcPr>
            <w:tcW w:w="637" w:type="dxa"/>
            <w:tcBorders>
              <w:top w:val="nil"/>
              <w:left w:val="single" w:sz="4" w:space="0" w:color="000000"/>
              <w:right w:val="single" w:sz="4" w:space="0" w:color="000000"/>
            </w:tcBorders>
          </w:tcPr>
          <w:p>
            <w:pPr>
              <w:pStyle w:val="TableParagraph"/>
              <w:spacing w:before="74"/>
              <w:ind w:left="59"/>
              <w:rPr>
                <w:sz w:val="18"/>
              </w:rPr>
            </w:pPr>
            <w:r>
              <w:rPr>
                <w:spacing w:val="-4"/>
                <w:sz w:val="18"/>
              </w:rPr>
              <w:t>Calc</w:t>
            </w:r>
          </w:p>
        </w:tc>
        <w:tc>
          <w:tcPr>
            <w:tcW w:w="2844" w:type="dxa"/>
            <w:tcBorders>
              <w:top w:val="nil"/>
              <w:left w:val="single" w:sz="4" w:space="0" w:color="000000"/>
              <w:right w:val="nil"/>
            </w:tcBorders>
          </w:tcPr>
          <w:p>
            <w:pPr>
              <w:pStyle w:val="TableParagraph"/>
              <w:spacing w:before="74"/>
              <w:ind w:left="59"/>
              <w:rPr>
                <w:sz w:val="18"/>
              </w:rPr>
            </w:pPr>
            <w:r>
              <w:rPr>
                <w:sz w:val="18"/>
              </w:rPr>
              <w:t>Agronomic</w:t>
            </w:r>
            <w:r>
              <w:rPr>
                <w:spacing w:val="-10"/>
                <w:sz w:val="18"/>
              </w:rPr>
              <w:t> </w:t>
            </w:r>
            <w:r>
              <w:rPr>
                <w:spacing w:val="-2"/>
                <w:sz w:val="18"/>
              </w:rPr>
              <w:t>interpretation</w:t>
            </w:r>
          </w:p>
        </w:tc>
      </w:tr>
    </w:tbl>
    <w:p>
      <w:pPr>
        <w:pStyle w:val="BodyText"/>
        <w:spacing w:before="2"/>
        <w:rPr>
          <w:sz w:val="5"/>
        </w:rPr>
      </w:pPr>
    </w:p>
    <w:tbl>
      <w:tblPr>
        <w:tblW w:w="0" w:type="auto"/>
        <w:jc w:val="left"/>
        <w:tblInd w:w="1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71"/>
        <w:gridCol w:w="978"/>
        <w:gridCol w:w="808"/>
        <w:gridCol w:w="354"/>
        <w:gridCol w:w="921"/>
        <w:gridCol w:w="524"/>
        <w:gridCol w:w="637"/>
        <w:gridCol w:w="2844"/>
      </w:tblGrid>
      <w:tr>
        <w:trPr>
          <w:trHeight w:val="317" w:hRule="atLeast"/>
        </w:trPr>
        <w:tc>
          <w:tcPr>
            <w:tcW w:w="1371" w:type="dxa"/>
            <w:tcBorders>
              <w:right w:val="single" w:sz="4" w:space="0" w:color="000000"/>
            </w:tcBorders>
          </w:tcPr>
          <w:p>
            <w:pPr>
              <w:pStyle w:val="TableParagraph"/>
              <w:spacing w:before="74"/>
              <w:ind w:left="59" w:right="-44"/>
              <w:rPr>
                <w:sz w:val="18"/>
              </w:rPr>
            </w:pPr>
            <w:r>
              <w:rPr>
                <w:spacing w:val="-4"/>
                <w:sz w:val="18"/>
              </w:rPr>
              <w:t>days.rf.above.1mm</w:t>
            </w:r>
          </w:p>
        </w:tc>
        <w:tc>
          <w:tcPr>
            <w:tcW w:w="978" w:type="dxa"/>
            <w:tcBorders>
              <w:left w:val="single" w:sz="4" w:space="0" w:color="000000"/>
              <w:right w:val="single" w:sz="4" w:space="0" w:color="000000"/>
            </w:tcBorders>
          </w:tcPr>
          <w:p>
            <w:pPr>
              <w:pStyle w:val="TableParagraph"/>
              <w:tabs>
                <w:tab w:pos="573" w:val="left" w:leader="none"/>
              </w:tabs>
              <w:spacing w:before="74"/>
              <w:ind w:left="30"/>
              <w:rPr>
                <w:sz w:val="18"/>
              </w:rPr>
            </w:pPr>
            <w:r>
              <w:rPr>
                <w:spacing w:val="-4"/>
                <w:sz w:val="18"/>
              </w:rPr>
              <w:t>_Wet</w:t>
            </w:r>
            <w:r>
              <w:rPr>
                <w:sz w:val="18"/>
              </w:rPr>
              <w:tab/>
            </w:r>
            <w:r>
              <w:rPr>
                <w:spacing w:val="-4"/>
                <w:sz w:val="18"/>
              </w:rPr>
              <w:t>days</w:t>
            </w:r>
          </w:p>
        </w:tc>
        <w:tc>
          <w:tcPr>
            <w:tcW w:w="808" w:type="dxa"/>
            <w:tcBorders>
              <w:left w:val="single" w:sz="4" w:space="0" w:color="000000"/>
              <w:right w:val="single" w:sz="4" w:space="0" w:color="000000"/>
            </w:tcBorders>
          </w:tcPr>
          <w:p>
            <w:pPr>
              <w:pStyle w:val="TableParagraph"/>
              <w:spacing w:before="74"/>
              <w:ind w:left="58"/>
              <w:rPr>
                <w:sz w:val="18"/>
              </w:rPr>
            </w:pPr>
            <w:r>
              <w:rPr>
                <w:spacing w:val="-2"/>
                <w:sz w:val="18"/>
              </w:rPr>
              <w:t>Harvest</w:t>
            </w:r>
          </w:p>
        </w:tc>
        <w:tc>
          <w:tcPr>
            <w:tcW w:w="354" w:type="dxa"/>
            <w:tcBorders>
              <w:left w:val="single" w:sz="4" w:space="0" w:color="000000"/>
              <w:right w:val="single" w:sz="4" w:space="0" w:color="000000"/>
            </w:tcBorders>
          </w:tcPr>
          <w:p>
            <w:pPr>
              <w:pStyle w:val="TableParagraph"/>
              <w:spacing w:before="74"/>
              <w:ind w:right="46"/>
              <w:jc w:val="center"/>
              <w:rPr>
                <w:sz w:val="18"/>
              </w:rPr>
            </w:pPr>
            <w:r>
              <w:rPr>
                <w:spacing w:val="-5"/>
                <w:sz w:val="18"/>
              </w:rPr>
              <w:t>y0</w:t>
            </w:r>
          </w:p>
        </w:tc>
        <w:tc>
          <w:tcPr>
            <w:tcW w:w="921" w:type="dxa"/>
            <w:tcBorders>
              <w:left w:val="single" w:sz="4" w:space="0" w:color="000000"/>
              <w:right w:val="single" w:sz="4" w:space="0" w:color="000000"/>
            </w:tcBorders>
          </w:tcPr>
          <w:p>
            <w:pPr>
              <w:pStyle w:val="TableParagraph"/>
              <w:spacing w:before="74"/>
              <w:ind w:left="58"/>
              <w:rPr>
                <w:sz w:val="18"/>
              </w:rPr>
            </w:pPr>
            <w:r>
              <w:rPr>
                <w:sz w:val="18"/>
              </w:rPr>
              <w:t>10d</w:t>
            </w:r>
            <w:r>
              <w:rPr>
                <w:spacing w:val="49"/>
                <w:sz w:val="18"/>
              </w:rPr>
              <w:t>  </w:t>
            </w:r>
            <w:r>
              <w:rPr>
                <w:spacing w:val="-2"/>
                <w:sz w:val="18"/>
              </w:rPr>
              <w:t>after</w:t>
            </w:r>
          </w:p>
        </w:tc>
        <w:tc>
          <w:tcPr>
            <w:tcW w:w="524" w:type="dxa"/>
            <w:tcBorders>
              <w:left w:val="single" w:sz="4" w:space="0" w:color="000000"/>
              <w:right w:val="single" w:sz="4" w:space="0" w:color="000000"/>
            </w:tcBorders>
          </w:tcPr>
          <w:p>
            <w:pPr>
              <w:pStyle w:val="TableParagraph"/>
              <w:spacing w:before="74"/>
              <w:ind w:left="58"/>
              <w:rPr>
                <w:sz w:val="18"/>
              </w:rPr>
            </w:pPr>
            <w:r>
              <w:rPr>
                <w:spacing w:val="-4"/>
                <w:sz w:val="18"/>
              </w:rPr>
              <w:t>days</w:t>
            </w:r>
          </w:p>
        </w:tc>
        <w:tc>
          <w:tcPr>
            <w:tcW w:w="637" w:type="dxa"/>
            <w:tcBorders>
              <w:left w:val="single" w:sz="4" w:space="0" w:color="000000"/>
              <w:right w:val="single" w:sz="4" w:space="0" w:color="000000"/>
            </w:tcBorders>
          </w:tcPr>
          <w:p>
            <w:pPr>
              <w:pStyle w:val="TableParagraph"/>
              <w:spacing w:before="74"/>
              <w:ind w:right="68"/>
              <w:jc w:val="center"/>
              <w:rPr>
                <w:sz w:val="18"/>
              </w:rPr>
            </w:pPr>
            <w:r>
              <w:rPr>
                <w:spacing w:val="-2"/>
                <w:sz w:val="18"/>
              </w:rPr>
              <w:t>Count</w:t>
            </w:r>
          </w:p>
        </w:tc>
        <w:tc>
          <w:tcPr>
            <w:tcW w:w="2844" w:type="dxa"/>
            <w:tcBorders>
              <w:left w:val="single" w:sz="4" w:space="0" w:color="000000"/>
            </w:tcBorders>
          </w:tcPr>
          <w:p>
            <w:pPr>
              <w:pStyle w:val="TableParagraph"/>
              <w:spacing w:before="74"/>
              <w:ind w:left="59"/>
              <w:rPr>
                <w:sz w:val="18"/>
              </w:rPr>
            </w:pPr>
            <w:r>
              <w:rPr>
                <w:sz w:val="18"/>
              </w:rPr>
              <w:t>Post-harvest</w:t>
            </w:r>
            <w:r>
              <w:rPr>
                <w:spacing w:val="32"/>
                <w:sz w:val="18"/>
              </w:rPr>
              <w:t> </w:t>
            </w:r>
            <w:r>
              <w:rPr>
                <w:sz w:val="18"/>
              </w:rPr>
              <w:t>rain</w:t>
            </w:r>
            <w:r>
              <w:rPr>
                <w:spacing w:val="33"/>
                <w:sz w:val="18"/>
              </w:rPr>
              <w:t> </w:t>
            </w:r>
            <w:r>
              <w:rPr>
                <w:sz w:val="18"/>
              </w:rPr>
              <w:t>events</w:t>
            </w:r>
            <w:r>
              <w:rPr>
                <w:spacing w:val="33"/>
                <w:sz w:val="18"/>
              </w:rPr>
              <w:t> </w:t>
            </w:r>
            <w:r>
              <w:rPr>
                <w:sz w:val="18"/>
              </w:rPr>
              <w:t>in</w:t>
            </w:r>
            <w:r>
              <w:rPr>
                <w:spacing w:val="32"/>
                <w:sz w:val="18"/>
              </w:rPr>
              <w:t> </w:t>
            </w:r>
            <w:r>
              <w:rPr>
                <w:spacing w:val="-2"/>
                <w:sz w:val="18"/>
              </w:rPr>
              <w:t>previous</w:t>
            </w:r>
          </w:p>
        </w:tc>
      </w:tr>
      <w:tr>
        <w:trPr>
          <w:trHeight w:val="265" w:hRule="atLeast"/>
        </w:trPr>
        <w:tc>
          <w:tcPr>
            <w:tcW w:w="1371" w:type="dxa"/>
            <w:tcBorders>
              <w:right w:val="single" w:sz="4" w:space="0" w:color="000000"/>
            </w:tcBorders>
          </w:tcPr>
          <w:p>
            <w:pPr>
              <w:pStyle w:val="TableParagraph"/>
              <w:spacing w:before="22"/>
              <w:ind w:left="59"/>
              <w:rPr>
                <w:sz w:val="18"/>
              </w:rPr>
            </w:pPr>
            <w:r>
              <w:rPr>
                <w:spacing w:val="-2"/>
                <w:sz w:val="18"/>
              </w:rPr>
              <w:t>hv_y0_a10</w:t>
            </w:r>
          </w:p>
        </w:tc>
        <w:tc>
          <w:tcPr>
            <w:tcW w:w="978" w:type="dxa"/>
            <w:tcBorders>
              <w:left w:val="single" w:sz="4" w:space="0" w:color="000000"/>
              <w:right w:val="single" w:sz="4" w:space="0" w:color="000000"/>
            </w:tcBorders>
          </w:tcPr>
          <w:p>
            <w:pPr>
              <w:pStyle w:val="TableParagraph"/>
              <w:spacing w:before="22"/>
              <w:ind w:left="52"/>
              <w:rPr>
                <w:sz w:val="18"/>
              </w:rPr>
            </w:pPr>
            <w:r>
              <w:rPr>
                <w:spacing w:val="-4"/>
                <w:sz w:val="18"/>
              </w:rPr>
              <w:t>(Rain&gt;1mm)</w:t>
            </w:r>
          </w:p>
        </w:tc>
        <w:tc>
          <w:tcPr>
            <w:tcW w:w="808" w:type="dxa"/>
            <w:tcBorders>
              <w:left w:val="single" w:sz="4" w:space="0" w:color="000000"/>
              <w:right w:val="single" w:sz="4" w:space="0" w:color="000000"/>
            </w:tcBorders>
          </w:tcPr>
          <w:p>
            <w:pPr>
              <w:pStyle w:val="TableParagraph"/>
              <w:spacing w:before="0"/>
              <w:rPr>
                <w:sz w:val="18"/>
              </w:rPr>
            </w:pPr>
          </w:p>
        </w:tc>
        <w:tc>
          <w:tcPr>
            <w:tcW w:w="354" w:type="dxa"/>
            <w:tcBorders>
              <w:left w:val="single" w:sz="4" w:space="0" w:color="000000"/>
              <w:right w:val="single" w:sz="4" w:space="0" w:color="000000"/>
            </w:tcBorders>
          </w:tcPr>
          <w:p>
            <w:pPr>
              <w:pStyle w:val="TableParagraph"/>
              <w:spacing w:before="0"/>
              <w:rPr>
                <w:sz w:val="18"/>
              </w:rPr>
            </w:pPr>
          </w:p>
        </w:tc>
        <w:tc>
          <w:tcPr>
            <w:tcW w:w="921" w:type="dxa"/>
            <w:tcBorders>
              <w:left w:val="single" w:sz="4" w:space="0" w:color="000000"/>
              <w:right w:val="single" w:sz="4" w:space="0" w:color="000000"/>
            </w:tcBorders>
          </w:tcPr>
          <w:p>
            <w:pPr>
              <w:pStyle w:val="TableParagraph"/>
              <w:spacing w:before="22"/>
              <w:ind w:left="58"/>
              <w:rPr>
                <w:sz w:val="18"/>
              </w:rPr>
            </w:pPr>
            <w:r>
              <w:rPr>
                <w:spacing w:val="-2"/>
                <w:sz w:val="18"/>
              </w:rPr>
              <w:t>prev.</w:t>
            </w:r>
            <w:r>
              <w:rPr>
                <w:spacing w:val="-1"/>
                <w:sz w:val="18"/>
              </w:rPr>
              <w:t> </w:t>
            </w:r>
            <w:r>
              <w:rPr>
                <w:spacing w:val="-5"/>
                <w:sz w:val="18"/>
              </w:rPr>
              <w:t>yr</w:t>
            </w:r>
          </w:p>
        </w:tc>
        <w:tc>
          <w:tcPr>
            <w:tcW w:w="524" w:type="dxa"/>
            <w:tcBorders>
              <w:left w:val="single" w:sz="4" w:space="0" w:color="000000"/>
              <w:right w:val="single" w:sz="4" w:space="0" w:color="000000"/>
            </w:tcBorders>
          </w:tcPr>
          <w:p>
            <w:pPr>
              <w:pStyle w:val="TableParagraph"/>
              <w:spacing w:before="0"/>
              <w:rPr>
                <w:sz w:val="18"/>
              </w:rPr>
            </w:pPr>
          </w:p>
        </w:tc>
        <w:tc>
          <w:tcPr>
            <w:tcW w:w="637" w:type="dxa"/>
            <w:tcBorders>
              <w:left w:val="single" w:sz="4" w:space="0" w:color="000000"/>
              <w:right w:val="single" w:sz="4" w:space="0" w:color="000000"/>
            </w:tcBorders>
          </w:tcPr>
          <w:p>
            <w:pPr>
              <w:pStyle w:val="TableParagraph"/>
              <w:spacing w:before="0"/>
              <w:rPr>
                <w:sz w:val="18"/>
              </w:rPr>
            </w:pPr>
          </w:p>
        </w:tc>
        <w:tc>
          <w:tcPr>
            <w:tcW w:w="2844" w:type="dxa"/>
            <w:tcBorders>
              <w:left w:val="single" w:sz="4" w:space="0" w:color="000000"/>
            </w:tcBorders>
          </w:tcPr>
          <w:p>
            <w:pPr>
              <w:pStyle w:val="TableParagraph"/>
              <w:spacing w:before="22"/>
              <w:ind w:left="55"/>
              <w:rPr>
                <w:sz w:val="18"/>
              </w:rPr>
            </w:pPr>
            <w:r>
              <w:rPr>
                <w:sz w:val="18"/>
              </w:rPr>
              <w:t>year,</w:t>
            </w:r>
            <w:r>
              <w:rPr>
                <w:spacing w:val="49"/>
                <w:sz w:val="18"/>
              </w:rPr>
              <w:t> </w:t>
            </w:r>
            <w:r>
              <w:rPr>
                <w:sz w:val="18"/>
              </w:rPr>
              <w:t>soil</w:t>
            </w:r>
            <w:r>
              <w:rPr>
                <w:spacing w:val="40"/>
                <w:sz w:val="18"/>
              </w:rPr>
              <w:t> </w:t>
            </w:r>
            <w:r>
              <w:rPr>
                <w:sz w:val="18"/>
              </w:rPr>
              <w:t>recharge</w:t>
            </w:r>
            <w:r>
              <w:rPr>
                <w:spacing w:val="40"/>
                <w:sz w:val="18"/>
              </w:rPr>
              <w:t> </w:t>
            </w:r>
            <w:r>
              <w:rPr>
                <w:sz w:val="18"/>
              </w:rPr>
              <w:t>initiation;</w:t>
            </w:r>
            <w:r>
              <w:rPr>
                <w:spacing w:val="59"/>
                <w:sz w:val="18"/>
              </w:rPr>
              <w:t> </w:t>
            </w:r>
            <w:r>
              <w:rPr>
                <w:spacing w:val="-2"/>
                <w:sz w:val="18"/>
              </w:rPr>
              <w:t>carry-</w:t>
            </w:r>
          </w:p>
        </w:tc>
      </w:tr>
      <w:tr>
        <w:trPr>
          <w:trHeight w:val="305" w:hRule="atLeast"/>
        </w:trPr>
        <w:tc>
          <w:tcPr>
            <w:tcW w:w="1371" w:type="dxa"/>
            <w:tcBorders>
              <w:right w:val="single" w:sz="4" w:space="0" w:color="000000"/>
            </w:tcBorders>
          </w:tcPr>
          <w:p>
            <w:pPr>
              <w:pStyle w:val="TableParagraph"/>
              <w:spacing w:before="0"/>
              <w:rPr>
                <w:sz w:val="18"/>
              </w:rPr>
            </w:pPr>
          </w:p>
        </w:tc>
        <w:tc>
          <w:tcPr>
            <w:tcW w:w="978" w:type="dxa"/>
            <w:tcBorders>
              <w:left w:val="single" w:sz="4" w:space="0" w:color="000000"/>
              <w:right w:val="single" w:sz="4" w:space="0" w:color="000000"/>
            </w:tcBorders>
          </w:tcPr>
          <w:p>
            <w:pPr>
              <w:pStyle w:val="TableParagraph"/>
              <w:spacing w:before="0"/>
              <w:rPr>
                <w:sz w:val="18"/>
              </w:rPr>
            </w:pPr>
          </w:p>
        </w:tc>
        <w:tc>
          <w:tcPr>
            <w:tcW w:w="808" w:type="dxa"/>
            <w:tcBorders>
              <w:left w:val="single" w:sz="4" w:space="0" w:color="000000"/>
              <w:right w:val="single" w:sz="4" w:space="0" w:color="000000"/>
            </w:tcBorders>
          </w:tcPr>
          <w:p>
            <w:pPr>
              <w:pStyle w:val="TableParagraph"/>
              <w:spacing w:before="0"/>
              <w:rPr>
                <w:sz w:val="18"/>
              </w:rPr>
            </w:pPr>
          </w:p>
        </w:tc>
        <w:tc>
          <w:tcPr>
            <w:tcW w:w="354" w:type="dxa"/>
            <w:tcBorders>
              <w:left w:val="single" w:sz="4" w:space="0" w:color="000000"/>
              <w:right w:val="single" w:sz="4" w:space="0" w:color="000000"/>
            </w:tcBorders>
          </w:tcPr>
          <w:p>
            <w:pPr>
              <w:pStyle w:val="TableParagraph"/>
              <w:spacing w:before="0"/>
              <w:rPr>
                <w:sz w:val="18"/>
              </w:rPr>
            </w:pPr>
          </w:p>
        </w:tc>
        <w:tc>
          <w:tcPr>
            <w:tcW w:w="921" w:type="dxa"/>
            <w:tcBorders>
              <w:left w:val="single" w:sz="4" w:space="0" w:color="000000"/>
              <w:right w:val="single" w:sz="4" w:space="0" w:color="000000"/>
            </w:tcBorders>
          </w:tcPr>
          <w:p>
            <w:pPr>
              <w:pStyle w:val="TableParagraph"/>
              <w:spacing w:before="0"/>
              <w:rPr>
                <w:sz w:val="18"/>
              </w:rPr>
            </w:pPr>
          </w:p>
        </w:tc>
        <w:tc>
          <w:tcPr>
            <w:tcW w:w="524" w:type="dxa"/>
            <w:tcBorders>
              <w:left w:val="single" w:sz="4" w:space="0" w:color="000000"/>
              <w:right w:val="single" w:sz="4" w:space="0" w:color="000000"/>
            </w:tcBorders>
          </w:tcPr>
          <w:p>
            <w:pPr>
              <w:pStyle w:val="TableParagraph"/>
              <w:spacing w:before="0"/>
              <w:rPr>
                <w:sz w:val="18"/>
              </w:rPr>
            </w:pPr>
          </w:p>
        </w:tc>
        <w:tc>
          <w:tcPr>
            <w:tcW w:w="637" w:type="dxa"/>
            <w:tcBorders>
              <w:left w:val="single" w:sz="4" w:space="0" w:color="000000"/>
              <w:right w:val="single" w:sz="4" w:space="0" w:color="000000"/>
            </w:tcBorders>
          </w:tcPr>
          <w:p>
            <w:pPr>
              <w:pStyle w:val="TableParagraph"/>
              <w:spacing w:before="0"/>
              <w:rPr>
                <w:sz w:val="18"/>
              </w:rPr>
            </w:pPr>
          </w:p>
        </w:tc>
        <w:tc>
          <w:tcPr>
            <w:tcW w:w="2844" w:type="dxa"/>
            <w:tcBorders>
              <w:left w:val="single" w:sz="4" w:space="0" w:color="000000"/>
            </w:tcBorders>
          </w:tcPr>
          <w:p>
            <w:pPr>
              <w:pStyle w:val="TableParagraph"/>
              <w:spacing w:before="22"/>
              <w:ind w:left="59"/>
              <w:rPr>
                <w:sz w:val="18"/>
              </w:rPr>
            </w:pPr>
            <w:r>
              <w:rPr>
                <w:sz w:val="18"/>
              </w:rPr>
              <w:t>over</w:t>
            </w:r>
            <w:r>
              <w:rPr>
                <w:spacing w:val="-7"/>
                <w:sz w:val="18"/>
              </w:rPr>
              <w:t> </w:t>
            </w:r>
            <w:r>
              <w:rPr>
                <w:sz w:val="18"/>
              </w:rPr>
              <w:t>for</w:t>
            </w:r>
            <w:r>
              <w:rPr>
                <w:spacing w:val="-7"/>
                <w:sz w:val="18"/>
              </w:rPr>
              <w:t> </w:t>
            </w:r>
            <w:r>
              <w:rPr>
                <w:sz w:val="18"/>
              </w:rPr>
              <w:t>next</w:t>
            </w:r>
            <w:r>
              <w:rPr>
                <w:spacing w:val="-7"/>
                <w:sz w:val="18"/>
              </w:rPr>
              <w:t> </w:t>
            </w:r>
            <w:r>
              <w:rPr>
                <w:spacing w:val="-2"/>
                <w:sz w:val="18"/>
              </w:rPr>
              <w:t>season</w:t>
            </w:r>
          </w:p>
        </w:tc>
      </w:tr>
      <w:tr>
        <w:trPr>
          <w:trHeight w:val="305" w:hRule="atLeast"/>
        </w:trPr>
        <w:tc>
          <w:tcPr>
            <w:tcW w:w="1371" w:type="dxa"/>
            <w:tcBorders>
              <w:right w:val="single" w:sz="4" w:space="0" w:color="000000"/>
            </w:tcBorders>
          </w:tcPr>
          <w:p>
            <w:pPr>
              <w:pStyle w:val="TableParagraph"/>
              <w:spacing w:before="62"/>
              <w:ind w:left="59"/>
              <w:rPr>
                <w:sz w:val="18"/>
              </w:rPr>
            </w:pPr>
            <w:r>
              <w:rPr>
                <w:spacing w:val="-2"/>
                <w:sz w:val="18"/>
              </w:rPr>
              <w:t>iaf_bb_y1_c10</w:t>
            </w:r>
          </w:p>
        </w:tc>
        <w:tc>
          <w:tcPr>
            <w:tcW w:w="978" w:type="dxa"/>
            <w:tcBorders>
              <w:left w:val="single" w:sz="4" w:space="0" w:color="000000"/>
              <w:right w:val="single" w:sz="4" w:space="0" w:color="000000"/>
            </w:tcBorders>
          </w:tcPr>
          <w:p>
            <w:pPr>
              <w:pStyle w:val="TableParagraph"/>
              <w:spacing w:before="62"/>
              <w:ind w:left="58"/>
              <w:rPr>
                <w:sz w:val="18"/>
              </w:rPr>
            </w:pPr>
            <w:r>
              <w:rPr>
                <w:sz w:val="18"/>
              </w:rPr>
              <w:t>Leaf</w:t>
            </w:r>
            <w:r>
              <w:rPr>
                <w:spacing w:val="36"/>
                <w:sz w:val="18"/>
              </w:rPr>
              <w:t>  </w:t>
            </w:r>
            <w:r>
              <w:rPr>
                <w:spacing w:val="-4"/>
                <w:sz w:val="18"/>
              </w:rPr>
              <w:t>Area</w:t>
            </w:r>
          </w:p>
        </w:tc>
        <w:tc>
          <w:tcPr>
            <w:tcW w:w="808" w:type="dxa"/>
            <w:tcBorders>
              <w:left w:val="single" w:sz="4" w:space="0" w:color="000000"/>
              <w:right w:val="single" w:sz="4" w:space="0" w:color="000000"/>
            </w:tcBorders>
          </w:tcPr>
          <w:p>
            <w:pPr>
              <w:pStyle w:val="TableParagraph"/>
              <w:spacing w:before="62"/>
              <w:ind w:left="58"/>
              <w:rPr>
                <w:sz w:val="18"/>
              </w:rPr>
            </w:pPr>
            <w:r>
              <w:rPr>
                <w:spacing w:val="-5"/>
                <w:sz w:val="18"/>
              </w:rPr>
              <w:t>Bud</w:t>
            </w:r>
          </w:p>
        </w:tc>
        <w:tc>
          <w:tcPr>
            <w:tcW w:w="354" w:type="dxa"/>
            <w:tcBorders>
              <w:left w:val="single" w:sz="4" w:space="0" w:color="000000"/>
              <w:right w:val="single" w:sz="4" w:space="0" w:color="000000"/>
            </w:tcBorders>
          </w:tcPr>
          <w:p>
            <w:pPr>
              <w:pStyle w:val="TableParagraph"/>
              <w:spacing w:before="62"/>
              <w:ind w:right="46"/>
              <w:jc w:val="center"/>
              <w:rPr>
                <w:sz w:val="18"/>
              </w:rPr>
            </w:pPr>
            <w:r>
              <w:rPr>
                <w:spacing w:val="-5"/>
                <w:sz w:val="18"/>
              </w:rPr>
              <w:t>y1</w:t>
            </w:r>
          </w:p>
        </w:tc>
        <w:tc>
          <w:tcPr>
            <w:tcW w:w="921" w:type="dxa"/>
            <w:tcBorders>
              <w:left w:val="single" w:sz="4" w:space="0" w:color="000000"/>
              <w:right w:val="single" w:sz="4" w:space="0" w:color="000000"/>
            </w:tcBorders>
          </w:tcPr>
          <w:p>
            <w:pPr>
              <w:pStyle w:val="TableParagraph"/>
              <w:spacing w:before="62"/>
              <w:ind w:left="58"/>
              <w:rPr>
                <w:sz w:val="18"/>
              </w:rPr>
            </w:pPr>
            <w:r>
              <w:rPr>
                <w:spacing w:val="-2"/>
                <w:sz w:val="18"/>
              </w:rPr>
              <w:t>centred</w:t>
            </w:r>
          </w:p>
        </w:tc>
        <w:tc>
          <w:tcPr>
            <w:tcW w:w="524" w:type="dxa"/>
            <w:tcBorders>
              <w:left w:val="single" w:sz="4" w:space="0" w:color="000000"/>
              <w:right w:val="single" w:sz="4" w:space="0" w:color="000000"/>
            </w:tcBorders>
          </w:tcPr>
          <w:p>
            <w:pPr>
              <w:pStyle w:val="TableParagraph"/>
              <w:spacing w:before="29"/>
              <w:ind w:left="58" w:right="-29"/>
              <w:rPr>
                <w:position w:val="7"/>
                <w:sz w:val="14"/>
              </w:rPr>
            </w:pPr>
            <w:r>
              <w:rPr>
                <w:spacing w:val="-2"/>
                <w:sz w:val="18"/>
              </w:rPr>
              <w:t>m</w:t>
            </w:r>
            <w:r>
              <w:rPr>
                <w:spacing w:val="-2"/>
                <w:position w:val="7"/>
                <w:sz w:val="14"/>
              </w:rPr>
              <w:t>2</w:t>
            </w:r>
            <w:r>
              <w:rPr>
                <w:spacing w:val="-2"/>
                <w:sz w:val="18"/>
              </w:rPr>
              <w:t>/m</w:t>
            </w:r>
            <w:r>
              <w:rPr>
                <w:spacing w:val="-2"/>
                <w:position w:val="7"/>
                <w:sz w:val="14"/>
              </w:rPr>
              <w:t>2</w:t>
            </w:r>
          </w:p>
        </w:tc>
        <w:tc>
          <w:tcPr>
            <w:tcW w:w="637" w:type="dxa"/>
            <w:tcBorders>
              <w:left w:val="single" w:sz="4" w:space="0" w:color="000000"/>
              <w:right w:val="single" w:sz="4" w:space="0" w:color="000000"/>
            </w:tcBorders>
          </w:tcPr>
          <w:p>
            <w:pPr>
              <w:pStyle w:val="TableParagraph"/>
              <w:spacing w:before="62"/>
              <w:ind w:left="59" w:right="-15"/>
              <w:jc w:val="center"/>
              <w:rPr>
                <w:sz w:val="18"/>
              </w:rPr>
            </w:pPr>
            <w:r>
              <w:rPr>
                <w:spacing w:val="-7"/>
                <w:sz w:val="18"/>
              </w:rPr>
              <w:t>Average</w:t>
            </w:r>
          </w:p>
        </w:tc>
        <w:tc>
          <w:tcPr>
            <w:tcW w:w="2844" w:type="dxa"/>
            <w:tcBorders>
              <w:left w:val="single" w:sz="4" w:space="0" w:color="000000"/>
            </w:tcBorders>
          </w:tcPr>
          <w:p>
            <w:pPr>
              <w:pStyle w:val="TableParagraph"/>
              <w:spacing w:before="62"/>
              <w:ind w:left="59"/>
              <w:rPr>
                <w:sz w:val="18"/>
              </w:rPr>
            </w:pPr>
            <w:r>
              <w:rPr>
                <w:spacing w:val="-2"/>
                <w:sz w:val="18"/>
              </w:rPr>
              <w:t>LAI</w:t>
            </w:r>
            <w:r>
              <w:rPr>
                <w:spacing w:val="-8"/>
                <w:sz w:val="18"/>
              </w:rPr>
              <w:t> </w:t>
            </w:r>
            <w:r>
              <w:rPr>
                <w:spacing w:val="-2"/>
                <w:sz w:val="18"/>
              </w:rPr>
              <w:t>at</w:t>
            </w:r>
            <w:r>
              <w:rPr>
                <w:spacing w:val="-7"/>
                <w:sz w:val="18"/>
              </w:rPr>
              <w:t> </w:t>
            </w:r>
            <w:r>
              <w:rPr>
                <w:spacing w:val="-2"/>
                <w:sz w:val="18"/>
              </w:rPr>
              <w:t>budburst,</w:t>
            </w:r>
            <w:r>
              <w:rPr>
                <w:spacing w:val="-6"/>
                <w:sz w:val="18"/>
              </w:rPr>
              <w:t> </w:t>
            </w:r>
            <w:r>
              <w:rPr>
                <w:spacing w:val="-2"/>
                <w:sz w:val="18"/>
              </w:rPr>
              <w:t>canopy</w:t>
            </w:r>
            <w:r>
              <w:rPr>
                <w:spacing w:val="-7"/>
                <w:sz w:val="18"/>
              </w:rPr>
              <w:t> </w:t>
            </w:r>
            <w:r>
              <w:rPr>
                <w:spacing w:val="-2"/>
                <w:sz w:val="18"/>
              </w:rPr>
              <w:t>size</w:t>
            </w:r>
            <w:r>
              <w:rPr>
                <w:spacing w:val="-7"/>
                <w:sz w:val="18"/>
              </w:rPr>
              <w:t> </w:t>
            </w:r>
            <w:r>
              <w:rPr>
                <w:spacing w:val="-2"/>
                <w:sz w:val="18"/>
              </w:rPr>
              <w:t>at</w:t>
            </w:r>
            <w:r>
              <w:rPr>
                <w:spacing w:val="-8"/>
                <w:sz w:val="18"/>
              </w:rPr>
              <w:t> </w:t>
            </w:r>
            <w:r>
              <w:rPr>
                <w:spacing w:val="-2"/>
                <w:sz w:val="18"/>
              </w:rPr>
              <w:t>growth</w:t>
            </w:r>
          </w:p>
        </w:tc>
      </w:tr>
      <w:tr>
        <w:trPr>
          <w:trHeight w:val="571" w:hRule="atLeast"/>
        </w:trPr>
        <w:tc>
          <w:tcPr>
            <w:tcW w:w="1371" w:type="dxa"/>
            <w:tcBorders>
              <w:right w:val="single" w:sz="4" w:space="0" w:color="000000"/>
            </w:tcBorders>
          </w:tcPr>
          <w:p>
            <w:pPr>
              <w:pStyle w:val="TableParagraph"/>
              <w:spacing w:before="0"/>
              <w:rPr>
                <w:sz w:val="18"/>
              </w:rPr>
            </w:pPr>
          </w:p>
        </w:tc>
        <w:tc>
          <w:tcPr>
            <w:tcW w:w="978" w:type="dxa"/>
            <w:tcBorders>
              <w:left w:val="single" w:sz="4" w:space="0" w:color="000000"/>
              <w:right w:val="single" w:sz="4" w:space="0" w:color="000000"/>
            </w:tcBorders>
          </w:tcPr>
          <w:p>
            <w:pPr>
              <w:pStyle w:val="TableParagraph"/>
              <w:spacing w:before="22"/>
              <w:ind w:left="58"/>
              <w:rPr>
                <w:sz w:val="18"/>
              </w:rPr>
            </w:pPr>
            <w:r>
              <w:rPr>
                <w:spacing w:val="-2"/>
                <w:sz w:val="18"/>
              </w:rPr>
              <w:t>Index</w:t>
            </w:r>
          </w:p>
        </w:tc>
        <w:tc>
          <w:tcPr>
            <w:tcW w:w="808" w:type="dxa"/>
            <w:tcBorders>
              <w:left w:val="single" w:sz="4" w:space="0" w:color="000000"/>
              <w:right w:val="single" w:sz="4" w:space="0" w:color="000000"/>
            </w:tcBorders>
          </w:tcPr>
          <w:p>
            <w:pPr>
              <w:pStyle w:val="TableParagraph"/>
              <w:spacing w:before="22"/>
              <w:ind w:left="58"/>
              <w:rPr>
                <w:sz w:val="18"/>
              </w:rPr>
            </w:pPr>
            <w:r>
              <w:rPr>
                <w:spacing w:val="-2"/>
                <w:sz w:val="18"/>
              </w:rPr>
              <w:t>Break</w:t>
            </w:r>
          </w:p>
        </w:tc>
        <w:tc>
          <w:tcPr>
            <w:tcW w:w="354" w:type="dxa"/>
            <w:tcBorders>
              <w:left w:val="single" w:sz="4" w:space="0" w:color="000000"/>
              <w:right w:val="single" w:sz="4" w:space="0" w:color="000000"/>
            </w:tcBorders>
          </w:tcPr>
          <w:p>
            <w:pPr>
              <w:pStyle w:val="TableParagraph"/>
              <w:spacing w:before="0"/>
              <w:rPr>
                <w:sz w:val="18"/>
              </w:rPr>
            </w:pPr>
          </w:p>
        </w:tc>
        <w:tc>
          <w:tcPr>
            <w:tcW w:w="921" w:type="dxa"/>
            <w:tcBorders>
              <w:left w:val="single" w:sz="4" w:space="0" w:color="000000"/>
              <w:right w:val="single" w:sz="4" w:space="0" w:color="000000"/>
            </w:tcBorders>
          </w:tcPr>
          <w:p>
            <w:pPr>
              <w:pStyle w:val="TableParagraph"/>
              <w:spacing w:line="266" w:lineRule="exact" w:before="0"/>
              <w:ind w:left="58"/>
              <w:rPr>
                <w:sz w:val="18"/>
              </w:rPr>
            </w:pPr>
            <w:r>
              <w:rPr>
                <w:rFonts w:ascii="Meiryo UI" w:hAnsi="Meiryo UI"/>
                <w:i/>
                <w:spacing w:val="-4"/>
                <w:sz w:val="18"/>
              </w:rPr>
              <w:t>±</w:t>
            </w:r>
            <w:r>
              <w:rPr>
                <w:spacing w:val="-4"/>
                <w:sz w:val="18"/>
              </w:rPr>
              <w:t>10d</w:t>
            </w:r>
          </w:p>
        </w:tc>
        <w:tc>
          <w:tcPr>
            <w:tcW w:w="524" w:type="dxa"/>
            <w:tcBorders>
              <w:left w:val="single" w:sz="4" w:space="0" w:color="000000"/>
              <w:right w:val="single" w:sz="4" w:space="0" w:color="000000"/>
            </w:tcBorders>
          </w:tcPr>
          <w:p>
            <w:pPr>
              <w:pStyle w:val="TableParagraph"/>
              <w:spacing w:before="0"/>
              <w:rPr>
                <w:sz w:val="18"/>
              </w:rPr>
            </w:pPr>
          </w:p>
        </w:tc>
        <w:tc>
          <w:tcPr>
            <w:tcW w:w="637" w:type="dxa"/>
            <w:tcBorders>
              <w:left w:val="single" w:sz="4" w:space="0" w:color="000000"/>
              <w:right w:val="single" w:sz="4" w:space="0" w:color="000000"/>
            </w:tcBorders>
          </w:tcPr>
          <w:p>
            <w:pPr>
              <w:pStyle w:val="TableParagraph"/>
              <w:spacing w:before="0"/>
              <w:rPr>
                <w:sz w:val="18"/>
              </w:rPr>
            </w:pPr>
          </w:p>
        </w:tc>
        <w:tc>
          <w:tcPr>
            <w:tcW w:w="2844" w:type="dxa"/>
            <w:tcBorders>
              <w:left w:val="single" w:sz="4" w:space="0" w:color="000000"/>
            </w:tcBorders>
          </w:tcPr>
          <w:p>
            <w:pPr>
              <w:pStyle w:val="TableParagraph"/>
              <w:spacing w:before="22"/>
              <w:ind w:left="59"/>
              <w:rPr>
                <w:sz w:val="18"/>
              </w:rPr>
            </w:pPr>
            <w:r>
              <w:rPr>
                <w:sz w:val="18"/>
              </w:rPr>
              <w:t>initiation;</w:t>
            </w:r>
            <w:r>
              <w:rPr>
                <w:spacing w:val="-1"/>
                <w:sz w:val="18"/>
              </w:rPr>
              <w:t> </w:t>
            </w:r>
            <w:r>
              <w:rPr>
                <w:sz w:val="18"/>
              </w:rPr>
              <w:t>proxy</w:t>
            </w:r>
            <w:r>
              <w:rPr>
                <w:spacing w:val="-1"/>
                <w:sz w:val="18"/>
              </w:rPr>
              <w:t> </w:t>
            </w:r>
            <w:r>
              <w:rPr>
                <w:sz w:val="18"/>
              </w:rPr>
              <w:t>for</w:t>
            </w:r>
            <w:r>
              <w:rPr>
                <w:spacing w:val="-1"/>
                <w:sz w:val="18"/>
              </w:rPr>
              <w:t> </w:t>
            </w:r>
            <w:r>
              <w:rPr>
                <w:sz w:val="18"/>
              </w:rPr>
              <w:t>vine</w:t>
            </w:r>
            <w:r>
              <w:rPr>
                <w:spacing w:val="-1"/>
                <w:sz w:val="18"/>
              </w:rPr>
              <w:t> </w:t>
            </w:r>
            <w:r>
              <w:rPr>
                <w:sz w:val="18"/>
              </w:rPr>
              <w:t>vigour </w:t>
            </w:r>
            <w:r>
              <w:rPr>
                <w:spacing w:val="-2"/>
                <w:sz w:val="18"/>
              </w:rPr>
              <w:t>enter-</w:t>
            </w:r>
          </w:p>
          <w:p>
            <w:pPr>
              <w:pStyle w:val="TableParagraph"/>
              <w:spacing w:before="59"/>
              <w:ind w:left="59"/>
              <w:rPr>
                <w:sz w:val="18"/>
              </w:rPr>
            </w:pPr>
            <w:r>
              <w:rPr>
                <w:sz w:val="18"/>
              </w:rPr>
              <w:t>ing</w:t>
            </w:r>
            <w:r>
              <w:rPr>
                <w:spacing w:val="-4"/>
                <w:sz w:val="18"/>
              </w:rPr>
              <w:t> </w:t>
            </w:r>
            <w:r>
              <w:rPr>
                <w:sz w:val="18"/>
              </w:rPr>
              <w:t>the</w:t>
            </w:r>
            <w:r>
              <w:rPr>
                <w:spacing w:val="-3"/>
                <w:sz w:val="18"/>
              </w:rPr>
              <w:t> </w:t>
            </w:r>
            <w:r>
              <w:rPr>
                <w:spacing w:val="-2"/>
                <w:sz w:val="18"/>
              </w:rPr>
              <w:t>season</w:t>
            </w:r>
          </w:p>
        </w:tc>
      </w:tr>
      <w:tr>
        <w:trPr>
          <w:trHeight w:val="305" w:hRule="atLeast"/>
        </w:trPr>
        <w:tc>
          <w:tcPr>
            <w:tcW w:w="1371" w:type="dxa"/>
            <w:tcBorders>
              <w:right w:val="single" w:sz="4" w:space="0" w:color="000000"/>
            </w:tcBorders>
          </w:tcPr>
          <w:p>
            <w:pPr>
              <w:pStyle w:val="TableParagraph"/>
              <w:spacing w:before="62"/>
              <w:ind w:left="59"/>
              <w:rPr>
                <w:sz w:val="18"/>
              </w:rPr>
            </w:pPr>
            <w:r>
              <w:rPr>
                <w:spacing w:val="-2"/>
                <w:sz w:val="18"/>
              </w:rPr>
              <w:t>iaf_fl_y1_b10</w:t>
            </w:r>
          </w:p>
        </w:tc>
        <w:tc>
          <w:tcPr>
            <w:tcW w:w="978" w:type="dxa"/>
            <w:tcBorders>
              <w:left w:val="single" w:sz="4" w:space="0" w:color="000000"/>
              <w:right w:val="single" w:sz="4" w:space="0" w:color="000000"/>
            </w:tcBorders>
          </w:tcPr>
          <w:p>
            <w:pPr>
              <w:pStyle w:val="TableParagraph"/>
              <w:spacing w:before="62"/>
              <w:ind w:left="58"/>
              <w:rPr>
                <w:sz w:val="18"/>
              </w:rPr>
            </w:pPr>
            <w:r>
              <w:rPr>
                <w:sz w:val="18"/>
              </w:rPr>
              <w:t>Leaf</w:t>
            </w:r>
            <w:r>
              <w:rPr>
                <w:spacing w:val="36"/>
                <w:sz w:val="18"/>
              </w:rPr>
              <w:t>  </w:t>
            </w:r>
            <w:r>
              <w:rPr>
                <w:spacing w:val="-4"/>
                <w:sz w:val="18"/>
              </w:rPr>
              <w:t>Area</w:t>
            </w:r>
          </w:p>
        </w:tc>
        <w:tc>
          <w:tcPr>
            <w:tcW w:w="808" w:type="dxa"/>
            <w:tcBorders>
              <w:left w:val="single" w:sz="4" w:space="0" w:color="000000"/>
              <w:right w:val="single" w:sz="4" w:space="0" w:color="000000"/>
            </w:tcBorders>
          </w:tcPr>
          <w:p>
            <w:pPr>
              <w:pStyle w:val="TableParagraph"/>
              <w:spacing w:before="62"/>
              <w:ind w:left="58"/>
              <w:rPr>
                <w:sz w:val="18"/>
              </w:rPr>
            </w:pPr>
            <w:r>
              <w:rPr>
                <w:spacing w:val="-2"/>
                <w:sz w:val="18"/>
              </w:rPr>
              <w:t>Flowering</w:t>
            </w:r>
          </w:p>
        </w:tc>
        <w:tc>
          <w:tcPr>
            <w:tcW w:w="354" w:type="dxa"/>
            <w:tcBorders>
              <w:left w:val="single" w:sz="4" w:space="0" w:color="000000"/>
              <w:right w:val="single" w:sz="4" w:space="0" w:color="000000"/>
            </w:tcBorders>
          </w:tcPr>
          <w:p>
            <w:pPr>
              <w:pStyle w:val="TableParagraph"/>
              <w:spacing w:before="62"/>
              <w:ind w:right="46"/>
              <w:jc w:val="center"/>
              <w:rPr>
                <w:sz w:val="18"/>
              </w:rPr>
            </w:pPr>
            <w:r>
              <w:rPr>
                <w:spacing w:val="-5"/>
                <w:sz w:val="18"/>
              </w:rPr>
              <w:t>y1</w:t>
            </w:r>
          </w:p>
        </w:tc>
        <w:tc>
          <w:tcPr>
            <w:tcW w:w="921" w:type="dxa"/>
            <w:tcBorders>
              <w:left w:val="single" w:sz="4" w:space="0" w:color="000000"/>
              <w:right w:val="single" w:sz="4" w:space="0" w:color="000000"/>
            </w:tcBorders>
          </w:tcPr>
          <w:p>
            <w:pPr>
              <w:pStyle w:val="TableParagraph"/>
              <w:spacing w:before="62"/>
              <w:ind w:left="58"/>
              <w:rPr>
                <w:sz w:val="18"/>
              </w:rPr>
            </w:pPr>
            <w:r>
              <w:rPr>
                <w:sz w:val="18"/>
              </w:rPr>
              <w:t>10d</w:t>
            </w:r>
            <w:r>
              <w:rPr>
                <w:spacing w:val="-4"/>
                <w:sz w:val="18"/>
              </w:rPr>
              <w:t> </w:t>
            </w:r>
            <w:r>
              <w:rPr>
                <w:spacing w:val="-2"/>
                <w:sz w:val="18"/>
              </w:rPr>
              <w:t>before</w:t>
            </w:r>
          </w:p>
        </w:tc>
        <w:tc>
          <w:tcPr>
            <w:tcW w:w="524" w:type="dxa"/>
            <w:tcBorders>
              <w:left w:val="single" w:sz="4" w:space="0" w:color="000000"/>
              <w:right w:val="single" w:sz="4" w:space="0" w:color="000000"/>
            </w:tcBorders>
          </w:tcPr>
          <w:p>
            <w:pPr>
              <w:pStyle w:val="TableParagraph"/>
              <w:spacing w:before="29"/>
              <w:ind w:left="58" w:right="-29"/>
              <w:rPr>
                <w:position w:val="7"/>
                <w:sz w:val="14"/>
              </w:rPr>
            </w:pPr>
            <w:r>
              <w:rPr>
                <w:spacing w:val="-2"/>
                <w:sz w:val="18"/>
              </w:rPr>
              <w:t>m</w:t>
            </w:r>
            <w:r>
              <w:rPr>
                <w:spacing w:val="-2"/>
                <w:position w:val="7"/>
                <w:sz w:val="14"/>
              </w:rPr>
              <w:t>2</w:t>
            </w:r>
            <w:r>
              <w:rPr>
                <w:spacing w:val="-2"/>
                <w:sz w:val="18"/>
              </w:rPr>
              <w:t>/m</w:t>
            </w:r>
            <w:r>
              <w:rPr>
                <w:spacing w:val="-2"/>
                <w:position w:val="7"/>
                <w:sz w:val="14"/>
              </w:rPr>
              <w:t>2</w:t>
            </w:r>
          </w:p>
        </w:tc>
        <w:tc>
          <w:tcPr>
            <w:tcW w:w="637" w:type="dxa"/>
            <w:tcBorders>
              <w:left w:val="single" w:sz="4" w:space="0" w:color="000000"/>
              <w:right w:val="single" w:sz="4" w:space="0" w:color="000000"/>
            </w:tcBorders>
          </w:tcPr>
          <w:p>
            <w:pPr>
              <w:pStyle w:val="TableParagraph"/>
              <w:spacing w:before="62"/>
              <w:ind w:left="59" w:right="-15"/>
              <w:jc w:val="center"/>
              <w:rPr>
                <w:sz w:val="18"/>
              </w:rPr>
            </w:pPr>
            <w:r>
              <w:rPr>
                <w:spacing w:val="-7"/>
                <w:sz w:val="18"/>
              </w:rPr>
              <w:t>Average</w:t>
            </w:r>
          </w:p>
        </w:tc>
        <w:tc>
          <w:tcPr>
            <w:tcW w:w="2844" w:type="dxa"/>
            <w:tcBorders>
              <w:left w:val="single" w:sz="4" w:space="0" w:color="000000"/>
            </w:tcBorders>
          </w:tcPr>
          <w:p>
            <w:pPr>
              <w:pStyle w:val="TableParagraph"/>
              <w:spacing w:before="62"/>
              <w:ind w:left="59"/>
              <w:rPr>
                <w:sz w:val="18"/>
              </w:rPr>
            </w:pPr>
            <w:r>
              <w:rPr>
                <w:sz w:val="18"/>
              </w:rPr>
              <w:t>Pre-flowering</w:t>
            </w:r>
            <w:r>
              <w:rPr>
                <w:spacing w:val="70"/>
                <w:sz w:val="18"/>
              </w:rPr>
              <w:t> </w:t>
            </w:r>
            <w:r>
              <w:rPr>
                <w:sz w:val="18"/>
              </w:rPr>
              <w:t>canopy</w:t>
            </w:r>
            <w:r>
              <w:rPr>
                <w:spacing w:val="70"/>
                <w:sz w:val="18"/>
              </w:rPr>
              <w:t> </w:t>
            </w:r>
            <w:r>
              <w:rPr>
                <w:spacing w:val="-2"/>
                <w:sz w:val="18"/>
              </w:rPr>
              <w:t>development,</w:t>
            </w:r>
          </w:p>
        </w:tc>
      </w:tr>
      <w:tr>
        <w:trPr>
          <w:trHeight w:val="265" w:hRule="atLeast"/>
        </w:trPr>
        <w:tc>
          <w:tcPr>
            <w:tcW w:w="1371" w:type="dxa"/>
            <w:tcBorders>
              <w:right w:val="single" w:sz="4" w:space="0" w:color="000000"/>
            </w:tcBorders>
          </w:tcPr>
          <w:p>
            <w:pPr>
              <w:pStyle w:val="TableParagraph"/>
              <w:spacing w:before="0"/>
              <w:rPr>
                <w:sz w:val="18"/>
              </w:rPr>
            </w:pPr>
          </w:p>
        </w:tc>
        <w:tc>
          <w:tcPr>
            <w:tcW w:w="978" w:type="dxa"/>
            <w:tcBorders>
              <w:left w:val="single" w:sz="4" w:space="0" w:color="000000"/>
              <w:right w:val="single" w:sz="4" w:space="0" w:color="000000"/>
            </w:tcBorders>
          </w:tcPr>
          <w:p>
            <w:pPr>
              <w:pStyle w:val="TableParagraph"/>
              <w:spacing w:before="22"/>
              <w:ind w:left="58"/>
              <w:rPr>
                <w:sz w:val="18"/>
              </w:rPr>
            </w:pPr>
            <w:r>
              <w:rPr>
                <w:spacing w:val="-2"/>
                <w:sz w:val="18"/>
              </w:rPr>
              <w:t>Index</w:t>
            </w:r>
          </w:p>
        </w:tc>
        <w:tc>
          <w:tcPr>
            <w:tcW w:w="808" w:type="dxa"/>
            <w:tcBorders>
              <w:left w:val="single" w:sz="4" w:space="0" w:color="000000"/>
              <w:right w:val="single" w:sz="4" w:space="0" w:color="000000"/>
            </w:tcBorders>
          </w:tcPr>
          <w:p>
            <w:pPr>
              <w:pStyle w:val="TableParagraph"/>
              <w:spacing w:before="0"/>
              <w:rPr>
                <w:sz w:val="18"/>
              </w:rPr>
            </w:pPr>
          </w:p>
        </w:tc>
        <w:tc>
          <w:tcPr>
            <w:tcW w:w="354" w:type="dxa"/>
            <w:tcBorders>
              <w:left w:val="single" w:sz="4" w:space="0" w:color="000000"/>
              <w:right w:val="single" w:sz="4" w:space="0" w:color="000000"/>
            </w:tcBorders>
          </w:tcPr>
          <w:p>
            <w:pPr>
              <w:pStyle w:val="TableParagraph"/>
              <w:spacing w:before="0"/>
              <w:rPr>
                <w:sz w:val="18"/>
              </w:rPr>
            </w:pPr>
          </w:p>
        </w:tc>
        <w:tc>
          <w:tcPr>
            <w:tcW w:w="921" w:type="dxa"/>
            <w:tcBorders>
              <w:left w:val="single" w:sz="4" w:space="0" w:color="000000"/>
              <w:right w:val="single" w:sz="4" w:space="0" w:color="000000"/>
            </w:tcBorders>
          </w:tcPr>
          <w:p>
            <w:pPr>
              <w:pStyle w:val="TableParagraph"/>
              <w:spacing w:before="0"/>
              <w:rPr>
                <w:sz w:val="18"/>
              </w:rPr>
            </w:pPr>
          </w:p>
        </w:tc>
        <w:tc>
          <w:tcPr>
            <w:tcW w:w="524" w:type="dxa"/>
            <w:tcBorders>
              <w:left w:val="single" w:sz="4" w:space="0" w:color="000000"/>
              <w:right w:val="single" w:sz="4" w:space="0" w:color="000000"/>
            </w:tcBorders>
          </w:tcPr>
          <w:p>
            <w:pPr>
              <w:pStyle w:val="TableParagraph"/>
              <w:spacing w:before="0"/>
              <w:rPr>
                <w:sz w:val="18"/>
              </w:rPr>
            </w:pPr>
          </w:p>
        </w:tc>
        <w:tc>
          <w:tcPr>
            <w:tcW w:w="637" w:type="dxa"/>
            <w:tcBorders>
              <w:left w:val="single" w:sz="4" w:space="0" w:color="000000"/>
              <w:right w:val="single" w:sz="4" w:space="0" w:color="000000"/>
            </w:tcBorders>
          </w:tcPr>
          <w:p>
            <w:pPr>
              <w:pStyle w:val="TableParagraph"/>
              <w:spacing w:before="0"/>
              <w:rPr>
                <w:sz w:val="18"/>
              </w:rPr>
            </w:pPr>
          </w:p>
        </w:tc>
        <w:tc>
          <w:tcPr>
            <w:tcW w:w="2844" w:type="dxa"/>
            <w:tcBorders>
              <w:left w:val="single" w:sz="4" w:space="0" w:color="000000"/>
            </w:tcBorders>
          </w:tcPr>
          <w:p>
            <w:pPr>
              <w:pStyle w:val="TableParagraph"/>
              <w:spacing w:before="22"/>
              <w:ind w:left="55"/>
              <w:rPr>
                <w:sz w:val="18"/>
              </w:rPr>
            </w:pPr>
            <w:r>
              <w:rPr>
                <w:sz w:val="18"/>
              </w:rPr>
              <w:t>vegetative vigour</w:t>
            </w:r>
            <w:r>
              <w:rPr>
                <w:spacing w:val="1"/>
                <w:sz w:val="18"/>
              </w:rPr>
              <w:t> </w:t>
            </w:r>
            <w:r>
              <w:rPr>
                <w:sz w:val="18"/>
              </w:rPr>
              <w:t>entering the</w:t>
            </w:r>
            <w:r>
              <w:rPr>
                <w:spacing w:val="1"/>
                <w:sz w:val="18"/>
              </w:rPr>
              <w:t> </w:t>
            </w:r>
            <w:r>
              <w:rPr>
                <w:spacing w:val="-2"/>
                <w:sz w:val="18"/>
              </w:rPr>
              <w:t>critical</w:t>
            </w:r>
          </w:p>
        </w:tc>
      </w:tr>
      <w:tr>
        <w:trPr>
          <w:trHeight w:val="305" w:hRule="atLeast"/>
        </w:trPr>
        <w:tc>
          <w:tcPr>
            <w:tcW w:w="1371" w:type="dxa"/>
            <w:tcBorders>
              <w:right w:val="single" w:sz="4" w:space="0" w:color="000000"/>
            </w:tcBorders>
          </w:tcPr>
          <w:p>
            <w:pPr>
              <w:pStyle w:val="TableParagraph"/>
              <w:spacing w:before="0"/>
              <w:rPr>
                <w:sz w:val="18"/>
              </w:rPr>
            </w:pPr>
          </w:p>
        </w:tc>
        <w:tc>
          <w:tcPr>
            <w:tcW w:w="978" w:type="dxa"/>
            <w:tcBorders>
              <w:left w:val="single" w:sz="4" w:space="0" w:color="000000"/>
              <w:right w:val="single" w:sz="4" w:space="0" w:color="000000"/>
            </w:tcBorders>
          </w:tcPr>
          <w:p>
            <w:pPr>
              <w:pStyle w:val="TableParagraph"/>
              <w:spacing w:before="0"/>
              <w:rPr>
                <w:sz w:val="18"/>
              </w:rPr>
            </w:pPr>
          </w:p>
        </w:tc>
        <w:tc>
          <w:tcPr>
            <w:tcW w:w="808" w:type="dxa"/>
            <w:tcBorders>
              <w:left w:val="single" w:sz="4" w:space="0" w:color="000000"/>
              <w:right w:val="single" w:sz="4" w:space="0" w:color="000000"/>
            </w:tcBorders>
          </w:tcPr>
          <w:p>
            <w:pPr>
              <w:pStyle w:val="TableParagraph"/>
              <w:spacing w:before="0"/>
              <w:rPr>
                <w:sz w:val="18"/>
              </w:rPr>
            </w:pPr>
          </w:p>
        </w:tc>
        <w:tc>
          <w:tcPr>
            <w:tcW w:w="354" w:type="dxa"/>
            <w:tcBorders>
              <w:left w:val="single" w:sz="4" w:space="0" w:color="000000"/>
              <w:right w:val="single" w:sz="4" w:space="0" w:color="000000"/>
            </w:tcBorders>
          </w:tcPr>
          <w:p>
            <w:pPr>
              <w:pStyle w:val="TableParagraph"/>
              <w:spacing w:before="0"/>
              <w:rPr>
                <w:sz w:val="18"/>
              </w:rPr>
            </w:pPr>
          </w:p>
        </w:tc>
        <w:tc>
          <w:tcPr>
            <w:tcW w:w="921" w:type="dxa"/>
            <w:tcBorders>
              <w:left w:val="single" w:sz="4" w:space="0" w:color="000000"/>
              <w:right w:val="single" w:sz="4" w:space="0" w:color="000000"/>
            </w:tcBorders>
          </w:tcPr>
          <w:p>
            <w:pPr>
              <w:pStyle w:val="TableParagraph"/>
              <w:spacing w:before="0"/>
              <w:rPr>
                <w:sz w:val="18"/>
              </w:rPr>
            </w:pPr>
          </w:p>
        </w:tc>
        <w:tc>
          <w:tcPr>
            <w:tcW w:w="524" w:type="dxa"/>
            <w:tcBorders>
              <w:left w:val="single" w:sz="4" w:space="0" w:color="000000"/>
              <w:right w:val="single" w:sz="4" w:space="0" w:color="000000"/>
            </w:tcBorders>
          </w:tcPr>
          <w:p>
            <w:pPr>
              <w:pStyle w:val="TableParagraph"/>
              <w:spacing w:before="0"/>
              <w:rPr>
                <w:sz w:val="18"/>
              </w:rPr>
            </w:pPr>
          </w:p>
        </w:tc>
        <w:tc>
          <w:tcPr>
            <w:tcW w:w="637" w:type="dxa"/>
            <w:tcBorders>
              <w:left w:val="single" w:sz="4" w:space="0" w:color="000000"/>
              <w:right w:val="single" w:sz="4" w:space="0" w:color="000000"/>
            </w:tcBorders>
          </w:tcPr>
          <w:p>
            <w:pPr>
              <w:pStyle w:val="TableParagraph"/>
              <w:spacing w:before="0"/>
              <w:rPr>
                <w:sz w:val="18"/>
              </w:rPr>
            </w:pPr>
          </w:p>
        </w:tc>
        <w:tc>
          <w:tcPr>
            <w:tcW w:w="2844" w:type="dxa"/>
            <w:tcBorders>
              <w:left w:val="single" w:sz="4" w:space="0" w:color="000000"/>
            </w:tcBorders>
          </w:tcPr>
          <w:p>
            <w:pPr>
              <w:pStyle w:val="TableParagraph"/>
              <w:spacing w:before="22"/>
              <w:ind w:left="59"/>
              <w:rPr>
                <w:sz w:val="18"/>
              </w:rPr>
            </w:pPr>
            <w:r>
              <w:rPr>
                <w:sz w:val="18"/>
              </w:rPr>
              <w:t>fruit-set</w:t>
            </w:r>
            <w:r>
              <w:rPr>
                <w:spacing w:val="-7"/>
                <w:sz w:val="18"/>
              </w:rPr>
              <w:t> </w:t>
            </w:r>
            <w:r>
              <w:rPr>
                <w:spacing w:val="-2"/>
                <w:sz w:val="18"/>
              </w:rPr>
              <w:t>window</w:t>
            </w:r>
          </w:p>
        </w:tc>
      </w:tr>
      <w:tr>
        <w:trPr>
          <w:trHeight w:val="305" w:hRule="atLeast"/>
        </w:trPr>
        <w:tc>
          <w:tcPr>
            <w:tcW w:w="1371" w:type="dxa"/>
            <w:tcBorders>
              <w:right w:val="single" w:sz="4" w:space="0" w:color="000000"/>
            </w:tcBorders>
          </w:tcPr>
          <w:p>
            <w:pPr>
              <w:pStyle w:val="TableParagraph"/>
              <w:spacing w:before="62"/>
              <w:ind w:left="59"/>
              <w:rPr>
                <w:sz w:val="18"/>
              </w:rPr>
            </w:pPr>
            <w:r>
              <w:rPr>
                <w:spacing w:val="-2"/>
                <w:sz w:val="18"/>
              </w:rPr>
              <w:t>iaf_fl_y1_b20</w:t>
            </w:r>
          </w:p>
        </w:tc>
        <w:tc>
          <w:tcPr>
            <w:tcW w:w="978" w:type="dxa"/>
            <w:tcBorders>
              <w:left w:val="single" w:sz="4" w:space="0" w:color="000000"/>
              <w:right w:val="single" w:sz="4" w:space="0" w:color="000000"/>
            </w:tcBorders>
          </w:tcPr>
          <w:p>
            <w:pPr>
              <w:pStyle w:val="TableParagraph"/>
              <w:spacing w:before="62"/>
              <w:ind w:left="58"/>
              <w:rPr>
                <w:sz w:val="18"/>
              </w:rPr>
            </w:pPr>
            <w:r>
              <w:rPr>
                <w:sz w:val="18"/>
              </w:rPr>
              <w:t>Leaf</w:t>
            </w:r>
            <w:r>
              <w:rPr>
                <w:spacing w:val="36"/>
                <w:sz w:val="18"/>
              </w:rPr>
              <w:t>  </w:t>
            </w:r>
            <w:r>
              <w:rPr>
                <w:spacing w:val="-4"/>
                <w:sz w:val="18"/>
              </w:rPr>
              <w:t>Area</w:t>
            </w:r>
          </w:p>
        </w:tc>
        <w:tc>
          <w:tcPr>
            <w:tcW w:w="808" w:type="dxa"/>
            <w:tcBorders>
              <w:left w:val="single" w:sz="4" w:space="0" w:color="000000"/>
              <w:right w:val="single" w:sz="4" w:space="0" w:color="000000"/>
            </w:tcBorders>
          </w:tcPr>
          <w:p>
            <w:pPr>
              <w:pStyle w:val="TableParagraph"/>
              <w:spacing w:before="62"/>
              <w:ind w:left="58"/>
              <w:rPr>
                <w:sz w:val="18"/>
              </w:rPr>
            </w:pPr>
            <w:r>
              <w:rPr>
                <w:spacing w:val="-2"/>
                <w:sz w:val="18"/>
              </w:rPr>
              <w:t>Flowering</w:t>
            </w:r>
          </w:p>
        </w:tc>
        <w:tc>
          <w:tcPr>
            <w:tcW w:w="354" w:type="dxa"/>
            <w:tcBorders>
              <w:left w:val="single" w:sz="4" w:space="0" w:color="000000"/>
              <w:right w:val="single" w:sz="4" w:space="0" w:color="000000"/>
            </w:tcBorders>
          </w:tcPr>
          <w:p>
            <w:pPr>
              <w:pStyle w:val="TableParagraph"/>
              <w:spacing w:before="62"/>
              <w:ind w:right="46"/>
              <w:jc w:val="center"/>
              <w:rPr>
                <w:sz w:val="18"/>
              </w:rPr>
            </w:pPr>
            <w:r>
              <w:rPr>
                <w:spacing w:val="-5"/>
                <w:sz w:val="18"/>
              </w:rPr>
              <w:t>y1</w:t>
            </w:r>
          </w:p>
        </w:tc>
        <w:tc>
          <w:tcPr>
            <w:tcW w:w="921" w:type="dxa"/>
            <w:tcBorders>
              <w:left w:val="single" w:sz="4" w:space="0" w:color="000000"/>
              <w:right w:val="single" w:sz="4" w:space="0" w:color="000000"/>
            </w:tcBorders>
          </w:tcPr>
          <w:p>
            <w:pPr>
              <w:pStyle w:val="TableParagraph"/>
              <w:spacing w:before="62"/>
              <w:ind w:left="58"/>
              <w:rPr>
                <w:sz w:val="18"/>
              </w:rPr>
            </w:pPr>
            <w:r>
              <w:rPr>
                <w:sz w:val="18"/>
              </w:rPr>
              <w:t>20d</w:t>
            </w:r>
            <w:r>
              <w:rPr>
                <w:spacing w:val="-4"/>
                <w:sz w:val="18"/>
              </w:rPr>
              <w:t> </w:t>
            </w:r>
            <w:r>
              <w:rPr>
                <w:spacing w:val="-2"/>
                <w:sz w:val="18"/>
              </w:rPr>
              <w:t>before</w:t>
            </w:r>
          </w:p>
        </w:tc>
        <w:tc>
          <w:tcPr>
            <w:tcW w:w="524" w:type="dxa"/>
            <w:tcBorders>
              <w:left w:val="single" w:sz="4" w:space="0" w:color="000000"/>
              <w:right w:val="single" w:sz="4" w:space="0" w:color="000000"/>
            </w:tcBorders>
          </w:tcPr>
          <w:p>
            <w:pPr>
              <w:pStyle w:val="TableParagraph"/>
              <w:spacing w:before="29"/>
              <w:ind w:left="58" w:right="-29"/>
              <w:rPr>
                <w:position w:val="7"/>
                <w:sz w:val="14"/>
              </w:rPr>
            </w:pPr>
            <w:r>
              <w:rPr>
                <w:spacing w:val="-2"/>
                <w:sz w:val="18"/>
              </w:rPr>
              <w:t>m</w:t>
            </w:r>
            <w:r>
              <w:rPr>
                <w:spacing w:val="-2"/>
                <w:position w:val="7"/>
                <w:sz w:val="14"/>
              </w:rPr>
              <w:t>2</w:t>
            </w:r>
            <w:r>
              <w:rPr>
                <w:spacing w:val="-2"/>
                <w:sz w:val="18"/>
              </w:rPr>
              <w:t>/m</w:t>
            </w:r>
            <w:r>
              <w:rPr>
                <w:spacing w:val="-2"/>
                <w:position w:val="7"/>
                <w:sz w:val="14"/>
              </w:rPr>
              <w:t>2</w:t>
            </w:r>
          </w:p>
        </w:tc>
        <w:tc>
          <w:tcPr>
            <w:tcW w:w="637" w:type="dxa"/>
            <w:tcBorders>
              <w:left w:val="single" w:sz="4" w:space="0" w:color="000000"/>
              <w:right w:val="single" w:sz="4" w:space="0" w:color="000000"/>
            </w:tcBorders>
          </w:tcPr>
          <w:p>
            <w:pPr>
              <w:pStyle w:val="TableParagraph"/>
              <w:spacing w:before="62"/>
              <w:ind w:left="59" w:right="-15"/>
              <w:jc w:val="center"/>
              <w:rPr>
                <w:sz w:val="18"/>
              </w:rPr>
            </w:pPr>
            <w:r>
              <w:rPr>
                <w:spacing w:val="-7"/>
                <w:sz w:val="18"/>
              </w:rPr>
              <w:t>Average</w:t>
            </w:r>
          </w:p>
        </w:tc>
        <w:tc>
          <w:tcPr>
            <w:tcW w:w="2844" w:type="dxa"/>
            <w:tcBorders>
              <w:left w:val="single" w:sz="4" w:space="0" w:color="000000"/>
            </w:tcBorders>
          </w:tcPr>
          <w:p>
            <w:pPr>
              <w:pStyle w:val="TableParagraph"/>
              <w:spacing w:before="62"/>
              <w:ind w:left="59"/>
              <w:rPr>
                <w:sz w:val="18"/>
              </w:rPr>
            </w:pPr>
            <w:r>
              <w:rPr>
                <w:sz w:val="18"/>
              </w:rPr>
              <w:t>Broader</w:t>
            </w:r>
            <w:r>
              <w:rPr>
                <w:spacing w:val="35"/>
                <w:sz w:val="18"/>
              </w:rPr>
              <w:t> </w:t>
            </w:r>
            <w:r>
              <w:rPr>
                <w:sz w:val="18"/>
              </w:rPr>
              <w:t>pre-flowering</w:t>
            </w:r>
            <w:r>
              <w:rPr>
                <w:spacing w:val="35"/>
                <w:sz w:val="18"/>
              </w:rPr>
              <w:t> </w:t>
            </w:r>
            <w:r>
              <w:rPr>
                <w:sz w:val="18"/>
              </w:rPr>
              <w:t>LAI</w:t>
            </w:r>
            <w:r>
              <w:rPr>
                <w:spacing w:val="35"/>
                <w:sz w:val="18"/>
              </w:rPr>
              <w:t> </w:t>
            </w:r>
            <w:r>
              <w:rPr>
                <w:spacing w:val="-2"/>
                <w:sz w:val="18"/>
              </w:rPr>
              <w:t>window,</w:t>
            </w:r>
          </w:p>
        </w:tc>
      </w:tr>
      <w:tr>
        <w:trPr>
          <w:trHeight w:val="265" w:hRule="atLeast"/>
        </w:trPr>
        <w:tc>
          <w:tcPr>
            <w:tcW w:w="1371" w:type="dxa"/>
            <w:tcBorders>
              <w:right w:val="single" w:sz="4" w:space="0" w:color="000000"/>
            </w:tcBorders>
          </w:tcPr>
          <w:p>
            <w:pPr>
              <w:pStyle w:val="TableParagraph"/>
              <w:spacing w:before="0"/>
              <w:rPr>
                <w:sz w:val="18"/>
              </w:rPr>
            </w:pPr>
          </w:p>
        </w:tc>
        <w:tc>
          <w:tcPr>
            <w:tcW w:w="978" w:type="dxa"/>
            <w:tcBorders>
              <w:left w:val="single" w:sz="4" w:space="0" w:color="000000"/>
              <w:right w:val="single" w:sz="4" w:space="0" w:color="000000"/>
            </w:tcBorders>
          </w:tcPr>
          <w:p>
            <w:pPr>
              <w:pStyle w:val="TableParagraph"/>
              <w:spacing w:before="22"/>
              <w:ind w:left="58"/>
              <w:rPr>
                <w:sz w:val="18"/>
              </w:rPr>
            </w:pPr>
            <w:r>
              <w:rPr>
                <w:spacing w:val="-2"/>
                <w:sz w:val="18"/>
              </w:rPr>
              <w:t>Index</w:t>
            </w:r>
          </w:p>
        </w:tc>
        <w:tc>
          <w:tcPr>
            <w:tcW w:w="808" w:type="dxa"/>
            <w:tcBorders>
              <w:left w:val="single" w:sz="4" w:space="0" w:color="000000"/>
              <w:right w:val="single" w:sz="4" w:space="0" w:color="000000"/>
            </w:tcBorders>
          </w:tcPr>
          <w:p>
            <w:pPr>
              <w:pStyle w:val="TableParagraph"/>
              <w:spacing w:before="0"/>
              <w:rPr>
                <w:sz w:val="18"/>
              </w:rPr>
            </w:pPr>
          </w:p>
        </w:tc>
        <w:tc>
          <w:tcPr>
            <w:tcW w:w="354" w:type="dxa"/>
            <w:tcBorders>
              <w:left w:val="single" w:sz="4" w:space="0" w:color="000000"/>
              <w:right w:val="single" w:sz="4" w:space="0" w:color="000000"/>
            </w:tcBorders>
          </w:tcPr>
          <w:p>
            <w:pPr>
              <w:pStyle w:val="TableParagraph"/>
              <w:spacing w:before="0"/>
              <w:rPr>
                <w:sz w:val="18"/>
              </w:rPr>
            </w:pPr>
          </w:p>
        </w:tc>
        <w:tc>
          <w:tcPr>
            <w:tcW w:w="921" w:type="dxa"/>
            <w:tcBorders>
              <w:left w:val="single" w:sz="4" w:space="0" w:color="000000"/>
              <w:right w:val="single" w:sz="4" w:space="0" w:color="000000"/>
            </w:tcBorders>
          </w:tcPr>
          <w:p>
            <w:pPr>
              <w:pStyle w:val="TableParagraph"/>
              <w:spacing w:before="0"/>
              <w:rPr>
                <w:sz w:val="18"/>
              </w:rPr>
            </w:pPr>
          </w:p>
        </w:tc>
        <w:tc>
          <w:tcPr>
            <w:tcW w:w="524" w:type="dxa"/>
            <w:tcBorders>
              <w:left w:val="single" w:sz="4" w:space="0" w:color="000000"/>
              <w:right w:val="single" w:sz="4" w:space="0" w:color="000000"/>
            </w:tcBorders>
          </w:tcPr>
          <w:p>
            <w:pPr>
              <w:pStyle w:val="TableParagraph"/>
              <w:spacing w:before="0"/>
              <w:rPr>
                <w:sz w:val="18"/>
              </w:rPr>
            </w:pPr>
          </w:p>
        </w:tc>
        <w:tc>
          <w:tcPr>
            <w:tcW w:w="637" w:type="dxa"/>
            <w:tcBorders>
              <w:left w:val="single" w:sz="4" w:space="0" w:color="000000"/>
              <w:right w:val="single" w:sz="4" w:space="0" w:color="000000"/>
            </w:tcBorders>
          </w:tcPr>
          <w:p>
            <w:pPr>
              <w:pStyle w:val="TableParagraph"/>
              <w:spacing w:before="0"/>
              <w:rPr>
                <w:sz w:val="18"/>
              </w:rPr>
            </w:pPr>
          </w:p>
        </w:tc>
        <w:tc>
          <w:tcPr>
            <w:tcW w:w="2844" w:type="dxa"/>
            <w:tcBorders>
              <w:left w:val="single" w:sz="4" w:space="0" w:color="000000"/>
            </w:tcBorders>
          </w:tcPr>
          <w:p>
            <w:pPr>
              <w:pStyle w:val="TableParagraph"/>
              <w:spacing w:before="22"/>
              <w:ind w:left="59"/>
              <w:rPr>
                <w:sz w:val="18"/>
              </w:rPr>
            </w:pPr>
            <w:r>
              <w:rPr>
                <w:sz w:val="18"/>
              </w:rPr>
              <w:t>canopy</w:t>
            </w:r>
            <w:r>
              <w:rPr>
                <w:spacing w:val="-11"/>
                <w:sz w:val="18"/>
              </w:rPr>
              <w:t> </w:t>
            </w:r>
            <w:r>
              <w:rPr>
                <w:sz w:val="18"/>
              </w:rPr>
              <w:t>development</w:t>
            </w:r>
            <w:r>
              <w:rPr>
                <w:spacing w:val="-10"/>
                <w:sz w:val="18"/>
              </w:rPr>
              <w:t> </w:t>
            </w:r>
            <w:r>
              <w:rPr>
                <w:sz w:val="18"/>
              </w:rPr>
              <w:t>trajectory</w:t>
            </w:r>
            <w:r>
              <w:rPr>
                <w:spacing w:val="-11"/>
                <w:sz w:val="18"/>
              </w:rPr>
              <w:t> </w:t>
            </w:r>
            <w:r>
              <w:rPr>
                <w:spacing w:val="-2"/>
                <w:sz w:val="18"/>
              </w:rPr>
              <w:t>before</w:t>
            </w:r>
          </w:p>
        </w:tc>
      </w:tr>
      <w:tr>
        <w:trPr>
          <w:trHeight w:val="305" w:hRule="atLeast"/>
        </w:trPr>
        <w:tc>
          <w:tcPr>
            <w:tcW w:w="1371" w:type="dxa"/>
            <w:tcBorders>
              <w:right w:val="single" w:sz="4" w:space="0" w:color="000000"/>
            </w:tcBorders>
          </w:tcPr>
          <w:p>
            <w:pPr>
              <w:pStyle w:val="TableParagraph"/>
              <w:spacing w:before="0"/>
              <w:rPr>
                <w:sz w:val="18"/>
              </w:rPr>
            </w:pPr>
          </w:p>
        </w:tc>
        <w:tc>
          <w:tcPr>
            <w:tcW w:w="978" w:type="dxa"/>
            <w:tcBorders>
              <w:left w:val="single" w:sz="4" w:space="0" w:color="000000"/>
              <w:right w:val="single" w:sz="4" w:space="0" w:color="000000"/>
            </w:tcBorders>
          </w:tcPr>
          <w:p>
            <w:pPr>
              <w:pStyle w:val="TableParagraph"/>
              <w:spacing w:before="0"/>
              <w:rPr>
                <w:sz w:val="18"/>
              </w:rPr>
            </w:pPr>
          </w:p>
        </w:tc>
        <w:tc>
          <w:tcPr>
            <w:tcW w:w="808" w:type="dxa"/>
            <w:tcBorders>
              <w:left w:val="single" w:sz="4" w:space="0" w:color="000000"/>
              <w:right w:val="single" w:sz="4" w:space="0" w:color="000000"/>
            </w:tcBorders>
          </w:tcPr>
          <w:p>
            <w:pPr>
              <w:pStyle w:val="TableParagraph"/>
              <w:spacing w:before="0"/>
              <w:rPr>
                <w:sz w:val="18"/>
              </w:rPr>
            </w:pPr>
          </w:p>
        </w:tc>
        <w:tc>
          <w:tcPr>
            <w:tcW w:w="354" w:type="dxa"/>
            <w:tcBorders>
              <w:left w:val="single" w:sz="4" w:space="0" w:color="000000"/>
              <w:right w:val="single" w:sz="4" w:space="0" w:color="000000"/>
            </w:tcBorders>
          </w:tcPr>
          <w:p>
            <w:pPr>
              <w:pStyle w:val="TableParagraph"/>
              <w:spacing w:before="0"/>
              <w:rPr>
                <w:sz w:val="18"/>
              </w:rPr>
            </w:pPr>
          </w:p>
        </w:tc>
        <w:tc>
          <w:tcPr>
            <w:tcW w:w="921" w:type="dxa"/>
            <w:tcBorders>
              <w:left w:val="single" w:sz="4" w:space="0" w:color="000000"/>
              <w:right w:val="single" w:sz="4" w:space="0" w:color="000000"/>
            </w:tcBorders>
          </w:tcPr>
          <w:p>
            <w:pPr>
              <w:pStyle w:val="TableParagraph"/>
              <w:spacing w:before="0"/>
              <w:rPr>
                <w:sz w:val="18"/>
              </w:rPr>
            </w:pPr>
          </w:p>
        </w:tc>
        <w:tc>
          <w:tcPr>
            <w:tcW w:w="524" w:type="dxa"/>
            <w:tcBorders>
              <w:left w:val="single" w:sz="4" w:space="0" w:color="000000"/>
              <w:right w:val="single" w:sz="4" w:space="0" w:color="000000"/>
            </w:tcBorders>
          </w:tcPr>
          <w:p>
            <w:pPr>
              <w:pStyle w:val="TableParagraph"/>
              <w:spacing w:before="0"/>
              <w:rPr>
                <w:sz w:val="18"/>
              </w:rPr>
            </w:pPr>
          </w:p>
        </w:tc>
        <w:tc>
          <w:tcPr>
            <w:tcW w:w="637" w:type="dxa"/>
            <w:tcBorders>
              <w:left w:val="single" w:sz="4" w:space="0" w:color="000000"/>
              <w:right w:val="single" w:sz="4" w:space="0" w:color="000000"/>
            </w:tcBorders>
          </w:tcPr>
          <w:p>
            <w:pPr>
              <w:pStyle w:val="TableParagraph"/>
              <w:spacing w:before="0"/>
              <w:rPr>
                <w:sz w:val="18"/>
              </w:rPr>
            </w:pPr>
          </w:p>
        </w:tc>
        <w:tc>
          <w:tcPr>
            <w:tcW w:w="2844" w:type="dxa"/>
            <w:tcBorders>
              <w:left w:val="single" w:sz="4" w:space="0" w:color="000000"/>
            </w:tcBorders>
          </w:tcPr>
          <w:p>
            <w:pPr>
              <w:pStyle w:val="TableParagraph"/>
              <w:spacing w:before="22"/>
              <w:ind w:left="59"/>
              <w:rPr>
                <w:sz w:val="18"/>
              </w:rPr>
            </w:pPr>
            <w:r>
              <w:rPr>
                <w:spacing w:val="-2"/>
                <w:sz w:val="18"/>
              </w:rPr>
              <w:t>flowering</w:t>
            </w:r>
          </w:p>
        </w:tc>
      </w:tr>
      <w:tr>
        <w:trPr>
          <w:trHeight w:val="305" w:hRule="atLeast"/>
        </w:trPr>
        <w:tc>
          <w:tcPr>
            <w:tcW w:w="1371" w:type="dxa"/>
            <w:tcBorders>
              <w:right w:val="single" w:sz="4" w:space="0" w:color="000000"/>
            </w:tcBorders>
          </w:tcPr>
          <w:p>
            <w:pPr>
              <w:pStyle w:val="TableParagraph"/>
              <w:spacing w:before="62"/>
              <w:ind w:left="59"/>
              <w:rPr>
                <w:sz w:val="18"/>
              </w:rPr>
            </w:pPr>
            <w:r>
              <w:rPr>
                <w:spacing w:val="-2"/>
                <w:sz w:val="18"/>
              </w:rPr>
              <w:t>iaf_fl_y1_b30</w:t>
            </w:r>
          </w:p>
        </w:tc>
        <w:tc>
          <w:tcPr>
            <w:tcW w:w="978" w:type="dxa"/>
            <w:tcBorders>
              <w:left w:val="single" w:sz="4" w:space="0" w:color="000000"/>
              <w:right w:val="single" w:sz="4" w:space="0" w:color="000000"/>
            </w:tcBorders>
          </w:tcPr>
          <w:p>
            <w:pPr>
              <w:pStyle w:val="TableParagraph"/>
              <w:spacing w:before="62"/>
              <w:ind w:left="58"/>
              <w:rPr>
                <w:sz w:val="18"/>
              </w:rPr>
            </w:pPr>
            <w:r>
              <w:rPr>
                <w:sz w:val="18"/>
              </w:rPr>
              <w:t>Leaf</w:t>
            </w:r>
            <w:r>
              <w:rPr>
                <w:spacing w:val="36"/>
                <w:sz w:val="18"/>
              </w:rPr>
              <w:t>  </w:t>
            </w:r>
            <w:r>
              <w:rPr>
                <w:spacing w:val="-4"/>
                <w:sz w:val="18"/>
              </w:rPr>
              <w:t>Area</w:t>
            </w:r>
          </w:p>
        </w:tc>
        <w:tc>
          <w:tcPr>
            <w:tcW w:w="808" w:type="dxa"/>
            <w:tcBorders>
              <w:left w:val="single" w:sz="4" w:space="0" w:color="000000"/>
              <w:right w:val="single" w:sz="4" w:space="0" w:color="000000"/>
            </w:tcBorders>
          </w:tcPr>
          <w:p>
            <w:pPr>
              <w:pStyle w:val="TableParagraph"/>
              <w:spacing w:before="62"/>
              <w:ind w:left="58"/>
              <w:rPr>
                <w:sz w:val="18"/>
              </w:rPr>
            </w:pPr>
            <w:r>
              <w:rPr>
                <w:spacing w:val="-2"/>
                <w:sz w:val="18"/>
              </w:rPr>
              <w:t>Flowering</w:t>
            </w:r>
          </w:p>
        </w:tc>
        <w:tc>
          <w:tcPr>
            <w:tcW w:w="354" w:type="dxa"/>
            <w:tcBorders>
              <w:left w:val="single" w:sz="4" w:space="0" w:color="000000"/>
              <w:right w:val="single" w:sz="4" w:space="0" w:color="000000"/>
            </w:tcBorders>
          </w:tcPr>
          <w:p>
            <w:pPr>
              <w:pStyle w:val="TableParagraph"/>
              <w:spacing w:before="62"/>
              <w:ind w:right="46"/>
              <w:jc w:val="center"/>
              <w:rPr>
                <w:sz w:val="18"/>
              </w:rPr>
            </w:pPr>
            <w:r>
              <w:rPr>
                <w:spacing w:val="-5"/>
                <w:sz w:val="18"/>
              </w:rPr>
              <w:t>y1</w:t>
            </w:r>
          </w:p>
        </w:tc>
        <w:tc>
          <w:tcPr>
            <w:tcW w:w="921" w:type="dxa"/>
            <w:tcBorders>
              <w:left w:val="single" w:sz="4" w:space="0" w:color="000000"/>
              <w:right w:val="single" w:sz="4" w:space="0" w:color="000000"/>
            </w:tcBorders>
          </w:tcPr>
          <w:p>
            <w:pPr>
              <w:pStyle w:val="TableParagraph"/>
              <w:spacing w:before="62"/>
              <w:ind w:left="58"/>
              <w:rPr>
                <w:sz w:val="18"/>
              </w:rPr>
            </w:pPr>
            <w:r>
              <w:rPr>
                <w:sz w:val="18"/>
              </w:rPr>
              <w:t>30d</w:t>
            </w:r>
            <w:r>
              <w:rPr>
                <w:spacing w:val="-4"/>
                <w:sz w:val="18"/>
              </w:rPr>
              <w:t> </w:t>
            </w:r>
            <w:r>
              <w:rPr>
                <w:spacing w:val="-2"/>
                <w:sz w:val="18"/>
              </w:rPr>
              <w:t>before</w:t>
            </w:r>
          </w:p>
        </w:tc>
        <w:tc>
          <w:tcPr>
            <w:tcW w:w="524" w:type="dxa"/>
            <w:tcBorders>
              <w:left w:val="single" w:sz="4" w:space="0" w:color="000000"/>
              <w:right w:val="single" w:sz="4" w:space="0" w:color="000000"/>
            </w:tcBorders>
          </w:tcPr>
          <w:p>
            <w:pPr>
              <w:pStyle w:val="TableParagraph"/>
              <w:spacing w:before="29"/>
              <w:ind w:left="58" w:right="-29"/>
              <w:rPr>
                <w:position w:val="7"/>
                <w:sz w:val="14"/>
              </w:rPr>
            </w:pPr>
            <w:r>
              <w:rPr>
                <w:spacing w:val="-2"/>
                <w:sz w:val="18"/>
              </w:rPr>
              <w:t>m</w:t>
            </w:r>
            <w:r>
              <w:rPr>
                <w:spacing w:val="-2"/>
                <w:position w:val="7"/>
                <w:sz w:val="14"/>
              </w:rPr>
              <w:t>2</w:t>
            </w:r>
            <w:r>
              <w:rPr>
                <w:spacing w:val="-2"/>
                <w:sz w:val="18"/>
              </w:rPr>
              <w:t>/m</w:t>
            </w:r>
            <w:r>
              <w:rPr>
                <w:spacing w:val="-2"/>
                <w:position w:val="7"/>
                <w:sz w:val="14"/>
              </w:rPr>
              <w:t>2</w:t>
            </w:r>
          </w:p>
        </w:tc>
        <w:tc>
          <w:tcPr>
            <w:tcW w:w="637" w:type="dxa"/>
            <w:tcBorders>
              <w:left w:val="single" w:sz="4" w:space="0" w:color="000000"/>
              <w:right w:val="single" w:sz="4" w:space="0" w:color="000000"/>
            </w:tcBorders>
          </w:tcPr>
          <w:p>
            <w:pPr>
              <w:pStyle w:val="TableParagraph"/>
              <w:spacing w:before="62"/>
              <w:ind w:left="59" w:right="-15"/>
              <w:jc w:val="center"/>
              <w:rPr>
                <w:sz w:val="18"/>
              </w:rPr>
            </w:pPr>
            <w:r>
              <w:rPr>
                <w:spacing w:val="-7"/>
                <w:sz w:val="18"/>
              </w:rPr>
              <w:t>Average</w:t>
            </w:r>
          </w:p>
        </w:tc>
        <w:tc>
          <w:tcPr>
            <w:tcW w:w="2844" w:type="dxa"/>
            <w:tcBorders>
              <w:left w:val="single" w:sz="4" w:space="0" w:color="000000"/>
            </w:tcBorders>
          </w:tcPr>
          <w:p>
            <w:pPr>
              <w:pStyle w:val="TableParagraph"/>
              <w:spacing w:before="62"/>
              <w:ind w:left="59"/>
              <w:rPr>
                <w:sz w:val="18"/>
              </w:rPr>
            </w:pPr>
            <w:r>
              <w:rPr>
                <w:spacing w:val="-4"/>
                <w:sz w:val="18"/>
              </w:rPr>
              <w:t>Early</w:t>
            </w:r>
            <w:r>
              <w:rPr>
                <w:spacing w:val="-1"/>
                <w:sz w:val="18"/>
              </w:rPr>
              <w:t> </w:t>
            </w:r>
            <w:r>
              <w:rPr>
                <w:spacing w:val="-4"/>
                <w:sz w:val="18"/>
              </w:rPr>
              <w:t>pre-flowering</w:t>
            </w:r>
            <w:r>
              <w:rPr>
                <w:spacing w:val="-1"/>
                <w:sz w:val="18"/>
              </w:rPr>
              <w:t> </w:t>
            </w:r>
            <w:r>
              <w:rPr>
                <w:spacing w:val="-4"/>
                <w:sz w:val="18"/>
              </w:rPr>
              <w:t>canopy,</w:t>
            </w:r>
            <w:r>
              <w:rPr>
                <w:sz w:val="18"/>
              </w:rPr>
              <w:t> </w:t>
            </w:r>
            <w:r>
              <w:rPr>
                <w:spacing w:val="-4"/>
                <w:sz w:val="18"/>
              </w:rPr>
              <w:t>wider</w:t>
            </w:r>
            <w:r>
              <w:rPr>
                <w:spacing w:val="-1"/>
                <w:sz w:val="18"/>
              </w:rPr>
              <w:t> </w:t>
            </w:r>
            <w:r>
              <w:rPr>
                <w:spacing w:val="-4"/>
                <w:sz w:val="18"/>
              </w:rPr>
              <w:t>win-</w:t>
            </w:r>
          </w:p>
        </w:tc>
      </w:tr>
      <w:tr>
        <w:trPr>
          <w:trHeight w:val="305" w:hRule="atLeast"/>
        </w:trPr>
        <w:tc>
          <w:tcPr>
            <w:tcW w:w="1371" w:type="dxa"/>
            <w:tcBorders>
              <w:right w:val="single" w:sz="4" w:space="0" w:color="000000"/>
            </w:tcBorders>
          </w:tcPr>
          <w:p>
            <w:pPr>
              <w:pStyle w:val="TableParagraph"/>
              <w:spacing w:before="0"/>
              <w:rPr>
                <w:sz w:val="18"/>
              </w:rPr>
            </w:pPr>
          </w:p>
        </w:tc>
        <w:tc>
          <w:tcPr>
            <w:tcW w:w="978" w:type="dxa"/>
            <w:tcBorders>
              <w:left w:val="single" w:sz="4" w:space="0" w:color="000000"/>
              <w:right w:val="single" w:sz="4" w:space="0" w:color="000000"/>
            </w:tcBorders>
          </w:tcPr>
          <w:p>
            <w:pPr>
              <w:pStyle w:val="TableParagraph"/>
              <w:spacing w:before="22"/>
              <w:ind w:left="58"/>
              <w:rPr>
                <w:sz w:val="18"/>
              </w:rPr>
            </w:pPr>
            <w:r>
              <w:rPr>
                <w:spacing w:val="-2"/>
                <w:sz w:val="18"/>
              </w:rPr>
              <w:t>Index</w:t>
            </w:r>
          </w:p>
        </w:tc>
        <w:tc>
          <w:tcPr>
            <w:tcW w:w="808" w:type="dxa"/>
            <w:tcBorders>
              <w:left w:val="single" w:sz="4" w:space="0" w:color="000000"/>
              <w:right w:val="single" w:sz="4" w:space="0" w:color="000000"/>
            </w:tcBorders>
          </w:tcPr>
          <w:p>
            <w:pPr>
              <w:pStyle w:val="TableParagraph"/>
              <w:spacing w:before="0"/>
              <w:rPr>
                <w:sz w:val="18"/>
              </w:rPr>
            </w:pPr>
          </w:p>
        </w:tc>
        <w:tc>
          <w:tcPr>
            <w:tcW w:w="354" w:type="dxa"/>
            <w:tcBorders>
              <w:left w:val="single" w:sz="4" w:space="0" w:color="000000"/>
              <w:right w:val="single" w:sz="4" w:space="0" w:color="000000"/>
            </w:tcBorders>
          </w:tcPr>
          <w:p>
            <w:pPr>
              <w:pStyle w:val="TableParagraph"/>
              <w:spacing w:before="0"/>
              <w:rPr>
                <w:sz w:val="18"/>
              </w:rPr>
            </w:pPr>
          </w:p>
        </w:tc>
        <w:tc>
          <w:tcPr>
            <w:tcW w:w="921" w:type="dxa"/>
            <w:tcBorders>
              <w:left w:val="single" w:sz="4" w:space="0" w:color="000000"/>
              <w:right w:val="single" w:sz="4" w:space="0" w:color="000000"/>
            </w:tcBorders>
          </w:tcPr>
          <w:p>
            <w:pPr>
              <w:pStyle w:val="TableParagraph"/>
              <w:spacing w:before="0"/>
              <w:rPr>
                <w:sz w:val="18"/>
              </w:rPr>
            </w:pPr>
          </w:p>
        </w:tc>
        <w:tc>
          <w:tcPr>
            <w:tcW w:w="524" w:type="dxa"/>
            <w:tcBorders>
              <w:left w:val="single" w:sz="4" w:space="0" w:color="000000"/>
              <w:right w:val="single" w:sz="4" w:space="0" w:color="000000"/>
            </w:tcBorders>
          </w:tcPr>
          <w:p>
            <w:pPr>
              <w:pStyle w:val="TableParagraph"/>
              <w:spacing w:before="0"/>
              <w:rPr>
                <w:sz w:val="18"/>
              </w:rPr>
            </w:pPr>
          </w:p>
        </w:tc>
        <w:tc>
          <w:tcPr>
            <w:tcW w:w="637" w:type="dxa"/>
            <w:tcBorders>
              <w:left w:val="single" w:sz="4" w:space="0" w:color="000000"/>
              <w:right w:val="single" w:sz="4" w:space="0" w:color="000000"/>
            </w:tcBorders>
          </w:tcPr>
          <w:p>
            <w:pPr>
              <w:pStyle w:val="TableParagraph"/>
              <w:spacing w:before="0"/>
              <w:rPr>
                <w:sz w:val="18"/>
              </w:rPr>
            </w:pPr>
          </w:p>
        </w:tc>
        <w:tc>
          <w:tcPr>
            <w:tcW w:w="2844" w:type="dxa"/>
            <w:tcBorders>
              <w:left w:val="single" w:sz="4" w:space="0" w:color="000000"/>
            </w:tcBorders>
          </w:tcPr>
          <w:p>
            <w:pPr>
              <w:pStyle w:val="TableParagraph"/>
              <w:spacing w:before="22"/>
              <w:ind w:left="59"/>
              <w:rPr>
                <w:sz w:val="18"/>
              </w:rPr>
            </w:pPr>
            <w:r>
              <w:rPr>
                <w:sz w:val="18"/>
              </w:rPr>
              <w:t>dow</w:t>
            </w:r>
            <w:r>
              <w:rPr>
                <w:spacing w:val="-10"/>
                <w:sz w:val="18"/>
              </w:rPr>
              <w:t> </w:t>
            </w:r>
            <w:r>
              <w:rPr>
                <w:sz w:val="18"/>
              </w:rPr>
              <w:t>capturing</w:t>
            </w:r>
            <w:r>
              <w:rPr>
                <w:spacing w:val="-9"/>
                <w:sz w:val="18"/>
              </w:rPr>
              <w:t> </w:t>
            </w:r>
            <w:r>
              <w:rPr>
                <w:sz w:val="18"/>
              </w:rPr>
              <w:t>canopy</w:t>
            </w:r>
            <w:r>
              <w:rPr>
                <w:spacing w:val="-9"/>
                <w:sz w:val="18"/>
              </w:rPr>
              <w:t> </w:t>
            </w:r>
            <w:r>
              <w:rPr>
                <w:sz w:val="18"/>
              </w:rPr>
              <w:t>build-up</w:t>
            </w:r>
            <w:r>
              <w:rPr>
                <w:spacing w:val="-9"/>
                <w:sz w:val="18"/>
              </w:rPr>
              <w:t> </w:t>
            </w:r>
            <w:r>
              <w:rPr>
                <w:spacing w:val="-2"/>
                <w:sz w:val="18"/>
              </w:rPr>
              <w:t>phase</w:t>
            </w:r>
          </w:p>
        </w:tc>
      </w:tr>
      <w:tr>
        <w:trPr>
          <w:trHeight w:val="305" w:hRule="atLeast"/>
        </w:trPr>
        <w:tc>
          <w:tcPr>
            <w:tcW w:w="1371" w:type="dxa"/>
            <w:tcBorders>
              <w:right w:val="single" w:sz="4" w:space="0" w:color="000000"/>
            </w:tcBorders>
          </w:tcPr>
          <w:p>
            <w:pPr>
              <w:pStyle w:val="TableParagraph"/>
              <w:spacing w:before="62"/>
              <w:ind w:left="59"/>
              <w:rPr>
                <w:sz w:val="18"/>
              </w:rPr>
            </w:pPr>
            <w:r>
              <w:rPr>
                <w:spacing w:val="-2"/>
                <w:sz w:val="18"/>
              </w:rPr>
              <w:t>iaf_fl_y1_a10</w:t>
            </w:r>
          </w:p>
        </w:tc>
        <w:tc>
          <w:tcPr>
            <w:tcW w:w="978" w:type="dxa"/>
            <w:tcBorders>
              <w:left w:val="single" w:sz="4" w:space="0" w:color="000000"/>
              <w:right w:val="single" w:sz="4" w:space="0" w:color="000000"/>
            </w:tcBorders>
          </w:tcPr>
          <w:p>
            <w:pPr>
              <w:pStyle w:val="TableParagraph"/>
              <w:spacing w:before="62"/>
              <w:ind w:left="58"/>
              <w:rPr>
                <w:sz w:val="18"/>
              </w:rPr>
            </w:pPr>
            <w:r>
              <w:rPr>
                <w:sz w:val="18"/>
              </w:rPr>
              <w:t>Leaf</w:t>
            </w:r>
            <w:r>
              <w:rPr>
                <w:spacing w:val="36"/>
                <w:sz w:val="18"/>
              </w:rPr>
              <w:t>  </w:t>
            </w:r>
            <w:r>
              <w:rPr>
                <w:spacing w:val="-4"/>
                <w:sz w:val="18"/>
              </w:rPr>
              <w:t>Area</w:t>
            </w:r>
          </w:p>
        </w:tc>
        <w:tc>
          <w:tcPr>
            <w:tcW w:w="808" w:type="dxa"/>
            <w:tcBorders>
              <w:left w:val="single" w:sz="4" w:space="0" w:color="000000"/>
              <w:right w:val="single" w:sz="4" w:space="0" w:color="000000"/>
            </w:tcBorders>
          </w:tcPr>
          <w:p>
            <w:pPr>
              <w:pStyle w:val="TableParagraph"/>
              <w:spacing w:before="62"/>
              <w:ind w:left="58"/>
              <w:rPr>
                <w:sz w:val="18"/>
              </w:rPr>
            </w:pPr>
            <w:r>
              <w:rPr>
                <w:spacing w:val="-2"/>
                <w:sz w:val="18"/>
              </w:rPr>
              <w:t>Flowering</w:t>
            </w:r>
          </w:p>
        </w:tc>
        <w:tc>
          <w:tcPr>
            <w:tcW w:w="354" w:type="dxa"/>
            <w:tcBorders>
              <w:left w:val="single" w:sz="4" w:space="0" w:color="000000"/>
              <w:right w:val="single" w:sz="4" w:space="0" w:color="000000"/>
            </w:tcBorders>
          </w:tcPr>
          <w:p>
            <w:pPr>
              <w:pStyle w:val="TableParagraph"/>
              <w:spacing w:before="62"/>
              <w:ind w:right="46"/>
              <w:jc w:val="center"/>
              <w:rPr>
                <w:sz w:val="18"/>
              </w:rPr>
            </w:pPr>
            <w:r>
              <w:rPr>
                <w:spacing w:val="-5"/>
                <w:sz w:val="18"/>
              </w:rPr>
              <w:t>y1</w:t>
            </w:r>
          </w:p>
        </w:tc>
        <w:tc>
          <w:tcPr>
            <w:tcW w:w="921" w:type="dxa"/>
            <w:tcBorders>
              <w:left w:val="single" w:sz="4" w:space="0" w:color="000000"/>
              <w:right w:val="single" w:sz="4" w:space="0" w:color="000000"/>
            </w:tcBorders>
          </w:tcPr>
          <w:p>
            <w:pPr>
              <w:pStyle w:val="TableParagraph"/>
              <w:spacing w:before="62"/>
              <w:ind w:left="58"/>
              <w:rPr>
                <w:sz w:val="18"/>
              </w:rPr>
            </w:pPr>
            <w:r>
              <w:rPr>
                <w:sz w:val="18"/>
              </w:rPr>
              <w:t>10d</w:t>
            </w:r>
            <w:r>
              <w:rPr>
                <w:spacing w:val="-4"/>
                <w:sz w:val="18"/>
              </w:rPr>
              <w:t> after</w:t>
            </w:r>
          </w:p>
        </w:tc>
        <w:tc>
          <w:tcPr>
            <w:tcW w:w="524" w:type="dxa"/>
            <w:tcBorders>
              <w:left w:val="single" w:sz="4" w:space="0" w:color="000000"/>
              <w:right w:val="single" w:sz="4" w:space="0" w:color="000000"/>
            </w:tcBorders>
          </w:tcPr>
          <w:p>
            <w:pPr>
              <w:pStyle w:val="TableParagraph"/>
              <w:spacing w:before="29"/>
              <w:ind w:left="58" w:right="-29"/>
              <w:rPr>
                <w:position w:val="7"/>
                <w:sz w:val="14"/>
              </w:rPr>
            </w:pPr>
            <w:r>
              <w:rPr>
                <w:spacing w:val="-2"/>
                <w:sz w:val="18"/>
              </w:rPr>
              <w:t>m</w:t>
            </w:r>
            <w:r>
              <w:rPr>
                <w:spacing w:val="-2"/>
                <w:position w:val="7"/>
                <w:sz w:val="14"/>
              </w:rPr>
              <w:t>2</w:t>
            </w:r>
            <w:r>
              <w:rPr>
                <w:spacing w:val="-2"/>
                <w:sz w:val="18"/>
              </w:rPr>
              <w:t>/m</w:t>
            </w:r>
            <w:r>
              <w:rPr>
                <w:spacing w:val="-2"/>
                <w:position w:val="7"/>
                <w:sz w:val="14"/>
              </w:rPr>
              <w:t>2</w:t>
            </w:r>
          </w:p>
        </w:tc>
        <w:tc>
          <w:tcPr>
            <w:tcW w:w="637" w:type="dxa"/>
            <w:tcBorders>
              <w:left w:val="single" w:sz="4" w:space="0" w:color="000000"/>
              <w:right w:val="single" w:sz="4" w:space="0" w:color="000000"/>
            </w:tcBorders>
          </w:tcPr>
          <w:p>
            <w:pPr>
              <w:pStyle w:val="TableParagraph"/>
              <w:spacing w:before="62"/>
              <w:ind w:left="59" w:right="-15"/>
              <w:jc w:val="center"/>
              <w:rPr>
                <w:sz w:val="18"/>
              </w:rPr>
            </w:pPr>
            <w:r>
              <w:rPr>
                <w:spacing w:val="-7"/>
                <w:sz w:val="18"/>
              </w:rPr>
              <w:t>Average</w:t>
            </w:r>
          </w:p>
        </w:tc>
        <w:tc>
          <w:tcPr>
            <w:tcW w:w="2844" w:type="dxa"/>
            <w:tcBorders>
              <w:left w:val="single" w:sz="4" w:space="0" w:color="000000"/>
            </w:tcBorders>
          </w:tcPr>
          <w:p>
            <w:pPr>
              <w:pStyle w:val="TableParagraph"/>
              <w:spacing w:before="62"/>
              <w:ind w:left="59"/>
              <w:rPr>
                <w:sz w:val="18"/>
              </w:rPr>
            </w:pPr>
            <w:r>
              <w:rPr>
                <w:spacing w:val="-2"/>
                <w:sz w:val="18"/>
              </w:rPr>
              <w:t>Post-flowering</w:t>
            </w:r>
            <w:r>
              <w:rPr>
                <w:spacing w:val="2"/>
                <w:sz w:val="18"/>
              </w:rPr>
              <w:t> </w:t>
            </w:r>
            <w:r>
              <w:rPr>
                <w:spacing w:val="-2"/>
                <w:sz w:val="18"/>
              </w:rPr>
              <w:t>canopy,</w:t>
            </w:r>
            <w:r>
              <w:rPr>
                <w:spacing w:val="2"/>
                <w:sz w:val="18"/>
              </w:rPr>
              <w:t> </w:t>
            </w:r>
            <w:r>
              <w:rPr>
                <w:spacing w:val="-2"/>
                <w:sz w:val="18"/>
              </w:rPr>
              <w:t>rapid</w:t>
            </w:r>
            <w:r>
              <w:rPr>
                <w:spacing w:val="2"/>
                <w:sz w:val="18"/>
              </w:rPr>
              <w:t> </w:t>
            </w:r>
            <w:r>
              <w:rPr>
                <w:spacing w:val="-2"/>
                <w:sz w:val="18"/>
              </w:rPr>
              <w:t>leaf</w:t>
            </w:r>
            <w:r>
              <w:rPr>
                <w:spacing w:val="2"/>
                <w:sz w:val="18"/>
              </w:rPr>
              <w:t> </w:t>
            </w:r>
            <w:r>
              <w:rPr>
                <w:spacing w:val="-4"/>
                <w:sz w:val="18"/>
              </w:rPr>
              <w:t>area</w:t>
            </w:r>
          </w:p>
        </w:tc>
      </w:tr>
      <w:tr>
        <w:trPr>
          <w:trHeight w:val="265" w:hRule="atLeast"/>
        </w:trPr>
        <w:tc>
          <w:tcPr>
            <w:tcW w:w="1371" w:type="dxa"/>
            <w:tcBorders>
              <w:right w:val="single" w:sz="4" w:space="0" w:color="000000"/>
            </w:tcBorders>
          </w:tcPr>
          <w:p>
            <w:pPr>
              <w:pStyle w:val="TableParagraph"/>
              <w:spacing w:before="0"/>
              <w:rPr>
                <w:sz w:val="18"/>
              </w:rPr>
            </w:pPr>
          </w:p>
        </w:tc>
        <w:tc>
          <w:tcPr>
            <w:tcW w:w="978" w:type="dxa"/>
            <w:tcBorders>
              <w:left w:val="single" w:sz="4" w:space="0" w:color="000000"/>
              <w:right w:val="single" w:sz="4" w:space="0" w:color="000000"/>
            </w:tcBorders>
          </w:tcPr>
          <w:p>
            <w:pPr>
              <w:pStyle w:val="TableParagraph"/>
              <w:spacing w:before="22"/>
              <w:ind w:left="58"/>
              <w:rPr>
                <w:sz w:val="18"/>
              </w:rPr>
            </w:pPr>
            <w:r>
              <w:rPr>
                <w:spacing w:val="-2"/>
                <w:sz w:val="18"/>
              </w:rPr>
              <w:t>Index</w:t>
            </w:r>
          </w:p>
        </w:tc>
        <w:tc>
          <w:tcPr>
            <w:tcW w:w="808" w:type="dxa"/>
            <w:tcBorders>
              <w:left w:val="single" w:sz="4" w:space="0" w:color="000000"/>
              <w:right w:val="single" w:sz="4" w:space="0" w:color="000000"/>
            </w:tcBorders>
          </w:tcPr>
          <w:p>
            <w:pPr>
              <w:pStyle w:val="TableParagraph"/>
              <w:spacing w:before="0"/>
              <w:rPr>
                <w:sz w:val="18"/>
              </w:rPr>
            </w:pPr>
          </w:p>
        </w:tc>
        <w:tc>
          <w:tcPr>
            <w:tcW w:w="354" w:type="dxa"/>
            <w:tcBorders>
              <w:left w:val="single" w:sz="4" w:space="0" w:color="000000"/>
              <w:right w:val="single" w:sz="4" w:space="0" w:color="000000"/>
            </w:tcBorders>
          </w:tcPr>
          <w:p>
            <w:pPr>
              <w:pStyle w:val="TableParagraph"/>
              <w:spacing w:before="0"/>
              <w:rPr>
                <w:sz w:val="18"/>
              </w:rPr>
            </w:pPr>
          </w:p>
        </w:tc>
        <w:tc>
          <w:tcPr>
            <w:tcW w:w="921" w:type="dxa"/>
            <w:tcBorders>
              <w:left w:val="single" w:sz="4" w:space="0" w:color="000000"/>
              <w:right w:val="single" w:sz="4" w:space="0" w:color="000000"/>
            </w:tcBorders>
          </w:tcPr>
          <w:p>
            <w:pPr>
              <w:pStyle w:val="TableParagraph"/>
              <w:spacing w:before="0"/>
              <w:rPr>
                <w:sz w:val="18"/>
              </w:rPr>
            </w:pPr>
          </w:p>
        </w:tc>
        <w:tc>
          <w:tcPr>
            <w:tcW w:w="524" w:type="dxa"/>
            <w:tcBorders>
              <w:left w:val="single" w:sz="4" w:space="0" w:color="000000"/>
              <w:right w:val="single" w:sz="4" w:space="0" w:color="000000"/>
            </w:tcBorders>
          </w:tcPr>
          <w:p>
            <w:pPr>
              <w:pStyle w:val="TableParagraph"/>
              <w:spacing w:before="0"/>
              <w:rPr>
                <w:sz w:val="18"/>
              </w:rPr>
            </w:pPr>
          </w:p>
        </w:tc>
        <w:tc>
          <w:tcPr>
            <w:tcW w:w="637" w:type="dxa"/>
            <w:tcBorders>
              <w:left w:val="single" w:sz="4" w:space="0" w:color="000000"/>
              <w:right w:val="single" w:sz="4" w:space="0" w:color="000000"/>
            </w:tcBorders>
          </w:tcPr>
          <w:p>
            <w:pPr>
              <w:pStyle w:val="TableParagraph"/>
              <w:spacing w:before="0"/>
              <w:rPr>
                <w:sz w:val="18"/>
              </w:rPr>
            </w:pPr>
          </w:p>
        </w:tc>
        <w:tc>
          <w:tcPr>
            <w:tcW w:w="2844" w:type="dxa"/>
            <w:tcBorders>
              <w:left w:val="single" w:sz="4" w:space="0" w:color="000000"/>
            </w:tcBorders>
          </w:tcPr>
          <w:p>
            <w:pPr>
              <w:pStyle w:val="TableParagraph"/>
              <w:spacing w:before="22"/>
              <w:ind w:left="59"/>
              <w:rPr>
                <w:sz w:val="18"/>
              </w:rPr>
            </w:pPr>
            <w:r>
              <w:rPr>
                <w:spacing w:val="-4"/>
                <w:sz w:val="18"/>
              </w:rPr>
              <w:t>expansion</w:t>
            </w:r>
            <w:r>
              <w:rPr>
                <w:spacing w:val="2"/>
                <w:sz w:val="18"/>
              </w:rPr>
              <w:t> </w:t>
            </w:r>
            <w:r>
              <w:rPr>
                <w:spacing w:val="-4"/>
                <w:sz w:val="18"/>
              </w:rPr>
              <w:t>immediately</w:t>
            </w:r>
            <w:r>
              <w:rPr>
                <w:spacing w:val="3"/>
                <w:sz w:val="18"/>
              </w:rPr>
              <w:t> </w:t>
            </w:r>
            <w:r>
              <w:rPr>
                <w:spacing w:val="-4"/>
                <w:sz w:val="18"/>
              </w:rPr>
              <w:t>after</w:t>
            </w:r>
            <w:r>
              <w:rPr>
                <w:spacing w:val="3"/>
                <w:sz w:val="18"/>
              </w:rPr>
              <w:t> </w:t>
            </w:r>
            <w:r>
              <w:rPr>
                <w:spacing w:val="-4"/>
                <w:sz w:val="18"/>
              </w:rPr>
              <w:t>flowering;</w:t>
            </w:r>
          </w:p>
        </w:tc>
      </w:tr>
      <w:tr>
        <w:trPr>
          <w:trHeight w:val="305" w:hRule="atLeast"/>
        </w:trPr>
        <w:tc>
          <w:tcPr>
            <w:tcW w:w="1371" w:type="dxa"/>
            <w:tcBorders>
              <w:right w:val="single" w:sz="4" w:space="0" w:color="000000"/>
            </w:tcBorders>
          </w:tcPr>
          <w:p>
            <w:pPr>
              <w:pStyle w:val="TableParagraph"/>
              <w:spacing w:before="0"/>
              <w:rPr>
                <w:sz w:val="18"/>
              </w:rPr>
            </w:pPr>
          </w:p>
        </w:tc>
        <w:tc>
          <w:tcPr>
            <w:tcW w:w="978" w:type="dxa"/>
            <w:tcBorders>
              <w:left w:val="single" w:sz="4" w:space="0" w:color="000000"/>
              <w:right w:val="single" w:sz="4" w:space="0" w:color="000000"/>
            </w:tcBorders>
          </w:tcPr>
          <w:p>
            <w:pPr>
              <w:pStyle w:val="TableParagraph"/>
              <w:spacing w:before="0"/>
              <w:rPr>
                <w:sz w:val="18"/>
              </w:rPr>
            </w:pPr>
          </w:p>
        </w:tc>
        <w:tc>
          <w:tcPr>
            <w:tcW w:w="808" w:type="dxa"/>
            <w:tcBorders>
              <w:left w:val="single" w:sz="4" w:space="0" w:color="000000"/>
              <w:right w:val="single" w:sz="4" w:space="0" w:color="000000"/>
            </w:tcBorders>
          </w:tcPr>
          <w:p>
            <w:pPr>
              <w:pStyle w:val="TableParagraph"/>
              <w:spacing w:before="0"/>
              <w:rPr>
                <w:sz w:val="18"/>
              </w:rPr>
            </w:pPr>
          </w:p>
        </w:tc>
        <w:tc>
          <w:tcPr>
            <w:tcW w:w="354" w:type="dxa"/>
            <w:tcBorders>
              <w:left w:val="single" w:sz="4" w:space="0" w:color="000000"/>
              <w:right w:val="single" w:sz="4" w:space="0" w:color="000000"/>
            </w:tcBorders>
          </w:tcPr>
          <w:p>
            <w:pPr>
              <w:pStyle w:val="TableParagraph"/>
              <w:spacing w:before="0"/>
              <w:rPr>
                <w:sz w:val="18"/>
              </w:rPr>
            </w:pPr>
          </w:p>
        </w:tc>
        <w:tc>
          <w:tcPr>
            <w:tcW w:w="921" w:type="dxa"/>
            <w:tcBorders>
              <w:left w:val="single" w:sz="4" w:space="0" w:color="000000"/>
              <w:right w:val="single" w:sz="4" w:space="0" w:color="000000"/>
            </w:tcBorders>
          </w:tcPr>
          <w:p>
            <w:pPr>
              <w:pStyle w:val="TableParagraph"/>
              <w:spacing w:before="0"/>
              <w:rPr>
                <w:sz w:val="18"/>
              </w:rPr>
            </w:pPr>
          </w:p>
        </w:tc>
        <w:tc>
          <w:tcPr>
            <w:tcW w:w="524" w:type="dxa"/>
            <w:tcBorders>
              <w:left w:val="single" w:sz="4" w:space="0" w:color="000000"/>
              <w:right w:val="single" w:sz="4" w:space="0" w:color="000000"/>
            </w:tcBorders>
          </w:tcPr>
          <w:p>
            <w:pPr>
              <w:pStyle w:val="TableParagraph"/>
              <w:spacing w:before="0"/>
              <w:rPr>
                <w:sz w:val="18"/>
              </w:rPr>
            </w:pPr>
          </w:p>
        </w:tc>
        <w:tc>
          <w:tcPr>
            <w:tcW w:w="637" w:type="dxa"/>
            <w:tcBorders>
              <w:left w:val="single" w:sz="4" w:space="0" w:color="000000"/>
              <w:right w:val="single" w:sz="4" w:space="0" w:color="000000"/>
            </w:tcBorders>
          </w:tcPr>
          <w:p>
            <w:pPr>
              <w:pStyle w:val="TableParagraph"/>
              <w:spacing w:before="0"/>
              <w:rPr>
                <w:sz w:val="18"/>
              </w:rPr>
            </w:pPr>
          </w:p>
        </w:tc>
        <w:tc>
          <w:tcPr>
            <w:tcW w:w="2844" w:type="dxa"/>
            <w:tcBorders>
              <w:left w:val="single" w:sz="4" w:space="0" w:color="000000"/>
            </w:tcBorders>
          </w:tcPr>
          <w:p>
            <w:pPr>
              <w:pStyle w:val="TableParagraph"/>
              <w:spacing w:before="22"/>
              <w:ind w:left="55"/>
              <w:rPr>
                <w:sz w:val="18"/>
              </w:rPr>
            </w:pPr>
            <w:r>
              <w:rPr>
                <w:sz w:val="18"/>
              </w:rPr>
              <w:t>vigour</w:t>
            </w:r>
            <w:r>
              <w:rPr>
                <w:spacing w:val="-6"/>
                <w:sz w:val="18"/>
              </w:rPr>
              <w:t> </w:t>
            </w:r>
            <w:r>
              <w:rPr>
                <w:spacing w:val="-2"/>
                <w:sz w:val="18"/>
              </w:rPr>
              <w:t>proxy</w:t>
            </w:r>
          </w:p>
        </w:tc>
      </w:tr>
      <w:tr>
        <w:trPr>
          <w:trHeight w:val="305" w:hRule="atLeast"/>
        </w:trPr>
        <w:tc>
          <w:tcPr>
            <w:tcW w:w="1371" w:type="dxa"/>
            <w:tcBorders>
              <w:right w:val="single" w:sz="4" w:space="0" w:color="000000"/>
            </w:tcBorders>
          </w:tcPr>
          <w:p>
            <w:pPr>
              <w:pStyle w:val="TableParagraph"/>
              <w:spacing w:before="62"/>
              <w:ind w:left="59"/>
              <w:rPr>
                <w:sz w:val="18"/>
              </w:rPr>
            </w:pPr>
            <w:r>
              <w:rPr>
                <w:spacing w:val="-2"/>
                <w:sz w:val="18"/>
              </w:rPr>
              <w:t>iaf_hv_y1_c10</w:t>
            </w:r>
          </w:p>
        </w:tc>
        <w:tc>
          <w:tcPr>
            <w:tcW w:w="978" w:type="dxa"/>
            <w:tcBorders>
              <w:left w:val="single" w:sz="4" w:space="0" w:color="000000"/>
              <w:right w:val="single" w:sz="4" w:space="0" w:color="000000"/>
            </w:tcBorders>
          </w:tcPr>
          <w:p>
            <w:pPr>
              <w:pStyle w:val="TableParagraph"/>
              <w:spacing w:before="62"/>
              <w:ind w:left="58"/>
              <w:rPr>
                <w:sz w:val="18"/>
              </w:rPr>
            </w:pPr>
            <w:r>
              <w:rPr>
                <w:sz w:val="18"/>
              </w:rPr>
              <w:t>Leaf</w:t>
            </w:r>
            <w:r>
              <w:rPr>
                <w:spacing w:val="36"/>
                <w:sz w:val="18"/>
              </w:rPr>
              <w:t>  </w:t>
            </w:r>
            <w:r>
              <w:rPr>
                <w:spacing w:val="-4"/>
                <w:sz w:val="18"/>
              </w:rPr>
              <w:t>Area</w:t>
            </w:r>
          </w:p>
        </w:tc>
        <w:tc>
          <w:tcPr>
            <w:tcW w:w="808" w:type="dxa"/>
            <w:tcBorders>
              <w:left w:val="single" w:sz="4" w:space="0" w:color="000000"/>
              <w:right w:val="single" w:sz="4" w:space="0" w:color="000000"/>
            </w:tcBorders>
          </w:tcPr>
          <w:p>
            <w:pPr>
              <w:pStyle w:val="TableParagraph"/>
              <w:spacing w:before="62"/>
              <w:ind w:left="58"/>
              <w:rPr>
                <w:sz w:val="18"/>
              </w:rPr>
            </w:pPr>
            <w:r>
              <w:rPr>
                <w:spacing w:val="-2"/>
                <w:sz w:val="18"/>
              </w:rPr>
              <w:t>Harvest</w:t>
            </w:r>
          </w:p>
        </w:tc>
        <w:tc>
          <w:tcPr>
            <w:tcW w:w="354" w:type="dxa"/>
            <w:tcBorders>
              <w:left w:val="single" w:sz="4" w:space="0" w:color="000000"/>
              <w:right w:val="single" w:sz="4" w:space="0" w:color="000000"/>
            </w:tcBorders>
          </w:tcPr>
          <w:p>
            <w:pPr>
              <w:pStyle w:val="TableParagraph"/>
              <w:spacing w:before="62"/>
              <w:ind w:right="46"/>
              <w:jc w:val="center"/>
              <w:rPr>
                <w:sz w:val="18"/>
              </w:rPr>
            </w:pPr>
            <w:r>
              <w:rPr>
                <w:spacing w:val="-5"/>
                <w:sz w:val="18"/>
              </w:rPr>
              <w:t>y1</w:t>
            </w:r>
          </w:p>
        </w:tc>
        <w:tc>
          <w:tcPr>
            <w:tcW w:w="921" w:type="dxa"/>
            <w:tcBorders>
              <w:left w:val="single" w:sz="4" w:space="0" w:color="000000"/>
              <w:right w:val="single" w:sz="4" w:space="0" w:color="000000"/>
            </w:tcBorders>
          </w:tcPr>
          <w:p>
            <w:pPr>
              <w:pStyle w:val="TableParagraph"/>
              <w:spacing w:before="62"/>
              <w:ind w:left="58"/>
              <w:rPr>
                <w:sz w:val="18"/>
              </w:rPr>
            </w:pPr>
            <w:r>
              <w:rPr>
                <w:spacing w:val="-2"/>
                <w:sz w:val="18"/>
              </w:rPr>
              <w:t>centred</w:t>
            </w:r>
          </w:p>
        </w:tc>
        <w:tc>
          <w:tcPr>
            <w:tcW w:w="524" w:type="dxa"/>
            <w:tcBorders>
              <w:left w:val="single" w:sz="4" w:space="0" w:color="000000"/>
              <w:right w:val="single" w:sz="4" w:space="0" w:color="000000"/>
            </w:tcBorders>
          </w:tcPr>
          <w:p>
            <w:pPr>
              <w:pStyle w:val="TableParagraph"/>
              <w:spacing w:before="29"/>
              <w:ind w:left="58" w:right="-29"/>
              <w:rPr>
                <w:position w:val="7"/>
                <w:sz w:val="14"/>
              </w:rPr>
            </w:pPr>
            <w:r>
              <w:rPr>
                <w:spacing w:val="-2"/>
                <w:sz w:val="18"/>
              </w:rPr>
              <w:t>m</w:t>
            </w:r>
            <w:r>
              <w:rPr>
                <w:spacing w:val="-2"/>
                <w:position w:val="7"/>
                <w:sz w:val="14"/>
              </w:rPr>
              <w:t>2</w:t>
            </w:r>
            <w:r>
              <w:rPr>
                <w:spacing w:val="-2"/>
                <w:sz w:val="18"/>
              </w:rPr>
              <w:t>/m</w:t>
            </w:r>
            <w:r>
              <w:rPr>
                <w:spacing w:val="-2"/>
                <w:position w:val="7"/>
                <w:sz w:val="14"/>
              </w:rPr>
              <w:t>2</w:t>
            </w:r>
          </w:p>
        </w:tc>
        <w:tc>
          <w:tcPr>
            <w:tcW w:w="637" w:type="dxa"/>
            <w:tcBorders>
              <w:left w:val="single" w:sz="4" w:space="0" w:color="000000"/>
              <w:right w:val="single" w:sz="4" w:space="0" w:color="000000"/>
            </w:tcBorders>
          </w:tcPr>
          <w:p>
            <w:pPr>
              <w:pStyle w:val="TableParagraph"/>
              <w:spacing w:before="62"/>
              <w:ind w:left="59" w:right="-15"/>
              <w:jc w:val="center"/>
              <w:rPr>
                <w:sz w:val="18"/>
              </w:rPr>
            </w:pPr>
            <w:r>
              <w:rPr>
                <w:spacing w:val="-7"/>
                <w:sz w:val="18"/>
              </w:rPr>
              <w:t>Average</w:t>
            </w:r>
          </w:p>
        </w:tc>
        <w:tc>
          <w:tcPr>
            <w:tcW w:w="2844" w:type="dxa"/>
            <w:tcBorders>
              <w:left w:val="single" w:sz="4" w:space="0" w:color="000000"/>
            </w:tcBorders>
          </w:tcPr>
          <w:p>
            <w:pPr>
              <w:pStyle w:val="TableParagraph"/>
              <w:spacing w:before="62"/>
              <w:ind w:left="59"/>
              <w:rPr>
                <w:sz w:val="18"/>
              </w:rPr>
            </w:pPr>
            <w:r>
              <w:rPr>
                <w:sz w:val="18"/>
              </w:rPr>
              <w:t>LAI</w:t>
            </w:r>
            <w:r>
              <w:rPr>
                <w:spacing w:val="-11"/>
                <w:sz w:val="18"/>
              </w:rPr>
              <w:t> </w:t>
            </w:r>
            <w:r>
              <w:rPr>
                <w:sz w:val="18"/>
              </w:rPr>
              <w:t>at</w:t>
            </w:r>
            <w:r>
              <w:rPr>
                <w:spacing w:val="-10"/>
                <w:sz w:val="18"/>
              </w:rPr>
              <w:t> </w:t>
            </w:r>
            <w:r>
              <w:rPr>
                <w:sz w:val="18"/>
              </w:rPr>
              <w:t>harvest,</w:t>
            </w:r>
            <w:r>
              <w:rPr>
                <w:spacing w:val="-10"/>
                <w:sz w:val="18"/>
              </w:rPr>
              <w:t> </w:t>
            </w:r>
            <w:r>
              <w:rPr>
                <w:sz w:val="18"/>
              </w:rPr>
              <w:t>canopy</w:t>
            </w:r>
            <w:r>
              <w:rPr>
                <w:spacing w:val="-11"/>
                <w:sz w:val="18"/>
              </w:rPr>
              <w:t> </w:t>
            </w:r>
            <w:r>
              <w:rPr>
                <w:sz w:val="18"/>
              </w:rPr>
              <w:t>size</w:t>
            </w:r>
            <w:r>
              <w:rPr>
                <w:spacing w:val="-11"/>
                <w:sz w:val="18"/>
              </w:rPr>
              <w:t> </w:t>
            </w:r>
            <w:r>
              <w:rPr>
                <w:sz w:val="18"/>
              </w:rPr>
              <w:t>at</w:t>
            </w:r>
            <w:r>
              <w:rPr>
                <w:spacing w:val="-10"/>
                <w:sz w:val="18"/>
              </w:rPr>
              <w:t> </w:t>
            </w:r>
            <w:r>
              <w:rPr>
                <w:sz w:val="18"/>
              </w:rPr>
              <w:t>the</w:t>
            </w:r>
            <w:r>
              <w:rPr>
                <w:spacing w:val="-11"/>
                <w:sz w:val="18"/>
              </w:rPr>
              <w:t> </w:t>
            </w:r>
            <w:r>
              <w:rPr>
                <w:spacing w:val="-4"/>
                <w:sz w:val="18"/>
              </w:rPr>
              <w:t>time</w:t>
            </w:r>
          </w:p>
        </w:tc>
      </w:tr>
      <w:tr>
        <w:trPr>
          <w:trHeight w:val="877" w:hRule="atLeast"/>
        </w:trPr>
        <w:tc>
          <w:tcPr>
            <w:tcW w:w="1371" w:type="dxa"/>
            <w:tcBorders>
              <w:right w:val="single" w:sz="4" w:space="0" w:color="000000"/>
            </w:tcBorders>
          </w:tcPr>
          <w:p>
            <w:pPr>
              <w:pStyle w:val="TableParagraph"/>
              <w:spacing w:before="0"/>
              <w:rPr>
                <w:sz w:val="18"/>
              </w:rPr>
            </w:pPr>
          </w:p>
          <w:p>
            <w:pPr>
              <w:pStyle w:val="TableParagraph"/>
              <w:spacing w:before="0"/>
              <w:rPr>
                <w:sz w:val="18"/>
              </w:rPr>
            </w:pPr>
          </w:p>
          <w:p>
            <w:pPr>
              <w:pStyle w:val="TableParagraph"/>
              <w:spacing w:before="13"/>
              <w:rPr>
                <w:sz w:val="18"/>
              </w:rPr>
            </w:pPr>
          </w:p>
          <w:p>
            <w:pPr>
              <w:pStyle w:val="TableParagraph"/>
              <w:spacing w:before="0"/>
              <w:ind w:left="59"/>
              <w:rPr>
                <w:sz w:val="18"/>
              </w:rPr>
            </w:pPr>
            <w:r>
              <w:rPr>
                <w:spacing w:val="-2"/>
                <w:sz w:val="18"/>
              </w:rPr>
              <w:t>iaf_fl_y0_b10</w:t>
            </w:r>
          </w:p>
        </w:tc>
        <w:tc>
          <w:tcPr>
            <w:tcW w:w="978" w:type="dxa"/>
            <w:tcBorders>
              <w:left w:val="single" w:sz="4" w:space="0" w:color="000000"/>
              <w:right w:val="single" w:sz="4" w:space="0" w:color="000000"/>
            </w:tcBorders>
          </w:tcPr>
          <w:p>
            <w:pPr>
              <w:pStyle w:val="TableParagraph"/>
              <w:spacing w:before="22"/>
              <w:ind w:left="58"/>
              <w:rPr>
                <w:sz w:val="18"/>
              </w:rPr>
            </w:pPr>
            <w:r>
              <w:rPr>
                <w:spacing w:val="-2"/>
                <w:sz w:val="18"/>
              </w:rPr>
              <w:t>Index</w:t>
            </w:r>
          </w:p>
          <w:p>
            <w:pPr>
              <w:pStyle w:val="TableParagraph"/>
              <w:spacing w:before="198"/>
              <w:rPr>
                <w:sz w:val="18"/>
              </w:rPr>
            </w:pPr>
          </w:p>
          <w:p>
            <w:pPr>
              <w:pStyle w:val="TableParagraph"/>
              <w:spacing w:before="0"/>
              <w:ind w:left="58"/>
              <w:rPr>
                <w:sz w:val="18"/>
              </w:rPr>
            </w:pPr>
            <w:r>
              <w:rPr>
                <w:sz w:val="18"/>
              </w:rPr>
              <w:t>Leaf</w:t>
            </w:r>
            <w:r>
              <w:rPr>
                <w:spacing w:val="36"/>
                <w:sz w:val="18"/>
              </w:rPr>
              <w:t>  </w:t>
            </w:r>
            <w:r>
              <w:rPr>
                <w:spacing w:val="-4"/>
                <w:sz w:val="18"/>
              </w:rPr>
              <w:t>Area</w:t>
            </w:r>
          </w:p>
        </w:tc>
        <w:tc>
          <w:tcPr>
            <w:tcW w:w="808" w:type="dxa"/>
            <w:tcBorders>
              <w:left w:val="single" w:sz="4" w:space="0" w:color="000000"/>
              <w:right w:val="single" w:sz="4" w:space="0" w:color="000000"/>
            </w:tcBorders>
          </w:tcPr>
          <w:p>
            <w:pPr>
              <w:pStyle w:val="TableParagraph"/>
              <w:spacing w:before="0"/>
              <w:rPr>
                <w:sz w:val="18"/>
              </w:rPr>
            </w:pPr>
          </w:p>
          <w:p>
            <w:pPr>
              <w:pStyle w:val="TableParagraph"/>
              <w:spacing w:before="0"/>
              <w:rPr>
                <w:sz w:val="18"/>
              </w:rPr>
            </w:pPr>
          </w:p>
          <w:p>
            <w:pPr>
              <w:pStyle w:val="TableParagraph"/>
              <w:spacing w:before="13"/>
              <w:rPr>
                <w:sz w:val="18"/>
              </w:rPr>
            </w:pPr>
          </w:p>
          <w:p>
            <w:pPr>
              <w:pStyle w:val="TableParagraph"/>
              <w:spacing w:before="0"/>
              <w:ind w:left="58"/>
              <w:rPr>
                <w:sz w:val="18"/>
              </w:rPr>
            </w:pPr>
            <w:r>
              <w:rPr>
                <w:spacing w:val="-2"/>
                <w:sz w:val="18"/>
              </w:rPr>
              <w:t>Flowering</w:t>
            </w:r>
          </w:p>
        </w:tc>
        <w:tc>
          <w:tcPr>
            <w:tcW w:w="354" w:type="dxa"/>
            <w:tcBorders>
              <w:left w:val="single" w:sz="4" w:space="0" w:color="000000"/>
              <w:right w:val="single" w:sz="4" w:space="0" w:color="000000"/>
            </w:tcBorders>
          </w:tcPr>
          <w:p>
            <w:pPr>
              <w:pStyle w:val="TableParagraph"/>
              <w:spacing w:before="0"/>
              <w:rPr>
                <w:sz w:val="18"/>
              </w:rPr>
            </w:pPr>
          </w:p>
          <w:p>
            <w:pPr>
              <w:pStyle w:val="TableParagraph"/>
              <w:spacing w:before="0"/>
              <w:rPr>
                <w:sz w:val="18"/>
              </w:rPr>
            </w:pPr>
          </w:p>
          <w:p>
            <w:pPr>
              <w:pStyle w:val="TableParagraph"/>
              <w:spacing w:before="13"/>
              <w:rPr>
                <w:sz w:val="18"/>
              </w:rPr>
            </w:pPr>
          </w:p>
          <w:p>
            <w:pPr>
              <w:pStyle w:val="TableParagraph"/>
              <w:spacing w:before="0"/>
              <w:ind w:right="46"/>
              <w:jc w:val="center"/>
              <w:rPr>
                <w:sz w:val="18"/>
              </w:rPr>
            </w:pPr>
            <w:r>
              <w:rPr>
                <w:spacing w:val="-5"/>
                <w:sz w:val="18"/>
              </w:rPr>
              <w:t>y0</w:t>
            </w:r>
          </w:p>
        </w:tc>
        <w:tc>
          <w:tcPr>
            <w:tcW w:w="921" w:type="dxa"/>
            <w:tcBorders>
              <w:left w:val="single" w:sz="4" w:space="0" w:color="000000"/>
              <w:right w:val="single" w:sz="4" w:space="0" w:color="000000"/>
            </w:tcBorders>
          </w:tcPr>
          <w:p>
            <w:pPr>
              <w:pStyle w:val="TableParagraph"/>
              <w:spacing w:line="266" w:lineRule="exact" w:before="0"/>
              <w:ind w:left="58"/>
              <w:rPr>
                <w:sz w:val="18"/>
              </w:rPr>
            </w:pPr>
            <w:r>
              <w:rPr>
                <w:rFonts w:ascii="Meiryo UI" w:hAnsi="Meiryo UI"/>
                <w:i/>
                <w:spacing w:val="-4"/>
                <w:sz w:val="18"/>
              </w:rPr>
              <w:t>±</w:t>
            </w:r>
            <w:r>
              <w:rPr>
                <w:spacing w:val="-4"/>
                <w:sz w:val="18"/>
              </w:rPr>
              <w:t>10d</w:t>
            </w:r>
          </w:p>
          <w:p>
            <w:pPr>
              <w:pStyle w:val="TableParagraph"/>
              <w:spacing w:before="160"/>
              <w:rPr>
                <w:sz w:val="18"/>
              </w:rPr>
            </w:pPr>
          </w:p>
          <w:p>
            <w:pPr>
              <w:pStyle w:val="TableParagraph"/>
              <w:spacing w:before="1"/>
              <w:ind w:left="58"/>
              <w:rPr>
                <w:sz w:val="18"/>
              </w:rPr>
            </w:pPr>
            <w:r>
              <w:rPr>
                <w:sz w:val="18"/>
              </w:rPr>
              <w:t>10d</w:t>
            </w:r>
            <w:r>
              <w:rPr>
                <w:spacing w:val="9"/>
                <w:sz w:val="18"/>
              </w:rPr>
              <w:t> </w:t>
            </w:r>
            <w:r>
              <w:rPr>
                <w:spacing w:val="-2"/>
                <w:sz w:val="18"/>
              </w:rPr>
              <w:t>before</w:t>
            </w:r>
          </w:p>
        </w:tc>
        <w:tc>
          <w:tcPr>
            <w:tcW w:w="524" w:type="dxa"/>
            <w:tcBorders>
              <w:left w:val="single" w:sz="4" w:space="0" w:color="000000"/>
              <w:right w:val="single" w:sz="4" w:space="0" w:color="000000"/>
            </w:tcBorders>
          </w:tcPr>
          <w:p>
            <w:pPr>
              <w:pStyle w:val="TableParagraph"/>
              <w:spacing w:before="0"/>
              <w:rPr>
                <w:sz w:val="18"/>
              </w:rPr>
            </w:pPr>
          </w:p>
          <w:p>
            <w:pPr>
              <w:pStyle w:val="TableParagraph"/>
              <w:spacing w:before="187"/>
              <w:rPr>
                <w:sz w:val="18"/>
              </w:rPr>
            </w:pPr>
          </w:p>
          <w:p>
            <w:pPr>
              <w:pStyle w:val="TableParagraph"/>
              <w:spacing w:before="0"/>
              <w:ind w:left="58" w:right="-29"/>
              <w:rPr>
                <w:position w:val="7"/>
                <w:sz w:val="14"/>
              </w:rPr>
            </w:pPr>
            <w:r>
              <w:rPr>
                <w:spacing w:val="-2"/>
                <w:sz w:val="18"/>
              </w:rPr>
              <w:t>m</w:t>
            </w:r>
            <w:r>
              <w:rPr>
                <w:spacing w:val="-2"/>
                <w:position w:val="7"/>
                <w:sz w:val="14"/>
              </w:rPr>
              <w:t>2</w:t>
            </w:r>
            <w:r>
              <w:rPr>
                <w:spacing w:val="-2"/>
                <w:sz w:val="18"/>
              </w:rPr>
              <w:t>/m</w:t>
            </w:r>
            <w:r>
              <w:rPr>
                <w:spacing w:val="-2"/>
                <w:position w:val="7"/>
                <w:sz w:val="14"/>
              </w:rPr>
              <w:t>2</w:t>
            </w:r>
          </w:p>
        </w:tc>
        <w:tc>
          <w:tcPr>
            <w:tcW w:w="637" w:type="dxa"/>
            <w:tcBorders>
              <w:left w:val="single" w:sz="4" w:space="0" w:color="000000"/>
              <w:right w:val="single" w:sz="4" w:space="0" w:color="000000"/>
            </w:tcBorders>
          </w:tcPr>
          <w:p>
            <w:pPr>
              <w:pStyle w:val="TableParagraph"/>
              <w:spacing w:before="0"/>
              <w:rPr>
                <w:sz w:val="18"/>
              </w:rPr>
            </w:pPr>
          </w:p>
          <w:p>
            <w:pPr>
              <w:pStyle w:val="TableParagraph"/>
              <w:spacing w:before="0"/>
              <w:rPr>
                <w:sz w:val="18"/>
              </w:rPr>
            </w:pPr>
          </w:p>
          <w:p>
            <w:pPr>
              <w:pStyle w:val="TableParagraph"/>
              <w:spacing w:before="13"/>
              <w:rPr>
                <w:sz w:val="18"/>
              </w:rPr>
            </w:pPr>
          </w:p>
          <w:p>
            <w:pPr>
              <w:pStyle w:val="TableParagraph"/>
              <w:spacing w:before="0"/>
              <w:ind w:left="59" w:right="-15"/>
              <w:jc w:val="center"/>
              <w:rPr>
                <w:sz w:val="18"/>
              </w:rPr>
            </w:pPr>
            <w:r>
              <w:rPr>
                <w:spacing w:val="-7"/>
                <w:sz w:val="18"/>
              </w:rPr>
              <w:t>Average</w:t>
            </w:r>
          </w:p>
        </w:tc>
        <w:tc>
          <w:tcPr>
            <w:tcW w:w="2844" w:type="dxa"/>
            <w:tcBorders>
              <w:left w:val="single" w:sz="4" w:space="0" w:color="000000"/>
            </w:tcBorders>
          </w:tcPr>
          <w:p>
            <w:pPr>
              <w:pStyle w:val="TableParagraph"/>
              <w:spacing w:line="247" w:lineRule="auto" w:before="22"/>
              <w:ind w:left="53" w:firstLine="5"/>
              <w:rPr>
                <w:sz w:val="18"/>
              </w:rPr>
            </w:pPr>
            <w:r>
              <w:rPr>
                <w:spacing w:val="-2"/>
                <w:sz w:val="18"/>
              </w:rPr>
              <w:t>of</w:t>
            </w:r>
            <w:r>
              <w:rPr>
                <w:spacing w:val="-10"/>
                <w:sz w:val="18"/>
              </w:rPr>
              <w:t> </w:t>
            </w:r>
            <w:r>
              <w:rPr>
                <w:spacing w:val="-2"/>
                <w:sz w:val="18"/>
              </w:rPr>
              <w:t>picking;</w:t>
            </w:r>
            <w:r>
              <w:rPr>
                <w:spacing w:val="-9"/>
                <w:sz w:val="18"/>
              </w:rPr>
              <w:t> </w:t>
            </w:r>
            <w:r>
              <w:rPr>
                <w:spacing w:val="-2"/>
                <w:sz w:val="18"/>
              </w:rPr>
              <w:t>DOMINANT</w:t>
            </w:r>
            <w:r>
              <w:rPr>
                <w:spacing w:val="-9"/>
                <w:sz w:val="18"/>
              </w:rPr>
              <w:t> </w:t>
            </w:r>
            <w:r>
              <w:rPr>
                <w:spacing w:val="-2"/>
                <w:sz w:val="18"/>
              </w:rPr>
              <w:t>RVV</w:t>
            </w:r>
            <w:r>
              <w:rPr>
                <w:spacing w:val="-9"/>
                <w:sz w:val="18"/>
              </w:rPr>
              <w:t> </w:t>
            </w:r>
            <w:r>
              <w:rPr>
                <w:spacing w:val="-2"/>
                <w:sz w:val="18"/>
              </w:rPr>
              <w:t>feature (20/20</w:t>
            </w:r>
            <w:r>
              <w:rPr>
                <w:spacing w:val="-9"/>
                <w:sz w:val="18"/>
              </w:rPr>
              <w:t> </w:t>
            </w:r>
            <w:r>
              <w:rPr>
                <w:spacing w:val="-2"/>
                <w:sz w:val="18"/>
              </w:rPr>
              <w:t>rules);</w:t>
            </w:r>
            <w:r>
              <w:rPr>
                <w:spacing w:val="-6"/>
                <w:sz w:val="18"/>
              </w:rPr>
              <w:t> </w:t>
            </w:r>
            <w:r>
              <w:rPr>
                <w:spacing w:val="-2"/>
                <w:sz w:val="18"/>
              </w:rPr>
              <w:t>high</w:t>
            </w:r>
            <w:r>
              <w:rPr>
                <w:spacing w:val="-6"/>
                <w:sz w:val="18"/>
              </w:rPr>
              <w:t> </w:t>
            </w:r>
            <w:r>
              <w:rPr>
                <w:spacing w:val="-2"/>
                <w:sz w:val="18"/>
              </w:rPr>
              <w:t>LAI</w:t>
            </w:r>
            <w:r>
              <w:rPr>
                <w:spacing w:val="-7"/>
                <w:sz w:val="18"/>
              </w:rPr>
              <w:t> </w:t>
            </w:r>
            <w:r>
              <w:rPr>
                <w:rFonts w:ascii="Meiryo UI" w:hAnsi="Meiryo UI"/>
                <w:i/>
                <w:spacing w:val="-2"/>
                <w:sz w:val="18"/>
              </w:rPr>
              <w:t>→</w:t>
            </w:r>
            <w:r>
              <w:rPr>
                <w:rFonts w:ascii="Meiryo UI" w:hAnsi="Meiryo UI"/>
                <w:i/>
                <w:spacing w:val="-20"/>
                <w:sz w:val="18"/>
              </w:rPr>
              <w:t> </w:t>
            </w:r>
            <w:r>
              <w:rPr>
                <w:spacing w:val="-2"/>
                <w:sz w:val="18"/>
              </w:rPr>
              <w:t>below</w:t>
            </w:r>
            <w:r>
              <w:rPr>
                <w:spacing w:val="-6"/>
                <w:sz w:val="18"/>
              </w:rPr>
              <w:t> </w:t>
            </w:r>
            <w:r>
              <w:rPr>
                <w:spacing w:val="-2"/>
                <w:sz w:val="18"/>
              </w:rPr>
              <w:t>trend</w:t>
            </w:r>
          </w:p>
          <w:p>
            <w:pPr>
              <w:pStyle w:val="TableParagraph"/>
              <w:spacing w:before="92"/>
              <w:ind w:left="59"/>
              <w:rPr>
                <w:sz w:val="18"/>
              </w:rPr>
            </w:pPr>
            <w:r>
              <w:rPr>
                <w:spacing w:val="-2"/>
                <w:sz w:val="18"/>
              </w:rPr>
              <w:t>Previous-year</w:t>
            </w:r>
            <w:r>
              <w:rPr>
                <w:spacing w:val="-4"/>
                <w:sz w:val="18"/>
              </w:rPr>
              <w:t> </w:t>
            </w:r>
            <w:r>
              <w:rPr>
                <w:spacing w:val="-2"/>
                <w:sz w:val="18"/>
              </w:rPr>
              <w:t>pre-flowering</w:t>
            </w:r>
            <w:r>
              <w:rPr>
                <w:spacing w:val="-3"/>
                <w:sz w:val="18"/>
              </w:rPr>
              <w:t> </w:t>
            </w:r>
            <w:r>
              <w:rPr>
                <w:spacing w:val="-2"/>
                <w:sz w:val="18"/>
              </w:rPr>
              <w:t>LAI, </w:t>
            </w:r>
            <w:r>
              <w:rPr>
                <w:spacing w:val="-4"/>
                <w:sz w:val="18"/>
              </w:rPr>
              <w:t>vine</w:t>
            </w:r>
          </w:p>
        </w:tc>
      </w:tr>
      <w:tr>
        <w:trPr>
          <w:trHeight w:val="265" w:hRule="atLeast"/>
        </w:trPr>
        <w:tc>
          <w:tcPr>
            <w:tcW w:w="1371" w:type="dxa"/>
            <w:tcBorders>
              <w:right w:val="single" w:sz="4" w:space="0" w:color="000000"/>
            </w:tcBorders>
          </w:tcPr>
          <w:p>
            <w:pPr>
              <w:pStyle w:val="TableParagraph"/>
              <w:spacing w:before="0"/>
              <w:rPr>
                <w:sz w:val="18"/>
              </w:rPr>
            </w:pPr>
          </w:p>
        </w:tc>
        <w:tc>
          <w:tcPr>
            <w:tcW w:w="978" w:type="dxa"/>
            <w:tcBorders>
              <w:left w:val="single" w:sz="4" w:space="0" w:color="000000"/>
              <w:right w:val="single" w:sz="4" w:space="0" w:color="000000"/>
            </w:tcBorders>
          </w:tcPr>
          <w:p>
            <w:pPr>
              <w:pStyle w:val="TableParagraph"/>
              <w:spacing w:before="22"/>
              <w:ind w:left="58"/>
              <w:rPr>
                <w:sz w:val="18"/>
              </w:rPr>
            </w:pPr>
            <w:r>
              <w:rPr>
                <w:spacing w:val="-2"/>
                <w:sz w:val="18"/>
              </w:rPr>
              <w:t>Index</w:t>
            </w:r>
          </w:p>
        </w:tc>
        <w:tc>
          <w:tcPr>
            <w:tcW w:w="808" w:type="dxa"/>
            <w:tcBorders>
              <w:left w:val="single" w:sz="4" w:space="0" w:color="000000"/>
              <w:right w:val="single" w:sz="4" w:space="0" w:color="000000"/>
            </w:tcBorders>
          </w:tcPr>
          <w:p>
            <w:pPr>
              <w:pStyle w:val="TableParagraph"/>
              <w:spacing w:before="0"/>
              <w:rPr>
                <w:sz w:val="18"/>
              </w:rPr>
            </w:pPr>
          </w:p>
        </w:tc>
        <w:tc>
          <w:tcPr>
            <w:tcW w:w="354" w:type="dxa"/>
            <w:tcBorders>
              <w:left w:val="single" w:sz="4" w:space="0" w:color="000000"/>
              <w:right w:val="single" w:sz="4" w:space="0" w:color="000000"/>
            </w:tcBorders>
          </w:tcPr>
          <w:p>
            <w:pPr>
              <w:pStyle w:val="TableParagraph"/>
              <w:spacing w:before="0"/>
              <w:rPr>
                <w:sz w:val="18"/>
              </w:rPr>
            </w:pPr>
          </w:p>
        </w:tc>
        <w:tc>
          <w:tcPr>
            <w:tcW w:w="921" w:type="dxa"/>
            <w:tcBorders>
              <w:left w:val="single" w:sz="4" w:space="0" w:color="000000"/>
              <w:right w:val="single" w:sz="4" w:space="0" w:color="000000"/>
            </w:tcBorders>
          </w:tcPr>
          <w:p>
            <w:pPr>
              <w:pStyle w:val="TableParagraph"/>
              <w:spacing w:before="22"/>
              <w:ind w:left="58"/>
              <w:rPr>
                <w:sz w:val="18"/>
              </w:rPr>
            </w:pPr>
            <w:r>
              <w:rPr>
                <w:spacing w:val="-2"/>
                <w:sz w:val="18"/>
              </w:rPr>
              <w:t>prev.</w:t>
            </w:r>
            <w:r>
              <w:rPr>
                <w:spacing w:val="-1"/>
                <w:sz w:val="18"/>
              </w:rPr>
              <w:t> </w:t>
            </w:r>
            <w:r>
              <w:rPr>
                <w:spacing w:val="-5"/>
                <w:sz w:val="18"/>
              </w:rPr>
              <w:t>yr</w:t>
            </w:r>
          </w:p>
        </w:tc>
        <w:tc>
          <w:tcPr>
            <w:tcW w:w="524" w:type="dxa"/>
            <w:tcBorders>
              <w:left w:val="single" w:sz="4" w:space="0" w:color="000000"/>
              <w:right w:val="single" w:sz="4" w:space="0" w:color="000000"/>
            </w:tcBorders>
          </w:tcPr>
          <w:p>
            <w:pPr>
              <w:pStyle w:val="TableParagraph"/>
              <w:spacing w:before="0"/>
              <w:rPr>
                <w:sz w:val="18"/>
              </w:rPr>
            </w:pPr>
          </w:p>
        </w:tc>
        <w:tc>
          <w:tcPr>
            <w:tcW w:w="637" w:type="dxa"/>
            <w:tcBorders>
              <w:left w:val="single" w:sz="4" w:space="0" w:color="000000"/>
              <w:right w:val="single" w:sz="4" w:space="0" w:color="000000"/>
            </w:tcBorders>
          </w:tcPr>
          <w:p>
            <w:pPr>
              <w:pStyle w:val="TableParagraph"/>
              <w:spacing w:before="0"/>
              <w:rPr>
                <w:sz w:val="18"/>
              </w:rPr>
            </w:pPr>
          </w:p>
        </w:tc>
        <w:tc>
          <w:tcPr>
            <w:tcW w:w="2844" w:type="dxa"/>
            <w:tcBorders>
              <w:left w:val="single" w:sz="4" w:space="0" w:color="000000"/>
            </w:tcBorders>
          </w:tcPr>
          <w:p>
            <w:pPr>
              <w:pStyle w:val="TableParagraph"/>
              <w:spacing w:before="22"/>
              <w:ind w:left="59"/>
              <w:rPr>
                <w:sz w:val="18"/>
              </w:rPr>
            </w:pPr>
            <w:r>
              <w:rPr>
                <w:spacing w:val="-2"/>
                <w:sz w:val="18"/>
              </w:rPr>
              <w:t>canopy</w:t>
            </w:r>
            <w:r>
              <w:rPr>
                <w:spacing w:val="-6"/>
                <w:sz w:val="18"/>
              </w:rPr>
              <w:t> </w:t>
            </w:r>
            <w:r>
              <w:rPr>
                <w:spacing w:val="-2"/>
                <w:sz w:val="18"/>
              </w:rPr>
              <w:t>state</w:t>
            </w:r>
            <w:r>
              <w:rPr>
                <w:spacing w:val="-5"/>
                <w:sz w:val="18"/>
              </w:rPr>
              <w:t> </w:t>
            </w:r>
            <w:r>
              <w:rPr>
                <w:spacing w:val="-2"/>
                <w:sz w:val="18"/>
              </w:rPr>
              <w:t>before</w:t>
            </w:r>
            <w:r>
              <w:rPr>
                <w:spacing w:val="-6"/>
                <w:sz w:val="18"/>
              </w:rPr>
              <w:t> </w:t>
            </w:r>
            <w:r>
              <w:rPr>
                <w:spacing w:val="-2"/>
                <w:sz w:val="18"/>
              </w:rPr>
              <w:t>prior-year</w:t>
            </w:r>
            <w:r>
              <w:rPr>
                <w:spacing w:val="-5"/>
                <w:sz w:val="18"/>
              </w:rPr>
              <w:t> </w:t>
            </w:r>
            <w:r>
              <w:rPr>
                <w:spacing w:val="-2"/>
                <w:sz w:val="18"/>
              </w:rPr>
              <w:t>fruit</w:t>
            </w:r>
            <w:r>
              <w:rPr>
                <w:spacing w:val="-6"/>
                <w:sz w:val="18"/>
              </w:rPr>
              <w:t> </w:t>
            </w:r>
            <w:r>
              <w:rPr>
                <w:spacing w:val="-4"/>
                <w:sz w:val="18"/>
              </w:rPr>
              <w:t>set;</w:t>
            </w:r>
          </w:p>
        </w:tc>
      </w:tr>
      <w:tr>
        <w:trPr>
          <w:trHeight w:val="305" w:hRule="atLeast"/>
        </w:trPr>
        <w:tc>
          <w:tcPr>
            <w:tcW w:w="1371" w:type="dxa"/>
            <w:tcBorders>
              <w:right w:val="single" w:sz="4" w:space="0" w:color="000000"/>
            </w:tcBorders>
          </w:tcPr>
          <w:p>
            <w:pPr>
              <w:pStyle w:val="TableParagraph"/>
              <w:spacing w:before="0"/>
              <w:rPr>
                <w:sz w:val="18"/>
              </w:rPr>
            </w:pPr>
          </w:p>
        </w:tc>
        <w:tc>
          <w:tcPr>
            <w:tcW w:w="978" w:type="dxa"/>
            <w:tcBorders>
              <w:left w:val="single" w:sz="4" w:space="0" w:color="000000"/>
              <w:right w:val="single" w:sz="4" w:space="0" w:color="000000"/>
            </w:tcBorders>
          </w:tcPr>
          <w:p>
            <w:pPr>
              <w:pStyle w:val="TableParagraph"/>
              <w:spacing w:before="0"/>
              <w:rPr>
                <w:sz w:val="18"/>
              </w:rPr>
            </w:pPr>
          </w:p>
        </w:tc>
        <w:tc>
          <w:tcPr>
            <w:tcW w:w="808" w:type="dxa"/>
            <w:tcBorders>
              <w:left w:val="single" w:sz="4" w:space="0" w:color="000000"/>
              <w:right w:val="single" w:sz="4" w:space="0" w:color="000000"/>
            </w:tcBorders>
          </w:tcPr>
          <w:p>
            <w:pPr>
              <w:pStyle w:val="TableParagraph"/>
              <w:spacing w:before="0"/>
              <w:rPr>
                <w:sz w:val="18"/>
              </w:rPr>
            </w:pPr>
          </w:p>
        </w:tc>
        <w:tc>
          <w:tcPr>
            <w:tcW w:w="354" w:type="dxa"/>
            <w:tcBorders>
              <w:left w:val="single" w:sz="4" w:space="0" w:color="000000"/>
              <w:right w:val="single" w:sz="4" w:space="0" w:color="000000"/>
            </w:tcBorders>
          </w:tcPr>
          <w:p>
            <w:pPr>
              <w:pStyle w:val="TableParagraph"/>
              <w:spacing w:before="0"/>
              <w:rPr>
                <w:sz w:val="18"/>
              </w:rPr>
            </w:pPr>
          </w:p>
        </w:tc>
        <w:tc>
          <w:tcPr>
            <w:tcW w:w="921" w:type="dxa"/>
            <w:tcBorders>
              <w:left w:val="single" w:sz="4" w:space="0" w:color="000000"/>
              <w:right w:val="single" w:sz="4" w:space="0" w:color="000000"/>
            </w:tcBorders>
          </w:tcPr>
          <w:p>
            <w:pPr>
              <w:pStyle w:val="TableParagraph"/>
              <w:spacing w:before="0"/>
              <w:rPr>
                <w:sz w:val="18"/>
              </w:rPr>
            </w:pPr>
          </w:p>
        </w:tc>
        <w:tc>
          <w:tcPr>
            <w:tcW w:w="524" w:type="dxa"/>
            <w:tcBorders>
              <w:left w:val="single" w:sz="4" w:space="0" w:color="000000"/>
              <w:right w:val="single" w:sz="4" w:space="0" w:color="000000"/>
            </w:tcBorders>
          </w:tcPr>
          <w:p>
            <w:pPr>
              <w:pStyle w:val="TableParagraph"/>
              <w:spacing w:before="0"/>
              <w:rPr>
                <w:sz w:val="18"/>
              </w:rPr>
            </w:pPr>
          </w:p>
        </w:tc>
        <w:tc>
          <w:tcPr>
            <w:tcW w:w="637" w:type="dxa"/>
            <w:tcBorders>
              <w:left w:val="single" w:sz="4" w:space="0" w:color="000000"/>
              <w:right w:val="single" w:sz="4" w:space="0" w:color="000000"/>
            </w:tcBorders>
          </w:tcPr>
          <w:p>
            <w:pPr>
              <w:pStyle w:val="TableParagraph"/>
              <w:spacing w:before="0"/>
              <w:rPr>
                <w:sz w:val="18"/>
              </w:rPr>
            </w:pPr>
          </w:p>
        </w:tc>
        <w:tc>
          <w:tcPr>
            <w:tcW w:w="2844" w:type="dxa"/>
            <w:tcBorders>
              <w:left w:val="single" w:sz="4" w:space="0" w:color="000000"/>
            </w:tcBorders>
          </w:tcPr>
          <w:p>
            <w:pPr>
              <w:pStyle w:val="TableParagraph"/>
              <w:spacing w:before="22"/>
              <w:ind w:left="59"/>
              <w:rPr>
                <w:sz w:val="18"/>
              </w:rPr>
            </w:pPr>
            <w:r>
              <w:rPr>
                <w:sz w:val="18"/>
              </w:rPr>
              <w:t>carry-over</w:t>
            </w:r>
            <w:r>
              <w:rPr>
                <w:spacing w:val="-11"/>
                <w:sz w:val="18"/>
              </w:rPr>
              <w:t> </w:t>
            </w:r>
            <w:r>
              <w:rPr>
                <w:sz w:val="18"/>
              </w:rPr>
              <w:t>vigour</w:t>
            </w:r>
            <w:r>
              <w:rPr>
                <w:spacing w:val="-10"/>
                <w:sz w:val="18"/>
              </w:rPr>
              <w:t> </w:t>
            </w:r>
            <w:r>
              <w:rPr>
                <w:spacing w:val="-2"/>
                <w:sz w:val="18"/>
              </w:rPr>
              <w:t>signal</w:t>
            </w:r>
          </w:p>
        </w:tc>
      </w:tr>
      <w:tr>
        <w:trPr>
          <w:trHeight w:val="305" w:hRule="atLeast"/>
        </w:trPr>
        <w:tc>
          <w:tcPr>
            <w:tcW w:w="1371" w:type="dxa"/>
            <w:tcBorders>
              <w:right w:val="single" w:sz="4" w:space="0" w:color="000000"/>
            </w:tcBorders>
          </w:tcPr>
          <w:p>
            <w:pPr>
              <w:pStyle w:val="TableParagraph"/>
              <w:spacing w:before="62"/>
              <w:ind w:left="59"/>
              <w:rPr>
                <w:sz w:val="18"/>
              </w:rPr>
            </w:pPr>
            <w:r>
              <w:rPr>
                <w:spacing w:val="-2"/>
                <w:sz w:val="18"/>
              </w:rPr>
              <w:t>iaf_fl_y0_b20</w:t>
            </w:r>
          </w:p>
        </w:tc>
        <w:tc>
          <w:tcPr>
            <w:tcW w:w="978" w:type="dxa"/>
            <w:tcBorders>
              <w:left w:val="single" w:sz="4" w:space="0" w:color="000000"/>
              <w:right w:val="single" w:sz="4" w:space="0" w:color="000000"/>
            </w:tcBorders>
          </w:tcPr>
          <w:p>
            <w:pPr>
              <w:pStyle w:val="TableParagraph"/>
              <w:spacing w:before="62"/>
              <w:ind w:left="58"/>
              <w:rPr>
                <w:sz w:val="18"/>
              </w:rPr>
            </w:pPr>
            <w:r>
              <w:rPr>
                <w:sz w:val="18"/>
              </w:rPr>
              <w:t>Leaf</w:t>
            </w:r>
            <w:r>
              <w:rPr>
                <w:spacing w:val="36"/>
                <w:sz w:val="18"/>
              </w:rPr>
              <w:t>  </w:t>
            </w:r>
            <w:r>
              <w:rPr>
                <w:spacing w:val="-4"/>
                <w:sz w:val="18"/>
              </w:rPr>
              <w:t>Area</w:t>
            </w:r>
          </w:p>
        </w:tc>
        <w:tc>
          <w:tcPr>
            <w:tcW w:w="808" w:type="dxa"/>
            <w:tcBorders>
              <w:left w:val="single" w:sz="4" w:space="0" w:color="000000"/>
              <w:right w:val="single" w:sz="4" w:space="0" w:color="000000"/>
            </w:tcBorders>
          </w:tcPr>
          <w:p>
            <w:pPr>
              <w:pStyle w:val="TableParagraph"/>
              <w:spacing w:before="62"/>
              <w:ind w:left="58"/>
              <w:rPr>
                <w:sz w:val="18"/>
              </w:rPr>
            </w:pPr>
            <w:r>
              <w:rPr>
                <w:spacing w:val="-2"/>
                <w:sz w:val="18"/>
              </w:rPr>
              <w:t>Flowering</w:t>
            </w:r>
          </w:p>
        </w:tc>
        <w:tc>
          <w:tcPr>
            <w:tcW w:w="354" w:type="dxa"/>
            <w:tcBorders>
              <w:left w:val="single" w:sz="4" w:space="0" w:color="000000"/>
              <w:right w:val="single" w:sz="4" w:space="0" w:color="000000"/>
            </w:tcBorders>
          </w:tcPr>
          <w:p>
            <w:pPr>
              <w:pStyle w:val="TableParagraph"/>
              <w:spacing w:before="62"/>
              <w:ind w:right="46"/>
              <w:jc w:val="center"/>
              <w:rPr>
                <w:sz w:val="18"/>
              </w:rPr>
            </w:pPr>
            <w:r>
              <w:rPr>
                <w:spacing w:val="-5"/>
                <w:sz w:val="18"/>
              </w:rPr>
              <w:t>y0</w:t>
            </w:r>
          </w:p>
        </w:tc>
        <w:tc>
          <w:tcPr>
            <w:tcW w:w="921" w:type="dxa"/>
            <w:tcBorders>
              <w:left w:val="single" w:sz="4" w:space="0" w:color="000000"/>
              <w:right w:val="single" w:sz="4" w:space="0" w:color="000000"/>
            </w:tcBorders>
          </w:tcPr>
          <w:p>
            <w:pPr>
              <w:pStyle w:val="TableParagraph"/>
              <w:spacing w:before="62"/>
              <w:ind w:left="58"/>
              <w:rPr>
                <w:sz w:val="18"/>
              </w:rPr>
            </w:pPr>
            <w:r>
              <w:rPr>
                <w:sz w:val="18"/>
              </w:rPr>
              <w:t>20d</w:t>
            </w:r>
            <w:r>
              <w:rPr>
                <w:spacing w:val="9"/>
                <w:sz w:val="18"/>
              </w:rPr>
              <w:t> </w:t>
            </w:r>
            <w:r>
              <w:rPr>
                <w:spacing w:val="-2"/>
                <w:sz w:val="18"/>
              </w:rPr>
              <w:t>before</w:t>
            </w:r>
          </w:p>
        </w:tc>
        <w:tc>
          <w:tcPr>
            <w:tcW w:w="524" w:type="dxa"/>
            <w:tcBorders>
              <w:left w:val="single" w:sz="4" w:space="0" w:color="000000"/>
              <w:right w:val="single" w:sz="4" w:space="0" w:color="000000"/>
            </w:tcBorders>
          </w:tcPr>
          <w:p>
            <w:pPr>
              <w:pStyle w:val="TableParagraph"/>
              <w:spacing w:before="29"/>
              <w:ind w:left="58" w:right="-29"/>
              <w:rPr>
                <w:position w:val="7"/>
                <w:sz w:val="14"/>
              </w:rPr>
            </w:pPr>
            <w:r>
              <w:rPr>
                <w:spacing w:val="-2"/>
                <w:sz w:val="18"/>
              </w:rPr>
              <w:t>m</w:t>
            </w:r>
            <w:r>
              <w:rPr>
                <w:spacing w:val="-2"/>
                <w:position w:val="7"/>
                <w:sz w:val="14"/>
              </w:rPr>
              <w:t>2</w:t>
            </w:r>
            <w:r>
              <w:rPr>
                <w:spacing w:val="-2"/>
                <w:sz w:val="18"/>
              </w:rPr>
              <w:t>/m</w:t>
            </w:r>
            <w:r>
              <w:rPr>
                <w:spacing w:val="-2"/>
                <w:position w:val="7"/>
                <w:sz w:val="14"/>
              </w:rPr>
              <w:t>2</w:t>
            </w:r>
          </w:p>
        </w:tc>
        <w:tc>
          <w:tcPr>
            <w:tcW w:w="637" w:type="dxa"/>
            <w:tcBorders>
              <w:left w:val="single" w:sz="4" w:space="0" w:color="000000"/>
              <w:right w:val="single" w:sz="4" w:space="0" w:color="000000"/>
            </w:tcBorders>
          </w:tcPr>
          <w:p>
            <w:pPr>
              <w:pStyle w:val="TableParagraph"/>
              <w:spacing w:before="62"/>
              <w:ind w:left="59" w:right="-15"/>
              <w:jc w:val="center"/>
              <w:rPr>
                <w:sz w:val="18"/>
              </w:rPr>
            </w:pPr>
            <w:r>
              <w:rPr>
                <w:spacing w:val="-7"/>
                <w:sz w:val="18"/>
              </w:rPr>
              <w:t>Average</w:t>
            </w:r>
          </w:p>
        </w:tc>
        <w:tc>
          <w:tcPr>
            <w:tcW w:w="2844" w:type="dxa"/>
            <w:tcBorders>
              <w:left w:val="single" w:sz="4" w:space="0" w:color="000000"/>
            </w:tcBorders>
          </w:tcPr>
          <w:p>
            <w:pPr>
              <w:pStyle w:val="TableParagraph"/>
              <w:spacing w:before="62"/>
              <w:ind w:left="59"/>
              <w:rPr>
                <w:sz w:val="18"/>
              </w:rPr>
            </w:pPr>
            <w:r>
              <w:rPr>
                <w:sz w:val="18"/>
              </w:rPr>
              <w:t>Wider</w:t>
            </w:r>
            <w:r>
              <w:rPr>
                <w:spacing w:val="70"/>
                <w:w w:val="150"/>
                <w:sz w:val="18"/>
              </w:rPr>
              <w:t> </w:t>
            </w:r>
            <w:r>
              <w:rPr>
                <w:sz w:val="18"/>
              </w:rPr>
              <w:t>previous-year</w:t>
            </w:r>
            <w:r>
              <w:rPr>
                <w:spacing w:val="71"/>
                <w:w w:val="150"/>
                <w:sz w:val="18"/>
              </w:rPr>
              <w:t> </w:t>
            </w:r>
            <w:r>
              <w:rPr>
                <w:sz w:val="18"/>
              </w:rPr>
              <w:t>pre-</w:t>
            </w:r>
            <w:r>
              <w:rPr>
                <w:spacing w:val="-2"/>
                <w:sz w:val="18"/>
              </w:rPr>
              <w:t>flowering</w:t>
            </w:r>
          </w:p>
        </w:tc>
      </w:tr>
      <w:tr>
        <w:trPr>
          <w:trHeight w:val="329" w:hRule="atLeast"/>
        </w:trPr>
        <w:tc>
          <w:tcPr>
            <w:tcW w:w="1371" w:type="dxa"/>
            <w:tcBorders>
              <w:bottom w:val="single" w:sz="6" w:space="0" w:color="000000"/>
              <w:right w:val="single" w:sz="4" w:space="0" w:color="000000"/>
            </w:tcBorders>
          </w:tcPr>
          <w:p>
            <w:pPr>
              <w:pStyle w:val="TableParagraph"/>
              <w:spacing w:before="0"/>
              <w:rPr>
                <w:sz w:val="18"/>
              </w:rPr>
            </w:pPr>
          </w:p>
        </w:tc>
        <w:tc>
          <w:tcPr>
            <w:tcW w:w="978" w:type="dxa"/>
            <w:tcBorders>
              <w:left w:val="single" w:sz="4" w:space="0" w:color="000000"/>
              <w:bottom w:val="single" w:sz="6" w:space="0" w:color="000000"/>
              <w:right w:val="single" w:sz="4" w:space="0" w:color="000000"/>
            </w:tcBorders>
          </w:tcPr>
          <w:p>
            <w:pPr>
              <w:pStyle w:val="TableParagraph"/>
              <w:spacing w:before="22"/>
              <w:ind w:left="58"/>
              <w:rPr>
                <w:sz w:val="18"/>
              </w:rPr>
            </w:pPr>
            <w:r>
              <w:rPr>
                <w:spacing w:val="-2"/>
                <w:sz w:val="18"/>
              </w:rPr>
              <w:t>Index</w:t>
            </w:r>
          </w:p>
        </w:tc>
        <w:tc>
          <w:tcPr>
            <w:tcW w:w="808" w:type="dxa"/>
            <w:tcBorders>
              <w:left w:val="single" w:sz="4" w:space="0" w:color="000000"/>
              <w:bottom w:val="single" w:sz="6" w:space="0" w:color="000000"/>
              <w:right w:val="single" w:sz="4" w:space="0" w:color="000000"/>
            </w:tcBorders>
          </w:tcPr>
          <w:p>
            <w:pPr>
              <w:pStyle w:val="TableParagraph"/>
              <w:spacing w:before="0"/>
              <w:rPr>
                <w:sz w:val="18"/>
              </w:rPr>
            </w:pPr>
          </w:p>
        </w:tc>
        <w:tc>
          <w:tcPr>
            <w:tcW w:w="354" w:type="dxa"/>
            <w:tcBorders>
              <w:left w:val="single" w:sz="4" w:space="0" w:color="000000"/>
              <w:bottom w:val="single" w:sz="6" w:space="0" w:color="000000"/>
              <w:right w:val="single" w:sz="4" w:space="0" w:color="000000"/>
            </w:tcBorders>
          </w:tcPr>
          <w:p>
            <w:pPr>
              <w:pStyle w:val="TableParagraph"/>
              <w:spacing w:before="0"/>
              <w:rPr>
                <w:sz w:val="18"/>
              </w:rPr>
            </w:pPr>
          </w:p>
        </w:tc>
        <w:tc>
          <w:tcPr>
            <w:tcW w:w="921" w:type="dxa"/>
            <w:tcBorders>
              <w:left w:val="single" w:sz="4" w:space="0" w:color="000000"/>
              <w:bottom w:val="single" w:sz="6" w:space="0" w:color="000000"/>
              <w:right w:val="single" w:sz="4" w:space="0" w:color="000000"/>
            </w:tcBorders>
          </w:tcPr>
          <w:p>
            <w:pPr>
              <w:pStyle w:val="TableParagraph"/>
              <w:spacing w:before="22"/>
              <w:ind w:left="58"/>
              <w:rPr>
                <w:sz w:val="18"/>
              </w:rPr>
            </w:pPr>
            <w:r>
              <w:rPr>
                <w:spacing w:val="-2"/>
                <w:sz w:val="18"/>
              </w:rPr>
              <w:t>prev.</w:t>
            </w:r>
            <w:r>
              <w:rPr>
                <w:spacing w:val="-1"/>
                <w:sz w:val="18"/>
              </w:rPr>
              <w:t> </w:t>
            </w:r>
            <w:r>
              <w:rPr>
                <w:spacing w:val="-5"/>
                <w:sz w:val="18"/>
              </w:rPr>
              <w:t>yr</w:t>
            </w:r>
          </w:p>
        </w:tc>
        <w:tc>
          <w:tcPr>
            <w:tcW w:w="524" w:type="dxa"/>
            <w:tcBorders>
              <w:left w:val="single" w:sz="4" w:space="0" w:color="000000"/>
              <w:bottom w:val="single" w:sz="6" w:space="0" w:color="000000"/>
              <w:right w:val="single" w:sz="4" w:space="0" w:color="000000"/>
            </w:tcBorders>
          </w:tcPr>
          <w:p>
            <w:pPr>
              <w:pStyle w:val="TableParagraph"/>
              <w:spacing w:before="0"/>
              <w:rPr>
                <w:sz w:val="18"/>
              </w:rPr>
            </w:pPr>
          </w:p>
        </w:tc>
        <w:tc>
          <w:tcPr>
            <w:tcW w:w="637" w:type="dxa"/>
            <w:tcBorders>
              <w:left w:val="single" w:sz="4" w:space="0" w:color="000000"/>
              <w:bottom w:val="single" w:sz="6" w:space="0" w:color="000000"/>
              <w:right w:val="single" w:sz="4" w:space="0" w:color="000000"/>
            </w:tcBorders>
          </w:tcPr>
          <w:p>
            <w:pPr>
              <w:pStyle w:val="TableParagraph"/>
              <w:spacing w:before="0"/>
              <w:rPr>
                <w:sz w:val="18"/>
              </w:rPr>
            </w:pPr>
          </w:p>
        </w:tc>
        <w:tc>
          <w:tcPr>
            <w:tcW w:w="2844" w:type="dxa"/>
            <w:tcBorders>
              <w:left w:val="single" w:sz="4" w:space="0" w:color="000000"/>
              <w:bottom w:val="single" w:sz="6" w:space="0" w:color="000000"/>
            </w:tcBorders>
          </w:tcPr>
          <w:p>
            <w:pPr>
              <w:pStyle w:val="TableParagraph"/>
              <w:spacing w:before="22"/>
              <w:ind w:left="59"/>
              <w:rPr>
                <w:sz w:val="18"/>
              </w:rPr>
            </w:pPr>
            <w:r>
              <w:rPr>
                <w:sz w:val="18"/>
              </w:rPr>
              <w:t>LAI</w:t>
            </w:r>
            <w:r>
              <w:rPr>
                <w:spacing w:val="-4"/>
                <w:sz w:val="18"/>
              </w:rPr>
              <w:t> </w:t>
            </w:r>
            <w:r>
              <w:rPr>
                <w:spacing w:val="-2"/>
                <w:sz w:val="18"/>
              </w:rPr>
              <w:t>window</w:t>
            </w:r>
          </w:p>
        </w:tc>
      </w:tr>
    </w:tbl>
    <w:p>
      <w:pPr>
        <w:spacing w:before="154"/>
        <w:ind w:left="0" w:right="1649" w:firstLine="0"/>
        <w:jc w:val="right"/>
        <w:rPr>
          <w:i/>
          <w:sz w:val="18"/>
        </w:rPr>
      </w:pPr>
      <w:r>
        <w:rPr>
          <w:i/>
          <w:sz w:val="18"/>
        </w:rPr>
        <w:t>Continued</w:t>
      </w:r>
      <w:r>
        <w:rPr>
          <w:i/>
          <w:spacing w:val="-7"/>
          <w:sz w:val="18"/>
        </w:rPr>
        <w:t> </w:t>
      </w:r>
      <w:r>
        <w:rPr>
          <w:i/>
          <w:sz w:val="18"/>
        </w:rPr>
        <w:t>on</w:t>
      </w:r>
      <w:r>
        <w:rPr>
          <w:i/>
          <w:spacing w:val="-6"/>
          <w:sz w:val="18"/>
        </w:rPr>
        <w:t> </w:t>
      </w:r>
      <w:r>
        <w:rPr>
          <w:i/>
          <w:sz w:val="18"/>
        </w:rPr>
        <w:t>next</w:t>
      </w:r>
      <w:r>
        <w:rPr>
          <w:i/>
          <w:spacing w:val="-7"/>
          <w:sz w:val="18"/>
        </w:rPr>
        <w:t> </w:t>
      </w:r>
      <w:r>
        <w:rPr>
          <w:i/>
          <w:spacing w:val="-4"/>
          <w:sz w:val="18"/>
        </w:rPr>
        <w:t>page</w:t>
      </w:r>
    </w:p>
    <w:p>
      <w:pPr>
        <w:spacing w:after="0"/>
        <w:jc w:val="right"/>
        <w:rPr>
          <w:i/>
          <w:sz w:val="18"/>
        </w:rPr>
        <w:sectPr>
          <w:pgSz w:w="11910" w:h="16840"/>
          <w:pgMar w:header="1160" w:footer="0" w:top="1420" w:bottom="280" w:left="1275" w:right="425"/>
        </w:sectPr>
      </w:pPr>
    </w:p>
    <w:p>
      <w:pPr>
        <w:pStyle w:val="BodyText"/>
        <w:rPr>
          <w:i/>
          <w:sz w:val="18"/>
        </w:rPr>
      </w:pPr>
    </w:p>
    <w:p>
      <w:pPr>
        <w:pStyle w:val="BodyText"/>
        <w:spacing w:before="178"/>
        <w:rPr>
          <w:i/>
          <w:sz w:val="18"/>
        </w:rPr>
      </w:pPr>
    </w:p>
    <w:p>
      <w:pPr>
        <w:spacing w:before="0"/>
        <w:ind w:left="801" w:right="0" w:firstLine="0"/>
        <w:jc w:val="left"/>
        <w:rPr>
          <w:i/>
          <w:sz w:val="18"/>
        </w:rPr>
      </w:pPr>
      <w:r>
        <w:rPr>
          <w:i/>
          <w:spacing w:val="-2"/>
          <w:sz w:val="18"/>
        </w:rPr>
        <w:t>Table </w:t>
      </w:r>
      <w:hyperlink w:history="true" w:anchor="_bookmark189">
        <w:r>
          <w:rPr>
            <w:i/>
            <w:color w:val="8B2C18"/>
            <w:spacing w:val="-2"/>
            <w:sz w:val="18"/>
          </w:rPr>
          <w:t>C.5</w:t>
        </w:r>
      </w:hyperlink>
      <w:r>
        <w:rPr>
          <w:i/>
          <w:color w:val="8B2C18"/>
          <w:spacing w:val="-1"/>
          <w:sz w:val="18"/>
        </w:rPr>
        <w:t> </w:t>
      </w:r>
      <w:r>
        <w:rPr>
          <w:i/>
          <w:spacing w:val="-2"/>
          <w:sz w:val="18"/>
        </w:rPr>
        <w:t>continued</w:t>
      </w:r>
      <w:r>
        <w:rPr>
          <w:i/>
          <w:spacing w:val="-1"/>
          <w:sz w:val="18"/>
        </w:rPr>
        <w:t> </w:t>
      </w:r>
      <w:r>
        <w:rPr>
          <w:i/>
          <w:spacing w:val="-2"/>
          <w:sz w:val="18"/>
        </w:rPr>
        <w:t>from previous</w:t>
      </w:r>
      <w:r>
        <w:rPr>
          <w:i/>
          <w:spacing w:val="-1"/>
          <w:sz w:val="18"/>
        </w:rPr>
        <w:t> </w:t>
      </w:r>
      <w:r>
        <w:rPr>
          <w:i/>
          <w:spacing w:val="-4"/>
          <w:sz w:val="18"/>
        </w:rPr>
        <w:t>page</w:t>
      </w:r>
    </w:p>
    <w:p>
      <w:pPr>
        <w:pStyle w:val="BodyText"/>
        <w:spacing w:before="3"/>
        <w:rPr>
          <w:i/>
          <w:sz w:val="4"/>
        </w:rPr>
      </w:pPr>
      <w:r>
        <w:rPr>
          <w:i/>
          <w:sz w:val="4"/>
        </w:rPr>
        <mc:AlternateContent>
          <mc:Choice Requires="wps">
            <w:drawing>
              <wp:anchor distT="0" distB="0" distL="0" distR="0" allowOverlap="1" layoutInCell="1" locked="0" behindDoc="1" simplePos="0" relativeHeight="487644160">
                <wp:simplePos x="0" y="0"/>
                <wp:positionH relativeFrom="page">
                  <wp:posOffset>1280629</wp:posOffset>
                </wp:positionH>
                <wp:positionV relativeFrom="paragraph">
                  <wp:posOffset>46662</wp:posOffset>
                </wp:positionV>
                <wp:extent cx="5358765" cy="1270"/>
                <wp:effectExtent l="0" t="0" r="0" b="0"/>
                <wp:wrapTopAndBottom/>
                <wp:docPr id="303" name="Graphic 303"/>
                <wp:cNvGraphicFramePr>
                  <a:graphicFrameLocks/>
                </wp:cNvGraphicFramePr>
                <a:graphic>
                  <a:graphicData uri="http://schemas.microsoft.com/office/word/2010/wordprocessingShape">
                    <wps:wsp>
                      <wps:cNvPr id="303" name="Graphic 303"/>
                      <wps:cNvSpPr/>
                      <wps:spPr>
                        <a:xfrm>
                          <a:off x="0" y="0"/>
                          <a:ext cx="5358765" cy="1270"/>
                        </a:xfrm>
                        <a:custGeom>
                          <a:avLst/>
                          <a:gdLst/>
                          <a:ahLst/>
                          <a:cxnLst/>
                          <a:rect l="l" t="t" r="r" b="b"/>
                          <a:pathLst>
                            <a:path w="5358765" h="0">
                              <a:moveTo>
                                <a:pt x="0" y="0"/>
                              </a:moveTo>
                              <a:lnTo>
                                <a:pt x="5358739"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0.836998pt;margin-top:3.67418pt;width:421.95pt;height:.1pt;mso-position-horizontal-relative:page;mso-position-vertical-relative:paragraph;z-index:-15672320;mso-wrap-distance-left:0;mso-wrap-distance-right:0" id="docshape266" coordorigin="2017,73" coordsize="8439,0" path="m2017,73l10456,73e" filled="false" stroked="true" strokeweight=".868pt" strokecolor="#000000">
                <v:path arrowok="t"/>
                <v:stroke dashstyle="solid"/>
                <w10:wrap type="topAndBottom"/>
              </v:shape>
            </w:pict>
          </mc:Fallback>
        </mc:AlternateContent>
      </w:r>
    </w:p>
    <w:p>
      <w:pPr>
        <w:pStyle w:val="BodyText"/>
        <w:spacing w:before="9"/>
        <w:rPr>
          <w:i/>
          <w:sz w:val="4"/>
        </w:rPr>
      </w:pPr>
    </w:p>
    <w:tbl>
      <w:tblPr>
        <w:tblW w:w="0" w:type="auto"/>
        <w:jc w:val="left"/>
        <w:tblInd w:w="7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71"/>
        <w:gridCol w:w="978"/>
        <w:gridCol w:w="808"/>
        <w:gridCol w:w="354"/>
        <w:gridCol w:w="921"/>
        <w:gridCol w:w="524"/>
        <w:gridCol w:w="637"/>
        <w:gridCol w:w="2844"/>
      </w:tblGrid>
      <w:tr>
        <w:trPr>
          <w:trHeight w:val="381" w:hRule="atLeast"/>
        </w:trPr>
        <w:tc>
          <w:tcPr>
            <w:tcW w:w="1371" w:type="dxa"/>
            <w:tcBorders>
              <w:top w:val="nil"/>
              <w:left w:val="nil"/>
              <w:right w:val="single" w:sz="4" w:space="0" w:color="000000"/>
            </w:tcBorders>
          </w:tcPr>
          <w:p>
            <w:pPr>
              <w:pStyle w:val="TableParagraph"/>
              <w:spacing w:before="74"/>
              <w:ind w:left="59"/>
              <w:rPr>
                <w:sz w:val="18"/>
              </w:rPr>
            </w:pPr>
            <w:r>
              <w:rPr>
                <w:sz w:val="18"/>
              </w:rPr>
              <w:t>Feature</w:t>
            </w:r>
            <w:r>
              <w:rPr>
                <w:spacing w:val="-7"/>
                <w:sz w:val="18"/>
              </w:rPr>
              <w:t> </w:t>
            </w:r>
            <w:r>
              <w:rPr>
                <w:spacing w:val="-4"/>
                <w:sz w:val="18"/>
              </w:rPr>
              <w:t>name</w:t>
            </w:r>
          </w:p>
        </w:tc>
        <w:tc>
          <w:tcPr>
            <w:tcW w:w="978" w:type="dxa"/>
            <w:tcBorders>
              <w:top w:val="nil"/>
              <w:left w:val="single" w:sz="4" w:space="0" w:color="000000"/>
              <w:right w:val="single" w:sz="4" w:space="0" w:color="000000"/>
            </w:tcBorders>
          </w:tcPr>
          <w:p>
            <w:pPr>
              <w:pStyle w:val="TableParagraph"/>
              <w:spacing w:before="74"/>
              <w:ind w:left="58"/>
              <w:rPr>
                <w:sz w:val="18"/>
              </w:rPr>
            </w:pPr>
            <w:r>
              <w:rPr>
                <w:spacing w:val="-2"/>
                <w:sz w:val="18"/>
              </w:rPr>
              <w:t>Variable</w:t>
            </w:r>
          </w:p>
        </w:tc>
        <w:tc>
          <w:tcPr>
            <w:tcW w:w="808" w:type="dxa"/>
            <w:tcBorders>
              <w:top w:val="nil"/>
              <w:left w:val="single" w:sz="4" w:space="0" w:color="000000"/>
              <w:right w:val="single" w:sz="4" w:space="0" w:color="000000"/>
            </w:tcBorders>
          </w:tcPr>
          <w:p>
            <w:pPr>
              <w:pStyle w:val="TableParagraph"/>
              <w:spacing w:before="74"/>
              <w:ind w:left="58"/>
              <w:rPr>
                <w:sz w:val="18"/>
              </w:rPr>
            </w:pPr>
            <w:r>
              <w:rPr>
                <w:spacing w:val="-2"/>
                <w:sz w:val="18"/>
              </w:rPr>
              <w:t>Stage</w:t>
            </w:r>
          </w:p>
        </w:tc>
        <w:tc>
          <w:tcPr>
            <w:tcW w:w="354" w:type="dxa"/>
            <w:tcBorders>
              <w:top w:val="nil"/>
              <w:left w:val="single" w:sz="4" w:space="0" w:color="000000"/>
              <w:right w:val="single" w:sz="4" w:space="0" w:color="000000"/>
            </w:tcBorders>
          </w:tcPr>
          <w:p>
            <w:pPr>
              <w:pStyle w:val="TableParagraph"/>
              <w:spacing w:before="74"/>
              <w:ind w:left="58" w:right="-44"/>
              <w:rPr>
                <w:sz w:val="18"/>
              </w:rPr>
            </w:pPr>
            <w:r>
              <w:rPr>
                <w:spacing w:val="-9"/>
                <w:sz w:val="18"/>
              </w:rPr>
              <w:t>Year</w:t>
            </w:r>
          </w:p>
        </w:tc>
        <w:tc>
          <w:tcPr>
            <w:tcW w:w="921" w:type="dxa"/>
            <w:tcBorders>
              <w:top w:val="nil"/>
              <w:left w:val="single" w:sz="4" w:space="0" w:color="000000"/>
              <w:right w:val="single" w:sz="4" w:space="0" w:color="000000"/>
            </w:tcBorders>
          </w:tcPr>
          <w:p>
            <w:pPr>
              <w:pStyle w:val="TableParagraph"/>
              <w:spacing w:before="74"/>
              <w:ind w:left="58"/>
              <w:rPr>
                <w:sz w:val="18"/>
              </w:rPr>
            </w:pPr>
            <w:r>
              <w:rPr>
                <w:spacing w:val="-2"/>
                <w:sz w:val="18"/>
              </w:rPr>
              <w:t>Window</w:t>
            </w:r>
          </w:p>
        </w:tc>
        <w:tc>
          <w:tcPr>
            <w:tcW w:w="524" w:type="dxa"/>
            <w:tcBorders>
              <w:top w:val="nil"/>
              <w:left w:val="single" w:sz="4" w:space="0" w:color="000000"/>
              <w:right w:val="single" w:sz="4" w:space="0" w:color="000000"/>
            </w:tcBorders>
          </w:tcPr>
          <w:p>
            <w:pPr>
              <w:pStyle w:val="TableParagraph"/>
              <w:spacing w:before="74"/>
              <w:ind w:left="58"/>
              <w:rPr>
                <w:sz w:val="18"/>
              </w:rPr>
            </w:pPr>
            <w:r>
              <w:rPr>
                <w:spacing w:val="-4"/>
                <w:sz w:val="18"/>
              </w:rPr>
              <w:t>Unit</w:t>
            </w:r>
          </w:p>
        </w:tc>
        <w:tc>
          <w:tcPr>
            <w:tcW w:w="637" w:type="dxa"/>
            <w:tcBorders>
              <w:top w:val="nil"/>
              <w:left w:val="single" w:sz="4" w:space="0" w:color="000000"/>
              <w:right w:val="single" w:sz="4" w:space="0" w:color="000000"/>
            </w:tcBorders>
          </w:tcPr>
          <w:p>
            <w:pPr>
              <w:pStyle w:val="TableParagraph"/>
              <w:spacing w:before="74"/>
              <w:ind w:left="59"/>
              <w:rPr>
                <w:sz w:val="18"/>
              </w:rPr>
            </w:pPr>
            <w:r>
              <w:rPr>
                <w:spacing w:val="-4"/>
                <w:sz w:val="18"/>
              </w:rPr>
              <w:t>Calc</w:t>
            </w:r>
          </w:p>
        </w:tc>
        <w:tc>
          <w:tcPr>
            <w:tcW w:w="2844" w:type="dxa"/>
            <w:tcBorders>
              <w:top w:val="nil"/>
              <w:left w:val="single" w:sz="4" w:space="0" w:color="000000"/>
              <w:right w:val="nil"/>
            </w:tcBorders>
          </w:tcPr>
          <w:p>
            <w:pPr>
              <w:pStyle w:val="TableParagraph"/>
              <w:spacing w:before="74"/>
              <w:ind w:left="59"/>
              <w:rPr>
                <w:sz w:val="18"/>
              </w:rPr>
            </w:pPr>
            <w:r>
              <w:rPr>
                <w:sz w:val="18"/>
              </w:rPr>
              <w:t>Agronomic</w:t>
            </w:r>
            <w:r>
              <w:rPr>
                <w:spacing w:val="-10"/>
                <w:sz w:val="18"/>
              </w:rPr>
              <w:t> </w:t>
            </w:r>
            <w:r>
              <w:rPr>
                <w:spacing w:val="-2"/>
                <w:sz w:val="18"/>
              </w:rPr>
              <w:t>interpretation</w:t>
            </w:r>
          </w:p>
        </w:tc>
      </w:tr>
    </w:tbl>
    <w:p>
      <w:pPr>
        <w:pStyle w:val="BodyText"/>
        <w:spacing w:before="10"/>
        <w:rPr>
          <w:i/>
          <w:sz w:val="4"/>
        </w:rPr>
      </w:pPr>
    </w:p>
    <w:tbl>
      <w:tblPr>
        <w:tblW w:w="0" w:type="auto"/>
        <w:jc w:val="left"/>
        <w:tblInd w:w="7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71"/>
        <w:gridCol w:w="978"/>
        <w:gridCol w:w="808"/>
        <w:gridCol w:w="354"/>
        <w:gridCol w:w="921"/>
        <w:gridCol w:w="524"/>
        <w:gridCol w:w="637"/>
        <w:gridCol w:w="2844"/>
      </w:tblGrid>
      <w:tr>
        <w:trPr>
          <w:trHeight w:val="913" w:hRule="atLeast"/>
        </w:trPr>
        <w:tc>
          <w:tcPr>
            <w:tcW w:w="1371" w:type="dxa"/>
            <w:tcBorders>
              <w:top w:val="nil"/>
              <w:left w:val="nil"/>
              <w:right w:val="single" w:sz="4" w:space="0" w:color="000000"/>
            </w:tcBorders>
          </w:tcPr>
          <w:p>
            <w:pPr>
              <w:pStyle w:val="TableParagraph"/>
              <w:spacing w:before="74"/>
              <w:ind w:left="59"/>
              <w:rPr>
                <w:sz w:val="18"/>
              </w:rPr>
            </w:pPr>
            <w:r>
              <w:rPr>
                <w:spacing w:val="-2"/>
                <w:sz w:val="18"/>
              </w:rPr>
              <w:t>iaf_fl_y0_b30</w:t>
            </w:r>
          </w:p>
        </w:tc>
        <w:tc>
          <w:tcPr>
            <w:tcW w:w="978" w:type="dxa"/>
            <w:tcBorders>
              <w:top w:val="nil"/>
              <w:left w:val="single" w:sz="4" w:space="0" w:color="000000"/>
              <w:right w:val="single" w:sz="4" w:space="0" w:color="000000"/>
            </w:tcBorders>
          </w:tcPr>
          <w:p>
            <w:pPr>
              <w:pStyle w:val="TableParagraph"/>
              <w:spacing w:line="307" w:lineRule="auto" w:before="74"/>
              <w:ind w:left="58"/>
              <w:rPr>
                <w:sz w:val="18"/>
              </w:rPr>
            </w:pPr>
            <w:r>
              <w:rPr>
                <w:sz w:val="18"/>
              </w:rPr>
              <w:t>Leaf</w:t>
            </w:r>
            <w:r>
              <w:rPr>
                <w:spacing w:val="80"/>
                <w:sz w:val="18"/>
              </w:rPr>
              <w:t> </w:t>
            </w:r>
            <w:r>
              <w:rPr>
                <w:sz w:val="18"/>
              </w:rPr>
              <w:t>Area </w:t>
            </w:r>
            <w:r>
              <w:rPr>
                <w:spacing w:val="-2"/>
                <w:sz w:val="18"/>
              </w:rPr>
              <w:t>Index</w:t>
            </w:r>
          </w:p>
        </w:tc>
        <w:tc>
          <w:tcPr>
            <w:tcW w:w="808" w:type="dxa"/>
            <w:tcBorders>
              <w:top w:val="nil"/>
              <w:left w:val="single" w:sz="4" w:space="0" w:color="000000"/>
              <w:right w:val="single" w:sz="4" w:space="0" w:color="000000"/>
            </w:tcBorders>
          </w:tcPr>
          <w:p>
            <w:pPr>
              <w:pStyle w:val="TableParagraph"/>
              <w:spacing w:before="74"/>
              <w:ind w:left="58"/>
              <w:rPr>
                <w:sz w:val="18"/>
              </w:rPr>
            </w:pPr>
            <w:r>
              <w:rPr>
                <w:spacing w:val="-2"/>
                <w:sz w:val="18"/>
              </w:rPr>
              <w:t>Flowering</w:t>
            </w:r>
          </w:p>
        </w:tc>
        <w:tc>
          <w:tcPr>
            <w:tcW w:w="354" w:type="dxa"/>
            <w:tcBorders>
              <w:top w:val="nil"/>
              <w:left w:val="single" w:sz="4" w:space="0" w:color="000000"/>
              <w:right w:val="single" w:sz="4" w:space="0" w:color="000000"/>
            </w:tcBorders>
          </w:tcPr>
          <w:p>
            <w:pPr>
              <w:pStyle w:val="TableParagraph"/>
              <w:spacing w:before="74"/>
              <w:ind w:left="58"/>
              <w:rPr>
                <w:sz w:val="18"/>
              </w:rPr>
            </w:pPr>
            <w:r>
              <w:rPr>
                <w:spacing w:val="-5"/>
                <w:sz w:val="18"/>
              </w:rPr>
              <w:t>y0</w:t>
            </w:r>
          </w:p>
        </w:tc>
        <w:tc>
          <w:tcPr>
            <w:tcW w:w="921" w:type="dxa"/>
            <w:tcBorders>
              <w:top w:val="nil"/>
              <w:left w:val="single" w:sz="4" w:space="0" w:color="000000"/>
              <w:right w:val="single" w:sz="4" w:space="0" w:color="000000"/>
            </w:tcBorders>
          </w:tcPr>
          <w:p>
            <w:pPr>
              <w:pStyle w:val="TableParagraph"/>
              <w:spacing w:line="307" w:lineRule="auto" w:before="74"/>
              <w:ind w:left="58"/>
              <w:rPr>
                <w:sz w:val="18"/>
              </w:rPr>
            </w:pPr>
            <w:r>
              <w:rPr>
                <w:sz w:val="18"/>
              </w:rPr>
              <w:t>30d</w:t>
            </w:r>
            <w:r>
              <w:rPr>
                <w:spacing w:val="-12"/>
                <w:sz w:val="18"/>
              </w:rPr>
              <w:t> </w:t>
            </w:r>
            <w:r>
              <w:rPr>
                <w:sz w:val="18"/>
              </w:rPr>
              <w:t>before prev. yr</w:t>
            </w:r>
          </w:p>
        </w:tc>
        <w:tc>
          <w:tcPr>
            <w:tcW w:w="524" w:type="dxa"/>
            <w:tcBorders>
              <w:top w:val="nil"/>
              <w:left w:val="single" w:sz="4" w:space="0" w:color="000000"/>
              <w:right w:val="single" w:sz="4" w:space="0" w:color="000000"/>
            </w:tcBorders>
          </w:tcPr>
          <w:p>
            <w:pPr>
              <w:pStyle w:val="TableParagraph"/>
              <w:spacing w:before="41"/>
              <w:ind w:left="58" w:right="-29"/>
              <w:rPr>
                <w:position w:val="7"/>
                <w:sz w:val="14"/>
              </w:rPr>
            </w:pPr>
            <w:r>
              <w:rPr>
                <w:spacing w:val="-2"/>
                <w:sz w:val="18"/>
              </w:rPr>
              <w:t>m</w:t>
            </w:r>
            <w:r>
              <w:rPr>
                <w:spacing w:val="-2"/>
                <w:position w:val="7"/>
                <w:sz w:val="14"/>
              </w:rPr>
              <w:t>2</w:t>
            </w:r>
            <w:r>
              <w:rPr>
                <w:spacing w:val="-2"/>
                <w:sz w:val="18"/>
              </w:rPr>
              <w:t>/m</w:t>
            </w:r>
            <w:r>
              <w:rPr>
                <w:spacing w:val="-2"/>
                <w:position w:val="7"/>
                <w:sz w:val="14"/>
              </w:rPr>
              <w:t>2</w:t>
            </w:r>
          </w:p>
        </w:tc>
        <w:tc>
          <w:tcPr>
            <w:tcW w:w="637" w:type="dxa"/>
            <w:tcBorders>
              <w:top w:val="nil"/>
              <w:left w:val="single" w:sz="4" w:space="0" w:color="000000"/>
              <w:right w:val="single" w:sz="4" w:space="0" w:color="000000"/>
            </w:tcBorders>
          </w:tcPr>
          <w:p>
            <w:pPr>
              <w:pStyle w:val="TableParagraph"/>
              <w:spacing w:before="74"/>
              <w:ind w:left="59" w:right="-15"/>
              <w:rPr>
                <w:sz w:val="18"/>
              </w:rPr>
            </w:pPr>
            <w:r>
              <w:rPr>
                <w:spacing w:val="-7"/>
                <w:sz w:val="18"/>
              </w:rPr>
              <w:t>Average</w:t>
            </w:r>
          </w:p>
        </w:tc>
        <w:tc>
          <w:tcPr>
            <w:tcW w:w="2844" w:type="dxa"/>
            <w:tcBorders>
              <w:top w:val="nil"/>
              <w:left w:val="single" w:sz="4" w:space="0" w:color="000000"/>
              <w:right w:val="nil"/>
            </w:tcBorders>
          </w:tcPr>
          <w:p>
            <w:pPr>
              <w:pStyle w:val="TableParagraph"/>
              <w:spacing w:line="307" w:lineRule="auto" w:before="74"/>
              <w:ind w:left="59" w:right="26"/>
              <w:jc w:val="both"/>
              <w:rPr>
                <w:sz w:val="18"/>
              </w:rPr>
            </w:pPr>
            <w:r>
              <w:rPr>
                <w:sz w:val="18"/>
              </w:rPr>
              <w:t>Widest previous-year pre-flowering LAI window: M5Rules LAI </w:t>
            </w:r>
            <w:r>
              <w:rPr>
                <w:sz w:val="18"/>
              </w:rPr>
              <w:t>differen-tial uses b10/b20/b30 together</w:t>
            </w:r>
          </w:p>
        </w:tc>
      </w:tr>
    </w:tbl>
    <w:p>
      <w:pPr>
        <w:pStyle w:val="BodyText"/>
        <w:spacing w:before="163"/>
        <w:rPr>
          <w:i/>
          <w:sz w:val="18"/>
        </w:rPr>
      </w:pPr>
    </w:p>
    <w:p>
      <w:pPr>
        <w:pStyle w:val="BodyText"/>
        <w:spacing w:line="312" w:lineRule="auto" w:before="1"/>
        <w:ind w:left="702" w:right="990" w:firstLine="345"/>
      </w:pPr>
      <w:r>
        <w:rPr/>
        <w:t>iaf_hv_y1_c10</w:t>
      </w:r>
      <w:r>
        <w:rPr>
          <w:spacing w:val="-10"/>
        </w:rPr>
        <w:t> </w:t>
      </w:r>
      <w:r>
        <w:rPr/>
        <w:t>appears</w:t>
      </w:r>
      <w:r>
        <w:rPr>
          <w:spacing w:val="-10"/>
        </w:rPr>
        <w:t> </w:t>
      </w:r>
      <w:r>
        <w:rPr/>
        <w:t>in</w:t>
      </w:r>
      <w:r>
        <w:rPr>
          <w:spacing w:val="-10"/>
        </w:rPr>
        <w:t> </w:t>
      </w:r>
      <w:r>
        <w:rPr/>
        <w:t>2</w:t>
      </w:r>
      <w:r>
        <w:rPr>
          <w:spacing w:val="-10"/>
        </w:rPr>
        <w:t> </w:t>
      </w:r>
      <w:r>
        <w:rPr/>
        <w:t>of</w:t>
      </w:r>
      <w:r>
        <w:rPr>
          <w:spacing w:val="-10"/>
        </w:rPr>
        <w:t> </w:t>
      </w:r>
      <w:r>
        <w:rPr/>
        <w:t>20</w:t>
      </w:r>
      <w:r>
        <w:rPr>
          <w:spacing w:val="-10"/>
        </w:rPr>
        <w:t> </w:t>
      </w:r>
      <w:r>
        <w:rPr/>
        <w:t>RVV</w:t>
      </w:r>
      <w:r>
        <w:rPr>
          <w:spacing w:val="-10"/>
        </w:rPr>
        <w:t> </w:t>
      </w:r>
      <w:r>
        <w:rPr/>
        <w:t>rules;</w:t>
      </w:r>
      <w:r>
        <w:rPr>
          <w:spacing w:val="-10"/>
        </w:rPr>
        <w:t> </w:t>
      </w:r>
      <w:r>
        <w:rPr/>
        <w:t>the</w:t>
      </w:r>
      <w:r>
        <w:rPr>
          <w:spacing w:val="-10"/>
        </w:rPr>
        <w:t> </w:t>
      </w:r>
      <w:r>
        <w:rPr/>
        <w:t>dominant</w:t>
      </w:r>
      <w:r>
        <w:rPr>
          <w:spacing w:val="-10"/>
        </w:rPr>
        <w:t> </w:t>
      </w:r>
      <w:r>
        <w:rPr/>
        <w:t>RVV</w:t>
      </w:r>
      <w:r>
        <w:rPr>
          <w:spacing w:val="-10"/>
        </w:rPr>
        <w:t> </w:t>
      </w:r>
      <w:r>
        <w:rPr/>
        <w:t>features</w:t>
      </w:r>
      <w:r>
        <w:rPr>
          <w:spacing w:val="-10"/>
        </w:rPr>
        <w:t> </w:t>
      </w:r>
      <w:r>
        <w:rPr/>
        <w:t>are</w:t>
      </w:r>
      <w:r>
        <w:rPr>
          <w:spacing w:val="-10"/>
        </w:rPr>
        <w:t> </w:t>
      </w:r>
      <w:r>
        <w:rPr/>
        <w:t>heat-stress</w:t>
      </w:r>
      <w:r>
        <w:rPr>
          <w:spacing w:val="-10"/>
        </w:rPr>
        <w:t> </w:t>
      </w:r>
      <w:r>
        <w:rPr/>
        <w:t>days (up to 50% of rules).</w:t>
      </w:r>
    </w:p>
    <w:p>
      <w:pPr>
        <w:pStyle w:val="BodyText"/>
        <w:spacing w:before="140"/>
      </w:pPr>
    </w:p>
    <w:p>
      <w:pPr>
        <w:pStyle w:val="Heading2"/>
        <w:tabs>
          <w:tab w:pos="1418" w:val="left" w:leader="none"/>
        </w:tabs>
        <w:ind w:left="709" w:firstLine="0"/>
      </w:pPr>
      <w:bookmarkStart w:name="C.6 Soil Water Features (18 features)" w:id="318"/>
      <w:bookmarkEnd w:id="318"/>
      <w:r>
        <w:rPr>
          <w:b w:val="0"/>
        </w:rPr>
      </w:r>
      <w:bookmarkStart w:name="_bookmark190" w:id="319"/>
      <w:bookmarkEnd w:id="319"/>
      <w:r>
        <w:rPr>
          <w:b w:val="0"/>
        </w:rPr>
      </w:r>
      <w:r>
        <w:rPr>
          <w:spacing w:val="-5"/>
        </w:rPr>
        <w:t>C.6</w:t>
      </w:r>
      <w:r>
        <w:rPr/>
        <w:tab/>
        <w:t>Soil</w:t>
      </w:r>
      <w:r>
        <w:rPr>
          <w:spacing w:val="5"/>
        </w:rPr>
        <w:t> </w:t>
      </w:r>
      <w:r>
        <w:rPr/>
        <w:t>Water</w:t>
      </w:r>
      <w:r>
        <w:rPr>
          <w:spacing w:val="6"/>
        </w:rPr>
        <w:t> </w:t>
      </w:r>
      <w:r>
        <w:rPr/>
        <w:t>Features</w:t>
      </w:r>
      <w:r>
        <w:rPr>
          <w:spacing w:val="6"/>
        </w:rPr>
        <w:t> </w:t>
      </w:r>
      <w:r>
        <w:rPr/>
        <w:t>(18</w:t>
      </w:r>
      <w:r>
        <w:rPr>
          <w:spacing w:val="6"/>
        </w:rPr>
        <w:t> </w:t>
      </w:r>
      <w:r>
        <w:rPr>
          <w:spacing w:val="-2"/>
        </w:rPr>
        <w:t>features)</w:t>
      </w:r>
    </w:p>
    <w:p>
      <w:pPr>
        <w:pStyle w:val="BodyText"/>
        <w:spacing w:before="135"/>
        <w:rPr>
          <w:b/>
          <w:sz w:val="28"/>
        </w:rPr>
      </w:pPr>
    </w:p>
    <w:p>
      <w:pPr>
        <w:spacing w:line="211" w:lineRule="auto" w:before="0"/>
        <w:ind w:left="702" w:right="990" w:firstLine="0"/>
        <w:jc w:val="left"/>
        <w:rPr>
          <w:sz w:val="20"/>
        </w:rPr>
      </w:pPr>
      <w:r>
        <w:rPr>
          <w:sz w:val="20"/>
        </w:rPr>
        <mc:AlternateContent>
          <mc:Choice Requires="wps">
            <w:drawing>
              <wp:anchor distT="0" distB="0" distL="0" distR="0" allowOverlap="1" layoutInCell="1" locked="0" behindDoc="1" simplePos="0" relativeHeight="479905280">
                <wp:simplePos x="0" y="0"/>
                <wp:positionH relativeFrom="page">
                  <wp:posOffset>4080751</wp:posOffset>
                </wp:positionH>
                <wp:positionV relativeFrom="paragraph">
                  <wp:posOffset>43153</wp:posOffset>
                </wp:positionV>
                <wp:extent cx="1978025" cy="216535"/>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1978025" cy="216535"/>
                        </a:xfrm>
                        <a:prstGeom prst="rect">
                          <a:avLst/>
                        </a:prstGeom>
                      </wps:spPr>
                      <wps:txbx>
                        <w:txbxContent>
                          <w:p>
                            <w:pPr>
                              <w:tabs>
                                <w:tab w:pos="2959" w:val="left" w:leader="none"/>
                              </w:tabs>
                              <w:spacing w:line="233" w:lineRule="exact" w:before="0"/>
                              <w:ind w:left="0" w:right="0" w:firstLine="0"/>
                              <w:jc w:val="left"/>
                              <w:rPr>
                                <w:rFonts w:ascii="Meiryo UI" w:hAnsi="Meiryo UI"/>
                                <w:i/>
                                <w:sz w:val="20"/>
                              </w:rPr>
                            </w:pPr>
                            <w:r>
                              <w:rPr>
                                <w:rFonts w:ascii="Meiryo UI" w:hAnsi="Meiryo UI"/>
                                <w:i/>
                                <w:spacing w:val="-10"/>
                                <w:sz w:val="20"/>
                              </w:rPr>
                              <w:t>×</w:t>
                            </w:r>
                            <w:r>
                              <w:rPr>
                                <w:rFonts w:ascii="Meiryo UI" w:hAnsi="Meiryo UI"/>
                                <w:i/>
                                <w:sz w:val="20"/>
                              </w:rPr>
                              <w:tab/>
                            </w:r>
                            <w:r>
                              <w:rPr>
                                <w:rFonts w:ascii="Meiryo UI" w:hAnsi="Meiryo UI"/>
                                <w:i/>
                                <w:spacing w:val="-16"/>
                                <w:sz w:val="20"/>
                              </w:rPr>
                              <w:t>×</w:t>
                            </w:r>
                          </w:p>
                        </w:txbxContent>
                      </wps:txbx>
                      <wps:bodyPr wrap="square" lIns="0" tIns="0" rIns="0" bIns="0" rtlCol="0">
                        <a:noAutofit/>
                      </wps:bodyPr>
                    </wps:wsp>
                  </a:graphicData>
                </a:graphic>
              </wp:anchor>
            </w:drawing>
          </mc:Choice>
          <mc:Fallback>
            <w:pict>
              <v:shape style="position:absolute;margin-left:321.319pt;margin-top:3.397921pt;width:155.75pt;height:17.05pt;mso-position-horizontal-relative:page;mso-position-vertical-relative:paragraph;z-index:-23411200" type="#_x0000_t202" id="docshape267" filled="false" stroked="false">
                <v:textbox inset="0,0,0,0">
                  <w:txbxContent>
                    <w:p>
                      <w:pPr>
                        <w:tabs>
                          <w:tab w:pos="2959" w:val="left" w:leader="none"/>
                        </w:tabs>
                        <w:spacing w:line="233" w:lineRule="exact" w:before="0"/>
                        <w:ind w:left="0" w:right="0" w:firstLine="0"/>
                        <w:jc w:val="left"/>
                        <w:rPr>
                          <w:rFonts w:ascii="Meiryo UI" w:hAnsi="Meiryo UI"/>
                          <w:i/>
                          <w:sz w:val="20"/>
                        </w:rPr>
                      </w:pPr>
                      <w:r>
                        <w:rPr>
                          <w:rFonts w:ascii="Meiryo UI" w:hAnsi="Meiryo UI"/>
                          <w:i/>
                          <w:spacing w:val="-10"/>
                          <w:sz w:val="20"/>
                        </w:rPr>
                        <w:t>×</w:t>
                      </w:r>
                      <w:r>
                        <w:rPr>
                          <w:rFonts w:ascii="Meiryo UI" w:hAnsi="Meiryo UI"/>
                          <w:i/>
                          <w:sz w:val="20"/>
                        </w:rPr>
                        <w:tab/>
                      </w:r>
                      <w:r>
                        <w:rPr>
                          <w:rFonts w:ascii="Meiryo UI" w:hAnsi="Meiryo UI"/>
                          <w:i/>
                          <w:spacing w:val="-16"/>
                          <w:sz w:val="20"/>
                        </w:rPr>
                        <w:t>×</w:t>
                      </w:r>
                    </w:p>
                  </w:txbxContent>
                </v:textbox>
                <w10:wrap type="none"/>
              </v:shape>
            </w:pict>
          </mc:Fallback>
        </mc:AlternateContent>
      </w:r>
      <w:bookmarkStart w:name="_bookmark191" w:id="320"/>
      <w:bookmarkEnd w:id="320"/>
      <w:r>
        <w:rPr/>
      </w:r>
      <w:r>
        <w:rPr>
          <w:b/>
          <w:sz w:val="20"/>
        </w:rPr>
        <w:t>Table</w:t>
      </w:r>
      <w:r>
        <w:rPr>
          <w:b/>
          <w:spacing w:val="-13"/>
          <w:sz w:val="20"/>
        </w:rPr>
        <w:t> </w:t>
      </w:r>
      <w:r>
        <w:rPr>
          <w:b/>
          <w:sz w:val="20"/>
        </w:rPr>
        <w:t>C.6: </w:t>
      </w:r>
      <w:r>
        <w:rPr>
          <w:sz w:val="20"/>
        </w:rPr>
        <w:t>Soil</w:t>
      </w:r>
      <w:r>
        <w:rPr>
          <w:spacing w:val="-5"/>
          <w:sz w:val="20"/>
        </w:rPr>
        <w:t> </w:t>
      </w:r>
      <w:r>
        <w:rPr>
          <w:sz w:val="20"/>
        </w:rPr>
        <w:t>water</w:t>
      </w:r>
      <w:r>
        <w:rPr>
          <w:spacing w:val="-5"/>
          <w:sz w:val="20"/>
        </w:rPr>
        <w:t> </w:t>
      </w:r>
      <w:r>
        <w:rPr>
          <w:sz w:val="20"/>
        </w:rPr>
        <w:t>availability,</w:t>
      </w:r>
      <w:r>
        <w:rPr>
          <w:spacing w:val="-5"/>
          <w:sz w:val="20"/>
        </w:rPr>
        <w:t> </w:t>
      </w:r>
      <w:r>
        <w:rPr>
          <w:sz w:val="20"/>
        </w:rPr>
        <w:t>stress</w:t>
      </w:r>
      <w:r>
        <w:rPr>
          <w:spacing w:val="-5"/>
          <w:sz w:val="20"/>
        </w:rPr>
        <w:t> </w:t>
      </w:r>
      <w:r>
        <w:rPr>
          <w:sz w:val="20"/>
        </w:rPr>
        <w:t>day</w:t>
      </w:r>
      <w:r>
        <w:rPr>
          <w:spacing w:val="-5"/>
          <w:sz w:val="20"/>
        </w:rPr>
        <w:t> </w:t>
      </w:r>
      <w:r>
        <w:rPr>
          <w:sz w:val="20"/>
        </w:rPr>
        <w:t>(Sm</w:t>
      </w:r>
      <w:r>
        <w:rPr>
          <w:spacing w:val="-5"/>
          <w:sz w:val="20"/>
        </w:rPr>
        <w:t> </w:t>
      </w:r>
      <w:r>
        <w:rPr>
          <w:rFonts w:ascii="Meiryo UI"/>
          <w:i/>
          <w:sz w:val="20"/>
        </w:rPr>
        <w:t>&lt;</w:t>
      </w:r>
      <w:r>
        <w:rPr>
          <w:rFonts w:ascii="Meiryo UI"/>
          <w:i/>
          <w:spacing w:val="-19"/>
          <w:sz w:val="20"/>
        </w:rPr>
        <w:t> </w:t>
      </w:r>
      <w:r>
        <w:rPr>
          <w:sz w:val="20"/>
        </w:rPr>
        <w:t>1.5</w:t>
      </w:r>
      <w:r>
        <w:rPr>
          <w:spacing w:val="80"/>
          <w:sz w:val="20"/>
        </w:rPr>
        <w:t> </w:t>
      </w:r>
      <w:r>
        <w:rPr>
          <w:sz w:val="20"/>
        </w:rPr>
        <w:t>Wp),</w:t>
      </w:r>
      <w:r>
        <w:rPr>
          <w:spacing w:val="-5"/>
          <w:sz w:val="20"/>
        </w:rPr>
        <w:t> </w:t>
      </w:r>
      <w:r>
        <w:rPr>
          <w:sz w:val="20"/>
        </w:rPr>
        <w:t>and</w:t>
      </w:r>
      <w:r>
        <w:rPr>
          <w:spacing w:val="-5"/>
          <w:sz w:val="20"/>
        </w:rPr>
        <w:t> </w:t>
      </w:r>
      <w:r>
        <w:rPr>
          <w:sz w:val="20"/>
        </w:rPr>
        <w:t>saturation</w:t>
      </w:r>
      <w:r>
        <w:rPr>
          <w:spacing w:val="-5"/>
          <w:sz w:val="20"/>
        </w:rPr>
        <w:t> </w:t>
      </w:r>
      <w:r>
        <w:rPr>
          <w:sz w:val="20"/>
        </w:rPr>
        <w:t>day</w:t>
      </w:r>
      <w:r>
        <w:rPr>
          <w:spacing w:val="-5"/>
          <w:sz w:val="20"/>
        </w:rPr>
        <w:t> </w:t>
      </w:r>
      <w:r>
        <w:rPr>
          <w:sz w:val="20"/>
        </w:rPr>
        <w:t>(Sm</w:t>
      </w:r>
      <w:r>
        <w:rPr>
          <w:spacing w:val="-5"/>
          <w:sz w:val="20"/>
        </w:rPr>
        <w:t> </w:t>
      </w:r>
      <w:r>
        <w:rPr>
          <w:rFonts w:ascii="Meiryo UI"/>
          <w:i/>
          <w:sz w:val="20"/>
        </w:rPr>
        <w:t>&gt;</w:t>
      </w:r>
      <w:r>
        <w:rPr>
          <w:rFonts w:ascii="Meiryo UI"/>
          <w:i/>
          <w:spacing w:val="-19"/>
          <w:sz w:val="20"/>
        </w:rPr>
        <w:t> </w:t>
      </w:r>
      <w:r>
        <w:rPr>
          <w:sz w:val="20"/>
        </w:rPr>
        <w:t>0.9</w:t>
      </w:r>
      <w:r>
        <w:rPr>
          <w:spacing w:val="80"/>
          <w:sz w:val="20"/>
        </w:rPr>
        <w:t> </w:t>
      </w:r>
      <w:r>
        <w:rPr>
          <w:sz w:val="20"/>
        </w:rPr>
        <w:t>Fc)</w:t>
      </w:r>
      <w:r>
        <w:rPr>
          <w:spacing w:val="-5"/>
          <w:sz w:val="20"/>
        </w:rPr>
        <w:t> </w:t>
      </w:r>
      <w:r>
        <w:rPr>
          <w:sz w:val="20"/>
        </w:rPr>
        <w:t>features (18 features).</w:t>
      </w:r>
    </w:p>
    <w:p>
      <w:pPr>
        <w:pStyle w:val="BodyText"/>
        <w:rPr>
          <w:sz w:val="19"/>
        </w:rPr>
      </w:pPr>
      <w:r>
        <w:rPr>
          <w:sz w:val="19"/>
        </w:rPr>
        <mc:AlternateContent>
          <mc:Choice Requires="wps">
            <w:drawing>
              <wp:anchor distT="0" distB="0" distL="0" distR="0" allowOverlap="1" layoutInCell="1" locked="0" behindDoc="1" simplePos="0" relativeHeight="487644672">
                <wp:simplePos x="0" y="0"/>
                <wp:positionH relativeFrom="page">
                  <wp:posOffset>1280629</wp:posOffset>
                </wp:positionH>
                <wp:positionV relativeFrom="paragraph">
                  <wp:posOffset>154428</wp:posOffset>
                </wp:positionV>
                <wp:extent cx="5358765" cy="1270"/>
                <wp:effectExtent l="0" t="0" r="0" b="0"/>
                <wp:wrapTopAndBottom/>
                <wp:docPr id="305" name="Graphic 305"/>
                <wp:cNvGraphicFramePr>
                  <a:graphicFrameLocks/>
                </wp:cNvGraphicFramePr>
                <a:graphic>
                  <a:graphicData uri="http://schemas.microsoft.com/office/word/2010/wordprocessingShape">
                    <wps:wsp>
                      <wps:cNvPr id="305" name="Graphic 305"/>
                      <wps:cNvSpPr/>
                      <wps:spPr>
                        <a:xfrm>
                          <a:off x="0" y="0"/>
                          <a:ext cx="5358765" cy="1270"/>
                        </a:xfrm>
                        <a:custGeom>
                          <a:avLst/>
                          <a:gdLst/>
                          <a:ahLst/>
                          <a:cxnLst/>
                          <a:rect l="l" t="t" r="r" b="b"/>
                          <a:pathLst>
                            <a:path w="5358765" h="0">
                              <a:moveTo>
                                <a:pt x="0" y="0"/>
                              </a:moveTo>
                              <a:lnTo>
                                <a:pt x="5358739"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0.836998pt;margin-top:12.159707pt;width:421.95pt;height:.1pt;mso-position-horizontal-relative:page;mso-position-vertical-relative:paragraph;z-index:-15671808;mso-wrap-distance-left:0;mso-wrap-distance-right:0" id="docshape268" coordorigin="2017,243" coordsize="8439,0" path="m2017,243l10456,243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7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71"/>
        <w:gridCol w:w="978"/>
        <w:gridCol w:w="808"/>
        <w:gridCol w:w="354"/>
        <w:gridCol w:w="921"/>
        <w:gridCol w:w="524"/>
        <w:gridCol w:w="637"/>
        <w:gridCol w:w="2844"/>
      </w:tblGrid>
      <w:tr>
        <w:trPr>
          <w:trHeight w:val="381" w:hRule="atLeast"/>
        </w:trPr>
        <w:tc>
          <w:tcPr>
            <w:tcW w:w="1371" w:type="dxa"/>
            <w:tcBorders>
              <w:top w:val="nil"/>
              <w:left w:val="nil"/>
              <w:right w:val="single" w:sz="4" w:space="0" w:color="000000"/>
            </w:tcBorders>
          </w:tcPr>
          <w:p>
            <w:pPr>
              <w:pStyle w:val="TableParagraph"/>
              <w:spacing w:before="74"/>
              <w:ind w:left="59"/>
              <w:rPr>
                <w:sz w:val="18"/>
              </w:rPr>
            </w:pPr>
            <w:r>
              <w:rPr>
                <w:sz w:val="18"/>
              </w:rPr>
              <w:t>Feature</w:t>
            </w:r>
            <w:r>
              <w:rPr>
                <w:spacing w:val="-7"/>
                <w:sz w:val="18"/>
              </w:rPr>
              <w:t> </w:t>
            </w:r>
            <w:r>
              <w:rPr>
                <w:spacing w:val="-4"/>
                <w:sz w:val="18"/>
              </w:rPr>
              <w:t>name</w:t>
            </w:r>
          </w:p>
        </w:tc>
        <w:tc>
          <w:tcPr>
            <w:tcW w:w="978" w:type="dxa"/>
            <w:tcBorders>
              <w:top w:val="nil"/>
              <w:left w:val="single" w:sz="4" w:space="0" w:color="000000"/>
              <w:right w:val="single" w:sz="4" w:space="0" w:color="000000"/>
            </w:tcBorders>
          </w:tcPr>
          <w:p>
            <w:pPr>
              <w:pStyle w:val="TableParagraph"/>
              <w:spacing w:before="74"/>
              <w:ind w:left="58"/>
              <w:rPr>
                <w:sz w:val="18"/>
              </w:rPr>
            </w:pPr>
            <w:r>
              <w:rPr>
                <w:spacing w:val="-2"/>
                <w:sz w:val="18"/>
              </w:rPr>
              <w:t>Variable</w:t>
            </w:r>
          </w:p>
        </w:tc>
        <w:tc>
          <w:tcPr>
            <w:tcW w:w="808" w:type="dxa"/>
            <w:tcBorders>
              <w:top w:val="nil"/>
              <w:left w:val="single" w:sz="4" w:space="0" w:color="000000"/>
              <w:right w:val="single" w:sz="4" w:space="0" w:color="000000"/>
            </w:tcBorders>
          </w:tcPr>
          <w:p>
            <w:pPr>
              <w:pStyle w:val="TableParagraph"/>
              <w:spacing w:before="74"/>
              <w:ind w:left="58"/>
              <w:rPr>
                <w:sz w:val="18"/>
              </w:rPr>
            </w:pPr>
            <w:r>
              <w:rPr>
                <w:spacing w:val="-2"/>
                <w:sz w:val="18"/>
              </w:rPr>
              <w:t>Stage</w:t>
            </w:r>
          </w:p>
        </w:tc>
        <w:tc>
          <w:tcPr>
            <w:tcW w:w="354" w:type="dxa"/>
            <w:tcBorders>
              <w:top w:val="nil"/>
              <w:left w:val="single" w:sz="4" w:space="0" w:color="000000"/>
              <w:right w:val="single" w:sz="4" w:space="0" w:color="000000"/>
            </w:tcBorders>
          </w:tcPr>
          <w:p>
            <w:pPr>
              <w:pStyle w:val="TableParagraph"/>
              <w:spacing w:before="74"/>
              <w:ind w:left="58" w:right="-44"/>
              <w:rPr>
                <w:sz w:val="18"/>
              </w:rPr>
            </w:pPr>
            <w:r>
              <w:rPr>
                <w:spacing w:val="-9"/>
                <w:sz w:val="18"/>
              </w:rPr>
              <w:t>Year</w:t>
            </w:r>
          </w:p>
        </w:tc>
        <w:tc>
          <w:tcPr>
            <w:tcW w:w="921" w:type="dxa"/>
            <w:tcBorders>
              <w:top w:val="nil"/>
              <w:left w:val="single" w:sz="4" w:space="0" w:color="000000"/>
              <w:right w:val="single" w:sz="4" w:space="0" w:color="000000"/>
            </w:tcBorders>
          </w:tcPr>
          <w:p>
            <w:pPr>
              <w:pStyle w:val="TableParagraph"/>
              <w:spacing w:before="74"/>
              <w:ind w:left="58"/>
              <w:rPr>
                <w:sz w:val="18"/>
              </w:rPr>
            </w:pPr>
            <w:r>
              <w:rPr>
                <w:spacing w:val="-2"/>
                <w:sz w:val="18"/>
              </w:rPr>
              <w:t>Window</w:t>
            </w:r>
          </w:p>
        </w:tc>
        <w:tc>
          <w:tcPr>
            <w:tcW w:w="524" w:type="dxa"/>
            <w:tcBorders>
              <w:top w:val="nil"/>
              <w:left w:val="single" w:sz="4" w:space="0" w:color="000000"/>
              <w:right w:val="single" w:sz="4" w:space="0" w:color="000000"/>
            </w:tcBorders>
          </w:tcPr>
          <w:p>
            <w:pPr>
              <w:pStyle w:val="TableParagraph"/>
              <w:spacing w:before="74"/>
              <w:ind w:left="58"/>
              <w:rPr>
                <w:sz w:val="18"/>
              </w:rPr>
            </w:pPr>
            <w:r>
              <w:rPr>
                <w:spacing w:val="-4"/>
                <w:sz w:val="18"/>
              </w:rPr>
              <w:t>Unit</w:t>
            </w:r>
          </w:p>
        </w:tc>
        <w:tc>
          <w:tcPr>
            <w:tcW w:w="637" w:type="dxa"/>
            <w:tcBorders>
              <w:top w:val="nil"/>
              <w:left w:val="single" w:sz="4" w:space="0" w:color="000000"/>
              <w:right w:val="single" w:sz="4" w:space="0" w:color="000000"/>
            </w:tcBorders>
          </w:tcPr>
          <w:p>
            <w:pPr>
              <w:pStyle w:val="TableParagraph"/>
              <w:spacing w:before="74"/>
              <w:ind w:left="59"/>
              <w:rPr>
                <w:sz w:val="18"/>
              </w:rPr>
            </w:pPr>
            <w:r>
              <w:rPr>
                <w:spacing w:val="-4"/>
                <w:sz w:val="18"/>
              </w:rPr>
              <w:t>Calc</w:t>
            </w:r>
          </w:p>
        </w:tc>
        <w:tc>
          <w:tcPr>
            <w:tcW w:w="2844" w:type="dxa"/>
            <w:tcBorders>
              <w:top w:val="nil"/>
              <w:left w:val="single" w:sz="4" w:space="0" w:color="000000"/>
              <w:right w:val="nil"/>
            </w:tcBorders>
          </w:tcPr>
          <w:p>
            <w:pPr>
              <w:pStyle w:val="TableParagraph"/>
              <w:spacing w:before="74"/>
              <w:ind w:left="59"/>
              <w:rPr>
                <w:sz w:val="18"/>
              </w:rPr>
            </w:pPr>
            <w:r>
              <w:rPr>
                <w:sz w:val="18"/>
              </w:rPr>
              <w:t>Agronomic</w:t>
            </w:r>
            <w:r>
              <w:rPr>
                <w:spacing w:val="-10"/>
                <w:sz w:val="18"/>
              </w:rPr>
              <w:t> </w:t>
            </w:r>
            <w:r>
              <w:rPr>
                <w:spacing w:val="-2"/>
                <w:sz w:val="18"/>
              </w:rPr>
              <w:t>interpretation</w:t>
            </w:r>
          </w:p>
        </w:tc>
      </w:tr>
    </w:tbl>
    <w:p>
      <w:pPr>
        <w:pStyle w:val="BodyText"/>
        <w:spacing w:before="2"/>
        <w:rPr>
          <w:sz w:val="5"/>
        </w:rPr>
      </w:pPr>
    </w:p>
    <w:tbl>
      <w:tblPr>
        <w:tblW w:w="0" w:type="auto"/>
        <w:jc w:val="left"/>
        <w:tblInd w:w="7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71"/>
        <w:gridCol w:w="978"/>
        <w:gridCol w:w="808"/>
        <w:gridCol w:w="354"/>
        <w:gridCol w:w="921"/>
        <w:gridCol w:w="524"/>
        <w:gridCol w:w="637"/>
        <w:gridCol w:w="2844"/>
      </w:tblGrid>
      <w:tr>
        <w:trPr>
          <w:trHeight w:val="317" w:hRule="atLeast"/>
        </w:trPr>
        <w:tc>
          <w:tcPr>
            <w:tcW w:w="1371" w:type="dxa"/>
            <w:tcBorders>
              <w:right w:val="single" w:sz="4" w:space="0" w:color="000000"/>
            </w:tcBorders>
          </w:tcPr>
          <w:p>
            <w:pPr>
              <w:pStyle w:val="TableParagraph"/>
              <w:spacing w:before="74"/>
              <w:ind w:left="59"/>
              <w:rPr>
                <w:sz w:val="18"/>
              </w:rPr>
            </w:pPr>
            <w:r>
              <w:rPr>
                <w:spacing w:val="-2"/>
                <w:sz w:val="18"/>
              </w:rPr>
              <w:t>iaf_fl_y0_a10</w:t>
            </w:r>
          </w:p>
        </w:tc>
        <w:tc>
          <w:tcPr>
            <w:tcW w:w="978" w:type="dxa"/>
            <w:tcBorders>
              <w:left w:val="single" w:sz="4" w:space="0" w:color="000000"/>
              <w:right w:val="single" w:sz="4" w:space="0" w:color="000000"/>
            </w:tcBorders>
          </w:tcPr>
          <w:p>
            <w:pPr>
              <w:pStyle w:val="TableParagraph"/>
              <w:spacing w:before="74"/>
              <w:ind w:left="58"/>
              <w:rPr>
                <w:sz w:val="18"/>
              </w:rPr>
            </w:pPr>
            <w:r>
              <w:rPr>
                <w:sz w:val="18"/>
              </w:rPr>
              <w:t>Leaf</w:t>
            </w:r>
            <w:r>
              <w:rPr>
                <w:spacing w:val="36"/>
                <w:sz w:val="18"/>
              </w:rPr>
              <w:t>  </w:t>
            </w:r>
            <w:r>
              <w:rPr>
                <w:spacing w:val="-4"/>
                <w:sz w:val="18"/>
              </w:rPr>
              <w:t>Area</w:t>
            </w:r>
          </w:p>
        </w:tc>
        <w:tc>
          <w:tcPr>
            <w:tcW w:w="808" w:type="dxa"/>
            <w:tcBorders>
              <w:left w:val="single" w:sz="4" w:space="0" w:color="000000"/>
              <w:right w:val="single" w:sz="4" w:space="0" w:color="000000"/>
            </w:tcBorders>
          </w:tcPr>
          <w:p>
            <w:pPr>
              <w:pStyle w:val="TableParagraph"/>
              <w:spacing w:before="74"/>
              <w:ind w:left="58"/>
              <w:rPr>
                <w:sz w:val="18"/>
              </w:rPr>
            </w:pPr>
            <w:r>
              <w:rPr>
                <w:spacing w:val="-2"/>
                <w:sz w:val="18"/>
              </w:rPr>
              <w:t>Flowering</w:t>
            </w:r>
          </w:p>
        </w:tc>
        <w:tc>
          <w:tcPr>
            <w:tcW w:w="354" w:type="dxa"/>
            <w:tcBorders>
              <w:left w:val="single" w:sz="4" w:space="0" w:color="000000"/>
              <w:right w:val="single" w:sz="4" w:space="0" w:color="000000"/>
            </w:tcBorders>
          </w:tcPr>
          <w:p>
            <w:pPr>
              <w:pStyle w:val="TableParagraph"/>
              <w:spacing w:before="74"/>
              <w:ind w:right="46"/>
              <w:jc w:val="center"/>
              <w:rPr>
                <w:sz w:val="18"/>
              </w:rPr>
            </w:pPr>
            <w:r>
              <w:rPr>
                <w:spacing w:val="-5"/>
                <w:sz w:val="18"/>
              </w:rPr>
              <w:t>y0</w:t>
            </w:r>
          </w:p>
        </w:tc>
        <w:tc>
          <w:tcPr>
            <w:tcW w:w="921" w:type="dxa"/>
            <w:tcBorders>
              <w:left w:val="single" w:sz="4" w:space="0" w:color="000000"/>
              <w:right w:val="single" w:sz="4" w:space="0" w:color="000000"/>
            </w:tcBorders>
          </w:tcPr>
          <w:p>
            <w:pPr>
              <w:pStyle w:val="TableParagraph"/>
              <w:spacing w:before="74"/>
              <w:ind w:left="58"/>
              <w:rPr>
                <w:sz w:val="18"/>
              </w:rPr>
            </w:pPr>
            <w:r>
              <w:rPr>
                <w:sz w:val="18"/>
              </w:rPr>
              <w:t>10d</w:t>
            </w:r>
            <w:r>
              <w:rPr>
                <w:spacing w:val="49"/>
                <w:sz w:val="18"/>
              </w:rPr>
              <w:t>  </w:t>
            </w:r>
            <w:r>
              <w:rPr>
                <w:spacing w:val="-2"/>
                <w:sz w:val="18"/>
              </w:rPr>
              <w:t>after</w:t>
            </w:r>
          </w:p>
        </w:tc>
        <w:tc>
          <w:tcPr>
            <w:tcW w:w="524" w:type="dxa"/>
            <w:tcBorders>
              <w:left w:val="single" w:sz="4" w:space="0" w:color="000000"/>
              <w:right w:val="single" w:sz="4" w:space="0" w:color="000000"/>
            </w:tcBorders>
          </w:tcPr>
          <w:p>
            <w:pPr>
              <w:pStyle w:val="TableParagraph"/>
              <w:spacing w:before="41"/>
              <w:ind w:left="58" w:right="-29"/>
              <w:rPr>
                <w:position w:val="7"/>
                <w:sz w:val="14"/>
              </w:rPr>
            </w:pPr>
            <w:r>
              <w:rPr>
                <w:spacing w:val="-2"/>
                <w:sz w:val="18"/>
              </w:rPr>
              <w:t>m</w:t>
            </w:r>
            <w:r>
              <w:rPr>
                <w:spacing w:val="-2"/>
                <w:position w:val="7"/>
                <w:sz w:val="14"/>
              </w:rPr>
              <w:t>2</w:t>
            </w:r>
            <w:r>
              <w:rPr>
                <w:spacing w:val="-2"/>
                <w:sz w:val="18"/>
              </w:rPr>
              <w:t>/m</w:t>
            </w:r>
            <w:r>
              <w:rPr>
                <w:spacing w:val="-2"/>
                <w:position w:val="7"/>
                <w:sz w:val="14"/>
              </w:rPr>
              <w:t>2</w:t>
            </w:r>
          </w:p>
        </w:tc>
        <w:tc>
          <w:tcPr>
            <w:tcW w:w="637" w:type="dxa"/>
            <w:tcBorders>
              <w:left w:val="single" w:sz="4" w:space="0" w:color="000000"/>
              <w:right w:val="single" w:sz="4" w:space="0" w:color="000000"/>
            </w:tcBorders>
          </w:tcPr>
          <w:p>
            <w:pPr>
              <w:pStyle w:val="TableParagraph"/>
              <w:spacing w:before="74"/>
              <w:ind w:left="59" w:right="-15"/>
              <w:rPr>
                <w:sz w:val="18"/>
              </w:rPr>
            </w:pPr>
            <w:r>
              <w:rPr>
                <w:spacing w:val="-7"/>
                <w:sz w:val="18"/>
              </w:rPr>
              <w:t>Average</w:t>
            </w:r>
          </w:p>
        </w:tc>
        <w:tc>
          <w:tcPr>
            <w:tcW w:w="2844" w:type="dxa"/>
            <w:tcBorders>
              <w:left w:val="single" w:sz="4" w:space="0" w:color="000000"/>
            </w:tcBorders>
          </w:tcPr>
          <w:p>
            <w:pPr>
              <w:pStyle w:val="TableParagraph"/>
              <w:spacing w:before="74"/>
              <w:ind w:left="59"/>
              <w:rPr>
                <w:sz w:val="18"/>
              </w:rPr>
            </w:pPr>
            <w:r>
              <w:rPr>
                <w:sz w:val="18"/>
              </w:rPr>
              <w:t>Post-flowering</w:t>
            </w:r>
            <w:r>
              <w:rPr>
                <w:spacing w:val="15"/>
                <w:sz w:val="18"/>
              </w:rPr>
              <w:t> </w:t>
            </w:r>
            <w:r>
              <w:rPr>
                <w:sz w:val="18"/>
              </w:rPr>
              <w:t>LAI</w:t>
            </w:r>
            <w:r>
              <w:rPr>
                <w:spacing w:val="16"/>
                <w:sz w:val="18"/>
              </w:rPr>
              <w:t> </w:t>
            </w:r>
            <w:r>
              <w:rPr>
                <w:sz w:val="18"/>
              </w:rPr>
              <w:t>in</w:t>
            </w:r>
            <w:r>
              <w:rPr>
                <w:spacing w:val="16"/>
                <w:sz w:val="18"/>
              </w:rPr>
              <w:t> </w:t>
            </w:r>
            <w:r>
              <w:rPr>
                <w:sz w:val="18"/>
              </w:rPr>
              <w:t>previous</w:t>
            </w:r>
            <w:r>
              <w:rPr>
                <w:spacing w:val="16"/>
                <w:sz w:val="18"/>
              </w:rPr>
              <w:t> </w:t>
            </w:r>
            <w:r>
              <w:rPr>
                <w:spacing w:val="-2"/>
                <w:sz w:val="18"/>
              </w:rPr>
              <w:t>year,</w:t>
            </w:r>
          </w:p>
        </w:tc>
      </w:tr>
      <w:tr>
        <w:trPr>
          <w:trHeight w:val="265" w:hRule="atLeast"/>
        </w:trPr>
        <w:tc>
          <w:tcPr>
            <w:tcW w:w="1371" w:type="dxa"/>
            <w:tcBorders>
              <w:right w:val="single" w:sz="4" w:space="0" w:color="000000"/>
            </w:tcBorders>
          </w:tcPr>
          <w:p>
            <w:pPr>
              <w:pStyle w:val="TableParagraph"/>
              <w:spacing w:before="0"/>
              <w:rPr>
                <w:sz w:val="18"/>
              </w:rPr>
            </w:pPr>
          </w:p>
        </w:tc>
        <w:tc>
          <w:tcPr>
            <w:tcW w:w="978" w:type="dxa"/>
            <w:tcBorders>
              <w:left w:val="single" w:sz="4" w:space="0" w:color="000000"/>
              <w:right w:val="single" w:sz="4" w:space="0" w:color="000000"/>
            </w:tcBorders>
          </w:tcPr>
          <w:p>
            <w:pPr>
              <w:pStyle w:val="TableParagraph"/>
              <w:spacing w:before="22"/>
              <w:ind w:left="58"/>
              <w:rPr>
                <w:sz w:val="18"/>
              </w:rPr>
            </w:pPr>
            <w:r>
              <w:rPr>
                <w:spacing w:val="-2"/>
                <w:sz w:val="18"/>
              </w:rPr>
              <w:t>Index</w:t>
            </w:r>
          </w:p>
        </w:tc>
        <w:tc>
          <w:tcPr>
            <w:tcW w:w="808" w:type="dxa"/>
            <w:tcBorders>
              <w:left w:val="single" w:sz="4" w:space="0" w:color="000000"/>
              <w:right w:val="single" w:sz="4" w:space="0" w:color="000000"/>
            </w:tcBorders>
          </w:tcPr>
          <w:p>
            <w:pPr>
              <w:pStyle w:val="TableParagraph"/>
              <w:spacing w:before="0"/>
              <w:rPr>
                <w:sz w:val="18"/>
              </w:rPr>
            </w:pPr>
          </w:p>
        </w:tc>
        <w:tc>
          <w:tcPr>
            <w:tcW w:w="354" w:type="dxa"/>
            <w:tcBorders>
              <w:left w:val="single" w:sz="4" w:space="0" w:color="000000"/>
              <w:right w:val="single" w:sz="4" w:space="0" w:color="000000"/>
            </w:tcBorders>
          </w:tcPr>
          <w:p>
            <w:pPr>
              <w:pStyle w:val="TableParagraph"/>
              <w:spacing w:before="0"/>
              <w:rPr>
                <w:sz w:val="18"/>
              </w:rPr>
            </w:pPr>
          </w:p>
        </w:tc>
        <w:tc>
          <w:tcPr>
            <w:tcW w:w="921" w:type="dxa"/>
            <w:tcBorders>
              <w:left w:val="single" w:sz="4" w:space="0" w:color="000000"/>
              <w:right w:val="single" w:sz="4" w:space="0" w:color="000000"/>
            </w:tcBorders>
          </w:tcPr>
          <w:p>
            <w:pPr>
              <w:pStyle w:val="TableParagraph"/>
              <w:spacing w:before="22"/>
              <w:ind w:left="58"/>
              <w:rPr>
                <w:sz w:val="18"/>
              </w:rPr>
            </w:pPr>
            <w:r>
              <w:rPr>
                <w:spacing w:val="-2"/>
                <w:sz w:val="18"/>
              </w:rPr>
              <w:t>prev.</w:t>
            </w:r>
            <w:r>
              <w:rPr>
                <w:spacing w:val="-1"/>
                <w:sz w:val="18"/>
              </w:rPr>
              <w:t> </w:t>
            </w:r>
            <w:r>
              <w:rPr>
                <w:spacing w:val="-5"/>
                <w:sz w:val="18"/>
              </w:rPr>
              <w:t>yr</w:t>
            </w:r>
          </w:p>
        </w:tc>
        <w:tc>
          <w:tcPr>
            <w:tcW w:w="524" w:type="dxa"/>
            <w:tcBorders>
              <w:left w:val="single" w:sz="4" w:space="0" w:color="000000"/>
              <w:right w:val="single" w:sz="4" w:space="0" w:color="000000"/>
            </w:tcBorders>
          </w:tcPr>
          <w:p>
            <w:pPr>
              <w:pStyle w:val="TableParagraph"/>
              <w:spacing w:before="0"/>
              <w:rPr>
                <w:sz w:val="18"/>
              </w:rPr>
            </w:pPr>
          </w:p>
        </w:tc>
        <w:tc>
          <w:tcPr>
            <w:tcW w:w="637" w:type="dxa"/>
            <w:tcBorders>
              <w:left w:val="single" w:sz="4" w:space="0" w:color="000000"/>
              <w:right w:val="single" w:sz="4" w:space="0" w:color="000000"/>
            </w:tcBorders>
          </w:tcPr>
          <w:p>
            <w:pPr>
              <w:pStyle w:val="TableParagraph"/>
              <w:spacing w:before="0"/>
              <w:rPr>
                <w:sz w:val="18"/>
              </w:rPr>
            </w:pPr>
          </w:p>
        </w:tc>
        <w:tc>
          <w:tcPr>
            <w:tcW w:w="2844" w:type="dxa"/>
            <w:tcBorders>
              <w:left w:val="single" w:sz="4" w:space="0" w:color="000000"/>
            </w:tcBorders>
          </w:tcPr>
          <w:p>
            <w:pPr>
              <w:pStyle w:val="TableParagraph"/>
              <w:spacing w:before="22"/>
              <w:ind w:left="59"/>
              <w:rPr>
                <w:sz w:val="18"/>
              </w:rPr>
            </w:pPr>
            <w:r>
              <w:rPr>
                <w:spacing w:val="-2"/>
                <w:sz w:val="18"/>
              </w:rPr>
              <w:t>canopy</w:t>
            </w:r>
            <w:r>
              <w:rPr>
                <w:spacing w:val="-6"/>
                <w:sz w:val="18"/>
              </w:rPr>
              <w:t> </w:t>
            </w:r>
            <w:r>
              <w:rPr>
                <w:spacing w:val="-2"/>
                <w:sz w:val="18"/>
              </w:rPr>
              <w:t>expansion</w:t>
            </w:r>
            <w:r>
              <w:rPr>
                <w:spacing w:val="-5"/>
                <w:sz w:val="18"/>
              </w:rPr>
              <w:t> </w:t>
            </w:r>
            <w:r>
              <w:rPr>
                <w:spacing w:val="-2"/>
                <w:sz w:val="18"/>
              </w:rPr>
              <w:t>after</w:t>
            </w:r>
            <w:r>
              <w:rPr>
                <w:spacing w:val="-6"/>
                <w:sz w:val="18"/>
              </w:rPr>
              <w:t> </w:t>
            </w:r>
            <w:r>
              <w:rPr>
                <w:spacing w:val="-2"/>
                <w:sz w:val="18"/>
              </w:rPr>
              <w:t>prior-year</w:t>
            </w:r>
            <w:r>
              <w:rPr>
                <w:spacing w:val="-5"/>
                <w:sz w:val="18"/>
              </w:rPr>
              <w:t> </w:t>
            </w:r>
            <w:r>
              <w:rPr>
                <w:spacing w:val="-2"/>
                <w:sz w:val="18"/>
              </w:rPr>
              <w:t>fruit</w:t>
            </w:r>
          </w:p>
        </w:tc>
      </w:tr>
      <w:tr>
        <w:trPr>
          <w:trHeight w:val="305" w:hRule="atLeast"/>
        </w:trPr>
        <w:tc>
          <w:tcPr>
            <w:tcW w:w="1371" w:type="dxa"/>
            <w:tcBorders>
              <w:right w:val="single" w:sz="4" w:space="0" w:color="000000"/>
            </w:tcBorders>
          </w:tcPr>
          <w:p>
            <w:pPr>
              <w:pStyle w:val="TableParagraph"/>
              <w:spacing w:before="0"/>
              <w:rPr>
                <w:sz w:val="18"/>
              </w:rPr>
            </w:pPr>
          </w:p>
        </w:tc>
        <w:tc>
          <w:tcPr>
            <w:tcW w:w="978" w:type="dxa"/>
            <w:tcBorders>
              <w:left w:val="single" w:sz="4" w:space="0" w:color="000000"/>
              <w:right w:val="single" w:sz="4" w:space="0" w:color="000000"/>
            </w:tcBorders>
          </w:tcPr>
          <w:p>
            <w:pPr>
              <w:pStyle w:val="TableParagraph"/>
              <w:spacing w:before="0"/>
              <w:rPr>
                <w:sz w:val="18"/>
              </w:rPr>
            </w:pPr>
          </w:p>
        </w:tc>
        <w:tc>
          <w:tcPr>
            <w:tcW w:w="808" w:type="dxa"/>
            <w:tcBorders>
              <w:left w:val="single" w:sz="4" w:space="0" w:color="000000"/>
              <w:right w:val="single" w:sz="4" w:space="0" w:color="000000"/>
            </w:tcBorders>
          </w:tcPr>
          <w:p>
            <w:pPr>
              <w:pStyle w:val="TableParagraph"/>
              <w:spacing w:before="0"/>
              <w:rPr>
                <w:sz w:val="18"/>
              </w:rPr>
            </w:pPr>
          </w:p>
        </w:tc>
        <w:tc>
          <w:tcPr>
            <w:tcW w:w="354" w:type="dxa"/>
            <w:tcBorders>
              <w:left w:val="single" w:sz="4" w:space="0" w:color="000000"/>
              <w:right w:val="single" w:sz="4" w:space="0" w:color="000000"/>
            </w:tcBorders>
          </w:tcPr>
          <w:p>
            <w:pPr>
              <w:pStyle w:val="TableParagraph"/>
              <w:spacing w:before="0"/>
              <w:rPr>
                <w:sz w:val="18"/>
              </w:rPr>
            </w:pPr>
          </w:p>
        </w:tc>
        <w:tc>
          <w:tcPr>
            <w:tcW w:w="921" w:type="dxa"/>
            <w:tcBorders>
              <w:left w:val="single" w:sz="4" w:space="0" w:color="000000"/>
              <w:right w:val="single" w:sz="4" w:space="0" w:color="000000"/>
            </w:tcBorders>
          </w:tcPr>
          <w:p>
            <w:pPr>
              <w:pStyle w:val="TableParagraph"/>
              <w:spacing w:before="0"/>
              <w:rPr>
                <w:sz w:val="18"/>
              </w:rPr>
            </w:pPr>
          </w:p>
        </w:tc>
        <w:tc>
          <w:tcPr>
            <w:tcW w:w="524" w:type="dxa"/>
            <w:tcBorders>
              <w:left w:val="single" w:sz="4" w:space="0" w:color="000000"/>
              <w:right w:val="single" w:sz="4" w:space="0" w:color="000000"/>
            </w:tcBorders>
          </w:tcPr>
          <w:p>
            <w:pPr>
              <w:pStyle w:val="TableParagraph"/>
              <w:spacing w:before="0"/>
              <w:rPr>
                <w:sz w:val="18"/>
              </w:rPr>
            </w:pPr>
          </w:p>
        </w:tc>
        <w:tc>
          <w:tcPr>
            <w:tcW w:w="637" w:type="dxa"/>
            <w:tcBorders>
              <w:left w:val="single" w:sz="4" w:space="0" w:color="000000"/>
              <w:right w:val="single" w:sz="4" w:space="0" w:color="000000"/>
            </w:tcBorders>
          </w:tcPr>
          <w:p>
            <w:pPr>
              <w:pStyle w:val="TableParagraph"/>
              <w:spacing w:before="0"/>
              <w:rPr>
                <w:sz w:val="18"/>
              </w:rPr>
            </w:pPr>
          </w:p>
        </w:tc>
        <w:tc>
          <w:tcPr>
            <w:tcW w:w="2844" w:type="dxa"/>
            <w:tcBorders>
              <w:left w:val="single" w:sz="4" w:space="0" w:color="000000"/>
            </w:tcBorders>
          </w:tcPr>
          <w:p>
            <w:pPr>
              <w:pStyle w:val="TableParagraph"/>
              <w:spacing w:before="22"/>
              <w:ind w:left="59"/>
              <w:rPr>
                <w:sz w:val="18"/>
              </w:rPr>
            </w:pPr>
            <w:r>
              <w:rPr>
                <w:spacing w:val="-5"/>
                <w:sz w:val="18"/>
              </w:rPr>
              <w:t>set</w:t>
            </w:r>
          </w:p>
        </w:tc>
      </w:tr>
      <w:tr>
        <w:trPr>
          <w:trHeight w:val="305" w:hRule="atLeast"/>
        </w:trPr>
        <w:tc>
          <w:tcPr>
            <w:tcW w:w="1371" w:type="dxa"/>
            <w:tcBorders>
              <w:right w:val="single" w:sz="4" w:space="0" w:color="000000"/>
            </w:tcBorders>
          </w:tcPr>
          <w:p>
            <w:pPr>
              <w:pStyle w:val="TableParagraph"/>
              <w:spacing w:before="62"/>
              <w:ind w:left="59"/>
              <w:rPr>
                <w:sz w:val="18"/>
              </w:rPr>
            </w:pPr>
            <w:r>
              <w:rPr>
                <w:spacing w:val="-2"/>
                <w:sz w:val="18"/>
              </w:rPr>
              <w:t>swa_fl_y1_a15</w:t>
            </w:r>
          </w:p>
        </w:tc>
        <w:tc>
          <w:tcPr>
            <w:tcW w:w="978" w:type="dxa"/>
            <w:tcBorders>
              <w:left w:val="single" w:sz="4" w:space="0" w:color="000000"/>
              <w:right w:val="single" w:sz="4" w:space="0" w:color="000000"/>
            </w:tcBorders>
          </w:tcPr>
          <w:p>
            <w:pPr>
              <w:pStyle w:val="TableParagraph"/>
              <w:spacing w:before="62"/>
              <w:ind w:left="58"/>
              <w:rPr>
                <w:sz w:val="18"/>
              </w:rPr>
            </w:pPr>
            <w:r>
              <w:rPr>
                <w:sz w:val="18"/>
              </w:rPr>
              <w:t>Soil</w:t>
            </w:r>
            <w:r>
              <w:rPr>
                <w:spacing w:val="33"/>
                <w:sz w:val="18"/>
              </w:rPr>
              <w:t>  </w:t>
            </w:r>
            <w:r>
              <w:rPr>
                <w:spacing w:val="-2"/>
                <w:sz w:val="18"/>
              </w:rPr>
              <w:t>water</w:t>
            </w:r>
          </w:p>
        </w:tc>
        <w:tc>
          <w:tcPr>
            <w:tcW w:w="808" w:type="dxa"/>
            <w:tcBorders>
              <w:left w:val="single" w:sz="4" w:space="0" w:color="000000"/>
              <w:right w:val="single" w:sz="4" w:space="0" w:color="000000"/>
            </w:tcBorders>
          </w:tcPr>
          <w:p>
            <w:pPr>
              <w:pStyle w:val="TableParagraph"/>
              <w:spacing w:before="62"/>
              <w:ind w:left="58"/>
              <w:rPr>
                <w:sz w:val="18"/>
              </w:rPr>
            </w:pPr>
            <w:r>
              <w:rPr>
                <w:spacing w:val="-2"/>
                <w:sz w:val="18"/>
              </w:rPr>
              <w:t>Flowering</w:t>
            </w:r>
          </w:p>
        </w:tc>
        <w:tc>
          <w:tcPr>
            <w:tcW w:w="354" w:type="dxa"/>
            <w:tcBorders>
              <w:left w:val="single" w:sz="4" w:space="0" w:color="000000"/>
              <w:right w:val="single" w:sz="4" w:space="0" w:color="000000"/>
            </w:tcBorders>
          </w:tcPr>
          <w:p>
            <w:pPr>
              <w:pStyle w:val="TableParagraph"/>
              <w:spacing w:before="62"/>
              <w:ind w:right="46"/>
              <w:jc w:val="center"/>
              <w:rPr>
                <w:sz w:val="18"/>
              </w:rPr>
            </w:pPr>
            <w:r>
              <w:rPr>
                <w:spacing w:val="-5"/>
                <w:sz w:val="18"/>
              </w:rPr>
              <w:t>y1</w:t>
            </w:r>
          </w:p>
        </w:tc>
        <w:tc>
          <w:tcPr>
            <w:tcW w:w="921" w:type="dxa"/>
            <w:tcBorders>
              <w:left w:val="single" w:sz="4" w:space="0" w:color="000000"/>
              <w:right w:val="single" w:sz="4" w:space="0" w:color="000000"/>
            </w:tcBorders>
          </w:tcPr>
          <w:p>
            <w:pPr>
              <w:pStyle w:val="TableParagraph"/>
              <w:spacing w:before="62"/>
              <w:ind w:left="58"/>
              <w:rPr>
                <w:sz w:val="18"/>
              </w:rPr>
            </w:pPr>
            <w:r>
              <w:rPr>
                <w:sz w:val="18"/>
              </w:rPr>
              <w:t>15d</w:t>
            </w:r>
            <w:r>
              <w:rPr>
                <w:spacing w:val="-4"/>
                <w:sz w:val="18"/>
              </w:rPr>
              <w:t> after</w:t>
            </w:r>
          </w:p>
        </w:tc>
        <w:tc>
          <w:tcPr>
            <w:tcW w:w="524" w:type="dxa"/>
            <w:tcBorders>
              <w:left w:val="single" w:sz="4" w:space="0" w:color="000000"/>
              <w:right w:val="single" w:sz="4" w:space="0" w:color="000000"/>
            </w:tcBorders>
          </w:tcPr>
          <w:p>
            <w:pPr>
              <w:pStyle w:val="TableParagraph"/>
              <w:spacing w:before="62"/>
              <w:ind w:left="58"/>
              <w:rPr>
                <w:sz w:val="18"/>
              </w:rPr>
            </w:pPr>
            <w:r>
              <w:rPr>
                <w:spacing w:val="-5"/>
                <w:sz w:val="18"/>
              </w:rPr>
              <w:t>mm</w:t>
            </w:r>
          </w:p>
        </w:tc>
        <w:tc>
          <w:tcPr>
            <w:tcW w:w="637" w:type="dxa"/>
            <w:tcBorders>
              <w:left w:val="single" w:sz="4" w:space="0" w:color="000000"/>
              <w:right w:val="single" w:sz="4" w:space="0" w:color="000000"/>
            </w:tcBorders>
          </w:tcPr>
          <w:p>
            <w:pPr>
              <w:pStyle w:val="TableParagraph"/>
              <w:spacing w:before="62"/>
              <w:ind w:left="59" w:right="-15"/>
              <w:rPr>
                <w:sz w:val="18"/>
              </w:rPr>
            </w:pPr>
            <w:r>
              <w:rPr>
                <w:spacing w:val="-7"/>
                <w:sz w:val="18"/>
              </w:rPr>
              <w:t>Average</w:t>
            </w:r>
          </w:p>
        </w:tc>
        <w:tc>
          <w:tcPr>
            <w:tcW w:w="2844" w:type="dxa"/>
            <w:tcBorders>
              <w:left w:val="single" w:sz="4" w:space="0" w:color="000000"/>
            </w:tcBorders>
          </w:tcPr>
          <w:p>
            <w:pPr>
              <w:pStyle w:val="TableParagraph"/>
              <w:spacing w:before="62"/>
              <w:ind w:left="59"/>
              <w:rPr>
                <w:sz w:val="18"/>
              </w:rPr>
            </w:pPr>
            <w:r>
              <w:rPr>
                <w:sz w:val="18"/>
              </w:rPr>
              <w:t>Soil</w:t>
            </w:r>
            <w:r>
              <w:rPr>
                <w:spacing w:val="59"/>
                <w:w w:val="150"/>
                <w:sz w:val="18"/>
              </w:rPr>
              <w:t> </w:t>
            </w:r>
            <w:r>
              <w:rPr>
                <w:sz w:val="18"/>
              </w:rPr>
              <w:t>water</w:t>
            </w:r>
            <w:r>
              <w:rPr>
                <w:spacing w:val="60"/>
                <w:w w:val="150"/>
                <w:sz w:val="18"/>
              </w:rPr>
              <w:t> </w:t>
            </w:r>
            <w:r>
              <w:rPr>
                <w:sz w:val="18"/>
              </w:rPr>
              <w:t>balance</w:t>
            </w:r>
            <w:r>
              <w:rPr>
                <w:spacing w:val="60"/>
                <w:w w:val="150"/>
                <w:sz w:val="18"/>
              </w:rPr>
              <w:t> </w:t>
            </w:r>
            <w:r>
              <w:rPr>
                <w:sz w:val="18"/>
              </w:rPr>
              <w:t>post-</w:t>
            </w:r>
            <w:r>
              <w:rPr>
                <w:spacing w:val="-2"/>
                <w:sz w:val="18"/>
              </w:rPr>
              <w:t>flowering,</w:t>
            </w:r>
          </w:p>
        </w:tc>
      </w:tr>
      <w:tr>
        <w:trPr>
          <w:trHeight w:val="265" w:hRule="atLeast"/>
        </w:trPr>
        <w:tc>
          <w:tcPr>
            <w:tcW w:w="1371" w:type="dxa"/>
            <w:tcBorders>
              <w:right w:val="single" w:sz="4" w:space="0" w:color="000000"/>
            </w:tcBorders>
          </w:tcPr>
          <w:p>
            <w:pPr>
              <w:pStyle w:val="TableParagraph"/>
              <w:spacing w:before="0"/>
              <w:rPr>
                <w:sz w:val="18"/>
              </w:rPr>
            </w:pPr>
          </w:p>
        </w:tc>
        <w:tc>
          <w:tcPr>
            <w:tcW w:w="978" w:type="dxa"/>
            <w:tcBorders>
              <w:left w:val="single" w:sz="4" w:space="0" w:color="000000"/>
              <w:right w:val="single" w:sz="4" w:space="0" w:color="000000"/>
            </w:tcBorders>
          </w:tcPr>
          <w:p>
            <w:pPr>
              <w:pStyle w:val="TableParagraph"/>
              <w:spacing w:before="22"/>
              <w:ind w:left="58"/>
              <w:rPr>
                <w:sz w:val="18"/>
              </w:rPr>
            </w:pPr>
            <w:r>
              <w:rPr>
                <w:spacing w:val="-2"/>
                <w:sz w:val="18"/>
              </w:rPr>
              <w:t>availability</w:t>
            </w:r>
          </w:p>
        </w:tc>
        <w:tc>
          <w:tcPr>
            <w:tcW w:w="808" w:type="dxa"/>
            <w:tcBorders>
              <w:left w:val="single" w:sz="4" w:space="0" w:color="000000"/>
              <w:right w:val="single" w:sz="4" w:space="0" w:color="000000"/>
            </w:tcBorders>
          </w:tcPr>
          <w:p>
            <w:pPr>
              <w:pStyle w:val="TableParagraph"/>
              <w:spacing w:before="0"/>
              <w:rPr>
                <w:sz w:val="18"/>
              </w:rPr>
            </w:pPr>
          </w:p>
        </w:tc>
        <w:tc>
          <w:tcPr>
            <w:tcW w:w="354" w:type="dxa"/>
            <w:tcBorders>
              <w:left w:val="single" w:sz="4" w:space="0" w:color="000000"/>
              <w:right w:val="single" w:sz="4" w:space="0" w:color="000000"/>
            </w:tcBorders>
          </w:tcPr>
          <w:p>
            <w:pPr>
              <w:pStyle w:val="TableParagraph"/>
              <w:spacing w:before="0"/>
              <w:rPr>
                <w:sz w:val="18"/>
              </w:rPr>
            </w:pPr>
          </w:p>
        </w:tc>
        <w:tc>
          <w:tcPr>
            <w:tcW w:w="921" w:type="dxa"/>
            <w:tcBorders>
              <w:left w:val="single" w:sz="4" w:space="0" w:color="000000"/>
              <w:right w:val="single" w:sz="4" w:space="0" w:color="000000"/>
            </w:tcBorders>
          </w:tcPr>
          <w:p>
            <w:pPr>
              <w:pStyle w:val="TableParagraph"/>
              <w:spacing w:before="0"/>
              <w:rPr>
                <w:sz w:val="18"/>
              </w:rPr>
            </w:pPr>
          </w:p>
        </w:tc>
        <w:tc>
          <w:tcPr>
            <w:tcW w:w="524" w:type="dxa"/>
            <w:tcBorders>
              <w:left w:val="single" w:sz="4" w:space="0" w:color="000000"/>
              <w:right w:val="single" w:sz="4" w:space="0" w:color="000000"/>
            </w:tcBorders>
          </w:tcPr>
          <w:p>
            <w:pPr>
              <w:pStyle w:val="TableParagraph"/>
              <w:spacing w:before="0"/>
              <w:rPr>
                <w:sz w:val="18"/>
              </w:rPr>
            </w:pPr>
          </w:p>
        </w:tc>
        <w:tc>
          <w:tcPr>
            <w:tcW w:w="637" w:type="dxa"/>
            <w:tcBorders>
              <w:left w:val="single" w:sz="4" w:space="0" w:color="000000"/>
              <w:right w:val="single" w:sz="4" w:space="0" w:color="000000"/>
            </w:tcBorders>
          </w:tcPr>
          <w:p>
            <w:pPr>
              <w:pStyle w:val="TableParagraph"/>
              <w:spacing w:before="0"/>
              <w:rPr>
                <w:sz w:val="18"/>
              </w:rPr>
            </w:pPr>
          </w:p>
        </w:tc>
        <w:tc>
          <w:tcPr>
            <w:tcW w:w="2844" w:type="dxa"/>
            <w:tcBorders>
              <w:left w:val="single" w:sz="4" w:space="0" w:color="000000"/>
            </w:tcBorders>
          </w:tcPr>
          <w:p>
            <w:pPr>
              <w:pStyle w:val="TableParagraph"/>
              <w:spacing w:before="22"/>
              <w:ind w:left="59"/>
              <w:rPr>
                <w:sz w:val="18"/>
              </w:rPr>
            </w:pPr>
            <w:r>
              <w:rPr>
                <w:spacing w:val="-4"/>
                <w:sz w:val="18"/>
              </w:rPr>
              <w:t>moisture</w:t>
            </w:r>
            <w:r>
              <w:rPr>
                <w:spacing w:val="3"/>
                <w:sz w:val="18"/>
              </w:rPr>
              <w:t> </w:t>
            </w:r>
            <w:r>
              <w:rPr>
                <w:spacing w:val="-4"/>
                <w:sz w:val="18"/>
              </w:rPr>
              <w:t>availability</w:t>
            </w:r>
            <w:r>
              <w:rPr>
                <w:spacing w:val="4"/>
                <w:sz w:val="18"/>
              </w:rPr>
              <w:t> </w:t>
            </w:r>
            <w:r>
              <w:rPr>
                <w:spacing w:val="-4"/>
                <w:sz w:val="18"/>
              </w:rPr>
              <w:t>during</w:t>
            </w:r>
            <w:r>
              <w:rPr>
                <w:spacing w:val="4"/>
                <w:sz w:val="18"/>
              </w:rPr>
              <w:t> </w:t>
            </w:r>
            <w:r>
              <w:rPr>
                <w:spacing w:val="-4"/>
                <w:sz w:val="18"/>
              </w:rPr>
              <w:t>early</w:t>
            </w:r>
            <w:r>
              <w:rPr>
                <w:spacing w:val="3"/>
                <w:sz w:val="18"/>
              </w:rPr>
              <w:t> </w:t>
            </w:r>
            <w:r>
              <w:rPr>
                <w:spacing w:val="-4"/>
                <w:sz w:val="18"/>
              </w:rPr>
              <w:t>berry</w:t>
            </w:r>
          </w:p>
        </w:tc>
      </w:tr>
      <w:tr>
        <w:trPr>
          <w:trHeight w:val="571" w:hRule="atLeast"/>
        </w:trPr>
        <w:tc>
          <w:tcPr>
            <w:tcW w:w="1371" w:type="dxa"/>
            <w:tcBorders>
              <w:right w:val="single" w:sz="4" w:space="0" w:color="000000"/>
            </w:tcBorders>
          </w:tcPr>
          <w:p>
            <w:pPr>
              <w:pStyle w:val="TableParagraph"/>
              <w:spacing w:before="0"/>
              <w:rPr>
                <w:sz w:val="18"/>
              </w:rPr>
            </w:pPr>
          </w:p>
        </w:tc>
        <w:tc>
          <w:tcPr>
            <w:tcW w:w="978" w:type="dxa"/>
            <w:tcBorders>
              <w:left w:val="single" w:sz="4" w:space="0" w:color="000000"/>
              <w:right w:val="single" w:sz="4" w:space="0" w:color="000000"/>
            </w:tcBorders>
          </w:tcPr>
          <w:p>
            <w:pPr>
              <w:pStyle w:val="TableParagraph"/>
              <w:spacing w:before="0"/>
              <w:rPr>
                <w:sz w:val="18"/>
              </w:rPr>
            </w:pPr>
          </w:p>
        </w:tc>
        <w:tc>
          <w:tcPr>
            <w:tcW w:w="808" w:type="dxa"/>
            <w:tcBorders>
              <w:left w:val="single" w:sz="4" w:space="0" w:color="000000"/>
              <w:right w:val="single" w:sz="4" w:space="0" w:color="000000"/>
            </w:tcBorders>
          </w:tcPr>
          <w:p>
            <w:pPr>
              <w:pStyle w:val="TableParagraph"/>
              <w:spacing w:before="0"/>
              <w:rPr>
                <w:sz w:val="18"/>
              </w:rPr>
            </w:pPr>
          </w:p>
        </w:tc>
        <w:tc>
          <w:tcPr>
            <w:tcW w:w="354" w:type="dxa"/>
            <w:tcBorders>
              <w:left w:val="single" w:sz="4" w:space="0" w:color="000000"/>
              <w:right w:val="single" w:sz="4" w:space="0" w:color="000000"/>
            </w:tcBorders>
          </w:tcPr>
          <w:p>
            <w:pPr>
              <w:pStyle w:val="TableParagraph"/>
              <w:spacing w:before="0"/>
              <w:rPr>
                <w:sz w:val="18"/>
              </w:rPr>
            </w:pPr>
          </w:p>
        </w:tc>
        <w:tc>
          <w:tcPr>
            <w:tcW w:w="921" w:type="dxa"/>
            <w:tcBorders>
              <w:left w:val="single" w:sz="4" w:space="0" w:color="000000"/>
              <w:right w:val="single" w:sz="4" w:space="0" w:color="000000"/>
            </w:tcBorders>
          </w:tcPr>
          <w:p>
            <w:pPr>
              <w:pStyle w:val="TableParagraph"/>
              <w:spacing w:before="0"/>
              <w:rPr>
                <w:sz w:val="18"/>
              </w:rPr>
            </w:pPr>
          </w:p>
        </w:tc>
        <w:tc>
          <w:tcPr>
            <w:tcW w:w="524" w:type="dxa"/>
            <w:tcBorders>
              <w:left w:val="single" w:sz="4" w:space="0" w:color="000000"/>
              <w:right w:val="single" w:sz="4" w:space="0" w:color="000000"/>
            </w:tcBorders>
          </w:tcPr>
          <w:p>
            <w:pPr>
              <w:pStyle w:val="TableParagraph"/>
              <w:spacing w:before="0"/>
              <w:rPr>
                <w:sz w:val="18"/>
              </w:rPr>
            </w:pPr>
          </w:p>
        </w:tc>
        <w:tc>
          <w:tcPr>
            <w:tcW w:w="637" w:type="dxa"/>
            <w:tcBorders>
              <w:left w:val="single" w:sz="4" w:space="0" w:color="000000"/>
              <w:right w:val="single" w:sz="4" w:space="0" w:color="000000"/>
            </w:tcBorders>
          </w:tcPr>
          <w:p>
            <w:pPr>
              <w:pStyle w:val="TableParagraph"/>
              <w:spacing w:before="0"/>
              <w:rPr>
                <w:sz w:val="18"/>
              </w:rPr>
            </w:pPr>
          </w:p>
        </w:tc>
        <w:tc>
          <w:tcPr>
            <w:tcW w:w="2844" w:type="dxa"/>
            <w:tcBorders>
              <w:left w:val="single" w:sz="4" w:space="0" w:color="000000"/>
            </w:tcBorders>
          </w:tcPr>
          <w:p>
            <w:pPr>
              <w:pStyle w:val="TableParagraph"/>
              <w:spacing w:line="266" w:lineRule="exact" w:before="0"/>
              <w:ind w:left="59"/>
              <w:rPr>
                <w:sz w:val="18"/>
              </w:rPr>
            </w:pPr>
            <w:r>
              <w:rPr>
                <w:spacing w:val="-4"/>
                <w:sz w:val="18"/>
              </w:rPr>
              <w:t>development;</w:t>
            </w:r>
            <w:r>
              <w:rPr>
                <w:spacing w:val="2"/>
                <w:sz w:val="18"/>
              </w:rPr>
              <w:t> </w:t>
            </w:r>
            <w:r>
              <w:rPr>
                <w:spacing w:val="-4"/>
                <w:sz w:val="18"/>
              </w:rPr>
              <w:t>excess</w:t>
            </w:r>
            <w:r>
              <w:rPr>
                <w:spacing w:val="1"/>
                <w:sz w:val="18"/>
              </w:rPr>
              <w:t> </w:t>
            </w:r>
            <w:r>
              <w:rPr>
                <w:rFonts w:ascii="Meiryo UI" w:hAnsi="Meiryo UI"/>
                <w:i/>
                <w:spacing w:val="-4"/>
                <w:sz w:val="18"/>
              </w:rPr>
              <w:t>→</w:t>
            </w:r>
            <w:r>
              <w:rPr>
                <w:rFonts w:ascii="Meiryo UI" w:hAnsi="Meiryo UI"/>
                <w:i/>
                <w:spacing w:val="-15"/>
                <w:sz w:val="18"/>
              </w:rPr>
              <w:t> </w:t>
            </w:r>
            <w:r>
              <w:rPr>
                <w:spacing w:val="-4"/>
                <w:sz w:val="18"/>
              </w:rPr>
              <w:t>vigour/disease</w:t>
            </w:r>
          </w:p>
          <w:p>
            <w:pPr>
              <w:pStyle w:val="TableParagraph"/>
              <w:spacing w:before="22"/>
              <w:ind w:left="59"/>
              <w:rPr>
                <w:sz w:val="18"/>
              </w:rPr>
            </w:pPr>
            <w:r>
              <w:rPr>
                <w:sz w:val="18"/>
              </w:rPr>
              <w:t>in</w:t>
            </w:r>
            <w:r>
              <w:rPr>
                <w:spacing w:val="-3"/>
                <w:sz w:val="18"/>
              </w:rPr>
              <w:t> </w:t>
            </w:r>
            <w:r>
              <w:rPr>
                <w:spacing w:val="-5"/>
                <w:sz w:val="18"/>
              </w:rPr>
              <w:t>RVV</w:t>
            </w:r>
          </w:p>
        </w:tc>
      </w:tr>
      <w:tr>
        <w:trPr>
          <w:trHeight w:val="305" w:hRule="atLeast"/>
        </w:trPr>
        <w:tc>
          <w:tcPr>
            <w:tcW w:w="1371" w:type="dxa"/>
            <w:tcBorders>
              <w:right w:val="single" w:sz="4" w:space="0" w:color="000000"/>
            </w:tcBorders>
          </w:tcPr>
          <w:p>
            <w:pPr>
              <w:pStyle w:val="TableParagraph"/>
              <w:spacing w:before="62"/>
              <w:ind w:left="59"/>
              <w:rPr>
                <w:sz w:val="18"/>
              </w:rPr>
            </w:pPr>
            <w:r>
              <w:rPr>
                <w:spacing w:val="-2"/>
                <w:sz w:val="18"/>
              </w:rPr>
              <w:t>swa_fl_y1_a30</w:t>
            </w:r>
          </w:p>
        </w:tc>
        <w:tc>
          <w:tcPr>
            <w:tcW w:w="978" w:type="dxa"/>
            <w:tcBorders>
              <w:left w:val="single" w:sz="4" w:space="0" w:color="000000"/>
              <w:right w:val="single" w:sz="4" w:space="0" w:color="000000"/>
            </w:tcBorders>
          </w:tcPr>
          <w:p>
            <w:pPr>
              <w:pStyle w:val="TableParagraph"/>
              <w:spacing w:before="62"/>
              <w:ind w:left="58"/>
              <w:rPr>
                <w:sz w:val="18"/>
              </w:rPr>
            </w:pPr>
            <w:r>
              <w:rPr>
                <w:sz w:val="18"/>
              </w:rPr>
              <w:t>Soil</w:t>
            </w:r>
            <w:r>
              <w:rPr>
                <w:spacing w:val="33"/>
                <w:sz w:val="18"/>
              </w:rPr>
              <w:t>  </w:t>
            </w:r>
            <w:r>
              <w:rPr>
                <w:spacing w:val="-2"/>
                <w:sz w:val="18"/>
              </w:rPr>
              <w:t>water</w:t>
            </w:r>
          </w:p>
        </w:tc>
        <w:tc>
          <w:tcPr>
            <w:tcW w:w="808" w:type="dxa"/>
            <w:tcBorders>
              <w:left w:val="single" w:sz="4" w:space="0" w:color="000000"/>
              <w:right w:val="single" w:sz="4" w:space="0" w:color="000000"/>
            </w:tcBorders>
          </w:tcPr>
          <w:p>
            <w:pPr>
              <w:pStyle w:val="TableParagraph"/>
              <w:spacing w:before="62"/>
              <w:ind w:left="58"/>
              <w:rPr>
                <w:sz w:val="18"/>
              </w:rPr>
            </w:pPr>
            <w:r>
              <w:rPr>
                <w:spacing w:val="-2"/>
                <w:sz w:val="18"/>
              </w:rPr>
              <w:t>Flowering</w:t>
            </w:r>
          </w:p>
        </w:tc>
        <w:tc>
          <w:tcPr>
            <w:tcW w:w="354" w:type="dxa"/>
            <w:tcBorders>
              <w:left w:val="single" w:sz="4" w:space="0" w:color="000000"/>
              <w:right w:val="single" w:sz="4" w:space="0" w:color="000000"/>
            </w:tcBorders>
          </w:tcPr>
          <w:p>
            <w:pPr>
              <w:pStyle w:val="TableParagraph"/>
              <w:spacing w:before="62"/>
              <w:ind w:right="46"/>
              <w:jc w:val="center"/>
              <w:rPr>
                <w:sz w:val="18"/>
              </w:rPr>
            </w:pPr>
            <w:r>
              <w:rPr>
                <w:spacing w:val="-5"/>
                <w:sz w:val="18"/>
              </w:rPr>
              <w:t>y1</w:t>
            </w:r>
          </w:p>
        </w:tc>
        <w:tc>
          <w:tcPr>
            <w:tcW w:w="921" w:type="dxa"/>
            <w:tcBorders>
              <w:left w:val="single" w:sz="4" w:space="0" w:color="000000"/>
              <w:right w:val="single" w:sz="4" w:space="0" w:color="000000"/>
            </w:tcBorders>
          </w:tcPr>
          <w:p>
            <w:pPr>
              <w:pStyle w:val="TableParagraph"/>
              <w:spacing w:before="62"/>
              <w:ind w:left="58"/>
              <w:rPr>
                <w:sz w:val="18"/>
              </w:rPr>
            </w:pPr>
            <w:r>
              <w:rPr>
                <w:sz w:val="18"/>
              </w:rPr>
              <w:t>30d</w:t>
            </w:r>
            <w:r>
              <w:rPr>
                <w:spacing w:val="-4"/>
                <w:sz w:val="18"/>
              </w:rPr>
              <w:t> after</w:t>
            </w:r>
          </w:p>
        </w:tc>
        <w:tc>
          <w:tcPr>
            <w:tcW w:w="524" w:type="dxa"/>
            <w:tcBorders>
              <w:left w:val="single" w:sz="4" w:space="0" w:color="000000"/>
              <w:right w:val="single" w:sz="4" w:space="0" w:color="000000"/>
            </w:tcBorders>
          </w:tcPr>
          <w:p>
            <w:pPr>
              <w:pStyle w:val="TableParagraph"/>
              <w:spacing w:before="62"/>
              <w:ind w:left="58"/>
              <w:rPr>
                <w:sz w:val="18"/>
              </w:rPr>
            </w:pPr>
            <w:r>
              <w:rPr>
                <w:spacing w:val="-5"/>
                <w:sz w:val="18"/>
              </w:rPr>
              <w:t>mm</w:t>
            </w:r>
          </w:p>
        </w:tc>
        <w:tc>
          <w:tcPr>
            <w:tcW w:w="637" w:type="dxa"/>
            <w:tcBorders>
              <w:left w:val="single" w:sz="4" w:space="0" w:color="000000"/>
              <w:right w:val="single" w:sz="4" w:space="0" w:color="000000"/>
            </w:tcBorders>
          </w:tcPr>
          <w:p>
            <w:pPr>
              <w:pStyle w:val="TableParagraph"/>
              <w:spacing w:before="62"/>
              <w:ind w:left="59" w:right="-15"/>
              <w:rPr>
                <w:sz w:val="18"/>
              </w:rPr>
            </w:pPr>
            <w:r>
              <w:rPr>
                <w:spacing w:val="-7"/>
                <w:sz w:val="18"/>
              </w:rPr>
              <w:t>Average</w:t>
            </w:r>
          </w:p>
        </w:tc>
        <w:tc>
          <w:tcPr>
            <w:tcW w:w="2844" w:type="dxa"/>
            <w:tcBorders>
              <w:left w:val="single" w:sz="4" w:space="0" w:color="000000"/>
            </w:tcBorders>
          </w:tcPr>
          <w:p>
            <w:pPr>
              <w:pStyle w:val="TableParagraph"/>
              <w:spacing w:before="62"/>
              <w:ind w:left="59"/>
              <w:rPr>
                <w:sz w:val="18"/>
              </w:rPr>
            </w:pPr>
            <w:r>
              <w:rPr>
                <w:sz w:val="18"/>
              </w:rPr>
              <w:t>Wider</w:t>
            </w:r>
            <w:r>
              <w:rPr>
                <w:spacing w:val="11"/>
                <w:sz w:val="18"/>
              </w:rPr>
              <w:t> </w:t>
            </w:r>
            <w:r>
              <w:rPr>
                <w:sz w:val="18"/>
              </w:rPr>
              <w:t>post-flowering</w:t>
            </w:r>
            <w:r>
              <w:rPr>
                <w:spacing w:val="12"/>
                <w:sz w:val="18"/>
              </w:rPr>
              <w:t> </w:t>
            </w:r>
            <w:r>
              <w:rPr>
                <w:sz w:val="18"/>
              </w:rPr>
              <w:t>soil</w:t>
            </w:r>
            <w:r>
              <w:rPr>
                <w:spacing w:val="12"/>
                <w:sz w:val="18"/>
              </w:rPr>
              <w:t> </w:t>
            </w:r>
            <w:r>
              <w:rPr>
                <w:sz w:val="18"/>
              </w:rPr>
              <w:t>water</w:t>
            </w:r>
            <w:r>
              <w:rPr>
                <w:spacing w:val="12"/>
                <w:sz w:val="18"/>
              </w:rPr>
              <w:t> </w:t>
            </w:r>
            <w:r>
              <w:rPr>
                <w:spacing w:val="-4"/>
                <w:sz w:val="18"/>
              </w:rPr>
              <w:t>win-</w:t>
            </w:r>
          </w:p>
        </w:tc>
      </w:tr>
      <w:tr>
        <w:trPr>
          <w:trHeight w:val="265" w:hRule="atLeast"/>
        </w:trPr>
        <w:tc>
          <w:tcPr>
            <w:tcW w:w="1371" w:type="dxa"/>
            <w:tcBorders>
              <w:right w:val="single" w:sz="4" w:space="0" w:color="000000"/>
            </w:tcBorders>
          </w:tcPr>
          <w:p>
            <w:pPr>
              <w:pStyle w:val="TableParagraph"/>
              <w:spacing w:before="0"/>
              <w:rPr>
                <w:sz w:val="18"/>
              </w:rPr>
            </w:pPr>
          </w:p>
        </w:tc>
        <w:tc>
          <w:tcPr>
            <w:tcW w:w="978" w:type="dxa"/>
            <w:tcBorders>
              <w:left w:val="single" w:sz="4" w:space="0" w:color="000000"/>
              <w:right w:val="single" w:sz="4" w:space="0" w:color="000000"/>
            </w:tcBorders>
          </w:tcPr>
          <w:p>
            <w:pPr>
              <w:pStyle w:val="TableParagraph"/>
              <w:spacing w:before="22"/>
              <w:ind w:left="58"/>
              <w:rPr>
                <w:sz w:val="18"/>
              </w:rPr>
            </w:pPr>
            <w:r>
              <w:rPr>
                <w:spacing w:val="-2"/>
                <w:sz w:val="18"/>
              </w:rPr>
              <w:t>availability</w:t>
            </w:r>
          </w:p>
        </w:tc>
        <w:tc>
          <w:tcPr>
            <w:tcW w:w="808" w:type="dxa"/>
            <w:tcBorders>
              <w:left w:val="single" w:sz="4" w:space="0" w:color="000000"/>
              <w:right w:val="single" w:sz="4" w:space="0" w:color="000000"/>
            </w:tcBorders>
          </w:tcPr>
          <w:p>
            <w:pPr>
              <w:pStyle w:val="TableParagraph"/>
              <w:spacing w:before="0"/>
              <w:rPr>
                <w:sz w:val="18"/>
              </w:rPr>
            </w:pPr>
          </w:p>
        </w:tc>
        <w:tc>
          <w:tcPr>
            <w:tcW w:w="354" w:type="dxa"/>
            <w:tcBorders>
              <w:left w:val="single" w:sz="4" w:space="0" w:color="000000"/>
              <w:right w:val="single" w:sz="4" w:space="0" w:color="000000"/>
            </w:tcBorders>
          </w:tcPr>
          <w:p>
            <w:pPr>
              <w:pStyle w:val="TableParagraph"/>
              <w:spacing w:before="0"/>
              <w:rPr>
                <w:sz w:val="18"/>
              </w:rPr>
            </w:pPr>
          </w:p>
        </w:tc>
        <w:tc>
          <w:tcPr>
            <w:tcW w:w="921" w:type="dxa"/>
            <w:tcBorders>
              <w:left w:val="single" w:sz="4" w:space="0" w:color="000000"/>
              <w:right w:val="single" w:sz="4" w:space="0" w:color="000000"/>
            </w:tcBorders>
          </w:tcPr>
          <w:p>
            <w:pPr>
              <w:pStyle w:val="TableParagraph"/>
              <w:spacing w:before="0"/>
              <w:rPr>
                <w:sz w:val="18"/>
              </w:rPr>
            </w:pPr>
          </w:p>
        </w:tc>
        <w:tc>
          <w:tcPr>
            <w:tcW w:w="524" w:type="dxa"/>
            <w:tcBorders>
              <w:left w:val="single" w:sz="4" w:space="0" w:color="000000"/>
              <w:right w:val="single" w:sz="4" w:space="0" w:color="000000"/>
            </w:tcBorders>
          </w:tcPr>
          <w:p>
            <w:pPr>
              <w:pStyle w:val="TableParagraph"/>
              <w:spacing w:before="0"/>
              <w:rPr>
                <w:sz w:val="18"/>
              </w:rPr>
            </w:pPr>
          </w:p>
        </w:tc>
        <w:tc>
          <w:tcPr>
            <w:tcW w:w="637" w:type="dxa"/>
            <w:tcBorders>
              <w:left w:val="single" w:sz="4" w:space="0" w:color="000000"/>
              <w:right w:val="single" w:sz="4" w:space="0" w:color="000000"/>
            </w:tcBorders>
          </w:tcPr>
          <w:p>
            <w:pPr>
              <w:pStyle w:val="TableParagraph"/>
              <w:spacing w:before="0"/>
              <w:rPr>
                <w:sz w:val="18"/>
              </w:rPr>
            </w:pPr>
          </w:p>
        </w:tc>
        <w:tc>
          <w:tcPr>
            <w:tcW w:w="2844" w:type="dxa"/>
            <w:tcBorders>
              <w:left w:val="single" w:sz="4" w:space="0" w:color="000000"/>
            </w:tcBorders>
          </w:tcPr>
          <w:p>
            <w:pPr>
              <w:pStyle w:val="TableParagraph"/>
              <w:spacing w:before="22"/>
              <w:ind w:left="59"/>
              <w:rPr>
                <w:sz w:val="18"/>
              </w:rPr>
            </w:pPr>
            <w:r>
              <w:rPr>
                <w:spacing w:val="-4"/>
                <w:sz w:val="18"/>
              </w:rPr>
              <w:t>dow,</w:t>
            </w:r>
            <w:r>
              <w:rPr>
                <w:spacing w:val="-1"/>
                <w:sz w:val="18"/>
              </w:rPr>
              <w:t> </w:t>
            </w:r>
            <w:r>
              <w:rPr>
                <w:spacing w:val="-4"/>
                <w:sz w:val="18"/>
              </w:rPr>
              <w:t>cumulative</w:t>
            </w:r>
            <w:r>
              <w:rPr>
                <w:spacing w:val="-3"/>
                <w:sz w:val="18"/>
              </w:rPr>
              <w:t> </w:t>
            </w:r>
            <w:r>
              <w:rPr>
                <w:spacing w:val="-4"/>
                <w:sz w:val="18"/>
              </w:rPr>
              <w:t>moisture</w:t>
            </w:r>
            <w:r>
              <w:rPr>
                <w:spacing w:val="-3"/>
                <w:sz w:val="18"/>
              </w:rPr>
              <w:t> </w:t>
            </w:r>
            <w:r>
              <w:rPr>
                <w:spacing w:val="-4"/>
                <w:sz w:val="18"/>
              </w:rPr>
              <w:t>through</w:t>
            </w:r>
            <w:r>
              <w:rPr>
                <w:spacing w:val="-3"/>
                <w:sz w:val="18"/>
              </w:rPr>
              <w:t> </w:t>
            </w:r>
            <w:r>
              <w:rPr>
                <w:spacing w:val="-4"/>
                <w:sz w:val="18"/>
              </w:rPr>
              <w:t>mid-</w:t>
            </w:r>
          </w:p>
        </w:tc>
      </w:tr>
      <w:tr>
        <w:trPr>
          <w:trHeight w:val="305" w:hRule="atLeast"/>
        </w:trPr>
        <w:tc>
          <w:tcPr>
            <w:tcW w:w="1371" w:type="dxa"/>
            <w:tcBorders>
              <w:right w:val="single" w:sz="4" w:space="0" w:color="000000"/>
            </w:tcBorders>
          </w:tcPr>
          <w:p>
            <w:pPr>
              <w:pStyle w:val="TableParagraph"/>
              <w:spacing w:before="0"/>
              <w:rPr>
                <w:sz w:val="18"/>
              </w:rPr>
            </w:pPr>
          </w:p>
        </w:tc>
        <w:tc>
          <w:tcPr>
            <w:tcW w:w="978" w:type="dxa"/>
            <w:tcBorders>
              <w:left w:val="single" w:sz="4" w:space="0" w:color="000000"/>
              <w:right w:val="single" w:sz="4" w:space="0" w:color="000000"/>
            </w:tcBorders>
          </w:tcPr>
          <w:p>
            <w:pPr>
              <w:pStyle w:val="TableParagraph"/>
              <w:spacing w:before="0"/>
              <w:rPr>
                <w:sz w:val="18"/>
              </w:rPr>
            </w:pPr>
          </w:p>
        </w:tc>
        <w:tc>
          <w:tcPr>
            <w:tcW w:w="808" w:type="dxa"/>
            <w:tcBorders>
              <w:left w:val="single" w:sz="4" w:space="0" w:color="000000"/>
              <w:right w:val="single" w:sz="4" w:space="0" w:color="000000"/>
            </w:tcBorders>
          </w:tcPr>
          <w:p>
            <w:pPr>
              <w:pStyle w:val="TableParagraph"/>
              <w:spacing w:before="0"/>
              <w:rPr>
                <w:sz w:val="18"/>
              </w:rPr>
            </w:pPr>
          </w:p>
        </w:tc>
        <w:tc>
          <w:tcPr>
            <w:tcW w:w="354" w:type="dxa"/>
            <w:tcBorders>
              <w:left w:val="single" w:sz="4" w:space="0" w:color="000000"/>
              <w:right w:val="single" w:sz="4" w:space="0" w:color="000000"/>
            </w:tcBorders>
          </w:tcPr>
          <w:p>
            <w:pPr>
              <w:pStyle w:val="TableParagraph"/>
              <w:spacing w:before="0"/>
              <w:rPr>
                <w:sz w:val="18"/>
              </w:rPr>
            </w:pPr>
          </w:p>
        </w:tc>
        <w:tc>
          <w:tcPr>
            <w:tcW w:w="921" w:type="dxa"/>
            <w:tcBorders>
              <w:left w:val="single" w:sz="4" w:space="0" w:color="000000"/>
              <w:right w:val="single" w:sz="4" w:space="0" w:color="000000"/>
            </w:tcBorders>
          </w:tcPr>
          <w:p>
            <w:pPr>
              <w:pStyle w:val="TableParagraph"/>
              <w:spacing w:before="0"/>
              <w:rPr>
                <w:sz w:val="18"/>
              </w:rPr>
            </w:pPr>
          </w:p>
        </w:tc>
        <w:tc>
          <w:tcPr>
            <w:tcW w:w="524" w:type="dxa"/>
            <w:tcBorders>
              <w:left w:val="single" w:sz="4" w:space="0" w:color="000000"/>
              <w:right w:val="single" w:sz="4" w:space="0" w:color="000000"/>
            </w:tcBorders>
          </w:tcPr>
          <w:p>
            <w:pPr>
              <w:pStyle w:val="TableParagraph"/>
              <w:spacing w:before="0"/>
              <w:rPr>
                <w:sz w:val="18"/>
              </w:rPr>
            </w:pPr>
          </w:p>
        </w:tc>
        <w:tc>
          <w:tcPr>
            <w:tcW w:w="637" w:type="dxa"/>
            <w:tcBorders>
              <w:left w:val="single" w:sz="4" w:space="0" w:color="000000"/>
              <w:right w:val="single" w:sz="4" w:space="0" w:color="000000"/>
            </w:tcBorders>
          </w:tcPr>
          <w:p>
            <w:pPr>
              <w:pStyle w:val="TableParagraph"/>
              <w:spacing w:before="0"/>
              <w:rPr>
                <w:sz w:val="18"/>
              </w:rPr>
            </w:pPr>
          </w:p>
        </w:tc>
        <w:tc>
          <w:tcPr>
            <w:tcW w:w="2844" w:type="dxa"/>
            <w:tcBorders>
              <w:left w:val="single" w:sz="4" w:space="0" w:color="000000"/>
            </w:tcBorders>
          </w:tcPr>
          <w:p>
            <w:pPr>
              <w:pStyle w:val="TableParagraph"/>
              <w:spacing w:before="22"/>
              <w:ind w:left="59"/>
              <w:rPr>
                <w:sz w:val="18"/>
              </w:rPr>
            </w:pPr>
            <w:r>
              <w:rPr>
                <w:spacing w:val="-2"/>
                <w:sz w:val="18"/>
              </w:rPr>
              <w:t>season;</w:t>
            </w:r>
            <w:r>
              <w:rPr>
                <w:spacing w:val="-6"/>
                <w:sz w:val="18"/>
              </w:rPr>
              <w:t> </w:t>
            </w:r>
            <w:r>
              <w:rPr>
                <w:spacing w:val="-2"/>
                <w:sz w:val="18"/>
              </w:rPr>
              <w:t>appears</w:t>
            </w:r>
            <w:r>
              <w:rPr>
                <w:spacing w:val="-6"/>
                <w:sz w:val="18"/>
              </w:rPr>
              <w:t> </w:t>
            </w:r>
            <w:r>
              <w:rPr>
                <w:spacing w:val="-2"/>
                <w:sz w:val="18"/>
              </w:rPr>
              <w:t>in</w:t>
            </w:r>
            <w:r>
              <w:rPr>
                <w:spacing w:val="-6"/>
                <w:sz w:val="18"/>
              </w:rPr>
              <w:t> </w:t>
            </w:r>
            <w:r>
              <w:rPr>
                <w:spacing w:val="-2"/>
                <w:sz w:val="18"/>
              </w:rPr>
              <w:t>RVV</w:t>
            </w:r>
            <w:r>
              <w:rPr>
                <w:spacing w:val="-6"/>
                <w:sz w:val="18"/>
              </w:rPr>
              <w:t> </w:t>
            </w:r>
            <w:r>
              <w:rPr>
                <w:spacing w:val="-2"/>
                <w:sz w:val="18"/>
              </w:rPr>
              <w:t>rules</w:t>
            </w:r>
            <w:r>
              <w:rPr>
                <w:spacing w:val="-5"/>
                <w:sz w:val="18"/>
              </w:rPr>
              <w:t> </w:t>
            </w:r>
            <w:r>
              <w:rPr>
                <w:spacing w:val="-2"/>
                <w:sz w:val="18"/>
              </w:rPr>
              <w:t>3,</w:t>
            </w:r>
            <w:r>
              <w:rPr>
                <w:spacing w:val="-6"/>
                <w:sz w:val="18"/>
              </w:rPr>
              <w:t> </w:t>
            </w:r>
            <w:r>
              <w:rPr>
                <w:spacing w:val="-2"/>
                <w:sz w:val="18"/>
              </w:rPr>
              <w:t>16,</w:t>
            </w:r>
            <w:r>
              <w:rPr>
                <w:spacing w:val="-6"/>
                <w:sz w:val="18"/>
              </w:rPr>
              <w:t> </w:t>
            </w:r>
            <w:r>
              <w:rPr>
                <w:spacing w:val="-5"/>
                <w:sz w:val="18"/>
              </w:rPr>
              <w:t>19</w:t>
            </w:r>
          </w:p>
        </w:tc>
      </w:tr>
      <w:tr>
        <w:trPr>
          <w:trHeight w:val="305" w:hRule="atLeast"/>
        </w:trPr>
        <w:tc>
          <w:tcPr>
            <w:tcW w:w="1371" w:type="dxa"/>
            <w:tcBorders>
              <w:right w:val="single" w:sz="4" w:space="0" w:color="000000"/>
            </w:tcBorders>
          </w:tcPr>
          <w:p>
            <w:pPr>
              <w:pStyle w:val="TableParagraph"/>
              <w:spacing w:before="62"/>
              <w:ind w:left="59"/>
              <w:rPr>
                <w:sz w:val="18"/>
              </w:rPr>
            </w:pPr>
            <w:r>
              <w:rPr>
                <w:spacing w:val="-2"/>
                <w:sz w:val="18"/>
              </w:rPr>
              <w:t>swa_hv_y1_b20</w:t>
            </w:r>
          </w:p>
        </w:tc>
        <w:tc>
          <w:tcPr>
            <w:tcW w:w="978" w:type="dxa"/>
            <w:tcBorders>
              <w:left w:val="single" w:sz="4" w:space="0" w:color="000000"/>
              <w:right w:val="single" w:sz="4" w:space="0" w:color="000000"/>
            </w:tcBorders>
          </w:tcPr>
          <w:p>
            <w:pPr>
              <w:pStyle w:val="TableParagraph"/>
              <w:spacing w:before="62"/>
              <w:ind w:left="58"/>
              <w:rPr>
                <w:sz w:val="18"/>
              </w:rPr>
            </w:pPr>
            <w:r>
              <w:rPr>
                <w:sz w:val="18"/>
              </w:rPr>
              <w:t>Soil</w:t>
            </w:r>
            <w:r>
              <w:rPr>
                <w:spacing w:val="33"/>
                <w:sz w:val="18"/>
              </w:rPr>
              <w:t>  </w:t>
            </w:r>
            <w:r>
              <w:rPr>
                <w:spacing w:val="-2"/>
                <w:sz w:val="18"/>
              </w:rPr>
              <w:t>water</w:t>
            </w:r>
          </w:p>
        </w:tc>
        <w:tc>
          <w:tcPr>
            <w:tcW w:w="808" w:type="dxa"/>
            <w:tcBorders>
              <w:left w:val="single" w:sz="4" w:space="0" w:color="000000"/>
              <w:right w:val="single" w:sz="4" w:space="0" w:color="000000"/>
            </w:tcBorders>
          </w:tcPr>
          <w:p>
            <w:pPr>
              <w:pStyle w:val="TableParagraph"/>
              <w:spacing w:before="62"/>
              <w:ind w:left="58"/>
              <w:rPr>
                <w:sz w:val="18"/>
              </w:rPr>
            </w:pPr>
            <w:r>
              <w:rPr>
                <w:spacing w:val="-2"/>
                <w:sz w:val="18"/>
              </w:rPr>
              <w:t>Harvest</w:t>
            </w:r>
          </w:p>
        </w:tc>
        <w:tc>
          <w:tcPr>
            <w:tcW w:w="354" w:type="dxa"/>
            <w:tcBorders>
              <w:left w:val="single" w:sz="4" w:space="0" w:color="000000"/>
              <w:right w:val="single" w:sz="4" w:space="0" w:color="000000"/>
            </w:tcBorders>
          </w:tcPr>
          <w:p>
            <w:pPr>
              <w:pStyle w:val="TableParagraph"/>
              <w:spacing w:before="62"/>
              <w:ind w:right="46"/>
              <w:jc w:val="center"/>
              <w:rPr>
                <w:sz w:val="18"/>
              </w:rPr>
            </w:pPr>
            <w:r>
              <w:rPr>
                <w:spacing w:val="-5"/>
                <w:sz w:val="18"/>
              </w:rPr>
              <w:t>y1</w:t>
            </w:r>
          </w:p>
        </w:tc>
        <w:tc>
          <w:tcPr>
            <w:tcW w:w="921" w:type="dxa"/>
            <w:tcBorders>
              <w:left w:val="single" w:sz="4" w:space="0" w:color="000000"/>
              <w:right w:val="single" w:sz="4" w:space="0" w:color="000000"/>
            </w:tcBorders>
          </w:tcPr>
          <w:p>
            <w:pPr>
              <w:pStyle w:val="TableParagraph"/>
              <w:spacing w:before="62"/>
              <w:ind w:left="58"/>
              <w:rPr>
                <w:sz w:val="18"/>
              </w:rPr>
            </w:pPr>
            <w:r>
              <w:rPr>
                <w:sz w:val="18"/>
              </w:rPr>
              <w:t>20d</w:t>
            </w:r>
            <w:r>
              <w:rPr>
                <w:spacing w:val="-4"/>
                <w:sz w:val="18"/>
              </w:rPr>
              <w:t> </w:t>
            </w:r>
            <w:r>
              <w:rPr>
                <w:spacing w:val="-2"/>
                <w:sz w:val="18"/>
              </w:rPr>
              <w:t>before</w:t>
            </w:r>
          </w:p>
        </w:tc>
        <w:tc>
          <w:tcPr>
            <w:tcW w:w="524" w:type="dxa"/>
            <w:tcBorders>
              <w:left w:val="single" w:sz="4" w:space="0" w:color="000000"/>
              <w:right w:val="single" w:sz="4" w:space="0" w:color="000000"/>
            </w:tcBorders>
          </w:tcPr>
          <w:p>
            <w:pPr>
              <w:pStyle w:val="TableParagraph"/>
              <w:spacing w:before="62"/>
              <w:ind w:left="58"/>
              <w:rPr>
                <w:sz w:val="18"/>
              </w:rPr>
            </w:pPr>
            <w:r>
              <w:rPr>
                <w:spacing w:val="-5"/>
                <w:sz w:val="18"/>
              </w:rPr>
              <w:t>mm</w:t>
            </w:r>
          </w:p>
        </w:tc>
        <w:tc>
          <w:tcPr>
            <w:tcW w:w="637" w:type="dxa"/>
            <w:tcBorders>
              <w:left w:val="single" w:sz="4" w:space="0" w:color="000000"/>
              <w:right w:val="single" w:sz="4" w:space="0" w:color="000000"/>
            </w:tcBorders>
          </w:tcPr>
          <w:p>
            <w:pPr>
              <w:pStyle w:val="TableParagraph"/>
              <w:spacing w:before="62"/>
              <w:ind w:left="59" w:right="-15"/>
              <w:rPr>
                <w:sz w:val="18"/>
              </w:rPr>
            </w:pPr>
            <w:r>
              <w:rPr>
                <w:spacing w:val="-7"/>
                <w:sz w:val="18"/>
              </w:rPr>
              <w:t>Average</w:t>
            </w:r>
          </w:p>
        </w:tc>
        <w:tc>
          <w:tcPr>
            <w:tcW w:w="2844" w:type="dxa"/>
            <w:tcBorders>
              <w:left w:val="single" w:sz="4" w:space="0" w:color="000000"/>
            </w:tcBorders>
          </w:tcPr>
          <w:p>
            <w:pPr>
              <w:pStyle w:val="TableParagraph"/>
              <w:spacing w:before="62"/>
              <w:ind w:left="59"/>
              <w:rPr>
                <w:sz w:val="18"/>
              </w:rPr>
            </w:pPr>
            <w:r>
              <w:rPr>
                <w:sz w:val="18"/>
              </w:rPr>
              <w:t>Pre-harvest</w:t>
            </w:r>
            <w:r>
              <w:rPr>
                <w:spacing w:val="13"/>
                <w:sz w:val="18"/>
              </w:rPr>
              <w:t> </w:t>
            </w:r>
            <w:r>
              <w:rPr>
                <w:sz w:val="18"/>
              </w:rPr>
              <w:t>soil</w:t>
            </w:r>
            <w:r>
              <w:rPr>
                <w:spacing w:val="13"/>
                <w:sz w:val="18"/>
              </w:rPr>
              <w:t> </w:t>
            </w:r>
            <w:r>
              <w:rPr>
                <w:sz w:val="18"/>
              </w:rPr>
              <w:t>water:</w:t>
            </w:r>
            <w:r>
              <w:rPr>
                <w:spacing w:val="35"/>
                <w:sz w:val="18"/>
              </w:rPr>
              <w:t> </w:t>
            </w:r>
            <w:r>
              <w:rPr>
                <w:spacing w:val="-2"/>
                <w:sz w:val="18"/>
              </w:rPr>
              <w:t>DOMINANT</w:t>
            </w:r>
          </w:p>
        </w:tc>
      </w:tr>
      <w:tr>
        <w:trPr>
          <w:trHeight w:val="265" w:hRule="atLeast"/>
        </w:trPr>
        <w:tc>
          <w:tcPr>
            <w:tcW w:w="1371" w:type="dxa"/>
            <w:tcBorders>
              <w:right w:val="single" w:sz="4" w:space="0" w:color="000000"/>
            </w:tcBorders>
          </w:tcPr>
          <w:p>
            <w:pPr>
              <w:pStyle w:val="TableParagraph"/>
              <w:spacing w:before="0"/>
              <w:rPr>
                <w:sz w:val="18"/>
              </w:rPr>
            </w:pPr>
          </w:p>
        </w:tc>
        <w:tc>
          <w:tcPr>
            <w:tcW w:w="978" w:type="dxa"/>
            <w:tcBorders>
              <w:left w:val="single" w:sz="4" w:space="0" w:color="000000"/>
              <w:right w:val="single" w:sz="4" w:space="0" w:color="000000"/>
            </w:tcBorders>
          </w:tcPr>
          <w:p>
            <w:pPr>
              <w:pStyle w:val="TableParagraph"/>
              <w:spacing w:before="22"/>
              <w:ind w:left="58"/>
              <w:rPr>
                <w:sz w:val="18"/>
              </w:rPr>
            </w:pPr>
            <w:r>
              <w:rPr>
                <w:spacing w:val="-2"/>
                <w:sz w:val="18"/>
              </w:rPr>
              <w:t>availability</w:t>
            </w:r>
          </w:p>
        </w:tc>
        <w:tc>
          <w:tcPr>
            <w:tcW w:w="808" w:type="dxa"/>
            <w:tcBorders>
              <w:left w:val="single" w:sz="4" w:space="0" w:color="000000"/>
              <w:right w:val="single" w:sz="4" w:space="0" w:color="000000"/>
            </w:tcBorders>
          </w:tcPr>
          <w:p>
            <w:pPr>
              <w:pStyle w:val="TableParagraph"/>
              <w:spacing w:before="0"/>
              <w:rPr>
                <w:sz w:val="18"/>
              </w:rPr>
            </w:pPr>
          </w:p>
        </w:tc>
        <w:tc>
          <w:tcPr>
            <w:tcW w:w="354" w:type="dxa"/>
            <w:tcBorders>
              <w:left w:val="single" w:sz="4" w:space="0" w:color="000000"/>
              <w:right w:val="single" w:sz="4" w:space="0" w:color="000000"/>
            </w:tcBorders>
          </w:tcPr>
          <w:p>
            <w:pPr>
              <w:pStyle w:val="TableParagraph"/>
              <w:spacing w:before="0"/>
              <w:rPr>
                <w:sz w:val="18"/>
              </w:rPr>
            </w:pPr>
          </w:p>
        </w:tc>
        <w:tc>
          <w:tcPr>
            <w:tcW w:w="921" w:type="dxa"/>
            <w:tcBorders>
              <w:left w:val="single" w:sz="4" w:space="0" w:color="000000"/>
              <w:right w:val="single" w:sz="4" w:space="0" w:color="000000"/>
            </w:tcBorders>
          </w:tcPr>
          <w:p>
            <w:pPr>
              <w:pStyle w:val="TableParagraph"/>
              <w:spacing w:before="0"/>
              <w:rPr>
                <w:sz w:val="18"/>
              </w:rPr>
            </w:pPr>
          </w:p>
        </w:tc>
        <w:tc>
          <w:tcPr>
            <w:tcW w:w="524" w:type="dxa"/>
            <w:tcBorders>
              <w:left w:val="single" w:sz="4" w:space="0" w:color="000000"/>
              <w:right w:val="single" w:sz="4" w:space="0" w:color="000000"/>
            </w:tcBorders>
          </w:tcPr>
          <w:p>
            <w:pPr>
              <w:pStyle w:val="TableParagraph"/>
              <w:spacing w:before="0"/>
              <w:rPr>
                <w:sz w:val="18"/>
              </w:rPr>
            </w:pPr>
          </w:p>
        </w:tc>
        <w:tc>
          <w:tcPr>
            <w:tcW w:w="637" w:type="dxa"/>
            <w:tcBorders>
              <w:left w:val="single" w:sz="4" w:space="0" w:color="000000"/>
              <w:right w:val="single" w:sz="4" w:space="0" w:color="000000"/>
            </w:tcBorders>
          </w:tcPr>
          <w:p>
            <w:pPr>
              <w:pStyle w:val="TableParagraph"/>
              <w:spacing w:before="0"/>
              <w:rPr>
                <w:sz w:val="18"/>
              </w:rPr>
            </w:pPr>
          </w:p>
        </w:tc>
        <w:tc>
          <w:tcPr>
            <w:tcW w:w="2844" w:type="dxa"/>
            <w:tcBorders>
              <w:left w:val="single" w:sz="4" w:space="0" w:color="000000"/>
            </w:tcBorders>
          </w:tcPr>
          <w:p>
            <w:pPr>
              <w:pStyle w:val="TableParagraph"/>
              <w:spacing w:before="22"/>
              <w:ind w:left="59"/>
              <w:rPr>
                <w:sz w:val="18"/>
              </w:rPr>
            </w:pPr>
            <w:r>
              <w:rPr>
                <w:sz w:val="18"/>
              </w:rPr>
              <w:t>feature</w:t>
            </w:r>
            <w:r>
              <w:rPr>
                <w:spacing w:val="3"/>
                <w:sz w:val="18"/>
              </w:rPr>
              <w:t> </w:t>
            </w:r>
            <w:r>
              <w:rPr>
                <w:sz w:val="18"/>
              </w:rPr>
              <w:t>in</w:t>
            </w:r>
            <w:r>
              <w:rPr>
                <w:spacing w:val="3"/>
                <w:sz w:val="18"/>
              </w:rPr>
              <w:t> </w:t>
            </w:r>
            <w:r>
              <w:rPr>
                <w:sz w:val="18"/>
              </w:rPr>
              <w:t>both</w:t>
            </w:r>
            <w:r>
              <w:rPr>
                <w:spacing w:val="4"/>
                <w:sz w:val="18"/>
              </w:rPr>
              <w:t> </w:t>
            </w:r>
            <w:r>
              <w:rPr>
                <w:sz w:val="18"/>
              </w:rPr>
              <w:t>regions;</w:t>
            </w:r>
            <w:r>
              <w:rPr>
                <w:spacing w:val="3"/>
                <w:sz w:val="18"/>
              </w:rPr>
              <w:t> </w:t>
            </w:r>
            <w:r>
              <w:rPr>
                <w:sz w:val="18"/>
              </w:rPr>
              <w:t>RDD:</w:t>
            </w:r>
            <w:r>
              <w:rPr>
                <w:spacing w:val="3"/>
                <w:sz w:val="18"/>
              </w:rPr>
              <w:t> </w:t>
            </w:r>
            <w:r>
              <w:rPr>
                <w:spacing w:val="-2"/>
                <w:sz w:val="18"/>
              </w:rPr>
              <w:t>moder-</w:t>
            </w:r>
          </w:p>
        </w:tc>
      </w:tr>
      <w:tr>
        <w:trPr>
          <w:trHeight w:val="877" w:hRule="atLeast"/>
        </w:trPr>
        <w:tc>
          <w:tcPr>
            <w:tcW w:w="1371" w:type="dxa"/>
            <w:tcBorders>
              <w:right w:val="single" w:sz="4" w:space="0" w:color="000000"/>
            </w:tcBorders>
          </w:tcPr>
          <w:p>
            <w:pPr>
              <w:pStyle w:val="TableParagraph"/>
              <w:spacing w:before="0"/>
              <w:rPr>
                <w:sz w:val="18"/>
              </w:rPr>
            </w:pPr>
          </w:p>
          <w:p>
            <w:pPr>
              <w:pStyle w:val="TableParagraph"/>
              <w:spacing w:before="0"/>
              <w:rPr>
                <w:sz w:val="18"/>
              </w:rPr>
            </w:pPr>
          </w:p>
          <w:p>
            <w:pPr>
              <w:pStyle w:val="TableParagraph"/>
              <w:spacing w:before="13"/>
              <w:rPr>
                <w:sz w:val="18"/>
              </w:rPr>
            </w:pPr>
          </w:p>
          <w:p>
            <w:pPr>
              <w:pStyle w:val="TableParagraph"/>
              <w:spacing w:before="0"/>
              <w:ind w:left="59"/>
              <w:rPr>
                <w:sz w:val="18"/>
              </w:rPr>
            </w:pPr>
            <w:r>
              <w:rPr>
                <w:spacing w:val="-2"/>
                <w:sz w:val="18"/>
              </w:rPr>
              <w:t>swa_hv_y0_a15</w:t>
            </w:r>
          </w:p>
        </w:tc>
        <w:tc>
          <w:tcPr>
            <w:tcW w:w="978" w:type="dxa"/>
            <w:tcBorders>
              <w:left w:val="single" w:sz="4" w:space="0" w:color="000000"/>
              <w:right w:val="single" w:sz="4" w:space="0" w:color="000000"/>
            </w:tcBorders>
          </w:tcPr>
          <w:p>
            <w:pPr>
              <w:pStyle w:val="TableParagraph"/>
              <w:spacing w:before="0"/>
              <w:rPr>
                <w:sz w:val="18"/>
              </w:rPr>
            </w:pPr>
          </w:p>
          <w:p>
            <w:pPr>
              <w:pStyle w:val="TableParagraph"/>
              <w:spacing w:before="0"/>
              <w:rPr>
                <w:sz w:val="18"/>
              </w:rPr>
            </w:pPr>
          </w:p>
          <w:p>
            <w:pPr>
              <w:pStyle w:val="TableParagraph"/>
              <w:spacing w:before="13"/>
              <w:rPr>
                <w:sz w:val="18"/>
              </w:rPr>
            </w:pPr>
          </w:p>
          <w:p>
            <w:pPr>
              <w:pStyle w:val="TableParagraph"/>
              <w:spacing w:before="0"/>
              <w:ind w:left="58"/>
              <w:rPr>
                <w:sz w:val="18"/>
              </w:rPr>
            </w:pPr>
            <w:r>
              <w:rPr>
                <w:sz w:val="18"/>
              </w:rPr>
              <w:t>Soil</w:t>
            </w:r>
            <w:r>
              <w:rPr>
                <w:spacing w:val="33"/>
                <w:sz w:val="18"/>
              </w:rPr>
              <w:t>  </w:t>
            </w:r>
            <w:r>
              <w:rPr>
                <w:spacing w:val="-2"/>
                <w:sz w:val="18"/>
              </w:rPr>
              <w:t>water</w:t>
            </w:r>
          </w:p>
        </w:tc>
        <w:tc>
          <w:tcPr>
            <w:tcW w:w="808" w:type="dxa"/>
            <w:tcBorders>
              <w:left w:val="single" w:sz="4" w:space="0" w:color="000000"/>
              <w:right w:val="single" w:sz="4" w:space="0" w:color="000000"/>
            </w:tcBorders>
          </w:tcPr>
          <w:p>
            <w:pPr>
              <w:pStyle w:val="TableParagraph"/>
              <w:spacing w:before="0"/>
              <w:rPr>
                <w:sz w:val="18"/>
              </w:rPr>
            </w:pPr>
          </w:p>
          <w:p>
            <w:pPr>
              <w:pStyle w:val="TableParagraph"/>
              <w:spacing w:before="0"/>
              <w:rPr>
                <w:sz w:val="18"/>
              </w:rPr>
            </w:pPr>
          </w:p>
          <w:p>
            <w:pPr>
              <w:pStyle w:val="TableParagraph"/>
              <w:spacing w:before="13"/>
              <w:rPr>
                <w:sz w:val="18"/>
              </w:rPr>
            </w:pPr>
          </w:p>
          <w:p>
            <w:pPr>
              <w:pStyle w:val="TableParagraph"/>
              <w:spacing w:before="0"/>
              <w:ind w:left="58"/>
              <w:rPr>
                <w:sz w:val="18"/>
              </w:rPr>
            </w:pPr>
            <w:r>
              <w:rPr>
                <w:spacing w:val="-2"/>
                <w:sz w:val="18"/>
              </w:rPr>
              <w:t>Harvest</w:t>
            </w:r>
          </w:p>
        </w:tc>
        <w:tc>
          <w:tcPr>
            <w:tcW w:w="354" w:type="dxa"/>
            <w:tcBorders>
              <w:left w:val="single" w:sz="4" w:space="0" w:color="000000"/>
              <w:right w:val="single" w:sz="4" w:space="0" w:color="000000"/>
            </w:tcBorders>
          </w:tcPr>
          <w:p>
            <w:pPr>
              <w:pStyle w:val="TableParagraph"/>
              <w:spacing w:before="0"/>
              <w:rPr>
                <w:sz w:val="18"/>
              </w:rPr>
            </w:pPr>
          </w:p>
          <w:p>
            <w:pPr>
              <w:pStyle w:val="TableParagraph"/>
              <w:spacing w:before="0"/>
              <w:rPr>
                <w:sz w:val="18"/>
              </w:rPr>
            </w:pPr>
          </w:p>
          <w:p>
            <w:pPr>
              <w:pStyle w:val="TableParagraph"/>
              <w:spacing w:before="13"/>
              <w:rPr>
                <w:sz w:val="18"/>
              </w:rPr>
            </w:pPr>
          </w:p>
          <w:p>
            <w:pPr>
              <w:pStyle w:val="TableParagraph"/>
              <w:spacing w:before="0"/>
              <w:ind w:right="46"/>
              <w:jc w:val="center"/>
              <w:rPr>
                <w:sz w:val="18"/>
              </w:rPr>
            </w:pPr>
            <w:r>
              <w:rPr>
                <w:spacing w:val="-5"/>
                <w:sz w:val="18"/>
              </w:rPr>
              <w:t>y0</w:t>
            </w:r>
          </w:p>
        </w:tc>
        <w:tc>
          <w:tcPr>
            <w:tcW w:w="921" w:type="dxa"/>
            <w:tcBorders>
              <w:left w:val="single" w:sz="4" w:space="0" w:color="000000"/>
              <w:right w:val="single" w:sz="4" w:space="0" w:color="000000"/>
            </w:tcBorders>
          </w:tcPr>
          <w:p>
            <w:pPr>
              <w:pStyle w:val="TableParagraph"/>
              <w:spacing w:before="0"/>
              <w:rPr>
                <w:sz w:val="18"/>
              </w:rPr>
            </w:pPr>
          </w:p>
          <w:p>
            <w:pPr>
              <w:pStyle w:val="TableParagraph"/>
              <w:spacing w:before="0"/>
              <w:rPr>
                <w:sz w:val="18"/>
              </w:rPr>
            </w:pPr>
          </w:p>
          <w:p>
            <w:pPr>
              <w:pStyle w:val="TableParagraph"/>
              <w:spacing w:before="13"/>
              <w:rPr>
                <w:sz w:val="18"/>
              </w:rPr>
            </w:pPr>
          </w:p>
          <w:p>
            <w:pPr>
              <w:pStyle w:val="TableParagraph"/>
              <w:spacing w:before="0"/>
              <w:ind w:left="58"/>
              <w:rPr>
                <w:sz w:val="18"/>
              </w:rPr>
            </w:pPr>
            <w:r>
              <w:rPr>
                <w:sz w:val="18"/>
              </w:rPr>
              <w:t>15d</w:t>
            </w:r>
            <w:r>
              <w:rPr>
                <w:spacing w:val="49"/>
                <w:sz w:val="18"/>
              </w:rPr>
              <w:t>  </w:t>
            </w:r>
            <w:r>
              <w:rPr>
                <w:spacing w:val="-2"/>
                <w:sz w:val="18"/>
              </w:rPr>
              <w:t>after</w:t>
            </w:r>
          </w:p>
        </w:tc>
        <w:tc>
          <w:tcPr>
            <w:tcW w:w="524" w:type="dxa"/>
            <w:tcBorders>
              <w:left w:val="single" w:sz="4" w:space="0" w:color="000000"/>
              <w:right w:val="single" w:sz="4" w:space="0" w:color="000000"/>
            </w:tcBorders>
          </w:tcPr>
          <w:p>
            <w:pPr>
              <w:pStyle w:val="TableParagraph"/>
              <w:spacing w:before="0"/>
              <w:rPr>
                <w:sz w:val="18"/>
              </w:rPr>
            </w:pPr>
          </w:p>
          <w:p>
            <w:pPr>
              <w:pStyle w:val="TableParagraph"/>
              <w:spacing w:before="0"/>
              <w:rPr>
                <w:sz w:val="18"/>
              </w:rPr>
            </w:pPr>
          </w:p>
          <w:p>
            <w:pPr>
              <w:pStyle w:val="TableParagraph"/>
              <w:spacing w:before="13"/>
              <w:rPr>
                <w:sz w:val="18"/>
              </w:rPr>
            </w:pPr>
          </w:p>
          <w:p>
            <w:pPr>
              <w:pStyle w:val="TableParagraph"/>
              <w:spacing w:before="0"/>
              <w:ind w:left="58"/>
              <w:rPr>
                <w:sz w:val="18"/>
              </w:rPr>
            </w:pPr>
            <w:r>
              <w:rPr>
                <w:spacing w:val="-5"/>
                <w:sz w:val="18"/>
              </w:rPr>
              <w:t>mm</w:t>
            </w:r>
          </w:p>
        </w:tc>
        <w:tc>
          <w:tcPr>
            <w:tcW w:w="637" w:type="dxa"/>
            <w:tcBorders>
              <w:left w:val="single" w:sz="4" w:space="0" w:color="000000"/>
              <w:right w:val="single" w:sz="4" w:space="0" w:color="000000"/>
            </w:tcBorders>
          </w:tcPr>
          <w:p>
            <w:pPr>
              <w:pStyle w:val="TableParagraph"/>
              <w:spacing w:before="0"/>
              <w:rPr>
                <w:sz w:val="18"/>
              </w:rPr>
            </w:pPr>
          </w:p>
          <w:p>
            <w:pPr>
              <w:pStyle w:val="TableParagraph"/>
              <w:spacing w:before="0"/>
              <w:rPr>
                <w:sz w:val="18"/>
              </w:rPr>
            </w:pPr>
          </w:p>
          <w:p>
            <w:pPr>
              <w:pStyle w:val="TableParagraph"/>
              <w:spacing w:before="13"/>
              <w:rPr>
                <w:sz w:val="18"/>
              </w:rPr>
            </w:pPr>
          </w:p>
          <w:p>
            <w:pPr>
              <w:pStyle w:val="TableParagraph"/>
              <w:spacing w:before="0"/>
              <w:ind w:left="59" w:right="-15"/>
              <w:rPr>
                <w:sz w:val="18"/>
              </w:rPr>
            </w:pPr>
            <w:r>
              <w:rPr>
                <w:spacing w:val="-7"/>
                <w:sz w:val="18"/>
              </w:rPr>
              <w:t>Average</w:t>
            </w:r>
          </w:p>
        </w:tc>
        <w:tc>
          <w:tcPr>
            <w:tcW w:w="2844" w:type="dxa"/>
            <w:tcBorders>
              <w:left w:val="single" w:sz="4" w:space="0" w:color="000000"/>
            </w:tcBorders>
          </w:tcPr>
          <w:p>
            <w:pPr>
              <w:pStyle w:val="TableParagraph"/>
              <w:spacing w:line="251" w:lineRule="exact" w:before="0"/>
              <w:ind w:left="59"/>
              <w:rPr>
                <w:sz w:val="18"/>
              </w:rPr>
            </w:pPr>
            <w:r>
              <w:rPr>
                <w:spacing w:val="-4"/>
                <w:sz w:val="18"/>
              </w:rPr>
              <w:t>ate</w:t>
            </w:r>
            <w:r>
              <w:rPr>
                <w:spacing w:val="-6"/>
                <w:sz w:val="18"/>
              </w:rPr>
              <w:t> </w:t>
            </w:r>
            <w:r>
              <w:rPr>
                <w:spacing w:val="-4"/>
                <w:sz w:val="18"/>
              </w:rPr>
              <w:t>deficit</w:t>
            </w:r>
            <w:r>
              <w:rPr>
                <w:spacing w:val="-5"/>
                <w:sz w:val="18"/>
              </w:rPr>
              <w:t> </w:t>
            </w:r>
            <w:r>
              <w:rPr>
                <w:rFonts w:ascii="Meiryo UI" w:hAnsi="Meiryo UI"/>
                <w:i/>
                <w:spacing w:val="-4"/>
                <w:sz w:val="18"/>
              </w:rPr>
              <w:t>→</w:t>
            </w:r>
            <w:r>
              <w:rPr>
                <w:rFonts w:ascii="Meiryo UI" w:hAnsi="Meiryo UI"/>
                <w:i/>
                <w:spacing w:val="-21"/>
                <w:sz w:val="18"/>
              </w:rPr>
              <w:t> </w:t>
            </w:r>
            <w:r>
              <w:rPr>
                <w:spacing w:val="-4"/>
                <w:sz w:val="18"/>
              </w:rPr>
              <w:t>above</w:t>
            </w:r>
            <w:r>
              <w:rPr>
                <w:spacing w:val="-5"/>
                <w:sz w:val="18"/>
              </w:rPr>
              <w:t> </w:t>
            </w:r>
            <w:r>
              <w:rPr>
                <w:spacing w:val="-4"/>
                <w:sz w:val="18"/>
              </w:rPr>
              <w:t>trend; RVV:</w:t>
            </w:r>
            <w:r>
              <w:rPr>
                <w:spacing w:val="-5"/>
                <w:sz w:val="18"/>
              </w:rPr>
              <w:t> </w:t>
            </w:r>
            <w:r>
              <w:rPr>
                <w:spacing w:val="-4"/>
                <w:sz w:val="18"/>
              </w:rPr>
              <w:t>deficit</w:t>
            </w:r>
          </w:p>
          <w:p>
            <w:pPr>
              <w:pStyle w:val="TableParagraph"/>
              <w:spacing w:line="282" w:lineRule="exact" w:before="0"/>
              <w:ind w:left="59"/>
              <w:rPr>
                <w:sz w:val="18"/>
              </w:rPr>
            </w:pPr>
            <w:r>
              <w:rPr>
                <w:rFonts w:ascii="Meiryo UI" w:hAnsi="Meiryo UI"/>
                <w:i/>
                <w:spacing w:val="-2"/>
                <w:sz w:val="18"/>
              </w:rPr>
              <w:t>→</w:t>
            </w:r>
            <w:r>
              <w:rPr>
                <w:rFonts w:ascii="Meiryo UI" w:hAnsi="Meiryo UI"/>
                <w:i/>
                <w:spacing w:val="-16"/>
                <w:sz w:val="18"/>
              </w:rPr>
              <w:t> </w:t>
            </w:r>
            <w:r>
              <w:rPr>
                <w:spacing w:val="-2"/>
                <w:sz w:val="18"/>
              </w:rPr>
              <w:t>below</w:t>
            </w:r>
            <w:r>
              <w:rPr>
                <w:spacing w:val="-1"/>
                <w:sz w:val="18"/>
              </w:rPr>
              <w:t> </w:t>
            </w:r>
            <w:r>
              <w:rPr>
                <w:spacing w:val="-2"/>
                <w:sz w:val="18"/>
              </w:rPr>
              <w:t>trend</w:t>
            </w:r>
          </w:p>
          <w:p>
            <w:pPr>
              <w:pStyle w:val="TableParagraph"/>
              <w:spacing w:before="102"/>
              <w:ind w:left="59"/>
              <w:rPr>
                <w:sz w:val="18"/>
              </w:rPr>
            </w:pPr>
            <w:r>
              <w:rPr>
                <w:sz w:val="18"/>
              </w:rPr>
              <w:t>Post-harvest</w:t>
            </w:r>
            <w:r>
              <w:rPr>
                <w:spacing w:val="52"/>
                <w:sz w:val="18"/>
              </w:rPr>
              <w:t> </w:t>
            </w:r>
            <w:r>
              <w:rPr>
                <w:sz w:val="18"/>
              </w:rPr>
              <w:t>soil</w:t>
            </w:r>
            <w:r>
              <w:rPr>
                <w:spacing w:val="53"/>
                <w:sz w:val="18"/>
              </w:rPr>
              <w:t> </w:t>
            </w:r>
            <w:r>
              <w:rPr>
                <w:sz w:val="18"/>
              </w:rPr>
              <w:t>water</w:t>
            </w:r>
            <w:r>
              <w:rPr>
                <w:spacing w:val="53"/>
                <w:sz w:val="18"/>
              </w:rPr>
              <w:t> </w:t>
            </w:r>
            <w:r>
              <w:rPr>
                <w:sz w:val="18"/>
              </w:rPr>
              <w:t>in</w:t>
            </w:r>
            <w:r>
              <w:rPr>
                <w:spacing w:val="53"/>
                <w:sz w:val="18"/>
              </w:rPr>
              <w:t> </w:t>
            </w:r>
            <w:r>
              <w:rPr>
                <w:spacing w:val="-2"/>
                <w:sz w:val="18"/>
              </w:rPr>
              <w:t>previous</w:t>
            </w:r>
          </w:p>
        </w:tc>
      </w:tr>
      <w:tr>
        <w:trPr>
          <w:trHeight w:val="265" w:hRule="atLeast"/>
        </w:trPr>
        <w:tc>
          <w:tcPr>
            <w:tcW w:w="1371" w:type="dxa"/>
            <w:tcBorders>
              <w:right w:val="single" w:sz="4" w:space="0" w:color="000000"/>
            </w:tcBorders>
          </w:tcPr>
          <w:p>
            <w:pPr>
              <w:pStyle w:val="TableParagraph"/>
              <w:spacing w:before="0"/>
              <w:rPr>
                <w:sz w:val="18"/>
              </w:rPr>
            </w:pPr>
          </w:p>
        </w:tc>
        <w:tc>
          <w:tcPr>
            <w:tcW w:w="978" w:type="dxa"/>
            <w:tcBorders>
              <w:left w:val="single" w:sz="4" w:space="0" w:color="000000"/>
              <w:right w:val="single" w:sz="4" w:space="0" w:color="000000"/>
            </w:tcBorders>
          </w:tcPr>
          <w:p>
            <w:pPr>
              <w:pStyle w:val="TableParagraph"/>
              <w:spacing w:before="22"/>
              <w:ind w:left="58"/>
              <w:rPr>
                <w:sz w:val="18"/>
              </w:rPr>
            </w:pPr>
            <w:r>
              <w:rPr>
                <w:spacing w:val="-2"/>
                <w:sz w:val="18"/>
              </w:rPr>
              <w:t>availability</w:t>
            </w:r>
          </w:p>
        </w:tc>
        <w:tc>
          <w:tcPr>
            <w:tcW w:w="808" w:type="dxa"/>
            <w:tcBorders>
              <w:left w:val="single" w:sz="4" w:space="0" w:color="000000"/>
              <w:right w:val="single" w:sz="4" w:space="0" w:color="000000"/>
            </w:tcBorders>
          </w:tcPr>
          <w:p>
            <w:pPr>
              <w:pStyle w:val="TableParagraph"/>
              <w:spacing w:before="0"/>
              <w:rPr>
                <w:sz w:val="18"/>
              </w:rPr>
            </w:pPr>
          </w:p>
        </w:tc>
        <w:tc>
          <w:tcPr>
            <w:tcW w:w="354" w:type="dxa"/>
            <w:tcBorders>
              <w:left w:val="single" w:sz="4" w:space="0" w:color="000000"/>
              <w:right w:val="single" w:sz="4" w:space="0" w:color="000000"/>
            </w:tcBorders>
          </w:tcPr>
          <w:p>
            <w:pPr>
              <w:pStyle w:val="TableParagraph"/>
              <w:spacing w:before="0"/>
              <w:rPr>
                <w:sz w:val="18"/>
              </w:rPr>
            </w:pPr>
          </w:p>
        </w:tc>
        <w:tc>
          <w:tcPr>
            <w:tcW w:w="921" w:type="dxa"/>
            <w:tcBorders>
              <w:left w:val="single" w:sz="4" w:space="0" w:color="000000"/>
              <w:right w:val="single" w:sz="4" w:space="0" w:color="000000"/>
            </w:tcBorders>
          </w:tcPr>
          <w:p>
            <w:pPr>
              <w:pStyle w:val="TableParagraph"/>
              <w:spacing w:before="22"/>
              <w:ind w:left="58"/>
              <w:rPr>
                <w:sz w:val="18"/>
              </w:rPr>
            </w:pPr>
            <w:r>
              <w:rPr>
                <w:spacing w:val="-2"/>
                <w:sz w:val="18"/>
              </w:rPr>
              <w:t>prev.</w:t>
            </w:r>
            <w:r>
              <w:rPr>
                <w:spacing w:val="-1"/>
                <w:sz w:val="18"/>
              </w:rPr>
              <w:t> </w:t>
            </w:r>
            <w:r>
              <w:rPr>
                <w:spacing w:val="-5"/>
                <w:sz w:val="18"/>
              </w:rPr>
              <w:t>yr</w:t>
            </w:r>
          </w:p>
        </w:tc>
        <w:tc>
          <w:tcPr>
            <w:tcW w:w="524" w:type="dxa"/>
            <w:tcBorders>
              <w:left w:val="single" w:sz="4" w:space="0" w:color="000000"/>
              <w:right w:val="single" w:sz="4" w:space="0" w:color="000000"/>
            </w:tcBorders>
          </w:tcPr>
          <w:p>
            <w:pPr>
              <w:pStyle w:val="TableParagraph"/>
              <w:spacing w:before="0"/>
              <w:rPr>
                <w:sz w:val="18"/>
              </w:rPr>
            </w:pPr>
          </w:p>
        </w:tc>
        <w:tc>
          <w:tcPr>
            <w:tcW w:w="637" w:type="dxa"/>
            <w:tcBorders>
              <w:left w:val="single" w:sz="4" w:space="0" w:color="000000"/>
              <w:right w:val="single" w:sz="4" w:space="0" w:color="000000"/>
            </w:tcBorders>
          </w:tcPr>
          <w:p>
            <w:pPr>
              <w:pStyle w:val="TableParagraph"/>
              <w:spacing w:before="0"/>
              <w:rPr>
                <w:sz w:val="18"/>
              </w:rPr>
            </w:pPr>
          </w:p>
        </w:tc>
        <w:tc>
          <w:tcPr>
            <w:tcW w:w="2844" w:type="dxa"/>
            <w:tcBorders>
              <w:left w:val="single" w:sz="4" w:space="0" w:color="000000"/>
            </w:tcBorders>
          </w:tcPr>
          <w:p>
            <w:pPr>
              <w:pStyle w:val="TableParagraph"/>
              <w:spacing w:before="22"/>
              <w:ind w:left="55"/>
              <w:rPr>
                <w:sz w:val="18"/>
              </w:rPr>
            </w:pPr>
            <w:r>
              <w:rPr>
                <w:sz w:val="18"/>
              </w:rPr>
              <w:t>year,</w:t>
            </w:r>
            <w:r>
              <w:rPr>
                <w:spacing w:val="49"/>
                <w:sz w:val="18"/>
              </w:rPr>
              <w:t> </w:t>
            </w:r>
            <w:r>
              <w:rPr>
                <w:sz w:val="18"/>
              </w:rPr>
              <w:t>soil</w:t>
            </w:r>
            <w:r>
              <w:rPr>
                <w:spacing w:val="40"/>
                <w:sz w:val="18"/>
              </w:rPr>
              <w:t> </w:t>
            </w:r>
            <w:r>
              <w:rPr>
                <w:sz w:val="18"/>
              </w:rPr>
              <w:t>recharge</w:t>
            </w:r>
            <w:r>
              <w:rPr>
                <w:spacing w:val="40"/>
                <w:sz w:val="18"/>
              </w:rPr>
              <w:t> </w:t>
            </w:r>
            <w:r>
              <w:rPr>
                <w:sz w:val="18"/>
              </w:rPr>
              <w:t>initiation;</w:t>
            </w:r>
            <w:r>
              <w:rPr>
                <w:spacing w:val="59"/>
                <w:sz w:val="18"/>
              </w:rPr>
              <w:t> </w:t>
            </w:r>
            <w:r>
              <w:rPr>
                <w:spacing w:val="-2"/>
                <w:sz w:val="18"/>
              </w:rPr>
              <w:t>carry-</w:t>
            </w:r>
          </w:p>
        </w:tc>
      </w:tr>
      <w:tr>
        <w:trPr>
          <w:trHeight w:val="305" w:hRule="atLeast"/>
        </w:trPr>
        <w:tc>
          <w:tcPr>
            <w:tcW w:w="1371" w:type="dxa"/>
            <w:tcBorders>
              <w:right w:val="single" w:sz="4" w:space="0" w:color="000000"/>
            </w:tcBorders>
          </w:tcPr>
          <w:p>
            <w:pPr>
              <w:pStyle w:val="TableParagraph"/>
              <w:spacing w:before="0"/>
              <w:rPr>
                <w:sz w:val="18"/>
              </w:rPr>
            </w:pPr>
          </w:p>
        </w:tc>
        <w:tc>
          <w:tcPr>
            <w:tcW w:w="978" w:type="dxa"/>
            <w:tcBorders>
              <w:left w:val="single" w:sz="4" w:space="0" w:color="000000"/>
              <w:right w:val="single" w:sz="4" w:space="0" w:color="000000"/>
            </w:tcBorders>
          </w:tcPr>
          <w:p>
            <w:pPr>
              <w:pStyle w:val="TableParagraph"/>
              <w:spacing w:before="0"/>
              <w:rPr>
                <w:sz w:val="18"/>
              </w:rPr>
            </w:pPr>
          </w:p>
        </w:tc>
        <w:tc>
          <w:tcPr>
            <w:tcW w:w="808" w:type="dxa"/>
            <w:tcBorders>
              <w:left w:val="single" w:sz="4" w:space="0" w:color="000000"/>
              <w:right w:val="single" w:sz="4" w:space="0" w:color="000000"/>
            </w:tcBorders>
          </w:tcPr>
          <w:p>
            <w:pPr>
              <w:pStyle w:val="TableParagraph"/>
              <w:spacing w:before="0"/>
              <w:rPr>
                <w:sz w:val="18"/>
              </w:rPr>
            </w:pPr>
          </w:p>
        </w:tc>
        <w:tc>
          <w:tcPr>
            <w:tcW w:w="354" w:type="dxa"/>
            <w:tcBorders>
              <w:left w:val="single" w:sz="4" w:space="0" w:color="000000"/>
              <w:right w:val="single" w:sz="4" w:space="0" w:color="000000"/>
            </w:tcBorders>
          </w:tcPr>
          <w:p>
            <w:pPr>
              <w:pStyle w:val="TableParagraph"/>
              <w:spacing w:before="0"/>
              <w:rPr>
                <w:sz w:val="18"/>
              </w:rPr>
            </w:pPr>
          </w:p>
        </w:tc>
        <w:tc>
          <w:tcPr>
            <w:tcW w:w="921" w:type="dxa"/>
            <w:tcBorders>
              <w:left w:val="single" w:sz="4" w:space="0" w:color="000000"/>
              <w:right w:val="single" w:sz="4" w:space="0" w:color="000000"/>
            </w:tcBorders>
          </w:tcPr>
          <w:p>
            <w:pPr>
              <w:pStyle w:val="TableParagraph"/>
              <w:spacing w:before="0"/>
              <w:rPr>
                <w:sz w:val="18"/>
              </w:rPr>
            </w:pPr>
          </w:p>
        </w:tc>
        <w:tc>
          <w:tcPr>
            <w:tcW w:w="524" w:type="dxa"/>
            <w:tcBorders>
              <w:left w:val="single" w:sz="4" w:space="0" w:color="000000"/>
              <w:right w:val="single" w:sz="4" w:space="0" w:color="000000"/>
            </w:tcBorders>
          </w:tcPr>
          <w:p>
            <w:pPr>
              <w:pStyle w:val="TableParagraph"/>
              <w:spacing w:before="0"/>
              <w:rPr>
                <w:sz w:val="18"/>
              </w:rPr>
            </w:pPr>
          </w:p>
        </w:tc>
        <w:tc>
          <w:tcPr>
            <w:tcW w:w="637" w:type="dxa"/>
            <w:tcBorders>
              <w:left w:val="single" w:sz="4" w:space="0" w:color="000000"/>
              <w:right w:val="single" w:sz="4" w:space="0" w:color="000000"/>
            </w:tcBorders>
          </w:tcPr>
          <w:p>
            <w:pPr>
              <w:pStyle w:val="TableParagraph"/>
              <w:spacing w:before="0"/>
              <w:rPr>
                <w:sz w:val="18"/>
              </w:rPr>
            </w:pPr>
          </w:p>
        </w:tc>
        <w:tc>
          <w:tcPr>
            <w:tcW w:w="2844" w:type="dxa"/>
            <w:tcBorders>
              <w:left w:val="single" w:sz="4" w:space="0" w:color="000000"/>
            </w:tcBorders>
          </w:tcPr>
          <w:p>
            <w:pPr>
              <w:pStyle w:val="TableParagraph"/>
              <w:spacing w:before="22"/>
              <w:ind w:left="59"/>
              <w:rPr>
                <w:sz w:val="18"/>
              </w:rPr>
            </w:pPr>
            <w:r>
              <w:rPr>
                <w:sz w:val="18"/>
              </w:rPr>
              <w:t>over</w:t>
            </w:r>
            <w:r>
              <w:rPr>
                <w:spacing w:val="-7"/>
                <w:sz w:val="18"/>
              </w:rPr>
              <w:t> </w:t>
            </w:r>
            <w:r>
              <w:rPr>
                <w:sz w:val="18"/>
              </w:rPr>
              <w:t>moisture</w:t>
            </w:r>
            <w:r>
              <w:rPr>
                <w:spacing w:val="-7"/>
                <w:sz w:val="18"/>
              </w:rPr>
              <w:t> </w:t>
            </w:r>
            <w:r>
              <w:rPr>
                <w:sz w:val="18"/>
              </w:rPr>
              <w:t>for</w:t>
            </w:r>
            <w:r>
              <w:rPr>
                <w:spacing w:val="-7"/>
                <w:sz w:val="18"/>
              </w:rPr>
              <w:t> </w:t>
            </w:r>
            <w:r>
              <w:rPr>
                <w:sz w:val="18"/>
              </w:rPr>
              <w:t>next</w:t>
            </w:r>
            <w:r>
              <w:rPr>
                <w:spacing w:val="-7"/>
                <w:sz w:val="18"/>
              </w:rPr>
              <w:t> </w:t>
            </w:r>
            <w:r>
              <w:rPr>
                <w:spacing w:val="-2"/>
                <w:sz w:val="18"/>
              </w:rPr>
              <w:t>season</w:t>
            </w:r>
          </w:p>
        </w:tc>
      </w:tr>
      <w:tr>
        <w:trPr>
          <w:trHeight w:val="305" w:hRule="atLeast"/>
        </w:trPr>
        <w:tc>
          <w:tcPr>
            <w:tcW w:w="1371" w:type="dxa"/>
            <w:tcBorders>
              <w:right w:val="single" w:sz="4" w:space="0" w:color="000000"/>
            </w:tcBorders>
          </w:tcPr>
          <w:p>
            <w:pPr>
              <w:pStyle w:val="TableParagraph"/>
              <w:spacing w:before="62"/>
              <w:ind w:left="59"/>
              <w:rPr>
                <w:sz w:val="18"/>
              </w:rPr>
            </w:pPr>
            <w:r>
              <w:rPr>
                <w:spacing w:val="-2"/>
                <w:sz w:val="18"/>
              </w:rPr>
              <w:t>swa_hv_y0_a20</w:t>
            </w:r>
          </w:p>
        </w:tc>
        <w:tc>
          <w:tcPr>
            <w:tcW w:w="978" w:type="dxa"/>
            <w:tcBorders>
              <w:left w:val="single" w:sz="4" w:space="0" w:color="000000"/>
              <w:right w:val="single" w:sz="4" w:space="0" w:color="000000"/>
            </w:tcBorders>
          </w:tcPr>
          <w:p>
            <w:pPr>
              <w:pStyle w:val="TableParagraph"/>
              <w:spacing w:before="62"/>
              <w:ind w:left="58"/>
              <w:rPr>
                <w:sz w:val="18"/>
              </w:rPr>
            </w:pPr>
            <w:r>
              <w:rPr>
                <w:sz w:val="18"/>
              </w:rPr>
              <w:t>Soil</w:t>
            </w:r>
            <w:r>
              <w:rPr>
                <w:spacing w:val="33"/>
                <w:sz w:val="18"/>
              </w:rPr>
              <w:t>  </w:t>
            </w:r>
            <w:r>
              <w:rPr>
                <w:spacing w:val="-2"/>
                <w:sz w:val="18"/>
              </w:rPr>
              <w:t>water</w:t>
            </w:r>
          </w:p>
        </w:tc>
        <w:tc>
          <w:tcPr>
            <w:tcW w:w="808" w:type="dxa"/>
            <w:tcBorders>
              <w:left w:val="single" w:sz="4" w:space="0" w:color="000000"/>
              <w:right w:val="single" w:sz="4" w:space="0" w:color="000000"/>
            </w:tcBorders>
          </w:tcPr>
          <w:p>
            <w:pPr>
              <w:pStyle w:val="TableParagraph"/>
              <w:spacing w:before="62"/>
              <w:ind w:left="58"/>
              <w:rPr>
                <w:sz w:val="18"/>
              </w:rPr>
            </w:pPr>
            <w:r>
              <w:rPr>
                <w:spacing w:val="-2"/>
                <w:sz w:val="18"/>
              </w:rPr>
              <w:t>Harvest</w:t>
            </w:r>
          </w:p>
        </w:tc>
        <w:tc>
          <w:tcPr>
            <w:tcW w:w="354" w:type="dxa"/>
            <w:tcBorders>
              <w:left w:val="single" w:sz="4" w:space="0" w:color="000000"/>
              <w:right w:val="single" w:sz="4" w:space="0" w:color="000000"/>
            </w:tcBorders>
          </w:tcPr>
          <w:p>
            <w:pPr>
              <w:pStyle w:val="TableParagraph"/>
              <w:spacing w:before="62"/>
              <w:ind w:right="46"/>
              <w:jc w:val="center"/>
              <w:rPr>
                <w:sz w:val="18"/>
              </w:rPr>
            </w:pPr>
            <w:r>
              <w:rPr>
                <w:spacing w:val="-5"/>
                <w:sz w:val="18"/>
              </w:rPr>
              <w:t>y0</w:t>
            </w:r>
          </w:p>
        </w:tc>
        <w:tc>
          <w:tcPr>
            <w:tcW w:w="921" w:type="dxa"/>
            <w:tcBorders>
              <w:left w:val="single" w:sz="4" w:space="0" w:color="000000"/>
              <w:right w:val="single" w:sz="4" w:space="0" w:color="000000"/>
            </w:tcBorders>
          </w:tcPr>
          <w:p>
            <w:pPr>
              <w:pStyle w:val="TableParagraph"/>
              <w:spacing w:before="62"/>
              <w:ind w:left="58"/>
              <w:rPr>
                <w:sz w:val="18"/>
              </w:rPr>
            </w:pPr>
            <w:r>
              <w:rPr>
                <w:sz w:val="18"/>
              </w:rPr>
              <w:t>20d</w:t>
            </w:r>
            <w:r>
              <w:rPr>
                <w:spacing w:val="49"/>
                <w:sz w:val="18"/>
              </w:rPr>
              <w:t>  </w:t>
            </w:r>
            <w:r>
              <w:rPr>
                <w:spacing w:val="-2"/>
                <w:sz w:val="18"/>
              </w:rPr>
              <w:t>after</w:t>
            </w:r>
          </w:p>
        </w:tc>
        <w:tc>
          <w:tcPr>
            <w:tcW w:w="524" w:type="dxa"/>
            <w:tcBorders>
              <w:left w:val="single" w:sz="4" w:space="0" w:color="000000"/>
              <w:right w:val="single" w:sz="4" w:space="0" w:color="000000"/>
            </w:tcBorders>
          </w:tcPr>
          <w:p>
            <w:pPr>
              <w:pStyle w:val="TableParagraph"/>
              <w:spacing w:before="62"/>
              <w:ind w:left="58"/>
              <w:rPr>
                <w:sz w:val="18"/>
              </w:rPr>
            </w:pPr>
            <w:r>
              <w:rPr>
                <w:spacing w:val="-5"/>
                <w:sz w:val="18"/>
              </w:rPr>
              <w:t>mm</w:t>
            </w:r>
          </w:p>
        </w:tc>
        <w:tc>
          <w:tcPr>
            <w:tcW w:w="637" w:type="dxa"/>
            <w:tcBorders>
              <w:left w:val="single" w:sz="4" w:space="0" w:color="000000"/>
              <w:right w:val="single" w:sz="4" w:space="0" w:color="000000"/>
            </w:tcBorders>
          </w:tcPr>
          <w:p>
            <w:pPr>
              <w:pStyle w:val="TableParagraph"/>
              <w:spacing w:before="62"/>
              <w:ind w:left="59" w:right="-15"/>
              <w:rPr>
                <w:sz w:val="18"/>
              </w:rPr>
            </w:pPr>
            <w:r>
              <w:rPr>
                <w:spacing w:val="-7"/>
                <w:sz w:val="18"/>
              </w:rPr>
              <w:t>Average</w:t>
            </w:r>
          </w:p>
        </w:tc>
        <w:tc>
          <w:tcPr>
            <w:tcW w:w="2844" w:type="dxa"/>
            <w:tcBorders>
              <w:left w:val="single" w:sz="4" w:space="0" w:color="000000"/>
            </w:tcBorders>
          </w:tcPr>
          <w:p>
            <w:pPr>
              <w:pStyle w:val="TableParagraph"/>
              <w:spacing w:before="62"/>
              <w:ind w:left="59"/>
              <w:rPr>
                <w:sz w:val="18"/>
              </w:rPr>
            </w:pPr>
            <w:r>
              <w:rPr>
                <w:sz w:val="18"/>
              </w:rPr>
              <w:t>Wider</w:t>
            </w:r>
            <w:r>
              <w:rPr>
                <w:spacing w:val="-7"/>
                <w:sz w:val="18"/>
              </w:rPr>
              <w:t> </w:t>
            </w:r>
            <w:r>
              <w:rPr>
                <w:sz w:val="18"/>
              </w:rPr>
              <w:t>post-harvest</w:t>
            </w:r>
            <w:r>
              <w:rPr>
                <w:spacing w:val="-7"/>
                <w:sz w:val="18"/>
              </w:rPr>
              <w:t> </w:t>
            </w:r>
            <w:r>
              <w:rPr>
                <w:sz w:val="18"/>
              </w:rPr>
              <w:t>soil</w:t>
            </w:r>
            <w:r>
              <w:rPr>
                <w:spacing w:val="-7"/>
                <w:sz w:val="18"/>
              </w:rPr>
              <w:t> </w:t>
            </w:r>
            <w:r>
              <w:rPr>
                <w:sz w:val="18"/>
              </w:rPr>
              <w:t>water</w:t>
            </w:r>
            <w:r>
              <w:rPr>
                <w:spacing w:val="-8"/>
                <w:sz w:val="18"/>
              </w:rPr>
              <w:t> </w:t>
            </w:r>
            <w:r>
              <w:rPr>
                <w:sz w:val="18"/>
              </w:rPr>
              <w:t>in</w:t>
            </w:r>
            <w:r>
              <w:rPr>
                <w:spacing w:val="-7"/>
                <w:sz w:val="18"/>
              </w:rPr>
              <w:t> </w:t>
            </w:r>
            <w:r>
              <w:rPr>
                <w:spacing w:val="-2"/>
                <w:sz w:val="18"/>
              </w:rPr>
              <w:t>previ-</w:t>
            </w:r>
          </w:p>
        </w:tc>
      </w:tr>
      <w:tr>
        <w:trPr>
          <w:trHeight w:val="265" w:hRule="atLeast"/>
        </w:trPr>
        <w:tc>
          <w:tcPr>
            <w:tcW w:w="1371" w:type="dxa"/>
            <w:tcBorders>
              <w:right w:val="single" w:sz="4" w:space="0" w:color="000000"/>
            </w:tcBorders>
          </w:tcPr>
          <w:p>
            <w:pPr>
              <w:pStyle w:val="TableParagraph"/>
              <w:spacing w:before="0"/>
              <w:rPr>
                <w:sz w:val="18"/>
              </w:rPr>
            </w:pPr>
          </w:p>
        </w:tc>
        <w:tc>
          <w:tcPr>
            <w:tcW w:w="978" w:type="dxa"/>
            <w:tcBorders>
              <w:left w:val="single" w:sz="4" w:space="0" w:color="000000"/>
              <w:right w:val="single" w:sz="4" w:space="0" w:color="000000"/>
            </w:tcBorders>
          </w:tcPr>
          <w:p>
            <w:pPr>
              <w:pStyle w:val="TableParagraph"/>
              <w:spacing w:before="22"/>
              <w:ind w:left="58"/>
              <w:rPr>
                <w:sz w:val="18"/>
              </w:rPr>
            </w:pPr>
            <w:r>
              <w:rPr>
                <w:spacing w:val="-2"/>
                <w:sz w:val="18"/>
              </w:rPr>
              <w:t>availability</w:t>
            </w:r>
          </w:p>
        </w:tc>
        <w:tc>
          <w:tcPr>
            <w:tcW w:w="808" w:type="dxa"/>
            <w:tcBorders>
              <w:left w:val="single" w:sz="4" w:space="0" w:color="000000"/>
              <w:right w:val="single" w:sz="4" w:space="0" w:color="000000"/>
            </w:tcBorders>
          </w:tcPr>
          <w:p>
            <w:pPr>
              <w:pStyle w:val="TableParagraph"/>
              <w:spacing w:before="0"/>
              <w:rPr>
                <w:sz w:val="18"/>
              </w:rPr>
            </w:pPr>
          </w:p>
        </w:tc>
        <w:tc>
          <w:tcPr>
            <w:tcW w:w="354" w:type="dxa"/>
            <w:tcBorders>
              <w:left w:val="single" w:sz="4" w:space="0" w:color="000000"/>
              <w:right w:val="single" w:sz="4" w:space="0" w:color="000000"/>
            </w:tcBorders>
          </w:tcPr>
          <w:p>
            <w:pPr>
              <w:pStyle w:val="TableParagraph"/>
              <w:spacing w:before="0"/>
              <w:rPr>
                <w:sz w:val="18"/>
              </w:rPr>
            </w:pPr>
          </w:p>
        </w:tc>
        <w:tc>
          <w:tcPr>
            <w:tcW w:w="921" w:type="dxa"/>
            <w:tcBorders>
              <w:left w:val="single" w:sz="4" w:space="0" w:color="000000"/>
              <w:right w:val="single" w:sz="4" w:space="0" w:color="000000"/>
            </w:tcBorders>
          </w:tcPr>
          <w:p>
            <w:pPr>
              <w:pStyle w:val="TableParagraph"/>
              <w:spacing w:before="22"/>
              <w:ind w:left="58"/>
              <w:rPr>
                <w:sz w:val="18"/>
              </w:rPr>
            </w:pPr>
            <w:r>
              <w:rPr>
                <w:spacing w:val="-2"/>
                <w:sz w:val="18"/>
              </w:rPr>
              <w:t>prev.</w:t>
            </w:r>
            <w:r>
              <w:rPr>
                <w:spacing w:val="-1"/>
                <w:sz w:val="18"/>
              </w:rPr>
              <w:t> </w:t>
            </w:r>
            <w:r>
              <w:rPr>
                <w:spacing w:val="-5"/>
                <w:sz w:val="18"/>
              </w:rPr>
              <w:t>yr</w:t>
            </w:r>
          </w:p>
        </w:tc>
        <w:tc>
          <w:tcPr>
            <w:tcW w:w="524" w:type="dxa"/>
            <w:tcBorders>
              <w:left w:val="single" w:sz="4" w:space="0" w:color="000000"/>
              <w:right w:val="single" w:sz="4" w:space="0" w:color="000000"/>
            </w:tcBorders>
          </w:tcPr>
          <w:p>
            <w:pPr>
              <w:pStyle w:val="TableParagraph"/>
              <w:spacing w:before="0"/>
              <w:rPr>
                <w:sz w:val="18"/>
              </w:rPr>
            </w:pPr>
          </w:p>
        </w:tc>
        <w:tc>
          <w:tcPr>
            <w:tcW w:w="637" w:type="dxa"/>
            <w:tcBorders>
              <w:left w:val="single" w:sz="4" w:space="0" w:color="000000"/>
              <w:right w:val="single" w:sz="4" w:space="0" w:color="000000"/>
            </w:tcBorders>
          </w:tcPr>
          <w:p>
            <w:pPr>
              <w:pStyle w:val="TableParagraph"/>
              <w:spacing w:before="0"/>
              <w:rPr>
                <w:sz w:val="18"/>
              </w:rPr>
            </w:pPr>
          </w:p>
        </w:tc>
        <w:tc>
          <w:tcPr>
            <w:tcW w:w="2844" w:type="dxa"/>
            <w:tcBorders>
              <w:left w:val="single" w:sz="4" w:space="0" w:color="000000"/>
            </w:tcBorders>
          </w:tcPr>
          <w:p>
            <w:pPr>
              <w:pStyle w:val="TableParagraph"/>
              <w:spacing w:before="22"/>
              <w:ind w:left="59"/>
              <w:rPr>
                <w:sz w:val="18"/>
              </w:rPr>
            </w:pPr>
            <w:r>
              <w:rPr>
                <w:spacing w:val="-2"/>
                <w:sz w:val="18"/>
              </w:rPr>
              <w:t>ous</w:t>
            </w:r>
            <w:r>
              <w:rPr>
                <w:spacing w:val="-5"/>
                <w:sz w:val="18"/>
              </w:rPr>
              <w:t> </w:t>
            </w:r>
            <w:r>
              <w:rPr>
                <w:spacing w:val="-2"/>
                <w:sz w:val="18"/>
              </w:rPr>
              <w:t>year,</w:t>
            </w:r>
            <w:r>
              <w:rPr>
                <w:spacing w:val="-5"/>
                <w:sz w:val="18"/>
              </w:rPr>
              <w:t> </w:t>
            </w:r>
            <w:r>
              <w:rPr>
                <w:spacing w:val="-2"/>
                <w:sz w:val="18"/>
              </w:rPr>
              <w:t>confirms</w:t>
            </w:r>
            <w:r>
              <w:rPr>
                <w:spacing w:val="-4"/>
                <w:sz w:val="18"/>
              </w:rPr>
              <w:t> </w:t>
            </w:r>
            <w:r>
              <w:rPr>
                <w:spacing w:val="-2"/>
                <w:sz w:val="18"/>
              </w:rPr>
              <w:t>carry-over</w:t>
            </w:r>
            <w:r>
              <w:rPr>
                <w:spacing w:val="-5"/>
                <w:sz w:val="18"/>
              </w:rPr>
              <w:t> </w:t>
            </w:r>
            <w:r>
              <w:rPr>
                <w:spacing w:val="-2"/>
                <w:sz w:val="18"/>
              </w:rPr>
              <w:t>recharge</w:t>
            </w:r>
          </w:p>
        </w:tc>
      </w:tr>
      <w:tr>
        <w:trPr>
          <w:trHeight w:val="305" w:hRule="atLeast"/>
        </w:trPr>
        <w:tc>
          <w:tcPr>
            <w:tcW w:w="1371" w:type="dxa"/>
            <w:tcBorders>
              <w:right w:val="single" w:sz="4" w:space="0" w:color="000000"/>
            </w:tcBorders>
          </w:tcPr>
          <w:p>
            <w:pPr>
              <w:pStyle w:val="TableParagraph"/>
              <w:spacing w:before="0"/>
              <w:rPr>
                <w:sz w:val="18"/>
              </w:rPr>
            </w:pPr>
          </w:p>
        </w:tc>
        <w:tc>
          <w:tcPr>
            <w:tcW w:w="978" w:type="dxa"/>
            <w:tcBorders>
              <w:left w:val="single" w:sz="4" w:space="0" w:color="000000"/>
              <w:right w:val="single" w:sz="4" w:space="0" w:color="000000"/>
            </w:tcBorders>
          </w:tcPr>
          <w:p>
            <w:pPr>
              <w:pStyle w:val="TableParagraph"/>
              <w:spacing w:before="0"/>
              <w:rPr>
                <w:sz w:val="18"/>
              </w:rPr>
            </w:pPr>
          </w:p>
        </w:tc>
        <w:tc>
          <w:tcPr>
            <w:tcW w:w="808" w:type="dxa"/>
            <w:tcBorders>
              <w:left w:val="single" w:sz="4" w:space="0" w:color="000000"/>
              <w:right w:val="single" w:sz="4" w:space="0" w:color="000000"/>
            </w:tcBorders>
          </w:tcPr>
          <w:p>
            <w:pPr>
              <w:pStyle w:val="TableParagraph"/>
              <w:spacing w:before="0"/>
              <w:rPr>
                <w:sz w:val="18"/>
              </w:rPr>
            </w:pPr>
          </w:p>
        </w:tc>
        <w:tc>
          <w:tcPr>
            <w:tcW w:w="354" w:type="dxa"/>
            <w:tcBorders>
              <w:left w:val="single" w:sz="4" w:space="0" w:color="000000"/>
              <w:right w:val="single" w:sz="4" w:space="0" w:color="000000"/>
            </w:tcBorders>
          </w:tcPr>
          <w:p>
            <w:pPr>
              <w:pStyle w:val="TableParagraph"/>
              <w:spacing w:before="0"/>
              <w:rPr>
                <w:sz w:val="18"/>
              </w:rPr>
            </w:pPr>
          </w:p>
        </w:tc>
        <w:tc>
          <w:tcPr>
            <w:tcW w:w="921" w:type="dxa"/>
            <w:tcBorders>
              <w:left w:val="single" w:sz="4" w:space="0" w:color="000000"/>
              <w:right w:val="single" w:sz="4" w:space="0" w:color="000000"/>
            </w:tcBorders>
          </w:tcPr>
          <w:p>
            <w:pPr>
              <w:pStyle w:val="TableParagraph"/>
              <w:spacing w:before="0"/>
              <w:rPr>
                <w:sz w:val="18"/>
              </w:rPr>
            </w:pPr>
          </w:p>
        </w:tc>
        <w:tc>
          <w:tcPr>
            <w:tcW w:w="524" w:type="dxa"/>
            <w:tcBorders>
              <w:left w:val="single" w:sz="4" w:space="0" w:color="000000"/>
              <w:right w:val="single" w:sz="4" w:space="0" w:color="000000"/>
            </w:tcBorders>
          </w:tcPr>
          <w:p>
            <w:pPr>
              <w:pStyle w:val="TableParagraph"/>
              <w:spacing w:before="0"/>
              <w:rPr>
                <w:sz w:val="18"/>
              </w:rPr>
            </w:pPr>
          </w:p>
        </w:tc>
        <w:tc>
          <w:tcPr>
            <w:tcW w:w="637" w:type="dxa"/>
            <w:tcBorders>
              <w:left w:val="single" w:sz="4" w:space="0" w:color="000000"/>
              <w:right w:val="single" w:sz="4" w:space="0" w:color="000000"/>
            </w:tcBorders>
          </w:tcPr>
          <w:p>
            <w:pPr>
              <w:pStyle w:val="TableParagraph"/>
              <w:spacing w:before="0"/>
              <w:rPr>
                <w:sz w:val="18"/>
              </w:rPr>
            </w:pPr>
          </w:p>
        </w:tc>
        <w:tc>
          <w:tcPr>
            <w:tcW w:w="2844" w:type="dxa"/>
            <w:tcBorders>
              <w:left w:val="single" w:sz="4" w:space="0" w:color="000000"/>
            </w:tcBorders>
          </w:tcPr>
          <w:p>
            <w:pPr>
              <w:pStyle w:val="TableParagraph"/>
              <w:spacing w:before="22"/>
              <w:ind w:left="59"/>
              <w:rPr>
                <w:sz w:val="18"/>
              </w:rPr>
            </w:pPr>
            <w:r>
              <w:rPr>
                <w:spacing w:val="-2"/>
                <w:sz w:val="18"/>
              </w:rPr>
              <w:t>pattern</w:t>
            </w:r>
          </w:p>
        </w:tc>
      </w:tr>
      <w:tr>
        <w:trPr>
          <w:trHeight w:val="305" w:hRule="atLeast"/>
        </w:trPr>
        <w:tc>
          <w:tcPr>
            <w:tcW w:w="1371" w:type="dxa"/>
            <w:tcBorders>
              <w:right w:val="single" w:sz="4" w:space="0" w:color="000000"/>
            </w:tcBorders>
          </w:tcPr>
          <w:p>
            <w:pPr>
              <w:pStyle w:val="TableParagraph"/>
              <w:spacing w:before="62"/>
              <w:ind w:left="59"/>
              <w:rPr>
                <w:sz w:val="18"/>
              </w:rPr>
            </w:pPr>
            <w:r>
              <w:rPr>
                <w:spacing w:val="-2"/>
                <w:sz w:val="18"/>
              </w:rPr>
              <w:t>sw.less.15wp_fl_</w:t>
            </w:r>
          </w:p>
        </w:tc>
        <w:tc>
          <w:tcPr>
            <w:tcW w:w="978" w:type="dxa"/>
            <w:tcBorders>
              <w:left w:val="single" w:sz="4" w:space="0" w:color="000000"/>
              <w:right w:val="single" w:sz="4" w:space="0" w:color="000000"/>
            </w:tcBorders>
          </w:tcPr>
          <w:p>
            <w:pPr>
              <w:pStyle w:val="TableParagraph"/>
              <w:spacing w:before="62"/>
              <w:ind w:left="58"/>
              <w:rPr>
                <w:sz w:val="18"/>
              </w:rPr>
            </w:pPr>
            <w:r>
              <w:rPr>
                <w:sz w:val="18"/>
              </w:rPr>
              <w:t>Stress</w:t>
            </w:r>
            <w:r>
              <w:rPr>
                <w:spacing w:val="37"/>
                <w:sz w:val="18"/>
              </w:rPr>
              <w:t> </w:t>
            </w:r>
            <w:r>
              <w:rPr>
                <w:spacing w:val="-4"/>
                <w:sz w:val="18"/>
              </w:rPr>
              <w:t>days</w:t>
            </w:r>
          </w:p>
        </w:tc>
        <w:tc>
          <w:tcPr>
            <w:tcW w:w="808" w:type="dxa"/>
            <w:tcBorders>
              <w:left w:val="single" w:sz="4" w:space="0" w:color="000000"/>
              <w:right w:val="single" w:sz="4" w:space="0" w:color="000000"/>
            </w:tcBorders>
          </w:tcPr>
          <w:p>
            <w:pPr>
              <w:pStyle w:val="TableParagraph"/>
              <w:spacing w:before="62"/>
              <w:ind w:left="58"/>
              <w:rPr>
                <w:sz w:val="18"/>
              </w:rPr>
            </w:pPr>
            <w:r>
              <w:rPr>
                <w:spacing w:val="-2"/>
                <w:sz w:val="18"/>
              </w:rPr>
              <w:t>Flowering</w:t>
            </w:r>
          </w:p>
        </w:tc>
        <w:tc>
          <w:tcPr>
            <w:tcW w:w="354" w:type="dxa"/>
            <w:tcBorders>
              <w:left w:val="single" w:sz="4" w:space="0" w:color="000000"/>
              <w:right w:val="single" w:sz="4" w:space="0" w:color="000000"/>
            </w:tcBorders>
          </w:tcPr>
          <w:p>
            <w:pPr>
              <w:pStyle w:val="TableParagraph"/>
              <w:spacing w:before="62"/>
              <w:ind w:right="46"/>
              <w:jc w:val="center"/>
              <w:rPr>
                <w:sz w:val="18"/>
              </w:rPr>
            </w:pPr>
            <w:r>
              <w:rPr>
                <w:spacing w:val="-5"/>
                <w:sz w:val="18"/>
              </w:rPr>
              <w:t>y1</w:t>
            </w:r>
          </w:p>
        </w:tc>
        <w:tc>
          <w:tcPr>
            <w:tcW w:w="921" w:type="dxa"/>
            <w:tcBorders>
              <w:left w:val="single" w:sz="4" w:space="0" w:color="000000"/>
              <w:right w:val="single" w:sz="4" w:space="0" w:color="000000"/>
            </w:tcBorders>
          </w:tcPr>
          <w:p>
            <w:pPr>
              <w:pStyle w:val="TableParagraph"/>
              <w:spacing w:before="62"/>
              <w:ind w:left="58"/>
              <w:rPr>
                <w:sz w:val="18"/>
              </w:rPr>
            </w:pPr>
            <w:r>
              <w:rPr>
                <w:sz w:val="18"/>
              </w:rPr>
              <w:t>10d</w:t>
            </w:r>
            <w:r>
              <w:rPr>
                <w:spacing w:val="-4"/>
                <w:sz w:val="18"/>
              </w:rPr>
              <w:t> after</w:t>
            </w:r>
          </w:p>
        </w:tc>
        <w:tc>
          <w:tcPr>
            <w:tcW w:w="524" w:type="dxa"/>
            <w:tcBorders>
              <w:left w:val="single" w:sz="4" w:space="0" w:color="000000"/>
              <w:right w:val="single" w:sz="4" w:space="0" w:color="000000"/>
            </w:tcBorders>
          </w:tcPr>
          <w:p>
            <w:pPr>
              <w:pStyle w:val="TableParagraph"/>
              <w:spacing w:before="62"/>
              <w:ind w:left="58"/>
              <w:rPr>
                <w:sz w:val="18"/>
              </w:rPr>
            </w:pPr>
            <w:r>
              <w:rPr>
                <w:spacing w:val="-4"/>
                <w:sz w:val="18"/>
              </w:rPr>
              <w:t>days</w:t>
            </w:r>
          </w:p>
        </w:tc>
        <w:tc>
          <w:tcPr>
            <w:tcW w:w="637" w:type="dxa"/>
            <w:tcBorders>
              <w:left w:val="single" w:sz="4" w:space="0" w:color="000000"/>
              <w:right w:val="single" w:sz="4" w:space="0" w:color="000000"/>
            </w:tcBorders>
          </w:tcPr>
          <w:p>
            <w:pPr>
              <w:pStyle w:val="TableParagraph"/>
              <w:spacing w:before="62"/>
              <w:ind w:left="59"/>
              <w:rPr>
                <w:sz w:val="18"/>
              </w:rPr>
            </w:pPr>
            <w:r>
              <w:rPr>
                <w:spacing w:val="-2"/>
                <w:sz w:val="18"/>
              </w:rPr>
              <w:t>Count</w:t>
            </w:r>
          </w:p>
        </w:tc>
        <w:tc>
          <w:tcPr>
            <w:tcW w:w="2844" w:type="dxa"/>
            <w:tcBorders>
              <w:left w:val="single" w:sz="4" w:space="0" w:color="000000"/>
            </w:tcBorders>
          </w:tcPr>
          <w:p>
            <w:pPr>
              <w:pStyle w:val="TableParagraph"/>
              <w:spacing w:before="62"/>
              <w:ind w:left="59"/>
              <w:rPr>
                <w:sz w:val="18"/>
              </w:rPr>
            </w:pPr>
            <w:r>
              <w:rPr>
                <w:spacing w:val="-4"/>
                <w:sz w:val="18"/>
              </w:rPr>
              <w:t>Severe</w:t>
            </w:r>
            <w:r>
              <w:rPr>
                <w:spacing w:val="-1"/>
                <w:sz w:val="18"/>
              </w:rPr>
              <w:t> </w:t>
            </w:r>
            <w:r>
              <w:rPr>
                <w:spacing w:val="-4"/>
                <w:sz w:val="18"/>
              </w:rPr>
              <w:t>stress</w:t>
            </w:r>
            <w:r>
              <w:rPr>
                <w:spacing w:val="-1"/>
                <w:sz w:val="18"/>
              </w:rPr>
              <w:t> </w:t>
            </w:r>
            <w:r>
              <w:rPr>
                <w:spacing w:val="-4"/>
                <w:sz w:val="18"/>
              </w:rPr>
              <w:t>days</w:t>
            </w:r>
            <w:r>
              <w:rPr>
                <w:sz w:val="18"/>
              </w:rPr>
              <w:t> </w:t>
            </w:r>
            <w:r>
              <w:rPr>
                <w:spacing w:val="-4"/>
                <w:sz w:val="18"/>
              </w:rPr>
              <w:t>post-flowering,</w:t>
            </w:r>
            <w:r>
              <w:rPr>
                <w:spacing w:val="2"/>
                <w:sz w:val="18"/>
              </w:rPr>
              <w:t> </w:t>
            </w:r>
            <w:r>
              <w:rPr>
                <w:spacing w:val="-4"/>
                <w:sz w:val="18"/>
              </w:rPr>
              <w:t>days</w:t>
            </w:r>
          </w:p>
        </w:tc>
      </w:tr>
      <w:tr>
        <w:trPr>
          <w:trHeight w:val="571" w:hRule="atLeast"/>
        </w:trPr>
        <w:tc>
          <w:tcPr>
            <w:tcW w:w="1371" w:type="dxa"/>
            <w:tcBorders>
              <w:right w:val="single" w:sz="4" w:space="0" w:color="000000"/>
            </w:tcBorders>
          </w:tcPr>
          <w:p>
            <w:pPr>
              <w:pStyle w:val="TableParagraph"/>
              <w:spacing w:before="22"/>
              <w:ind w:left="55"/>
              <w:rPr>
                <w:sz w:val="18"/>
              </w:rPr>
            </w:pPr>
            <w:r>
              <w:rPr>
                <w:spacing w:val="-2"/>
                <w:sz w:val="18"/>
              </w:rPr>
              <w:t>y1_a10</w:t>
            </w:r>
          </w:p>
        </w:tc>
        <w:tc>
          <w:tcPr>
            <w:tcW w:w="978" w:type="dxa"/>
            <w:tcBorders>
              <w:left w:val="single" w:sz="4" w:space="0" w:color="000000"/>
              <w:right w:val="single" w:sz="4" w:space="0" w:color="000000"/>
            </w:tcBorders>
          </w:tcPr>
          <w:p>
            <w:pPr>
              <w:pStyle w:val="TableParagraph"/>
              <w:spacing w:line="266" w:lineRule="exact" w:before="0"/>
              <w:ind w:left="52" w:right="-101"/>
              <w:rPr>
                <w:sz w:val="18"/>
              </w:rPr>
            </w:pPr>
            <w:r>
              <w:rPr>
                <w:spacing w:val="-4"/>
                <w:sz w:val="18"/>
              </w:rPr>
              <w:t>(Sm&lt;1.5</w:t>
            </w:r>
            <w:r>
              <w:rPr>
                <w:rFonts w:ascii="Meiryo UI" w:hAnsi="Meiryo UI"/>
                <w:i/>
                <w:spacing w:val="-4"/>
                <w:sz w:val="18"/>
              </w:rPr>
              <w:t>×</w:t>
            </w:r>
            <w:r>
              <w:rPr>
                <w:spacing w:val="-4"/>
                <w:sz w:val="18"/>
              </w:rPr>
              <w:t>Wp</w:t>
            </w:r>
          </w:p>
        </w:tc>
        <w:tc>
          <w:tcPr>
            <w:tcW w:w="808" w:type="dxa"/>
            <w:tcBorders>
              <w:left w:val="single" w:sz="4" w:space="0" w:color="000000"/>
              <w:right w:val="single" w:sz="4" w:space="0" w:color="000000"/>
            </w:tcBorders>
          </w:tcPr>
          <w:p>
            <w:pPr>
              <w:pStyle w:val="TableParagraph"/>
              <w:spacing w:before="22"/>
              <w:ind w:left="79"/>
              <w:rPr>
                <w:sz w:val="18"/>
              </w:rPr>
            </w:pPr>
            <w:r>
              <w:rPr>
                <w:spacing w:val="-10"/>
                <w:sz w:val="18"/>
              </w:rPr>
              <w:t>)</w:t>
            </w:r>
          </w:p>
        </w:tc>
        <w:tc>
          <w:tcPr>
            <w:tcW w:w="354" w:type="dxa"/>
            <w:tcBorders>
              <w:left w:val="single" w:sz="4" w:space="0" w:color="000000"/>
              <w:right w:val="single" w:sz="4" w:space="0" w:color="000000"/>
            </w:tcBorders>
          </w:tcPr>
          <w:p>
            <w:pPr>
              <w:pStyle w:val="TableParagraph"/>
              <w:spacing w:before="0"/>
              <w:rPr>
                <w:sz w:val="18"/>
              </w:rPr>
            </w:pPr>
          </w:p>
        </w:tc>
        <w:tc>
          <w:tcPr>
            <w:tcW w:w="921" w:type="dxa"/>
            <w:tcBorders>
              <w:left w:val="single" w:sz="4" w:space="0" w:color="000000"/>
              <w:right w:val="single" w:sz="4" w:space="0" w:color="000000"/>
            </w:tcBorders>
          </w:tcPr>
          <w:p>
            <w:pPr>
              <w:pStyle w:val="TableParagraph"/>
              <w:spacing w:before="0"/>
              <w:rPr>
                <w:sz w:val="18"/>
              </w:rPr>
            </w:pPr>
          </w:p>
        </w:tc>
        <w:tc>
          <w:tcPr>
            <w:tcW w:w="524" w:type="dxa"/>
            <w:tcBorders>
              <w:left w:val="single" w:sz="4" w:space="0" w:color="000000"/>
              <w:right w:val="single" w:sz="4" w:space="0" w:color="000000"/>
            </w:tcBorders>
          </w:tcPr>
          <w:p>
            <w:pPr>
              <w:pStyle w:val="TableParagraph"/>
              <w:spacing w:before="0"/>
              <w:rPr>
                <w:sz w:val="18"/>
              </w:rPr>
            </w:pPr>
          </w:p>
        </w:tc>
        <w:tc>
          <w:tcPr>
            <w:tcW w:w="637" w:type="dxa"/>
            <w:tcBorders>
              <w:left w:val="single" w:sz="4" w:space="0" w:color="000000"/>
              <w:right w:val="single" w:sz="4" w:space="0" w:color="000000"/>
            </w:tcBorders>
          </w:tcPr>
          <w:p>
            <w:pPr>
              <w:pStyle w:val="TableParagraph"/>
              <w:spacing w:before="0"/>
              <w:rPr>
                <w:sz w:val="18"/>
              </w:rPr>
            </w:pPr>
          </w:p>
        </w:tc>
        <w:tc>
          <w:tcPr>
            <w:tcW w:w="2844" w:type="dxa"/>
            <w:tcBorders>
              <w:left w:val="single" w:sz="4" w:space="0" w:color="000000"/>
            </w:tcBorders>
          </w:tcPr>
          <w:p>
            <w:pPr>
              <w:pStyle w:val="TableParagraph"/>
              <w:spacing w:before="22"/>
              <w:ind w:left="53"/>
              <w:rPr>
                <w:sz w:val="18"/>
              </w:rPr>
            </w:pPr>
            <w:r>
              <w:rPr>
                <w:sz w:val="18"/>
              </w:rPr>
              <w:t>when</w:t>
            </w:r>
            <w:r>
              <w:rPr>
                <w:spacing w:val="3"/>
                <w:sz w:val="18"/>
              </w:rPr>
              <w:t> </w:t>
            </w:r>
            <w:r>
              <w:rPr>
                <w:sz w:val="18"/>
              </w:rPr>
              <w:t>soil</w:t>
            </w:r>
            <w:r>
              <w:rPr>
                <w:spacing w:val="3"/>
                <w:sz w:val="18"/>
              </w:rPr>
              <w:t> </w:t>
            </w:r>
            <w:r>
              <w:rPr>
                <w:sz w:val="18"/>
              </w:rPr>
              <w:t>water</w:t>
            </w:r>
            <w:r>
              <w:rPr>
                <w:spacing w:val="2"/>
                <w:sz w:val="18"/>
              </w:rPr>
              <w:t> </w:t>
            </w:r>
            <w:r>
              <w:rPr>
                <w:sz w:val="18"/>
              </w:rPr>
              <w:t>falls</w:t>
            </w:r>
            <w:r>
              <w:rPr>
                <w:spacing w:val="2"/>
                <w:sz w:val="18"/>
              </w:rPr>
              <w:t> </w:t>
            </w:r>
            <w:r>
              <w:rPr>
                <w:sz w:val="18"/>
              </w:rPr>
              <w:t>below</w:t>
            </w:r>
            <w:r>
              <w:rPr>
                <w:spacing w:val="3"/>
                <w:sz w:val="18"/>
              </w:rPr>
              <w:t> </w:t>
            </w:r>
            <w:r>
              <w:rPr>
                <w:sz w:val="18"/>
              </w:rPr>
              <w:t>vine</w:t>
            </w:r>
            <w:r>
              <w:rPr>
                <w:spacing w:val="2"/>
                <w:sz w:val="18"/>
              </w:rPr>
              <w:t> </w:t>
            </w:r>
            <w:r>
              <w:rPr>
                <w:spacing w:val="-2"/>
                <w:sz w:val="18"/>
              </w:rPr>
              <w:t>wilt-</w:t>
            </w:r>
          </w:p>
          <w:p>
            <w:pPr>
              <w:pStyle w:val="TableParagraph"/>
              <w:spacing w:before="59"/>
              <w:ind w:left="59"/>
              <w:rPr>
                <w:sz w:val="18"/>
              </w:rPr>
            </w:pPr>
            <w:r>
              <w:rPr>
                <w:sz w:val="18"/>
              </w:rPr>
              <w:t>ing</w:t>
            </w:r>
            <w:r>
              <w:rPr>
                <w:spacing w:val="-4"/>
                <w:sz w:val="18"/>
              </w:rPr>
              <w:t> </w:t>
            </w:r>
            <w:r>
              <w:rPr>
                <w:spacing w:val="-2"/>
                <w:sz w:val="18"/>
              </w:rPr>
              <w:t>threshold</w:t>
            </w:r>
          </w:p>
        </w:tc>
      </w:tr>
      <w:tr>
        <w:trPr>
          <w:trHeight w:val="305" w:hRule="atLeast"/>
        </w:trPr>
        <w:tc>
          <w:tcPr>
            <w:tcW w:w="1371" w:type="dxa"/>
            <w:tcBorders>
              <w:right w:val="single" w:sz="4" w:space="0" w:color="000000"/>
            </w:tcBorders>
          </w:tcPr>
          <w:p>
            <w:pPr>
              <w:pStyle w:val="TableParagraph"/>
              <w:spacing w:before="62"/>
              <w:ind w:left="59"/>
              <w:rPr>
                <w:sz w:val="18"/>
              </w:rPr>
            </w:pPr>
            <w:r>
              <w:rPr>
                <w:spacing w:val="-2"/>
                <w:sz w:val="18"/>
              </w:rPr>
              <w:t>sw.less.15wp_fl_</w:t>
            </w:r>
          </w:p>
        </w:tc>
        <w:tc>
          <w:tcPr>
            <w:tcW w:w="978" w:type="dxa"/>
            <w:tcBorders>
              <w:left w:val="single" w:sz="4" w:space="0" w:color="000000"/>
              <w:right w:val="single" w:sz="4" w:space="0" w:color="000000"/>
            </w:tcBorders>
          </w:tcPr>
          <w:p>
            <w:pPr>
              <w:pStyle w:val="TableParagraph"/>
              <w:spacing w:before="62"/>
              <w:ind w:left="58"/>
              <w:rPr>
                <w:sz w:val="18"/>
              </w:rPr>
            </w:pPr>
            <w:r>
              <w:rPr>
                <w:sz w:val="18"/>
              </w:rPr>
              <w:t>Stress</w:t>
            </w:r>
            <w:r>
              <w:rPr>
                <w:spacing w:val="37"/>
                <w:sz w:val="18"/>
              </w:rPr>
              <w:t> </w:t>
            </w:r>
            <w:r>
              <w:rPr>
                <w:spacing w:val="-4"/>
                <w:sz w:val="18"/>
              </w:rPr>
              <w:t>days</w:t>
            </w:r>
          </w:p>
        </w:tc>
        <w:tc>
          <w:tcPr>
            <w:tcW w:w="808" w:type="dxa"/>
            <w:tcBorders>
              <w:left w:val="single" w:sz="4" w:space="0" w:color="000000"/>
              <w:right w:val="single" w:sz="4" w:space="0" w:color="000000"/>
            </w:tcBorders>
          </w:tcPr>
          <w:p>
            <w:pPr>
              <w:pStyle w:val="TableParagraph"/>
              <w:spacing w:before="62"/>
              <w:ind w:left="58"/>
              <w:rPr>
                <w:sz w:val="18"/>
              </w:rPr>
            </w:pPr>
            <w:r>
              <w:rPr>
                <w:spacing w:val="-2"/>
                <w:sz w:val="18"/>
              </w:rPr>
              <w:t>Flowering</w:t>
            </w:r>
          </w:p>
        </w:tc>
        <w:tc>
          <w:tcPr>
            <w:tcW w:w="354" w:type="dxa"/>
            <w:tcBorders>
              <w:left w:val="single" w:sz="4" w:space="0" w:color="000000"/>
              <w:right w:val="single" w:sz="4" w:space="0" w:color="000000"/>
            </w:tcBorders>
          </w:tcPr>
          <w:p>
            <w:pPr>
              <w:pStyle w:val="TableParagraph"/>
              <w:spacing w:before="62"/>
              <w:ind w:right="46"/>
              <w:jc w:val="center"/>
              <w:rPr>
                <w:sz w:val="18"/>
              </w:rPr>
            </w:pPr>
            <w:r>
              <w:rPr>
                <w:spacing w:val="-5"/>
                <w:sz w:val="18"/>
              </w:rPr>
              <w:t>y1</w:t>
            </w:r>
          </w:p>
        </w:tc>
        <w:tc>
          <w:tcPr>
            <w:tcW w:w="921" w:type="dxa"/>
            <w:tcBorders>
              <w:left w:val="single" w:sz="4" w:space="0" w:color="000000"/>
              <w:right w:val="single" w:sz="4" w:space="0" w:color="000000"/>
            </w:tcBorders>
          </w:tcPr>
          <w:p>
            <w:pPr>
              <w:pStyle w:val="TableParagraph"/>
              <w:spacing w:before="62"/>
              <w:ind w:left="58"/>
              <w:rPr>
                <w:sz w:val="18"/>
              </w:rPr>
            </w:pPr>
            <w:r>
              <w:rPr>
                <w:sz w:val="18"/>
              </w:rPr>
              <w:t>20d</w:t>
            </w:r>
            <w:r>
              <w:rPr>
                <w:spacing w:val="-4"/>
                <w:sz w:val="18"/>
              </w:rPr>
              <w:t> after</w:t>
            </w:r>
          </w:p>
        </w:tc>
        <w:tc>
          <w:tcPr>
            <w:tcW w:w="524" w:type="dxa"/>
            <w:tcBorders>
              <w:left w:val="single" w:sz="4" w:space="0" w:color="000000"/>
              <w:right w:val="single" w:sz="4" w:space="0" w:color="000000"/>
            </w:tcBorders>
          </w:tcPr>
          <w:p>
            <w:pPr>
              <w:pStyle w:val="TableParagraph"/>
              <w:spacing w:before="62"/>
              <w:ind w:left="58"/>
              <w:rPr>
                <w:sz w:val="18"/>
              </w:rPr>
            </w:pPr>
            <w:r>
              <w:rPr>
                <w:spacing w:val="-4"/>
                <w:sz w:val="18"/>
              </w:rPr>
              <w:t>days</w:t>
            </w:r>
          </w:p>
        </w:tc>
        <w:tc>
          <w:tcPr>
            <w:tcW w:w="637" w:type="dxa"/>
            <w:tcBorders>
              <w:left w:val="single" w:sz="4" w:space="0" w:color="000000"/>
              <w:right w:val="single" w:sz="4" w:space="0" w:color="000000"/>
            </w:tcBorders>
          </w:tcPr>
          <w:p>
            <w:pPr>
              <w:pStyle w:val="TableParagraph"/>
              <w:spacing w:before="62"/>
              <w:ind w:left="59"/>
              <w:rPr>
                <w:sz w:val="18"/>
              </w:rPr>
            </w:pPr>
            <w:r>
              <w:rPr>
                <w:spacing w:val="-2"/>
                <w:sz w:val="18"/>
              </w:rPr>
              <w:t>Count</w:t>
            </w:r>
          </w:p>
        </w:tc>
        <w:tc>
          <w:tcPr>
            <w:tcW w:w="2844" w:type="dxa"/>
            <w:tcBorders>
              <w:left w:val="single" w:sz="4" w:space="0" w:color="000000"/>
            </w:tcBorders>
          </w:tcPr>
          <w:p>
            <w:pPr>
              <w:pStyle w:val="TableParagraph"/>
              <w:spacing w:before="62"/>
              <w:ind w:left="59"/>
              <w:rPr>
                <w:sz w:val="18"/>
              </w:rPr>
            </w:pPr>
            <w:r>
              <w:rPr>
                <w:sz w:val="18"/>
              </w:rPr>
              <w:t>Extended</w:t>
            </w:r>
            <w:r>
              <w:rPr>
                <w:spacing w:val="15"/>
                <w:sz w:val="18"/>
              </w:rPr>
              <w:t> </w:t>
            </w:r>
            <w:r>
              <w:rPr>
                <w:sz w:val="18"/>
              </w:rPr>
              <w:t>post-flowering</w:t>
            </w:r>
            <w:r>
              <w:rPr>
                <w:spacing w:val="16"/>
                <w:sz w:val="18"/>
              </w:rPr>
              <w:t> </w:t>
            </w:r>
            <w:r>
              <w:rPr>
                <w:sz w:val="18"/>
              </w:rPr>
              <w:t>stress</w:t>
            </w:r>
            <w:r>
              <w:rPr>
                <w:spacing w:val="16"/>
                <w:sz w:val="18"/>
              </w:rPr>
              <w:t> </w:t>
            </w:r>
            <w:r>
              <w:rPr>
                <w:spacing w:val="-2"/>
                <w:sz w:val="18"/>
              </w:rPr>
              <w:t>expo-</w:t>
            </w:r>
          </w:p>
        </w:tc>
      </w:tr>
      <w:tr>
        <w:trPr>
          <w:trHeight w:val="329" w:hRule="atLeast"/>
        </w:trPr>
        <w:tc>
          <w:tcPr>
            <w:tcW w:w="1371" w:type="dxa"/>
            <w:tcBorders>
              <w:bottom w:val="single" w:sz="6" w:space="0" w:color="000000"/>
              <w:right w:val="single" w:sz="4" w:space="0" w:color="000000"/>
            </w:tcBorders>
          </w:tcPr>
          <w:p>
            <w:pPr>
              <w:pStyle w:val="TableParagraph"/>
              <w:spacing w:before="22"/>
              <w:ind w:left="55"/>
              <w:rPr>
                <w:sz w:val="18"/>
              </w:rPr>
            </w:pPr>
            <w:r>
              <w:rPr>
                <w:spacing w:val="-2"/>
                <w:sz w:val="18"/>
              </w:rPr>
              <w:t>y1_a20</w:t>
            </w:r>
          </w:p>
        </w:tc>
        <w:tc>
          <w:tcPr>
            <w:tcW w:w="978" w:type="dxa"/>
            <w:tcBorders>
              <w:left w:val="single" w:sz="4" w:space="0" w:color="000000"/>
              <w:bottom w:val="single" w:sz="6" w:space="0" w:color="000000"/>
              <w:right w:val="single" w:sz="4" w:space="0" w:color="000000"/>
            </w:tcBorders>
          </w:tcPr>
          <w:p>
            <w:pPr>
              <w:pStyle w:val="TableParagraph"/>
              <w:spacing w:line="266" w:lineRule="exact" w:before="0"/>
              <w:ind w:left="52" w:right="-101"/>
              <w:rPr>
                <w:sz w:val="18"/>
              </w:rPr>
            </w:pPr>
            <w:r>
              <w:rPr>
                <w:spacing w:val="-4"/>
                <w:sz w:val="18"/>
              </w:rPr>
              <w:t>(Sm&lt;1.5</w:t>
            </w:r>
            <w:r>
              <w:rPr>
                <w:rFonts w:ascii="Meiryo UI" w:hAnsi="Meiryo UI"/>
                <w:i/>
                <w:spacing w:val="-4"/>
                <w:sz w:val="18"/>
              </w:rPr>
              <w:t>×</w:t>
            </w:r>
            <w:r>
              <w:rPr>
                <w:spacing w:val="-4"/>
                <w:sz w:val="18"/>
              </w:rPr>
              <w:t>Wp</w:t>
            </w:r>
          </w:p>
        </w:tc>
        <w:tc>
          <w:tcPr>
            <w:tcW w:w="808" w:type="dxa"/>
            <w:tcBorders>
              <w:left w:val="single" w:sz="4" w:space="0" w:color="000000"/>
              <w:bottom w:val="single" w:sz="6" w:space="0" w:color="000000"/>
              <w:right w:val="single" w:sz="4" w:space="0" w:color="000000"/>
            </w:tcBorders>
          </w:tcPr>
          <w:p>
            <w:pPr>
              <w:pStyle w:val="TableParagraph"/>
              <w:spacing w:before="22"/>
              <w:ind w:left="79"/>
              <w:rPr>
                <w:sz w:val="18"/>
              </w:rPr>
            </w:pPr>
            <w:r>
              <w:rPr>
                <w:spacing w:val="-10"/>
                <w:sz w:val="18"/>
              </w:rPr>
              <w:t>)</w:t>
            </w:r>
          </w:p>
        </w:tc>
        <w:tc>
          <w:tcPr>
            <w:tcW w:w="354" w:type="dxa"/>
            <w:tcBorders>
              <w:left w:val="single" w:sz="4" w:space="0" w:color="000000"/>
              <w:bottom w:val="single" w:sz="6" w:space="0" w:color="000000"/>
              <w:right w:val="single" w:sz="4" w:space="0" w:color="000000"/>
            </w:tcBorders>
          </w:tcPr>
          <w:p>
            <w:pPr>
              <w:pStyle w:val="TableParagraph"/>
              <w:spacing w:before="0"/>
              <w:rPr>
                <w:sz w:val="18"/>
              </w:rPr>
            </w:pPr>
          </w:p>
        </w:tc>
        <w:tc>
          <w:tcPr>
            <w:tcW w:w="921" w:type="dxa"/>
            <w:tcBorders>
              <w:left w:val="single" w:sz="4" w:space="0" w:color="000000"/>
              <w:bottom w:val="single" w:sz="6" w:space="0" w:color="000000"/>
              <w:right w:val="single" w:sz="4" w:space="0" w:color="000000"/>
            </w:tcBorders>
          </w:tcPr>
          <w:p>
            <w:pPr>
              <w:pStyle w:val="TableParagraph"/>
              <w:spacing w:before="0"/>
              <w:rPr>
                <w:sz w:val="18"/>
              </w:rPr>
            </w:pPr>
          </w:p>
        </w:tc>
        <w:tc>
          <w:tcPr>
            <w:tcW w:w="524" w:type="dxa"/>
            <w:tcBorders>
              <w:left w:val="single" w:sz="4" w:space="0" w:color="000000"/>
              <w:bottom w:val="single" w:sz="6" w:space="0" w:color="000000"/>
              <w:right w:val="single" w:sz="4" w:space="0" w:color="000000"/>
            </w:tcBorders>
          </w:tcPr>
          <w:p>
            <w:pPr>
              <w:pStyle w:val="TableParagraph"/>
              <w:spacing w:before="0"/>
              <w:rPr>
                <w:sz w:val="18"/>
              </w:rPr>
            </w:pPr>
          </w:p>
        </w:tc>
        <w:tc>
          <w:tcPr>
            <w:tcW w:w="637" w:type="dxa"/>
            <w:tcBorders>
              <w:left w:val="single" w:sz="4" w:space="0" w:color="000000"/>
              <w:bottom w:val="single" w:sz="6" w:space="0" w:color="000000"/>
              <w:right w:val="single" w:sz="4" w:space="0" w:color="000000"/>
            </w:tcBorders>
          </w:tcPr>
          <w:p>
            <w:pPr>
              <w:pStyle w:val="TableParagraph"/>
              <w:spacing w:before="0"/>
              <w:rPr>
                <w:sz w:val="18"/>
              </w:rPr>
            </w:pPr>
          </w:p>
        </w:tc>
        <w:tc>
          <w:tcPr>
            <w:tcW w:w="2844" w:type="dxa"/>
            <w:tcBorders>
              <w:left w:val="single" w:sz="4" w:space="0" w:color="000000"/>
              <w:bottom w:val="single" w:sz="6" w:space="0" w:color="000000"/>
            </w:tcBorders>
          </w:tcPr>
          <w:p>
            <w:pPr>
              <w:pStyle w:val="TableParagraph"/>
              <w:spacing w:before="22"/>
              <w:ind w:left="59"/>
              <w:rPr>
                <w:sz w:val="18"/>
              </w:rPr>
            </w:pPr>
            <w:r>
              <w:rPr>
                <w:spacing w:val="-4"/>
                <w:sz w:val="18"/>
              </w:rPr>
              <w:t>sure</w:t>
            </w:r>
          </w:p>
        </w:tc>
      </w:tr>
    </w:tbl>
    <w:p>
      <w:pPr>
        <w:spacing w:before="153"/>
        <w:ind w:left="0" w:right="1082" w:firstLine="0"/>
        <w:jc w:val="right"/>
        <w:rPr>
          <w:i/>
          <w:sz w:val="18"/>
        </w:rPr>
      </w:pPr>
      <w:r>
        <w:rPr>
          <w:i/>
          <w:sz w:val="18"/>
        </w:rPr>
        <w:t>Continued</w:t>
      </w:r>
      <w:r>
        <w:rPr>
          <w:i/>
          <w:spacing w:val="-7"/>
          <w:sz w:val="18"/>
        </w:rPr>
        <w:t> </w:t>
      </w:r>
      <w:r>
        <w:rPr>
          <w:i/>
          <w:sz w:val="18"/>
        </w:rPr>
        <w:t>on</w:t>
      </w:r>
      <w:r>
        <w:rPr>
          <w:i/>
          <w:spacing w:val="-6"/>
          <w:sz w:val="18"/>
        </w:rPr>
        <w:t> </w:t>
      </w:r>
      <w:r>
        <w:rPr>
          <w:i/>
          <w:sz w:val="18"/>
        </w:rPr>
        <w:t>next</w:t>
      </w:r>
      <w:r>
        <w:rPr>
          <w:i/>
          <w:spacing w:val="-7"/>
          <w:sz w:val="18"/>
        </w:rPr>
        <w:t> </w:t>
      </w:r>
      <w:r>
        <w:rPr>
          <w:i/>
          <w:spacing w:val="-4"/>
          <w:sz w:val="18"/>
        </w:rPr>
        <w:t>page</w:t>
      </w:r>
    </w:p>
    <w:p>
      <w:pPr>
        <w:spacing w:after="0"/>
        <w:jc w:val="right"/>
        <w:rPr>
          <w:i/>
          <w:sz w:val="18"/>
        </w:rPr>
        <w:sectPr>
          <w:headerReference w:type="default" r:id="rId126"/>
          <w:headerReference w:type="even" r:id="rId127"/>
          <w:pgSz w:w="11910" w:h="16840"/>
          <w:pgMar w:header="1160" w:footer="0" w:top="1420" w:bottom="280" w:left="1275" w:right="425"/>
          <w:pgNumType w:start="103"/>
        </w:sectPr>
      </w:pPr>
    </w:p>
    <w:p>
      <w:pPr>
        <w:pStyle w:val="BodyText"/>
        <w:rPr>
          <w:i/>
          <w:sz w:val="18"/>
        </w:rPr>
      </w:pPr>
    </w:p>
    <w:p>
      <w:pPr>
        <w:pStyle w:val="BodyText"/>
        <w:spacing w:before="178"/>
        <w:rPr>
          <w:i/>
          <w:sz w:val="18"/>
        </w:rPr>
      </w:pPr>
    </w:p>
    <w:p>
      <w:pPr>
        <w:spacing w:before="0"/>
        <w:ind w:left="234" w:right="0" w:firstLine="0"/>
        <w:jc w:val="left"/>
        <w:rPr>
          <w:i/>
          <w:sz w:val="18"/>
        </w:rPr>
      </w:pPr>
      <w:r>
        <w:rPr>
          <w:i/>
          <w:spacing w:val="-2"/>
          <w:sz w:val="18"/>
        </w:rPr>
        <w:t>Table </w:t>
      </w:r>
      <w:hyperlink w:history="true" w:anchor="_bookmark191">
        <w:r>
          <w:rPr>
            <w:i/>
            <w:color w:val="8B2C18"/>
            <w:spacing w:val="-2"/>
            <w:sz w:val="18"/>
          </w:rPr>
          <w:t>C.6</w:t>
        </w:r>
      </w:hyperlink>
      <w:r>
        <w:rPr>
          <w:i/>
          <w:color w:val="8B2C18"/>
          <w:spacing w:val="-1"/>
          <w:sz w:val="18"/>
        </w:rPr>
        <w:t> </w:t>
      </w:r>
      <w:r>
        <w:rPr>
          <w:i/>
          <w:spacing w:val="-2"/>
          <w:sz w:val="18"/>
        </w:rPr>
        <w:t>continued</w:t>
      </w:r>
      <w:r>
        <w:rPr>
          <w:i/>
          <w:spacing w:val="-1"/>
          <w:sz w:val="18"/>
        </w:rPr>
        <w:t> </w:t>
      </w:r>
      <w:r>
        <w:rPr>
          <w:i/>
          <w:spacing w:val="-2"/>
          <w:sz w:val="18"/>
        </w:rPr>
        <w:t>from previous</w:t>
      </w:r>
      <w:r>
        <w:rPr>
          <w:i/>
          <w:spacing w:val="-1"/>
          <w:sz w:val="18"/>
        </w:rPr>
        <w:t> </w:t>
      </w:r>
      <w:r>
        <w:rPr>
          <w:i/>
          <w:spacing w:val="-4"/>
          <w:sz w:val="18"/>
        </w:rPr>
        <w:t>page</w:t>
      </w:r>
    </w:p>
    <w:p>
      <w:pPr>
        <w:pStyle w:val="BodyText"/>
        <w:spacing w:before="3"/>
        <w:rPr>
          <w:i/>
          <w:sz w:val="4"/>
        </w:rPr>
      </w:pPr>
      <w:r>
        <w:rPr>
          <w:i/>
          <w:sz w:val="4"/>
        </w:rPr>
        <mc:AlternateContent>
          <mc:Choice Requires="wps">
            <w:drawing>
              <wp:anchor distT="0" distB="0" distL="0" distR="0" allowOverlap="1" layoutInCell="1" locked="0" behindDoc="1" simplePos="0" relativeHeight="487645696">
                <wp:simplePos x="0" y="0"/>
                <wp:positionH relativeFrom="page">
                  <wp:posOffset>920635</wp:posOffset>
                </wp:positionH>
                <wp:positionV relativeFrom="paragraph">
                  <wp:posOffset>46662</wp:posOffset>
                </wp:positionV>
                <wp:extent cx="5358765" cy="1270"/>
                <wp:effectExtent l="0" t="0" r="0" b="0"/>
                <wp:wrapTopAndBottom/>
                <wp:docPr id="306" name="Graphic 306"/>
                <wp:cNvGraphicFramePr>
                  <a:graphicFrameLocks/>
                </wp:cNvGraphicFramePr>
                <a:graphic>
                  <a:graphicData uri="http://schemas.microsoft.com/office/word/2010/wordprocessingShape">
                    <wps:wsp>
                      <wps:cNvPr id="306" name="Graphic 306"/>
                      <wps:cNvSpPr/>
                      <wps:spPr>
                        <a:xfrm>
                          <a:off x="0" y="0"/>
                          <a:ext cx="5358765" cy="1270"/>
                        </a:xfrm>
                        <a:custGeom>
                          <a:avLst/>
                          <a:gdLst/>
                          <a:ahLst/>
                          <a:cxnLst/>
                          <a:rect l="l" t="t" r="r" b="b"/>
                          <a:pathLst>
                            <a:path w="5358765" h="0">
                              <a:moveTo>
                                <a:pt x="0" y="0"/>
                              </a:moveTo>
                              <a:lnTo>
                                <a:pt x="5358739"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490997pt;margin-top:3.67418pt;width:421.95pt;height:.1pt;mso-position-horizontal-relative:page;mso-position-vertical-relative:paragraph;z-index:-15670784;mso-wrap-distance-left:0;mso-wrap-distance-right:0" id="docshape269" coordorigin="1450,73" coordsize="8439,0" path="m1450,73l9889,73e" filled="false" stroked="true" strokeweight=".868pt" strokecolor="#000000">
                <v:path arrowok="t"/>
                <v:stroke dashstyle="solid"/>
                <w10:wrap type="topAndBottom"/>
              </v:shape>
            </w:pict>
          </mc:Fallback>
        </mc:AlternateContent>
      </w:r>
    </w:p>
    <w:p>
      <w:pPr>
        <w:pStyle w:val="BodyText"/>
        <w:spacing w:before="9"/>
        <w:rPr>
          <w:i/>
          <w:sz w:val="4"/>
        </w:rPr>
      </w:pPr>
    </w:p>
    <w:tbl>
      <w:tblPr>
        <w:tblW w:w="0" w:type="auto"/>
        <w:jc w:val="left"/>
        <w:tblInd w:w="1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71"/>
        <w:gridCol w:w="978"/>
        <w:gridCol w:w="808"/>
        <w:gridCol w:w="354"/>
        <w:gridCol w:w="921"/>
        <w:gridCol w:w="524"/>
        <w:gridCol w:w="637"/>
        <w:gridCol w:w="2844"/>
      </w:tblGrid>
      <w:tr>
        <w:trPr>
          <w:trHeight w:val="381" w:hRule="atLeast"/>
        </w:trPr>
        <w:tc>
          <w:tcPr>
            <w:tcW w:w="1371" w:type="dxa"/>
            <w:tcBorders>
              <w:top w:val="nil"/>
              <w:left w:val="nil"/>
              <w:right w:val="single" w:sz="4" w:space="0" w:color="000000"/>
            </w:tcBorders>
          </w:tcPr>
          <w:p>
            <w:pPr>
              <w:pStyle w:val="TableParagraph"/>
              <w:spacing w:before="74"/>
              <w:ind w:left="59"/>
              <w:rPr>
                <w:sz w:val="18"/>
              </w:rPr>
            </w:pPr>
            <w:r>
              <w:rPr>
                <w:sz w:val="18"/>
              </w:rPr>
              <w:t>Feature</w:t>
            </w:r>
            <w:r>
              <w:rPr>
                <w:spacing w:val="-7"/>
                <w:sz w:val="18"/>
              </w:rPr>
              <w:t> </w:t>
            </w:r>
            <w:r>
              <w:rPr>
                <w:spacing w:val="-4"/>
                <w:sz w:val="18"/>
              </w:rPr>
              <w:t>name</w:t>
            </w:r>
          </w:p>
        </w:tc>
        <w:tc>
          <w:tcPr>
            <w:tcW w:w="978" w:type="dxa"/>
            <w:tcBorders>
              <w:top w:val="nil"/>
              <w:left w:val="single" w:sz="4" w:space="0" w:color="000000"/>
              <w:right w:val="single" w:sz="4" w:space="0" w:color="000000"/>
            </w:tcBorders>
          </w:tcPr>
          <w:p>
            <w:pPr>
              <w:pStyle w:val="TableParagraph"/>
              <w:spacing w:before="74"/>
              <w:ind w:left="58"/>
              <w:rPr>
                <w:sz w:val="18"/>
              </w:rPr>
            </w:pPr>
            <w:r>
              <w:rPr>
                <w:spacing w:val="-2"/>
                <w:sz w:val="18"/>
              </w:rPr>
              <w:t>Variable</w:t>
            </w:r>
          </w:p>
        </w:tc>
        <w:tc>
          <w:tcPr>
            <w:tcW w:w="808" w:type="dxa"/>
            <w:tcBorders>
              <w:top w:val="nil"/>
              <w:left w:val="single" w:sz="4" w:space="0" w:color="000000"/>
              <w:right w:val="single" w:sz="4" w:space="0" w:color="000000"/>
            </w:tcBorders>
          </w:tcPr>
          <w:p>
            <w:pPr>
              <w:pStyle w:val="TableParagraph"/>
              <w:spacing w:before="74"/>
              <w:ind w:left="58"/>
              <w:rPr>
                <w:sz w:val="18"/>
              </w:rPr>
            </w:pPr>
            <w:r>
              <w:rPr>
                <w:spacing w:val="-2"/>
                <w:sz w:val="18"/>
              </w:rPr>
              <w:t>Stage</w:t>
            </w:r>
          </w:p>
        </w:tc>
        <w:tc>
          <w:tcPr>
            <w:tcW w:w="354" w:type="dxa"/>
            <w:tcBorders>
              <w:top w:val="nil"/>
              <w:left w:val="single" w:sz="4" w:space="0" w:color="000000"/>
              <w:right w:val="single" w:sz="4" w:space="0" w:color="000000"/>
            </w:tcBorders>
          </w:tcPr>
          <w:p>
            <w:pPr>
              <w:pStyle w:val="TableParagraph"/>
              <w:spacing w:before="74"/>
              <w:ind w:left="58" w:right="-44"/>
              <w:rPr>
                <w:sz w:val="18"/>
              </w:rPr>
            </w:pPr>
            <w:r>
              <w:rPr>
                <w:spacing w:val="-9"/>
                <w:sz w:val="18"/>
              </w:rPr>
              <w:t>Year</w:t>
            </w:r>
          </w:p>
        </w:tc>
        <w:tc>
          <w:tcPr>
            <w:tcW w:w="921" w:type="dxa"/>
            <w:tcBorders>
              <w:top w:val="nil"/>
              <w:left w:val="single" w:sz="4" w:space="0" w:color="000000"/>
              <w:right w:val="single" w:sz="4" w:space="0" w:color="000000"/>
            </w:tcBorders>
          </w:tcPr>
          <w:p>
            <w:pPr>
              <w:pStyle w:val="TableParagraph"/>
              <w:spacing w:before="74"/>
              <w:ind w:left="58"/>
              <w:rPr>
                <w:sz w:val="18"/>
              </w:rPr>
            </w:pPr>
            <w:r>
              <w:rPr>
                <w:spacing w:val="-2"/>
                <w:sz w:val="18"/>
              </w:rPr>
              <w:t>Window</w:t>
            </w:r>
          </w:p>
        </w:tc>
        <w:tc>
          <w:tcPr>
            <w:tcW w:w="524" w:type="dxa"/>
            <w:tcBorders>
              <w:top w:val="nil"/>
              <w:left w:val="single" w:sz="4" w:space="0" w:color="000000"/>
              <w:right w:val="single" w:sz="4" w:space="0" w:color="000000"/>
            </w:tcBorders>
          </w:tcPr>
          <w:p>
            <w:pPr>
              <w:pStyle w:val="TableParagraph"/>
              <w:spacing w:before="74"/>
              <w:ind w:left="58"/>
              <w:rPr>
                <w:sz w:val="18"/>
              </w:rPr>
            </w:pPr>
            <w:r>
              <w:rPr>
                <w:spacing w:val="-4"/>
                <w:sz w:val="18"/>
              </w:rPr>
              <w:t>Unit</w:t>
            </w:r>
          </w:p>
        </w:tc>
        <w:tc>
          <w:tcPr>
            <w:tcW w:w="637" w:type="dxa"/>
            <w:tcBorders>
              <w:top w:val="nil"/>
              <w:left w:val="single" w:sz="4" w:space="0" w:color="000000"/>
              <w:right w:val="single" w:sz="4" w:space="0" w:color="000000"/>
            </w:tcBorders>
          </w:tcPr>
          <w:p>
            <w:pPr>
              <w:pStyle w:val="TableParagraph"/>
              <w:spacing w:before="74"/>
              <w:ind w:left="59"/>
              <w:rPr>
                <w:sz w:val="18"/>
              </w:rPr>
            </w:pPr>
            <w:r>
              <w:rPr>
                <w:spacing w:val="-4"/>
                <w:sz w:val="18"/>
              </w:rPr>
              <w:t>Calc</w:t>
            </w:r>
          </w:p>
        </w:tc>
        <w:tc>
          <w:tcPr>
            <w:tcW w:w="2844" w:type="dxa"/>
            <w:tcBorders>
              <w:top w:val="nil"/>
              <w:left w:val="single" w:sz="4" w:space="0" w:color="000000"/>
              <w:right w:val="nil"/>
            </w:tcBorders>
          </w:tcPr>
          <w:p>
            <w:pPr>
              <w:pStyle w:val="TableParagraph"/>
              <w:spacing w:before="74"/>
              <w:ind w:left="59"/>
              <w:rPr>
                <w:sz w:val="18"/>
              </w:rPr>
            </w:pPr>
            <w:r>
              <w:rPr>
                <w:sz w:val="18"/>
              </w:rPr>
              <w:t>Agronomic</w:t>
            </w:r>
            <w:r>
              <w:rPr>
                <w:spacing w:val="-10"/>
                <w:sz w:val="18"/>
              </w:rPr>
              <w:t> </w:t>
            </w:r>
            <w:r>
              <w:rPr>
                <w:spacing w:val="-2"/>
                <w:sz w:val="18"/>
              </w:rPr>
              <w:t>interpretation</w:t>
            </w:r>
          </w:p>
        </w:tc>
      </w:tr>
    </w:tbl>
    <w:p>
      <w:pPr>
        <w:pStyle w:val="BodyText"/>
        <w:spacing w:before="10"/>
        <w:rPr>
          <w:i/>
          <w:sz w:val="4"/>
        </w:rPr>
      </w:pPr>
    </w:p>
    <w:tbl>
      <w:tblPr>
        <w:tblW w:w="0" w:type="auto"/>
        <w:jc w:val="left"/>
        <w:tblInd w:w="1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71"/>
        <w:gridCol w:w="978"/>
        <w:gridCol w:w="808"/>
        <w:gridCol w:w="354"/>
        <w:gridCol w:w="921"/>
        <w:gridCol w:w="524"/>
        <w:gridCol w:w="637"/>
        <w:gridCol w:w="2844"/>
      </w:tblGrid>
      <w:tr>
        <w:trPr>
          <w:trHeight w:val="7746" w:hRule="atLeast"/>
        </w:trPr>
        <w:tc>
          <w:tcPr>
            <w:tcW w:w="1371" w:type="dxa"/>
            <w:tcBorders>
              <w:top w:val="nil"/>
              <w:left w:val="nil"/>
              <w:right w:val="single" w:sz="4" w:space="0" w:color="000000"/>
            </w:tcBorders>
          </w:tcPr>
          <w:p>
            <w:pPr>
              <w:pStyle w:val="TableParagraph"/>
              <w:spacing w:line="307" w:lineRule="auto" w:before="74"/>
              <w:ind w:left="59"/>
              <w:rPr>
                <w:sz w:val="18"/>
              </w:rPr>
            </w:pPr>
            <w:r>
              <w:rPr>
                <w:spacing w:val="-2"/>
                <w:sz w:val="18"/>
              </w:rPr>
              <w:t>sw.less.15wp_ sm_y1_a10</w:t>
            </w:r>
          </w:p>
          <w:p>
            <w:pPr>
              <w:pStyle w:val="TableParagraph"/>
              <w:spacing w:line="307" w:lineRule="auto" w:before="81"/>
              <w:ind w:left="59"/>
              <w:rPr>
                <w:sz w:val="18"/>
              </w:rPr>
            </w:pPr>
            <w:r>
              <w:rPr>
                <w:spacing w:val="-2"/>
                <w:sz w:val="18"/>
              </w:rPr>
              <w:t>sw.less.15wp_ sm_y1_a20</w:t>
            </w:r>
          </w:p>
          <w:p>
            <w:pPr>
              <w:pStyle w:val="TableParagraph"/>
              <w:spacing w:line="307" w:lineRule="auto" w:before="82"/>
              <w:ind w:left="59"/>
              <w:rPr>
                <w:sz w:val="18"/>
              </w:rPr>
            </w:pPr>
            <w:r>
              <w:rPr>
                <w:spacing w:val="-2"/>
                <w:sz w:val="18"/>
              </w:rPr>
              <w:t>sw.less.15wp_ hv_y1_b20</w:t>
            </w:r>
          </w:p>
          <w:p>
            <w:pPr>
              <w:pStyle w:val="TableParagraph"/>
              <w:spacing w:before="140"/>
              <w:rPr>
                <w:i/>
                <w:sz w:val="18"/>
              </w:rPr>
            </w:pPr>
          </w:p>
          <w:p>
            <w:pPr>
              <w:pStyle w:val="TableParagraph"/>
              <w:spacing w:line="307" w:lineRule="auto" w:before="0"/>
              <w:ind w:left="59"/>
              <w:rPr>
                <w:sz w:val="18"/>
              </w:rPr>
            </w:pPr>
            <w:r>
              <w:rPr>
                <w:spacing w:val="-2"/>
                <w:sz w:val="18"/>
              </w:rPr>
              <w:t>sw.less.15wp_ hv_y1_a20</w:t>
            </w:r>
          </w:p>
          <w:p>
            <w:pPr>
              <w:pStyle w:val="TableParagraph"/>
              <w:spacing w:line="307" w:lineRule="auto" w:before="82"/>
              <w:ind w:left="55" w:firstLine="4"/>
              <w:rPr>
                <w:sz w:val="18"/>
              </w:rPr>
            </w:pPr>
            <w:r>
              <w:rPr>
                <w:spacing w:val="-2"/>
                <w:sz w:val="18"/>
              </w:rPr>
              <w:t>sw.less.15wp_fl_ y0_a10</w:t>
            </w:r>
          </w:p>
          <w:p>
            <w:pPr>
              <w:pStyle w:val="TableParagraph"/>
              <w:spacing w:before="140"/>
              <w:rPr>
                <w:i/>
                <w:sz w:val="18"/>
              </w:rPr>
            </w:pPr>
          </w:p>
          <w:p>
            <w:pPr>
              <w:pStyle w:val="TableParagraph"/>
              <w:spacing w:line="307" w:lineRule="auto" w:before="0"/>
              <w:ind w:left="55" w:firstLine="4"/>
              <w:rPr>
                <w:sz w:val="18"/>
              </w:rPr>
            </w:pPr>
            <w:r>
              <w:rPr>
                <w:spacing w:val="-2"/>
                <w:sz w:val="18"/>
              </w:rPr>
              <w:t>sw.less.15wp_fl_ y0_a20</w:t>
            </w:r>
          </w:p>
          <w:p>
            <w:pPr>
              <w:pStyle w:val="TableParagraph"/>
              <w:spacing w:line="307" w:lineRule="auto" w:before="82"/>
              <w:ind w:left="59"/>
              <w:rPr>
                <w:sz w:val="18"/>
              </w:rPr>
            </w:pPr>
            <w:r>
              <w:rPr>
                <w:spacing w:val="-2"/>
                <w:sz w:val="18"/>
              </w:rPr>
              <w:t>sw.above.09fc_ fl_y1_a10</w:t>
            </w:r>
          </w:p>
          <w:p>
            <w:pPr>
              <w:pStyle w:val="TableParagraph"/>
              <w:spacing w:before="140"/>
              <w:rPr>
                <w:i/>
                <w:sz w:val="18"/>
              </w:rPr>
            </w:pPr>
          </w:p>
          <w:p>
            <w:pPr>
              <w:pStyle w:val="TableParagraph"/>
              <w:spacing w:line="307" w:lineRule="auto" w:before="0"/>
              <w:ind w:left="59"/>
              <w:rPr>
                <w:sz w:val="18"/>
              </w:rPr>
            </w:pPr>
            <w:r>
              <w:rPr>
                <w:spacing w:val="-2"/>
                <w:sz w:val="18"/>
              </w:rPr>
              <w:t>sw.above.09fc_ fl_y1_a20</w:t>
            </w:r>
          </w:p>
          <w:p>
            <w:pPr>
              <w:pStyle w:val="TableParagraph"/>
              <w:spacing w:before="141"/>
              <w:rPr>
                <w:i/>
                <w:sz w:val="18"/>
              </w:rPr>
            </w:pPr>
          </w:p>
          <w:p>
            <w:pPr>
              <w:pStyle w:val="TableParagraph"/>
              <w:spacing w:line="307" w:lineRule="auto" w:before="0"/>
              <w:ind w:left="59"/>
              <w:rPr>
                <w:sz w:val="18"/>
              </w:rPr>
            </w:pPr>
            <w:r>
              <w:rPr>
                <w:spacing w:val="-2"/>
                <w:sz w:val="18"/>
              </w:rPr>
              <w:t>sw.above.09fc_ fl_y0_a10</w:t>
            </w:r>
          </w:p>
          <w:p>
            <w:pPr>
              <w:pStyle w:val="TableParagraph"/>
              <w:spacing w:before="140"/>
              <w:rPr>
                <w:i/>
                <w:sz w:val="18"/>
              </w:rPr>
            </w:pPr>
          </w:p>
          <w:p>
            <w:pPr>
              <w:pStyle w:val="TableParagraph"/>
              <w:spacing w:line="307" w:lineRule="auto" w:before="0"/>
              <w:ind w:left="59"/>
              <w:rPr>
                <w:sz w:val="18"/>
              </w:rPr>
            </w:pPr>
            <w:r>
              <w:rPr>
                <w:spacing w:val="-2"/>
                <w:sz w:val="18"/>
              </w:rPr>
              <w:t>sw.above.09fc_ fl_y0_a20</w:t>
            </w:r>
          </w:p>
        </w:tc>
        <w:tc>
          <w:tcPr>
            <w:tcW w:w="978" w:type="dxa"/>
            <w:tcBorders>
              <w:top w:val="nil"/>
              <w:left w:val="single" w:sz="4" w:space="0" w:color="000000"/>
              <w:right w:val="single" w:sz="4" w:space="0" w:color="000000"/>
            </w:tcBorders>
          </w:tcPr>
          <w:p>
            <w:pPr>
              <w:pStyle w:val="TableParagraph"/>
              <w:spacing w:line="247" w:lineRule="auto" w:before="74"/>
              <w:ind w:left="52" w:right="-101" w:firstLine="5"/>
              <w:rPr>
                <w:sz w:val="18"/>
              </w:rPr>
            </w:pPr>
            <w:r>
              <w:rPr>
                <w:sz w:val="18"/>
              </w:rPr>
              <w:t>Stress</w:t>
            </w:r>
            <w:r>
              <w:rPr>
                <w:spacing w:val="40"/>
                <w:sz w:val="18"/>
              </w:rPr>
              <w:t> </w:t>
            </w:r>
            <w:r>
              <w:rPr>
                <w:sz w:val="18"/>
              </w:rPr>
              <w:t>days </w:t>
            </w:r>
            <w:r>
              <w:rPr>
                <w:spacing w:val="-4"/>
                <w:sz w:val="18"/>
              </w:rPr>
              <w:t>(Sm&lt;1.5</w:t>
            </w:r>
            <w:r>
              <w:rPr>
                <w:rFonts w:ascii="Meiryo UI" w:hAnsi="Meiryo UI"/>
                <w:i/>
                <w:spacing w:val="-4"/>
                <w:sz w:val="18"/>
              </w:rPr>
              <w:t>×</w:t>
            </w:r>
            <w:r>
              <w:rPr>
                <w:spacing w:val="-4"/>
                <w:sz w:val="18"/>
              </w:rPr>
              <w:t>W</w:t>
            </w:r>
          </w:p>
          <w:p>
            <w:pPr>
              <w:pStyle w:val="TableParagraph"/>
              <w:spacing w:line="247" w:lineRule="auto" w:before="92"/>
              <w:ind w:left="52" w:right="-101" w:firstLine="5"/>
              <w:rPr>
                <w:sz w:val="18"/>
              </w:rPr>
            </w:pPr>
            <w:r>
              <w:rPr>
                <w:sz w:val="18"/>
              </w:rPr>
              <w:t>Stress</w:t>
            </w:r>
            <w:r>
              <w:rPr>
                <w:spacing w:val="40"/>
                <w:sz w:val="18"/>
              </w:rPr>
              <w:t> </w:t>
            </w:r>
            <w:r>
              <w:rPr>
                <w:sz w:val="18"/>
              </w:rPr>
              <w:t>days </w:t>
            </w:r>
            <w:r>
              <w:rPr>
                <w:spacing w:val="-4"/>
                <w:sz w:val="18"/>
              </w:rPr>
              <w:t>(Sm&lt;1.5</w:t>
            </w:r>
            <w:r>
              <w:rPr>
                <w:rFonts w:ascii="Meiryo UI" w:hAnsi="Meiryo UI"/>
                <w:i/>
                <w:spacing w:val="-4"/>
                <w:sz w:val="18"/>
              </w:rPr>
              <w:t>×</w:t>
            </w:r>
            <w:r>
              <w:rPr>
                <w:spacing w:val="-4"/>
                <w:sz w:val="18"/>
              </w:rPr>
              <w:t>W</w:t>
            </w:r>
          </w:p>
          <w:p>
            <w:pPr>
              <w:pStyle w:val="TableParagraph"/>
              <w:spacing w:line="247" w:lineRule="auto" w:before="92"/>
              <w:ind w:left="52" w:right="-101" w:firstLine="5"/>
              <w:rPr>
                <w:sz w:val="18"/>
              </w:rPr>
            </w:pPr>
            <w:r>
              <w:rPr>
                <w:sz w:val="18"/>
              </w:rPr>
              <w:t>Stress</w:t>
            </w:r>
            <w:r>
              <w:rPr>
                <w:spacing w:val="40"/>
                <w:sz w:val="18"/>
              </w:rPr>
              <w:t> </w:t>
            </w:r>
            <w:r>
              <w:rPr>
                <w:sz w:val="18"/>
              </w:rPr>
              <w:t>days </w:t>
            </w:r>
            <w:r>
              <w:rPr>
                <w:spacing w:val="-4"/>
                <w:sz w:val="18"/>
              </w:rPr>
              <w:t>(Sm&lt;1.5</w:t>
            </w:r>
            <w:r>
              <w:rPr>
                <w:rFonts w:ascii="Meiryo UI" w:hAnsi="Meiryo UI"/>
                <w:i/>
                <w:spacing w:val="-4"/>
                <w:sz w:val="18"/>
              </w:rPr>
              <w:t>×</w:t>
            </w:r>
            <w:r>
              <w:rPr>
                <w:spacing w:val="-4"/>
                <w:sz w:val="18"/>
              </w:rPr>
              <w:t>Wp</w:t>
            </w:r>
          </w:p>
          <w:p>
            <w:pPr>
              <w:pStyle w:val="TableParagraph"/>
              <w:spacing w:before="151"/>
              <w:rPr>
                <w:i/>
                <w:sz w:val="18"/>
              </w:rPr>
            </w:pPr>
          </w:p>
          <w:p>
            <w:pPr>
              <w:pStyle w:val="TableParagraph"/>
              <w:spacing w:line="247" w:lineRule="auto" w:before="0"/>
              <w:ind w:left="52" w:right="-101" w:firstLine="5"/>
              <w:rPr>
                <w:sz w:val="18"/>
              </w:rPr>
            </w:pPr>
            <w:r>
              <w:rPr>
                <w:sz w:val="18"/>
              </w:rPr>
              <w:t>Stress</w:t>
            </w:r>
            <w:r>
              <w:rPr>
                <w:spacing w:val="40"/>
                <w:sz w:val="18"/>
              </w:rPr>
              <w:t> </w:t>
            </w:r>
            <w:r>
              <w:rPr>
                <w:sz w:val="18"/>
              </w:rPr>
              <w:t>days </w:t>
            </w:r>
            <w:r>
              <w:rPr>
                <w:spacing w:val="-4"/>
                <w:sz w:val="18"/>
              </w:rPr>
              <w:t>(Sm&lt;1.5</w:t>
            </w:r>
            <w:r>
              <w:rPr>
                <w:rFonts w:ascii="Meiryo UI" w:hAnsi="Meiryo UI"/>
                <w:i/>
                <w:spacing w:val="-4"/>
                <w:sz w:val="18"/>
              </w:rPr>
              <w:t>×</w:t>
            </w:r>
            <w:r>
              <w:rPr>
                <w:spacing w:val="-4"/>
                <w:sz w:val="18"/>
              </w:rPr>
              <w:t>Wp</w:t>
            </w:r>
          </w:p>
          <w:p>
            <w:pPr>
              <w:pStyle w:val="TableParagraph"/>
              <w:spacing w:line="247" w:lineRule="auto" w:before="92"/>
              <w:ind w:left="52" w:right="-101" w:firstLine="5"/>
              <w:rPr>
                <w:sz w:val="18"/>
              </w:rPr>
            </w:pPr>
            <w:r>
              <w:rPr>
                <w:sz w:val="18"/>
              </w:rPr>
              <w:t>Stress</w:t>
            </w:r>
            <w:r>
              <w:rPr>
                <w:spacing w:val="40"/>
                <w:sz w:val="18"/>
              </w:rPr>
              <w:t> </w:t>
            </w:r>
            <w:r>
              <w:rPr>
                <w:sz w:val="18"/>
              </w:rPr>
              <w:t>days </w:t>
            </w:r>
            <w:r>
              <w:rPr>
                <w:spacing w:val="-4"/>
                <w:sz w:val="18"/>
              </w:rPr>
              <w:t>(Sm&lt;1.5</w:t>
            </w:r>
            <w:r>
              <w:rPr>
                <w:rFonts w:ascii="Meiryo UI" w:hAnsi="Meiryo UI"/>
                <w:i/>
                <w:spacing w:val="-4"/>
                <w:sz w:val="18"/>
              </w:rPr>
              <w:t>×</w:t>
            </w:r>
            <w:r>
              <w:rPr>
                <w:spacing w:val="-4"/>
                <w:sz w:val="18"/>
              </w:rPr>
              <w:t>Wp</w:t>
            </w:r>
          </w:p>
          <w:p>
            <w:pPr>
              <w:pStyle w:val="TableParagraph"/>
              <w:spacing w:before="151"/>
              <w:rPr>
                <w:i/>
                <w:sz w:val="18"/>
              </w:rPr>
            </w:pPr>
          </w:p>
          <w:p>
            <w:pPr>
              <w:pStyle w:val="TableParagraph"/>
              <w:spacing w:line="247" w:lineRule="auto" w:before="0"/>
              <w:ind w:left="52" w:right="-101" w:firstLine="5"/>
              <w:rPr>
                <w:sz w:val="18"/>
              </w:rPr>
            </w:pPr>
            <w:r>
              <w:rPr>
                <w:sz w:val="18"/>
              </w:rPr>
              <w:t>Stress</w:t>
            </w:r>
            <w:r>
              <w:rPr>
                <w:spacing w:val="40"/>
                <w:sz w:val="18"/>
              </w:rPr>
              <w:t> </w:t>
            </w:r>
            <w:r>
              <w:rPr>
                <w:sz w:val="18"/>
              </w:rPr>
              <w:t>days </w:t>
            </w:r>
            <w:r>
              <w:rPr>
                <w:spacing w:val="-4"/>
                <w:sz w:val="18"/>
              </w:rPr>
              <w:t>(Sm&lt;1.5</w:t>
            </w:r>
            <w:r>
              <w:rPr>
                <w:rFonts w:ascii="Meiryo UI" w:hAnsi="Meiryo UI"/>
                <w:i/>
                <w:spacing w:val="-4"/>
                <w:sz w:val="18"/>
              </w:rPr>
              <w:t>×</w:t>
            </w:r>
            <w:r>
              <w:rPr>
                <w:spacing w:val="-4"/>
                <w:sz w:val="18"/>
              </w:rPr>
              <w:t>Wp</w:t>
            </w:r>
          </w:p>
          <w:p>
            <w:pPr>
              <w:pStyle w:val="TableParagraph"/>
              <w:spacing w:line="266" w:lineRule="exact" w:before="48"/>
              <w:ind w:left="52" w:right="-101" w:firstLine="5"/>
              <w:rPr>
                <w:sz w:val="18"/>
              </w:rPr>
            </w:pPr>
            <w:r>
              <w:rPr>
                <w:spacing w:val="-2"/>
                <w:sz w:val="18"/>
              </w:rPr>
              <w:t>Saturation </w:t>
            </w:r>
            <w:r>
              <w:rPr>
                <w:spacing w:val="-4"/>
                <w:sz w:val="18"/>
              </w:rPr>
              <w:t>days (Sm&gt;0.9</w:t>
            </w:r>
            <w:r>
              <w:rPr>
                <w:rFonts w:ascii="Meiryo UI" w:hAnsi="Meiryo UI"/>
                <w:i/>
                <w:spacing w:val="-4"/>
                <w:sz w:val="18"/>
              </w:rPr>
              <w:t>×</w:t>
            </w:r>
            <w:r>
              <w:rPr>
                <w:spacing w:val="-4"/>
                <w:sz w:val="18"/>
              </w:rPr>
              <w:t>Fc)</w:t>
            </w:r>
          </w:p>
          <w:p>
            <w:pPr>
              <w:pStyle w:val="TableParagraph"/>
              <w:spacing w:line="266" w:lineRule="exact" w:before="79"/>
              <w:ind w:left="52" w:right="-101" w:firstLine="5"/>
              <w:rPr>
                <w:sz w:val="18"/>
              </w:rPr>
            </w:pPr>
            <w:r>
              <w:rPr>
                <w:spacing w:val="-2"/>
                <w:sz w:val="18"/>
              </w:rPr>
              <w:t>Saturation </w:t>
            </w:r>
            <w:r>
              <w:rPr>
                <w:spacing w:val="-4"/>
                <w:sz w:val="18"/>
              </w:rPr>
              <w:t>days (Sm&gt;0.9</w:t>
            </w:r>
            <w:r>
              <w:rPr>
                <w:rFonts w:ascii="Meiryo UI" w:hAnsi="Meiryo UI"/>
                <w:i/>
                <w:spacing w:val="-4"/>
                <w:sz w:val="18"/>
              </w:rPr>
              <w:t>×</w:t>
            </w:r>
            <w:r>
              <w:rPr>
                <w:spacing w:val="-4"/>
                <w:sz w:val="18"/>
              </w:rPr>
              <w:t>Fc)</w:t>
            </w:r>
          </w:p>
          <w:p>
            <w:pPr>
              <w:pStyle w:val="TableParagraph"/>
              <w:spacing w:line="266" w:lineRule="exact" w:before="79"/>
              <w:ind w:left="52" w:right="-101" w:firstLine="5"/>
              <w:rPr>
                <w:sz w:val="18"/>
              </w:rPr>
            </w:pPr>
            <w:r>
              <w:rPr>
                <w:spacing w:val="-2"/>
                <w:sz w:val="18"/>
              </w:rPr>
              <w:t>Saturation </w:t>
            </w:r>
            <w:r>
              <w:rPr>
                <w:spacing w:val="-4"/>
                <w:sz w:val="18"/>
              </w:rPr>
              <w:t>days (Sm&gt;0.9</w:t>
            </w:r>
            <w:r>
              <w:rPr>
                <w:rFonts w:ascii="Meiryo UI" w:hAnsi="Meiryo UI"/>
                <w:i/>
                <w:spacing w:val="-4"/>
                <w:sz w:val="18"/>
              </w:rPr>
              <w:t>×</w:t>
            </w:r>
            <w:r>
              <w:rPr>
                <w:spacing w:val="-4"/>
                <w:sz w:val="18"/>
              </w:rPr>
              <w:t>Fc)</w:t>
            </w:r>
          </w:p>
          <w:p>
            <w:pPr>
              <w:pStyle w:val="TableParagraph"/>
              <w:spacing w:line="266" w:lineRule="exact" w:before="80"/>
              <w:ind w:left="52" w:right="-101" w:firstLine="5"/>
              <w:rPr>
                <w:sz w:val="18"/>
              </w:rPr>
            </w:pPr>
            <w:r>
              <w:rPr>
                <w:spacing w:val="-2"/>
                <w:sz w:val="18"/>
              </w:rPr>
              <w:t>Saturation </w:t>
            </w:r>
            <w:r>
              <w:rPr>
                <w:spacing w:val="-4"/>
                <w:sz w:val="18"/>
              </w:rPr>
              <w:t>days (Sm&gt;0.9</w:t>
            </w:r>
            <w:r>
              <w:rPr>
                <w:rFonts w:ascii="Meiryo UI" w:hAnsi="Meiryo UI"/>
                <w:i/>
                <w:spacing w:val="-4"/>
                <w:sz w:val="18"/>
              </w:rPr>
              <w:t>×</w:t>
            </w:r>
            <w:r>
              <w:rPr>
                <w:spacing w:val="-4"/>
                <w:sz w:val="18"/>
              </w:rPr>
              <w:t>Fc)</w:t>
            </w:r>
          </w:p>
        </w:tc>
        <w:tc>
          <w:tcPr>
            <w:tcW w:w="808" w:type="dxa"/>
            <w:tcBorders>
              <w:top w:val="nil"/>
              <w:left w:val="single" w:sz="4" w:space="0" w:color="000000"/>
              <w:right w:val="single" w:sz="4" w:space="0" w:color="000000"/>
            </w:tcBorders>
          </w:tcPr>
          <w:p>
            <w:pPr>
              <w:pStyle w:val="TableParagraph"/>
              <w:spacing w:line="307" w:lineRule="auto" w:before="74"/>
              <w:ind w:left="-9" w:firstLine="66"/>
              <w:rPr>
                <w:sz w:val="18"/>
              </w:rPr>
            </w:pPr>
            <w:r>
              <w:rPr>
                <w:sz w:val="18"/>
              </w:rPr>
              <w:t>Start</w:t>
            </w:r>
            <w:r>
              <w:rPr>
                <w:spacing w:val="-7"/>
                <w:sz w:val="18"/>
              </w:rPr>
              <w:t> </w:t>
            </w:r>
            <w:r>
              <w:rPr>
                <w:sz w:val="18"/>
              </w:rPr>
              <w:t>Ma-</w:t>
            </w:r>
            <w:r>
              <w:rPr>
                <w:spacing w:val="-2"/>
                <w:sz w:val="18"/>
              </w:rPr>
              <w:t>pt)urity</w:t>
            </w:r>
          </w:p>
          <w:p>
            <w:pPr>
              <w:pStyle w:val="TableParagraph"/>
              <w:spacing w:line="307" w:lineRule="auto" w:before="81"/>
              <w:ind w:left="-9" w:firstLine="66"/>
              <w:rPr>
                <w:sz w:val="18"/>
              </w:rPr>
            </w:pPr>
            <w:r>
              <w:rPr>
                <w:sz w:val="18"/>
              </w:rPr>
              <w:t>Start</w:t>
            </w:r>
            <w:r>
              <w:rPr>
                <w:spacing w:val="-7"/>
                <w:sz w:val="18"/>
              </w:rPr>
              <w:t> </w:t>
            </w:r>
            <w:r>
              <w:rPr>
                <w:sz w:val="18"/>
              </w:rPr>
              <w:t>Ma-</w:t>
            </w:r>
            <w:r>
              <w:rPr>
                <w:spacing w:val="-2"/>
                <w:sz w:val="18"/>
              </w:rPr>
              <w:t>pt)urity</w:t>
            </w:r>
          </w:p>
          <w:p>
            <w:pPr>
              <w:pStyle w:val="TableParagraph"/>
              <w:spacing w:before="82"/>
              <w:ind w:left="58"/>
              <w:rPr>
                <w:sz w:val="18"/>
              </w:rPr>
            </w:pPr>
            <w:r>
              <w:rPr>
                <w:spacing w:val="-2"/>
                <w:sz w:val="18"/>
              </w:rPr>
              <w:t>Harvest</w:t>
            </w:r>
          </w:p>
          <w:p>
            <w:pPr>
              <w:pStyle w:val="TableParagraph"/>
              <w:spacing w:before="59"/>
              <w:ind w:left="79"/>
              <w:rPr>
                <w:sz w:val="18"/>
              </w:rPr>
            </w:pPr>
            <w:r>
              <w:rPr>
                <w:spacing w:val="-10"/>
                <w:sz w:val="18"/>
              </w:rPr>
              <w:t>)</w:t>
            </w:r>
          </w:p>
          <w:p>
            <w:pPr>
              <w:pStyle w:val="TableParagraph"/>
              <w:spacing w:before="197"/>
              <w:rPr>
                <w:i/>
                <w:sz w:val="18"/>
              </w:rPr>
            </w:pPr>
          </w:p>
          <w:p>
            <w:pPr>
              <w:pStyle w:val="TableParagraph"/>
              <w:spacing w:before="0"/>
              <w:ind w:left="58"/>
              <w:rPr>
                <w:sz w:val="18"/>
              </w:rPr>
            </w:pPr>
            <w:r>
              <w:rPr>
                <w:spacing w:val="-2"/>
                <w:sz w:val="18"/>
              </w:rPr>
              <w:t>Harvest</w:t>
            </w:r>
          </w:p>
          <w:p>
            <w:pPr>
              <w:pStyle w:val="TableParagraph"/>
              <w:spacing w:before="59"/>
              <w:ind w:left="79"/>
              <w:rPr>
                <w:sz w:val="18"/>
              </w:rPr>
            </w:pPr>
            <w:r>
              <w:rPr>
                <w:spacing w:val="-10"/>
                <w:sz w:val="18"/>
              </w:rPr>
              <w:t>)</w:t>
            </w:r>
          </w:p>
          <w:p>
            <w:pPr>
              <w:pStyle w:val="TableParagraph"/>
              <w:spacing w:before="139"/>
              <w:ind w:left="58"/>
              <w:rPr>
                <w:sz w:val="18"/>
              </w:rPr>
            </w:pPr>
            <w:r>
              <w:rPr>
                <w:spacing w:val="-2"/>
                <w:sz w:val="18"/>
              </w:rPr>
              <w:t>Flowering</w:t>
            </w:r>
          </w:p>
          <w:p>
            <w:pPr>
              <w:pStyle w:val="TableParagraph"/>
              <w:spacing w:before="59"/>
              <w:ind w:left="79"/>
              <w:rPr>
                <w:sz w:val="18"/>
              </w:rPr>
            </w:pPr>
            <w:r>
              <w:rPr>
                <w:spacing w:val="-10"/>
                <w:sz w:val="18"/>
              </w:rPr>
              <w:t>)</w:t>
            </w:r>
          </w:p>
          <w:p>
            <w:pPr>
              <w:pStyle w:val="TableParagraph"/>
              <w:spacing w:before="197"/>
              <w:rPr>
                <w:i/>
                <w:sz w:val="18"/>
              </w:rPr>
            </w:pPr>
          </w:p>
          <w:p>
            <w:pPr>
              <w:pStyle w:val="TableParagraph"/>
              <w:spacing w:before="0"/>
              <w:ind w:left="58"/>
              <w:rPr>
                <w:sz w:val="18"/>
              </w:rPr>
            </w:pPr>
            <w:r>
              <w:rPr>
                <w:spacing w:val="-2"/>
                <w:sz w:val="18"/>
              </w:rPr>
              <w:t>Flowering</w:t>
            </w:r>
          </w:p>
          <w:p>
            <w:pPr>
              <w:pStyle w:val="TableParagraph"/>
              <w:spacing w:before="59"/>
              <w:ind w:left="79"/>
              <w:rPr>
                <w:sz w:val="18"/>
              </w:rPr>
            </w:pPr>
            <w:r>
              <w:rPr>
                <w:spacing w:val="-10"/>
                <w:sz w:val="18"/>
              </w:rPr>
              <w:t>)</w:t>
            </w:r>
          </w:p>
          <w:p>
            <w:pPr>
              <w:pStyle w:val="TableParagraph"/>
              <w:spacing w:before="139"/>
              <w:ind w:left="58"/>
              <w:rPr>
                <w:sz w:val="18"/>
              </w:rPr>
            </w:pPr>
            <w:r>
              <w:rPr>
                <w:spacing w:val="-2"/>
                <w:sz w:val="18"/>
              </w:rPr>
              <w:t>Flowering</w:t>
            </w:r>
          </w:p>
          <w:p>
            <w:pPr>
              <w:pStyle w:val="TableParagraph"/>
              <w:spacing w:before="0"/>
              <w:rPr>
                <w:i/>
                <w:sz w:val="18"/>
              </w:rPr>
            </w:pPr>
          </w:p>
          <w:p>
            <w:pPr>
              <w:pStyle w:val="TableParagraph"/>
              <w:spacing w:before="0"/>
              <w:rPr>
                <w:i/>
                <w:sz w:val="18"/>
              </w:rPr>
            </w:pPr>
          </w:p>
          <w:p>
            <w:pPr>
              <w:pStyle w:val="TableParagraph"/>
              <w:spacing w:before="49"/>
              <w:rPr>
                <w:i/>
                <w:sz w:val="18"/>
              </w:rPr>
            </w:pPr>
          </w:p>
          <w:p>
            <w:pPr>
              <w:pStyle w:val="TableParagraph"/>
              <w:spacing w:before="0"/>
              <w:ind w:left="58"/>
              <w:rPr>
                <w:sz w:val="18"/>
              </w:rPr>
            </w:pPr>
            <w:r>
              <w:rPr>
                <w:spacing w:val="-2"/>
                <w:sz w:val="18"/>
              </w:rPr>
              <w:t>Flowering</w:t>
            </w:r>
          </w:p>
          <w:p>
            <w:pPr>
              <w:pStyle w:val="TableParagraph"/>
              <w:spacing w:before="0"/>
              <w:rPr>
                <w:i/>
                <w:sz w:val="18"/>
              </w:rPr>
            </w:pPr>
          </w:p>
          <w:p>
            <w:pPr>
              <w:pStyle w:val="TableParagraph"/>
              <w:spacing w:before="0"/>
              <w:rPr>
                <w:i/>
                <w:sz w:val="18"/>
              </w:rPr>
            </w:pPr>
          </w:p>
          <w:p>
            <w:pPr>
              <w:pStyle w:val="TableParagraph"/>
              <w:spacing w:before="49"/>
              <w:rPr>
                <w:i/>
                <w:sz w:val="18"/>
              </w:rPr>
            </w:pPr>
          </w:p>
          <w:p>
            <w:pPr>
              <w:pStyle w:val="TableParagraph"/>
              <w:spacing w:before="0"/>
              <w:ind w:left="58"/>
              <w:rPr>
                <w:sz w:val="18"/>
              </w:rPr>
            </w:pPr>
            <w:r>
              <w:rPr>
                <w:spacing w:val="-2"/>
                <w:sz w:val="18"/>
              </w:rPr>
              <w:t>Flowering</w:t>
            </w:r>
          </w:p>
          <w:p>
            <w:pPr>
              <w:pStyle w:val="TableParagraph"/>
              <w:spacing w:before="0"/>
              <w:rPr>
                <w:i/>
                <w:sz w:val="18"/>
              </w:rPr>
            </w:pPr>
          </w:p>
          <w:p>
            <w:pPr>
              <w:pStyle w:val="TableParagraph"/>
              <w:spacing w:before="0"/>
              <w:rPr>
                <w:i/>
                <w:sz w:val="18"/>
              </w:rPr>
            </w:pPr>
          </w:p>
          <w:p>
            <w:pPr>
              <w:pStyle w:val="TableParagraph"/>
              <w:spacing w:before="50"/>
              <w:rPr>
                <w:i/>
                <w:sz w:val="18"/>
              </w:rPr>
            </w:pPr>
          </w:p>
          <w:p>
            <w:pPr>
              <w:pStyle w:val="TableParagraph"/>
              <w:spacing w:before="0"/>
              <w:ind w:left="58"/>
              <w:rPr>
                <w:sz w:val="18"/>
              </w:rPr>
            </w:pPr>
            <w:r>
              <w:rPr>
                <w:spacing w:val="-2"/>
                <w:sz w:val="18"/>
              </w:rPr>
              <w:t>Flowering</w:t>
            </w:r>
          </w:p>
        </w:tc>
        <w:tc>
          <w:tcPr>
            <w:tcW w:w="354" w:type="dxa"/>
            <w:tcBorders>
              <w:top w:val="nil"/>
              <w:left w:val="single" w:sz="4" w:space="0" w:color="000000"/>
              <w:right w:val="single" w:sz="4" w:space="0" w:color="000000"/>
            </w:tcBorders>
          </w:tcPr>
          <w:p>
            <w:pPr>
              <w:pStyle w:val="TableParagraph"/>
              <w:spacing w:line="708" w:lineRule="auto" w:before="74"/>
              <w:ind w:left="58" w:right="104"/>
              <w:jc w:val="both"/>
              <w:rPr>
                <w:sz w:val="18"/>
              </w:rPr>
            </w:pPr>
            <w:r>
              <w:rPr>
                <w:spacing w:val="-6"/>
                <w:sz w:val="18"/>
              </w:rPr>
              <w:t>y1</w:t>
            </w:r>
            <w:r>
              <w:rPr>
                <w:sz w:val="18"/>
              </w:rPr>
              <w:t> </w:t>
            </w:r>
            <w:r>
              <w:rPr>
                <w:spacing w:val="-6"/>
                <w:sz w:val="18"/>
              </w:rPr>
              <w:t>y1</w:t>
            </w:r>
            <w:r>
              <w:rPr>
                <w:sz w:val="18"/>
              </w:rPr>
              <w:t> </w:t>
            </w:r>
            <w:r>
              <w:rPr>
                <w:spacing w:val="-5"/>
                <w:sz w:val="18"/>
              </w:rPr>
              <w:t>y1</w:t>
            </w:r>
          </w:p>
          <w:p>
            <w:pPr>
              <w:pStyle w:val="TableParagraph"/>
              <w:spacing w:before="61"/>
              <w:rPr>
                <w:i/>
                <w:sz w:val="18"/>
              </w:rPr>
            </w:pPr>
          </w:p>
          <w:p>
            <w:pPr>
              <w:pStyle w:val="TableParagraph"/>
              <w:spacing w:line="708" w:lineRule="auto" w:before="0"/>
              <w:ind w:left="58" w:right="96"/>
              <w:rPr>
                <w:sz w:val="18"/>
              </w:rPr>
            </w:pPr>
            <w:r>
              <w:rPr>
                <w:spacing w:val="-6"/>
                <w:sz w:val="18"/>
              </w:rPr>
              <w:t>y1</w:t>
            </w:r>
            <w:r>
              <w:rPr>
                <w:sz w:val="18"/>
              </w:rPr>
              <w:t> </w:t>
            </w:r>
            <w:r>
              <w:rPr>
                <w:spacing w:val="-5"/>
                <w:sz w:val="18"/>
              </w:rPr>
              <w:t>y0</w:t>
            </w:r>
          </w:p>
          <w:p>
            <w:pPr>
              <w:pStyle w:val="TableParagraph"/>
              <w:spacing w:before="61"/>
              <w:rPr>
                <w:i/>
                <w:sz w:val="18"/>
              </w:rPr>
            </w:pPr>
          </w:p>
          <w:p>
            <w:pPr>
              <w:pStyle w:val="TableParagraph"/>
              <w:spacing w:line="708" w:lineRule="auto" w:before="0"/>
              <w:ind w:left="58" w:right="96"/>
              <w:rPr>
                <w:sz w:val="18"/>
              </w:rPr>
            </w:pPr>
            <w:r>
              <w:rPr>
                <w:spacing w:val="-6"/>
                <w:sz w:val="18"/>
              </w:rPr>
              <w:t>y0</w:t>
            </w:r>
            <w:r>
              <w:rPr>
                <w:sz w:val="18"/>
              </w:rPr>
              <w:t> </w:t>
            </w:r>
            <w:r>
              <w:rPr>
                <w:spacing w:val="-5"/>
                <w:sz w:val="18"/>
              </w:rPr>
              <w:t>y1</w:t>
            </w:r>
          </w:p>
          <w:p>
            <w:pPr>
              <w:pStyle w:val="TableParagraph"/>
              <w:spacing w:before="60"/>
              <w:rPr>
                <w:i/>
                <w:sz w:val="18"/>
              </w:rPr>
            </w:pPr>
          </w:p>
          <w:p>
            <w:pPr>
              <w:pStyle w:val="TableParagraph"/>
              <w:spacing w:before="0"/>
              <w:ind w:left="58"/>
              <w:rPr>
                <w:sz w:val="18"/>
              </w:rPr>
            </w:pPr>
            <w:r>
              <w:rPr>
                <w:spacing w:val="-5"/>
                <w:sz w:val="18"/>
              </w:rPr>
              <w:t>y1</w:t>
            </w:r>
          </w:p>
          <w:p>
            <w:pPr>
              <w:pStyle w:val="TableParagraph"/>
              <w:spacing w:before="0"/>
              <w:rPr>
                <w:i/>
                <w:sz w:val="18"/>
              </w:rPr>
            </w:pPr>
          </w:p>
          <w:p>
            <w:pPr>
              <w:pStyle w:val="TableParagraph"/>
              <w:spacing w:before="0"/>
              <w:rPr>
                <w:i/>
                <w:sz w:val="18"/>
              </w:rPr>
            </w:pPr>
          </w:p>
          <w:p>
            <w:pPr>
              <w:pStyle w:val="TableParagraph"/>
              <w:spacing w:before="50"/>
              <w:rPr>
                <w:i/>
                <w:sz w:val="18"/>
              </w:rPr>
            </w:pPr>
          </w:p>
          <w:p>
            <w:pPr>
              <w:pStyle w:val="TableParagraph"/>
              <w:spacing w:before="0"/>
              <w:ind w:left="58"/>
              <w:rPr>
                <w:sz w:val="18"/>
              </w:rPr>
            </w:pPr>
            <w:r>
              <w:rPr>
                <w:spacing w:val="-5"/>
                <w:sz w:val="18"/>
              </w:rPr>
              <w:t>y0</w:t>
            </w:r>
          </w:p>
          <w:p>
            <w:pPr>
              <w:pStyle w:val="TableParagraph"/>
              <w:spacing w:before="0"/>
              <w:rPr>
                <w:i/>
                <w:sz w:val="18"/>
              </w:rPr>
            </w:pPr>
          </w:p>
          <w:p>
            <w:pPr>
              <w:pStyle w:val="TableParagraph"/>
              <w:spacing w:before="0"/>
              <w:rPr>
                <w:i/>
                <w:sz w:val="18"/>
              </w:rPr>
            </w:pPr>
          </w:p>
          <w:p>
            <w:pPr>
              <w:pStyle w:val="TableParagraph"/>
              <w:spacing w:before="49"/>
              <w:rPr>
                <w:i/>
                <w:sz w:val="18"/>
              </w:rPr>
            </w:pPr>
          </w:p>
          <w:p>
            <w:pPr>
              <w:pStyle w:val="TableParagraph"/>
              <w:spacing w:before="0"/>
              <w:ind w:left="58"/>
              <w:rPr>
                <w:sz w:val="18"/>
              </w:rPr>
            </w:pPr>
            <w:r>
              <w:rPr>
                <w:spacing w:val="-5"/>
                <w:sz w:val="18"/>
              </w:rPr>
              <w:t>y0</w:t>
            </w:r>
          </w:p>
        </w:tc>
        <w:tc>
          <w:tcPr>
            <w:tcW w:w="921" w:type="dxa"/>
            <w:tcBorders>
              <w:top w:val="nil"/>
              <w:left w:val="single" w:sz="4" w:space="0" w:color="000000"/>
              <w:right w:val="single" w:sz="4" w:space="0" w:color="000000"/>
            </w:tcBorders>
          </w:tcPr>
          <w:p>
            <w:pPr>
              <w:pStyle w:val="TableParagraph"/>
              <w:spacing w:line="708" w:lineRule="auto" w:before="74"/>
              <w:ind w:left="58" w:right="70"/>
              <w:rPr>
                <w:sz w:val="18"/>
              </w:rPr>
            </w:pPr>
            <w:r>
              <w:rPr>
                <w:sz w:val="18"/>
              </w:rPr>
              <w:t>10d after 20d after 20d</w:t>
            </w:r>
            <w:r>
              <w:rPr>
                <w:spacing w:val="-12"/>
                <w:sz w:val="18"/>
              </w:rPr>
              <w:t> </w:t>
            </w:r>
            <w:r>
              <w:rPr>
                <w:sz w:val="18"/>
              </w:rPr>
              <w:t>before</w:t>
            </w:r>
          </w:p>
          <w:p>
            <w:pPr>
              <w:pStyle w:val="TableParagraph"/>
              <w:spacing w:before="61"/>
              <w:rPr>
                <w:i/>
                <w:sz w:val="18"/>
              </w:rPr>
            </w:pPr>
          </w:p>
          <w:p>
            <w:pPr>
              <w:pStyle w:val="TableParagraph"/>
              <w:spacing w:before="0"/>
              <w:ind w:left="58"/>
              <w:rPr>
                <w:sz w:val="18"/>
              </w:rPr>
            </w:pPr>
            <w:r>
              <w:rPr>
                <w:sz w:val="18"/>
              </w:rPr>
              <w:t>20d</w:t>
            </w:r>
            <w:r>
              <w:rPr>
                <w:spacing w:val="-4"/>
                <w:sz w:val="18"/>
              </w:rPr>
              <w:t> after</w:t>
            </w:r>
          </w:p>
          <w:p>
            <w:pPr>
              <w:pStyle w:val="TableParagraph"/>
              <w:spacing w:before="197"/>
              <w:rPr>
                <w:i/>
                <w:sz w:val="18"/>
              </w:rPr>
            </w:pPr>
          </w:p>
          <w:p>
            <w:pPr>
              <w:pStyle w:val="TableParagraph"/>
              <w:spacing w:line="307" w:lineRule="auto" w:before="1"/>
              <w:ind w:left="58"/>
              <w:rPr>
                <w:sz w:val="18"/>
              </w:rPr>
            </w:pPr>
            <w:r>
              <w:rPr>
                <w:sz w:val="18"/>
              </w:rPr>
              <w:t>10d</w:t>
            </w:r>
            <w:r>
              <w:rPr>
                <w:spacing w:val="80"/>
                <w:sz w:val="18"/>
              </w:rPr>
              <w:t> </w:t>
            </w:r>
            <w:r>
              <w:rPr>
                <w:sz w:val="18"/>
              </w:rPr>
              <w:t>after prev. yr</w:t>
            </w:r>
          </w:p>
          <w:p>
            <w:pPr>
              <w:pStyle w:val="TableParagraph"/>
              <w:spacing w:before="140"/>
              <w:rPr>
                <w:i/>
                <w:sz w:val="18"/>
              </w:rPr>
            </w:pPr>
          </w:p>
          <w:p>
            <w:pPr>
              <w:pStyle w:val="TableParagraph"/>
              <w:spacing w:line="307" w:lineRule="auto" w:before="0"/>
              <w:ind w:left="58"/>
              <w:rPr>
                <w:sz w:val="18"/>
              </w:rPr>
            </w:pPr>
            <w:r>
              <w:rPr>
                <w:sz w:val="18"/>
              </w:rPr>
              <w:t>20d</w:t>
            </w:r>
            <w:r>
              <w:rPr>
                <w:spacing w:val="80"/>
                <w:sz w:val="18"/>
              </w:rPr>
              <w:t> </w:t>
            </w:r>
            <w:r>
              <w:rPr>
                <w:sz w:val="18"/>
              </w:rPr>
              <w:t>after prev. yr</w:t>
            </w:r>
          </w:p>
          <w:p>
            <w:pPr>
              <w:pStyle w:val="TableParagraph"/>
              <w:spacing w:before="82"/>
              <w:ind w:left="58"/>
              <w:rPr>
                <w:sz w:val="18"/>
              </w:rPr>
            </w:pPr>
            <w:r>
              <w:rPr>
                <w:sz w:val="18"/>
              </w:rPr>
              <w:t>10d</w:t>
            </w:r>
            <w:r>
              <w:rPr>
                <w:spacing w:val="-4"/>
                <w:sz w:val="18"/>
              </w:rPr>
              <w:t> after</w:t>
            </w:r>
          </w:p>
          <w:p>
            <w:pPr>
              <w:pStyle w:val="TableParagraph"/>
              <w:spacing w:before="0"/>
              <w:rPr>
                <w:i/>
                <w:sz w:val="18"/>
              </w:rPr>
            </w:pPr>
          </w:p>
          <w:p>
            <w:pPr>
              <w:pStyle w:val="TableParagraph"/>
              <w:spacing w:before="0"/>
              <w:rPr>
                <w:i/>
                <w:sz w:val="18"/>
              </w:rPr>
            </w:pPr>
          </w:p>
          <w:p>
            <w:pPr>
              <w:pStyle w:val="TableParagraph"/>
              <w:spacing w:before="49"/>
              <w:rPr>
                <w:i/>
                <w:sz w:val="18"/>
              </w:rPr>
            </w:pPr>
          </w:p>
          <w:p>
            <w:pPr>
              <w:pStyle w:val="TableParagraph"/>
              <w:spacing w:before="0"/>
              <w:ind w:left="58"/>
              <w:rPr>
                <w:sz w:val="18"/>
              </w:rPr>
            </w:pPr>
            <w:r>
              <w:rPr>
                <w:sz w:val="18"/>
              </w:rPr>
              <w:t>20d</w:t>
            </w:r>
            <w:r>
              <w:rPr>
                <w:spacing w:val="-4"/>
                <w:sz w:val="18"/>
              </w:rPr>
              <w:t> after</w:t>
            </w:r>
          </w:p>
          <w:p>
            <w:pPr>
              <w:pStyle w:val="TableParagraph"/>
              <w:spacing w:before="0"/>
              <w:rPr>
                <w:i/>
                <w:sz w:val="18"/>
              </w:rPr>
            </w:pPr>
          </w:p>
          <w:p>
            <w:pPr>
              <w:pStyle w:val="TableParagraph"/>
              <w:spacing w:before="0"/>
              <w:rPr>
                <w:i/>
                <w:sz w:val="18"/>
              </w:rPr>
            </w:pPr>
          </w:p>
          <w:p>
            <w:pPr>
              <w:pStyle w:val="TableParagraph"/>
              <w:spacing w:before="49"/>
              <w:rPr>
                <w:i/>
                <w:sz w:val="18"/>
              </w:rPr>
            </w:pPr>
          </w:p>
          <w:p>
            <w:pPr>
              <w:pStyle w:val="TableParagraph"/>
              <w:spacing w:line="307" w:lineRule="auto" w:before="1"/>
              <w:ind w:left="58"/>
              <w:rPr>
                <w:sz w:val="18"/>
              </w:rPr>
            </w:pPr>
            <w:r>
              <w:rPr>
                <w:sz w:val="18"/>
              </w:rPr>
              <w:t>10d</w:t>
            </w:r>
            <w:r>
              <w:rPr>
                <w:spacing w:val="80"/>
                <w:sz w:val="18"/>
              </w:rPr>
              <w:t> </w:t>
            </w:r>
            <w:r>
              <w:rPr>
                <w:sz w:val="18"/>
              </w:rPr>
              <w:t>after prev. yr</w:t>
            </w:r>
          </w:p>
          <w:p>
            <w:pPr>
              <w:pStyle w:val="TableParagraph"/>
              <w:spacing w:before="140"/>
              <w:rPr>
                <w:i/>
                <w:sz w:val="18"/>
              </w:rPr>
            </w:pPr>
          </w:p>
          <w:p>
            <w:pPr>
              <w:pStyle w:val="TableParagraph"/>
              <w:spacing w:line="307" w:lineRule="auto" w:before="0"/>
              <w:ind w:left="58"/>
              <w:rPr>
                <w:sz w:val="18"/>
              </w:rPr>
            </w:pPr>
            <w:r>
              <w:rPr>
                <w:sz w:val="18"/>
              </w:rPr>
              <w:t>20d</w:t>
            </w:r>
            <w:r>
              <w:rPr>
                <w:spacing w:val="80"/>
                <w:sz w:val="18"/>
              </w:rPr>
              <w:t> </w:t>
            </w:r>
            <w:r>
              <w:rPr>
                <w:sz w:val="18"/>
              </w:rPr>
              <w:t>after prev. yr</w:t>
            </w:r>
          </w:p>
        </w:tc>
        <w:tc>
          <w:tcPr>
            <w:tcW w:w="524" w:type="dxa"/>
            <w:tcBorders>
              <w:top w:val="nil"/>
              <w:left w:val="single" w:sz="4" w:space="0" w:color="000000"/>
              <w:right w:val="single" w:sz="4" w:space="0" w:color="000000"/>
            </w:tcBorders>
          </w:tcPr>
          <w:p>
            <w:pPr>
              <w:pStyle w:val="TableParagraph"/>
              <w:spacing w:line="708" w:lineRule="auto" w:before="74"/>
              <w:ind w:left="58" w:right="124"/>
              <w:jc w:val="both"/>
              <w:rPr>
                <w:sz w:val="18"/>
              </w:rPr>
            </w:pPr>
            <w:r>
              <w:rPr>
                <w:spacing w:val="-4"/>
                <w:sz w:val="18"/>
              </w:rPr>
              <w:t>days days days</w:t>
            </w:r>
          </w:p>
          <w:p>
            <w:pPr>
              <w:pStyle w:val="TableParagraph"/>
              <w:spacing w:before="61"/>
              <w:rPr>
                <w:i/>
                <w:sz w:val="18"/>
              </w:rPr>
            </w:pPr>
          </w:p>
          <w:p>
            <w:pPr>
              <w:pStyle w:val="TableParagraph"/>
              <w:spacing w:line="708" w:lineRule="auto" w:before="0"/>
              <w:ind w:left="58" w:right="122"/>
              <w:rPr>
                <w:sz w:val="18"/>
              </w:rPr>
            </w:pPr>
            <w:r>
              <w:rPr>
                <w:spacing w:val="-4"/>
                <w:sz w:val="18"/>
              </w:rPr>
              <w:t>days days</w:t>
            </w:r>
          </w:p>
          <w:p>
            <w:pPr>
              <w:pStyle w:val="TableParagraph"/>
              <w:spacing w:before="61"/>
              <w:rPr>
                <w:i/>
                <w:sz w:val="18"/>
              </w:rPr>
            </w:pPr>
          </w:p>
          <w:p>
            <w:pPr>
              <w:pStyle w:val="TableParagraph"/>
              <w:spacing w:line="708" w:lineRule="auto" w:before="0"/>
              <w:ind w:left="58" w:right="122"/>
              <w:rPr>
                <w:sz w:val="18"/>
              </w:rPr>
            </w:pPr>
            <w:r>
              <w:rPr>
                <w:spacing w:val="-4"/>
                <w:sz w:val="18"/>
              </w:rPr>
              <w:t>days days</w:t>
            </w:r>
          </w:p>
          <w:p>
            <w:pPr>
              <w:pStyle w:val="TableParagraph"/>
              <w:spacing w:before="60"/>
              <w:rPr>
                <w:i/>
                <w:sz w:val="18"/>
              </w:rPr>
            </w:pPr>
          </w:p>
          <w:p>
            <w:pPr>
              <w:pStyle w:val="TableParagraph"/>
              <w:spacing w:before="0"/>
              <w:ind w:left="58"/>
              <w:rPr>
                <w:sz w:val="18"/>
              </w:rPr>
            </w:pPr>
            <w:r>
              <w:rPr>
                <w:spacing w:val="-4"/>
                <w:sz w:val="18"/>
              </w:rPr>
              <w:t>days</w:t>
            </w:r>
          </w:p>
          <w:p>
            <w:pPr>
              <w:pStyle w:val="TableParagraph"/>
              <w:spacing w:before="0"/>
              <w:rPr>
                <w:i/>
                <w:sz w:val="18"/>
              </w:rPr>
            </w:pPr>
          </w:p>
          <w:p>
            <w:pPr>
              <w:pStyle w:val="TableParagraph"/>
              <w:spacing w:before="0"/>
              <w:rPr>
                <w:i/>
                <w:sz w:val="18"/>
              </w:rPr>
            </w:pPr>
          </w:p>
          <w:p>
            <w:pPr>
              <w:pStyle w:val="TableParagraph"/>
              <w:spacing w:before="50"/>
              <w:rPr>
                <w:i/>
                <w:sz w:val="18"/>
              </w:rPr>
            </w:pPr>
          </w:p>
          <w:p>
            <w:pPr>
              <w:pStyle w:val="TableParagraph"/>
              <w:spacing w:before="0"/>
              <w:ind w:left="58"/>
              <w:rPr>
                <w:sz w:val="18"/>
              </w:rPr>
            </w:pPr>
            <w:r>
              <w:rPr>
                <w:spacing w:val="-4"/>
                <w:sz w:val="18"/>
              </w:rPr>
              <w:t>days</w:t>
            </w:r>
          </w:p>
          <w:p>
            <w:pPr>
              <w:pStyle w:val="TableParagraph"/>
              <w:spacing w:before="0"/>
              <w:rPr>
                <w:i/>
                <w:sz w:val="18"/>
              </w:rPr>
            </w:pPr>
          </w:p>
          <w:p>
            <w:pPr>
              <w:pStyle w:val="TableParagraph"/>
              <w:spacing w:before="0"/>
              <w:rPr>
                <w:i/>
                <w:sz w:val="18"/>
              </w:rPr>
            </w:pPr>
          </w:p>
          <w:p>
            <w:pPr>
              <w:pStyle w:val="TableParagraph"/>
              <w:spacing w:before="49"/>
              <w:rPr>
                <w:i/>
                <w:sz w:val="18"/>
              </w:rPr>
            </w:pPr>
          </w:p>
          <w:p>
            <w:pPr>
              <w:pStyle w:val="TableParagraph"/>
              <w:spacing w:before="0"/>
              <w:ind w:left="58"/>
              <w:rPr>
                <w:sz w:val="18"/>
              </w:rPr>
            </w:pPr>
            <w:r>
              <w:rPr>
                <w:spacing w:val="-4"/>
                <w:sz w:val="18"/>
              </w:rPr>
              <w:t>days</w:t>
            </w:r>
          </w:p>
        </w:tc>
        <w:tc>
          <w:tcPr>
            <w:tcW w:w="637" w:type="dxa"/>
            <w:tcBorders>
              <w:top w:val="nil"/>
              <w:left w:val="single" w:sz="4" w:space="0" w:color="000000"/>
              <w:right w:val="single" w:sz="4" w:space="0" w:color="000000"/>
            </w:tcBorders>
          </w:tcPr>
          <w:p>
            <w:pPr>
              <w:pStyle w:val="TableParagraph"/>
              <w:spacing w:line="708" w:lineRule="auto" w:before="74"/>
              <w:ind w:left="59" w:right="127"/>
              <w:jc w:val="both"/>
              <w:rPr>
                <w:sz w:val="18"/>
              </w:rPr>
            </w:pPr>
            <w:r>
              <w:rPr>
                <w:spacing w:val="-2"/>
                <w:sz w:val="18"/>
              </w:rPr>
              <w:t>Count Count Count</w:t>
            </w:r>
          </w:p>
          <w:p>
            <w:pPr>
              <w:pStyle w:val="TableParagraph"/>
              <w:spacing w:before="61"/>
              <w:rPr>
                <w:i/>
                <w:sz w:val="18"/>
              </w:rPr>
            </w:pPr>
          </w:p>
          <w:p>
            <w:pPr>
              <w:pStyle w:val="TableParagraph"/>
              <w:spacing w:line="708" w:lineRule="auto" w:before="0"/>
              <w:ind w:left="59" w:right="117"/>
              <w:rPr>
                <w:sz w:val="18"/>
              </w:rPr>
            </w:pPr>
            <w:r>
              <w:rPr>
                <w:spacing w:val="-2"/>
                <w:sz w:val="18"/>
              </w:rPr>
              <w:t>Count Count</w:t>
            </w:r>
          </w:p>
          <w:p>
            <w:pPr>
              <w:pStyle w:val="TableParagraph"/>
              <w:spacing w:before="61"/>
              <w:rPr>
                <w:i/>
                <w:sz w:val="18"/>
              </w:rPr>
            </w:pPr>
          </w:p>
          <w:p>
            <w:pPr>
              <w:pStyle w:val="TableParagraph"/>
              <w:spacing w:line="708" w:lineRule="auto" w:before="0"/>
              <w:ind w:left="59" w:right="117"/>
              <w:rPr>
                <w:sz w:val="18"/>
              </w:rPr>
            </w:pPr>
            <w:r>
              <w:rPr>
                <w:spacing w:val="-2"/>
                <w:sz w:val="18"/>
              </w:rPr>
              <w:t>Count Count</w:t>
            </w:r>
          </w:p>
          <w:p>
            <w:pPr>
              <w:pStyle w:val="TableParagraph"/>
              <w:spacing w:before="60"/>
              <w:rPr>
                <w:i/>
                <w:sz w:val="18"/>
              </w:rPr>
            </w:pPr>
          </w:p>
          <w:p>
            <w:pPr>
              <w:pStyle w:val="TableParagraph"/>
              <w:spacing w:before="0"/>
              <w:ind w:left="59"/>
              <w:rPr>
                <w:sz w:val="18"/>
              </w:rPr>
            </w:pPr>
            <w:r>
              <w:rPr>
                <w:spacing w:val="-2"/>
                <w:sz w:val="18"/>
              </w:rPr>
              <w:t>Count</w:t>
            </w:r>
          </w:p>
          <w:p>
            <w:pPr>
              <w:pStyle w:val="TableParagraph"/>
              <w:spacing w:before="0"/>
              <w:rPr>
                <w:i/>
                <w:sz w:val="18"/>
              </w:rPr>
            </w:pPr>
          </w:p>
          <w:p>
            <w:pPr>
              <w:pStyle w:val="TableParagraph"/>
              <w:spacing w:before="0"/>
              <w:rPr>
                <w:i/>
                <w:sz w:val="18"/>
              </w:rPr>
            </w:pPr>
          </w:p>
          <w:p>
            <w:pPr>
              <w:pStyle w:val="TableParagraph"/>
              <w:spacing w:before="50"/>
              <w:rPr>
                <w:i/>
                <w:sz w:val="18"/>
              </w:rPr>
            </w:pPr>
          </w:p>
          <w:p>
            <w:pPr>
              <w:pStyle w:val="TableParagraph"/>
              <w:spacing w:before="0"/>
              <w:ind w:left="59"/>
              <w:rPr>
                <w:sz w:val="18"/>
              </w:rPr>
            </w:pPr>
            <w:r>
              <w:rPr>
                <w:spacing w:val="-2"/>
                <w:sz w:val="18"/>
              </w:rPr>
              <w:t>Count</w:t>
            </w:r>
          </w:p>
          <w:p>
            <w:pPr>
              <w:pStyle w:val="TableParagraph"/>
              <w:spacing w:before="0"/>
              <w:rPr>
                <w:i/>
                <w:sz w:val="18"/>
              </w:rPr>
            </w:pPr>
          </w:p>
          <w:p>
            <w:pPr>
              <w:pStyle w:val="TableParagraph"/>
              <w:spacing w:before="0"/>
              <w:rPr>
                <w:i/>
                <w:sz w:val="18"/>
              </w:rPr>
            </w:pPr>
          </w:p>
          <w:p>
            <w:pPr>
              <w:pStyle w:val="TableParagraph"/>
              <w:spacing w:before="49"/>
              <w:rPr>
                <w:i/>
                <w:sz w:val="18"/>
              </w:rPr>
            </w:pPr>
          </w:p>
          <w:p>
            <w:pPr>
              <w:pStyle w:val="TableParagraph"/>
              <w:spacing w:before="0"/>
              <w:ind w:left="59"/>
              <w:rPr>
                <w:sz w:val="18"/>
              </w:rPr>
            </w:pPr>
            <w:r>
              <w:rPr>
                <w:spacing w:val="-2"/>
                <w:sz w:val="18"/>
              </w:rPr>
              <w:t>Count</w:t>
            </w:r>
          </w:p>
        </w:tc>
        <w:tc>
          <w:tcPr>
            <w:tcW w:w="2844" w:type="dxa"/>
            <w:tcBorders>
              <w:top w:val="nil"/>
              <w:left w:val="single" w:sz="4" w:space="0" w:color="000000"/>
              <w:right w:val="nil"/>
            </w:tcBorders>
          </w:tcPr>
          <w:p>
            <w:pPr>
              <w:pStyle w:val="TableParagraph"/>
              <w:spacing w:line="307" w:lineRule="auto" w:before="74"/>
              <w:ind w:left="59" w:right="33"/>
              <w:jc w:val="both"/>
              <w:rPr>
                <w:sz w:val="18"/>
              </w:rPr>
            </w:pPr>
            <w:r>
              <w:rPr>
                <w:sz w:val="18"/>
              </w:rPr>
              <w:t>Severe stress days at veraison </w:t>
            </w:r>
            <w:r>
              <w:rPr>
                <w:sz w:val="18"/>
              </w:rPr>
              <w:t>onset, </w:t>
            </w:r>
            <w:r>
              <w:rPr>
                <w:spacing w:val="-2"/>
                <w:sz w:val="18"/>
              </w:rPr>
              <w:t>critical</w:t>
            </w:r>
            <w:r>
              <w:rPr>
                <w:spacing w:val="-7"/>
                <w:sz w:val="18"/>
              </w:rPr>
              <w:t> </w:t>
            </w:r>
            <w:r>
              <w:rPr>
                <w:spacing w:val="-2"/>
                <w:sz w:val="18"/>
              </w:rPr>
              <w:t>window</w:t>
            </w:r>
            <w:r>
              <w:rPr>
                <w:spacing w:val="-7"/>
                <w:sz w:val="18"/>
              </w:rPr>
              <w:t> </w:t>
            </w:r>
            <w:r>
              <w:rPr>
                <w:spacing w:val="-2"/>
                <w:sz w:val="18"/>
              </w:rPr>
              <w:t>for</w:t>
            </w:r>
            <w:r>
              <w:rPr>
                <w:spacing w:val="-6"/>
                <w:sz w:val="18"/>
              </w:rPr>
              <w:t> </w:t>
            </w:r>
            <w:r>
              <w:rPr>
                <w:spacing w:val="-2"/>
                <w:sz w:val="18"/>
              </w:rPr>
              <w:t>sugar–acid</w:t>
            </w:r>
            <w:r>
              <w:rPr>
                <w:spacing w:val="-7"/>
                <w:sz w:val="18"/>
              </w:rPr>
              <w:t> </w:t>
            </w:r>
            <w:r>
              <w:rPr>
                <w:spacing w:val="-2"/>
                <w:sz w:val="18"/>
              </w:rPr>
              <w:t>balance</w:t>
            </w:r>
          </w:p>
          <w:p>
            <w:pPr>
              <w:pStyle w:val="TableParagraph"/>
              <w:spacing w:line="307" w:lineRule="auto" w:before="81"/>
              <w:ind w:left="53" w:right="55" w:firstLine="6"/>
              <w:jc w:val="both"/>
              <w:rPr>
                <w:sz w:val="18"/>
              </w:rPr>
            </w:pPr>
            <w:r>
              <w:rPr>
                <w:spacing w:val="-2"/>
                <w:sz w:val="18"/>
              </w:rPr>
              <w:t>Extended</w:t>
            </w:r>
            <w:r>
              <w:rPr>
                <w:spacing w:val="-6"/>
                <w:sz w:val="18"/>
              </w:rPr>
              <w:t> </w:t>
            </w:r>
            <w:r>
              <w:rPr>
                <w:spacing w:val="-2"/>
                <w:sz w:val="18"/>
              </w:rPr>
              <w:t>stress</w:t>
            </w:r>
            <w:r>
              <w:rPr>
                <w:spacing w:val="-6"/>
                <w:sz w:val="18"/>
              </w:rPr>
              <w:t> </w:t>
            </w:r>
            <w:r>
              <w:rPr>
                <w:spacing w:val="-2"/>
                <w:sz w:val="18"/>
              </w:rPr>
              <w:t>at</w:t>
            </w:r>
            <w:r>
              <w:rPr>
                <w:spacing w:val="-6"/>
                <w:sz w:val="18"/>
              </w:rPr>
              <w:t> </w:t>
            </w:r>
            <w:r>
              <w:rPr>
                <w:spacing w:val="-2"/>
                <w:sz w:val="18"/>
              </w:rPr>
              <w:t>maturity,</w:t>
            </w:r>
            <w:r>
              <w:rPr>
                <w:spacing w:val="-6"/>
                <w:sz w:val="18"/>
              </w:rPr>
              <w:t> </w:t>
            </w:r>
            <w:r>
              <w:rPr>
                <w:spacing w:val="-2"/>
                <w:sz w:val="18"/>
              </w:rPr>
              <w:t>prolonged </w:t>
            </w:r>
            <w:r>
              <w:rPr>
                <w:sz w:val="18"/>
              </w:rPr>
              <w:t>wilting-level stress during ripening</w:t>
            </w:r>
          </w:p>
          <w:p>
            <w:pPr>
              <w:pStyle w:val="TableParagraph"/>
              <w:spacing w:line="307" w:lineRule="auto" w:before="82"/>
              <w:ind w:left="59" w:right="49"/>
              <w:jc w:val="both"/>
              <w:rPr>
                <w:sz w:val="18"/>
              </w:rPr>
            </w:pPr>
            <w:r>
              <w:rPr>
                <w:spacing w:val="-2"/>
                <w:sz w:val="18"/>
              </w:rPr>
              <w:t>Pre-harvest</w:t>
            </w:r>
            <w:r>
              <w:rPr>
                <w:spacing w:val="-9"/>
                <w:sz w:val="18"/>
              </w:rPr>
              <w:t> </w:t>
            </w:r>
            <w:r>
              <w:rPr>
                <w:spacing w:val="-2"/>
                <w:sz w:val="18"/>
              </w:rPr>
              <w:t>severe</w:t>
            </w:r>
            <w:r>
              <w:rPr>
                <w:spacing w:val="-8"/>
                <w:sz w:val="18"/>
              </w:rPr>
              <w:t> </w:t>
            </w:r>
            <w:r>
              <w:rPr>
                <w:spacing w:val="-2"/>
                <w:sz w:val="18"/>
              </w:rPr>
              <w:t>stress,</w:t>
            </w:r>
            <w:r>
              <w:rPr>
                <w:spacing w:val="-9"/>
                <w:sz w:val="18"/>
              </w:rPr>
              <w:t> </w:t>
            </w:r>
            <w:r>
              <w:rPr>
                <w:spacing w:val="-2"/>
                <w:sz w:val="18"/>
              </w:rPr>
              <w:t>intense</w:t>
            </w:r>
            <w:r>
              <w:rPr>
                <w:spacing w:val="-8"/>
                <w:sz w:val="18"/>
              </w:rPr>
              <w:t> </w:t>
            </w:r>
            <w:r>
              <w:rPr>
                <w:spacing w:val="-2"/>
                <w:sz w:val="18"/>
              </w:rPr>
              <w:t>berry </w:t>
            </w:r>
            <w:r>
              <w:rPr>
                <w:sz w:val="18"/>
              </w:rPr>
              <w:t>concentration</w:t>
            </w:r>
            <w:r>
              <w:rPr>
                <w:spacing w:val="-7"/>
                <w:sz w:val="18"/>
              </w:rPr>
              <w:t> </w:t>
            </w:r>
            <w:r>
              <w:rPr>
                <w:sz w:val="18"/>
              </w:rPr>
              <w:t>but</w:t>
            </w:r>
            <w:r>
              <w:rPr>
                <w:spacing w:val="-8"/>
                <w:sz w:val="18"/>
              </w:rPr>
              <w:t> </w:t>
            </w:r>
            <w:r>
              <w:rPr>
                <w:sz w:val="18"/>
              </w:rPr>
              <w:t>risk</w:t>
            </w:r>
            <w:r>
              <w:rPr>
                <w:spacing w:val="-7"/>
                <w:sz w:val="18"/>
              </w:rPr>
              <w:t> </w:t>
            </w:r>
            <w:r>
              <w:rPr>
                <w:sz w:val="18"/>
              </w:rPr>
              <w:t>of</w:t>
            </w:r>
            <w:r>
              <w:rPr>
                <w:spacing w:val="-7"/>
                <w:sz w:val="18"/>
              </w:rPr>
              <w:t> </w:t>
            </w:r>
            <w:r>
              <w:rPr>
                <w:sz w:val="18"/>
              </w:rPr>
              <w:t>vine</w:t>
            </w:r>
            <w:r>
              <w:rPr>
                <w:spacing w:val="-8"/>
                <w:sz w:val="18"/>
              </w:rPr>
              <w:t> </w:t>
            </w:r>
            <w:r>
              <w:rPr>
                <w:sz w:val="18"/>
              </w:rPr>
              <w:t>damage if prolonged</w:t>
            </w:r>
          </w:p>
          <w:p>
            <w:pPr>
              <w:pStyle w:val="TableParagraph"/>
              <w:spacing w:line="307" w:lineRule="auto" w:before="82"/>
              <w:ind w:left="59" w:right="26"/>
              <w:jc w:val="both"/>
              <w:rPr>
                <w:sz w:val="18"/>
              </w:rPr>
            </w:pPr>
            <w:r>
              <w:rPr>
                <w:sz w:val="18"/>
              </w:rPr>
              <w:t>Post-harvest</w:t>
            </w:r>
            <w:r>
              <w:rPr>
                <w:spacing w:val="-8"/>
                <w:sz w:val="18"/>
              </w:rPr>
              <w:t> </w:t>
            </w:r>
            <w:r>
              <w:rPr>
                <w:sz w:val="18"/>
              </w:rPr>
              <w:t>severe</w:t>
            </w:r>
            <w:r>
              <w:rPr>
                <w:spacing w:val="-8"/>
                <w:sz w:val="18"/>
              </w:rPr>
              <w:t> </w:t>
            </w:r>
            <w:r>
              <w:rPr>
                <w:sz w:val="18"/>
              </w:rPr>
              <w:t>stress,</w:t>
            </w:r>
            <w:r>
              <w:rPr>
                <w:spacing w:val="-8"/>
                <w:sz w:val="18"/>
              </w:rPr>
              <w:t> </w:t>
            </w:r>
            <w:r>
              <w:rPr>
                <w:sz w:val="18"/>
              </w:rPr>
              <w:t>vine</w:t>
            </w:r>
            <w:r>
              <w:rPr>
                <w:spacing w:val="-8"/>
                <w:sz w:val="18"/>
              </w:rPr>
              <w:t> </w:t>
            </w:r>
            <w:r>
              <w:rPr>
                <w:sz w:val="18"/>
              </w:rPr>
              <w:t>recov-ery period after harvest</w:t>
            </w:r>
          </w:p>
          <w:p>
            <w:pPr>
              <w:pStyle w:val="TableParagraph"/>
              <w:spacing w:line="307" w:lineRule="auto" w:before="82"/>
              <w:ind w:left="59" w:right="26"/>
              <w:jc w:val="both"/>
              <w:rPr>
                <w:sz w:val="18"/>
              </w:rPr>
            </w:pPr>
            <w:r>
              <w:rPr>
                <w:sz w:val="18"/>
              </w:rPr>
              <w:t>Previous-year post-flowering stress, </w:t>
            </w:r>
            <w:r>
              <w:rPr>
                <w:spacing w:val="-2"/>
                <w:sz w:val="18"/>
              </w:rPr>
              <w:t>carry-over</w:t>
            </w:r>
            <w:r>
              <w:rPr>
                <w:spacing w:val="-8"/>
                <w:sz w:val="18"/>
              </w:rPr>
              <w:t> </w:t>
            </w:r>
            <w:r>
              <w:rPr>
                <w:spacing w:val="-2"/>
                <w:sz w:val="18"/>
              </w:rPr>
              <w:t>water</w:t>
            </w:r>
            <w:r>
              <w:rPr>
                <w:spacing w:val="-8"/>
                <w:sz w:val="18"/>
              </w:rPr>
              <w:t> </w:t>
            </w:r>
            <w:r>
              <w:rPr>
                <w:spacing w:val="-2"/>
                <w:sz w:val="18"/>
              </w:rPr>
              <w:t>deficit</w:t>
            </w:r>
            <w:r>
              <w:rPr>
                <w:spacing w:val="-8"/>
                <w:sz w:val="18"/>
              </w:rPr>
              <w:t> </w:t>
            </w:r>
            <w:r>
              <w:rPr>
                <w:spacing w:val="-2"/>
                <w:sz w:val="18"/>
              </w:rPr>
              <w:t>from</w:t>
            </w:r>
            <w:r>
              <w:rPr>
                <w:spacing w:val="-8"/>
                <w:sz w:val="18"/>
              </w:rPr>
              <w:t> </w:t>
            </w:r>
            <w:r>
              <w:rPr>
                <w:spacing w:val="-2"/>
                <w:sz w:val="18"/>
              </w:rPr>
              <w:t>prior</w:t>
            </w:r>
            <w:r>
              <w:rPr>
                <w:spacing w:val="-8"/>
                <w:sz w:val="18"/>
              </w:rPr>
              <w:t> </w:t>
            </w:r>
            <w:r>
              <w:rPr>
                <w:spacing w:val="-2"/>
                <w:sz w:val="18"/>
              </w:rPr>
              <w:t>sea-</w:t>
            </w:r>
            <w:r>
              <w:rPr>
                <w:spacing w:val="-4"/>
                <w:sz w:val="18"/>
              </w:rPr>
              <w:t>son</w:t>
            </w:r>
          </w:p>
          <w:p>
            <w:pPr>
              <w:pStyle w:val="TableParagraph"/>
              <w:spacing w:line="307" w:lineRule="auto" w:before="82"/>
              <w:ind w:left="59" w:right="55"/>
              <w:jc w:val="both"/>
              <w:rPr>
                <w:sz w:val="18"/>
              </w:rPr>
            </w:pPr>
            <w:r>
              <w:rPr>
                <w:spacing w:val="-4"/>
                <w:sz w:val="18"/>
              </w:rPr>
              <w:t>Extended previous-year post-</w:t>
            </w:r>
            <w:r>
              <w:rPr>
                <w:spacing w:val="-4"/>
                <w:sz w:val="18"/>
              </w:rPr>
              <w:t>flowering </w:t>
            </w:r>
            <w:r>
              <w:rPr>
                <w:spacing w:val="-2"/>
                <w:sz w:val="18"/>
              </w:rPr>
              <w:t>stress</w:t>
            </w:r>
          </w:p>
          <w:p>
            <w:pPr>
              <w:pStyle w:val="TableParagraph"/>
              <w:spacing w:line="307" w:lineRule="auto" w:before="82"/>
              <w:ind w:left="59" w:right="33"/>
              <w:jc w:val="both"/>
              <w:rPr>
                <w:sz w:val="18"/>
              </w:rPr>
            </w:pPr>
            <w:r>
              <w:rPr>
                <w:sz w:val="18"/>
              </w:rPr>
              <w:t>Near-saturation days post-</w:t>
            </w:r>
            <w:r>
              <w:rPr>
                <w:sz w:val="18"/>
              </w:rPr>
              <w:t>flowering, </w:t>
            </w:r>
            <w:r>
              <w:rPr>
                <w:spacing w:val="-2"/>
                <w:sz w:val="18"/>
              </w:rPr>
              <w:t>promote</w:t>
            </w:r>
            <w:r>
              <w:rPr>
                <w:spacing w:val="-10"/>
                <w:sz w:val="18"/>
              </w:rPr>
              <w:t> </w:t>
            </w:r>
            <w:r>
              <w:rPr>
                <w:spacing w:val="-2"/>
                <w:sz w:val="18"/>
              </w:rPr>
              <w:t>disease</w:t>
            </w:r>
            <w:r>
              <w:rPr>
                <w:spacing w:val="-9"/>
                <w:sz w:val="18"/>
              </w:rPr>
              <w:t> </w:t>
            </w:r>
            <w:r>
              <w:rPr>
                <w:spacing w:val="-2"/>
                <w:sz w:val="18"/>
              </w:rPr>
              <w:t>and</w:t>
            </w:r>
            <w:r>
              <w:rPr>
                <w:spacing w:val="-9"/>
                <w:sz w:val="18"/>
              </w:rPr>
              <w:t> </w:t>
            </w:r>
            <w:r>
              <w:rPr>
                <w:spacing w:val="-2"/>
                <w:sz w:val="18"/>
              </w:rPr>
              <w:t>vegetative</w:t>
            </w:r>
            <w:r>
              <w:rPr>
                <w:spacing w:val="-9"/>
                <w:sz w:val="18"/>
              </w:rPr>
              <w:t> </w:t>
            </w:r>
            <w:r>
              <w:rPr>
                <w:spacing w:val="-2"/>
                <w:sz w:val="18"/>
              </w:rPr>
              <w:t>vigour; </w:t>
            </w:r>
            <w:r>
              <w:rPr>
                <w:sz w:val="18"/>
              </w:rPr>
              <w:t>relevant to RVV below-trend rules</w:t>
            </w:r>
          </w:p>
          <w:p>
            <w:pPr>
              <w:pStyle w:val="TableParagraph"/>
              <w:spacing w:line="307" w:lineRule="auto" w:before="83"/>
              <w:ind w:left="59" w:right="26"/>
              <w:jc w:val="both"/>
              <w:rPr>
                <w:sz w:val="18"/>
              </w:rPr>
            </w:pPr>
            <w:r>
              <w:rPr>
                <w:sz w:val="18"/>
              </w:rPr>
              <w:t>Extended near-saturation </w:t>
            </w:r>
            <w:r>
              <w:rPr>
                <w:sz w:val="18"/>
              </w:rPr>
              <w:t>post-</w:t>
            </w:r>
            <w:r>
              <w:rPr>
                <w:spacing w:val="-2"/>
                <w:sz w:val="18"/>
              </w:rPr>
              <w:t>flowering</w:t>
            </w:r>
          </w:p>
          <w:p>
            <w:pPr>
              <w:pStyle w:val="TableParagraph"/>
              <w:spacing w:before="140"/>
              <w:rPr>
                <w:i/>
                <w:sz w:val="18"/>
              </w:rPr>
            </w:pPr>
          </w:p>
          <w:p>
            <w:pPr>
              <w:pStyle w:val="TableParagraph"/>
              <w:spacing w:line="307" w:lineRule="auto" w:before="0"/>
              <w:ind w:left="59" w:right="26"/>
              <w:jc w:val="both"/>
              <w:rPr>
                <w:sz w:val="18"/>
              </w:rPr>
            </w:pPr>
            <w:r>
              <w:rPr>
                <w:spacing w:val="-2"/>
                <w:sz w:val="18"/>
              </w:rPr>
              <w:t>Previous-year</w:t>
            </w:r>
            <w:r>
              <w:rPr>
                <w:spacing w:val="-7"/>
                <w:sz w:val="18"/>
              </w:rPr>
              <w:t> </w:t>
            </w:r>
            <w:r>
              <w:rPr>
                <w:spacing w:val="-2"/>
                <w:sz w:val="18"/>
              </w:rPr>
              <w:t>post-flowering</w:t>
            </w:r>
            <w:r>
              <w:rPr>
                <w:spacing w:val="-7"/>
                <w:sz w:val="18"/>
              </w:rPr>
              <w:t> </w:t>
            </w:r>
            <w:r>
              <w:rPr>
                <w:spacing w:val="-2"/>
                <w:sz w:val="18"/>
              </w:rPr>
              <w:t>soil</w:t>
            </w:r>
            <w:r>
              <w:rPr>
                <w:spacing w:val="-7"/>
                <w:sz w:val="18"/>
              </w:rPr>
              <w:t> </w:t>
            </w:r>
            <w:r>
              <w:rPr>
                <w:spacing w:val="-2"/>
                <w:sz w:val="18"/>
              </w:rPr>
              <w:t>satu-</w:t>
            </w:r>
            <w:r>
              <w:rPr>
                <w:sz w:val="18"/>
              </w:rPr>
              <w:t>ration,</w:t>
            </w:r>
            <w:r>
              <w:rPr>
                <w:spacing w:val="-8"/>
                <w:sz w:val="18"/>
              </w:rPr>
              <w:t> </w:t>
            </w:r>
            <w:r>
              <w:rPr>
                <w:sz w:val="18"/>
              </w:rPr>
              <w:t>carry-over</w:t>
            </w:r>
            <w:r>
              <w:rPr>
                <w:spacing w:val="-8"/>
                <w:sz w:val="18"/>
              </w:rPr>
              <w:t> </w:t>
            </w:r>
            <w:r>
              <w:rPr>
                <w:sz w:val="18"/>
              </w:rPr>
              <w:t>vigour</w:t>
            </w:r>
            <w:r>
              <w:rPr>
                <w:spacing w:val="-8"/>
                <w:sz w:val="18"/>
              </w:rPr>
              <w:t> </w:t>
            </w:r>
            <w:r>
              <w:rPr>
                <w:sz w:val="18"/>
              </w:rPr>
              <w:t>effect</w:t>
            </w:r>
            <w:r>
              <w:rPr>
                <w:spacing w:val="-8"/>
                <w:sz w:val="18"/>
              </w:rPr>
              <w:t> </w:t>
            </w:r>
            <w:r>
              <w:rPr>
                <w:sz w:val="18"/>
              </w:rPr>
              <w:t>identi-fied in RVV Rule 2</w:t>
            </w:r>
          </w:p>
          <w:p>
            <w:pPr>
              <w:pStyle w:val="TableParagraph"/>
              <w:spacing w:line="307" w:lineRule="auto" w:before="83"/>
              <w:ind w:left="59" w:right="26"/>
              <w:jc w:val="both"/>
              <w:rPr>
                <w:sz w:val="18"/>
              </w:rPr>
            </w:pPr>
            <w:r>
              <w:rPr>
                <w:sz w:val="18"/>
              </w:rPr>
              <w:t>Wider</w:t>
            </w:r>
            <w:r>
              <w:rPr>
                <w:spacing w:val="-12"/>
                <w:sz w:val="18"/>
              </w:rPr>
              <w:t> </w:t>
            </w:r>
            <w:r>
              <w:rPr>
                <w:sz w:val="18"/>
              </w:rPr>
              <w:t>window</w:t>
            </w:r>
            <w:r>
              <w:rPr>
                <w:spacing w:val="-11"/>
                <w:sz w:val="18"/>
              </w:rPr>
              <w:t> </w:t>
            </w:r>
            <w:r>
              <w:rPr>
                <w:sz w:val="18"/>
              </w:rPr>
              <w:t>for</w:t>
            </w:r>
            <w:r>
              <w:rPr>
                <w:spacing w:val="-11"/>
                <w:sz w:val="18"/>
              </w:rPr>
              <w:t> </w:t>
            </w:r>
            <w:r>
              <w:rPr>
                <w:sz w:val="18"/>
              </w:rPr>
              <w:t>previous-year</w:t>
            </w:r>
            <w:r>
              <w:rPr>
                <w:spacing w:val="-11"/>
                <w:sz w:val="18"/>
              </w:rPr>
              <w:t> </w:t>
            </w:r>
            <w:r>
              <w:rPr>
                <w:sz w:val="18"/>
              </w:rPr>
              <w:t>post-flowering soil saturation, strongest RVV carry-over signal</w:t>
            </w:r>
          </w:p>
        </w:tc>
      </w:tr>
    </w:tbl>
    <w:p>
      <w:pPr>
        <w:pStyle w:val="BodyText"/>
        <w:spacing w:before="163"/>
        <w:rPr>
          <w:i/>
          <w:sz w:val="18"/>
        </w:rPr>
      </w:pPr>
    </w:p>
    <w:p>
      <w:pPr>
        <w:pStyle w:val="BodyText"/>
        <w:spacing w:line="312" w:lineRule="auto"/>
        <w:ind w:left="142" w:right="1470" w:firstLine="338"/>
      </w:pPr>
      <w:r>
        <w:rPr/>
        <w:t>swa_hv_y1_b20 is the dominant RDD feature (54% of rules); in RVV it appears in 25% of </w:t>
      </w:r>
      <w:r>
        <w:rPr>
          <w:spacing w:val="-2"/>
        </w:rPr>
        <w:t>rules.</w:t>
      </w:r>
    </w:p>
    <w:p>
      <w:pPr>
        <w:pStyle w:val="BodyText"/>
        <w:spacing w:after="0" w:line="312" w:lineRule="auto"/>
        <w:sectPr>
          <w:pgSz w:w="11910" w:h="16840"/>
          <w:pgMar w:header="1160" w:footer="0" w:top="1420" w:bottom="280" w:left="1275" w:right="425"/>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
        <w:rPr>
          <w:sz w:val="20"/>
        </w:rPr>
      </w:pPr>
    </w:p>
    <w:p>
      <w:pPr>
        <w:spacing w:before="0"/>
        <w:ind w:left="601" w:right="888" w:firstLine="0"/>
        <w:jc w:val="center"/>
        <w:rPr>
          <w:sz w:val="20"/>
        </w:rPr>
      </w:pPr>
      <w:bookmarkStart w:name="_bookmark192" w:id="321"/>
      <w:bookmarkEnd w:id="321"/>
      <w:r>
        <w:rPr/>
      </w:r>
      <w:r>
        <w:rPr>
          <w:b/>
          <w:sz w:val="20"/>
        </w:rPr>
        <w:t>Table</w:t>
      </w:r>
      <w:r>
        <w:rPr>
          <w:b/>
          <w:spacing w:val="-13"/>
          <w:sz w:val="20"/>
        </w:rPr>
        <w:t> </w:t>
      </w:r>
      <w:r>
        <w:rPr>
          <w:b/>
          <w:sz w:val="20"/>
        </w:rPr>
        <w:t>C.3:</w:t>
      </w:r>
      <w:r>
        <w:rPr>
          <w:b/>
          <w:spacing w:val="-10"/>
          <w:sz w:val="20"/>
        </w:rPr>
        <w:t> </w:t>
      </w:r>
      <w:r>
        <w:rPr>
          <w:sz w:val="20"/>
        </w:rPr>
        <w:t>Heat</w:t>
      </w:r>
      <w:r>
        <w:rPr>
          <w:spacing w:val="-13"/>
          <w:sz w:val="20"/>
        </w:rPr>
        <w:t> </w:t>
      </w:r>
      <w:r>
        <w:rPr>
          <w:sz w:val="20"/>
        </w:rPr>
        <w:t>stress</w:t>
      </w:r>
      <w:r>
        <w:rPr>
          <w:spacing w:val="-11"/>
          <w:sz w:val="20"/>
        </w:rPr>
        <w:t> </w:t>
      </w:r>
      <w:r>
        <w:rPr>
          <w:sz w:val="20"/>
        </w:rPr>
        <w:t>day</w:t>
      </w:r>
      <w:r>
        <w:rPr>
          <w:spacing w:val="-12"/>
          <w:sz w:val="20"/>
        </w:rPr>
        <w:t> </w:t>
      </w:r>
      <w:r>
        <w:rPr>
          <w:sz w:val="20"/>
        </w:rPr>
        <w:t>(Tmax</w:t>
      </w:r>
      <w:r>
        <w:rPr>
          <w:spacing w:val="-11"/>
          <w:sz w:val="20"/>
        </w:rPr>
        <w:t> </w:t>
      </w:r>
      <w:r>
        <w:rPr>
          <w:rFonts w:ascii="Meiryo UI" w:hAnsi="Meiryo UI"/>
          <w:i/>
          <w:sz w:val="20"/>
        </w:rPr>
        <w:t>&gt;</w:t>
      </w:r>
      <w:r>
        <w:rPr>
          <w:rFonts w:ascii="Meiryo UI" w:hAnsi="Meiryo UI"/>
          <w:i/>
          <w:spacing w:val="-19"/>
          <w:sz w:val="20"/>
        </w:rPr>
        <w:t> </w:t>
      </w:r>
      <w:r>
        <w:rPr>
          <w:sz w:val="20"/>
        </w:rPr>
        <w:t>35</w:t>
      </w:r>
      <w:r>
        <w:rPr>
          <w:rFonts w:ascii="Meiryo UI" w:hAnsi="Meiryo UI"/>
          <w:i/>
          <w:sz w:val="20"/>
          <w:vertAlign w:val="superscript"/>
        </w:rPr>
        <w:t>◦</w:t>
      </w:r>
      <w:r>
        <w:rPr>
          <w:sz w:val="20"/>
          <w:vertAlign w:val="baseline"/>
        </w:rPr>
        <w:t>C)</w:t>
      </w:r>
      <w:r>
        <w:rPr>
          <w:spacing w:val="-11"/>
          <w:sz w:val="20"/>
          <w:vertAlign w:val="baseline"/>
        </w:rPr>
        <w:t> </w:t>
      </w:r>
      <w:r>
        <w:rPr>
          <w:sz w:val="20"/>
          <w:vertAlign w:val="baseline"/>
        </w:rPr>
        <w:t>features</w:t>
      </w:r>
      <w:r>
        <w:rPr>
          <w:spacing w:val="-12"/>
          <w:sz w:val="20"/>
          <w:vertAlign w:val="baseline"/>
        </w:rPr>
        <w:t> </w:t>
      </w:r>
      <w:r>
        <w:rPr>
          <w:sz w:val="20"/>
          <w:vertAlign w:val="baseline"/>
        </w:rPr>
        <w:t>(4</w:t>
      </w:r>
      <w:r>
        <w:rPr>
          <w:spacing w:val="-11"/>
          <w:sz w:val="20"/>
          <w:vertAlign w:val="baseline"/>
        </w:rPr>
        <w:t> </w:t>
      </w:r>
      <w:r>
        <w:rPr>
          <w:spacing w:val="-2"/>
          <w:sz w:val="20"/>
          <w:vertAlign w:val="baseline"/>
        </w:rPr>
        <w:t>features).</w:t>
      </w:r>
    </w:p>
    <w:p>
      <w:pPr>
        <w:pStyle w:val="BodyText"/>
        <w:spacing w:before="11"/>
        <w:rPr>
          <w:sz w:val="14"/>
        </w:rPr>
      </w:pPr>
      <w:r>
        <w:rPr>
          <w:sz w:val="14"/>
        </w:rPr>
        <mc:AlternateContent>
          <mc:Choice Requires="wps">
            <w:drawing>
              <wp:anchor distT="0" distB="0" distL="0" distR="0" allowOverlap="1" layoutInCell="1" locked="0" behindDoc="1" simplePos="0" relativeHeight="487646208">
                <wp:simplePos x="0" y="0"/>
                <wp:positionH relativeFrom="page">
                  <wp:posOffset>1260005</wp:posOffset>
                </wp:positionH>
                <wp:positionV relativeFrom="paragraph">
                  <wp:posOffset>124624</wp:posOffset>
                </wp:positionV>
                <wp:extent cx="5400040" cy="1270"/>
                <wp:effectExtent l="0" t="0" r="0" b="0"/>
                <wp:wrapTopAndBottom/>
                <wp:docPr id="307" name="Graphic 307"/>
                <wp:cNvGraphicFramePr>
                  <a:graphicFrameLocks/>
                </wp:cNvGraphicFramePr>
                <a:graphic>
                  <a:graphicData uri="http://schemas.microsoft.com/office/word/2010/wordprocessingShape">
                    <wps:wsp>
                      <wps:cNvPr id="307" name="Graphic 307"/>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9.812961pt;width:425.2pt;height:.1pt;mso-position-horizontal-relative:page;mso-position-vertical-relative:paragraph;z-index:-15670272;mso-wrap-distance-left:0;mso-wrap-distance-right:0" id="docshape270" coordorigin="1984,196" coordsize="8504,0" path="m1984,196l10488,196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7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715"/>
        <w:gridCol w:w="1018"/>
        <w:gridCol w:w="848"/>
        <w:gridCol w:w="451"/>
        <w:gridCol w:w="961"/>
        <w:gridCol w:w="564"/>
        <w:gridCol w:w="677"/>
        <w:gridCol w:w="1270"/>
      </w:tblGrid>
      <w:tr>
        <w:trPr>
          <w:trHeight w:val="539" w:hRule="atLeast"/>
        </w:trPr>
        <w:tc>
          <w:tcPr>
            <w:tcW w:w="2715" w:type="dxa"/>
            <w:tcBorders>
              <w:top w:val="nil"/>
              <w:left w:val="nil"/>
              <w:right w:val="single" w:sz="4" w:space="0" w:color="000000"/>
            </w:tcBorders>
          </w:tcPr>
          <w:p>
            <w:pPr>
              <w:pStyle w:val="TableParagraph"/>
              <w:spacing w:before="31"/>
              <w:ind w:left="79"/>
              <w:rPr>
                <w:sz w:val="18"/>
              </w:rPr>
            </w:pPr>
            <w:r>
              <w:rPr>
                <w:sz w:val="18"/>
              </w:rPr>
              <w:t>Feature</w:t>
            </w:r>
            <w:r>
              <w:rPr>
                <w:spacing w:val="-7"/>
                <w:sz w:val="18"/>
              </w:rPr>
              <w:t> </w:t>
            </w:r>
            <w:r>
              <w:rPr>
                <w:spacing w:val="-4"/>
                <w:sz w:val="18"/>
              </w:rPr>
              <w:t>name</w:t>
            </w:r>
          </w:p>
        </w:tc>
        <w:tc>
          <w:tcPr>
            <w:tcW w:w="1018" w:type="dxa"/>
            <w:tcBorders>
              <w:top w:val="nil"/>
              <w:left w:val="single" w:sz="4" w:space="0" w:color="000000"/>
              <w:right w:val="single" w:sz="4" w:space="0" w:color="000000"/>
            </w:tcBorders>
          </w:tcPr>
          <w:p>
            <w:pPr>
              <w:pStyle w:val="TableParagraph"/>
              <w:spacing w:before="31"/>
              <w:ind w:left="78"/>
              <w:rPr>
                <w:sz w:val="18"/>
              </w:rPr>
            </w:pPr>
            <w:r>
              <w:rPr>
                <w:spacing w:val="-2"/>
                <w:sz w:val="18"/>
              </w:rPr>
              <w:t>Variable</w:t>
            </w:r>
          </w:p>
        </w:tc>
        <w:tc>
          <w:tcPr>
            <w:tcW w:w="848" w:type="dxa"/>
            <w:tcBorders>
              <w:top w:val="nil"/>
              <w:left w:val="single" w:sz="4" w:space="0" w:color="000000"/>
              <w:right w:val="single" w:sz="4" w:space="0" w:color="000000"/>
            </w:tcBorders>
          </w:tcPr>
          <w:p>
            <w:pPr>
              <w:pStyle w:val="TableParagraph"/>
              <w:spacing w:before="31"/>
              <w:ind w:left="78"/>
              <w:rPr>
                <w:sz w:val="18"/>
              </w:rPr>
            </w:pPr>
            <w:r>
              <w:rPr>
                <w:spacing w:val="-2"/>
                <w:sz w:val="18"/>
              </w:rPr>
              <w:t>Stage</w:t>
            </w:r>
          </w:p>
        </w:tc>
        <w:tc>
          <w:tcPr>
            <w:tcW w:w="451" w:type="dxa"/>
            <w:tcBorders>
              <w:top w:val="nil"/>
              <w:left w:val="single" w:sz="4" w:space="0" w:color="000000"/>
              <w:right w:val="single" w:sz="4" w:space="0" w:color="000000"/>
            </w:tcBorders>
          </w:tcPr>
          <w:p>
            <w:pPr>
              <w:pStyle w:val="TableParagraph"/>
              <w:spacing w:before="31"/>
              <w:ind w:left="77"/>
              <w:rPr>
                <w:sz w:val="18"/>
              </w:rPr>
            </w:pPr>
            <w:r>
              <w:rPr>
                <w:spacing w:val="-4"/>
                <w:sz w:val="18"/>
              </w:rPr>
              <w:t>Year</w:t>
            </w:r>
          </w:p>
        </w:tc>
        <w:tc>
          <w:tcPr>
            <w:tcW w:w="961" w:type="dxa"/>
            <w:tcBorders>
              <w:top w:val="nil"/>
              <w:left w:val="single" w:sz="4" w:space="0" w:color="000000"/>
              <w:right w:val="single" w:sz="4" w:space="0" w:color="000000"/>
            </w:tcBorders>
          </w:tcPr>
          <w:p>
            <w:pPr>
              <w:pStyle w:val="TableParagraph"/>
              <w:spacing w:before="31"/>
              <w:ind w:left="77"/>
              <w:rPr>
                <w:sz w:val="18"/>
              </w:rPr>
            </w:pPr>
            <w:r>
              <w:rPr>
                <w:spacing w:val="-2"/>
                <w:sz w:val="18"/>
              </w:rPr>
              <w:t>Window</w:t>
            </w:r>
          </w:p>
        </w:tc>
        <w:tc>
          <w:tcPr>
            <w:tcW w:w="564" w:type="dxa"/>
            <w:tcBorders>
              <w:top w:val="nil"/>
              <w:left w:val="single" w:sz="4" w:space="0" w:color="000000"/>
              <w:right w:val="single" w:sz="4" w:space="0" w:color="000000"/>
            </w:tcBorders>
          </w:tcPr>
          <w:p>
            <w:pPr>
              <w:pStyle w:val="TableParagraph"/>
              <w:spacing w:before="31"/>
              <w:ind w:left="77"/>
              <w:rPr>
                <w:sz w:val="18"/>
              </w:rPr>
            </w:pPr>
            <w:r>
              <w:rPr>
                <w:spacing w:val="-4"/>
                <w:sz w:val="18"/>
              </w:rPr>
              <w:t>Unit</w:t>
            </w:r>
          </w:p>
        </w:tc>
        <w:tc>
          <w:tcPr>
            <w:tcW w:w="677" w:type="dxa"/>
            <w:tcBorders>
              <w:top w:val="nil"/>
              <w:left w:val="single" w:sz="4" w:space="0" w:color="000000"/>
              <w:right w:val="single" w:sz="4" w:space="0" w:color="000000"/>
            </w:tcBorders>
          </w:tcPr>
          <w:p>
            <w:pPr>
              <w:pStyle w:val="TableParagraph"/>
              <w:spacing w:before="31"/>
              <w:ind w:left="77"/>
              <w:rPr>
                <w:sz w:val="18"/>
              </w:rPr>
            </w:pPr>
            <w:r>
              <w:rPr>
                <w:spacing w:val="-4"/>
                <w:sz w:val="18"/>
              </w:rPr>
              <w:t>Calc</w:t>
            </w:r>
          </w:p>
        </w:tc>
        <w:tc>
          <w:tcPr>
            <w:tcW w:w="1270" w:type="dxa"/>
            <w:tcBorders>
              <w:top w:val="nil"/>
              <w:left w:val="single" w:sz="4" w:space="0" w:color="000000"/>
              <w:right w:val="nil"/>
            </w:tcBorders>
          </w:tcPr>
          <w:p>
            <w:pPr>
              <w:pStyle w:val="TableParagraph"/>
              <w:spacing w:line="254" w:lineRule="auto" w:before="31"/>
              <w:ind w:left="78"/>
              <w:rPr>
                <w:sz w:val="18"/>
              </w:rPr>
            </w:pPr>
            <w:r>
              <w:rPr>
                <w:sz w:val="18"/>
              </w:rPr>
              <w:t>Agronomic</w:t>
            </w:r>
            <w:r>
              <w:rPr>
                <w:spacing w:val="35"/>
                <w:sz w:val="18"/>
              </w:rPr>
              <w:t> </w:t>
            </w:r>
            <w:r>
              <w:rPr>
                <w:sz w:val="18"/>
              </w:rPr>
              <w:t>in-</w:t>
            </w:r>
            <w:r>
              <w:rPr>
                <w:spacing w:val="-2"/>
                <w:sz w:val="18"/>
              </w:rPr>
              <w:t>terpretation</w:t>
            </w:r>
          </w:p>
        </w:tc>
      </w:tr>
    </w:tbl>
    <w:p>
      <w:pPr>
        <w:pStyle w:val="BodyText"/>
        <w:spacing w:before="10"/>
        <w:rPr>
          <w:sz w:val="4"/>
        </w:rPr>
      </w:pPr>
    </w:p>
    <w:tbl>
      <w:tblPr>
        <w:tblW w:w="0" w:type="auto"/>
        <w:jc w:val="left"/>
        <w:tblInd w:w="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15"/>
        <w:gridCol w:w="1018"/>
        <w:gridCol w:w="848"/>
        <w:gridCol w:w="451"/>
        <w:gridCol w:w="961"/>
        <w:gridCol w:w="564"/>
        <w:gridCol w:w="677"/>
        <w:gridCol w:w="1270"/>
      </w:tblGrid>
      <w:tr>
        <w:trPr>
          <w:trHeight w:val="1599" w:hRule="atLeast"/>
        </w:trPr>
        <w:tc>
          <w:tcPr>
            <w:tcW w:w="2715" w:type="dxa"/>
            <w:tcBorders>
              <w:right w:val="single" w:sz="4" w:space="0" w:color="000000"/>
            </w:tcBorders>
          </w:tcPr>
          <w:p>
            <w:pPr>
              <w:pStyle w:val="TableParagraph"/>
              <w:spacing w:line="254" w:lineRule="auto" w:before="31"/>
              <w:ind w:left="79" w:right="94"/>
              <w:rPr>
                <w:sz w:val="18"/>
              </w:rPr>
            </w:pPr>
            <w:r>
              <w:rPr>
                <w:spacing w:val="-2"/>
                <w:sz w:val="18"/>
              </w:rPr>
              <w:t>days.maxTemp.above.35_fl_y1_ </w:t>
            </w:r>
            <w:r>
              <w:rPr>
                <w:spacing w:val="-4"/>
                <w:sz w:val="18"/>
              </w:rPr>
              <w:t>a10</w:t>
            </w:r>
          </w:p>
        </w:tc>
        <w:tc>
          <w:tcPr>
            <w:tcW w:w="1018" w:type="dxa"/>
            <w:tcBorders>
              <w:left w:val="single" w:sz="4" w:space="0" w:color="000000"/>
              <w:right w:val="single" w:sz="4" w:space="0" w:color="000000"/>
            </w:tcBorders>
          </w:tcPr>
          <w:p>
            <w:pPr>
              <w:pStyle w:val="TableParagraph"/>
              <w:spacing w:line="187" w:lineRule="auto" w:before="68"/>
              <w:ind w:left="72" w:right="-56" w:firstLine="5"/>
              <w:rPr>
                <w:sz w:val="18"/>
              </w:rPr>
            </w:pPr>
            <w:r>
              <w:rPr>
                <w:sz w:val="18"/>
              </w:rPr>
              <w:t>Heat</w:t>
            </w:r>
            <w:r>
              <w:rPr>
                <w:spacing w:val="80"/>
                <w:sz w:val="18"/>
              </w:rPr>
              <w:t> </w:t>
            </w:r>
            <w:r>
              <w:rPr>
                <w:sz w:val="18"/>
              </w:rPr>
              <w:t>days </w:t>
            </w:r>
            <w:r>
              <w:rPr>
                <w:spacing w:val="-2"/>
                <w:w w:val="90"/>
                <w:sz w:val="18"/>
              </w:rPr>
              <w:t>(Tmax&gt;35</w:t>
            </w:r>
            <w:r>
              <w:rPr>
                <w:rFonts w:ascii="Meiryo UI" w:hAnsi="Meiryo UI"/>
                <w:i/>
                <w:spacing w:val="-2"/>
                <w:w w:val="90"/>
                <w:position w:val="7"/>
                <w:sz w:val="14"/>
              </w:rPr>
              <w:t>◦</w:t>
            </w:r>
            <w:r>
              <w:rPr>
                <w:spacing w:val="-2"/>
                <w:w w:val="90"/>
                <w:sz w:val="18"/>
              </w:rPr>
              <w:t>C)</w:t>
            </w:r>
          </w:p>
        </w:tc>
        <w:tc>
          <w:tcPr>
            <w:tcW w:w="848" w:type="dxa"/>
            <w:tcBorders>
              <w:left w:val="single" w:sz="4" w:space="0" w:color="000000"/>
              <w:right w:val="single" w:sz="4" w:space="0" w:color="000000"/>
            </w:tcBorders>
          </w:tcPr>
          <w:p>
            <w:pPr>
              <w:pStyle w:val="TableParagraph"/>
              <w:spacing w:before="31"/>
              <w:ind w:left="35"/>
              <w:jc w:val="center"/>
              <w:rPr>
                <w:sz w:val="18"/>
              </w:rPr>
            </w:pPr>
            <w:r>
              <w:rPr>
                <w:spacing w:val="-2"/>
                <w:sz w:val="18"/>
              </w:rPr>
              <w:t>Flowering</w:t>
            </w:r>
          </w:p>
        </w:tc>
        <w:tc>
          <w:tcPr>
            <w:tcW w:w="451" w:type="dxa"/>
            <w:tcBorders>
              <w:left w:val="single" w:sz="4" w:space="0" w:color="000000"/>
              <w:right w:val="single" w:sz="4" w:space="0" w:color="000000"/>
            </w:tcBorders>
          </w:tcPr>
          <w:p>
            <w:pPr>
              <w:pStyle w:val="TableParagraph"/>
              <w:spacing w:before="31"/>
              <w:ind w:left="77"/>
              <w:rPr>
                <w:sz w:val="18"/>
              </w:rPr>
            </w:pPr>
            <w:r>
              <w:rPr>
                <w:spacing w:val="-5"/>
                <w:sz w:val="18"/>
              </w:rPr>
              <w:t>y1</w:t>
            </w:r>
          </w:p>
        </w:tc>
        <w:tc>
          <w:tcPr>
            <w:tcW w:w="961" w:type="dxa"/>
            <w:tcBorders>
              <w:left w:val="single" w:sz="4" w:space="0" w:color="000000"/>
              <w:right w:val="single" w:sz="4" w:space="0" w:color="000000"/>
            </w:tcBorders>
          </w:tcPr>
          <w:p>
            <w:pPr>
              <w:pStyle w:val="TableParagraph"/>
              <w:spacing w:before="31"/>
              <w:ind w:left="77"/>
              <w:rPr>
                <w:sz w:val="18"/>
              </w:rPr>
            </w:pPr>
            <w:r>
              <w:rPr>
                <w:sz w:val="18"/>
              </w:rPr>
              <w:t>10d</w:t>
            </w:r>
            <w:r>
              <w:rPr>
                <w:spacing w:val="-4"/>
                <w:sz w:val="18"/>
              </w:rPr>
              <w:t> after</w:t>
            </w:r>
          </w:p>
        </w:tc>
        <w:tc>
          <w:tcPr>
            <w:tcW w:w="564" w:type="dxa"/>
            <w:tcBorders>
              <w:left w:val="single" w:sz="4" w:space="0" w:color="000000"/>
              <w:right w:val="single" w:sz="4" w:space="0" w:color="000000"/>
            </w:tcBorders>
          </w:tcPr>
          <w:p>
            <w:pPr>
              <w:pStyle w:val="TableParagraph"/>
              <w:spacing w:before="31"/>
              <w:ind w:right="68"/>
              <w:jc w:val="center"/>
              <w:rPr>
                <w:sz w:val="18"/>
              </w:rPr>
            </w:pPr>
            <w:r>
              <w:rPr>
                <w:spacing w:val="-4"/>
                <w:sz w:val="18"/>
              </w:rPr>
              <w:t>days</w:t>
            </w:r>
          </w:p>
        </w:tc>
        <w:tc>
          <w:tcPr>
            <w:tcW w:w="677" w:type="dxa"/>
            <w:tcBorders>
              <w:left w:val="single" w:sz="4" w:space="0" w:color="000000"/>
              <w:right w:val="single" w:sz="4" w:space="0" w:color="000000"/>
            </w:tcBorders>
          </w:tcPr>
          <w:p>
            <w:pPr>
              <w:pStyle w:val="TableParagraph"/>
              <w:spacing w:before="31"/>
              <w:ind w:right="70"/>
              <w:jc w:val="center"/>
              <w:rPr>
                <w:sz w:val="18"/>
              </w:rPr>
            </w:pPr>
            <w:r>
              <w:rPr>
                <w:spacing w:val="-2"/>
                <w:sz w:val="18"/>
              </w:rPr>
              <w:t>Count</w:t>
            </w:r>
          </w:p>
        </w:tc>
        <w:tc>
          <w:tcPr>
            <w:tcW w:w="1270" w:type="dxa"/>
            <w:tcBorders>
              <w:left w:val="single" w:sz="4" w:space="0" w:color="000000"/>
            </w:tcBorders>
          </w:tcPr>
          <w:p>
            <w:pPr>
              <w:pStyle w:val="TableParagraph"/>
              <w:spacing w:line="254" w:lineRule="auto" w:before="31"/>
              <w:ind w:left="78" w:right="55"/>
              <w:jc w:val="both"/>
              <w:rPr>
                <w:sz w:val="18"/>
              </w:rPr>
            </w:pPr>
            <w:r>
              <w:rPr>
                <w:sz w:val="18"/>
              </w:rPr>
              <w:t>Extreme heat</w:t>
            </w:r>
            <w:r>
              <w:rPr>
                <w:spacing w:val="80"/>
                <w:sz w:val="18"/>
              </w:rPr>
              <w:t> </w:t>
            </w:r>
            <w:r>
              <w:rPr>
                <w:sz w:val="18"/>
              </w:rPr>
              <w:t>at </w:t>
            </w:r>
            <w:r>
              <w:rPr>
                <w:sz w:val="18"/>
              </w:rPr>
              <w:t>flowering, causes flower </w:t>
            </w:r>
            <w:r>
              <w:rPr>
                <w:spacing w:val="-2"/>
                <w:sz w:val="18"/>
              </w:rPr>
              <w:t>abortion,</w:t>
            </w:r>
            <w:r>
              <w:rPr>
                <w:spacing w:val="-10"/>
                <w:sz w:val="18"/>
              </w:rPr>
              <w:t> </w:t>
            </w:r>
            <w:r>
              <w:rPr>
                <w:spacing w:val="-2"/>
                <w:sz w:val="18"/>
              </w:rPr>
              <w:t>pollen </w:t>
            </w:r>
            <w:r>
              <w:rPr>
                <w:sz w:val="18"/>
              </w:rPr>
              <w:t>tube</w:t>
            </w:r>
            <w:r>
              <w:rPr>
                <w:spacing w:val="53"/>
                <w:sz w:val="18"/>
              </w:rPr>
              <w:t>   </w:t>
            </w:r>
            <w:r>
              <w:rPr>
                <w:spacing w:val="-2"/>
                <w:sz w:val="18"/>
              </w:rPr>
              <w:t>failure,</w:t>
            </w:r>
          </w:p>
          <w:p>
            <w:pPr>
              <w:pStyle w:val="TableParagraph"/>
              <w:spacing w:line="254" w:lineRule="auto" w:before="0"/>
              <w:ind w:left="78" w:right="77"/>
              <w:jc w:val="both"/>
              <w:rPr>
                <w:sz w:val="18"/>
              </w:rPr>
            </w:pPr>
            <w:r>
              <w:rPr>
                <w:sz w:val="18"/>
              </w:rPr>
              <w:t>and </w:t>
            </w:r>
            <w:r>
              <w:rPr>
                <w:sz w:val="18"/>
              </w:rPr>
              <w:t>reduces berry number</w:t>
            </w:r>
          </w:p>
        </w:tc>
      </w:tr>
      <w:tr>
        <w:trPr>
          <w:trHeight w:val="1600" w:hRule="atLeast"/>
        </w:trPr>
        <w:tc>
          <w:tcPr>
            <w:tcW w:w="2715" w:type="dxa"/>
            <w:tcBorders>
              <w:right w:val="single" w:sz="4" w:space="0" w:color="000000"/>
            </w:tcBorders>
          </w:tcPr>
          <w:p>
            <w:pPr>
              <w:pStyle w:val="TableParagraph"/>
              <w:spacing w:line="254" w:lineRule="auto"/>
              <w:ind w:left="79" w:right="94"/>
              <w:rPr>
                <w:sz w:val="18"/>
              </w:rPr>
            </w:pPr>
            <w:r>
              <w:rPr>
                <w:spacing w:val="-2"/>
                <w:sz w:val="18"/>
              </w:rPr>
              <w:t>days.maxTemp.above.35_fl_y1_ </w:t>
            </w:r>
            <w:r>
              <w:rPr>
                <w:spacing w:val="-4"/>
                <w:sz w:val="18"/>
              </w:rPr>
              <w:t>a20</w:t>
            </w:r>
          </w:p>
        </w:tc>
        <w:tc>
          <w:tcPr>
            <w:tcW w:w="1018" w:type="dxa"/>
            <w:tcBorders>
              <w:left w:val="single" w:sz="4" w:space="0" w:color="000000"/>
              <w:right w:val="single" w:sz="4" w:space="0" w:color="000000"/>
            </w:tcBorders>
          </w:tcPr>
          <w:p>
            <w:pPr>
              <w:pStyle w:val="TableParagraph"/>
              <w:spacing w:line="187" w:lineRule="auto" w:before="69"/>
              <w:ind w:left="72" w:right="-56" w:firstLine="5"/>
              <w:rPr>
                <w:sz w:val="18"/>
              </w:rPr>
            </w:pPr>
            <w:r>
              <w:rPr>
                <w:sz w:val="18"/>
              </w:rPr>
              <w:t>Heat</w:t>
            </w:r>
            <w:r>
              <w:rPr>
                <w:spacing w:val="80"/>
                <w:sz w:val="18"/>
              </w:rPr>
              <w:t> </w:t>
            </w:r>
            <w:r>
              <w:rPr>
                <w:sz w:val="18"/>
              </w:rPr>
              <w:t>days </w:t>
            </w:r>
            <w:r>
              <w:rPr>
                <w:spacing w:val="-2"/>
                <w:w w:val="90"/>
                <w:sz w:val="18"/>
              </w:rPr>
              <w:t>(Tmax&gt;35</w:t>
            </w:r>
            <w:r>
              <w:rPr>
                <w:rFonts w:ascii="Meiryo UI" w:hAnsi="Meiryo UI"/>
                <w:i/>
                <w:spacing w:val="-2"/>
                <w:w w:val="90"/>
                <w:position w:val="7"/>
                <w:sz w:val="14"/>
              </w:rPr>
              <w:t>◦</w:t>
            </w:r>
            <w:r>
              <w:rPr>
                <w:spacing w:val="-2"/>
                <w:w w:val="90"/>
                <w:sz w:val="18"/>
              </w:rPr>
              <w:t>C)</w:t>
            </w:r>
          </w:p>
        </w:tc>
        <w:tc>
          <w:tcPr>
            <w:tcW w:w="848" w:type="dxa"/>
            <w:tcBorders>
              <w:left w:val="single" w:sz="4" w:space="0" w:color="000000"/>
              <w:right w:val="single" w:sz="4" w:space="0" w:color="000000"/>
            </w:tcBorders>
          </w:tcPr>
          <w:p>
            <w:pPr>
              <w:pStyle w:val="TableParagraph"/>
              <w:ind w:left="35"/>
              <w:jc w:val="center"/>
              <w:rPr>
                <w:sz w:val="18"/>
              </w:rPr>
            </w:pPr>
            <w:r>
              <w:rPr>
                <w:spacing w:val="-2"/>
                <w:sz w:val="18"/>
              </w:rPr>
              <w:t>Flowering</w:t>
            </w:r>
          </w:p>
        </w:tc>
        <w:tc>
          <w:tcPr>
            <w:tcW w:w="451" w:type="dxa"/>
            <w:tcBorders>
              <w:left w:val="single" w:sz="4" w:space="0" w:color="000000"/>
              <w:right w:val="single" w:sz="4" w:space="0" w:color="000000"/>
            </w:tcBorders>
          </w:tcPr>
          <w:p>
            <w:pPr>
              <w:pStyle w:val="TableParagraph"/>
              <w:ind w:left="77"/>
              <w:rPr>
                <w:sz w:val="18"/>
              </w:rPr>
            </w:pPr>
            <w:r>
              <w:rPr>
                <w:spacing w:val="-5"/>
                <w:sz w:val="18"/>
              </w:rPr>
              <w:t>y1</w:t>
            </w:r>
          </w:p>
        </w:tc>
        <w:tc>
          <w:tcPr>
            <w:tcW w:w="961" w:type="dxa"/>
            <w:tcBorders>
              <w:left w:val="single" w:sz="4" w:space="0" w:color="000000"/>
              <w:right w:val="single" w:sz="4" w:space="0" w:color="000000"/>
            </w:tcBorders>
          </w:tcPr>
          <w:p>
            <w:pPr>
              <w:pStyle w:val="TableParagraph"/>
              <w:ind w:left="77"/>
              <w:rPr>
                <w:sz w:val="18"/>
              </w:rPr>
            </w:pPr>
            <w:r>
              <w:rPr>
                <w:sz w:val="18"/>
              </w:rPr>
              <w:t>20d</w:t>
            </w:r>
            <w:r>
              <w:rPr>
                <w:spacing w:val="-4"/>
                <w:sz w:val="18"/>
              </w:rPr>
              <w:t> after</w:t>
            </w:r>
          </w:p>
        </w:tc>
        <w:tc>
          <w:tcPr>
            <w:tcW w:w="564" w:type="dxa"/>
            <w:tcBorders>
              <w:left w:val="single" w:sz="4" w:space="0" w:color="000000"/>
              <w:right w:val="single" w:sz="4" w:space="0" w:color="000000"/>
            </w:tcBorders>
          </w:tcPr>
          <w:p>
            <w:pPr>
              <w:pStyle w:val="TableParagraph"/>
              <w:ind w:right="68"/>
              <w:jc w:val="center"/>
              <w:rPr>
                <w:sz w:val="18"/>
              </w:rPr>
            </w:pPr>
            <w:r>
              <w:rPr>
                <w:spacing w:val="-4"/>
                <w:sz w:val="18"/>
              </w:rPr>
              <w:t>days</w:t>
            </w:r>
          </w:p>
        </w:tc>
        <w:tc>
          <w:tcPr>
            <w:tcW w:w="677" w:type="dxa"/>
            <w:tcBorders>
              <w:left w:val="single" w:sz="4" w:space="0" w:color="000000"/>
              <w:right w:val="single" w:sz="4" w:space="0" w:color="000000"/>
            </w:tcBorders>
          </w:tcPr>
          <w:p>
            <w:pPr>
              <w:pStyle w:val="TableParagraph"/>
              <w:ind w:right="70"/>
              <w:jc w:val="center"/>
              <w:rPr>
                <w:sz w:val="18"/>
              </w:rPr>
            </w:pPr>
            <w:r>
              <w:rPr>
                <w:spacing w:val="-2"/>
                <w:sz w:val="18"/>
              </w:rPr>
              <w:t>Count</w:t>
            </w:r>
          </w:p>
        </w:tc>
        <w:tc>
          <w:tcPr>
            <w:tcW w:w="1270" w:type="dxa"/>
            <w:tcBorders>
              <w:left w:val="single" w:sz="4" w:space="0" w:color="000000"/>
            </w:tcBorders>
          </w:tcPr>
          <w:p>
            <w:pPr>
              <w:pStyle w:val="TableParagraph"/>
              <w:spacing w:line="254" w:lineRule="auto"/>
              <w:ind w:left="78" w:right="47"/>
              <w:jc w:val="both"/>
              <w:rPr>
                <w:sz w:val="18"/>
              </w:rPr>
            </w:pPr>
            <w:r>
              <w:rPr>
                <w:sz w:val="18"/>
              </w:rPr>
              <w:t>Extended </w:t>
            </w:r>
            <w:r>
              <w:rPr>
                <w:sz w:val="18"/>
              </w:rPr>
              <w:t>post-flowering heat exposure, sus-tained heat im-pact on early berry develop-</w:t>
            </w:r>
            <w:r>
              <w:rPr>
                <w:spacing w:val="-4"/>
                <w:sz w:val="18"/>
              </w:rPr>
              <w:t>ment</w:t>
            </w:r>
          </w:p>
        </w:tc>
      </w:tr>
      <w:tr>
        <w:trPr>
          <w:trHeight w:val="1819" w:hRule="atLeast"/>
        </w:trPr>
        <w:tc>
          <w:tcPr>
            <w:tcW w:w="2715" w:type="dxa"/>
            <w:tcBorders>
              <w:right w:val="single" w:sz="4" w:space="0" w:color="000000"/>
            </w:tcBorders>
          </w:tcPr>
          <w:p>
            <w:pPr>
              <w:pStyle w:val="TableParagraph"/>
              <w:spacing w:line="254" w:lineRule="auto"/>
              <w:ind w:left="79" w:right="94"/>
              <w:rPr>
                <w:sz w:val="18"/>
              </w:rPr>
            </w:pPr>
            <w:r>
              <w:rPr>
                <w:spacing w:val="-2"/>
                <w:sz w:val="18"/>
              </w:rPr>
              <w:t>days.tempMax.above.35_sm_y1_ </w:t>
            </w:r>
            <w:r>
              <w:rPr>
                <w:spacing w:val="-4"/>
                <w:sz w:val="18"/>
              </w:rPr>
              <w:t>b20</w:t>
            </w:r>
          </w:p>
        </w:tc>
        <w:tc>
          <w:tcPr>
            <w:tcW w:w="1018" w:type="dxa"/>
            <w:tcBorders>
              <w:left w:val="single" w:sz="4" w:space="0" w:color="000000"/>
              <w:right w:val="single" w:sz="4" w:space="0" w:color="000000"/>
            </w:tcBorders>
          </w:tcPr>
          <w:p>
            <w:pPr>
              <w:pStyle w:val="TableParagraph"/>
              <w:spacing w:line="187" w:lineRule="auto" w:before="69"/>
              <w:ind w:left="72" w:right="-56" w:firstLine="5"/>
              <w:rPr>
                <w:sz w:val="18"/>
              </w:rPr>
            </w:pPr>
            <w:r>
              <w:rPr>
                <w:sz w:val="18"/>
              </w:rPr>
              <w:t>Heat</w:t>
            </w:r>
            <w:r>
              <w:rPr>
                <w:spacing w:val="80"/>
                <w:sz w:val="18"/>
              </w:rPr>
              <w:t> </w:t>
            </w:r>
            <w:r>
              <w:rPr>
                <w:sz w:val="18"/>
              </w:rPr>
              <w:t>days </w:t>
            </w:r>
            <w:r>
              <w:rPr>
                <w:spacing w:val="-2"/>
                <w:w w:val="90"/>
                <w:sz w:val="18"/>
              </w:rPr>
              <w:t>(Tmax&gt;35</w:t>
            </w:r>
            <w:r>
              <w:rPr>
                <w:rFonts w:ascii="Meiryo UI" w:hAnsi="Meiryo UI"/>
                <w:i/>
                <w:spacing w:val="-2"/>
                <w:w w:val="90"/>
                <w:position w:val="7"/>
                <w:sz w:val="14"/>
              </w:rPr>
              <w:t>◦</w:t>
            </w:r>
            <w:r>
              <w:rPr>
                <w:spacing w:val="-2"/>
                <w:w w:val="90"/>
                <w:sz w:val="18"/>
              </w:rPr>
              <w:t>C)</w:t>
            </w:r>
          </w:p>
        </w:tc>
        <w:tc>
          <w:tcPr>
            <w:tcW w:w="848" w:type="dxa"/>
            <w:tcBorders>
              <w:left w:val="single" w:sz="4" w:space="0" w:color="000000"/>
              <w:right w:val="single" w:sz="4" w:space="0" w:color="000000"/>
            </w:tcBorders>
          </w:tcPr>
          <w:p>
            <w:pPr>
              <w:pStyle w:val="TableParagraph"/>
              <w:spacing w:line="254" w:lineRule="auto"/>
              <w:ind w:left="78"/>
              <w:rPr>
                <w:sz w:val="18"/>
              </w:rPr>
            </w:pPr>
            <w:r>
              <w:rPr>
                <w:sz w:val="18"/>
              </w:rPr>
              <w:t>Start</w:t>
            </w:r>
            <w:r>
              <w:rPr>
                <w:spacing w:val="-7"/>
                <w:sz w:val="18"/>
              </w:rPr>
              <w:t> </w:t>
            </w:r>
            <w:r>
              <w:rPr>
                <w:sz w:val="18"/>
              </w:rPr>
              <w:t>Ma-</w:t>
            </w:r>
            <w:r>
              <w:rPr>
                <w:spacing w:val="-2"/>
                <w:sz w:val="18"/>
              </w:rPr>
              <w:t>turity</w:t>
            </w:r>
          </w:p>
        </w:tc>
        <w:tc>
          <w:tcPr>
            <w:tcW w:w="451" w:type="dxa"/>
            <w:tcBorders>
              <w:left w:val="single" w:sz="4" w:space="0" w:color="000000"/>
              <w:right w:val="single" w:sz="4" w:space="0" w:color="000000"/>
            </w:tcBorders>
          </w:tcPr>
          <w:p>
            <w:pPr>
              <w:pStyle w:val="TableParagraph"/>
              <w:ind w:left="77"/>
              <w:rPr>
                <w:sz w:val="18"/>
              </w:rPr>
            </w:pPr>
            <w:r>
              <w:rPr>
                <w:spacing w:val="-5"/>
                <w:sz w:val="18"/>
              </w:rPr>
              <w:t>y1</w:t>
            </w:r>
          </w:p>
        </w:tc>
        <w:tc>
          <w:tcPr>
            <w:tcW w:w="961" w:type="dxa"/>
            <w:tcBorders>
              <w:left w:val="single" w:sz="4" w:space="0" w:color="000000"/>
              <w:right w:val="single" w:sz="4" w:space="0" w:color="000000"/>
            </w:tcBorders>
          </w:tcPr>
          <w:p>
            <w:pPr>
              <w:pStyle w:val="TableParagraph"/>
              <w:ind w:left="77"/>
              <w:rPr>
                <w:sz w:val="18"/>
              </w:rPr>
            </w:pPr>
            <w:r>
              <w:rPr>
                <w:sz w:val="18"/>
              </w:rPr>
              <w:t>20d</w:t>
            </w:r>
            <w:r>
              <w:rPr>
                <w:spacing w:val="-4"/>
                <w:sz w:val="18"/>
              </w:rPr>
              <w:t> </w:t>
            </w:r>
            <w:r>
              <w:rPr>
                <w:spacing w:val="-2"/>
                <w:sz w:val="18"/>
              </w:rPr>
              <w:t>before</w:t>
            </w:r>
          </w:p>
        </w:tc>
        <w:tc>
          <w:tcPr>
            <w:tcW w:w="564" w:type="dxa"/>
            <w:tcBorders>
              <w:left w:val="single" w:sz="4" w:space="0" w:color="000000"/>
              <w:right w:val="single" w:sz="4" w:space="0" w:color="000000"/>
            </w:tcBorders>
          </w:tcPr>
          <w:p>
            <w:pPr>
              <w:pStyle w:val="TableParagraph"/>
              <w:ind w:right="68"/>
              <w:jc w:val="center"/>
              <w:rPr>
                <w:sz w:val="18"/>
              </w:rPr>
            </w:pPr>
            <w:r>
              <w:rPr>
                <w:spacing w:val="-4"/>
                <w:sz w:val="18"/>
              </w:rPr>
              <w:t>days</w:t>
            </w:r>
          </w:p>
        </w:tc>
        <w:tc>
          <w:tcPr>
            <w:tcW w:w="677" w:type="dxa"/>
            <w:tcBorders>
              <w:left w:val="single" w:sz="4" w:space="0" w:color="000000"/>
              <w:right w:val="single" w:sz="4" w:space="0" w:color="000000"/>
            </w:tcBorders>
          </w:tcPr>
          <w:p>
            <w:pPr>
              <w:pStyle w:val="TableParagraph"/>
              <w:ind w:right="70"/>
              <w:jc w:val="center"/>
              <w:rPr>
                <w:sz w:val="18"/>
              </w:rPr>
            </w:pPr>
            <w:r>
              <w:rPr>
                <w:spacing w:val="-2"/>
                <w:sz w:val="18"/>
              </w:rPr>
              <w:t>Count</w:t>
            </w:r>
          </w:p>
        </w:tc>
        <w:tc>
          <w:tcPr>
            <w:tcW w:w="1270" w:type="dxa"/>
            <w:tcBorders>
              <w:left w:val="single" w:sz="4" w:space="0" w:color="000000"/>
            </w:tcBorders>
          </w:tcPr>
          <w:p>
            <w:pPr>
              <w:pStyle w:val="TableParagraph"/>
              <w:tabs>
                <w:tab w:pos="778" w:val="left" w:leader="none"/>
                <w:tab w:pos="991" w:val="left" w:leader="none"/>
              </w:tabs>
              <w:spacing w:line="254" w:lineRule="auto"/>
              <w:ind w:left="73" w:right="48" w:firstLine="4"/>
              <w:rPr>
                <w:sz w:val="18"/>
              </w:rPr>
            </w:pPr>
            <w:r>
              <w:rPr>
                <w:spacing w:val="-4"/>
                <w:sz w:val="18"/>
              </w:rPr>
              <w:t>Heat</w:t>
            </w:r>
            <w:r>
              <w:rPr>
                <w:sz w:val="18"/>
              </w:rPr>
              <w:tab/>
            </w:r>
            <w:r>
              <w:rPr>
                <w:spacing w:val="-2"/>
                <w:sz w:val="18"/>
              </w:rPr>
              <w:t>stress approaching veraison,</w:t>
            </w:r>
            <w:r>
              <w:rPr>
                <w:sz w:val="18"/>
              </w:rPr>
              <w:tab/>
              <w:tab/>
            </w:r>
            <w:r>
              <w:rPr>
                <w:spacing w:val="-4"/>
                <w:sz w:val="18"/>
              </w:rPr>
              <w:t>ac-</w:t>
            </w:r>
            <w:r>
              <w:rPr>
                <w:sz w:val="18"/>
              </w:rPr>
              <w:t>celerates</w:t>
            </w:r>
            <w:r>
              <w:rPr>
                <w:spacing w:val="39"/>
                <w:sz w:val="18"/>
              </w:rPr>
              <w:t> </w:t>
            </w:r>
            <w:r>
              <w:rPr>
                <w:sz w:val="18"/>
              </w:rPr>
              <w:t>sugar rise;</w:t>
            </w:r>
            <w:r>
              <w:rPr>
                <w:spacing w:val="-8"/>
                <w:sz w:val="18"/>
              </w:rPr>
              <w:t> </w:t>
            </w:r>
            <w:r>
              <w:rPr>
                <w:sz w:val="18"/>
              </w:rPr>
              <w:t>can</w:t>
            </w:r>
            <w:r>
              <w:rPr>
                <w:spacing w:val="-9"/>
                <w:sz w:val="18"/>
              </w:rPr>
              <w:t> </w:t>
            </w:r>
            <w:r>
              <w:rPr>
                <w:sz w:val="18"/>
              </w:rPr>
              <w:t>impair acid</w:t>
            </w:r>
            <w:r>
              <w:rPr>
                <w:spacing w:val="80"/>
                <w:sz w:val="18"/>
              </w:rPr>
              <w:t> </w:t>
            </w:r>
            <w:r>
              <w:rPr>
                <w:sz w:val="18"/>
              </w:rPr>
              <w:t>retention </w:t>
            </w:r>
            <w:r>
              <w:rPr>
                <w:spacing w:val="-4"/>
                <w:sz w:val="18"/>
              </w:rPr>
              <w:t>and</w:t>
            </w:r>
            <w:r>
              <w:rPr>
                <w:sz w:val="18"/>
              </w:rPr>
              <w:tab/>
            </w:r>
            <w:r>
              <w:rPr>
                <w:spacing w:val="-24"/>
                <w:sz w:val="18"/>
              </w:rPr>
              <w:t> </w:t>
            </w:r>
            <w:r>
              <w:rPr>
                <w:sz w:val="18"/>
              </w:rPr>
              <w:t>berry </w:t>
            </w:r>
            <w:r>
              <w:rPr>
                <w:spacing w:val="-2"/>
                <w:sz w:val="18"/>
              </w:rPr>
              <w:t>integrity</w:t>
            </w:r>
          </w:p>
        </w:tc>
      </w:tr>
      <w:tr>
        <w:trPr>
          <w:trHeight w:val="1417" w:hRule="atLeast"/>
        </w:trPr>
        <w:tc>
          <w:tcPr>
            <w:tcW w:w="2715" w:type="dxa"/>
            <w:tcBorders>
              <w:bottom w:val="single" w:sz="8" w:space="0" w:color="000000"/>
              <w:right w:val="single" w:sz="4" w:space="0" w:color="000000"/>
            </w:tcBorders>
          </w:tcPr>
          <w:p>
            <w:pPr>
              <w:pStyle w:val="TableParagraph"/>
              <w:spacing w:line="254" w:lineRule="auto"/>
              <w:ind w:left="79"/>
              <w:rPr>
                <w:sz w:val="18"/>
              </w:rPr>
            </w:pPr>
            <w:r>
              <w:rPr>
                <w:spacing w:val="-2"/>
                <w:sz w:val="18"/>
              </w:rPr>
              <w:t>days.maxTemp.above.35_sm_y1_ </w:t>
            </w:r>
            <w:r>
              <w:rPr>
                <w:spacing w:val="-4"/>
                <w:sz w:val="18"/>
              </w:rPr>
              <w:t>a20</w:t>
            </w:r>
          </w:p>
        </w:tc>
        <w:tc>
          <w:tcPr>
            <w:tcW w:w="1018" w:type="dxa"/>
            <w:tcBorders>
              <w:left w:val="single" w:sz="4" w:space="0" w:color="000000"/>
              <w:bottom w:val="single" w:sz="8" w:space="0" w:color="000000"/>
              <w:right w:val="single" w:sz="4" w:space="0" w:color="000000"/>
            </w:tcBorders>
          </w:tcPr>
          <w:p>
            <w:pPr>
              <w:pStyle w:val="TableParagraph"/>
              <w:spacing w:line="187" w:lineRule="auto" w:before="69"/>
              <w:ind w:left="72" w:right="-56" w:firstLine="5"/>
              <w:rPr>
                <w:sz w:val="18"/>
              </w:rPr>
            </w:pPr>
            <w:r>
              <w:rPr>
                <w:sz w:val="18"/>
              </w:rPr>
              <w:t>Heat</w:t>
            </w:r>
            <w:r>
              <w:rPr>
                <w:spacing w:val="80"/>
                <w:sz w:val="18"/>
              </w:rPr>
              <w:t> </w:t>
            </w:r>
            <w:r>
              <w:rPr>
                <w:sz w:val="18"/>
              </w:rPr>
              <w:t>days </w:t>
            </w:r>
            <w:r>
              <w:rPr>
                <w:spacing w:val="-2"/>
                <w:w w:val="90"/>
                <w:sz w:val="18"/>
              </w:rPr>
              <w:t>(Tmax&gt;35</w:t>
            </w:r>
            <w:r>
              <w:rPr>
                <w:rFonts w:ascii="Meiryo UI" w:hAnsi="Meiryo UI"/>
                <w:i/>
                <w:spacing w:val="-2"/>
                <w:w w:val="90"/>
                <w:position w:val="7"/>
                <w:sz w:val="14"/>
              </w:rPr>
              <w:t>◦</w:t>
            </w:r>
            <w:r>
              <w:rPr>
                <w:spacing w:val="-2"/>
                <w:w w:val="90"/>
                <w:sz w:val="18"/>
              </w:rPr>
              <w:t>C)</w:t>
            </w:r>
          </w:p>
        </w:tc>
        <w:tc>
          <w:tcPr>
            <w:tcW w:w="848" w:type="dxa"/>
            <w:tcBorders>
              <w:left w:val="single" w:sz="4" w:space="0" w:color="000000"/>
              <w:bottom w:val="single" w:sz="8" w:space="0" w:color="000000"/>
              <w:right w:val="single" w:sz="4" w:space="0" w:color="000000"/>
            </w:tcBorders>
          </w:tcPr>
          <w:p>
            <w:pPr>
              <w:pStyle w:val="TableParagraph"/>
              <w:spacing w:line="254" w:lineRule="auto"/>
              <w:ind w:left="78"/>
              <w:rPr>
                <w:sz w:val="18"/>
              </w:rPr>
            </w:pPr>
            <w:r>
              <w:rPr>
                <w:sz w:val="18"/>
              </w:rPr>
              <w:t>Start</w:t>
            </w:r>
            <w:r>
              <w:rPr>
                <w:spacing w:val="-7"/>
                <w:sz w:val="18"/>
              </w:rPr>
              <w:t> </w:t>
            </w:r>
            <w:r>
              <w:rPr>
                <w:sz w:val="18"/>
              </w:rPr>
              <w:t>Ma-</w:t>
            </w:r>
            <w:r>
              <w:rPr>
                <w:spacing w:val="-2"/>
                <w:sz w:val="18"/>
              </w:rPr>
              <w:t>turity</w:t>
            </w:r>
          </w:p>
        </w:tc>
        <w:tc>
          <w:tcPr>
            <w:tcW w:w="451" w:type="dxa"/>
            <w:tcBorders>
              <w:left w:val="single" w:sz="4" w:space="0" w:color="000000"/>
              <w:bottom w:val="single" w:sz="8" w:space="0" w:color="000000"/>
              <w:right w:val="single" w:sz="4" w:space="0" w:color="000000"/>
            </w:tcBorders>
          </w:tcPr>
          <w:p>
            <w:pPr>
              <w:pStyle w:val="TableParagraph"/>
              <w:ind w:left="77"/>
              <w:rPr>
                <w:sz w:val="18"/>
              </w:rPr>
            </w:pPr>
            <w:r>
              <w:rPr>
                <w:spacing w:val="-5"/>
                <w:sz w:val="18"/>
              </w:rPr>
              <w:t>y1</w:t>
            </w:r>
          </w:p>
        </w:tc>
        <w:tc>
          <w:tcPr>
            <w:tcW w:w="961" w:type="dxa"/>
            <w:tcBorders>
              <w:left w:val="single" w:sz="4" w:space="0" w:color="000000"/>
              <w:bottom w:val="single" w:sz="8" w:space="0" w:color="000000"/>
              <w:right w:val="single" w:sz="4" w:space="0" w:color="000000"/>
            </w:tcBorders>
          </w:tcPr>
          <w:p>
            <w:pPr>
              <w:pStyle w:val="TableParagraph"/>
              <w:ind w:left="77"/>
              <w:rPr>
                <w:sz w:val="18"/>
              </w:rPr>
            </w:pPr>
            <w:r>
              <w:rPr>
                <w:sz w:val="18"/>
              </w:rPr>
              <w:t>20d</w:t>
            </w:r>
            <w:r>
              <w:rPr>
                <w:spacing w:val="-4"/>
                <w:sz w:val="18"/>
              </w:rPr>
              <w:t> after</w:t>
            </w:r>
          </w:p>
        </w:tc>
        <w:tc>
          <w:tcPr>
            <w:tcW w:w="564" w:type="dxa"/>
            <w:tcBorders>
              <w:left w:val="single" w:sz="4" w:space="0" w:color="000000"/>
              <w:bottom w:val="single" w:sz="8" w:space="0" w:color="000000"/>
              <w:right w:val="single" w:sz="4" w:space="0" w:color="000000"/>
            </w:tcBorders>
          </w:tcPr>
          <w:p>
            <w:pPr>
              <w:pStyle w:val="TableParagraph"/>
              <w:ind w:right="68"/>
              <w:jc w:val="center"/>
              <w:rPr>
                <w:sz w:val="18"/>
              </w:rPr>
            </w:pPr>
            <w:r>
              <w:rPr>
                <w:spacing w:val="-4"/>
                <w:sz w:val="18"/>
              </w:rPr>
              <w:t>days</w:t>
            </w:r>
          </w:p>
        </w:tc>
        <w:tc>
          <w:tcPr>
            <w:tcW w:w="677" w:type="dxa"/>
            <w:tcBorders>
              <w:left w:val="single" w:sz="4" w:space="0" w:color="000000"/>
              <w:bottom w:val="single" w:sz="8" w:space="0" w:color="000000"/>
              <w:right w:val="single" w:sz="4" w:space="0" w:color="000000"/>
            </w:tcBorders>
          </w:tcPr>
          <w:p>
            <w:pPr>
              <w:pStyle w:val="TableParagraph"/>
              <w:ind w:right="70"/>
              <w:jc w:val="center"/>
              <w:rPr>
                <w:sz w:val="18"/>
              </w:rPr>
            </w:pPr>
            <w:r>
              <w:rPr>
                <w:spacing w:val="-2"/>
                <w:sz w:val="18"/>
              </w:rPr>
              <w:t>Count</w:t>
            </w:r>
          </w:p>
        </w:tc>
        <w:tc>
          <w:tcPr>
            <w:tcW w:w="1270" w:type="dxa"/>
            <w:tcBorders>
              <w:left w:val="single" w:sz="4" w:space="0" w:color="000000"/>
              <w:bottom w:val="single" w:sz="8" w:space="0" w:color="000000"/>
            </w:tcBorders>
          </w:tcPr>
          <w:p>
            <w:pPr>
              <w:pStyle w:val="TableParagraph"/>
              <w:tabs>
                <w:tab w:pos="707" w:val="left" w:leader="none"/>
                <w:tab w:pos="755" w:val="left" w:leader="none"/>
              </w:tabs>
              <w:spacing w:line="254" w:lineRule="auto"/>
              <w:ind w:left="78" w:right="47"/>
              <w:rPr>
                <w:sz w:val="18"/>
              </w:rPr>
            </w:pPr>
            <w:r>
              <w:rPr>
                <w:spacing w:val="-2"/>
                <w:sz w:val="18"/>
              </w:rPr>
              <w:t>Post-veraison </w:t>
            </w:r>
            <w:r>
              <w:rPr>
                <w:spacing w:val="-4"/>
                <w:sz w:val="18"/>
              </w:rPr>
              <w:t>heat</w:t>
            </w:r>
            <w:r>
              <w:rPr>
                <w:sz w:val="18"/>
              </w:rPr>
              <w:tab/>
              <w:tab/>
            </w:r>
            <w:r>
              <w:rPr>
                <w:spacing w:val="-2"/>
                <w:sz w:val="18"/>
              </w:rPr>
              <w:t>stress, </w:t>
            </w:r>
            <w:r>
              <w:rPr>
                <w:sz w:val="18"/>
              </w:rPr>
              <w:t>berry</w:t>
            </w:r>
            <w:r>
              <w:rPr>
                <w:spacing w:val="80"/>
                <w:sz w:val="18"/>
              </w:rPr>
              <w:t> </w:t>
            </w:r>
            <w:r>
              <w:rPr>
                <w:sz w:val="18"/>
              </w:rPr>
              <w:t>thermal </w:t>
            </w:r>
            <w:r>
              <w:rPr>
                <w:spacing w:val="-2"/>
                <w:sz w:val="18"/>
              </w:rPr>
              <w:t>stress</w:t>
            </w:r>
            <w:r>
              <w:rPr>
                <w:sz w:val="18"/>
              </w:rPr>
              <w:tab/>
            </w:r>
            <w:r>
              <w:rPr>
                <w:spacing w:val="-2"/>
                <w:sz w:val="18"/>
              </w:rPr>
              <w:t>during </w:t>
            </w:r>
            <w:r>
              <w:rPr>
                <w:sz w:val="18"/>
              </w:rPr>
              <w:t>the</w:t>
            </w:r>
            <w:r>
              <w:rPr>
                <w:spacing w:val="40"/>
                <w:sz w:val="18"/>
              </w:rPr>
              <w:t> </w:t>
            </w:r>
            <w:r>
              <w:rPr>
                <w:sz w:val="18"/>
              </w:rPr>
              <w:t>key</w:t>
            </w:r>
            <w:r>
              <w:rPr>
                <w:spacing w:val="40"/>
                <w:sz w:val="18"/>
              </w:rPr>
              <w:t> </w:t>
            </w:r>
            <w:r>
              <w:rPr>
                <w:sz w:val="18"/>
              </w:rPr>
              <w:t>ripen-ing phase</w:t>
            </w:r>
          </w:p>
        </w:tc>
      </w:tr>
    </w:tbl>
    <w:p>
      <w:pPr>
        <w:pStyle w:val="TableParagraph"/>
        <w:spacing w:after="0" w:line="254" w:lineRule="auto"/>
        <w:rPr>
          <w:sz w:val="18"/>
        </w:rPr>
        <w:sectPr>
          <w:pgSz w:w="11910" w:h="16840"/>
          <w:pgMar w:header="1160" w:footer="0" w:top="1420" w:bottom="280" w:left="1275" w:right="425"/>
        </w:sectPr>
      </w:pPr>
    </w:p>
    <w:p>
      <w:pPr>
        <w:pStyle w:val="BodyText"/>
        <w:spacing w:before="4"/>
        <w:rPr>
          <w:sz w:val="17"/>
        </w:rPr>
      </w:pPr>
    </w:p>
    <w:p>
      <w:pPr>
        <w:pStyle w:val="BodyText"/>
        <w:spacing w:after="0"/>
        <w:rPr>
          <w:sz w:val="17"/>
        </w:rPr>
        <w:sectPr>
          <w:pgSz w:w="11910" w:h="16840"/>
          <w:pgMar w:header="1160" w:footer="0" w:top="1420" w:bottom="280" w:left="1275" w:right="425"/>
        </w:sectPr>
      </w:pPr>
    </w:p>
    <w:p>
      <w:pPr>
        <w:pStyle w:val="BodyText"/>
        <w:rPr>
          <w:sz w:val="41"/>
        </w:rPr>
      </w:pPr>
    </w:p>
    <w:p>
      <w:pPr>
        <w:pStyle w:val="BodyText"/>
        <w:rPr>
          <w:sz w:val="41"/>
        </w:rPr>
      </w:pPr>
    </w:p>
    <w:p>
      <w:pPr>
        <w:pStyle w:val="BodyText"/>
        <w:spacing w:before="25"/>
        <w:rPr>
          <w:sz w:val="41"/>
        </w:rPr>
      </w:pPr>
    </w:p>
    <w:p>
      <w:pPr>
        <w:spacing w:before="0"/>
        <w:ind w:left="694" w:right="0" w:firstLine="0"/>
        <w:jc w:val="left"/>
        <w:rPr>
          <w:b/>
          <w:sz w:val="41"/>
        </w:rPr>
      </w:pPr>
      <w:bookmarkStart w:name="D Feature Coverage Map" w:id="322"/>
      <w:bookmarkEnd w:id="322"/>
      <w:r>
        <w:rPr/>
      </w:r>
      <w:bookmarkStart w:name="_bookmark193" w:id="323"/>
      <w:bookmarkEnd w:id="323"/>
      <w:r>
        <w:rPr/>
      </w:r>
      <w:r>
        <w:rPr>
          <w:b/>
          <w:sz w:val="41"/>
        </w:rPr>
        <w:t>Appendix</w:t>
      </w:r>
      <w:r>
        <w:rPr>
          <w:b/>
          <w:spacing w:val="-11"/>
          <w:sz w:val="41"/>
        </w:rPr>
        <w:t> </w:t>
      </w:r>
      <w:r>
        <w:rPr>
          <w:b/>
          <w:spacing w:val="-10"/>
          <w:sz w:val="41"/>
        </w:rPr>
        <w:t>D</w:t>
      </w:r>
    </w:p>
    <w:p>
      <w:pPr>
        <w:pStyle w:val="BodyText"/>
        <w:spacing w:before="106"/>
        <w:rPr>
          <w:b/>
          <w:sz w:val="41"/>
        </w:rPr>
      </w:pPr>
    </w:p>
    <w:p>
      <w:pPr>
        <w:pStyle w:val="Heading1"/>
      </w:pPr>
      <w:r>
        <w:rPr/>
        <w:t>Feature</w:t>
      </w:r>
      <w:r>
        <w:rPr>
          <w:spacing w:val="3"/>
        </w:rPr>
        <w:t> </w:t>
      </w:r>
      <w:r>
        <w:rPr/>
        <w:t>Coverage</w:t>
      </w:r>
      <w:r>
        <w:rPr>
          <w:spacing w:val="3"/>
        </w:rPr>
        <w:t> </w:t>
      </w:r>
      <w:r>
        <w:rPr>
          <w:spacing w:val="-5"/>
        </w:rPr>
        <w:t>Map</w:t>
      </w:r>
    </w:p>
    <w:p>
      <w:pPr>
        <w:pStyle w:val="BodyText"/>
        <w:spacing w:before="194"/>
        <w:rPr>
          <w:b/>
          <w:sz w:val="49"/>
        </w:rPr>
      </w:pPr>
    </w:p>
    <w:p>
      <w:pPr>
        <w:pStyle w:val="BodyText"/>
        <w:spacing w:line="328" w:lineRule="exact"/>
        <w:ind w:left="702" w:right="952" w:firstLine="6"/>
        <w:jc w:val="both"/>
      </w:pPr>
      <w:r>
        <w:rPr/>
        <w:t>Figure</w:t>
      </w:r>
      <w:r>
        <w:rPr>
          <w:spacing w:val="-1"/>
        </w:rPr>
        <w:t> </w:t>
      </w:r>
      <w:hyperlink w:history="true" w:anchor="_bookmark194">
        <w:r>
          <w:rPr>
            <w:color w:val="8B2C18"/>
          </w:rPr>
          <w:t>D.1</w:t>
        </w:r>
      </w:hyperlink>
      <w:r>
        <w:rPr>
          <w:color w:val="8B2C18"/>
          <w:spacing w:val="-1"/>
        </w:rPr>
        <w:t> </w:t>
      </w:r>
      <w:r>
        <w:rPr/>
        <w:t>provides</w:t>
      </w:r>
      <w:r>
        <w:rPr>
          <w:spacing w:val="-1"/>
        </w:rPr>
        <w:t> </w:t>
      </w:r>
      <w:r>
        <w:rPr/>
        <w:t>a</w:t>
      </w:r>
      <w:r>
        <w:rPr>
          <w:spacing w:val="-1"/>
        </w:rPr>
        <w:t> </w:t>
      </w:r>
      <w:r>
        <w:rPr/>
        <w:t>visual</w:t>
      </w:r>
      <w:r>
        <w:rPr>
          <w:spacing w:val="-1"/>
        </w:rPr>
        <w:t> </w:t>
      </w:r>
      <w:r>
        <w:rPr/>
        <w:t>overview</w:t>
      </w:r>
      <w:r>
        <w:rPr>
          <w:spacing w:val="-1"/>
        </w:rPr>
        <w:t> </w:t>
      </w:r>
      <w:r>
        <w:rPr/>
        <w:t>of</w:t>
      </w:r>
      <w:r>
        <w:rPr>
          <w:spacing w:val="-1"/>
        </w:rPr>
        <w:t> </w:t>
      </w:r>
      <w:r>
        <w:rPr/>
        <w:t>all</w:t>
      </w:r>
      <w:r>
        <w:rPr>
          <w:spacing w:val="-1"/>
        </w:rPr>
        <w:t> </w:t>
      </w:r>
      <w:r>
        <w:rPr/>
        <w:t>59</w:t>
      </w:r>
      <w:r>
        <w:rPr>
          <w:spacing w:val="-1"/>
        </w:rPr>
        <w:t> </w:t>
      </w:r>
      <w:r>
        <w:rPr/>
        <w:t>agroclimatic</w:t>
      </w:r>
      <w:r>
        <w:rPr>
          <w:spacing w:val="-1"/>
        </w:rPr>
        <w:t> </w:t>
      </w:r>
      <w:r>
        <w:rPr/>
        <w:t>features</w:t>
      </w:r>
      <w:r>
        <w:rPr>
          <w:spacing w:val="-1"/>
        </w:rPr>
        <w:t> </w:t>
      </w:r>
      <w:r>
        <w:rPr/>
        <w:t>in</w:t>
      </w:r>
      <w:r>
        <w:rPr>
          <w:spacing w:val="-1"/>
        </w:rPr>
        <w:t> </w:t>
      </w:r>
      <w:r>
        <w:rPr/>
        <w:t>the</w:t>
      </w:r>
      <w:r>
        <w:rPr>
          <w:spacing w:val="-1"/>
        </w:rPr>
        <w:t> </w:t>
      </w:r>
      <w:r>
        <w:rPr/>
        <w:t>dataset,</w:t>
      </w:r>
      <w:r>
        <w:rPr>
          <w:spacing w:val="-1"/>
        </w:rPr>
        <w:t> </w:t>
      </w:r>
      <w:r>
        <w:rPr/>
        <w:t>organised</w:t>
      </w:r>
      <w:r>
        <w:rPr>
          <w:spacing w:val="-1"/>
        </w:rPr>
        <w:t> </w:t>
      </w:r>
      <w:r>
        <w:rPr/>
        <w:t>by variable family (rows) and phenological stage </w:t>
      </w:r>
      <w:r>
        <w:rPr>
          <w:rFonts w:ascii="Meiryo UI" w:hAnsi="Meiryo UI"/>
          <w:i/>
        </w:rPr>
        <w:t>×</w:t>
      </w:r>
      <w:r>
        <w:rPr>
          <w:rFonts w:ascii="Meiryo UI" w:hAnsi="Meiryo UI"/>
          <w:i/>
          <w:spacing w:val="-19"/>
        </w:rPr>
        <w:t> </w:t>
      </w:r>
      <w:r>
        <w:rPr/>
        <w:t>window position (columns). Each coloured cell represents one or more feature windows: the darker upper half shows features computed for the </w:t>
      </w:r>
      <w:r>
        <w:rPr>
          <w:spacing w:val="-2"/>
        </w:rPr>
        <w:t>current</w:t>
      </w:r>
      <w:r>
        <w:rPr>
          <w:spacing w:val="-6"/>
        </w:rPr>
        <w:t> </w:t>
      </w:r>
      <w:r>
        <w:rPr>
          <w:spacing w:val="-2"/>
        </w:rPr>
        <w:t>harvest</w:t>
      </w:r>
      <w:r>
        <w:rPr>
          <w:spacing w:val="-6"/>
        </w:rPr>
        <w:t> </w:t>
      </w:r>
      <w:r>
        <w:rPr>
          <w:spacing w:val="-2"/>
        </w:rPr>
        <w:t>year</w:t>
      </w:r>
      <w:r>
        <w:rPr>
          <w:spacing w:val="-6"/>
        </w:rPr>
        <w:t> </w:t>
      </w:r>
      <w:r>
        <w:rPr>
          <w:spacing w:val="-2"/>
        </w:rPr>
        <w:t>(y1);</w:t>
      </w:r>
      <w:r>
        <w:rPr>
          <w:spacing w:val="-6"/>
        </w:rPr>
        <w:t> </w:t>
      </w:r>
      <w:r>
        <w:rPr>
          <w:spacing w:val="-2"/>
        </w:rPr>
        <w:t>the</w:t>
      </w:r>
      <w:r>
        <w:rPr>
          <w:spacing w:val="-6"/>
        </w:rPr>
        <w:t> </w:t>
      </w:r>
      <w:r>
        <w:rPr>
          <w:spacing w:val="-2"/>
        </w:rPr>
        <w:t>lighter</w:t>
      </w:r>
      <w:r>
        <w:rPr>
          <w:spacing w:val="-6"/>
        </w:rPr>
        <w:t> </w:t>
      </w:r>
      <w:r>
        <w:rPr>
          <w:spacing w:val="-2"/>
        </w:rPr>
        <w:t>lower</w:t>
      </w:r>
      <w:r>
        <w:rPr>
          <w:spacing w:val="-6"/>
        </w:rPr>
        <w:t> </w:t>
      </w:r>
      <w:r>
        <w:rPr>
          <w:spacing w:val="-2"/>
        </w:rPr>
        <w:t>half</w:t>
      </w:r>
      <w:r>
        <w:rPr>
          <w:spacing w:val="-6"/>
        </w:rPr>
        <w:t> </w:t>
      </w:r>
      <w:r>
        <w:rPr>
          <w:spacing w:val="-2"/>
        </w:rPr>
        <w:t>shows</w:t>
      </w:r>
      <w:r>
        <w:rPr>
          <w:spacing w:val="-6"/>
        </w:rPr>
        <w:t> </w:t>
      </w:r>
      <w:r>
        <w:rPr>
          <w:spacing w:val="-2"/>
        </w:rPr>
        <w:t>features</w:t>
      </w:r>
      <w:r>
        <w:rPr>
          <w:spacing w:val="-6"/>
        </w:rPr>
        <w:t> </w:t>
      </w:r>
      <w:r>
        <w:rPr>
          <w:spacing w:val="-2"/>
        </w:rPr>
        <w:t>computed</w:t>
      </w:r>
      <w:r>
        <w:rPr>
          <w:spacing w:val="-6"/>
        </w:rPr>
        <w:t> </w:t>
      </w:r>
      <w:r>
        <w:rPr>
          <w:spacing w:val="-2"/>
        </w:rPr>
        <w:t>for</w:t>
      </w:r>
      <w:r>
        <w:rPr>
          <w:spacing w:val="-6"/>
        </w:rPr>
        <w:t> </w:t>
      </w:r>
      <w:r>
        <w:rPr>
          <w:spacing w:val="-2"/>
        </w:rPr>
        <w:t>the</w:t>
      </w:r>
      <w:r>
        <w:rPr>
          <w:spacing w:val="-6"/>
        </w:rPr>
        <w:t> </w:t>
      </w:r>
      <w:r>
        <w:rPr>
          <w:spacing w:val="-2"/>
        </w:rPr>
        <w:t>previous</w:t>
      </w:r>
      <w:r>
        <w:rPr>
          <w:spacing w:val="-6"/>
        </w:rPr>
        <w:t> </w:t>
      </w:r>
      <w:r>
        <w:rPr>
          <w:spacing w:val="-2"/>
        </w:rPr>
        <w:t>year</w:t>
      </w:r>
      <w:r>
        <w:rPr>
          <w:spacing w:val="-6"/>
        </w:rPr>
        <w:t> </w:t>
      </w:r>
      <w:r>
        <w:rPr>
          <w:spacing w:val="-2"/>
        </w:rPr>
        <w:t>(y0). </w:t>
      </w:r>
      <w:r>
        <w:rPr/>
        <w:t>The number inside each cell is the window width in days.</w:t>
      </w:r>
    </w:p>
    <w:p>
      <w:pPr>
        <w:pStyle w:val="BodyText"/>
        <w:spacing w:line="312" w:lineRule="auto" w:before="61"/>
        <w:ind w:left="701" w:right="986" w:firstLine="346"/>
        <w:jc w:val="both"/>
      </w:pPr>
      <w:r>
        <w:rPr/>
        <w:t>The</w:t>
      </w:r>
      <w:r>
        <w:rPr>
          <w:spacing w:val="-9"/>
        </w:rPr>
        <w:t> </w:t>
      </w:r>
      <w:r>
        <w:rPr/>
        <w:t>map</w:t>
      </w:r>
      <w:r>
        <w:rPr>
          <w:spacing w:val="-9"/>
        </w:rPr>
        <w:t> </w:t>
      </w:r>
      <w:r>
        <w:rPr/>
        <w:t>makes</w:t>
      </w:r>
      <w:r>
        <w:rPr>
          <w:spacing w:val="-9"/>
        </w:rPr>
        <w:t> </w:t>
      </w:r>
      <w:r>
        <w:rPr/>
        <w:t>several</w:t>
      </w:r>
      <w:r>
        <w:rPr>
          <w:spacing w:val="-9"/>
        </w:rPr>
        <w:t> </w:t>
      </w:r>
      <w:r>
        <w:rPr/>
        <w:t>structural</w:t>
      </w:r>
      <w:r>
        <w:rPr>
          <w:spacing w:val="-9"/>
        </w:rPr>
        <w:t> </w:t>
      </w:r>
      <w:r>
        <w:rPr/>
        <w:t>properties</w:t>
      </w:r>
      <w:r>
        <w:rPr>
          <w:spacing w:val="-9"/>
        </w:rPr>
        <w:t> </w:t>
      </w:r>
      <w:r>
        <w:rPr/>
        <w:t>of</w:t>
      </w:r>
      <w:r>
        <w:rPr>
          <w:spacing w:val="-9"/>
        </w:rPr>
        <w:t> </w:t>
      </w:r>
      <w:r>
        <w:rPr/>
        <w:t>the</w:t>
      </w:r>
      <w:r>
        <w:rPr>
          <w:spacing w:val="-9"/>
        </w:rPr>
        <w:t> </w:t>
      </w:r>
      <w:r>
        <w:rPr/>
        <w:t>feature</w:t>
      </w:r>
      <w:r>
        <w:rPr>
          <w:spacing w:val="-9"/>
        </w:rPr>
        <w:t> </w:t>
      </w:r>
      <w:r>
        <w:rPr/>
        <w:t>set</w:t>
      </w:r>
      <w:r>
        <w:rPr>
          <w:spacing w:val="-9"/>
        </w:rPr>
        <w:t> </w:t>
      </w:r>
      <w:r>
        <w:rPr/>
        <w:t>immediately</w:t>
      </w:r>
      <w:r>
        <w:rPr>
          <w:spacing w:val="-9"/>
        </w:rPr>
        <w:t> </w:t>
      </w:r>
      <w:r>
        <w:rPr/>
        <w:t>visible. Flowering is the most densely populated stage, contributing features across all variable families and both </w:t>
      </w:r>
      <w:r>
        <w:rPr>
          <w:spacing w:val="-2"/>
        </w:rPr>
        <w:t>years,</w:t>
      </w:r>
      <w:r>
        <w:rPr>
          <w:spacing w:val="-4"/>
        </w:rPr>
        <w:t> </w:t>
      </w:r>
      <w:r>
        <w:rPr>
          <w:spacing w:val="-2"/>
        </w:rPr>
        <w:t>reflecting</w:t>
      </w:r>
      <w:r>
        <w:rPr>
          <w:spacing w:val="-4"/>
        </w:rPr>
        <w:t> </w:t>
      </w:r>
      <w:r>
        <w:rPr>
          <w:spacing w:val="-2"/>
        </w:rPr>
        <w:t>the</w:t>
      </w:r>
      <w:r>
        <w:rPr>
          <w:spacing w:val="-4"/>
        </w:rPr>
        <w:t> </w:t>
      </w:r>
      <w:r>
        <w:rPr>
          <w:spacing w:val="-2"/>
        </w:rPr>
        <w:t>critical</w:t>
      </w:r>
      <w:r>
        <w:rPr>
          <w:spacing w:val="-4"/>
        </w:rPr>
        <w:t> </w:t>
      </w:r>
      <w:r>
        <w:rPr>
          <w:spacing w:val="-2"/>
        </w:rPr>
        <w:t>importance</w:t>
      </w:r>
      <w:r>
        <w:rPr>
          <w:spacing w:val="-4"/>
        </w:rPr>
        <w:t> </w:t>
      </w:r>
      <w:r>
        <w:rPr>
          <w:spacing w:val="-2"/>
        </w:rPr>
        <w:t>of</w:t>
      </w:r>
      <w:r>
        <w:rPr>
          <w:spacing w:val="-4"/>
        </w:rPr>
        <w:t> </w:t>
      </w:r>
      <w:r>
        <w:rPr>
          <w:spacing w:val="-2"/>
        </w:rPr>
        <w:t>flowering-phase</w:t>
      </w:r>
      <w:r>
        <w:rPr>
          <w:spacing w:val="-4"/>
        </w:rPr>
        <w:t> </w:t>
      </w:r>
      <w:r>
        <w:rPr>
          <w:spacing w:val="-2"/>
        </w:rPr>
        <w:t>conditions</w:t>
      </w:r>
      <w:r>
        <w:rPr>
          <w:spacing w:val="-4"/>
        </w:rPr>
        <w:t> </w:t>
      </w:r>
      <w:r>
        <w:rPr>
          <w:spacing w:val="-2"/>
        </w:rPr>
        <w:t>for</w:t>
      </w:r>
      <w:r>
        <w:rPr>
          <w:spacing w:val="-4"/>
        </w:rPr>
        <w:t> </w:t>
      </w:r>
      <w:r>
        <w:rPr>
          <w:spacing w:val="-2"/>
        </w:rPr>
        <w:t>yield</w:t>
      </w:r>
      <w:r>
        <w:rPr>
          <w:spacing w:val="-4"/>
        </w:rPr>
        <w:t> </w:t>
      </w:r>
      <w:r>
        <w:rPr>
          <w:spacing w:val="-2"/>
        </w:rPr>
        <w:t>determination.</w:t>
      </w:r>
      <w:r>
        <w:rPr/>
        <w:t> </w:t>
      </w:r>
      <w:r>
        <w:rPr>
          <w:spacing w:val="-2"/>
        </w:rPr>
        <w:t>The </w:t>
      </w:r>
      <w:r>
        <w:rPr/>
        <w:t>previous-year (y0) features are concentrated at Flowering and Harvest, corresponding to the two biological</w:t>
      </w:r>
      <w:r>
        <w:rPr>
          <w:spacing w:val="-11"/>
        </w:rPr>
        <w:t> </w:t>
      </w:r>
      <w:r>
        <w:rPr/>
        <w:t>carry-over</w:t>
      </w:r>
      <w:r>
        <w:rPr>
          <w:spacing w:val="-11"/>
        </w:rPr>
        <w:t> </w:t>
      </w:r>
      <w:r>
        <w:rPr/>
        <w:t>mechanisms</w:t>
      </w:r>
      <w:r>
        <w:rPr>
          <w:spacing w:val="-11"/>
        </w:rPr>
        <w:t> </w:t>
      </w:r>
      <w:r>
        <w:rPr/>
        <w:t>described</w:t>
      </w:r>
      <w:r>
        <w:rPr>
          <w:spacing w:val="-11"/>
        </w:rPr>
        <w:t> </w:t>
      </w:r>
      <w:r>
        <w:rPr/>
        <w:t>in</w:t>
      </w:r>
      <w:r>
        <w:rPr>
          <w:spacing w:val="-11"/>
        </w:rPr>
        <w:t> </w:t>
      </w:r>
      <w:r>
        <w:rPr/>
        <w:t>Section</w:t>
      </w:r>
      <w:r>
        <w:rPr>
          <w:spacing w:val="-11"/>
        </w:rPr>
        <w:t> </w:t>
      </w:r>
      <w:hyperlink w:history="true" w:anchor="_bookmark65">
        <w:r>
          <w:rPr>
            <w:color w:val="8B2C18"/>
          </w:rPr>
          <w:t>3.11.3</w:t>
        </w:r>
      </w:hyperlink>
      <w:r>
        <w:rPr/>
        <w:t>:</w:t>
      </w:r>
      <w:r>
        <w:rPr>
          <w:spacing w:val="-1"/>
        </w:rPr>
        <w:t> </w:t>
      </w:r>
      <w:r>
        <w:rPr/>
        <w:t>inflorescence</w:t>
      </w:r>
      <w:r>
        <w:rPr>
          <w:spacing w:val="-11"/>
        </w:rPr>
        <w:t> </w:t>
      </w:r>
      <w:r>
        <w:rPr/>
        <w:t>primordia</w:t>
      </w:r>
      <w:r>
        <w:rPr>
          <w:spacing w:val="-11"/>
        </w:rPr>
        <w:t> </w:t>
      </w:r>
      <w:r>
        <w:rPr/>
        <w:t>formation </w:t>
      </w:r>
      <w:r>
        <w:rPr>
          <w:spacing w:val="-2"/>
        </w:rPr>
        <w:t>(driven</w:t>
      </w:r>
      <w:r>
        <w:rPr>
          <w:spacing w:val="-5"/>
        </w:rPr>
        <w:t> </w:t>
      </w:r>
      <w:r>
        <w:rPr>
          <w:spacing w:val="-2"/>
        </w:rPr>
        <w:t>by</w:t>
      </w:r>
      <w:r>
        <w:rPr>
          <w:spacing w:val="-5"/>
        </w:rPr>
        <w:t> </w:t>
      </w:r>
      <w:r>
        <w:rPr>
          <w:spacing w:val="-2"/>
        </w:rPr>
        <w:t>prior-year</w:t>
      </w:r>
      <w:r>
        <w:rPr>
          <w:spacing w:val="-5"/>
        </w:rPr>
        <w:t> </w:t>
      </w:r>
      <w:r>
        <w:rPr>
          <w:spacing w:val="-2"/>
        </w:rPr>
        <w:t>flowering</w:t>
      </w:r>
      <w:r>
        <w:rPr>
          <w:spacing w:val="-5"/>
        </w:rPr>
        <w:t> </w:t>
      </w:r>
      <w:r>
        <w:rPr>
          <w:spacing w:val="-2"/>
        </w:rPr>
        <w:t>thermal</w:t>
      </w:r>
      <w:r>
        <w:rPr>
          <w:spacing w:val="-5"/>
        </w:rPr>
        <w:t> </w:t>
      </w:r>
      <w:r>
        <w:rPr>
          <w:spacing w:val="-2"/>
        </w:rPr>
        <w:t>conditions)</w:t>
      </w:r>
      <w:r>
        <w:rPr>
          <w:spacing w:val="-5"/>
        </w:rPr>
        <w:t> </w:t>
      </w:r>
      <w:r>
        <w:rPr>
          <w:spacing w:val="-2"/>
        </w:rPr>
        <w:t>and</w:t>
      </w:r>
      <w:r>
        <w:rPr>
          <w:spacing w:val="-5"/>
        </w:rPr>
        <w:t> </w:t>
      </w:r>
      <w:r>
        <w:rPr>
          <w:spacing w:val="-2"/>
        </w:rPr>
        <w:t>vine</w:t>
      </w:r>
      <w:r>
        <w:rPr>
          <w:spacing w:val="-5"/>
        </w:rPr>
        <w:t> </w:t>
      </w:r>
      <w:r>
        <w:rPr>
          <w:spacing w:val="-2"/>
        </w:rPr>
        <w:t>carbohydrate</w:t>
      </w:r>
      <w:r>
        <w:rPr>
          <w:spacing w:val="-5"/>
        </w:rPr>
        <w:t> </w:t>
      </w:r>
      <w:r>
        <w:rPr>
          <w:spacing w:val="-2"/>
        </w:rPr>
        <w:t>reserve</w:t>
      </w:r>
      <w:r>
        <w:rPr>
          <w:spacing w:val="-5"/>
        </w:rPr>
        <w:t> </w:t>
      </w:r>
      <w:r>
        <w:rPr>
          <w:spacing w:val="-2"/>
        </w:rPr>
        <w:t>building</w:t>
      </w:r>
      <w:r>
        <w:rPr>
          <w:spacing w:val="-5"/>
        </w:rPr>
        <w:t> </w:t>
      </w:r>
      <w:r>
        <w:rPr>
          <w:spacing w:val="-2"/>
        </w:rPr>
        <w:t>(driven </w:t>
      </w:r>
      <w:r>
        <w:rPr/>
        <w:t>by prior-year harvest and post-harvest conditions).</w:t>
      </w:r>
      <w:r>
        <w:rPr>
          <w:spacing w:val="40"/>
        </w:rPr>
        <w:t> </w:t>
      </w:r>
      <w:r>
        <w:rPr/>
        <w:t>Bud Break and Start Maturity have sparser coverage</w:t>
      </w:r>
      <w:r>
        <w:rPr>
          <w:spacing w:val="-5"/>
        </w:rPr>
        <w:t> </w:t>
      </w:r>
      <w:r>
        <w:rPr/>
        <w:t>—</w:t>
      </w:r>
      <w:r>
        <w:rPr>
          <w:spacing w:val="-5"/>
        </w:rPr>
        <w:t> </w:t>
      </w:r>
      <w:r>
        <w:rPr/>
        <w:t>only</w:t>
      </w:r>
      <w:r>
        <w:rPr>
          <w:spacing w:val="-5"/>
        </w:rPr>
        <w:t> </w:t>
      </w:r>
      <w:r>
        <w:rPr/>
        <w:t>those</w:t>
      </w:r>
      <w:r>
        <w:rPr>
          <w:spacing w:val="-5"/>
        </w:rPr>
        <w:t> </w:t>
      </w:r>
      <w:r>
        <w:rPr/>
        <w:t>specific</w:t>
      </w:r>
      <w:r>
        <w:rPr>
          <w:spacing w:val="-5"/>
        </w:rPr>
        <w:t> </w:t>
      </w:r>
      <w:r>
        <w:rPr/>
        <w:t>variables</w:t>
      </w:r>
      <w:r>
        <w:rPr>
          <w:spacing w:val="-5"/>
        </w:rPr>
        <w:t> </w:t>
      </w:r>
      <w:r>
        <w:rPr/>
        <w:t>with</w:t>
      </w:r>
      <w:r>
        <w:rPr>
          <w:spacing w:val="-5"/>
        </w:rPr>
        <w:t> </w:t>
      </w:r>
      <w:r>
        <w:rPr/>
        <w:t>demonstrated</w:t>
      </w:r>
      <w:r>
        <w:rPr>
          <w:spacing w:val="-5"/>
        </w:rPr>
        <w:t> </w:t>
      </w:r>
      <w:r>
        <w:rPr/>
        <w:t>agronomic</w:t>
      </w:r>
      <w:r>
        <w:rPr>
          <w:spacing w:val="-5"/>
        </w:rPr>
        <w:t> </w:t>
      </w:r>
      <w:r>
        <w:rPr/>
        <w:t>relevance</w:t>
      </w:r>
      <w:r>
        <w:rPr>
          <w:spacing w:val="-5"/>
        </w:rPr>
        <w:t> </w:t>
      </w:r>
      <w:r>
        <w:rPr/>
        <w:t>to</w:t>
      </w:r>
      <w:r>
        <w:rPr>
          <w:spacing w:val="-5"/>
        </w:rPr>
        <w:t> </w:t>
      </w:r>
      <w:r>
        <w:rPr/>
        <w:t>those</w:t>
      </w:r>
      <w:r>
        <w:rPr>
          <w:spacing w:val="-5"/>
        </w:rPr>
        <w:t> </w:t>
      </w:r>
      <w:r>
        <w:rPr/>
        <w:t>stages were included.</w:t>
      </w:r>
      <w:r>
        <w:rPr>
          <w:spacing w:val="25"/>
        </w:rPr>
        <w:t> </w:t>
      </w:r>
      <w:r>
        <w:rPr/>
        <w:t>The soil-water family (swa, stress days, saturation days) is notably concentrated at</w:t>
      </w:r>
      <w:r>
        <w:rPr>
          <w:spacing w:val="-7"/>
        </w:rPr>
        <w:t> </w:t>
      </w:r>
      <w:r>
        <w:rPr/>
        <w:t>Flowering</w:t>
      </w:r>
      <w:r>
        <w:rPr>
          <w:spacing w:val="-7"/>
        </w:rPr>
        <w:t> </w:t>
      </w:r>
      <w:r>
        <w:rPr/>
        <w:t>and</w:t>
      </w:r>
      <w:r>
        <w:rPr>
          <w:spacing w:val="-7"/>
        </w:rPr>
        <w:t> </w:t>
      </w:r>
      <w:r>
        <w:rPr/>
        <w:t>Harvest,</w:t>
      </w:r>
      <w:r>
        <w:rPr>
          <w:spacing w:val="-7"/>
        </w:rPr>
        <w:t> </w:t>
      </w:r>
      <w:r>
        <w:rPr/>
        <w:t>consistent</w:t>
      </w:r>
      <w:r>
        <w:rPr>
          <w:spacing w:val="-7"/>
        </w:rPr>
        <w:t> </w:t>
      </w:r>
      <w:r>
        <w:rPr/>
        <w:t>with</w:t>
      </w:r>
      <w:r>
        <w:rPr>
          <w:spacing w:val="-7"/>
        </w:rPr>
        <w:t> </w:t>
      </w:r>
      <w:r>
        <w:rPr/>
        <w:t>their</w:t>
      </w:r>
      <w:r>
        <w:rPr>
          <w:spacing w:val="-7"/>
        </w:rPr>
        <w:t> </w:t>
      </w:r>
      <w:r>
        <w:rPr/>
        <w:t>role</w:t>
      </w:r>
      <w:r>
        <w:rPr>
          <w:spacing w:val="-7"/>
        </w:rPr>
        <w:t> </w:t>
      </w:r>
      <w:r>
        <w:rPr/>
        <w:t>as</w:t>
      </w:r>
      <w:r>
        <w:rPr>
          <w:spacing w:val="-7"/>
        </w:rPr>
        <w:t> </w:t>
      </w:r>
      <w:r>
        <w:rPr/>
        <w:t>the</w:t>
      </w:r>
      <w:r>
        <w:rPr>
          <w:spacing w:val="-7"/>
        </w:rPr>
        <w:t> </w:t>
      </w:r>
      <w:r>
        <w:rPr/>
        <w:t>primary</w:t>
      </w:r>
      <w:r>
        <w:rPr>
          <w:spacing w:val="-7"/>
        </w:rPr>
        <w:t> </w:t>
      </w:r>
      <w:r>
        <w:rPr/>
        <w:t>mechanistic</w:t>
      </w:r>
      <w:r>
        <w:rPr>
          <w:spacing w:val="-7"/>
        </w:rPr>
        <w:t> </w:t>
      </w:r>
      <w:r>
        <w:rPr/>
        <w:t>pathways</w:t>
      </w:r>
      <w:r>
        <w:rPr>
          <w:spacing w:val="-7"/>
        </w:rPr>
        <w:t> </w:t>
      </w:r>
      <w:r>
        <w:rPr/>
        <w:t>through which climate affects production identified in the CarenR rule analysis (Chapter </w:t>
      </w:r>
      <w:hyperlink w:history="true" w:anchor="_bookmark68">
        <w:r>
          <w:rPr>
            <w:color w:val="8B2C18"/>
          </w:rPr>
          <w:t>4</w:t>
        </w:r>
      </w:hyperlink>
      <w:r>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2"/>
      </w:pPr>
    </w:p>
    <w:p>
      <w:pPr>
        <w:pStyle w:val="BodyText"/>
        <w:ind w:left="601" w:right="882"/>
        <w:jc w:val="center"/>
      </w:pPr>
      <w:r>
        <w:rPr>
          <w:spacing w:val="-5"/>
        </w:rPr>
        <w:t>107</w:t>
      </w:r>
    </w:p>
    <w:p>
      <w:pPr>
        <w:pStyle w:val="BodyText"/>
        <w:spacing w:after="0"/>
        <w:jc w:val="center"/>
        <w:sectPr>
          <w:headerReference w:type="default" r:id="rId128"/>
          <w:pgSz w:w="11910" w:h="16840"/>
          <w:pgMar w:header="0" w:footer="0" w:top="1920" w:bottom="280" w:left="1275" w:right="425"/>
        </w:sectPr>
      </w:pPr>
    </w:p>
    <w:p>
      <w:pPr>
        <w:pStyle w:val="BodyText"/>
        <w:rPr>
          <w:sz w:val="20"/>
        </w:rPr>
      </w:pPr>
      <w:r>
        <w:rPr>
          <w:sz w:val="20"/>
        </w:rPr>
        <mc:AlternateContent>
          <mc:Choice Requires="wps">
            <w:drawing>
              <wp:anchor distT="0" distB="0" distL="0" distR="0" allowOverlap="1" layoutInCell="1" locked="0" behindDoc="0" simplePos="0" relativeHeight="15788032">
                <wp:simplePos x="0" y="0"/>
                <wp:positionH relativeFrom="page">
                  <wp:posOffset>9775882</wp:posOffset>
                </wp:positionH>
                <wp:positionV relativeFrom="page">
                  <wp:posOffset>876909</wp:posOffset>
                </wp:positionV>
                <wp:extent cx="192405" cy="233679"/>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a:off x="0" y="0"/>
                          <a:ext cx="192405" cy="233679"/>
                        </a:xfrm>
                        <a:prstGeom prst="rect">
                          <a:avLst/>
                        </a:prstGeom>
                      </wps:spPr>
                      <wps:txbx>
                        <w:txbxContent>
                          <w:p>
                            <w:pPr>
                              <w:pStyle w:val="BodyText"/>
                              <w:spacing w:before="16"/>
                              <w:ind w:left="20"/>
                            </w:pPr>
                            <w:r>
                              <w:rPr>
                                <w:spacing w:val="-5"/>
                              </w:rPr>
                              <w:t>108</w:t>
                            </w:r>
                          </w:p>
                        </w:txbxContent>
                      </wps:txbx>
                      <wps:bodyPr wrap="square" lIns="0" tIns="0" rIns="0" bIns="0" rtlCol="0" vert="vert">
                        <a:noAutofit/>
                      </wps:bodyPr>
                    </wps:wsp>
                  </a:graphicData>
                </a:graphic>
              </wp:anchor>
            </w:drawing>
          </mc:Choice>
          <mc:Fallback>
            <w:pict>
              <v:shape style="position:absolute;margin-left:769.754517pt;margin-top:69.047997pt;width:15.15pt;height:18.4pt;mso-position-horizontal-relative:page;mso-position-vertical-relative:page;z-index:15788032" type="#_x0000_t202" id="docshape271" filled="false" stroked="false">
                <v:textbox inset="0,0,0,0" style="layout-flow:vertical">
                  <w:txbxContent>
                    <w:p>
                      <w:pPr>
                        <w:pStyle w:val="BodyText"/>
                        <w:spacing w:before="16"/>
                        <w:ind w:left="20"/>
                      </w:pPr>
                      <w:r>
                        <w:rPr>
                          <w:spacing w:val="-5"/>
                        </w:rPr>
                        <w:t>108</w:t>
                      </w:r>
                    </w:p>
                  </w:txbxContent>
                </v:textbox>
                <w10:wrap type="none"/>
              </v:shape>
            </w:pict>
          </mc:Fallback>
        </mc:AlternateContent>
      </w:r>
      <w:r>
        <w:rPr>
          <w:sz w:val="20"/>
        </w:rPr>
        <mc:AlternateContent>
          <mc:Choice Requires="wps">
            <w:drawing>
              <wp:anchor distT="0" distB="0" distL="0" distR="0" allowOverlap="1" layoutInCell="1" locked="0" behindDoc="0" simplePos="0" relativeHeight="15788544">
                <wp:simplePos x="0" y="0"/>
                <wp:positionH relativeFrom="page">
                  <wp:posOffset>9775882</wp:posOffset>
                </wp:positionH>
                <wp:positionV relativeFrom="page">
                  <wp:posOffset>5021834</wp:posOffset>
                </wp:positionV>
                <wp:extent cx="192405" cy="1290955"/>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192405" cy="1290955"/>
                        </a:xfrm>
                        <a:prstGeom prst="rect">
                          <a:avLst/>
                        </a:prstGeom>
                      </wps:spPr>
                      <wps:txbx>
                        <w:txbxContent>
                          <w:p>
                            <w:pPr>
                              <w:spacing w:before="12"/>
                              <w:ind w:left="20" w:right="0" w:firstLine="0"/>
                              <w:jc w:val="left"/>
                              <w:rPr>
                                <w:rFonts w:ascii="Cambria"/>
                                <w:i/>
                                <w:sz w:val="22"/>
                              </w:rPr>
                            </w:pPr>
                            <w:r>
                              <w:rPr>
                                <w:rFonts w:ascii="Cambria"/>
                                <w:i/>
                                <w:spacing w:val="-6"/>
                                <w:sz w:val="22"/>
                              </w:rPr>
                              <w:t>Feature</w:t>
                            </w:r>
                            <w:r>
                              <w:rPr>
                                <w:rFonts w:ascii="Cambria"/>
                                <w:i/>
                                <w:spacing w:val="3"/>
                                <w:sz w:val="22"/>
                              </w:rPr>
                              <w:t> </w:t>
                            </w:r>
                            <w:r>
                              <w:rPr>
                                <w:rFonts w:ascii="Cambria"/>
                                <w:i/>
                                <w:spacing w:val="-6"/>
                                <w:sz w:val="22"/>
                              </w:rPr>
                              <w:t>Coverage</w:t>
                            </w:r>
                            <w:r>
                              <w:rPr>
                                <w:rFonts w:ascii="Cambria"/>
                                <w:i/>
                                <w:spacing w:val="4"/>
                                <w:sz w:val="22"/>
                              </w:rPr>
                              <w:t> </w:t>
                            </w:r>
                            <w:r>
                              <w:rPr>
                                <w:rFonts w:ascii="Cambria"/>
                                <w:i/>
                                <w:spacing w:val="-6"/>
                                <w:sz w:val="22"/>
                              </w:rPr>
                              <w:t>Map</w:t>
                            </w:r>
                          </w:p>
                        </w:txbxContent>
                      </wps:txbx>
                      <wps:bodyPr wrap="square" lIns="0" tIns="0" rIns="0" bIns="0" rtlCol="0" vert="vert">
                        <a:noAutofit/>
                      </wps:bodyPr>
                    </wps:wsp>
                  </a:graphicData>
                </a:graphic>
              </wp:anchor>
            </w:drawing>
          </mc:Choice>
          <mc:Fallback>
            <w:pict>
              <v:shape style="position:absolute;margin-left:769.754517pt;margin-top:395.420013pt;width:15.15pt;height:101.65pt;mso-position-horizontal-relative:page;mso-position-vertical-relative:page;z-index:15788544" type="#_x0000_t202" id="docshape272" filled="false" stroked="false">
                <v:textbox inset="0,0,0,0" style="layout-flow:vertical">
                  <w:txbxContent>
                    <w:p>
                      <w:pPr>
                        <w:spacing w:before="12"/>
                        <w:ind w:left="20" w:right="0" w:firstLine="0"/>
                        <w:jc w:val="left"/>
                        <w:rPr>
                          <w:rFonts w:ascii="Cambria"/>
                          <w:i/>
                          <w:sz w:val="22"/>
                        </w:rPr>
                      </w:pPr>
                      <w:r>
                        <w:rPr>
                          <w:rFonts w:ascii="Cambria"/>
                          <w:i/>
                          <w:spacing w:val="-6"/>
                          <w:sz w:val="22"/>
                        </w:rPr>
                        <w:t>Feature</w:t>
                      </w:r>
                      <w:r>
                        <w:rPr>
                          <w:rFonts w:ascii="Cambria"/>
                          <w:i/>
                          <w:spacing w:val="3"/>
                          <w:sz w:val="22"/>
                        </w:rPr>
                        <w:t> </w:t>
                      </w:r>
                      <w:r>
                        <w:rPr>
                          <w:rFonts w:ascii="Cambria"/>
                          <w:i/>
                          <w:spacing w:val="-6"/>
                          <w:sz w:val="22"/>
                        </w:rPr>
                        <w:t>Coverage</w:t>
                      </w:r>
                      <w:r>
                        <w:rPr>
                          <w:rFonts w:ascii="Cambria"/>
                          <w:i/>
                          <w:spacing w:val="4"/>
                          <w:sz w:val="22"/>
                        </w:rPr>
                        <w:t> </w:t>
                      </w:r>
                      <w:r>
                        <w:rPr>
                          <w:rFonts w:ascii="Cambria"/>
                          <w:i/>
                          <w:spacing w:val="-6"/>
                          <w:sz w:val="22"/>
                        </w:rPr>
                        <w:t>Map</w:t>
                      </w:r>
                    </w:p>
                  </w:txbxContent>
                </v:textbox>
                <w10:wrap type="none"/>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9"/>
        <w:rPr>
          <w:sz w:val="20"/>
        </w:rPr>
      </w:pPr>
    </w:p>
    <w:p>
      <w:pPr>
        <w:spacing w:before="0"/>
        <w:ind w:left="63" w:right="0" w:firstLine="0"/>
        <w:jc w:val="center"/>
        <w:rPr>
          <w:sz w:val="20"/>
        </w:rPr>
      </w:pPr>
      <w:r>
        <w:rPr>
          <w:sz w:val="20"/>
        </w:rPr>
        <w:drawing>
          <wp:anchor distT="0" distB="0" distL="0" distR="0" allowOverlap="1" layoutInCell="1" locked="0" behindDoc="0" simplePos="0" relativeHeight="15787520">
            <wp:simplePos x="0" y="0"/>
            <wp:positionH relativeFrom="page">
              <wp:posOffset>1226779</wp:posOffset>
            </wp:positionH>
            <wp:positionV relativeFrom="paragraph">
              <wp:posOffset>-4632063</wp:posOffset>
            </wp:positionV>
            <wp:extent cx="8108316" cy="4455069"/>
            <wp:effectExtent l="0" t="0" r="0" b="0"/>
            <wp:wrapNone/>
            <wp:docPr id="310" name="Image 310"/>
            <wp:cNvGraphicFramePr>
              <a:graphicFrameLocks/>
            </wp:cNvGraphicFramePr>
            <a:graphic>
              <a:graphicData uri="http://schemas.openxmlformats.org/drawingml/2006/picture">
                <pic:pic>
                  <pic:nvPicPr>
                    <pic:cNvPr id="310" name="Image 310"/>
                    <pic:cNvPicPr/>
                  </pic:nvPicPr>
                  <pic:blipFill>
                    <a:blip r:embed="rId130" cstate="print"/>
                    <a:stretch>
                      <a:fillRect/>
                    </a:stretch>
                  </pic:blipFill>
                  <pic:spPr>
                    <a:xfrm>
                      <a:off x="0" y="0"/>
                      <a:ext cx="8108316" cy="4455069"/>
                    </a:xfrm>
                    <a:prstGeom prst="rect">
                      <a:avLst/>
                    </a:prstGeom>
                  </pic:spPr>
                </pic:pic>
              </a:graphicData>
            </a:graphic>
          </wp:anchor>
        </w:drawing>
      </w:r>
      <w:bookmarkStart w:name="_bookmark194" w:id="324"/>
      <w:bookmarkEnd w:id="324"/>
      <w:r>
        <w:rPr/>
      </w:r>
      <w:r>
        <w:rPr>
          <w:b/>
          <w:sz w:val="20"/>
        </w:rPr>
        <w:t>Figure</w:t>
      </w:r>
      <w:r>
        <w:rPr>
          <w:b/>
          <w:spacing w:val="-8"/>
          <w:sz w:val="20"/>
        </w:rPr>
        <w:t> </w:t>
      </w:r>
      <w:r>
        <w:rPr>
          <w:b/>
          <w:sz w:val="20"/>
        </w:rPr>
        <w:t>D.1:</w:t>
      </w:r>
      <w:r>
        <w:rPr>
          <w:b/>
          <w:spacing w:val="3"/>
          <w:sz w:val="20"/>
        </w:rPr>
        <w:t> </w:t>
      </w:r>
      <w:r>
        <w:rPr>
          <w:sz w:val="20"/>
        </w:rPr>
        <w:t>Feature</w:t>
      </w:r>
      <w:r>
        <w:rPr>
          <w:spacing w:val="-8"/>
          <w:sz w:val="20"/>
        </w:rPr>
        <w:t> </w:t>
      </w:r>
      <w:r>
        <w:rPr>
          <w:sz w:val="20"/>
        </w:rPr>
        <w:t>coverage</w:t>
      </w:r>
      <w:r>
        <w:rPr>
          <w:spacing w:val="-8"/>
          <w:sz w:val="20"/>
        </w:rPr>
        <w:t> </w:t>
      </w:r>
      <w:r>
        <w:rPr>
          <w:sz w:val="20"/>
        </w:rPr>
        <w:t>map:</w:t>
      </w:r>
      <w:r>
        <w:rPr>
          <w:spacing w:val="3"/>
          <w:sz w:val="20"/>
        </w:rPr>
        <w:t> </w:t>
      </w:r>
      <w:r>
        <w:rPr>
          <w:sz w:val="20"/>
        </w:rPr>
        <w:t>59</w:t>
      </w:r>
      <w:r>
        <w:rPr>
          <w:spacing w:val="-8"/>
          <w:sz w:val="20"/>
        </w:rPr>
        <w:t> </w:t>
      </w:r>
      <w:r>
        <w:rPr>
          <w:sz w:val="20"/>
        </w:rPr>
        <w:t>agroclimatic</w:t>
      </w:r>
      <w:r>
        <w:rPr>
          <w:spacing w:val="-7"/>
          <w:sz w:val="20"/>
        </w:rPr>
        <w:t> </w:t>
      </w:r>
      <w:r>
        <w:rPr>
          <w:sz w:val="20"/>
        </w:rPr>
        <w:t>features</w:t>
      </w:r>
      <w:r>
        <w:rPr>
          <w:spacing w:val="-8"/>
          <w:sz w:val="20"/>
        </w:rPr>
        <w:t> </w:t>
      </w:r>
      <w:r>
        <w:rPr>
          <w:sz w:val="20"/>
        </w:rPr>
        <w:t>by</w:t>
      </w:r>
      <w:r>
        <w:rPr>
          <w:spacing w:val="-8"/>
          <w:sz w:val="20"/>
        </w:rPr>
        <w:t> </w:t>
      </w:r>
      <w:r>
        <w:rPr>
          <w:sz w:val="20"/>
        </w:rPr>
        <w:t>phenological</w:t>
      </w:r>
      <w:r>
        <w:rPr>
          <w:spacing w:val="-7"/>
          <w:sz w:val="20"/>
        </w:rPr>
        <w:t> </w:t>
      </w:r>
      <w:r>
        <w:rPr>
          <w:sz w:val="20"/>
        </w:rPr>
        <w:t>stage</w:t>
      </w:r>
      <w:r>
        <w:rPr>
          <w:spacing w:val="-8"/>
          <w:sz w:val="20"/>
        </w:rPr>
        <w:t> </w:t>
      </w:r>
      <w:r>
        <w:rPr>
          <w:sz w:val="20"/>
        </w:rPr>
        <w:t>and</w:t>
      </w:r>
      <w:r>
        <w:rPr>
          <w:spacing w:val="-7"/>
          <w:sz w:val="20"/>
        </w:rPr>
        <w:t> </w:t>
      </w:r>
      <w:r>
        <w:rPr>
          <w:sz w:val="20"/>
        </w:rPr>
        <w:t>window</w:t>
      </w:r>
      <w:r>
        <w:rPr>
          <w:spacing w:val="-8"/>
          <w:sz w:val="20"/>
        </w:rPr>
        <w:t> </w:t>
      </w:r>
      <w:r>
        <w:rPr>
          <w:spacing w:val="-2"/>
          <w:sz w:val="20"/>
        </w:rPr>
        <w:t>position.</w:t>
      </w:r>
    </w:p>
    <w:p>
      <w:pPr>
        <w:spacing w:after="0"/>
        <w:jc w:val="center"/>
        <w:rPr>
          <w:sz w:val="20"/>
        </w:rPr>
        <w:sectPr>
          <w:headerReference w:type="even" r:id="rId129"/>
          <w:pgSz w:w="16840" w:h="11910" w:orient="landscape"/>
          <w:pgMar w:header="0" w:footer="0" w:top="1340" w:bottom="280" w:left="1842" w:right="2125"/>
        </w:sectPr>
      </w:pPr>
    </w:p>
    <w:p>
      <w:pPr>
        <w:tabs>
          <w:tab w:pos="9213" w:val="right" w:leader="none"/>
        </w:tabs>
        <w:spacing w:before="74"/>
        <w:ind w:left="697" w:right="0" w:firstLine="0"/>
        <w:jc w:val="both"/>
        <w:rPr>
          <w:sz w:val="22"/>
        </w:rPr>
      </w:pPr>
      <w:r>
        <w:rPr>
          <w:rFonts w:ascii="Cambria"/>
          <w:i/>
          <w:spacing w:val="-6"/>
          <w:sz w:val="22"/>
        </w:rPr>
        <w:t>Feature</w:t>
      </w:r>
      <w:r>
        <w:rPr>
          <w:rFonts w:ascii="Cambria"/>
          <w:i/>
          <w:spacing w:val="3"/>
          <w:sz w:val="22"/>
        </w:rPr>
        <w:t> </w:t>
      </w:r>
      <w:r>
        <w:rPr>
          <w:rFonts w:ascii="Cambria"/>
          <w:i/>
          <w:spacing w:val="-6"/>
          <w:sz w:val="22"/>
        </w:rPr>
        <w:t>Coverage</w:t>
      </w:r>
      <w:r>
        <w:rPr>
          <w:rFonts w:ascii="Cambria"/>
          <w:i/>
          <w:spacing w:val="4"/>
          <w:sz w:val="22"/>
        </w:rPr>
        <w:t> </w:t>
      </w:r>
      <w:r>
        <w:rPr>
          <w:rFonts w:ascii="Cambria"/>
          <w:i/>
          <w:spacing w:val="-6"/>
          <w:sz w:val="22"/>
        </w:rPr>
        <w:t>Map</w:t>
      </w:r>
      <w:r>
        <w:rPr>
          <w:sz w:val="22"/>
        </w:rPr>
        <w:tab/>
      </w:r>
      <w:r>
        <w:rPr>
          <w:spacing w:val="-5"/>
          <w:sz w:val="22"/>
        </w:rPr>
        <w:t>109</w:t>
      </w:r>
    </w:p>
    <w:p>
      <w:pPr>
        <w:pStyle w:val="BodyText"/>
        <w:spacing w:line="312" w:lineRule="auto" w:before="545"/>
        <w:ind w:left="701" w:right="113" w:firstLine="7"/>
        <w:jc w:val="both"/>
      </w:pPr>
      <w:r>
        <w:rPr/>
        <w:t>Each coloured cell represents one or more feature windows. Darker shading (top half) = current </w:t>
      </w:r>
      <w:r>
        <w:rPr>
          <w:spacing w:val="-2"/>
        </w:rPr>
        <w:t>year</w:t>
      </w:r>
      <w:r>
        <w:rPr>
          <w:spacing w:val="-8"/>
        </w:rPr>
        <w:t> </w:t>
      </w:r>
      <w:r>
        <w:rPr>
          <w:spacing w:val="-2"/>
        </w:rPr>
        <w:t>(y1);</w:t>
      </w:r>
      <w:r>
        <w:rPr>
          <w:spacing w:val="-7"/>
        </w:rPr>
        <w:t> </w:t>
      </w:r>
      <w:r>
        <w:rPr>
          <w:spacing w:val="-2"/>
        </w:rPr>
        <w:t>lighter</w:t>
      </w:r>
      <w:r>
        <w:rPr>
          <w:spacing w:val="-8"/>
        </w:rPr>
        <w:t> </w:t>
      </w:r>
      <w:r>
        <w:rPr>
          <w:spacing w:val="-2"/>
        </w:rPr>
        <w:t>shading</w:t>
      </w:r>
      <w:r>
        <w:rPr>
          <w:spacing w:val="-8"/>
        </w:rPr>
        <w:t> </w:t>
      </w:r>
      <w:r>
        <w:rPr>
          <w:spacing w:val="-2"/>
        </w:rPr>
        <w:t>(bottom</w:t>
      </w:r>
      <w:r>
        <w:rPr>
          <w:spacing w:val="-8"/>
        </w:rPr>
        <w:t> </w:t>
      </w:r>
      <w:r>
        <w:rPr>
          <w:spacing w:val="-2"/>
        </w:rPr>
        <w:t>half)</w:t>
      </w:r>
      <w:r>
        <w:rPr>
          <w:spacing w:val="-8"/>
        </w:rPr>
        <w:t> </w:t>
      </w:r>
      <w:r>
        <w:rPr>
          <w:spacing w:val="-2"/>
        </w:rPr>
        <w:t>=</w:t>
      </w:r>
      <w:r>
        <w:rPr>
          <w:spacing w:val="-8"/>
        </w:rPr>
        <w:t> </w:t>
      </w:r>
      <w:r>
        <w:rPr>
          <w:spacing w:val="-2"/>
        </w:rPr>
        <w:t>previous</w:t>
      </w:r>
      <w:r>
        <w:rPr>
          <w:spacing w:val="-8"/>
        </w:rPr>
        <w:t> </w:t>
      </w:r>
      <w:r>
        <w:rPr>
          <w:spacing w:val="-2"/>
        </w:rPr>
        <w:t>year</w:t>
      </w:r>
      <w:r>
        <w:rPr>
          <w:spacing w:val="-8"/>
        </w:rPr>
        <w:t> </w:t>
      </w:r>
      <w:r>
        <w:rPr>
          <w:spacing w:val="-2"/>
        </w:rPr>
        <w:t>(y0).</w:t>
      </w:r>
      <w:r>
        <w:rPr/>
        <w:t> </w:t>
      </w:r>
      <w:r>
        <w:rPr>
          <w:spacing w:val="-2"/>
        </w:rPr>
        <w:t>Numbers</w:t>
      </w:r>
      <w:r>
        <w:rPr>
          <w:spacing w:val="-8"/>
        </w:rPr>
        <w:t> </w:t>
      </w:r>
      <w:r>
        <w:rPr>
          <w:spacing w:val="-2"/>
        </w:rPr>
        <w:t>inside</w:t>
      </w:r>
      <w:r>
        <w:rPr>
          <w:spacing w:val="-8"/>
        </w:rPr>
        <w:t> </w:t>
      </w:r>
      <w:r>
        <w:rPr>
          <w:spacing w:val="-2"/>
        </w:rPr>
        <w:t>cells</w:t>
      </w:r>
      <w:r>
        <w:rPr>
          <w:spacing w:val="-8"/>
        </w:rPr>
        <w:t> </w:t>
      </w:r>
      <w:r>
        <w:rPr>
          <w:spacing w:val="-2"/>
        </w:rPr>
        <w:t>indicate</w:t>
      </w:r>
      <w:r>
        <w:rPr>
          <w:spacing w:val="-8"/>
        </w:rPr>
        <w:t> </w:t>
      </w:r>
      <w:r>
        <w:rPr>
          <w:spacing w:val="-2"/>
        </w:rPr>
        <w:t>window </w:t>
      </w:r>
      <w:r>
        <w:rPr/>
        <w:t>width</w:t>
      </w:r>
      <w:r>
        <w:rPr>
          <w:spacing w:val="-11"/>
        </w:rPr>
        <w:t> </w:t>
      </w:r>
      <w:r>
        <w:rPr/>
        <w:t>in</w:t>
      </w:r>
      <w:r>
        <w:rPr>
          <w:spacing w:val="-11"/>
        </w:rPr>
        <w:t> </w:t>
      </w:r>
      <w:r>
        <w:rPr/>
        <w:t>days.</w:t>
      </w:r>
      <w:r>
        <w:rPr>
          <w:spacing w:val="-1"/>
        </w:rPr>
        <w:t> </w:t>
      </w:r>
      <w:r>
        <w:rPr/>
        <w:t>Stage</w:t>
      </w:r>
      <w:r>
        <w:rPr>
          <w:spacing w:val="-11"/>
        </w:rPr>
        <w:t> </w:t>
      </w:r>
      <w:r>
        <w:rPr/>
        <w:t>colour</w:t>
      </w:r>
      <w:r>
        <w:rPr>
          <w:spacing w:val="-11"/>
        </w:rPr>
        <w:t> </w:t>
      </w:r>
      <w:r>
        <w:rPr/>
        <w:t>coding:</w:t>
      </w:r>
      <w:r>
        <w:rPr>
          <w:spacing w:val="-1"/>
        </w:rPr>
        <w:t> </w:t>
      </w:r>
      <w:r>
        <w:rPr>
          <w:color w:val="0000FF"/>
        </w:rPr>
        <w:t>blue</w:t>
      </w:r>
      <w:r>
        <w:rPr>
          <w:color w:val="0000FF"/>
          <w:spacing w:val="-11"/>
        </w:rPr>
        <w:t> </w:t>
      </w:r>
      <w:r>
        <w:rPr/>
        <w:t>=</w:t>
      </w:r>
      <w:r>
        <w:rPr>
          <w:spacing w:val="-11"/>
        </w:rPr>
        <w:t> </w:t>
      </w:r>
      <w:r>
        <w:rPr/>
        <w:t>Bud</w:t>
      </w:r>
      <w:r>
        <w:rPr>
          <w:spacing w:val="-11"/>
        </w:rPr>
        <w:t> </w:t>
      </w:r>
      <w:r>
        <w:rPr/>
        <w:t>Break,</w:t>
      </w:r>
      <w:r>
        <w:rPr>
          <w:spacing w:val="-11"/>
        </w:rPr>
        <w:t> </w:t>
      </w:r>
      <w:r>
        <w:rPr>
          <w:color w:val="009900"/>
        </w:rPr>
        <w:t>green</w:t>
      </w:r>
      <w:r>
        <w:rPr>
          <w:color w:val="009900"/>
          <w:spacing w:val="-11"/>
        </w:rPr>
        <w:t> </w:t>
      </w:r>
      <w:r>
        <w:rPr/>
        <w:t>=</w:t>
      </w:r>
      <w:r>
        <w:rPr>
          <w:spacing w:val="-11"/>
        </w:rPr>
        <w:t> </w:t>
      </w:r>
      <w:r>
        <w:rPr/>
        <w:t>Flowering,</w:t>
      </w:r>
      <w:r>
        <w:rPr>
          <w:spacing w:val="-11"/>
        </w:rPr>
        <w:t> </w:t>
      </w:r>
      <w:r>
        <w:rPr>
          <w:color w:val="FF7F00"/>
        </w:rPr>
        <w:t>amber</w:t>
      </w:r>
      <w:r>
        <w:rPr>
          <w:color w:val="FF7F00"/>
          <w:spacing w:val="-11"/>
        </w:rPr>
        <w:t> </w:t>
      </w:r>
      <w:r>
        <w:rPr/>
        <w:t>=</w:t>
      </w:r>
      <w:r>
        <w:rPr>
          <w:spacing w:val="-11"/>
        </w:rPr>
        <w:t> </w:t>
      </w:r>
      <w:r>
        <w:rPr/>
        <w:t>Start</w:t>
      </w:r>
      <w:r>
        <w:rPr>
          <w:spacing w:val="-11"/>
        </w:rPr>
        <w:t> </w:t>
      </w:r>
      <w:r>
        <w:rPr/>
        <w:t>Maturity, </w:t>
      </w:r>
      <w:r>
        <w:rPr>
          <w:color w:val="FF0000"/>
        </w:rPr>
        <w:t>red </w:t>
      </w:r>
      <w:r>
        <w:rPr/>
        <w:t>= Harvest.</w:t>
      </w:r>
    </w:p>
    <w:p>
      <w:pPr>
        <w:pStyle w:val="BodyText"/>
        <w:spacing w:after="0" w:line="312" w:lineRule="auto"/>
        <w:jc w:val="both"/>
        <w:sectPr>
          <w:headerReference w:type="default" r:id="rId131"/>
          <w:pgSz w:w="11910" w:h="16840"/>
          <w:pgMar w:header="0" w:footer="0" w:top="1060" w:bottom="280" w:left="1275" w:right="1275"/>
        </w:sectPr>
      </w:pPr>
    </w:p>
    <w:p>
      <w:pPr>
        <w:pStyle w:val="BodyText"/>
        <w:spacing w:before="4"/>
        <w:rPr>
          <w:sz w:val="17"/>
        </w:rPr>
      </w:pPr>
    </w:p>
    <w:p>
      <w:pPr>
        <w:pStyle w:val="BodyText"/>
        <w:spacing w:after="0"/>
        <w:rPr>
          <w:sz w:val="17"/>
        </w:rPr>
        <w:sectPr>
          <w:headerReference w:type="even" r:id="rId132"/>
          <w:pgSz w:w="11910" w:h="16840"/>
          <w:pgMar w:header="1160" w:footer="0" w:top="1420" w:bottom="280" w:left="1275" w:right="1275"/>
        </w:sectPr>
      </w:pPr>
    </w:p>
    <w:p>
      <w:pPr>
        <w:pStyle w:val="BodyText"/>
        <w:rPr>
          <w:sz w:val="41"/>
        </w:rPr>
      </w:pPr>
    </w:p>
    <w:p>
      <w:pPr>
        <w:pStyle w:val="BodyText"/>
        <w:rPr>
          <w:sz w:val="41"/>
        </w:rPr>
      </w:pPr>
    </w:p>
    <w:p>
      <w:pPr>
        <w:pStyle w:val="BodyText"/>
        <w:spacing w:before="75"/>
        <w:rPr>
          <w:sz w:val="41"/>
        </w:rPr>
      </w:pPr>
    </w:p>
    <w:p>
      <w:pPr>
        <w:spacing w:before="0"/>
        <w:ind w:left="694" w:right="0" w:firstLine="0"/>
        <w:jc w:val="left"/>
        <w:rPr>
          <w:b/>
          <w:sz w:val="41"/>
        </w:rPr>
      </w:pPr>
      <w:bookmarkStart w:name="E AI Use Transparency Statement" w:id="325"/>
      <w:bookmarkEnd w:id="325"/>
      <w:r>
        <w:rPr/>
      </w:r>
      <w:bookmarkStart w:name="_bookmark195" w:id="326"/>
      <w:bookmarkEnd w:id="326"/>
      <w:r>
        <w:rPr/>
      </w:r>
      <w:r>
        <w:rPr>
          <w:b/>
          <w:sz w:val="41"/>
        </w:rPr>
        <w:t>Appendix</w:t>
      </w:r>
      <w:r>
        <w:rPr>
          <w:b/>
          <w:spacing w:val="-11"/>
          <w:sz w:val="41"/>
        </w:rPr>
        <w:t> </w:t>
      </w:r>
      <w:r>
        <w:rPr>
          <w:b/>
          <w:spacing w:val="-10"/>
          <w:sz w:val="41"/>
        </w:rPr>
        <w:t>E</w:t>
      </w:r>
    </w:p>
    <w:p>
      <w:pPr>
        <w:pStyle w:val="BodyText"/>
        <w:spacing w:before="155"/>
        <w:rPr>
          <w:b/>
          <w:sz w:val="41"/>
        </w:rPr>
      </w:pPr>
    </w:p>
    <w:p>
      <w:pPr>
        <w:pStyle w:val="Heading1"/>
        <w:ind w:left="691"/>
      </w:pPr>
      <w:r>
        <w:rPr/>
        <w:t>AI</w:t>
      </w:r>
      <w:r>
        <w:rPr>
          <w:spacing w:val="-1"/>
        </w:rPr>
        <w:t> </w:t>
      </w:r>
      <w:r>
        <w:rPr/>
        <w:t>Use Transparency </w:t>
      </w:r>
      <w:r>
        <w:rPr>
          <w:spacing w:val="-2"/>
        </w:rPr>
        <w:t>Statement</w:t>
      </w:r>
    </w:p>
    <w:p>
      <w:pPr>
        <w:pStyle w:val="BodyText"/>
        <w:spacing w:before="301"/>
        <w:rPr>
          <w:b/>
          <w:sz w:val="49"/>
        </w:rPr>
      </w:pPr>
    </w:p>
    <w:p>
      <w:pPr>
        <w:pStyle w:val="Heading4"/>
      </w:pPr>
      <w:r>
        <w:rPr>
          <w:spacing w:val="-2"/>
        </w:rPr>
        <w:t>AI</w:t>
      </w:r>
      <w:r>
        <w:rPr>
          <w:spacing w:val="-4"/>
        </w:rPr>
        <w:t> </w:t>
      </w:r>
      <w:r>
        <w:rPr>
          <w:spacing w:val="-2"/>
        </w:rPr>
        <w:t>Use</w:t>
      </w:r>
      <w:r>
        <w:rPr>
          <w:spacing w:val="-3"/>
        </w:rPr>
        <w:t> </w:t>
      </w:r>
      <w:r>
        <w:rPr>
          <w:spacing w:val="-2"/>
        </w:rPr>
        <w:t>Transparency</w:t>
      </w:r>
      <w:r>
        <w:rPr>
          <w:spacing w:val="-3"/>
        </w:rPr>
        <w:t> </w:t>
      </w:r>
      <w:r>
        <w:rPr>
          <w:spacing w:val="-2"/>
        </w:rPr>
        <w:t>Appendix</w:t>
      </w:r>
    </w:p>
    <w:p>
      <w:pPr>
        <w:pStyle w:val="BodyText"/>
        <w:spacing w:line="312" w:lineRule="auto" w:before="125"/>
        <w:ind w:left="709" w:firstLine="338"/>
      </w:pPr>
      <w:r>
        <w:rPr>
          <w:b/>
          <w:spacing w:val="-2"/>
        </w:rPr>
        <w:t>Thesis</w:t>
      </w:r>
      <w:r>
        <w:rPr>
          <w:b/>
          <w:spacing w:val="-4"/>
        </w:rPr>
        <w:t> </w:t>
      </w:r>
      <w:r>
        <w:rPr>
          <w:b/>
          <w:spacing w:val="-2"/>
        </w:rPr>
        <w:t>title: </w:t>
      </w:r>
      <w:r>
        <w:rPr>
          <w:spacing w:val="-2"/>
        </w:rPr>
        <w:t>Rule-based</w:t>
      </w:r>
      <w:r>
        <w:rPr>
          <w:spacing w:val="-4"/>
        </w:rPr>
        <w:t> </w:t>
      </w:r>
      <w:r>
        <w:rPr>
          <w:spacing w:val="-2"/>
        </w:rPr>
        <w:t>Machine</w:t>
      </w:r>
      <w:r>
        <w:rPr>
          <w:spacing w:val="-4"/>
        </w:rPr>
        <w:t> </w:t>
      </w:r>
      <w:r>
        <w:rPr>
          <w:spacing w:val="-2"/>
        </w:rPr>
        <w:t>Learning</w:t>
      </w:r>
      <w:r>
        <w:rPr>
          <w:spacing w:val="-4"/>
        </w:rPr>
        <w:t> </w:t>
      </w:r>
      <w:r>
        <w:rPr>
          <w:spacing w:val="-2"/>
        </w:rPr>
        <w:t>for</w:t>
      </w:r>
      <w:r>
        <w:rPr>
          <w:spacing w:val="-4"/>
        </w:rPr>
        <w:t> </w:t>
      </w:r>
      <w:r>
        <w:rPr>
          <w:spacing w:val="-2"/>
        </w:rPr>
        <w:t>Wine</w:t>
      </w:r>
      <w:r>
        <w:rPr>
          <w:spacing w:val="-4"/>
        </w:rPr>
        <w:t> </w:t>
      </w:r>
      <w:r>
        <w:rPr>
          <w:spacing w:val="-2"/>
        </w:rPr>
        <w:t>Production</w:t>
      </w:r>
      <w:r>
        <w:rPr>
          <w:spacing w:val="-4"/>
        </w:rPr>
        <w:t> </w:t>
      </w:r>
      <w:r>
        <w:rPr>
          <w:spacing w:val="-2"/>
        </w:rPr>
        <w:t>Forecasting: A</w:t>
      </w:r>
      <w:r>
        <w:rPr>
          <w:spacing w:val="-4"/>
        </w:rPr>
        <w:t> </w:t>
      </w:r>
      <w:r>
        <w:rPr>
          <w:spacing w:val="-2"/>
        </w:rPr>
        <w:t>Distributional </w:t>
      </w:r>
      <w:r>
        <w:rPr/>
        <w:t>Subgroup Discovery Approach</w:t>
      </w:r>
    </w:p>
    <w:p>
      <w:pPr>
        <w:spacing w:before="49"/>
        <w:ind w:left="1047" w:right="0" w:firstLine="0"/>
        <w:jc w:val="left"/>
        <w:rPr>
          <w:sz w:val="22"/>
        </w:rPr>
      </w:pPr>
      <w:r>
        <w:rPr>
          <w:b/>
          <w:sz w:val="22"/>
        </w:rPr>
        <w:t>Student:</w:t>
      </w:r>
      <w:r>
        <w:rPr>
          <w:b/>
          <w:spacing w:val="4"/>
          <w:sz w:val="22"/>
        </w:rPr>
        <w:t> </w:t>
      </w:r>
      <w:r>
        <w:rPr>
          <w:sz w:val="22"/>
        </w:rPr>
        <w:t>Hugo</w:t>
      </w:r>
      <w:r>
        <w:rPr>
          <w:spacing w:val="-7"/>
          <w:sz w:val="22"/>
        </w:rPr>
        <w:t> </w:t>
      </w:r>
      <w:r>
        <w:rPr>
          <w:sz w:val="22"/>
        </w:rPr>
        <w:t>Filipe</w:t>
      </w:r>
      <w:r>
        <w:rPr>
          <w:spacing w:val="-7"/>
          <w:sz w:val="22"/>
        </w:rPr>
        <w:t> </w:t>
      </w:r>
      <w:r>
        <w:rPr>
          <w:sz w:val="22"/>
        </w:rPr>
        <w:t>Queiróz</w:t>
      </w:r>
      <w:r>
        <w:rPr>
          <w:spacing w:val="-7"/>
          <w:sz w:val="22"/>
        </w:rPr>
        <w:t> </w:t>
      </w:r>
      <w:r>
        <w:rPr>
          <w:spacing w:val="-2"/>
          <w:sz w:val="22"/>
        </w:rPr>
        <w:t>Nogueira</w:t>
      </w:r>
    </w:p>
    <w:p>
      <w:pPr>
        <w:pStyle w:val="BodyText"/>
        <w:spacing w:line="312" w:lineRule="auto" w:before="126"/>
        <w:ind w:left="709" w:firstLine="338"/>
      </w:pPr>
      <w:r>
        <w:rPr>
          <w:b/>
          <w:spacing w:val="-4"/>
        </w:rPr>
        <w:t>Tool used:</w:t>
      </w:r>
      <w:r>
        <w:rPr>
          <w:b/>
          <w:spacing w:val="15"/>
        </w:rPr>
        <w:t> </w:t>
      </w:r>
      <w:r>
        <w:rPr>
          <w:spacing w:val="-4"/>
        </w:rPr>
        <w:t>Claude (Anthropic), model claude-sonnet-4-6, accessed via Claude Cowork desktop </w:t>
      </w:r>
      <w:r>
        <w:rPr>
          <w:spacing w:val="-2"/>
        </w:rPr>
        <w:t>application</w:t>
      </w:r>
    </w:p>
    <w:p>
      <w:pPr>
        <w:spacing w:before="49"/>
        <w:ind w:left="1047" w:right="0" w:firstLine="0"/>
        <w:jc w:val="left"/>
        <w:rPr>
          <w:sz w:val="22"/>
        </w:rPr>
      </w:pPr>
      <w:r>
        <w:rPr>
          <w:b/>
          <w:sz w:val="22"/>
        </w:rPr>
        <w:t>Period</w:t>
      </w:r>
      <w:r>
        <w:rPr>
          <w:b/>
          <w:spacing w:val="-8"/>
          <w:sz w:val="22"/>
        </w:rPr>
        <w:t> </w:t>
      </w:r>
      <w:r>
        <w:rPr>
          <w:b/>
          <w:sz w:val="22"/>
        </w:rPr>
        <w:t>of</w:t>
      </w:r>
      <w:r>
        <w:rPr>
          <w:b/>
          <w:spacing w:val="-7"/>
          <w:sz w:val="22"/>
        </w:rPr>
        <w:t> </w:t>
      </w:r>
      <w:r>
        <w:rPr>
          <w:b/>
          <w:sz w:val="22"/>
        </w:rPr>
        <w:t>use:</w:t>
      </w:r>
      <w:r>
        <w:rPr>
          <w:b/>
          <w:spacing w:val="5"/>
          <w:sz w:val="22"/>
        </w:rPr>
        <w:t> </w:t>
      </w:r>
      <w:r>
        <w:rPr>
          <w:sz w:val="22"/>
        </w:rPr>
        <w:t>May–June</w:t>
      </w:r>
      <w:r>
        <w:rPr>
          <w:spacing w:val="-8"/>
          <w:sz w:val="22"/>
        </w:rPr>
        <w:t> </w:t>
      </w:r>
      <w:r>
        <w:rPr>
          <w:spacing w:val="-4"/>
          <w:sz w:val="22"/>
        </w:rPr>
        <w:t>2026</w:t>
      </w:r>
    </w:p>
    <w:p>
      <w:pPr>
        <w:pStyle w:val="BodyText"/>
      </w:pPr>
    </w:p>
    <w:p>
      <w:pPr>
        <w:pStyle w:val="BodyText"/>
      </w:pPr>
    </w:p>
    <w:p>
      <w:pPr>
        <w:pStyle w:val="BodyText"/>
        <w:spacing w:before="4"/>
      </w:pPr>
    </w:p>
    <w:p>
      <w:pPr>
        <w:pStyle w:val="Heading2"/>
        <w:numPr>
          <w:ilvl w:val="1"/>
          <w:numId w:val="56"/>
        </w:numPr>
        <w:tabs>
          <w:tab w:pos="1402" w:val="left" w:leader="none"/>
        </w:tabs>
        <w:spacing w:line="240" w:lineRule="auto" w:before="0" w:after="0"/>
        <w:ind w:left="1402" w:right="0" w:hanging="693"/>
        <w:jc w:val="left"/>
      </w:pPr>
      <w:bookmarkStart w:name="E.1 Overview of AI Use" w:id="327"/>
      <w:bookmarkEnd w:id="327"/>
      <w:r>
        <w:rPr>
          <w:b w:val="0"/>
        </w:rPr>
      </w:r>
      <w:bookmarkStart w:name="_bookmark196" w:id="328"/>
      <w:bookmarkEnd w:id="328"/>
      <w:r>
        <w:rPr>
          <w:b w:val="0"/>
        </w:rPr>
      </w:r>
      <w:r>
        <w:rPr/>
        <w:t>Overview</w:t>
      </w:r>
      <w:r>
        <w:rPr>
          <w:spacing w:val="10"/>
        </w:rPr>
        <w:t> </w:t>
      </w:r>
      <w:r>
        <w:rPr/>
        <w:t>of</w:t>
      </w:r>
      <w:r>
        <w:rPr>
          <w:spacing w:val="10"/>
        </w:rPr>
        <w:t> </w:t>
      </w:r>
      <w:r>
        <w:rPr/>
        <w:t>AI</w:t>
      </w:r>
      <w:r>
        <w:rPr>
          <w:spacing w:val="10"/>
        </w:rPr>
        <w:t> </w:t>
      </w:r>
      <w:r>
        <w:rPr>
          <w:spacing w:val="-5"/>
        </w:rPr>
        <w:t>Use</w:t>
      </w:r>
    </w:p>
    <w:p>
      <w:pPr>
        <w:pStyle w:val="BodyText"/>
        <w:spacing w:before="65"/>
        <w:rPr>
          <w:b/>
          <w:sz w:val="28"/>
        </w:rPr>
      </w:pPr>
    </w:p>
    <w:p>
      <w:pPr>
        <w:pStyle w:val="BodyText"/>
        <w:ind w:left="701"/>
        <w:jc w:val="both"/>
      </w:pPr>
      <w:r>
        <w:rPr>
          <w:spacing w:val="-2"/>
        </w:rPr>
        <w:t>AI</w:t>
      </w:r>
      <w:r>
        <w:rPr>
          <w:spacing w:val="-6"/>
        </w:rPr>
        <w:t> </w:t>
      </w:r>
      <w:r>
        <w:rPr>
          <w:spacing w:val="-2"/>
        </w:rPr>
        <w:t>was</w:t>
      </w:r>
      <w:r>
        <w:rPr>
          <w:spacing w:val="-6"/>
        </w:rPr>
        <w:t> </w:t>
      </w:r>
      <w:r>
        <w:rPr>
          <w:spacing w:val="-2"/>
        </w:rPr>
        <w:t>used</w:t>
      </w:r>
      <w:r>
        <w:rPr>
          <w:spacing w:val="-6"/>
        </w:rPr>
        <w:t> </w:t>
      </w:r>
      <w:r>
        <w:rPr>
          <w:spacing w:val="-2"/>
        </w:rPr>
        <w:t>throughout</w:t>
      </w:r>
      <w:r>
        <w:rPr>
          <w:spacing w:val="-6"/>
        </w:rPr>
        <w:t> </w:t>
      </w:r>
      <w:r>
        <w:rPr>
          <w:spacing w:val="-2"/>
        </w:rPr>
        <w:t>the</w:t>
      </w:r>
      <w:r>
        <w:rPr>
          <w:spacing w:val="-6"/>
        </w:rPr>
        <w:t> </w:t>
      </w:r>
      <w:r>
        <w:rPr>
          <w:spacing w:val="-2"/>
        </w:rPr>
        <w:t>writing</w:t>
      </w:r>
      <w:r>
        <w:rPr>
          <w:spacing w:val="-6"/>
        </w:rPr>
        <w:t> </w:t>
      </w:r>
      <w:r>
        <w:rPr>
          <w:spacing w:val="-2"/>
        </w:rPr>
        <w:t>and</w:t>
      </w:r>
      <w:r>
        <w:rPr>
          <w:spacing w:val="-6"/>
        </w:rPr>
        <w:t> </w:t>
      </w:r>
      <w:r>
        <w:rPr>
          <w:spacing w:val="-2"/>
        </w:rPr>
        <w:t>revision</w:t>
      </w:r>
      <w:r>
        <w:rPr>
          <w:spacing w:val="-6"/>
        </w:rPr>
        <w:t> </w:t>
      </w:r>
      <w:r>
        <w:rPr>
          <w:spacing w:val="-2"/>
        </w:rPr>
        <w:t>process</w:t>
      </w:r>
      <w:r>
        <w:rPr>
          <w:spacing w:val="-5"/>
        </w:rPr>
        <w:t> </w:t>
      </w:r>
      <w:r>
        <w:rPr>
          <w:spacing w:val="-2"/>
        </w:rPr>
        <w:t>of</w:t>
      </w:r>
      <w:r>
        <w:rPr>
          <w:spacing w:val="-6"/>
        </w:rPr>
        <w:t> </w:t>
      </w:r>
      <w:r>
        <w:rPr>
          <w:spacing w:val="-2"/>
        </w:rPr>
        <w:t>this</w:t>
      </w:r>
      <w:r>
        <w:rPr>
          <w:spacing w:val="-6"/>
        </w:rPr>
        <w:t> </w:t>
      </w:r>
      <w:r>
        <w:rPr>
          <w:spacing w:val="-2"/>
        </w:rPr>
        <w:t>dissertation.</w:t>
      </w:r>
      <w:r>
        <w:rPr>
          <w:spacing w:val="7"/>
        </w:rPr>
        <w:t> </w:t>
      </w:r>
      <w:r>
        <w:rPr>
          <w:spacing w:val="-2"/>
        </w:rPr>
        <w:t>All</w:t>
      </w:r>
      <w:r>
        <w:rPr>
          <w:spacing w:val="-6"/>
        </w:rPr>
        <w:t> </w:t>
      </w:r>
      <w:r>
        <w:rPr>
          <w:spacing w:val="-2"/>
        </w:rPr>
        <w:t>research</w:t>
      </w:r>
      <w:r>
        <w:rPr>
          <w:spacing w:val="-6"/>
        </w:rPr>
        <w:t> </w:t>
      </w:r>
      <w:r>
        <w:rPr>
          <w:spacing w:val="-2"/>
        </w:rPr>
        <w:t>activities</w:t>
      </w:r>
    </w:p>
    <w:p>
      <w:pPr>
        <w:pStyle w:val="BodyText"/>
        <w:spacing w:line="312" w:lineRule="auto" w:before="76"/>
        <w:ind w:left="709" w:right="136" w:hanging="44"/>
        <w:jc w:val="both"/>
      </w:pPr>
      <w:r>
        <w:rPr/>
        <w:t>— dataset construction, R pipeline development, CarenR experiments, statistical analysis, and interpretation of results — were carried out independently by the student.</w:t>
      </w:r>
      <w:r>
        <w:rPr>
          <w:spacing w:val="26"/>
        </w:rPr>
        <w:t> </w:t>
      </w:r>
      <w:r>
        <w:rPr/>
        <w:t>AI use was restricted to four categories: (1) writing support, (2) substantive content revision, (3) code generation for auxiliary scripts, and (4) numerical verification.</w:t>
      </w:r>
    </w:p>
    <w:p>
      <w:pPr>
        <w:pStyle w:val="BodyText"/>
        <w:spacing w:line="312" w:lineRule="auto" w:before="49"/>
        <w:ind w:left="709" w:right="140" w:firstLine="338"/>
        <w:jc w:val="both"/>
      </w:pPr>
      <w:r>
        <w:rPr>
          <w:spacing w:val="-2"/>
        </w:rPr>
        <w:t>The</w:t>
      </w:r>
      <w:r>
        <w:rPr>
          <w:spacing w:val="-12"/>
        </w:rPr>
        <w:t> </w:t>
      </w:r>
      <w:r>
        <w:rPr>
          <w:spacing w:val="-2"/>
        </w:rPr>
        <w:t>student</w:t>
      </w:r>
      <w:r>
        <w:rPr>
          <w:spacing w:val="-12"/>
        </w:rPr>
        <w:t> </w:t>
      </w:r>
      <w:r>
        <w:rPr>
          <w:spacing w:val="-2"/>
        </w:rPr>
        <w:t>directed</w:t>
      </w:r>
      <w:r>
        <w:rPr>
          <w:spacing w:val="-12"/>
        </w:rPr>
        <w:t> </w:t>
      </w:r>
      <w:r>
        <w:rPr>
          <w:spacing w:val="-2"/>
        </w:rPr>
        <w:t>all</w:t>
      </w:r>
      <w:r>
        <w:rPr>
          <w:spacing w:val="-11"/>
        </w:rPr>
        <w:t> </w:t>
      </w:r>
      <w:r>
        <w:rPr>
          <w:spacing w:val="-2"/>
        </w:rPr>
        <w:t>AI</w:t>
      </w:r>
      <w:r>
        <w:rPr>
          <w:spacing w:val="-12"/>
        </w:rPr>
        <w:t> </w:t>
      </w:r>
      <w:r>
        <w:rPr>
          <w:spacing w:val="-2"/>
        </w:rPr>
        <w:t>interactions,</w:t>
      </w:r>
      <w:r>
        <w:rPr>
          <w:spacing w:val="-12"/>
        </w:rPr>
        <w:t> </w:t>
      </w:r>
      <w:r>
        <w:rPr>
          <w:spacing w:val="-2"/>
        </w:rPr>
        <w:t>reviewed</w:t>
      </w:r>
      <w:r>
        <w:rPr>
          <w:spacing w:val="-12"/>
        </w:rPr>
        <w:t> </w:t>
      </w:r>
      <w:r>
        <w:rPr>
          <w:spacing w:val="-2"/>
        </w:rPr>
        <w:t>every</w:t>
      </w:r>
      <w:r>
        <w:rPr>
          <w:spacing w:val="-11"/>
        </w:rPr>
        <w:t> </w:t>
      </w:r>
      <w:r>
        <w:rPr>
          <w:spacing w:val="-2"/>
        </w:rPr>
        <w:t>output,</w:t>
      </w:r>
      <w:r>
        <w:rPr>
          <w:spacing w:val="-12"/>
        </w:rPr>
        <w:t> </w:t>
      </w:r>
      <w:r>
        <w:rPr>
          <w:spacing w:val="-2"/>
        </w:rPr>
        <w:t>and</w:t>
      </w:r>
      <w:r>
        <w:rPr>
          <w:spacing w:val="-12"/>
        </w:rPr>
        <w:t> </w:t>
      </w:r>
      <w:r>
        <w:rPr>
          <w:spacing w:val="-2"/>
        </w:rPr>
        <w:t>validated</w:t>
      </w:r>
      <w:r>
        <w:rPr>
          <w:spacing w:val="-12"/>
        </w:rPr>
        <w:t> </w:t>
      </w:r>
      <w:r>
        <w:rPr>
          <w:spacing w:val="-2"/>
        </w:rPr>
        <w:t>all</w:t>
      </w:r>
      <w:r>
        <w:rPr>
          <w:spacing w:val="-11"/>
        </w:rPr>
        <w:t> </w:t>
      </w:r>
      <w:r>
        <w:rPr>
          <w:spacing w:val="-2"/>
        </w:rPr>
        <w:t>content</w:t>
      </w:r>
      <w:r>
        <w:rPr>
          <w:spacing w:val="-12"/>
        </w:rPr>
        <w:t> </w:t>
      </w:r>
      <w:r>
        <w:rPr>
          <w:spacing w:val="-2"/>
        </w:rPr>
        <w:t>against primary</w:t>
      </w:r>
      <w:r>
        <w:rPr>
          <w:spacing w:val="-10"/>
        </w:rPr>
        <w:t> </w:t>
      </w:r>
      <w:r>
        <w:rPr>
          <w:spacing w:val="-2"/>
        </w:rPr>
        <w:t>data</w:t>
      </w:r>
      <w:r>
        <w:rPr>
          <w:spacing w:val="-10"/>
        </w:rPr>
        <w:t> </w:t>
      </w:r>
      <w:r>
        <w:rPr>
          <w:spacing w:val="-2"/>
        </w:rPr>
        <w:t>sources.</w:t>
      </w:r>
      <w:r>
        <w:rPr/>
        <w:t> </w:t>
      </w:r>
      <w:r>
        <w:rPr>
          <w:spacing w:val="-2"/>
        </w:rPr>
        <w:t>The</w:t>
      </w:r>
      <w:r>
        <w:rPr>
          <w:spacing w:val="-10"/>
        </w:rPr>
        <w:t> </w:t>
      </w:r>
      <w:r>
        <w:rPr>
          <w:spacing w:val="-2"/>
        </w:rPr>
        <w:t>numerical</w:t>
      </w:r>
      <w:r>
        <w:rPr>
          <w:spacing w:val="-10"/>
        </w:rPr>
        <w:t> </w:t>
      </w:r>
      <w:r>
        <w:rPr>
          <w:spacing w:val="-2"/>
        </w:rPr>
        <w:t>verification</w:t>
      </w:r>
      <w:r>
        <w:rPr>
          <w:spacing w:val="-10"/>
        </w:rPr>
        <w:t> </w:t>
      </w:r>
      <w:r>
        <w:rPr>
          <w:spacing w:val="-2"/>
        </w:rPr>
        <w:t>process</w:t>
      </w:r>
      <w:r>
        <w:rPr>
          <w:spacing w:val="-10"/>
        </w:rPr>
        <w:t> </w:t>
      </w:r>
      <w:r>
        <w:rPr>
          <w:spacing w:val="-2"/>
        </w:rPr>
        <w:t>(Section</w:t>
      </w:r>
      <w:r>
        <w:rPr>
          <w:spacing w:val="-10"/>
        </w:rPr>
        <w:t> </w:t>
      </w:r>
      <w:hyperlink w:history="true" w:anchor="_bookmark209">
        <w:r>
          <w:rPr>
            <w:color w:val="8B2C18"/>
            <w:spacing w:val="-2"/>
          </w:rPr>
          <w:t>E.5</w:t>
        </w:r>
      </w:hyperlink>
      <w:r>
        <w:rPr>
          <w:spacing w:val="-2"/>
        </w:rPr>
        <w:t>)</w:t>
      </w:r>
      <w:r>
        <w:rPr>
          <w:spacing w:val="-10"/>
        </w:rPr>
        <w:t> </w:t>
      </w:r>
      <w:r>
        <w:rPr>
          <w:spacing w:val="-2"/>
        </w:rPr>
        <w:t>was</w:t>
      </w:r>
      <w:r>
        <w:rPr>
          <w:spacing w:val="-10"/>
        </w:rPr>
        <w:t> </w:t>
      </w:r>
      <w:r>
        <w:rPr>
          <w:spacing w:val="-2"/>
        </w:rPr>
        <w:t>specifically</w:t>
      </w:r>
      <w:r>
        <w:rPr>
          <w:spacing w:val="-10"/>
        </w:rPr>
        <w:t> </w:t>
      </w:r>
      <w:r>
        <w:rPr>
          <w:spacing w:val="-2"/>
        </w:rPr>
        <w:t>designed</w:t>
      </w:r>
      <w:r>
        <w:rPr>
          <w:spacing w:val="-10"/>
        </w:rPr>
        <w:t> </w:t>
      </w:r>
      <w:r>
        <w:rPr>
          <w:spacing w:val="-2"/>
        </w:rPr>
        <w:t>to </w:t>
      </w:r>
      <w:r>
        <w:rPr/>
        <w:t>detect and correct AI-generated errors in the thesis text.</w:t>
      </w:r>
    </w:p>
    <w:p>
      <w:pPr>
        <w:pStyle w:val="BodyText"/>
      </w:pPr>
    </w:p>
    <w:p>
      <w:pPr>
        <w:pStyle w:val="BodyText"/>
        <w:spacing w:before="181"/>
      </w:pPr>
    </w:p>
    <w:p>
      <w:pPr>
        <w:pStyle w:val="Heading2"/>
        <w:numPr>
          <w:ilvl w:val="1"/>
          <w:numId w:val="56"/>
        </w:numPr>
        <w:tabs>
          <w:tab w:pos="1402" w:val="left" w:leader="none"/>
        </w:tabs>
        <w:spacing w:line="240" w:lineRule="auto" w:before="0" w:after="0"/>
        <w:ind w:left="1402" w:right="0" w:hanging="693"/>
        <w:jc w:val="left"/>
      </w:pPr>
      <w:bookmarkStart w:name="E.2 Writing Support — All Chapters" w:id="329"/>
      <w:bookmarkEnd w:id="329"/>
      <w:r>
        <w:rPr>
          <w:b w:val="0"/>
        </w:rPr>
      </w:r>
      <w:bookmarkStart w:name="_bookmark197" w:id="330"/>
      <w:bookmarkEnd w:id="330"/>
      <w:r>
        <w:rPr>
          <w:b w:val="0"/>
        </w:rPr>
      </w:r>
      <w:r>
        <w:rPr/>
        <w:t>Writing</w:t>
      </w:r>
      <w:r>
        <w:rPr>
          <w:spacing w:val="13"/>
        </w:rPr>
        <w:t> </w:t>
      </w:r>
      <w:r>
        <w:rPr/>
        <w:t>Support</w:t>
      </w:r>
      <w:r>
        <w:rPr>
          <w:spacing w:val="14"/>
        </w:rPr>
        <w:t> </w:t>
      </w:r>
      <w:r>
        <w:rPr/>
        <w:t>—</w:t>
      </w:r>
      <w:r>
        <w:rPr>
          <w:spacing w:val="14"/>
        </w:rPr>
        <w:t> </w:t>
      </w:r>
      <w:r>
        <w:rPr/>
        <w:t>All</w:t>
      </w:r>
      <w:r>
        <w:rPr>
          <w:spacing w:val="14"/>
        </w:rPr>
        <w:t> </w:t>
      </w:r>
      <w:r>
        <w:rPr>
          <w:spacing w:val="-2"/>
        </w:rPr>
        <w:t>Chapters</w:t>
      </w:r>
    </w:p>
    <w:p>
      <w:pPr>
        <w:pStyle w:val="BodyText"/>
        <w:spacing w:before="65"/>
        <w:rPr>
          <w:b/>
          <w:sz w:val="28"/>
        </w:rPr>
      </w:pPr>
    </w:p>
    <w:p>
      <w:pPr>
        <w:pStyle w:val="BodyText"/>
        <w:spacing w:line="312" w:lineRule="auto"/>
        <w:ind w:left="701" w:right="112" w:hanging="3"/>
        <w:jc w:val="both"/>
      </w:pPr>
      <w:r>
        <w:rPr>
          <w:spacing w:val="-2"/>
        </w:rPr>
        <w:t>Writing</w:t>
      </w:r>
      <w:r>
        <w:rPr>
          <w:spacing w:val="-8"/>
        </w:rPr>
        <w:t> </w:t>
      </w:r>
      <w:r>
        <w:rPr>
          <w:spacing w:val="-2"/>
        </w:rPr>
        <w:t>support</w:t>
      </w:r>
      <w:r>
        <w:rPr>
          <w:spacing w:val="-8"/>
        </w:rPr>
        <w:t> </w:t>
      </w:r>
      <w:r>
        <w:rPr>
          <w:spacing w:val="-2"/>
        </w:rPr>
        <w:t>(grammatical</w:t>
      </w:r>
      <w:r>
        <w:rPr>
          <w:spacing w:val="-8"/>
        </w:rPr>
        <w:t> </w:t>
      </w:r>
      <w:r>
        <w:rPr>
          <w:spacing w:val="-2"/>
        </w:rPr>
        <w:t>corrections,</w:t>
      </w:r>
      <w:r>
        <w:rPr>
          <w:spacing w:val="-8"/>
        </w:rPr>
        <w:t> </w:t>
      </w:r>
      <w:r>
        <w:rPr>
          <w:spacing w:val="-2"/>
        </w:rPr>
        <w:t>comma</w:t>
      </w:r>
      <w:r>
        <w:rPr>
          <w:spacing w:val="-8"/>
        </w:rPr>
        <w:t> </w:t>
      </w:r>
      <w:r>
        <w:rPr>
          <w:spacing w:val="-2"/>
        </w:rPr>
        <w:t>splice</w:t>
      </w:r>
      <w:r>
        <w:rPr>
          <w:spacing w:val="-8"/>
        </w:rPr>
        <w:t> </w:t>
      </w:r>
      <w:r>
        <w:rPr>
          <w:spacing w:val="-2"/>
        </w:rPr>
        <w:t>fixes,</w:t>
      </w:r>
      <w:r>
        <w:rPr>
          <w:spacing w:val="-8"/>
        </w:rPr>
        <w:t> </w:t>
      </w:r>
      <w:r>
        <w:rPr>
          <w:spacing w:val="-2"/>
        </w:rPr>
        <w:t>reformulation</w:t>
      </w:r>
      <w:r>
        <w:rPr>
          <w:spacing w:val="-8"/>
        </w:rPr>
        <w:t> </w:t>
      </w:r>
      <w:r>
        <w:rPr>
          <w:spacing w:val="-2"/>
        </w:rPr>
        <w:t>of</w:t>
      </w:r>
      <w:r>
        <w:rPr>
          <w:spacing w:val="-8"/>
        </w:rPr>
        <w:t> </w:t>
      </w:r>
      <w:r>
        <w:rPr>
          <w:spacing w:val="-2"/>
        </w:rPr>
        <w:t>awkward</w:t>
      </w:r>
      <w:r>
        <w:rPr>
          <w:spacing w:val="-8"/>
        </w:rPr>
        <w:t> </w:t>
      </w:r>
      <w:r>
        <w:rPr>
          <w:spacing w:val="-2"/>
        </w:rPr>
        <w:t>phrasing, </w:t>
      </w:r>
      <w:r>
        <w:rPr/>
        <w:t>removal</w:t>
      </w:r>
      <w:r>
        <w:rPr>
          <w:spacing w:val="-10"/>
        </w:rPr>
        <w:t> </w:t>
      </w:r>
      <w:r>
        <w:rPr/>
        <w:t>of</w:t>
      </w:r>
      <w:r>
        <w:rPr>
          <w:spacing w:val="-10"/>
        </w:rPr>
        <w:t> </w:t>
      </w:r>
      <w:r>
        <w:rPr/>
        <w:t>formulaic</w:t>
      </w:r>
      <w:r>
        <w:rPr>
          <w:spacing w:val="-10"/>
        </w:rPr>
        <w:t> </w:t>
      </w:r>
      <w:r>
        <w:rPr/>
        <w:t>AI-sounding</w:t>
      </w:r>
      <w:r>
        <w:rPr>
          <w:spacing w:val="-10"/>
        </w:rPr>
        <w:t> </w:t>
      </w:r>
      <w:r>
        <w:rPr/>
        <w:t>constructions)</w:t>
      </w:r>
      <w:r>
        <w:rPr>
          <w:spacing w:val="-10"/>
        </w:rPr>
        <w:t> </w:t>
      </w:r>
      <w:r>
        <w:rPr/>
        <w:t>was</w:t>
      </w:r>
      <w:r>
        <w:rPr>
          <w:spacing w:val="-10"/>
        </w:rPr>
        <w:t> </w:t>
      </w:r>
      <w:r>
        <w:rPr/>
        <w:t>applied</w:t>
      </w:r>
      <w:r>
        <w:rPr>
          <w:spacing w:val="-10"/>
        </w:rPr>
        <w:t> </w:t>
      </w:r>
      <w:r>
        <w:rPr/>
        <w:t>across</w:t>
      </w:r>
      <w:r>
        <w:rPr>
          <w:spacing w:val="-10"/>
        </w:rPr>
        <w:t> </w:t>
      </w:r>
      <w:r>
        <w:rPr/>
        <w:t>all</w:t>
      </w:r>
      <w:r>
        <w:rPr>
          <w:spacing w:val="-10"/>
        </w:rPr>
        <w:t> </w:t>
      </w:r>
      <w:r>
        <w:rPr/>
        <w:t>chapters. This</w:t>
      </w:r>
      <w:r>
        <w:rPr>
          <w:spacing w:val="-10"/>
        </w:rPr>
        <w:t> </w:t>
      </w:r>
      <w:r>
        <w:rPr/>
        <w:t>is</w:t>
      </w:r>
      <w:r>
        <w:rPr>
          <w:spacing w:val="-10"/>
        </w:rPr>
        <w:t> </w:t>
      </w:r>
      <w:r>
        <w:rPr/>
        <w:t>the</w:t>
      </w:r>
      <w:r>
        <w:rPr>
          <w:spacing w:val="-10"/>
        </w:rPr>
        <w:t> </w:t>
      </w:r>
      <w:r>
        <w:rPr/>
        <w:t>most widespread</w:t>
      </w:r>
      <w:r>
        <w:rPr>
          <w:spacing w:val="-7"/>
        </w:rPr>
        <w:t> </w:t>
      </w:r>
      <w:r>
        <w:rPr/>
        <w:t>category</w:t>
      </w:r>
      <w:r>
        <w:rPr>
          <w:spacing w:val="-7"/>
        </w:rPr>
        <w:t> </w:t>
      </w:r>
      <w:r>
        <w:rPr/>
        <w:t>of</w:t>
      </w:r>
      <w:r>
        <w:rPr>
          <w:spacing w:val="-7"/>
        </w:rPr>
        <w:t> </w:t>
      </w:r>
      <w:r>
        <w:rPr/>
        <w:t>use. The</w:t>
      </w:r>
      <w:r>
        <w:rPr>
          <w:spacing w:val="-7"/>
        </w:rPr>
        <w:t> </w:t>
      </w:r>
      <w:r>
        <w:rPr/>
        <w:t>student</w:t>
      </w:r>
      <w:r>
        <w:rPr>
          <w:spacing w:val="-7"/>
        </w:rPr>
        <w:t> </w:t>
      </w:r>
      <w:r>
        <w:rPr/>
        <w:t>identified</w:t>
      </w:r>
      <w:r>
        <w:rPr>
          <w:spacing w:val="-7"/>
        </w:rPr>
        <w:t> </w:t>
      </w:r>
      <w:r>
        <w:rPr/>
        <w:t>problems</w:t>
      </w:r>
      <w:r>
        <w:rPr>
          <w:spacing w:val="-7"/>
        </w:rPr>
        <w:t> </w:t>
      </w:r>
      <w:r>
        <w:rPr/>
        <w:t>and</w:t>
      </w:r>
      <w:r>
        <w:rPr>
          <w:spacing w:val="-7"/>
        </w:rPr>
        <w:t> </w:t>
      </w:r>
      <w:r>
        <w:rPr/>
        <w:t>directed</w:t>
      </w:r>
      <w:r>
        <w:rPr>
          <w:spacing w:val="-7"/>
        </w:rPr>
        <w:t> </w:t>
      </w:r>
      <w:r>
        <w:rPr/>
        <w:t>specific</w:t>
      </w:r>
      <w:r>
        <w:rPr>
          <w:spacing w:val="-7"/>
        </w:rPr>
        <w:t> </w:t>
      </w:r>
      <w:r>
        <w:rPr/>
        <w:t>corrections;</w:t>
      </w:r>
      <w:r>
        <w:rPr>
          <w:spacing w:val="-7"/>
        </w:rPr>
        <w:t> </w:t>
      </w:r>
      <w:r>
        <w:rPr/>
        <w:t>AI did not generate substantive new content in this category.</w:t>
      </w:r>
    </w:p>
    <w:p>
      <w:pPr>
        <w:pStyle w:val="BodyText"/>
        <w:spacing w:before="15"/>
      </w:pPr>
    </w:p>
    <w:p>
      <w:pPr>
        <w:pStyle w:val="BodyText"/>
        <w:ind w:left="1137" w:right="571"/>
        <w:jc w:val="center"/>
      </w:pPr>
      <w:r>
        <w:rPr>
          <w:spacing w:val="-5"/>
        </w:rPr>
        <w:t>111</w:t>
      </w:r>
    </w:p>
    <w:p>
      <w:pPr>
        <w:pStyle w:val="BodyText"/>
        <w:spacing w:after="0"/>
        <w:jc w:val="center"/>
        <w:sectPr>
          <w:headerReference w:type="default" r:id="rId133"/>
          <w:pgSz w:w="11910" w:h="16840"/>
          <w:pgMar w:header="0" w:footer="0" w:top="1920" w:bottom="280" w:left="1275" w:right="1275"/>
        </w:sectPr>
      </w:pPr>
    </w:p>
    <w:p>
      <w:pPr>
        <w:pStyle w:val="BodyText"/>
        <w:rPr>
          <w:sz w:val="20"/>
        </w:rPr>
      </w:pPr>
    </w:p>
    <w:p>
      <w:pPr>
        <w:pStyle w:val="BodyText"/>
        <w:spacing w:before="38"/>
        <w:rPr>
          <w:sz w:val="20"/>
        </w:rPr>
      </w:pPr>
    </w:p>
    <w:p>
      <w:pPr>
        <w:spacing w:before="1"/>
        <w:ind w:left="566" w:right="1137" w:firstLine="0"/>
        <w:jc w:val="center"/>
        <w:rPr>
          <w:sz w:val="20"/>
        </w:rPr>
      </w:pPr>
      <w:bookmarkStart w:name="_bookmark198" w:id="331"/>
      <w:bookmarkEnd w:id="331"/>
      <w:r>
        <w:rPr/>
      </w:r>
      <w:r>
        <w:rPr>
          <w:b/>
          <w:sz w:val="20"/>
        </w:rPr>
        <w:t>Table</w:t>
      </w:r>
      <w:r>
        <w:rPr>
          <w:b/>
          <w:spacing w:val="-8"/>
          <w:sz w:val="20"/>
        </w:rPr>
        <w:t> </w:t>
      </w:r>
      <w:r>
        <w:rPr>
          <w:b/>
          <w:sz w:val="20"/>
        </w:rPr>
        <w:t>E.1:</w:t>
      </w:r>
      <w:r>
        <w:rPr>
          <w:b/>
          <w:spacing w:val="2"/>
          <w:sz w:val="20"/>
        </w:rPr>
        <w:t> </w:t>
      </w:r>
      <w:r>
        <w:rPr>
          <w:sz w:val="20"/>
        </w:rPr>
        <w:t>AI</w:t>
      </w:r>
      <w:r>
        <w:rPr>
          <w:spacing w:val="-8"/>
          <w:sz w:val="20"/>
        </w:rPr>
        <w:t> </w:t>
      </w:r>
      <w:r>
        <w:rPr>
          <w:sz w:val="20"/>
        </w:rPr>
        <w:t>use</w:t>
      </w:r>
      <w:r>
        <w:rPr>
          <w:spacing w:val="-8"/>
          <w:sz w:val="20"/>
        </w:rPr>
        <w:t> </w:t>
      </w:r>
      <w:r>
        <w:rPr>
          <w:sz w:val="20"/>
        </w:rPr>
        <w:t>summary</w:t>
      </w:r>
      <w:r>
        <w:rPr>
          <w:spacing w:val="-8"/>
          <w:sz w:val="20"/>
        </w:rPr>
        <w:t> </w:t>
      </w:r>
      <w:r>
        <w:rPr>
          <w:sz w:val="20"/>
        </w:rPr>
        <w:t>table</w:t>
      </w:r>
      <w:r>
        <w:rPr>
          <w:spacing w:val="-8"/>
          <w:sz w:val="20"/>
        </w:rPr>
        <w:t> </w:t>
      </w:r>
      <w:r>
        <w:rPr>
          <w:spacing w:val="-5"/>
          <w:sz w:val="20"/>
        </w:rPr>
        <w:t>1.</w:t>
      </w:r>
    </w:p>
    <w:p>
      <w:pPr>
        <w:pStyle w:val="BodyText"/>
        <w:spacing w:before="5"/>
        <w:rPr>
          <w:sz w:val="18"/>
        </w:rPr>
      </w:pPr>
      <w:r>
        <w:rPr>
          <w:sz w:val="18"/>
        </w:rPr>
        <mc:AlternateContent>
          <mc:Choice Requires="wps">
            <w:drawing>
              <wp:anchor distT="0" distB="0" distL="0" distR="0" allowOverlap="1" layoutInCell="1" locked="0" behindDoc="1" simplePos="0" relativeHeight="487648256">
                <wp:simplePos x="0" y="0"/>
                <wp:positionH relativeFrom="page">
                  <wp:posOffset>899998</wp:posOffset>
                </wp:positionH>
                <wp:positionV relativeFrom="paragraph">
                  <wp:posOffset>150005</wp:posOffset>
                </wp:positionV>
                <wp:extent cx="5400040" cy="1270"/>
                <wp:effectExtent l="0" t="0" r="0" b="0"/>
                <wp:wrapTopAndBottom/>
                <wp:docPr id="315" name="Graphic 315"/>
                <wp:cNvGraphicFramePr>
                  <a:graphicFrameLocks/>
                </wp:cNvGraphicFramePr>
                <a:graphic>
                  <a:graphicData uri="http://schemas.microsoft.com/office/word/2010/wordprocessingShape">
                    <wps:wsp>
                      <wps:cNvPr id="315" name="Graphic 315"/>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1.811473pt;width:425.2pt;height:.1pt;mso-position-horizontal-relative:page;mso-position-vertical-relative:paragraph;z-index:-15668224;mso-wrap-distance-left:0;mso-wrap-distance-right:0" id="docshape277" coordorigin="1417,236" coordsize="8504,0" path="m1417,236l9921,236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57"/>
        <w:gridCol w:w="2515"/>
        <w:gridCol w:w="3932"/>
      </w:tblGrid>
      <w:tr>
        <w:trPr>
          <w:trHeight w:val="320" w:hRule="atLeast"/>
        </w:trPr>
        <w:tc>
          <w:tcPr>
            <w:tcW w:w="2057" w:type="dxa"/>
            <w:tcBorders>
              <w:top w:val="nil"/>
              <w:left w:val="nil"/>
              <w:right w:val="single" w:sz="4" w:space="0" w:color="000000"/>
            </w:tcBorders>
          </w:tcPr>
          <w:p>
            <w:pPr>
              <w:pStyle w:val="TableParagraph"/>
              <w:spacing w:before="31"/>
              <w:ind w:left="119"/>
              <w:rPr>
                <w:sz w:val="18"/>
              </w:rPr>
            </w:pPr>
            <w:r>
              <w:rPr>
                <w:spacing w:val="-2"/>
                <w:sz w:val="18"/>
              </w:rPr>
              <w:t>Section</w:t>
            </w:r>
          </w:p>
        </w:tc>
        <w:tc>
          <w:tcPr>
            <w:tcW w:w="2515" w:type="dxa"/>
            <w:tcBorders>
              <w:top w:val="nil"/>
              <w:left w:val="single" w:sz="4" w:space="0" w:color="000000"/>
              <w:right w:val="single" w:sz="4" w:space="0" w:color="000000"/>
            </w:tcBorders>
          </w:tcPr>
          <w:p>
            <w:pPr>
              <w:pStyle w:val="TableParagraph"/>
              <w:spacing w:before="31"/>
              <w:ind w:left="118"/>
              <w:rPr>
                <w:sz w:val="18"/>
              </w:rPr>
            </w:pPr>
            <w:r>
              <w:rPr>
                <w:sz w:val="18"/>
              </w:rPr>
              <w:t>Type</w:t>
            </w:r>
            <w:r>
              <w:rPr>
                <w:spacing w:val="-12"/>
                <w:sz w:val="18"/>
              </w:rPr>
              <w:t> </w:t>
            </w:r>
            <w:r>
              <w:rPr>
                <w:sz w:val="18"/>
              </w:rPr>
              <w:t>of</w:t>
            </w:r>
            <w:r>
              <w:rPr>
                <w:spacing w:val="-11"/>
                <w:sz w:val="18"/>
              </w:rPr>
              <w:t> </w:t>
            </w:r>
            <w:r>
              <w:rPr>
                <w:spacing w:val="-2"/>
                <w:sz w:val="18"/>
              </w:rPr>
              <w:t>editing</w:t>
            </w:r>
          </w:p>
        </w:tc>
        <w:tc>
          <w:tcPr>
            <w:tcW w:w="3932" w:type="dxa"/>
            <w:tcBorders>
              <w:top w:val="nil"/>
              <w:left w:val="single" w:sz="4" w:space="0" w:color="000000"/>
              <w:right w:val="nil"/>
            </w:tcBorders>
          </w:tcPr>
          <w:p>
            <w:pPr>
              <w:pStyle w:val="TableParagraph"/>
              <w:spacing w:before="31"/>
              <w:ind w:left="118"/>
              <w:rPr>
                <w:sz w:val="18"/>
              </w:rPr>
            </w:pPr>
            <w:r>
              <w:rPr>
                <w:sz w:val="18"/>
              </w:rPr>
              <w:t>Example</w:t>
            </w:r>
            <w:r>
              <w:rPr>
                <w:spacing w:val="-8"/>
                <w:sz w:val="18"/>
              </w:rPr>
              <w:t> </w:t>
            </w:r>
            <w:r>
              <w:rPr>
                <w:spacing w:val="-2"/>
                <w:sz w:val="18"/>
              </w:rPr>
              <w:t>prompt</w:t>
            </w:r>
          </w:p>
        </w:tc>
      </w:tr>
    </w:tbl>
    <w:p>
      <w:pPr>
        <w:pStyle w:val="BodyText"/>
        <w:spacing w:before="10"/>
        <w:rPr>
          <w:sz w:val="4"/>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57"/>
        <w:gridCol w:w="2515"/>
        <w:gridCol w:w="3932"/>
      </w:tblGrid>
      <w:tr>
        <w:trPr>
          <w:trHeight w:val="503" w:hRule="atLeast"/>
        </w:trPr>
        <w:tc>
          <w:tcPr>
            <w:tcW w:w="2057" w:type="dxa"/>
            <w:tcBorders>
              <w:right w:val="single" w:sz="4" w:space="0" w:color="000000"/>
            </w:tcBorders>
          </w:tcPr>
          <w:p>
            <w:pPr>
              <w:pStyle w:val="TableParagraph"/>
              <w:spacing w:before="31"/>
              <w:ind w:left="119"/>
              <w:rPr>
                <w:sz w:val="18"/>
              </w:rPr>
            </w:pPr>
            <w:r>
              <w:rPr>
                <w:spacing w:val="-2"/>
                <w:sz w:val="18"/>
              </w:rPr>
              <w:t>Abstract</w:t>
            </w:r>
          </w:p>
        </w:tc>
        <w:tc>
          <w:tcPr>
            <w:tcW w:w="2515" w:type="dxa"/>
            <w:tcBorders>
              <w:left w:val="single" w:sz="4" w:space="0" w:color="000000"/>
              <w:right w:val="single" w:sz="4" w:space="0" w:color="000000"/>
            </w:tcBorders>
          </w:tcPr>
          <w:p>
            <w:pPr>
              <w:pStyle w:val="TableParagraph"/>
              <w:spacing w:line="254" w:lineRule="auto" w:before="31"/>
              <w:ind w:left="118"/>
              <w:rPr>
                <w:sz w:val="18"/>
              </w:rPr>
            </w:pPr>
            <w:r>
              <w:rPr>
                <w:sz w:val="18"/>
              </w:rPr>
              <w:t>Reformulation,</w:t>
            </w:r>
            <w:r>
              <w:rPr>
                <w:spacing w:val="80"/>
                <w:sz w:val="18"/>
              </w:rPr>
              <w:t> </w:t>
            </w:r>
            <w:r>
              <w:rPr>
                <w:sz w:val="18"/>
              </w:rPr>
              <w:t>AI-phrase</w:t>
            </w:r>
            <w:r>
              <w:rPr>
                <w:spacing w:val="40"/>
                <w:sz w:val="18"/>
              </w:rPr>
              <w:t> </w:t>
            </w:r>
            <w:r>
              <w:rPr>
                <w:sz w:val="18"/>
              </w:rPr>
              <w:t>re-</w:t>
            </w:r>
            <w:r>
              <w:rPr>
                <w:spacing w:val="-2"/>
                <w:sz w:val="18"/>
              </w:rPr>
              <w:t>moval</w:t>
            </w:r>
          </w:p>
        </w:tc>
        <w:tc>
          <w:tcPr>
            <w:tcW w:w="3932" w:type="dxa"/>
            <w:tcBorders>
              <w:left w:val="single" w:sz="4" w:space="0" w:color="000000"/>
            </w:tcBorders>
          </w:tcPr>
          <w:p>
            <w:pPr>
              <w:pStyle w:val="TableParagraph"/>
              <w:spacing w:line="254" w:lineRule="auto" w:before="31"/>
              <w:ind w:left="118"/>
              <w:rPr>
                <w:sz w:val="18"/>
              </w:rPr>
            </w:pPr>
            <w:r>
              <w:rPr>
                <w:sz w:val="18"/>
              </w:rPr>
              <w:t>“rewrite</w:t>
            </w:r>
            <w:r>
              <w:rPr>
                <w:spacing w:val="-8"/>
                <w:sz w:val="18"/>
              </w:rPr>
              <w:t> </w:t>
            </w:r>
            <w:r>
              <w:rPr>
                <w:sz w:val="18"/>
              </w:rPr>
              <w:t>any</w:t>
            </w:r>
            <w:r>
              <w:rPr>
                <w:spacing w:val="-8"/>
                <w:sz w:val="18"/>
              </w:rPr>
              <w:t> </w:t>
            </w:r>
            <w:r>
              <w:rPr>
                <w:sz w:val="18"/>
              </w:rPr>
              <w:t>AI-sounding</w:t>
            </w:r>
            <w:r>
              <w:rPr>
                <w:spacing w:val="-8"/>
                <w:sz w:val="18"/>
              </w:rPr>
              <w:t> </w:t>
            </w:r>
            <w:r>
              <w:rPr>
                <w:sz w:val="18"/>
              </w:rPr>
              <w:t>phrases</w:t>
            </w:r>
            <w:r>
              <w:rPr>
                <w:spacing w:val="-8"/>
                <w:sz w:val="18"/>
              </w:rPr>
              <w:t> </w:t>
            </w:r>
            <w:r>
              <w:rPr>
                <w:sz w:val="18"/>
              </w:rPr>
              <w:t>to</w:t>
            </w:r>
            <w:r>
              <w:rPr>
                <w:spacing w:val="-8"/>
                <w:sz w:val="18"/>
              </w:rPr>
              <w:t> </w:t>
            </w:r>
            <w:r>
              <w:rPr>
                <w:sz w:val="18"/>
              </w:rPr>
              <w:t>be</w:t>
            </w:r>
            <w:r>
              <w:rPr>
                <w:spacing w:val="-8"/>
                <w:sz w:val="18"/>
              </w:rPr>
              <w:t> </w:t>
            </w:r>
            <w:r>
              <w:rPr>
                <w:sz w:val="18"/>
              </w:rPr>
              <w:t>more</w:t>
            </w:r>
            <w:r>
              <w:rPr>
                <w:spacing w:val="-8"/>
                <w:sz w:val="18"/>
              </w:rPr>
              <w:t> </w:t>
            </w:r>
            <w:r>
              <w:rPr>
                <w:sz w:val="18"/>
              </w:rPr>
              <w:t>direct and academic”</w:t>
            </w:r>
          </w:p>
        </w:tc>
      </w:tr>
      <w:tr>
        <w:trPr>
          <w:trHeight w:val="504" w:hRule="atLeast"/>
        </w:trPr>
        <w:tc>
          <w:tcPr>
            <w:tcW w:w="2057" w:type="dxa"/>
            <w:tcBorders>
              <w:right w:val="single" w:sz="4" w:space="0" w:color="000000"/>
            </w:tcBorders>
          </w:tcPr>
          <w:p>
            <w:pPr>
              <w:pStyle w:val="TableParagraph"/>
              <w:ind w:left="119"/>
              <w:rPr>
                <w:sz w:val="18"/>
              </w:rPr>
            </w:pPr>
            <w:r>
              <w:rPr>
                <w:sz w:val="18"/>
              </w:rPr>
              <w:t>Ch.</w:t>
            </w:r>
            <w:r>
              <w:rPr>
                <w:spacing w:val="7"/>
                <w:sz w:val="18"/>
              </w:rPr>
              <w:t> </w:t>
            </w:r>
            <w:r>
              <w:rPr>
                <w:sz w:val="18"/>
              </w:rPr>
              <w:t>1</w:t>
            </w:r>
            <w:r>
              <w:rPr>
                <w:spacing w:val="-2"/>
                <w:sz w:val="18"/>
              </w:rPr>
              <w:t> </w:t>
            </w:r>
            <w:r>
              <w:rPr>
                <w:sz w:val="18"/>
              </w:rPr>
              <w:t>—</w:t>
            </w:r>
            <w:r>
              <w:rPr>
                <w:spacing w:val="-3"/>
                <w:sz w:val="18"/>
              </w:rPr>
              <w:t> </w:t>
            </w:r>
            <w:r>
              <w:rPr>
                <w:spacing w:val="-2"/>
                <w:sz w:val="18"/>
              </w:rPr>
              <w:t>Introduction</w:t>
            </w:r>
          </w:p>
        </w:tc>
        <w:tc>
          <w:tcPr>
            <w:tcW w:w="2515" w:type="dxa"/>
            <w:tcBorders>
              <w:left w:val="single" w:sz="4" w:space="0" w:color="000000"/>
              <w:right w:val="single" w:sz="4" w:space="0" w:color="000000"/>
            </w:tcBorders>
          </w:tcPr>
          <w:p>
            <w:pPr>
              <w:pStyle w:val="TableParagraph"/>
              <w:spacing w:line="254" w:lineRule="auto"/>
              <w:ind w:left="118"/>
              <w:rPr>
                <w:sz w:val="18"/>
              </w:rPr>
            </w:pPr>
            <w:r>
              <w:rPr>
                <w:sz w:val="18"/>
              </w:rPr>
              <w:t>Sentence</w:t>
            </w:r>
            <w:r>
              <w:rPr>
                <w:spacing w:val="-2"/>
                <w:sz w:val="18"/>
              </w:rPr>
              <w:t> </w:t>
            </w:r>
            <w:r>
              <w:rPr>
                <w:sz w:val="18"/>
              </w:rPr>
              <w:t>restructuring,</w:t>
            </w:r>
            <w:r>
              <w:rPr>
                <w:spacing w:val="-2"/>
                <w:sz w:val="18"/>
              </w:rPr>
              <w:t> </w:t>
            </w:r>
            <w:r>
              <w:rPr>
                <w:sz w:val="18"/>
              </w:rPr>
              <w:t>comma </w:t>
            </w:r>
            <w:r>
              <w:rPr>
                <w:spacing w:val="-2"/>
                <w:sz w:val="18"/>
              </w:rPr>
              <w:t>splices</w:t>
            </w:r>
          </w:p>
        </w:tc>
        <w:tc>
          <w:tcPr>
            <w:tcW w:w="3932" w:type="dxa"/>
            <w:tcBorders>
              <w:left w:val="single" w:sz="4" w:space="0" w:color="000000"/>
            </w:tcBorders>
          </w:tcPr>
          <w:p>
            <w:pPr>
              <w:pStyle w:val="TableParagraph"/>
              <w:ind w:left="118"/>
              <w:rPr>
                <w:sz w:val="18"/>
              </w:rPr>
            </w:pPr>
            <w:r>
              <w:rPr>
                <w:sz w:val="18"/>
              </w:rPr>
              <w:t>“fix</w:t>
            </w:r>
            <w:r>
              <w:rPr>
                <w:spacing w:val="-9"/>
                <w:sz w:val="18"/>
              </w:rPr>
              <w:t> </w:t>
            </w:r>
            <w:r>
              <w:rPr>
                <w:sz w:val="18"/>
              </w:rPr>
              <w:t>grammar</w:t>
            </w:r>
            <w:r>
              <w:rPr>
                <w:spacing w:val="-9"/>
                <w:sz w:val="18"/>
              </w:rPr>
              <w:t> </w:t>
            </w:r>
            <w:r>
              <w:rPr>
                <w:sz w:val="18"/>
              </w:rPr>
              <w:t>and</w:t>
            </w:r>
            <w:r>
              <w:rPr>
                <w:spacing w:val="-8"/>
                <w:sz w:val="18"/>
              </w:rPr>
              <w:t> </w:t>
            </w:r>
            <w:r>
              <w:rPr>
                <w:sz w:val="18"/>
              </w:rPr>
              <w:t>AI-sounding</w:t>
            </w:r>
            <w:r>
              <w:rPr>
                <w:spacing w:val="-9"/>
                <w:sz w:val="18"/>
              </w:rPr>
              <w:t> </w:t>
            </w:r>
            <w:r>
              <w:rPr>
                <w:sz w:val="18"/>
              </w:rPr>
              <w:t>phrases</w:t>
            </w:r>
            <w:r>
              <w:rPr>
                <w:spacing w:val="-8"/>
                <w:sz w:val="18"/>
              </w:rPr>
              <w:t> </w:t>
            </w:r>
            <w:r>
              <w:rPr>
                <w:spacing w:val="-2"/>
                <w:sz w:val="18"/>
              </w:rPr>
              <w:t>throughout”</w:t>
            </w:r>
          </w:p>
        </w:tc>
      </w:tr>
      <w:tr>
        <w:trPr>
          <w:trHeight w:val="504" w:hRule="atLeast"/>
        </w:trPr>
        <w:tc>
          <w:tcPr>
            <w:tcW w:w="2057" w:type="dxa"/>
            <w:tcBorders>
              <w:right w:val="single" w:sz="4" w:space="0" w:color="000000"/>
            </w:tcBorders>
          </w:tcPr>
          <w:p>
            <w:pPr>
              <w:pStyle w:val="TableParagraph"/>
              <w:spacing w:line="254" w:lineRule="auto"/>
              <w:ind w:left="115" w:firstLine="4"/>
              <w:rPr>
                <w:sz w:val="18"/>
              </w:rPr>
            </w:pPr>
            <w:r>
              <w:rPr>
                <w:sz w:val="18"/>
              </w:rPr>
              <w:t>Ch.</w:t>
            </w:r>
            <w:r>
              <w:rPr>
                <w:spacing w:val="40"/>
                <w:sz w:val="18"/>
              </w:rPr>
              <w:t> </w:t>
            </w:r>
            <w:r>
              <w:rPr>
                <w:sz w:val="18"/>
              </w:rPr>
              <w:t>2 — Literature </w:t>
            </w:r>
            <w:r>
              <w:rPr>
                <w:sz w:val="18"/>
              </w:rPr>
              <w:t>Re-</w:t>
            </w:r>
            <w:r>
              <w:rPr>
                <w:spacing w:val="-4"/>
                <w:sz w:val="18"/>
              </w:rPr>
              <w:t>view</w:t>
            </w:r>
          </w:p>
        </w:tc>
        <w:tc>
          <w:tcPr>
            <w:tcW w:w="2515" w:type="dxa"/>
            <w:tcBorders>
              <w:left w:val="single" w:sz="4" w:space="0" w:color="000000"/>
              <w:right w:val="single" w:sz="4" w:space="0" w:color="000000"/>
            </w:tcBorders>
          </w:tcPr>
          <w:p>
            <w:pPr>
              <w:pStyle w:val="TableParagraph"/>
              <w:spacing w:line="254" w:lineRule="auto"/>
              <w:ind w:left="118"/>
              <w:rPr>
                <w:sz w:val="18"/>
              </w:rPr>
            </w:pPr>
            <w:r>
              <w:rPr>
                <w:sz w:val="18"/>
              </w:rPr>
              <w:t>Reformulation,</w:t>
            </w:r>
            <w:r>
              <w:rPr>
                <w:spacing w:val="80"/>
                <w:sz w:val="18"/>
              </w:rPr>
              <w:t> </w:t>
            </w:r>
            <w:r>
              <w:rPr>
                <w:sz w:val="18"/>
              </w:rPr>
              <w:t>hedging</w:t>
            </w:r>
            <w:r>
              <w:rPr>
                <w:spacing w:val="80"/>
                <w:sz w:val="18"/>
              </w:rPr>
              <w:t> </w:t>
            </w:r>
            <w:r>
              <w:rPr>
                <w:sz w:val="18"/>
              </w:rPr>
              <w:t>lan-</w:t>
            </w:r>
            <w:r>
              <w:rPr>
                <w:spacing w:val="-2"/>
                <w:sz w:val="18"/>
              </w:rPr>
              <w:t>guage</w:t>
            </w:r>
          </w:p>
        </w:tc>
        <w:tc>
          <w:tcPr>
            <w:tcW w:w="3932" w:type="dxa"/>
            <w:tcBorders>
              <w:left w:val="single" w:sz="4" w:space="0" w:color="000000"/>
            </w:tcBorders>
          </w:tcPr>
          <w:p>
            <w:pPr>
              <w:pStyle w:val="TableParagraph"/>
              <w:ind w:left="118"/>
              <w:rPr>
                <w:sz w:val="18"/>
              </w:rPr>
            </w:pPr>
            <w:r>
              <w:rPr>
                <w:spacing w:val="-2"/>
                <w:sz w:val="18"/>
              </w:rPr>
              <w:t>“flag</w:t>
            </w:r>
            <w:r>
              <w:rPr>
                <w:spacing w:val="-1"/>
                <w:sz w:val="18"/>
              </w:rPr>
              <w:t> </w:t>
            </w:r>
            <w:r>
              <w:rPr>
                <w:spacing w:val="-2"/>
                <w:sz w:val="18"/>
              </w:rPr>
              <w:t>and</w:t>
            </w:r>
            <w:r>
              <w:rPr>
                <w:spacing w:val="-1"/>
                <w:sz w:val="18"/>
              </w:rPr>
              <w:t> </w:t>
            </w:r>
            <w:r>
              <w:rPr>
                <w:spacing w:val="-2"/>
                <w:sz w:val="18"/>
              </w:rPr>
              <w:t>rewrite</w:t>
            </w:r>
            <w:r>
              <w:rPr>
                <w:spacing w:val="-1"/>
                <w:sz w:val="18"/>
              </w:rPr>
              <w:t> </w:t>
            </w:r>
            <w:r>
              <w:rPr>
                <w:spacing w:val="-2"/>
                <w:sz w:val="18"/>
              </w:rPr>
              <w:t>passages</w:t>
            </w:r>
            <w:r>
              <w:rPr>
                <w:spacing w:val="-1"/>
                <w:sz w:val="18"/>
              </w:rPr>
              <w:t> </w:t>
            </w:r>
            <w:r>
              <w:rPr>
                <w:spacing w:val="-2"/>
                <w:sz w:val="18"/>
              </w:rPr>
              <w:t>that</w:t>
            </w:r>
            <w:r>
              <w:rPr>
                <w:spacing w:val="-1"/>
                <w:sz w:val="18"/>
              </w:rPr>
              <w:t> </w:t>
            </w:r>
            <w:r>
              <w:rPr>
                <w:spacing w:val="-2"/>
                <w:sz w:val="18"/>
              </w:rPr>
              <w:t>sound</w:t>
            </w:r>
            <w:r>
              <w:rPr>
                <w:spacing w:val="-1"/>
                <w:sz w:val="18"/>
              </w:rPr>
              <w:t> </w:t>
            </w:r>
            <w:r>
              <w:rPr>
                <w:spacing w:val="-2"/>
                <w:sz w:val="18"/>
              </w:rPr>
              <w:t>AI-generated”</w:t>
            </w:r>
          </w:p>
        </w:tc>
      </w:tr>
      <w:tr>
        <w:trPr>
          <w:trHeight w:val="284" w:hRule="atLeast"/>
        </w:trPr>
        <w:tc>
          <w:tcPr>
            <w:tcW w:w="2057" w:type="dxa"/>
            <w:tcBorders>
              <w:right w:val="single" w:sz="4" w:space="0" w:color="000000"/>
            </w:tcBorders>
          </w:tcPr>
          <w:p>
            <w:pPr>
              <w:pStyle w:val="TableParagraph"/>
              <w:ind w:left="119"/>
              <w:rPr>
                <w:sz w:val="18"/>
              </w:rPr>
            </w:pPr>
            <w:r>
              <w:rPr>
                <w:sz w:val="18"/>
              </w:rPr>
              <w:t>Ch.</w:t>
            </w:r>
            <w:r>
              <w:rPr>
                <w:spacing w:val="7"/>
                <w:sz w:val="18"/>
              </w:rPr>
              <w:t> </w:t>
            </w:r>
            <w:r>
              <w:rPr>
                <w:sz w:val="18"/>
              </w:rPr>
              <w:t>3</w:t>
            </w:r>
            <w:r>
              <w:rPr>
                <w:spacing w:val="-2"/>
                <w:sz w:val="18"/>
              </w:rPr>
              <w:t> </w:t>
            </w:r>
            <w:r>
              <w:rPr>
                <w:sz w:val="18"/>
              </w:rPr>
              <w:t>—</w:t>
            </w:r>
            <w:r>
              <w:rPr>
                <w:spacing w:val="-3"/>
                <w:sz w:val="18"/>
              </w:rPr>
              <w:t> </w:t>
            </w:r>
            <w:r>
              <w:rPr>
                <w:spacing w:val="-2"/>
                <w:sz w:val="18"/>
              </w:rPr>
              <w:t>Methods</w:t>
            </w:r>
          </w:p>
        </w:tc>
        <w:tc>
          <w:tcPr>
            <w:tcW w:w="2515" w:type="dxa"/>
            <w:tcBorders>
              <w:left w:val="single" w:sz="4" w:space="0" w:color="000000"/>
              <w:right w:val="single" w:sz="4" w:space="0" w:color="000000"/>
            </w:tcBorders>
          </w:tcPr>
          <w:p>
            <w:pPr>
              <w:pStyle w:val="TableParagraph"/>
              <w:ind w:left="118"/>
              <w:rPr>
                <w:sz w:val="18"/>
              </w:rPr>
            </w:pPr>
            <w:r>
              <w:rPr>
                <w:sz w:val="18"/>
              </w:rPr>
              <w:t>Comma</w:t>
            </w:r>
            <w:r>
              <w:rPr>
                <w:spacing w:val="-8"/>
                <w:sz w:val="18"/>
              </w:rPr>
              <w:t> </w:t>
            </w:r>
            <w:r>
              <w:rPr>
                <w:sz w:val="18"/>
              </w:rPr>
              <w:t>splices,</w:t>
            </w:r>
            <w:r>
              <w:rPr>
                <w:spacing w:val="-7"/>
                <w:sz w:val="18"/>
              </w:rPr>
              <w:t> </w:t>
            </w:r>
            <w:r>
              <w:rPr>
                <w:sz w:val="18"/>
              </w:rPr>
              <w:t>paragraph</w:t>
            </w:r>
            <w:r>
              <w:rPr>
                <w:spacing w:val="-7"/>
                <w:sz w:val="18"/>
              </w:rPr>
              <w:t> </w:t>
            </w:r>
            <w:r>
              <w:rPr>
                <w:spacing w:val="-4"/>
                <w:sz w:val="18"/>
              </w:rPr>
              <w:t>flow</w:t>
            </w:r>
          </w:p>
        </w:tc>
        <w:tc>
          <w:tcPr>
            <w:tcW w:w="3932" w:type="dxa"/>
            <w:tcBorders>
              <w:left w:val="single" w:sz="4" w:space="0" w:color="000000"/>
            </w:tcBorders>
          </w:tcPr>
          <w:p>
            <w:pPr>
              <w:pStyle w:val="TableParagraph"/>
              <w:ind w:left="118"/>
              <w:rPr>
                <w:sz w:val="18"/>
              </w:rPr>
            </w:pPr>
            <w:r>
              <w:rPr>
                <w:sz w:val="18"/>
              </w:rPr>
              <w:t>“fix</w:t>
            </w:r>
            <w:r>
              <w:rPr>
                <w:spacing w:val="-8"/>
                <w:sz w:val="18"/>
              </w:rPr>
              <w:t> </w:t>
            </w:r>
            <w:r>
              <w:rPr>
                <w:sz w:val="18"/>
              </w:rPr>
              <w:t>comma</w:t>
            </w:r>
            <w:r>
              <w:rPr>
                <w:spacing w:val="-7"/>
                <w:sz w:val="18"/>
              </w:rPr>
              <w:t> </w:t>
            </w:r>
            <w:r>
              <w:rPr>
                <w:sz w:val="18"/>
              </w:rPr>
              <w:t>splices</w:t>
            </w:r>
            <w:r>
              <w:rPr>
                <w:spacing w:val="-7"/>
                <w:sz w:val="18"/>
              </w:rPr>
              <w:t> </w:t>
            </w:r>
            <w:r>
              <w:rPr>
                <w:sz w:val="18"/>
              </w:rPr>
              <w:t>and</w:t>
            </w:r>
            <w:r>
              <w:rPr>
                <w:spacing w:val="-7"/>
                <w:sz w:val="18"/>
              </w:rPr>
              <w:t> </w:t>
            </w:r>
            <w:r>
              <w:rPr>
                <w:sz w:val="18"/>
              </w:rPr>
              <w:t>reformulate</w:t>
            </w:r>
            <w:r>
              <w:rPr>
                <w:spacing w:val="-7"/>
                <w:sz w:val="18"/>
              </w:rPr>
              <w:t> </w:t>
            </w:r>
            <w:r>
              <w:rPr>
                <w:sz w:val="18"/>
              </w:rPr>
              <w:t>where</w:t>
            </w:r>
            <w:r>
              <w:rPr>
                <w:spacing w:val="-7"/>
                <w:sz w:val="18"/>
              </w:rPr>
              <w:t> </w:t>
            </w:r>
            <w:r>
              <w:rPr>
                <w:spacing w:val="-2"/>
                <w:sz w:val="18"/>
              </w:rPr>
              <w:t>needed”</w:t>
            </w:r>
          </w:p>
        </w:tc>
      </w:tr>
      <w:tr>
        <w:trPr>
          <w:trHeight w:val="504" w:hRule="atLeast"/>
        </w:trPr>
        <w:tc>
          <w:tcPr>
            <w:tcW w:w="2057" w:type="dxa"/>
            <w:tcBorders>
              <w:right w:val="single" w:sz="4" w:space="0" w:color="000000"/>
            </w:tcBorders>
          </w:tcPr>
          <w:p>
            <w:pPr>
              <w:pStyle w:val="TableParagraph"/>
              <w:ind w:left="119"/>
              <w:rPr>
                <w:sz w:val="18"/>
              </w:rPr>
            </w:pPr>
            <w:r>
              <w:rPr>
                <w:sz w:val="18"/>
              </w:rPr>
              <w:t>Ch.</w:t>
            </w:r>
            <w:r>
              <w:rPr>
                <w:spacing w:val="7"/>
                <w:sz w:val="18"/>
              </w:rPr>
              <w:t> </w:t>
            </w:r>
            <w:r>
              <w:rPr>
                <w:sz w:val="18"/>
              </w:rPr>
              <w:t>4</w:t>
            </w:r>
            <w:r>
              <w:rPr>
                <w:spacing w:val="-3"/>
                <w:sz w:val="18"/>
              </w:rPr>
              <w:t> </w:t>
            </w:r>
            <w:r>
              <w:rPr>
                <w:sz w:val="18"/>
              </w:rPr>
              <w:t>—</w:t>
            </w:r>
            <w:r>
              <w:rPr>
                <w:spacing w:val="-3"/>
                <w:sz w:val="18"/>
              </w:rPr>
              <w:t> </w:t>
            </w:r>
            <w:r>
              <w:rPr>
                <w:sz w:val="18"/>
              </w:rPr>
              <w:t>Rule</w:t>
            </w:r>
            <w:r>
              <w:rPr>
                <w:spacing w:val="-3"/>
                <w:sz w:val="18"/>
              </w:rPr>
              <w:t> </w:t>
            </w:r>
            <w:r>
              <w:rPr>
                <w:spacing w:val="-2"/>
                <w:sz w:val="18"/>
              </w:rPr>
              <w:t>Discovery</w:t>
            </w:r>
          </w:p>
        </w:tc>
        <w:tc>
          <w:tcPr>
            <w:tcW w:w="2515" w:type="dxa"/>
            <w:tcBorders>
              <w:left w:val="single" w:sz="4" w:space="0" w:color="000000"/>
              <w:right w:val="single" w:sz="4" w:space="0" w:color="000000"/>
            </w:tcBorders>
          </w:tcPr>
          <w:p>
            <w:pPr>
              <w:pStyle w:val="TableParagraph"/>
              <w:spacing w:line="254" w:lineRule="auto"/>
              <w:ind w:left="118"/>
              <w:rPr>
                <w:sz w:val="18"/>
              </w:rPr>
            </w:pPr>
            <w:r>
              <w:rPr>
                <w:sz w:val="18"/>
              </w:rPr>
              <w:t>Comma</w:t>
            </w:r>
            <w:r>
              <w:rPr>
                <w:spacing w:val="-4"/>
                <w:sz w:val="18"/>
              </w:rPr>
              <w:t> </w:t>
            </w:r>
            <w:r>
              <w:rPr>
                <w:sz w:val="18"/>
              </w:rPr>
              <w:t>splices,</w:t>
            </w:r>
            <w:r>
              <w:rPr>
                <w:spacing w:val="-4"/>
                <w:sz w:val="18"/>
              </w:rPr>
              <w:t> </w:t>
            </w:r>
            <w:r>
              <w:rPr>
                <w:sz w:val="18"/>
              </w:rPr>
              <w:t>sentence</w:t>
            </w:r>
            <w:r>
              <w:rPr>
                <w:spacing w:val="-3"/>
                <w:sz w:val="18"/>
              </w:rPr>
              <w:t> </w:t>
            </w:r>
            <w:r>
              <w:rPr>
                <w:sz w:val="18"/>
              </w:rPr>
              <w:t>struc-</w:t>
            </w:r>
            <w:r>
              <w:rPr>
                <w:spacing w:val="-4"/>
                <w:sz w:val="18"/>
              </w:rPr>
              <w:t>ture</w:t>
            </w:r>
          </w:p>
        </w:tc>
        <w:tc>
          <w:tcPr>
            <w:tcW w:w="3932" w:type="dxa"/>
            <w:tcBorders>
              <w:left w:val="single" w:sz="4" w:space="0" w:color="000000"/>
            </w:tcBorders>
          </w:tcPr>
          <w:p>
            <w:pPr>
              <w:pStyle w:val="TableParagraph"/>
              <w:ind w:left="118"/>
              <w:rPr>
                <w:sz w:val="18"/>
              </w:rPr>
            </w:pPr>
            <w:r>
              <w:rPr>
                <w:sz w:val="18"/>
              </w:rPr>
              <w:t>“go</w:t>
            </w:r>
            <w:r>
              <w:rPr>
                <w:spacing w:val="-7"/>
                <w:sz w:val="18"/>
              </w:rPr>
              <w:t> </w:t>
            </w:r>
            <w:r>
              <w:rPr>
                <w:sz w:val="18"/>
              </w:rPr>
              <w:t>to</w:t>
            </w:r>
            <w:r>
              <w:rPr>
                <w:spacing w:val="-6"/>
                <w:sz w:val="18"/>
              </w:rPr>
              <w:t> </w:t>
            </w:r>
            <w:r>
              <w:rPr>
                <w:sz w:val="18"/>
              </w:rPr>
              <w:t>file</w:t>
            </w:r>
            <w:r>
              <w:rPr>
                <w:spacing w:val="-7"/>
                <w:sz w:val="18"/>
              </w:rPr>
              <w:t> </w:t>
            </w:r>
            <w:r>
              <w:rPr>
                <w:sz w:val="18"/>
              </w:rPr>
              <w:t>12</w:t>
            </w:r>
            <w:r>
              <w:rPr>
                <w:spacing w:val="-6"/>
                <w:sz w:val="18"/>
              </w:rPr>
              <w:t> </w:t>
            </w:r>
            <w:r>
              <w:rPr>
                <w:sz w:val="18"/>
              </w:rPr>
              <w:t>and</w:t>
            </w:r>
            <w:r>
              <w:rPr>
                <w:spacing w:val="-7"/>
                <w:sz w:val="18"/>
              </w:rPr>
              <w:t> </w:t>
            </w:r>
            <w:r>
              <w:rPr>
                <w:sz w:val="18"/>
              </w:rPr>
              <w:t>fix</w:t>
            </w:r>
            <w:r>
              <w:rPr>
                <w:spacing w:val="-6"/>
                <w:sz w:val="18"/>
              </w:rPr>
              <w:t> </w:t>
            </w:r>
            <w:r>
              <w:rPr>
                <w:sz w:val="18"/>
              </w:rPr>
              <w:t>any</w:t>
            </w:r>
            <w:r>
              <w:rPr>
                <w:spacing w:val="-6"/>
                <w:sz w:val="18"/>
              </w:rPr>
              <w:t> </w:t>
            </w:r>
            <w:r>
              <w:rPr>
                <w:spacing w:val="-2"/>
                <w:sz w:val="18"/>
              </w:rPr>
              <w:t>issues”</w:t>
            </w:r>
          </w:p>
        </w:tc>
      </w:tr>
      <w:tr>
        <w:trPr>
          <w:trHeight w:val="504" w:hRule="atLeast"/>
        </w:trPr>
        <w:tc>
          <w:tcPr>
            <w:tcW w:w="2057" w:type="dxa"/>
            <w:tcBorders>
              <w:right w:val="single" w:sz="4" w:space="0" w:color="000000"/>
            </w:tcBorders>
          </w:tcPr>
          <w:p>
            <w:pPr>
              <w:pStyle w:val="TableParagraph"/>
              <w:spacing w:line="254" w:lineRule="auto"/>
              <w:ind w:left="119"/>
              <w:rPr>
                <w:sz w:val="18"/>
              </w:rPr>
            </w:pPr>
            <w:r>
              <w:rPr>
                <w:sz w:val="18"/>
              </w:rPr>
              <w:t>Ch.</w:t>
            </w:r>
            <w:r>
              <w:rPr>
                <w:spacing w:val="80"/>
                <w:sz w:val="18"/>
              </w:rPr>
              <w:t> </w:t>
            </w:r>
            <w:r>
              <w:rPr>
                <w:sz w:val="18"/>
              </w:rPr>
              <w:t>5</w:t>
            </w:r>
            <w:r>
              <w:rPr>
                <w:spacing w:val="24"/>
                <w:sz w:val="18"/>
              </w:rPr>
              <w:t> </w:t>
            </w:r>
            <w:r>
              <w:rPr>
                <w:sz w:val="18"/>
              </w:rPr>
              <w:t>—</w:t>
            </w:r>
            <w:r>
              <w:rPr>
                <w:spacing w:val="24"/>
                <w:sz w:val="18"/>
              </w:rPr>
              <w:t> </w:t>
            </w:r>
            <w:r>
              <w:rPr>
                <w:sz w:val="18"/>
              </w:rPr>
              <w:t>Prediction</w:t>
            </w:r>
            <w:r>
              <w:rPr>
                <w:spacing w:val="24"/>
                <w:sz w:val="18"/>
              </w:rPr>
              <w:t> </w:t>
            </w:r>
            <w:r>
              <w:rPr>
                <w:sz w:val="18"/>
              </w:rPr>
              <w:t>re-</w:t>
            </w:r>
            <w:r>
              <w:rPr>
                <w:spacing w:val="-2"/>
                <w:sz w:val="18"/>
              </w:rPr>
              <w:t>sults</w:t>
            </w:r>
          </w:p>
        </w:tc>
        <w:tc>
          <w:tcPr>
            <w:tcW w:w="2515" w:type="dxa"/>
            <w:tcBorders>
              <w:left w:val="single" w:sz="4" w:space="0" w:color="000000"/>
              <w:right w:val="single" w:sz="4" w:space="0" w:color="000000"/>
            </w:tcBorders>
          </w:tcPr>
          <w:p>
            <w:pPr>
              <w:pStyle w:val="TableParagraph"/>
              <w:ind w:left="118"/>
              <w:rPr>
                <w:sz w:val="18"/>
              </w:rPr>
            </w:pPr>
            <w:r>
              <w:rPr>
                <w:sz w:val="18"/>
              </w:rPr>
              <w:t>Comma</w:t>
            </w:r>
            <w:r>
              <w:rPr>
                <w:spacing w:val="-7"/>
                <w:sz w:val="18"/>
              </w:rPr>
              <w:t> </w:t>
            </w:r>
            <w:r>
              <w:rPr>
                <w:sz w:val="18"/>
              </w:rPr>
              <w:t>splices,</w:t>
            </w:r>
            <w:r>
              <w:rPr>
                <w:spacing w:val="-7"/>
                <w:sz w:val="18"/>
              </w:rPr>
              <w:t> </w:t>
            </w:r>
            <w:r>
              <w:rPr>
                <w:spacing w:val="-2"/>
                <w:sz w:val="18"/>
              </w:rPr>
              <w:t>reformulation</w:t>
            </w:r>
          </w:p>
        </w:tc>
        <w:tc>
          <w:tcPr>
            <w:tcW w:w="3932" w:type="dxa"/>
            <w:tcBorders>
              <w:left w:val="single" w:sz="4" w:space="0" w:color="000000"/>
            </w:tcBorders>
          </w:tcPr>
          <w:p>
            <w:pPr>
              <w:pStyle w:val="TableParagraph"/>
              <w:ind w:left="118"/>
              <w:rPr>
                <w:sz w:val="18"/>
              </w:rPr>
            </w:pPr>
            <w:r>
              <w:rPr>
                <w:sz w:val="18"/>
              </w:rPr>
              <w:t>“fix</w:t>
            </w:r>
            <w:r>
              <w:rPr>
                <w:spacing w:val="-7"/>
                <w:sz w:val="18"/>
              </w:rPr>
              <w:t> </w:t>
            </w:r>
            <w:r>
              <w:rPr>
                <w:sz w:val="18"/>
              </w:rPr>
              <w:t>this</w:t>
            </w:r>
            <w:r>
              <w:rPr>
                <w:spacing w:val="-6"/>
                <w:sz w:val="18"/>
              </w:rPr>
              <w:t> </w:t>
            </w:r>
            <w:r>
              <w:rPr>
                <w:sz w:val="18"/>
              </w:rPr>
              <w:t>paragraph,</w:t>
            </w:r>
            <w:r>
              <w:rPr>
                <w:spacing w:val="-6"/>
                <w:sz w:val="18"/>
              </w:rPr>
              <w:t> </w:t>
            </w:r>
            <w:r>
              <w:rPr>
                <w:sz w:val="18"/>
              </w:rPr>
              <w:t>it</w:t>
            </w:r>
            <w:r>
              <w:rPr>
                <w:spacing w:val="-6"/>
                <w:sz w:val="18"/>
              </w:rPr>
              <w:t> </w:t>
            </w:r>
            <w:r>
              <w:rPr>
                <w:sz w:val="18"/>
              </w:rPr>
              <w:t>reads</w:t>
            </w:r>
            <w:r>
              <w:rPr>
                <w:spacing w:val="-6"/>
                <w:sz w:val="18"/>
              </w:rPr>
              <w:t> </w:t>
            </w:r>
            <w:r>
              <w:rPr>
                <w:sz w:val="18"/>
              </w:rPr>
              <w:t>as</w:t>
            </w:r>
            <w:r>
              <w:rPr>
                <w:spacing w:val="-6"/>
                <w:sz w:val="18"/>
              </w:rPr>
              <w:t> </w:t>
            </w:r>
            <w:r>
              <w:rPr>
                <w:sz w:val="18"/>
              </w:rPr>
              <w:t>AI-</w:t>
            </w:r>
            <w:r>
              <w:rPr>
                <w:spacing w:val="-2"/>
                <w:sz w:val="18"/>
              </w:rPr>
              <w:t>written”</w:t>
            </w:r>
          </w:p>
        </w:tc>
      </w:tr>
      <w:tr>
        <w:trPr>
          <w:trHeight w:val="504" w:hRule="atLeast"/>
        </w:trPr>
        <w:tc>
          <w:tcPr>
            <w:tcW w:w="2057" w:type="dxa"/>
            <w:tcBorders>
              <w:right w:val="single" w:sz="4" w:space="0" w:color="000000"/>
            </w:tcBorders>
          </w:tcPr>
          <w:p>
            <w:pPr>
              <w:pStyle w:val="TableParagraph"/>
              <w:ind w:left="119"/>
              <w:rPr>
                <w:sz w:val="18"/>
              </w:rPr>
            </w:pPr>
            <w:r>
              <w:rPr>
                <w:sz w:val="18"/>
              </w:rPr>
              <w:t>Ch.</w:t>
            </w:r>
            <w:r>
              <w:rPr>
                <w:spacing w:val="7"/>
                <w:sz w:val="18"/>
              </w:rPr>
              <w:t> </w:t>
            </w:r>
            <w:r>
              <w:rPr>
                <w:sz w:val="18"/>
              </w:rPr>
              <w:t>6</w:t>
            </w:r>
            <w:r>
              <w:rPr>
                <w:spacing w:val="-2"/>
                <w:sz w:val="18"/>
              </w:rPr>
              <w:t> </w:t>
            </w:r>
            <w:r>
              <w:rPr>
                <w:sz w:val="18"/>
              </w:rPr>
              <w:t>—</w:t>
            </w:r>
            <w:r>
              <w:rPr>
                <w:spacing w:val="-3"/>
                <w:sz w:val="18"/>
              </w:rPr>
              <w:t> </w:t>
            </w:r>
            <w:r>
              <w:rPr>
                <w:spacing w:val="-2"/>
                <w:sz w:val="18"/>
              </w:rPr>
              <w:t>Discussion</w:t>
            </w:r>
          </w:p>
        </w:tc>
        <w:tc>
          <w:tcPr>
            <w:tcW w:w="2515" w:type="dxa"/>
            <w:tcBorders>
              <w:left w:val="single" w:sz="4" w:space="0" w:color="000000"/>
              <w:right w:val="single" w:sz="4" w:space="0" w:color="000000"/>
            </w:tcBorders>
          </w:tcPr>
          <w:p>
            <w:pPr>
              <w:pStyle w:val="TableParagraph"/>
              <w:spacing w:line="254" w:lineRule="auto"/>
              <w:ind w:left="118"/>
              <w:rPr>
                <w:sz w:val="18"/>
              </w:rPr>
            </w:pPr>
            <w:r>
              <w:rPr>
                <w:sz w:val="18"/>
              </w:rPr>
              <w:t>AI-phrase removal, vague </w:t>
            </w:r>
            <w:r>
              <w:rPr>
                <w:sz w:val="18"/>
              </w:rPr>
              <w:t>cita-tion removal</w:t>
            </w:r>
          </w:p>
        </w:tc>
        <w:tc>
          <w:tcPr>
            <w:tcW w:w="3932" w:type="dxa"/>
            <w:tcBorders>
              <w:left w:val="single" w:sz="4" w:space="0" w:color="000000"/>
            </w:tcBorders>
          </w:tcPr>
          <w:p>
            <w:pPr>
              <w:pStyle w:val="TableParagraph"/>
              <w:spacing w:line="254" w:lineRule="auto"/>
              <w:ind w:left="118"/>
              <w:rPr>
                <w:sz w:val="18"/>
              </w:rPr>
            </w:pPr>
            <w:r>
              <w:rPr>
                <w:sz w:val="18"/>
              </w:rPr>
              <w:t>“remove</w:t>
            </w:r>
            <w:r>
              <w:rPr>
                <w:spacing w:val="-1"/>
                <w:sz w:val="18"/>
              </w:rPr>
              <w:t> </w:t>
            </w:r>
            <w:r>
              <w:rPr>
                <w:sz w:val="18"/>
              </w:rPr>
              <w:t>Santos</w:t>
            </w:r>
            <w:r>
              <w:rPr>
                <w:spacing w:val="-1"/>
                <w:sz w:val="18"/>
              </w:rPr>
              <w:t> </w:t>
            </w:r>
            <w:r>
              <w:rPr>
                <w:sz w:val="18"/>
              </w:rPr>
              <w:t>et</w:t>
            </w:r>
            <w:r>
              <w:rPr>
                <w:spacing w:val="-1"/>
                <w:sz w:val="18"/>
              </w:rPr>
              <w:t> </w:t>
            </w:r>
            <w:r>
              <w:rPr>
                <w:sz w:val="18"/>
              </w:rPr>
              <w:t>al. (various)</w:t>
            </w:r>
            <w:r>
              <w:rPr>
                <w:spacing w:val="-1"/>
                <w:sz w:val="18"/>
              </w:rPr>
              <w:t> </w:t>
            </w:r>
            <w:r>
              <w:rPr>
                <w:sz w:val="18"/>
              </w:rPr>
              <w:t>—</w:t>
            </w:r>
            <w:r>
              <w:rPr>
                <w:spacing w:val="-1"/>
                <w:sz w:val="18"/>
              </w:rPr>
              <w:t> </w:t>
            </w:r>
            <w:r>
              <w:rPr>
                <w:sz w:val="18"/>
              </w:rPr>
              <w:t>this</w:t>
            </w:r>
            <w:r>
              <w:rPr>
                <w:spacing w:val="-1"/>
                <w:sz w:val="18"/>
              </w:rPr>
              <w:t> </w:t>
            </w:r>
            <w:r>
              <w:rPr>
                <w:sz w:val="18"/>
              </w:rPr>
              <w:t>is</w:t>
            </w:r>
            <w:r>
              <w:rPr>
                <w:spacing w:val="-1"/>
                <w:sz w:val="18"/>
              </w:rPr>
              <w:t> </w:t>
            </w:r>
            <w:r>
              <w:rPr>
                <w:sz w:val="18"/>
              </w:rPr>
              <w:t>not</w:t>
            </w:r>
            <w:r>
              <w:rPr>
                <w:spacing w:val="-1"/>
                <w:sz w:val="18"/>
              </w:rPr>
              <w:t> </w:t>
            </w:r>
            <w:r>
              <w:rPr>
                <w:sz w:val="18"/>
              </w:rPr>
              <w:t>a</w:t>
            </w:r>
            <w:r>
              <w:rPr>
                <w:spacing w:val="-1"/>
                <w:sz w:val="18"/>
              </w:rPr>
              <w:t> </w:t>
            </w:r>
            <w:r>
              <w:rPr>
                <w:sz w:val="18"/>
              </w:rPr>
              <w:t>real </w:t>
            </w:r>
            <w:r>
              <w:rPr>
                <w:spacing w:val="-2"/>
                <w:sz w:val="18"/>
              </w:rPr>
              <w:t>citation”</w:t>
            </w:r>
          </w:p>
        </w:tc>
      </w:tr>
      <w:tr>
        <w:trPr>
          <w:trHeight w:val="321" w:hRule="atLeast"/>
        </w:trPr>
        <w:tc>
          <w:tcPr>
            <w:tcW w:w="2057" w:type="dxa"/>
            <w:tcBorders>
              <w:bottom w:val="single" w:sz="8" w:space="0" w:color="000000"/>
              <w:right w:val="single" w:sz="4" w:space="0" w:color="000000"/>
            </w:tcBorders>
          </w:tcPr>
          <w:p>
            <w:pPr>
              <w:pStyle w:val="TableParagraph"/>
              <w:ind w:left="119"/>
              <w:rPr>
                <w:sz w:val="18"/>
              </w:rPr>
            </w:pPr>
            <w:r>
              <w:rPr>
                <w:sz w:val="18"/>
              </w:rPr>
              <w:t>Ch.</w:t>
            </w:r>
            <w:r>
              <w:rPr>
                <w:spacing w:val="7"/>
                <w:sz w:val="18"/>
              </w:rPr>
              <w:t> </w:t>
            </w:r>
            <w:r>
              <w:rPr>
                <w:sz w:val="18"/>
              </w:rPr>
              <w:t>7</w:t>
            </w:r>
            <w:r>
              <w:rPr>
                <w:spacing w:val="-2"/>
                <w:sz w:val="18"/>
              </w:rPr>
              <w:t> </w:t>
            </w:r>
            <w:r>
              <w:rPr>
                <w:sz w:val="18"/>
              </w:rPr>
              <w:t>—</w:t>
            </w:r>
            <w:r>
              <w:rPr>
                <w:spacing w:val="-3"/>
                <w:sz w:val="18"/>
              </w:rPr>
              <w:t> </w:t>
            </w:r>
            <w:r>
              <w:rPr>
                <w:spacing w:val="-2"/>
                <w:sz w:val="18"/>
              </w:rPr>
              <w:t>Conclusions</w:t>
            </w:r>
          </w:p>
        </w:tc>
        <w:tc>
          <w:tcPr>
            <w:tcW w:w="2515" w:type="dxa"/>
            <w:tcBorders>
              <w:left w:val="single" w:sz="4" w:space="0" w:color="000000"/>
              <w:bottom w:val="single" w:sz="8" w:space="0" w:color="000000"/>
              <w:right w:val="single" w:sz="4" w:space="0" w:color="000000"/>
            </w:tcBorders>
          </w:tcPr>
          <w:p>
            <w:pPr>
              <w:pStyle w:val="TableParagraph"/>
              <w:ind w:left="118"/>
              <w:rPr>
                <w:sz w:val="18"/>
              </w:rPr>
            </w:pPr>
            <w:r>
              <w:rPr>
                <w:sz w:val="18"/>
              </w:rPr>
              <w:t>Factual</w:t>
            </w:r>
            <w:r>
              <w:rPr>
                <w:spacing w:val="-10"/>
                <w:sz w:val="18"/>
              </w:rPr>
              <w:t> </w:t>
            </w:r>
            <w:r>
              <w:rPr>
                <w:spacing w:val="-2"/>
                <w:sz w:val="18"/>
              </w:rPr>
              <w:t>correction</w:t>
            </w:r>
          </w:p>
        </w:tc>
        <w:tc>
          <w:tcPr>
            <w:tcW w:w="3932" w:type="dxa"/>
            <w:tcBorders>
              <w:left w:val="single" w:sz="4" w:space="0" w:color="000000"/>
              <w:bottom w:val="single" w:sz="8" w:space="0" w:color="000000"/>
            </w:tcBorders>
          </w:tcPr>
          <w:p>
            <w:pPr>
              <w:pStyle w:val="TableParagraph"/>
              <w:ind w:left="118"/>
              <w:rPr>
                <w:sz w:val="18"/>
              </w:rPr>
            </w:pPr>
            <w:r>
              <w:rPr>
                <w:sz w:val="18"/>
              </w:rPr>
              <w:t>(numerical</w:t>
            </w:r>
            <w:r>
              <w:rPr>
                <w:spacing w:val="-10"/>
                <w:sz w:val="18"/>
              </w:rPr>
              <w:t> </w:t>
            </w:r>
            <w:r>
              <w:rPr>
                <w:sz w:val="18"/>
              </w:rPr>
              <w:t>fix</w:t>
            </w:r>
            <w:r>
              <w:rPr>
                <w:spacing w:val="-10"/>
                <w:sz w:val="18"/>
              </w:rPr>
              <w:t> </w:t>
            </w:r>
            <w:r>
              <w:rPr>
                <w:sz w:val="18"/>
              </w:rPr>
              <w:t>only,</w:t>
            </w:r>
            <w:r>
              <w:rPr>
                <w:spacing w:val="-9"/>
                <w:sz w:val="18"/>
              </w:rPr>
              <w:t> </w:t>
            </w:r>
            <w:r>
              <w:rPr>
                <w:sz w:val="18"/>
              </w:rPr>
              <w:t>see</w:t>
            </w:r>
            <w:r>
              <w:rPr>
                <w:spacing w:val="-10"/>
                <w:sz w:val="18"/>
              </w:rPr>
              <w:t> </w:t>
            </w:r>
            <w:r>
              <w:rPr>
                <w:sz w:val="18"/>
              </w:rPr>
              <w:t>Section</w:t>
            </w:r>
            <w:r>
              <w:rPr>
                <w:spacing w:val="-10"/>
                <w:sz w:val="18"/>
              </w:rPr>
              <w:t> </w:t>
            </w:r>
            <w:hyperlink w:history="true" w:anchor="_bookmark209">
              <w:r>
                <w:rPr>
                  <w:color w:val="8B2C18"/>
                  <w:spacing w:val="-4"/>
                  <w:sz w:val="18"/>
                </w:rPr>
                <w:t>E.5</w:t>
              </w:r>
            </w:hyperlink>
            <w:r>
              <w:rPr>
                <w:spacing w:val="-4"/>
                <w:sz w:val="18"/>
              </w:rPr>
              <w:t>)</w:t>
            </w:r>
          </w:p>
        </w:tc>
      </w:tr>
    </w:tbl>
    <w:p>
      <w:pPr>
        <w:pStyle w:val="BodyText"/>
        <w:spacing w:before="104"/>
        <w:rPr>
          <w:sz w:val="20"/>
        </w:rPr>
      </w:pPr>
    </w:p>
    <w:p>
      <w:pPr>
        <w:pStyle w:val="Heading2"/>
        <w:numPr>
          <w:ilvl w:val="1"/>
          <w:numId w:val="56"/>
        </w:numPr>
        <w:tabs>
          <w:tab w:pos="835" w:val="left" w:leader="none"/>
        </w:tabs>
        <w:spacing w:line="240" w:lineRule="auto" w:before="0" w:after="0"/>
        <w:ind w:left="835" w:right="0" w:hanging="693"/>
        <w:jc w:val="left"/>
      </w:pPr>
      <w:bookmarkStart w:name="E.3 Substantive Content Revision" w:id="332"/>
      <w:bookmarkEnd w:id="332"/>
      <w:r>
        <w:rPr>
          <w:b w:val="0"/>
        </w:rPr>
      </w:r>
      <w:bookmarkStart w:name="_bookmark199" w:id="333"/>
      <w:bookmarkEnd w:id="333"/>
      <w:r>
        <w:rPr>
          <w:b w:val="0"/>
        </w:rPr>
      </w:r>
      <w:r>
        <w:rPr/>
        <w:t>Substantive</w:t>
      </w:r>
      <w:r>
        <w:rPr>
          <w:spacing w:val="21"/>
        </w:rPr>
        <w:t> </w:t>
      </w:r>
      <w:r>
        <w:rPr/>
        <w:t>Content</w:t>
      </w:r>
      <w:r>
        <w:rPr>
          <w:spacing w:val="22"/>
        </w:rPr>
        <w:t> </w:t>
      </w:r>
      <w:r>
        <w:rPr>
          <w:spacing w:val="-2"/>
        </w:rPr>
        <w:t>Revision</w:t>
      </w:r>
    </w:p>
    <w:p>
      <w:pPr>
        <w:pStyle w:val="BodyText"/>
        <w:spacing w:line="312" w:lineRule="auto" w:before="289"/>
        <w:ind w:left="142" w:right="673" w:hanging="35"/>
        <w:jc w:val="center"/>
      </w:pPr>
      <w:r>
        <w:rPr/>
        <w:t>In</w:t>
      </w:r>
      <w:r>
        <w:rPr>
          <w:spacing w:val="-12"/>
        </w:rPr>
        <w:t> </w:t>
      </w:r>
      <w:r>
        <w:rPr/>
        <w:t>several</w:t>
      </w:r>
      <w:r>
        <w:rPr>
          <w:spacing w:val="-12"/>
        </w:rPr>
        <w:t> </w:t>
      </w:r>
      <w:r>
        <w:rPr/>
        <w:t>sections,</w:t>
      </w:r>
      <w:r>
        <w:rPr>
          <w:spacing w:val="-12"/>
        </w:rPr>
        <w:t> </w:t>
      </w:r>
      <w:r>
        <w:rPr/>
        <w:t>AI</w:t>
      </w:r>
      <w:r>
        <w:rPr>
          <w:spacing w:val="-12"/>
        </w:rPr>
        <w:t> </w:t>
      </w:r>
      <w:r>
        <w:rPr/>
        <w:t>was</w:t>
      </w:r>
      <w:r>
        <w:rPr>
          <w:spacing w:val="-12"/>
        </w:rPr>
        <w:t> </w:t>
      </w:r>
      <w:r>
        <w:rPr/>
        <w:t>used</w:t>
      </w:r>
      <w:r>
        <w:rPr>
          <w:spacing w:val="-12"/>
        </w:rPr>
        <w:t> </w:t>
      </w:r>
      <w:r>
        <w:rPr/>
        <w:t>to</w:t>
      </w:r>
      <w:r>
        <w:rPr>
          <w:spacing w:val="-12"/>
        </w:rPr>
        <w:t> </w:t>
      </w:r>
      <w:r>
        <w:rPr/>
        <w:t>generate</w:t>
      </w:r>
      <w:r>
        <w:rPr>
          <w:spacing w:val="-12"/>
        </w:rPr>
        <w:t> </w:t>
      </w:r>
      <w:r>
        <w:rPr/>
        <w:t>or</w:t>
      </w:r>
      <w:r>
        <w:rPr>
          <w:spacing w:val="-12"/>
        </w:rPr>
        <w:t> </w:t>
      </w:r>
      <w:r>
        <w:rPr/>
        <w:t>substantially</w:t>
      </w:r>
      <w:r>
        <w:rPr>
          <w:spacing w:val="-12"/>
        </w:rPr>
        <w:t> </w:t>
      </w:r>
      <w:r>
        <w:rPr/>
        <w:t>rewrite</w:t>
      </w:r>
      <w:r>
        <w:rPr>
          <w:spacing w:val="-12"/>
        </w:rPr>
        <w:t> </w:t>
      </w:r>
      <w:r>
        <w:rPr/>
        <w:t>one</w:t>
      </w:r>
      <w:r>
        <w:rPr>
          <w:spacing w:val="-12"/>
        </w:rPr>
        <w:t> </w:t>
      </w:r>
      <w:r>
        <w:rPr/>
        <w:t>or</w:t>
      </w:r>
      <w:r>
        <w:rPr>
          <w:spacing w:val="-12"/>
        </w:rPr>
        <w:t> </w:t>
      </w:r>
      <w:r>
        <w:rPr/>
        <w:t>more</w:t>
      </w:r>
      <w:r>
        <w:rPr>
          <w:spacing w:val="-12"/>
        </w:rPr>
        <w:t> </w:t>
      </w:r>
      <w:r>
        <w:rPr/>
        <w:t>paragraphs.</w:t>
      </w:r>
      <w:r>
        <w:rPr>
          <w:spacing w:val="-2"/>
        </w:rPr>
        <w:t> </w:t>
      </w:r>
      <w:r>
        <w:rPr/>
        <w:t>These </w:t>
      </w:r>
      <w:r>
        <w:rPr>
          <w:spacing w:val="-2"/>
        </w:rPr>
        <w:t>are</w:t>
      </w:r>
      <w:r>
        <w:rPr>
          <w:spacing w:val="-3"/>
        </w:rPr>
        <w:t> </w:t>
      </w:r>
      <w:r>
        <w:rPr>
          <w:spacing w:val="-2"/>
        </w:rPr>
        <w:t>declared below</w:t>
      </w:r>
      <w:r>
        <w:rPr>
          <w:spacing w:val="-3"/>
        </w:rPr>
        <w:t> </w:t>
      </w:r>
      <w:r>
        <w:rPr>
          <w:spacing w:val="-2"/>
        </w:rPr>
        <w:t>at section</w:t>
      </w:r>
      <w:r>
        <w:rPr>
          <w:spacing w:val="-3"/>
        </w:rPr>
        <w:t> </w:t>
      </w:r>
      <w:r>
        <w:rPr>
          <w:spacing w:val="-2"/>
        </w:rPr>
        <w:t>level with</w:t>
      </w:r>
      <w:r>
        <w:rPr>
          <w:spacing w:val="-3"/>
        </w:rPr>
        <w:t> </w:t>
      </w:r>
      <w:r>
        <w:rPr>
          <w:spacing w:val="-2"/>
        </w:rPr>
        <w:t>representative prompts</w:t>
      </w:r>
      <w:r>
        <w:rPr>
          <w:spacing w:val="-3"/>
        </w:rPr>
        <w:t> </w:t>
      </w:r>
      <w:r>
        <w:rPr>
          <w:spacing w:val="-2"/>
        </w:rPr>
        <w:t>and iteration</w:t>
      </w:r>
      <w:r>
        <w:rPr>
          <w:spacing w:val="-3"/>
        </w:rPr>
        <w:t> </w:t>
      </w:r>
      <w:r>
        <w:rPr>
          <w:spacing w:val="-2"/>
        </w:rPr>
        <w:t>examples as</w:t>
      </w:r>
      <w:r>
        <w:rPr>
          <w:spacing w:val="-3"/>
        </w:rPr>
        <w:t> </w:t>
      </w:r>
      <w:r>
        <w:rPr>
          <w:spacing w:val="-2"/>
        </w:rPr>
        <w:t>required.</w:t>
      </w:r>
    </w:p>
    <w:p>
      <w:pPr>
        <w:pStyle w:val="BodyText"/>
        <w:spacing w:before="48"/>
      </w:pPr>
    </w:p>
    <w:p>
      <w:pPr>
        <w:pStyle w:val="Heading3"/>
        <w:numPr>
          <w:ilvl w:val="2"/>
          <w:numId w:val="56"/>
        </w:numPr>
        <w:tabs>
          <w:tab w:pos="899" w:val="left" w:leader="none"/>
        </w:tabs>
        <w:spacing w:line="240" w:lineRule="auto" w:before="0" w:after="0"/>
        <w:ind w:left="899" w:right="0" w:hanging="757"/>
        <w:jc w:val="left"/>
      </w:pPr>
      <w:bookmarkStart w:name="E.3.1 Chapter 3 — Methods: CarenR_Superv" w:id="334"/>
      <w:bookmarkEnd w:id="334"/>
      <w:r>
        <w:rPr>
          <w:b w:val="0"/>
        </w:rPr>
      </w:r>
      <w:bookmarkStart w:name="_bookmark200" w:id="335"/>
      <w:bookmarkEnd w:id="335"/>
      <w:r>
        <w:rPr>
          <w:b w:val="0"/>
        </w:rPr>
      </w:r>
      <w:r>
        <w:rPr/>
        <w:t>Chapter</w:t>
      </w:r>
      <w:r>
        <w:rPr>
          <w:spacing w:val="-11"/>
        </w:rPr>
        <w:t> </w:t>
      </w:r>
      <w:r>
        <w:rPr/>
        <w:t>3</w:t>
      </w:r>
      <w:r>
        <w:rPr>
          <w:spacing w:val="-11"/>
        </w:rPr>
        <w:t> </w:t>
      </w:r>
      <w:r>
        <w:rPr/>
        <w:t>—</w:t>
      </w:r>
      <w:r>
        <w:rPr>
          <w:spacing w:val="-10"/>
        </w:rPr>
        <w:t> </w:t>
      </w:r>
      <w:r>
        <w:rPr/>
        <w:t>Methods:</w:t>
      </w:r>
      <w:r>
        <w:rPr>
          <w:spacing w:val="2"/>
        </w:rPr>
        <w:t> </w:t>
      </w:r>
      <w:r>
        <w:rPr/>
        <w:t>CarenR_Supervised</w:t>
      </w:r>
      <w:r>
        <w:rPr>
          <w:spacing w:val="-11"/>
        </w:rPr>
        <w:t> </w:t>
      </w:r>
      <w:r>
        <w:rPr>
          <w:spacing w:val="-2"/>
        </w:rPr>
        <w:t>Description</w:t>
      </w:r>
    </w:p>
    <w:p>
      <w:pPr>
        <w:pStyle w:val="BodyText"/>
        <w:spacing w:before="219"/>
        <w:ind w:left="142"/>
        <w:jc w:val="both"/>
      </w:pPr>
      <w:r>
        <w:rPr>
          <w:b/>
        </w:rPr>
        <w:t>Location:</w:t>
      </w:r>
      <w:r>
        <w:rPr>
          <w:b/>
          <w:spacing w:val="1"/>
        </w:rPr>
        <w:t> </w:t>
      </w:r>
      <w:r>
        <w:rPr/>
        <w:t>Section</w:t>
      </w:r>
      <w:r>
        <w:rPr>
          <w:spacing w:val="-9"/>
        </w:rPr>
        <w:t> </w:t>
      </w:r>
      <w:hyperlink w:history="true" w:anchor="_bookmark37">
        <w:r>
          <w:rPr>
            <w:color w:val="8B2C18"/>
          </w:rPr>
          <w:t>3.4.1</w:t>
        </w:r>
      </w:hyperlink>
      <w:r>
        <w:rPr/>
        <w:t>,</w:t>
      </w:r>
      <w:r>
        <w:rPr>
          <w:spacing w:val="-10"/>
        </w:rPr>
        <w:t> </w:t>
      </w:r>
      <w:r>
        <w:rPr/>
        <w:t>CarenR</w:t>
      </w:r>
      <w:r>
        <w:rPr>
          <w:spacing w:val="-9"/>
        </w:rPr>
        <w:t> </w:t>
      </w:r>
      <w:r>
        <w:rPr/>
        <w:t>variant</w:t>
      </w:r>
      <w:r>
        <w:rPr>
          <w:spacing w:val="-10"/>
        </w:rPr>
        <w:t> </w:t>
      </w:r>
      <w:r>
        <w:rPr/>
        <w:t>table</w:t>
      </w:r>
      <w:r>
        <w:rPr>
          <w:spacing w:val="-9"/>
        </w:rPr>
        <w:t> </w:t>
      </w:r>
      <w:r>
        <w:rPr/>
        <w:t>and</w:t>
      </w:r>
      <w:r>
        <w:rPr>
          <w:spacing w:val="-10"/>
        </w:rPr>
        <w:t> </w:t>
      </w:r>
      <w:r>
        <w:rPr/>
        <w:t>Table</w:t>
      </w:r>
      <w:r>
        <w:rPr>
          <w:spacing w:val="-9"/>
        </w:rPr>
        <w:t> </w:t>
      </w:r>
      <w:hyperlink w:history="true" w:anchor="_bookmark48">
        <w:r>
          <w:rPr>
            <w:color w:val="8B2C18"/>
            <w:spacing w:val="-5"/>
          </w:rPr>
          <w:t>3.3</w:t>
        </w:r>
      </w:hyperlink>
    </w:p>
    <w:p>
      <w:pPr>
        <w:pStyle w:val="BodyText"/>
        <w:spacing w:line="312" w:lineRule="auto" w:before="76"/>
        <w:ind w:left="142" w:right="707" w:firstLine="338"/>
        <w:jc w:val="both"/>
      </w:pPr>
      <w:r>
        <w:rPr>
          <w:b/>
        </w:rPr>
        <w:t>Purpose:</w:t>
      </w:r>
      <w:r>
        <w:rPr>
          <w:b/>
          <w:spacing w:val="40"/>
        </w:rPr>
        <w:t> </w:t>
      </w:r>
      <w:r>
        <w:rPr/>
        <w:t>The original description of the CarenR_Supervised variant incorrectly </w:t>
      </w:r>
      <w:r>
        <w:rPr/>
        <w:t>described</w:t>
      </w:r>
      <w:r>
        <w:rPr>
          <w:spacing w:val="40"/>
        </w:rPr>
        <w:t> </w:t>
      </w:r>
      <w:r>
        <w:rPr/>
        <w:t>it as performing “discretisation of the response variable.” After the student identified the correct behaviour from the source code, AI was used to rewrite the description accurately.</w:t>
      </w:r>
    </w:p>
    <w:p>
      <w:pPr>
        <w:pStyle w:val="BodyText"/>
        <w:spacing w:line="252" w:lineRule="exact"/>
        <w:ind w:left="481"/>
        <w:jc w:val="both"/>
      </w:pPr>
      <w:r>
        <w:rPr/>
        <w:t>Iteration</w:t>
      </w:r>
      <w:r>
        <w:rPr>
          <w:spacing w:val="-9"/>
        </w:rPr>
        <w:t> </w:t>
      </w:r>
      <w:r>
        <w:rPr>
          <w:spacing w:val="-2"/>
        </w:rPr>
        <w:t>example:</w:t>
      </w:r>
    </w:p>
    <w:p>
      <w:pPr>
        <w:spacing w:before="203"/>
        <w:ind w:left="2949" w:right="0" w:firstLine="0"/>
        <w:jc w:val="left"/>
        <w:rPr>
          <w:sz w:val="20"/>
        </w:rPr>
      </w:pPr>
      <w:bookmarkStart w:name="_bookmark201" w:id="336"/>
      <w:bookmarkEnd w:id="336"/>
      <w:r>
        <w:rPr/>
      </w:r>
      <w:r>
        <w:rPr>
          <w:b/>
          <w:sz w:val="20"/>
        </w:rPr>
        <w:t>Table</w:t>
      </w:r>
      <w:r>
        <w:rPr>
          <w:b/>
          <w:spacing w:val="-8"/>
          <w:sz w:val="20"/>
        </w:rPr>
        <w:t> </w:t>
      </w:r>
      <w:r>
        <w:rPr>
          <w:b/>
          <w:sz w:val="20"/>
        </w:rPr>
        <w:t>E.2:</w:t>
      </w:r>
      <w:r>
        <w:rPr>
          <w:b/>
          <w:spacing w:val="2"/>
          <w:sz w:val="20"/>
        </w:rPr>
        <w:t> </w:t>
      </w:r>
      <w:r>
        <w:rPr>
          <w:sz w:val="20"/>
        </w:rPr>
        <w:t>AI</w:t>
      </w:r>
      <w:r>
        <w:rPr>
          <w:spacing w:val="-8"/>
          <w:sz w:val="20"/>
        </w:rPr>
        <w:t> </w:t>
      </w:r>
      <w:r>
        <w:rPr>
          <w:sz w:val="20"/>
        </w:rPr>
        <w:t>use</w:t>
      </w:r>
      <w:r>
        <w:rPr>
          <w:spacing w:val="-8"/>
          <w:sz w:val="20"/>
        </w:rPr>
        <w:t> </w:t>
      </w:r>
      <w:r>
        <w:rPr>
          <w:sz w:val="20"/>
        </w:rPr>
        <w:t>summary</w:t>
      </w:r>
      <w:r>
        <w:rPr>
          <w:spacing w:val="-8"/>
          <w:sz w:val="20"/>
        </w:rPr>
        <w:t> </w:t>
      </w:r>
      <w:r>
        <w:rPr>
          <w:sz w:val="20"/>
        </w:rPr>
        <w:t>table</w:t>
      </w:r>
      <w:r>
        <w:rPr>
          <w:spacing w:val="-8"/>
          <w:sz w:val="20"/>
        </w:rPr>
        <w:t> </w:t>
      </w:r>
      <w:r>
        <w:rPr>
          <w:spacing w:val="-5"/>
          <w:sz w:val="20"/>
        </w:rPr>
        <w:t>2.</w:t>
      </w:r>
    </w:p>
    <w:p>
      <w:pPr>
        <w:pStyle w:val="BodyText"/>
        <w:spacing w:before="5"/>
        <w:rPr>
          <w:sz w:val="18"/>
        </w:rPr>
      </w:pPr>
      <w:r>
        <w:rPr>
          <w:sz w:val="18"/>
        </w:rPr>
        <mc:AlternateContent>
          <mc:Choice Requires="wps">
            <w:drawing>
              <wp:anchor distT="0" distB="0" distL="0" distR="0" allowOverlap="1" layoutInCell="1" locked="0" behindDoc="1" simplePos="0" relativeHeight="487648768">
                <wp:simplePos x="0" y="0"/>
                <wp:positionH relativeFrom="page">
                  <wp:posOffset>899998</wp:posOffset>
                </wp:positionH>
                <wp:positionV relativeFrom="paragraph">
                  <wp:posOffset>150011</wp:posOffset>
                </wp:positionV>
                <wp:extent cx="5400040" cy="1270"/>
                <wp:effectExtent l="0" t="0" r="0" b="0"/>
                <wp:wrapTopAndBottom/>
                <wp:docPr id="316" name="Graphic 316"/>
                <wp:cNvGraphicFramePr>
                  <a:graphicFrameLocks/>
                </wp:cNvGraphicFramePr>
                <a:graphic>
                  <a:graphicData uri="http://schemas.microsoft.com/office/word/2010/wordprocessingShape">
                    <wps:wsp>
                      <wps:cNvPr id="316" name="Graphic 316"/>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1.811898pt;width:425.2pt;height:.1pt;mso-position-horizontal-relative:page;mso-position-vertical-relative:paragraph;z-index:-15667712;mso-wrap-distance-left:0;mso-wrap-distance-right:0" id="docshape278" coordorigin="1417,236" coordsize="8504,0" path="m1417,236l9921,236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70"/>
        <w:gridCol w:w="3082"/>
        <w:gridCol w:w="4953"/>
      </w:tblGrid>
      <w:tr>
        <w:trPr>
          <w:trHeight w:val="320" w:hRule="atLeast"/>
        </w:trPr>
        <w:tc>
          <w:tcPr>
            <w:tcW w:w="470" w:type="dxa"/>
            <w:tcBorders>
              <w:top w:val="nil"/>
              <w:left w:val="nil"/>
              <w:right w:val="single" w:sz="4" w:space="0" w:color="000000"/>
            </w:tcBorders>
          </w:tcPr>
          <w:p>
            <w:pPr>
              <w:pStyle w:val="TableParagraph"/>
              <w:spacing w:before="31"/>
              <w:ind w:left="119"/>
              <w:rPr>
                <w:sz w:val="18"/>
              </w:rPr>
            </w:pPr>
            <w:r>
              <w:rPr>
                <w:spacing w:val="-10"/>
                <w:sz w:val="18"/>
              </w:rPr>
              <w:t>#</w:t>
            </w:r>
          </w:p>
        </w:tc>
        <w:tc>
          <w:tcPr>
            <w:tcW w:w="3082" w:type="dxa"/>
            <w:tcBorders>
              <w:top w:val="nil"/>
              <w:left w:val="single" w:sz="4" w:space="0" w:color="000000"/>
              <w:right w:val="single" w:sz="4" w:space="0" w:color="000000"/>
            </w:tcBorders>
          </w:tcPr>
          <w:p>
            <w:pPr>
              <w:pStyle w:val="TableParagraph"/>
              <w:spacing w:before="31"/>
              <w:ind w:left="118"/>
              <w:rPr>
                <w:sz w:val="18"/>
              </w:rPr>
            </w:pPr>
            <w:r>
              <w:rPr>
                <w:spacing w:val="-2"/>
                <w:sz w:val="18"/>
              </w:rPr>
              <w:t>Prompt</w:t>
            </w:r>
          </w:p>
        </w:tc>
        <w:tc>
          <w:tcPr>
            <w:tcW w:w="4953" w:type="dxa"/>
            <w:tcBorders>
              <w:top w:val="nil"/>
              <w:left w:val="single" w:sz="4" w:space="0" w:color="000000"/>
              <w:right w:val="nil"/>
            </w:tcBorders>
          </w:tcPr>
          <w:p>
            <w:pPr>
              <w:pStyle w:val="TableParagraph"/>
              <w:spacing w:before="31"/>
              <w:ind w:left="118"/>
              <w:rPr>
                <w:sz w:val="18"/>
              </w:rPr>
            </w:pPr>
            <w:r>
              <w:rPr>
                <w:spacing w:val="-2"/>
                <w:sz w:val="18"/>
              </w:rPr>
              <w:t>Outcome</w:t>
            </w:r>
          </w:p>
        </w:tc>
      </w:tr>
    </w:tbl>
    <w:p>
      <w:pPr>
        <w:pStyle w:val="BodyText"/>
        <w:spacing w:before="10"/>
        <w:rPr>
          <w:sz w:val="4"/>
        </w:rPr>
      </w:pPr>
    </w:p>
    <w:tbl>
      <w:tblPr>
        <w:tblW w:w="0" w:type="auto"/>
        <w:jc w:val="left"/>
        <w:tblInd w:w="1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70"/>
        <w:gridCol w:w="3082"/>
        <w:gridCol w:w="4953"/>
      </w:tblGrid>
      <w:tr>
        <w:trPr>
          <w:trHeight w:val="2206" w:hRule="atLeast"/>
        </w:trPr>
        <w:tc>
          <w:tcPr>
            <w:tcW w:w="470" w:type="dxa"/>
            <w:tcBorders>
              <w:top w:val="nil"/>
              <w:left w:val="nil"/>
              <w:right w:val="single" w:sz="4" w:space="0" w:color="000000"/>
            </w:tcBorders>
          </w:tcPr>
          <w:p>
            <w:pPr>
              <w:pStyle w:val="TableParagraph"/>
              <w:spacing w:before="31"/>
              <w:ind w:left="119"/>
              <w:rPr>
                <w:sz w:val="18"/>
              </w:rPr>
            </w:pPr>
            <w:r>
              <w:rPr>
                <w:spacing w:val="-10"/>
                <w:sz w:val="18"/>
              </w:rPr>
              <w:t>1</w:t>
            </w:r>
          </w:p>
          <w:p>
            <w:pPr>
              <w:pStyle w:val="TableParagraph"/>
              <w:spacing w:before="0"/>
              <w:rPr>
                <w:sz w:val="18"/>
              </w:rPr>
            </w:pPr>
          </w:p>
          <w:p>
            <w:pPr>
              <w:pStyle w:val="TableParagraph"/>
              <w:spacing w:before="102"/>
              <w:rPr>
                <w:sz w:val="18"/>
              </w:rPr>
            </w:pPr>
          </w:p>
          <w:p>
            <w:pPr>
              <w:pStyle w:val="TableParagraph"/>
              <w:spacing w:before="0"/>
              <w:ind w:left="119"/>
              <w:rPr>
                <w:sz w:val="18"/>
              </w:rPr>
            </w:pPr>
            <w:r>
              <w:rPr>
                <w:spacing w:val="-10"/>
                <w:sz w:val="18"/>
              </w:rPr>
              <w:t>2</w:t>
            </w:r>
          </w:p>
          <w:p>
            <w:pPr>
              <w:pStyle w:val="TableParagraph"/>
              <w:spacing w:before="0"/>
              <w:rPr>
                <w:sz w:val="18"/>
              </w:rPr>
            </w:pPr>
          </w:p>
          <w:p>
            <w:pPr>
              <w:pStyle w:val="TableParagraph"/>
              <w:spacing w:before="0"/>
              <w:rPr>
                <w:sz w:val="18"/>
              </w:rPr>
            </w:pPr>
          </w:p>
          <w:p>
            <w:pPr>
              <w:pStyle w:val="TableParagraph"/>
              <w:spacing w:before="115"/>
              <w:rPr>
                <w:sz w:val="18"/>
              </w:rPr>
            </w:pPr>
          </w:p>
          <w:p>
            <w:pPr>
              <w:pStyle w:val="TableParagraph"/>
              <w:spacing w:before="0"/>
              <w:ind w:left="119"/>
              <w:rPr>
                <w:sz w:val="18"/>
              </w:rPr>
            </w:pPr>
            <w:r>
              <w:rPr>
                <w:spacing w:val="-10"/>
                <w:sz w:val="18"/>
              </w:rPr>
              <w:t>3</w:t>
            </w:r>
          </w:p>
        </w:tc>
        <w:tc>
          <w:tcPr>
            <w:tcW w:w="3082" w:type="dxa"/>
            <w:tcBorders>
              <w:top w:val="nil"/>
              <w:left w:val="single" w:sz="4" w:space="0" w:color="000000"/>
              <w:right w:val="single" w:sz="4" w:space="0" w:color="000000"/>
            </w:tcBorders>
          </w:tcPr>
          <w:p>
            <w:pPr>
              <w:pStyle w:val="TableParagraph"/>
              <w:spacing w:line="254" w:lineRule="auto" w:before="31"/>
              <w:ind w:left="113" w:right="116" w:firstLine="4"/>
              <w:jc w:val="both"/>
              <w:rPr>
                <w:sz w:val="18"/>
              </w:rPr>
            </w:pPr>
            <w:r>
              <w:rPr>
                <w:spacing w:val="-2"/>
                <w:sz w:val="18"/>
              </w:rPr>
              <w:t>“what</w:t>
            </w:r>
            <w:r>
              <w:rPr>
                <w:spacing w:val="-3"/>
                <w:sz w:val="18"/>
              </w:rPr>
              <w:t> </w:t>
            </w:r>
            <w:r>
              <w:rPr>
                <w:spacing w:val="-2"/>
                <w:sz w:val="18"/>
              </w:rPr>
              <w:t>is</w:t>
            </w:r>
            <w:r>
              <w:rPr>
                <w:spacing w:val="-3"/>
                <w:sz w:val="18"/>
              </w:rPr>
              <w:t> </w:t>
            </w:r>
            <w:r>
              <w:rPr>
                <w:spacing w:val="-2"/>
                <w:sz w:val="18"/>
              </w:rPr>
              <w:t>the CarenR_Supervised,</w:t>
            </w:r>
            <w:r>
              <w:rPr>
                <w:spacing w:val="-3"/>
                <w:sz w:val="18"/>
              </w:rPr>
              <w:t> </w:t>
            </w:r>
            <w:r>
              <w:rPr>
                <w:spacing w:val="-2"/>
                <w:sz w:val="18"/>
              </w:rPr>
              <w:t>which </w:t>
            </w:r>
            <w:r>
              <w:rPr>
                <w:sz w:val="18"/>
              </w:rPr>
              <w:t>performs discretisation of the response </w:t>
            </w:r>
            <w:r>
              <w:rPr>
                <w:spacing w:val="-2"/>
                <w:sz w:val="18"/>
              </w:rPr>
              <w:t>variable?”</w:t>
            </w:r>
          </w:p>
          <w:p>
            <w:pPr>
              <w:pStyle w:val="TableParagraph"/>
              <w:spacing w:line="254" w:lineRule="auto" w:before="65"/>
              <w:ind w:left="118" w:right="116"/>
              <w:jc w:val="both"/>
              <w:rPr>
                <w:sz w:val="18"/>
              </w:rPr>
            </w:pPr>
            <w:r>
              <w:rPr>
                <w:sz w:val="18"/>
              </w:rPr>
              <w:t>“yes” [to updating the description </w:t>
            </w:r>
            <w:r>
              <w:rPr>
                <w:sz w:val="18"/>
              </w:rPr>
              <w:t>in </w:t>
            </w:r>
            <w:r>
              <w:rPr>
                <w:spacing w:val="-4"/>
                <w:sz w:val="18"/>
              </w:rPr>
              <w:t>ch3]</w:t>
            </w:r>
          </w:p>
          <w:p>
            <w:pPr>
              <w:pStyle w:val="TableParagraph"/>
              <w:spacing w:before="0"/>
              <w:rPr>
                <w:sz w:val="18"/>
              </w:rPr>
            </w:pPr>
          </w:p>
          <w:p>
            <w:pPr>
              <w:pStyle w:val="TableParagraph"/>
              <w:spacing w:before="90"/>
              <w:rPr>
                <w:sz w:val="18"/>
              </w:rPr>
            </w:pPr>
          </w:p>
          <w:p>
            <w:pPr>
              <w:pStyle w:val="TableParagraph"/>
              <w:spacing w:line="254" w:lineRule="auto" w:before="0"/>
              <w:ind w:left="118" w:right="117"/>
              <w:jc w:val="both"/>
              <w:rPr>
                <w:sz w:val="18"/>
              </w:rPr>
            </w:pPr>
            <w:r>
              <w:rPr>
                <w:sz w:val="18"/>
              </w:rPr>
              <w:t>“check</w:t>
            </w:r>
            <w:r>
              <w:rPr>
                <w:spacing w:val="-2"/>
                <w:sz w:val="18"/>
              </w:rPr>
              <w:t> </w:t>
            </w:r>
            <w:r>
              <w:rPr>
                <w:sz w:val="18"/>
              </w:rPr>
              <w:t>in</w:t>
            </w:r>
            <w:r>
              <w:rPr>
                <w:spacing w:val="-2"/>
                <w:sz w:val="18"/>
              </w:rPr>
              <w:t> </w:t>
            </w:r>
            <w:r>
              <w:rPr>
                <w:sz w:val="18"/>
              </w:rPr>
              <w:t>the</w:t>
            </w:r>
            <w:r>
              <w:rPr>
                <w:spacing w:val="-2"/>
                <w:sz w:val="18"/>
              </w:rPr>
              <w:t> </w:t>
            </w:r>
            <w:r>
              <w:rPr>
                <w:sz w:val="18"/>
              </w:rPr>
              <w:t>table</w:t>
            </w:r>
            <w:r>
              <w:rPr>
                <w:spacing w:val="-2"/>
                <w:sz w:val="18"/>
              </w:rPr>
              <w:t> </w:t>
            </w:r>
            <w:r>
              <w:rPr>
                <w:sz w:val="18"/>
              </w:rPr>
              <w:t>at</w:t>
            </w:r>
            <w:r>
              <w:rPr>
                <w:spacing w:val="-2"/>
                <w:sz w:val="18"/>
              </w:rPr>
              <w:t> </w:t>
            </w:r>
            <w:r>
              <w:rPr>
                <w:sz w:val="18"/>
              </w:rPr>
              <w:t>chapter</w:t>
            </w:r>
            <w:r>
              <w:rPr>
                <w:spacing w:val="-2"/>
                <w:sz w:val="18"/>
              </w:rPr>
              <w:t> </w:t>
            </w:r>
            <w:r>
              <w:rPr>
                <w:sz w:val="18"/>
              </w:rPr>
              <w:t>3</w:t>
            </w:r>
            <w:r>
              <w:rPr>
                <w:spacing w:val="-2"/>
                <w:sz w:val="18"/>
              </w:rPr>
              <w:t> </w:t>
            </w:r>
            <w:r>
              <w:rPr>
                <w:sz w:val="18"/>
              </w:rPr>
              <w:t>if</w:t>
            </w:r>
            <w:r>
              <w:rPr>
                <w:spacing w:val="-2"/>
                <w:sz w:val="18"/>
              </w:rPr>
              <w:t> </w:t>
            </w:r>
            <w:r>
              <w:rPr>
                <w:sz w:val="18"/>
              </w:rPr>
              <w:t>some update is needed”</w:t>
            </w:r>
          </w:p>
        </w:tc>
        <w:tc>
          <w:tcPr>
            <w:tcW w:w="4953" w:type="dxa"/>
            <w:tcBorders>
              <w:top w:val="nil"/>
              <w:left w:val="single" w:sz="4" w:space="0" w:color="000000"/>
              <w:right w:val="nil"/>
            </w:tcBorders>
          </w:tcPr>
          <w:p>
            <w:pPr>
              <w:pStyle w:val="TableParagraph"/>
              <w:spacing w:line="254" w:lineRule="auto" w:before="31"/>
              <w:ind w:left="118" w:right="118"/>
              <w:jc w:val="both"/>
              <w:rPr>
                <w:sz w:val="18"/>
              </w:rPr>
            </w:pPr>
            <w:r>
              <w:rPr>
                <w:sz w:val="18"/>
              </w:rPr>
              <w:t>AI explained the difference between response discretisation </w:t>
            </w:r>
            <w:r>
              <w:rPr>
                <w:sz w:val="18"/>
              </w:rPr>
              <w:t>and feature discretisation</w:t>
            </w:r>
          </w:p>
          <w:p>
            <w:pPr>
              <w:pStyle w:val="TableParagraph"/>
              <w:spacing w:before="77"/>
              <w:rPr>
                <w:sz w:val="18"/>
              </w:rPr>
            </w:pPr>
          </w:p>
          <w:p>
            <w:pPr>
              <w:pStyle w:val="TableParagraph"/>
              <w:spacing w:line="254" w:lineRule="auto" w:before="1"/>
              <w:ind w:left="118" w:right="88"/>
              <w:jc w:val="both"/>
              <w:rPr>
                <w:sz w:val="18"/>
              </w:rPr>
            </w:pPr>
            <w:r>
              <w:rPr>
                <w:sz w:val="18"/>
              </w:rPr>
              <w:t>Description</w:t>
            </w:r>
            <w:r>
              <w:rPr>
                <w:spacing w:val="-12"/>
                <w:sz w:val="18"/>
              </w:rPr>
              <w:t> </w:t>
            </w:r>
            <w:r>
              <w:rPr>
                <w:sz w:val="18"/>
              </w:rPr>
              <w:t>updated:</w:t>
            </w:r>
            <w:r>
              <w:rPr>
                <w:spacing w:val="-11"/>
                <w:sz w:val="18"/>
              </w:rPr>
              <w:t> </w:t>
            </w:r>
            <w:r>
              <w:rPr>
                <w:sz w:val="18"/>
              </w:rPr>
              <w:t>“performs</w:t>
            </w:r>
            <w:r>
              <w:rPr>
                <w:spacing w:val="-11"/>
                <w:sz w:val="18"/>
              </w:rPr>
              <w:t> </w:t>
            </w:r>
            <w:r>
              <w:rPr>
                <w:sz w:val="18"/>
              </w:rPr>
              <w:t>discretisation</w:t>
            </w:r>
            <w:r>
              <w:rPr>
                <w:spacing w:val="-11"/>
                <w:sz w:val="18"/>
              </w:rPr>
              <w:t> </w:t>
            </w:r>
            <w:r>
              <w:rPr>
                <w:sz w:val="18"/>
              </w:rPr>
              <w:t>of</w:t>
            </w:r>
            <w:r>
              <w:rPr>
                <w:spacing w:val="-12"/>
                <w:sz w:val="18"/>
              </w:rPr>
              <w:t> </w:t>
            </w:r>
            <w:r>
              <w:rPr>
                <w:sz w:val="18"/>
              </w:rPr>
              <w:t>the</w:t>
            </w:r>
            <w:r>
              <w:rPr>
                <w:spacing w:val="-11"/>
                <w:sz w:val="18"/>
              </w:rPr>
              <w:t> </w:t>
            </w:r>
            <w:r>
              <w:rPr>
                <w:sz w:val="18"/>
              </w:rPr>
              <w:t>response</w:t>
            </w:r>
            <w:r>
              <w:rPr>
                <w:spacing w:val="-11"/>
                <w:sz w:val="18"/>
              </w:rPr>
              <w:t> </w:t>
            </w:r>
            <w:r>
              <w:rPr>
                <w:sz w:val="18"/>
              </w:rPr>
              <w:t>vari-able” </w:t>
            </w:r>
            <w:r>
              <w:rPr>
                <w:sz w:val="9"/>
              </w:rPr>
              <w:t>--t</w:t>
            </w:r>
            <w:r>
              <w:rPr>
                <w:spacing w:val="40"/>
                <w:sz w:val="9"/>
              </w:rPr>
              <w:t> </w:t>
            </w:r>
            <w:r>
              <w:rPr>
                <w:sz w:val="18"/>
              </w:rPr>
              <w:t>“uses supervised feature discretisation — deriving bin cut-points</w:t>
            </w:r>
            <w:r>
              <w:rPr>
                <w:spacing w:val="-4"/>
                <w:sz w:val="18"/>
              </w:rPr>
              <w:t> </w:t>
            </w:r>
            <w:r>
              <w:rPr>
                <w:sz w:val="18"/>
              </w:rPr>
              <w:t>by</w:t>
            </w:r>
            <w:r>
              <w:rPr>
                <w:spacing w:val="-4"/>
                <w:sz w:val="18"/>
              </w:rPr>
              <w:t> </w:t>
            </w:r>
            <w:r>
              <w:rPr>
                <w:sz w:val="18"/>
              </w:rPr>
              <w:t>maximising</w:t>
            </w:r>
            <w:r>
              <w:rPr>
                <w:spacing w:val="-4"/>
                <w:sz w:val="18"/>
              </w:rPr>
              <w:t> </w:t>
            </w:r>
            <w:r>
              <w:rPr>
                <w:sz w:val="18"/>
              </w:rPr>
              <w:t>residual</w:t>
            </w:r>
            <w:r>
              <w:rPr>
                <w:spacing w:val="-4"/>
                <w:sz w:val="18"/>
              </w:rPr>
              <w:t> </w:t>
            </w:r>
            <w:r>
              <w:rPr>
                <w:sz w:val="18"/>
              </w:rPr>
              <w:t>separation</w:t>
            </w:r>
            <w:r>
              <w:rPr>
                <w:spacing w:val="-4"/>
                <w:sz w:val="18"/>
              </w:rPr>
              <w:t> </w:t>
            </w:r>
            <w:r>
              <w:rPr>
                <w:sz w:val="18"/>
              </w:rPr>
              <w:t>within</w:t>
            </w:r>
            <w:r>
              <w:rPr>
                <w:spacing w:val="-4"/>
                <w:sz w:val="18"/>
              </w:rPr>
              <w:t> </w:t>
            </w:r>
            <w:r>
              <w:rPr>
                <w:sz w:val="18"/>
              </w:rPr>
              <w:t>each</w:t>
            </w:r>
            <w:r>
              <w:rPr>
                <w:spacing w:val="-4"/>
                <w:sz w:val="18"/>
              </w:rPr>
              <w:t> </w:t>
            </w:r>
            <w:r>
              <w:rPr>
                <w:sz w:val="18"/>
              </w:rPr>
              <w:t>training </w:t>
            </w:r>
            <w:r>
              <w:rPr>
                <w:spacing w:val="-4"/>
                <w:w w:val="110"/>
                <w:sz w:val="18"/>
              </w:rPr>
              <w:t>fold”</w:t>
            </w:r>
          </w:p>
          <w:p>
            <w:pPr>
              <w:pStyle w:val="TableParagraph"/>
              <w:spacing w:line="254" w:lineRule="auto" w:before="64"/>
              <w:ind w:left="118" w:right="109"/>
              <w:jc w:val="both"/>
              <w:rPr>
                <w:sz w:val="18"/>
              </w:rPr>
            </w:pPr>
            <w:r>
              <w:rPr>
                <w:sz w:val="18"/>
              </w:rPr>
              <w:t>Table </w:t>
            </w:r>
            <w:hyperlink w:history="true" w:anchor="_bookmark48">
              <w:r>
                <w:rPr>
                  <w:color w:val="8B2C18"/>
                  <w:sz w:val="18"/>
                </w:rPr>
                <w:t>3.3</w:t>
              </w:r>
            </w:hyperlink>
            <w:r>
              <w:rPr>
                <w:color w:val="8B2C18"/>
                <w:sz w:val="18"/>
              </w:rPr>
              <w:t> </w:t>
            </w:r>
            <w:r>
              <w:rPr>
                <w:sz w:val="18"/>
              </w:rPr>
              <w:t>description updated to match; missing </w:t>
            </w:r>
            <w:r>
              <w:rPr>
                <w:sz w:val="18"/>
              </w:rPr>
              <w:t>CarenR_Dist_ Sup_Thresh row added to variant table</w:t>
            </w:r>
          </w:p>
        </w:tc>
      </w:tr>
    </w:tbl>
    <w:p>
      <w:pPr>
        <w:pStyle w:val="BodyText"/>
        <w:rPr>
          <w:sz w:val="20"/>
        </w:rPr>
      </w:pPr>
    </w:p>
    <w:p>
      <w:pPr>
        <w:pStyle w:val="BodyText"/>
        <w:spacing w:before="148"/>
        <w:rPr>
          <w:sz w:val="20"/>
        </w:rPr>
      </w:pPr>
    </w:p>
    <w:p>
      <w:pPr>
        <w:pStyle w:val="Heading3"/>
        <w:numPr>
          <w:ilvl w:val="2"/>
          <w:numId w:val="56"/>
        </w:numPr>
        <w:tabs>
          <w:tab w:pos="899" w:val="left" w:leader="none"/>
        </w:tabs>
        <w:spacing w:line="240" w:lineRule="auto" w:before="1" w:after="0"/>
        <w:ind w:left="899" w:right="0" w:hanging="757"/>
        <w:jc w:val="left"/>
      </w:pPr>
      <w:bookmarkStart w:name="E.3.2 Chapter 3 — Methods: Table 3.3 New" w:id="337"/>
      <w:bookmarkEnd w:id="337"/>
      <w:r>
        <w:rPr>
          <w:b w:val="0"/>
        </w:rPr>
      </w:r>
      <w:bookmarkStart w:name="_bookmark202" w:id="338"/>
      <w:bookmarkEnd w:id="338"/>
      <w:r>
        <w:rPr>
          <w:b w:val="0"/>
        </w:rPr>
      </w:r>
      <w:r>
        <w:rPr/>
        <w:t>Chapter</w:t>
      </w:r>
      <w:r>
        <w:rPr>
          <w:spacing w:val="-9"/>
        </w:rPr>
        <w:t> </w:t>
      </w:r>
      <w:r>
        <w:rPr/>
        <w:t>3</w:t>
      </w:r>
      <w:r>
        <w:rPr>
          <w:spacing w:val="-9"/>
        </w:rPr>
        <w:t> </w:t>
      </w:r>
      <w:r>
        <w:rPr/>
        <w:t>—</w:t>
      </w:r>
      <w:r>
        <w:rPr>
          <w:spacing w:val="-9"/>
        </w:rPr>
        <w:t> </w:t>
      </w:r>
      <w:r>
        <w:rPr/>
        <w:t>Methods:</w:t>
      </w:r>
      <w:r>
        <w:rPr>
          <w:spacing w:val="4"/>
        </w:rPr>
        <w:t> </w:t>
      </w:r>
      <w:r>
        <w:rPr/>
        <w:t>Table</w:t>
      </w:r>
      <w:r>
        <w:rPr>
          <w:spacing w:val="-9"/>
        </w:rPr>
        <w:t> </w:t>
      </w:r>
      <w:hyperlink w:history="true" w:anchor="_bookmark48">
        <w:r>
          <w:rPr>
            <w:color w:val="8B2C18"/>
          </w:rPr>
          <w:t>3.3</w:t>
        </w:r>
      </w:hyperlink>
      <w:r>
        <w:rPr>
          <w:color w:val="8B2C18"/>
          <w:spacing w:val="-9"/>
        </w:rPr>
        <w:t> </w:t>
      </w:r>
      <w:r>
        <w:rPr/>
        <w:t>New</w:t>
      </w:r>
      <w:r>
        <w:rPr>
          <w:spacing w:val="-9"/>
        </w:rPr>
        <w:t> </w:t>
      </w:r>
      <w:r>
        <w:rPr>
          <w:spacing w:val="-5"/>
        </w:rPr>
        <w:t>Row</w:t>
      </w:r>
    </w:p>
    <w:p>
      <w:pPr>
        <w:pStyle w:val="BodyText"/>
        <w:spacing w:before="218"/>
        <w:ind w:left="142"/>
      </w:pPr>
      <w:r>
        <w:rPr>
          <w:b/>
        </w:rPr>
        <w:t>Location: </w:t>
      </w:r>
      <w:r>
        <w:rPr/>
        <w:t>Section</w:t>
      </w:r>
      <w:r>
        <w:rPr>
          <w:spacing w:val="-10"/>
        </w:rPr>
        <w:t> </w:t>
      </w:r>
      <w:hyperlink w:history="true" w:anchor="_bookmark37">
        <w:r>
          <w:rPr>
            <w:color w:val="8B2C18"/>
          </w:rPr>
          <w:t>3.4.1</w:t>
        </w:r>
      </w:hyperlink>
      <w:r>
        <w:rPr/>
        <w:t>,</w:t>
      </w:r>
      <w:r>
        <w:rPr>
          <w:spacing w:val="-10"/>
        </w:rPr>
        <w:t> </w:t>
      </w:r>
      <w:r>
        <w:rPr/>
        <w:t>Table</w:t>
      </w:r>
      <w:r>
        <w:rPr>
          <w:spacing w:val="-10"/>
        </w:rPr>
        <w:t> </w:t>
      </w:r>
      <w:hyperlink w:history="true" w:anchor="_bookmark48">
        <w:r>
          <w:rPr>
            <w:color w:val="8B2C18"/>
          </w:rPr>
          <w:t>3.3</w:t>
        </w:r>
      </w:hyperlink>
      <w:r>
        <w:rPr>
          <w:color w:val="8B2C18"/>
          <w:spacing w:val="-10"/>
        </w:rPr>
        <w:t> </w:t>
      </w:r>
      <w:r>
        <w:rPr/>
        <w:t>(CarenR</w:t>
      </w:r>
      <w:r>
        <w:rPr>
          <w:spacing w:val="-10"/>
        </w:rPr>
        <w:t> </w:t>
      </w:r>
      <w:r>
        <w:rPr/>
        <w:t>variant</w:t>
      </w:r>
      <w:r>
        <w:rPr>
          <w:spacing w:val="-10"/>
        </w:rPr>
        <w:t> </w:t>
      </w:r>
      <w:r>
        <w:rPr>
          <w:spacing w:val="-2"/>
        </w:rPr>
        <w:t>breakdown)</w:t>
      </w:r>
    </w:p>
    <w:p>
      <w:pPr>
        <w:pStyle w:val="BodyText"/>
        <w:spacing w:after="0"/>
        <w:sectPr>
          <w:headerReference w:type="even" r:id="rId134"/>
          <w:pgSz w:w="11910" w:h="16840"/>
          <w:pgMar w:header="1160" w:footer="0" w:top="1420" w:bottom="280" w:left="1275" w:right="1275"/>
          <w:pgNumType w:start="112"/>
        </w:sectPr>
      </w:pPr>
    </w:p>
    <w:p>
      <w:pPr>
        <w:pStyle w:val="ListParagraph"/>
        <w:numPr>
          <w:ilvl w:val="1"/>
          <w:numId w:val="57"/>
        </w:numPr>
        <w:tabs>
          <w:tab w:pos="1053" w:val="left" w:leader="none"/>
          <w:tab w:pos="9213" w:val="right" w:leader="none"/>
        </w:tabs>
        <w:spacing w:line="240" w:lineRule="auto" w:before="74" w:after="0"/>
        <w:ind w:left="1053" w:right="0" w:hanging="351"/>
        <w:jc w:val="left"/>
        <w:rPr>
          <w:sz w:val="22"/>
        </w:rPr>
      </w:pPr>
      <w:r>
        <w:rPr>
          <w:rFonts w:ascii="Cambria"/>
          <w:i/>
          <w:spacing w:val="-4"/>
          <w:sz w:val="22"/>
        </w:rPr>
        <w:t>Substantive</w:t>
      </w:r>
      <w:r>
        <w:rPr>
          <w:rFonts w:ascii="Cambria"/>
          <w:i/>
          <w:spacing w:val="-7"/>
          <w:sz w:val="22"/>
        </w:rPr>
        <w:t> </w:t>
      </w:r>
      <w:r>
        <w:rPr>
          <w:rFonts w:ascii="Cambria"/>
          <w:i/>
          <w:spacing w:val="-4"/>
          <w:sz w:val="22"/>
        </w:rPr>
        <w:t>Content</w:t>
      </w:r>
      <w:r>
        <w:rPr>
          <w:rFonts w:ascii="Cambria"/>
          <w:i/>
          <w:spacing w:val="-6"/>
          <w:sz w:val="22"/>
        </w:rPr>
        <w:t> </w:t>
      </w:r>
      <w:r>
        <w:rPr>
          <w:rFonts w:ascii="Cambria"/>
          <w:i/>
          <w:spacing w:val="-4"/>
          <w:sz w:val="22"/>
        </w:rPr>
        <w:t>Revision</w:t>
      </w:r>
      <w:r>
        <w:rPr>
          <w:sz w:val="22"/>
        </w:rPr>
        <w:tab/>
      </w:r>
      <w:r>
        <w:rPr>
          <w:spacing w:val="-5"/>
          <w:sz w:val="22"/>
        </w:rPr>
        <w:t>113</w:t>
      </w:r>
    </w:p>
    <w:p>
      <w:pPr>
        <w:pStyle w:val="BodyText"/>
      </w:pPr>
    </w:p>
    <w:p>
      <w:pPr>
        <w:pStyle w:val="BodyText"/>
        <w:spacing w:before="38"/>
      </w:pPr>
    </w:p>
    <w:p>
      <w:pPr>
        <w:pStyle w:val="BodyText"/>
        <w:spacing w:line="312" w:lineRule="auto" w:before="1"/>
        <w:ind w:left="709" w:right="140" w:firstLine="338"/>
        <w:jc w:val="both"/>
      </w:pPr>
      <w:r>
        <w:rPr>
          <w:b/>
        </w:rPr>
        <w:t>Purpose: </w:t>
      </w:r>
      <w:r>
        <w:rPr/>
        <w:t>The</w:t>
      </w:r>
      <w:r>
        <w:rPr>
          <w:spacing w:val="-11"/>
        </w:rPr>
        <w:t> </w:t>
      </w:r>
      <w:r>
        <w:rPr/>
        <w:t>CarenR_Dist_Sup_Thresh</w:t>
      </w:r>
      <w:r>
        <w:rPr>
          <w:spacing w:val="-11"/>
        </w:rPr>
        <w:t> </w:t>
      </w:r>
      <w:r>
        <w:rPr/>
        <w:t>variant</w:t>
      </w:r>
      <w:r>
        <w:rPr>
          <w:spacing w:val="-11"/>
        </w:rPr>
        <w:t> </w:t>
      </w:r>
      <w:r>
        <w:rPr/>
        <w:t>was</w:t>
      </w:r>
      <w:r>
        <w:rPr>
          <w:spacing w:val="-11"/>
        </w:rPr>
        <w:t> </w:t>
      </w:r>
      <w:r>
        <w:rPr/>
        <w:t>missing</w:t>
      </w:r>
      <w:r>
        <w:rPr>
          <w:spacing w:val="-11"/>
        </w:rPr>
        <w:t> </w:t>
      </w:r>
      <w:r>
        <w:rPr/>
        <w:t>from</w:t>
      </w:r>
      <w:r>
        <w:rPr>
          <w:spacing w:val="-11"/>
        </w:rPr>
        <w:t> </w:t>
      </w:r>
      <w:r>
        <w:rPr/>
        <w:t>the</w:t>
      </w:r>
      <w:r>
        <w:rPr>
          <w:spacing w:val="-11"/>
        </w:rPr>
        <w:t> </w:t>
      </w:r>
      <w:r>
        <w:rPr/>
        <w:t>11-variant</w:t>
      </w:r>
      <w:r>
        <w:rPr>
          <w:spacing w:val="-11"/>
        </w:rPr>
        <w:t> </w:t>
      </w:r>
      <w:r>
        <w:rPr/>
        <w:t>breakdown table.</w:t>
      </w:r>
      <w:r>
        <w:rPr>
          <w:spacing w:val="40"/>
        </w:rPr>
        <w:t> </w:t>
      </w:r>
      <w:r>
        <w:rPr/>
        <w:t>After the student identified the gap, AI generated the missing row content based on the existing table structure and the student’s understanding of the variant.</w:t>
      </w:r>
    </w:p>
    <w:p>
      <w:pPr>
        <w:pStyle w:val="BodyText"/>
      </w:pPr>
    </w:p>
    <w:p>
      <w:pPr>
        <w:pStyle w:val="BodyText"/>
        <w:spacing w:before="33"/>
      </w:pPr>
    </w:p>
    <w:p>
      <w:pPr>
        <w:pStyle w:val="Heading3"/>
        <w:numPr>
          <w:ilvl w:val="2"/>
          <w:numId w:val="56"/>
        </w:numPr>
        <w:tabs>
          <w:tab w:pos="1466" w:val="left" w:leader="none"/>
        </w:tabs>
        <w:spacing w:line="240" w:lineRule="auto" w:before="1" w:after="0"/>
        <w:ind w:left="1466" w:right="0" w:hanging="757"/>
        <w:jc w:val="left"/>
      </w:pPr>
      <w:bookmarkStart w:name="E.3.3 Chapter 5 — Prediction: Test Perio" w:id="339"/>
      <w:bookmarkEnd w:id="339"/>
      <w:r>
        <w:rPr>
          <w:b w:val="0"/>
        </w:rPr>
      </w:r>
      <w:bookmarkStart w:name="_bookmark203" w:id="340"/>
      <w:bookmarkEnd w:id="340"/>
      <w:r>
        <w:rPr>
          <w:b w:val="0"/>
        </w:rPr>
      </w:r>
      <w:r>
        <w:rPr/>
        <w:t>Chapter</w:t>
      </w:r>
      <w:r>
        <w:rPr>
          <w:spacing w:val="-15"/>
        </w:rPr>
        <w:t> </w:t>
      </w:r>
      <w:r>
        <w:rPr/>
        <w:t>5</w:t>
      </w:r>
      <w:r>
        <w:rPr>
          <w:spacing w:val="-14"/>
        </w:rPr>
        <w:t> </w:t>
      </w:r>
      <w:r>
        <w:rPr/>
        <w:t>—</w:t>
      </w:r>
      <w:r>
        <w:rPr>
          <w:spacing w:val="-14"/>
        </w:rPr>
        <w:t> </w:t>
      </w:r>
      <w:r>
        <w:rPr/>
        <w:t>Prediction:</w:t>
      </w:r>
      <w:r>
        <w:rPr>
          <w:spacing w:val="-2"/>
        </w:rPr>
        <w:t> </w:t>
      </w:r>
      <w:r>
        <w:rPr/>
        <w:t>Test</w:t>
      </w:r>
      <w:r>
        <w:rPr>
          <w:spacing w:val="-14"/>
        </w:rPr>
        <w:t> </w:t>
      </w:r>
      <w:r>
        <w:rPr/>
        <w:t>Period</w:t>
      </w:r>
      <w:r>
        <w:rPr>
          <w:spacing w:val="-14"/>
        </w:rPr>
        <w:t> </w:t>
      </w:r>
      <w:r>
        <w:rPr/>
        <w:t>Table</w:t>
      </w:r>
      <w:r>
        <w:rPr>
          <w:spacing w:val="-14"/>
        </w:rPr>
        <w:t> </w:t>
      </w:r>
      <w:r>
        <w:rPr>
          <w:spacing w:val="-2"/>
        </w:rPr>
        <w:t>Corrections</w:t>
      </w:r>
    </w:p>
    <w:p>
      <w:pPr>
        <w:pStyle w:val="BodyText"/>
        <w:spacing w:before="19"/>
        <w:rPr>
          <w:b/>
          <w:sz w:val="24"/>
        </w:rPr>
      </w:pPr>
    </w:p>
    <w:p>
      <w:pPr>
        <w:pStyle w:val="BodyText"/>
        <w:ind w:left="709"/>
        <w:jc w:val="both"/>
      </w:pPr>
      <w:r>
        <w:rPr>
          <w:b/>
        </w:rPr>
        <w:t>Location:</w:t>
      </w:r>
      <w:r>
        <w:rPr>
          <w:b/>
          <w:spacing w:val="1"/>
        </w:rPr>
        <w:t> </w:t>
      </w:r>
      <w:r>
        <w:rPr/>
        <w:t>Section</w:t>
      </w:r>
      <w:r>
        <w:rPr>
          <w:spacing w:val="-9"/>
        </w:rPr>
        <w:t> </w:t>
      </w:r>
      <w:hyperlink w:history="true" w:anchor="_bookmark119">
        <w:r>
          <w:rPr>
            <w:color w:val="8B2C18"/>
          </w:rPr>
          <w:t>5.8</w:t>
        </w:r>
      </w:hyperlink>
      <w:r>
        <w:rPr/>
        <w:t>,</w:t>
      </w:r>
      <w:r>
        <w:rPr>
          <w:spacing w:val="-10"/>
        </w:rPr>
        <w:t> </w:t>
      </w:r>
      <w:r>
        <w:rPr/>
        <w:t>Tables</w:t>
      </w:r>
      <w:r>
        <w:rPr>
          <w:spacing w:val="-9"/>
        </w:rPr>
        <w:t> </w:t>
      </w:r>
      <w:hyperlink w:history="true" w:anchor="_bookmark120">
        <w:r>
          <w:rPr>
            <w:color w:val="8B2C18"/>
          </w:rPr>
          <w:t>5.8</w:t>
        </w:r>
      </w:hyperlink>
      <w:r>
        <w:rPr>
          <w:color w:val="8B2C18"/>
          <w:spacing w:val="-9"/>
        </w:rPr>
        <w:t> </w:t>
      </w:r>
      <w:r>
        <w:rPr/>
        <w:t>and</w:t>
      </w:r>
      <w:r>
        <w:rPr>
          <w:spacing w:val="-10"/>
        </w:rPr>
        <w:t> </w:t>
      </w:r>
      <w:hyperlink w:history="true" w:anchor="_bookmark123">
        <w:r>
          <w:rPr>
            <w:color w:val="8B2C18"/>
          </w:rPr>
          <w:t>5.9</w:t>
        </w:r>
      </w:hyperlink>
      <w:r>
        <w:rPr>
          <w:color w:val="8B2C18"/>
          <w:spacing w:val="-9"/>
        </w:rPr>
        <w:t> </w:t>
      </w:r>
      <w:r>
        <w:rPr/>
        <w:t>(walk-forward</w:t>
      </w:r>
      <w:r>
        <w:rPr>
          <w:spacing w:val="-10"/>
        </w:rPr>
        <w:t> </w:t>
      </w:r>
      <w:r>
        <w:rPr/>
        <w:t>scenario</w:t>
      </w:r>
      <w:r>
        <w:rPr>
          <w:spacing w:val="-9"/>
        </w:rPr>
        <w:t> </w:t>
      </w:r>
      <w:r>
        <w:rPr>
          <w:spacing w:val="-2"/>
        </w:rPr>
        <w:t>tables)</w:t>
      </w:r>
    </w:p>
    <w:p>
      <w:pPr>
        <w:pStyle w:val="BodyText"/>
        <w:spacing w:line="312" w:lineRule="auto" w:before="115"/>
        <w:ind w:left="709" w:right="140" w:firstLine="338"/>
        <w:jc w:val="both"/>
      </w:pPr>
      <w:r>
        <w:rPr>
          <w:b/>
          <w:spacing w:val="-2"/>
        </w:rPr>
        <w:t>Purpose:</w:t>
      </w:r>
      <w:r>
        <w:rPr>
          <w:b/>
        </w:rPr>
        <w:t> </w:t>
      </w:r>
      <w:r>
        <w:rPr>
          <w:spacing w:val="-2"/>
        </w:rPr>
        <w:t>The</w:t>
      </w:r>
      <w:r>
        <w:rPr>
          <w:spacing w:val="-10"/>
        </w:rPr>
        <w:t> </w:t>
      </w:r>
      <w:r>
        <w:rPr>
          <w:spacing w:val="-2"/>
        </w:rPr>
        <w:t>student</w:t>
      </w:r>
      <w:r>
        <w:rPr>
          <w:spacing w:val="-10"/>
        </w:rPr>
        <w:t> </w:t>
      </w:r>
      <w:r>
        <w:rPr>
          <w:spacing w:val="-2"/>
        </w:rPr>
        <w:t>identified</w:t>
      </w:r>
      <w:r>
        <w:rPr>
          <w:spacing w:val="-10"/>
        </w:rPr>
        <w:t> </w:t>
      </w:r>
      <w:r>
        <w:rPr>
          <w:spacing w:val="-2"/>
        </w:rPr>
        <w:t>that</w:t>
      </w:r>
      <w:r>
        <w:rPr>
          <w:spacing w:val="-10"/>
        </w:rPr>
        <w:t> </w:t>
      </w:r>
      <w:r>
        <w:rPr>
          <w:spacing w:val="-2"/>
        </w:rPr>
        <w:t>the</w:t>
      </w:r>
      <w:r>
        <w:rPr>
          <w:spacing w:val="-10"/>
        </w:rPr>
        <w:t> </w:t>
      </w:r>
      <w:r>
        <w:rPr>
          <w:spacing w:val="-2"/>
        </w:rPr>
        <w:t>“Test</w:t>
      </w:r>
      <w:r>
        <w:rPr>
          <w:spacing w:val="-10"/>
        </w:rPr>
        <w:t> </w:t>
      </w:r>
      <w:r>
        <w:rPr>
          <w:spacing w:val="-2"/>
        </w:rPr>
        <w:t>yr”</w:t>
      </w:r>
      <w:r>
        <w:rPr>
          <w:spacing w:val="-10"/>
        </w:rPr>
        <w:t> </w:t>
      </w:r>
      <w:r>
        <w:rPr>
          <w:spacing w:val="-2"/>
        </w:rPr>
        <w:t>column</w:t>
      </w:r>
      <w:r>
        <w:rPr>
          <w:spacing w:val="-10"/>
        </w:rPr>
        <w:t> </w:t>
      </w:r>
      <w:r>
        <w:rPr>
          <w:spacing w:val="-2"/>
        </w:rPr>
        <w:t>was</w:t>
      </w:r>
      <w:r>
        <w:rPr>
          <w:spacing w:val="-10"/>
        </w:rPr>
        <w:t> </w:t>
      </w:r>
      <w:r>
        <w:rPr>
          <w:spacing w:val="-2"/>
        </w:rPr>
        <w:t>showing</w:t>
      </w:r>
      <w:r>
        <w:rPr>
          <w:spacing w:val="-10"/>
        </w:rPr>
        <w:t> </w:t>
      </w:r>
      <w:r>
        <w:rPr>
          <w:spacing w:val="-2"/>
        </w:rPr>
        <w:t>single</w:t>
      </w:r>
      <w:r>
        <w:rPr>
          <w:spacing w:val="-10"/>
        </w:rPr>
        <w:t> </w:t>
      </w:r>
      <w:r>
        <w:rPr>
          <w:spacing w:val="-2"/>
        </w:rPr>
        <w:t>years</w:t>
      </w:r>
      <w:r>
        <w:rPr>
          <w:spacing w:val="-10"/>
        </w:rPr>
        <w:t> </w:t>
      </w:r>
      <w:r>
        <w:rPr>
          <w:spacing w:val="-2"/>
        </w:rPr>
        <w:t>rather</w:t>
      </w:r>
      <w:r>
        <w:rPr>
          <w:spacing w:val="-10"/>
        </w:rPr>
        <w:t> </w:t>
      </w:r>
      <w:r>
        <w:rPr>
          <w:spacing w:val="-2"/>
        </w:rPr>
        <w:t>than </w:t>
      </w:r>
      <w:r>
        <w:rPr/>
        <w:t>multi-year test periods. AI was used to compute the correct test period ranges from the data and rewrite all 34 rows across both tables.</w:t>
      </w:r>
    </w:p>
    <w:p>
      <w:pPr>
        <w:pStyle w:val="BodyText"/>
        <w:spacing w:before="38"/>
        <w:ind w:left="1047"/>
        <w:jc w:val="both"/>
      </w:pPr>
      <w:r>
        <w:rPr/>
        <w:t>Iteration</w:t>
      </w:r>
      <w:r>
        <w:rPr>
          <w:spacing w:val="-9"/>
        </w:rPr>
        <w:t> </w:t>
      </w:r>
      <w:r>
        <w:rPr>
          <w:spacing w:val="-2"/>
        </w:rPr>
        <w:t>example:</w:t>
      </w:r>
    </w:p>
    <w:p>
      <w:pPr>
        <w:pStyle w:val="BodyText"/>
        <w:spacing w:before="44"/>
      </w:pPr>
    </w:p>
    <w:p>
      <w:pPr>
        <w:spacing w:before="0"/>
        <w:ind w:left="3516" w:right="0" w:firstLine="0"/>
        <w:jc w:val="left"/>
        <w:rPr>
          <w:sz w:val="20"/>
        </w:rPr>
      </w:pPr>
      <w:bookmarkStart w:name="_bookmark204" w:id="341"/>
      <w:bookmarkEnd w:id="341"/>
      <w:r>
        <w:rPr/>
      </w:r>
      <w:r>
        <w:rPr>
          <w:b/>
          <w:sz w:val="20"/>
        </w:rPr>
        <w:t>Table</w:t>
      </w:r>
      <w:r>
        <w:rPr>
          <w:b/>
          <w:spacing w:val="-8"/>
          <w:sz w:val="20"/>
        </w:rPr>
        <w:t> </w:t>
      </w:r>
      <w:r>
        <w:rPr>
          <w:b/>
          <w:sz w:val="20"/>
        </w:rPr>
        <w:t>E.3:</w:t>
      </w:r>
      <w:r>
        <w:rPr>
          <w:b/>
          <w:spacing w:val="2"/>
          <w:sz w:val="20"/>
        </w:rPr>
        <w:t> </w:t>
      </w:r>
      <w:r>
        <w:rPr>
          <w:sz w:val="20"/>
        </w:rPr>
        <w:t>AI</w:t>
      </w:r>
      <w:r>
        <w:rPr>
          <w:spacing w:val="-8"/>
          <w:sz w:val="20"/>
        </w:rPr>
        <w:t> </w:t>
      </w:r>
      <w:r>
        <w:rPr>
          <w:sz w:val="20"/>
        </w:rPr>
        <w:t>use</w:t>
      </w:r>
      <w:r>
        <w:rPr>
          <w:spacing w:val="-8"/>
          <w:sz w:val="20"/>
        </w:rPr>
        <w:t> </w:t>
      </w:r>
      <w:r>
        <w:rPr>
          <w:sz w:val="20"/>
        </w:rPr>
        <w:t>summary</w:t>
      </w:r>
      <w:r>
        <w:rPr>
          <w:spacing w:val="-8"/>
          <w:sz w:val="20"/>
        </w:rPr>
        <w:t> </w:t>
      </w:r>
      <w:r>
        <w:rPr>
          <w:sz w:val="20"/>
        </w:rPr>
        <w:t>table</w:t>
      </w:r>
      <w:r>
        <w:rPr>
          <w:spacing w:val="-8"/>
          <w:sz w:val="20"/>
        </w:rPr>
        <w:t> </w:t>
      </w:r>
      <w:r>
        <w:rPr>
          <w:spacing w:val="-5"/>
          <w:sz w:val="20"/>
        </w:rPr>
        <w:t>3.</w:t>
      </w:r>
    </w:p>
    <w:p>
      <w:pPr>
        <w:pStyle w:val="BodyText"/>
        <w:spacing w:before="6"/>
        <w:rPr>
          <w:sz w:val="18"/>
        </w:rPr>
      </w:pPr>
      <w:r>
        <w:rPr>
          <w:sz w:val="18"/>
        </w:rPr>
        <mc:AlternateContent>
          <mc:Choice Requires="wps">
            <w:drawing>
              <wp:anchor distT="0" distB="0" distL="0" distR="0" allowOverlap="1" layoutInCell="1" locked="0" behindDoc="1" simplePos="0" relativeHeight="487649280">
                <wp:simplePos x="0" y="0"/>
                <wp:positionH relativeFrom="page">
                  <wp:posOffset>1260005</wp:posOffset>
                </wp:positionH>
                <wp:positionV relativeFrom="paragraph">
                  <wp:posOffset>150599</wp:posOffset>
                </wp:positionV>
                <wp:extent cx="5400040" cy="1270"/>
                <wp:effectExtent l="0" t="0" r="0" b="0"/>
                <wp:wrapTopAndBottom/>
                <wp:docPr id="317" name="Graphic 317"/>
                <wp:cNvGraphicFramePr>
                  <a:graphicFrameLocks/>
                </wp:cNvGraphicFramePr>
                <a:graphic>
                  <a:graphicData uri="http://schemas.microsoft.com/office/word/2010/wordprocessingShape">
                    <wps:wsp>
                      <wps:cNvPr id="317" name="Graphic 317"/>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1.858223pt;width:425.2pt;height:.1pt;mso-position-horizontal-relative:page;mso-position-vertical-relative:paragraph;z-index:-15667200;mso-wrap-distance-left:0;mso-wrap-distance-right:0" id="docshape279" coordorigin="1984,237" coordsize="8504,0" path="m1984,237l10488,237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7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70"/>
        <w:gridCol w:w="3082"/>
        <w:gridCol w:w="4953"/>
      </w:tblGrid>
      <w:tr>
        <w:trPr>
          <w:trHeight w:val="320" w:hRule="atLeast"/>
        </w:trPr>
        <w:tc>
          <w:tcPr>
            <w:tcW w:w="470" w:type="dxa"/>
            <w:tcBorders>
              <w:top w:val="nil"/>
              <w:left w:val="nil"/>
              <w:right w:val="single" w:sz="4" w:space="0" w:color="000000"/>
            </w:tcBorders>
          </w:tcPr>
          <w:p>
            <w:pPr>
              <w:pStyle w:val="TableParagraph"/>
              <w:spacing w:before="31"/>
              <w:ind w:left="119"/>
              <w:rPr>
                <w:sz w:val="18"/>
              </w:rPr>
            </w:pPr>
            <w:r>
              <w:rPr>
                <w:spacing w:val="-10"/>
                <w:sz w:val="18"/>
              </w:rPr>
              <w:t>#</w:t>
            </w:r>
          </w:p>
        </w:tc>
        <w:tc>
          <w:tcPr>
            <w:tcW w:w="3082" w:type="dxa"/>
            <w:tcBorders>
              <w:top w:val="nil"/>
              <w:left w:val="single" w:sz="4" w:space="0" w:color="000000"/>
              <w:right w:val="single" w:sz="4" w:space="0" w:color="000000"/>
            </w:tcBorders>
          </w:tcPr>
          <w:p>
            <w:pPr>
              <w:pStyle w:val="TableParagraph"/>
              <w:spacing w:before="31"/>
              <w:ind w:left="118"/>
              <w:rPr>
                <w:sz w:val="18"/>
              </w:rPr>
            </w:pPr>
            <w:r>
              <w:rPr>
                <w:spacing w:val="-2"/>
                <w:sz w:val="18"/>
              </w:rPr>
              <w:t>Prompt</w:t>
            </w:r>
          </w:p>
        </w:tc>
        <w:tc>
          <w:tcPr>
            <w:tcW w:w="4953" w:type="dxa"/>
            <w:tcBorders>
              <w:top w:val="nil"/>
              <w:left w:val="single" w:sz="4" w:space="0" w:color="000000"/>
              <w:right w:val="nil"/>
            </w:tcBorders>
          </w:tcPr>
          <w:p>
            <w:pPr>
              <w:pStyle w:val="TableParagraph"/>
              <w:spacing w:before="31"/>
              <w:ind w:left="118"/>
              <w:rPr>
                <w:sz w:val="18"/>
              </w:rPr>
            </w:pPr>
            <w:r>
              <w:rPr>
                <w:spacing w:val="-2"/>
                <w:sz w:val="18"/>
              </w:rPr>
              <w:t>Outcome</w:t>
            </w:r>
          </w:p>
        </w:tc>
      </w:tr>
    </w:tbl>
    <w:p>
      <w:pPr>
        <w:pStyle w:val="BodyText"/>
        <w:spacing w:before="10"/>
        <w:rPr>
          <w:sz w:val="4"/>
        </w:rPr>
      </w:pPr>
    </w:p>
    <w:tbl>
      <w:tblPr>
        <w:tblW w:w="0" w:type="auto"/>
        <w:jc w:val="left"/>
        <w:tblInd w:w="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0"/>
        <w:gridCol w:w="3082"/>
        <w:gridCol w:w="4953"/>
      </w:tblGrid>
      <w:tr>
        <w:trPr>
          <w:trHeight w:val="503" w:hRule="atLeast"/>
        </w:trPr>
        <w:tc>
          <w:tcPr>
            <w:tcW w:w="470" w:type="dxa"/>
            <w:tcBorders>
              <w:right w:val="single" w:sz="4" w:space="0" w:color="000000"/>
            </w:tcBorders>
          </w:tcPr>
          <w:p>
            <w:pPr>
              <w:pStyle w:val="TableParagraph"/>
              <w:spacing w:before="31"/>
              <w:ind w:left="119"/>
              <w:rPr>
                <w:sz w:val="18"/>
              </w:rPr>
            </w:pPr>
            <w:r>
              <w:rPr>
                <w:spacing w:val="-10"/>
                <w:sz w:val="18"/>
              </w:rPr>
              <w:t>1</w:t>
            </w:r>
          </w:p>
        </w:tc>
        <w:tc>
          <w:tcPr>
            <w:tcW w:w="3082" w:type="dxa"/>
            <w:tcBorders>
              <w:left w:val="single" w:sz="4" w:space="0" w:color="000000"/>
              <w:right w:val="single" w:sz="4" w:space="0" w:color="000000"/>
            </w:tcBorders>
          </w:tcPr>
          <w:p>
            <w:pPr>
              <w:pStyle w:val="TableParagraph"/>
              <w:spacing w:line="254" w:lineRule="auto" w:before="31"/>
              <w:ind w:left="118"/>
              <w:rPr>
                <w:sz w:val="18"/>
              </w:rPr>
            </w:pPr>
            <w:r>
              <w:rPr>
                <w:sz w:val="18"/>
              </w:rPr>
              <w:t>“is</w:t>
            </w:r>
            <w:r>
              <w:rPr>
                <w:spacing w:val="-11"/>
                <w:sz w:val="18"/>
              </w:rPr>
              <w:t> </w:t>
            </w:r>
            <w:r>
              <w:rPr>
                <w:sz w:val="18"/>
              </w:rPr>
              <w:t>this</w:t>
            </w:r>
            <w:r>
              <w:rPr>
                <w:spacing w:val="-11"/>
                <w:sz w:val="18"/>
              </w:rPr>
              <w:t> </w:t>
            </w:r>
            <w:r>
              <w:rPr>
                <w:sz w:val="18"/>
              </w:rPr>
              <w:t>table</w:t>
            </w:r>
            <w:r>
              <w:rPr>
                <w:spacing w:val="-11"/>
                <w:sz w:val="18"/>
              </w:rPr>
              <w:t> </w:t>
            </w:r>
            <w:r>
              <w:rPr>
                <w:sz w:val="18"/>
              </w:rPr>
              <w:t>the</w:t>
            </w:r>
            <w:r>
              <w:rPr>
                <w:spacing w:val="-11"/>
                <w:sz w:val="18"/>
              </w:rPr>
              <w:t> </w:t>
            </w:r>
            <w:r>
              <w:rPr>
                <w:sz w:val="18"/>
              </w:rPr>
              <w:t>test</w:t>
            </w:r>
            <w:r>
              <w:rPr>
                <w:spacing w:val="-11"/>
                <w:sz w:val="18"/>
              </w:rPr>
              <w:t> </w:t>
            </w:r>
            <w:r>
              <w:rPr>
                <w:sz w:val="18"/>
              </w:rPr>
              <w:t>year</w:t>
            </w:r>
            <w:r>
              <w:rPr>
                <w:spacing w:val="-11"/>
                <w:sz w:val="18"/>
              </w:rPr>
              <w:t> </w:t>
            </w:r>
            <w:r>
              <w:rPr>
                <w:sz w:val="18"/>
              </w:rPr>
              <w:t>shouldn’t</w:t>
            </w:r>
            <w:r>
              <w:rPr>
                <w:spacing w:val="-11"/>
                <w:sz w:val="18"/>
              </w:rPr>
              <w:t> </w:t>
            </w:r>
            <w:r>
              <w:rPr>
                <w:sz w:val="18"/>
              </w:rPr>
              <w:t>be</w:t>
            </w:r>
            <w:r>
              <w:rPr>
                <w:spacing w:val="-11"/>
                <w:sz w:val="18"/>
              </w:rPr>
              <w:t> </w:t>
            </w:r>
            <w:r>
              <w:rPr>
                <w:sz w:val="18"/>
              </w:rPr>
              <w:t>a couple of years?”</w:t>
            </w:r>
          </w:p>
        </w:tc>
        <w:tc>
          <w:tcPr>
            <w:tcW w:w="4953" w:type="dxa"/>
            <w:tcBorders>
              <w:left w:val="single" w:sz="4" w:space="0" w:color="000000"/>
            </w:tcBorders>
          </w:tcPr>
          <w:p>
            <w:pPr>
              <w:pStyle w:val="TableParagraph"/>
              <w:spacing w:line="254" w:lineRule="auto" w:before="31"/>
              <w:ind w:left="118"/>
              <w:rPr>
                <w:sz w:val="18"/>
              </w:rPr>
            </w:pPr>
            <w:r>
              <w:rPr>
                <w:sz w:val="18"/>
              </w:rPr>
              <w:t>AI confirmed the test periods span multiple years and </w:t>
            </w:r>
            <w:r>
              <w:rPr>
                <w:sz w:val="18"/>
              </w:rPr>
              <w:t>extracted correct ranges from scenario_metrics_rdd/rvv.csv</w:t>
            </w:r>
          </w:p>
        </w:tc>
      </w:tr>
      <w:tr>
        <w:trPr>
          <w:trHeight w:val="723" w:hRule="atLeast"/>
        </w:trPr>
        <w:tc>
          <w:tcPr>
            <w:tcW w:w="470" w:type="dxa"/>
            <w:tcBorders>
              <w:right w:val="single" w:sz="4" w:space="0" w:color="000000"/>
            </w:tcBorders>
          </w:tcPr>
          <w:p>
            <w:pPr>
              <w:pStyle w:val="TableParagraph"/>
              <w:ind w:left="119"/>
              <w:rPr>
                <w:sz w:val="18"/>
              </w:rPr>
            </w:pPr>
            <w:r>
              <w:rPr>
                <w:spacing w:val="-10"/>
                <w:sz w:val="18"/>
              </w:rPr>
              <w:t>2</w:t>
            </w:r>
          </w:p>
        </w:tc>
        <w:tc>
          <w:tcPr>
            <w:tcW w:w="3082" w:type="dxa"/>
            <w:tcBorders>
              <w:left w:val="single" w:sz="4" w:space="0" w:color="000000"/>
              <w:right w:val="single" w:sz="4" w:space="0" w:color="000000"/>
            </w:tcBorders>
          </w:tcPr>
          <w:p>
            <w:pPr>
              <w:pStyle w:val="TableParagraph"/>
              <w:ind w:left="118"/>
              <w:rPr>
                <w:sz w:val="18"/>
              </w:rPr>
            </w:pPr>
            <w:r>
              <w:rPr>
                <w:sz w:val="18"/>
              </w:rPr>
              <w:t>[review</w:t>
            </w:r>
            <w:r>
              <w:rPr>
                <w:spacing w:val="-9"/>
                <w:sz w:val="18"/>
              </w:rPr>
              <w:t> </w:t>
            </w:r>
            <w:r>
              <w:rPr>
                <w:sz w:val="18"/>
              </w:rPr>
              <w:t>of</w:t>
            </w:r>
            <w:r>
              <w:rPr>
                <w:spacing w:val="-9"/>
                <w:sz w:val="18"/>
              </w:rPr>
              <w:t> </w:t>
            </w:r>
            <w:r>
              <w:rPr>
                <w:sz w:val="18"/>
              </w:rPr>
              <w:t>proposed</w:t>
            </w:r>
            <w:r>
              <w:rPr>
                <w:spacing w:val="-9"/>
                <w:sz w:val="18"/>
              </w:rPr>
              <w:t> </w:t>
            </w:r>
            <w:r>
              <w:rPr>
                <w:spacing w:val="-2"/>
                <w:sz w:val="18"/>
              </w:rPr>
              <w:t>corrections]</w:t>
            </w:r>
          </w:p>
        </w:tc>
        <w:tc>
          <w:tcPr>
            <w:tcW w:w="4953" w:type="dxa"/>
            <w:tcBorders>
              <w:left w:val="single" w:sz="4" w:space="0" w:color="000000"/>
            </w:tcBorders>
          </w:tcPr>
          <w:p>
            <w:pPr>
              <w:pStyle w:val="TableParagraph"/>
              <w:spacing w:line="254" w:lineRule="auto"/>
              <w:ind w:left="111" w:right="118" w:firstLine="6"/>
              <w:jc w:val="both"/>
              <w:rPr>
                <w:sz w:val="18"/>
              </w:rPr>
            </w:pPr>
            <w:r>
              <w:rPr>
                <w:sz w:val="18"/>
              </w:rPr>
              <w:t>Student validated ranges against their own understanding of the </w:t>
            </w:r>
            <w:r>
              <w:rPr>
                <w:spacing w:val="-2"/>
                <w:sz w:val="18"/>
              </w:rPr>
              <w:t>walk-forward</w:t>
            </w:r>
            <w:r>
              <w:rPr>
                <w:spacing w:val="-10"/>
                <w:sz w:val="18"/>
              </w:rPr>
              <w:t> </w:t>
            </w:r>
            <w:r>
              <w:rPr>
                <w:spacing w:val="-2"/>
                <w:sz w:val="18"/>
              </w:rPr>
              <w:t>setup;</w:t>
            </w:r>
            <w:r>
              <w:rPr>
                <w:spacing w:val="-9"/>
                <w:sz w:val="18"/>
              </w:rPr>
              <w:t> </w:t>
            </w:r>
            <w:r>
              <w:rPr>
                <w:spacing w:val="-2"/>
                <w:sz w:val="18"/>
              </w:rPr>
              <w:t>RVV</w:t>
            </w:r>
            <w:r>
              <w:rPr>
                <w:spacing w:val="-9"/>
                <w:sz w:val="18"/>
              </w:rPr>
              <w:t> </w:t>
            </w:r>
            <w:r>
              <w:rPr>
                <w:spacing w:val="-2"/>
                <w:sz w:val="18"/>
              </w:rPr>
              <w:t>train</w:t>
            </w:r>
            <w:r>
              <w:rPr>
                <w:spacing w:val="-9"/>
                <w:sz w:val="18"/>
              </w:rPr>
              <w:t> </w:t>
            </w:r>
            <w:r>
              <w:rPr>
                <w:spacing w:val="-2"/>
                <w:sz w:val="18"/>
              </w:rPr>
              <w:t>periods</w:t>
            </w:r>
            <w:r>
              <w:rPr>
                <w:spacing w:val="-10"/>
                <w:sz w:val="18"/>
              </w:rPr>
              <w:t> </w:t>
            </w:r>
            <w:r>
              <w:rPr>
                <w:spacing w:val="-2"/>
                <w:sz w:val="18"/>
              </w:rPr>
              <w:t>also</w:t>
            </w:r>
            <w:r>
              <w:rPr>
                <w:spacing w:val="-9"/>
                <w:sz w:val="18"/>
              </w:rPr>
              <w:t> </w:t>
            </w:r>
            <w:r>
              <w:rPr>
                <w:spacing w:val="-2"/>
                <w:sz w:val="18"/>
              </w:rPr>
              <w:t>corrected</w:t>
            </w:r>
            <w:r>
              <w:rPr>
                <w:spacing w:val="-9"/>
                <w:sz w:val="18"/>
              </w:rPr>
              <w:t> </w:t>
            </w:r>
            <w:r>
              <w:rPr>
                <w:spacing w:val="-2"/>
                <w:sz w:val="18"/>
              </w:rPr>
              <w:t>(were</w:t>
            </w:r>
            <w:r>
              <w:rPr>
                <w:spacing w:val="-9"/>
                <w:sz w:val="18"/>
              </w:rPr>
              <w:t> </w:t>
            </w:r>
            <w:r>
              <w:rPr>
                <w:spacing w:val="-2"/>
                <w:sz w:val="18"/>
              </w:rPr>
              <w:t>4</w:t>
            </w:r>
            <w:r>
              <w:rPr>
                <w:spacing w:val="-10"/>
                <w:sz w:val="18"/>
              </w:rPr>
              <w:t> </w:t>
            </w:r>
            <w:r>
              <w:rPr>
                <w:spacing w:val="-2"/>
                <w:sz w:val="18"/>
              </w:rPr>
              <w:t>years </w:t>
            </w:r>
            <w:r>
              <w:rPr>
                <w:spacing w:val="-4"/>
                <w:sz w:val="18"/>
              </w:rPr>
              <w:t>off)</w:t>
            </w:r>
          </w:p>
        </w:tc>
      </w:tr>
      <w:tr>
        <w:trPr>
          <w:trHeight w:val="541" w:hRule="atLeast"/>
        </w:trPr>
        <w:tc>
          <w:tcPr>
            <w:tcW w:w="470" w:type="dxa"/>
            <w:tcBorders>
              <w:bottom w:val="single" w:sz="8" w:space="0" w:color="000000"/>
              <w:right w:val="single" w:sz="4" w:space="0" w:color="000000"/>
            </w:tcBorders>
          </w:tcPr>
          <w:p>
            <w:pPr>
              <w:pStyle w:val="TableParagraph"/>
              <w:ind w:left="119"/>
              <w:rPr>
                <w:sz w:val="18"/>
              </w:rPr>
            </w:pPr>
            <w:r>
              <w:rPr>
                <w:spacing w:val="-10"/>
                <w:sz w:val="18"/>
              </w:rPr>
              <w:t>3</w:t>
            </w:r>
          </w:p>
        </w:tc>
        <w:tc>
          <w:tcPr>
            <w:tcW w:w="3082" w:type="dxa"/>
            <w:tcBorders>
              <w:left w:val="single" w:sz="4" w:space="0" w:color="000000"/>
              <w:bottom w:val="single" w:sz="8" w:space="0" w:color="000000"/>
              <w:right w:val="single" w:sz="4" w:space="0" w:color="000000"/>
            </w:tcBorders>
          </w:tcPr>
          <w:p>
            <w:pPr>
              <w:pStyle w:val="TableParagraph"/>
              <w:ind w:left="118"/>
              <w:rPr>
                <w:sz w:val="18"/>
              </w:rPr>
            </w:pPr>
            <w:r>
              <w:rPr>
                <w:sz w:val="18"/>
              </w:rPr>
              <w:t>“Continue</w:t>
            </w:r>
            <w:r>
              <w:rPr>
                <w:spacing w:val="-6"/>
                <w:sz w:val="18"/>
              </w:rPr>
              <w:t> </w:t>
            </w:r>
            <w:r>
              <w:rPr>
                <w:sz w:val="18"/>
              </w:rPr>
              <w:t>from</w:t>
            </w:r>
            <w:r>
              <w:rPr>
                <w:spacing w:val="-5"/>
                <w:sz w:val="18"/>
              </w:rPr>
              <w:t> </w:t>
            </w:r>
            <w:r>
              <w:rPr>
                <w:sz w:val="18"/>
              </w:rPr>
              <w:t>where</w:t>
            </w:r>
            <w:r>
              <w:rPr>
                <w:spacing w:val="-5"/>
                <w:sz w:val="18"/>
              </w:rPr>
              <w:t> </w:t>
            </w:r>
            <w:r>
              <w:rPr>
                <w:sz w:val="18"/>
              </w:rPr>
              <w:t>you</w:t>
            </w:r>
            <w:r>
              <w:rPr>
                <w:spacing w:val="-5"/>
                <w:sz w:val="18"/>
              </w:rPr>
              <w:t> </w:t>
            </w:r>
            <w:r>
              <w:rPr>
                <w:sz w:val="18"/>
              </w:rPr>
              <w:t>left</w:t>
            </w:r>
            <w:r>
              <w:rPr>
                <w:spacing w:val="-5"/>
                <w:sz w:val="18"/>
              </w:rPr>
              <w:t> </w:t>
            </w:r>
            <w:r>
              <w:rPr>
                <w:spacing w:val="-4"/>
                <w:sz w:val="18"/>
              </w:rPr>
              <w:t>off”</w:t>
            </w:r>
          </w:p>
        </w:tc>
        <w:tc>
          <w:tcPr>
            <w:tcW w:w="4953" w:type="dxa"/>
            <w:tcBorders>
              <w:left w:val="single" w:sz="4" w:space="0" w:color="000000"/>
              <w:bottom w:val="single" w:sz="8" w:space="0" w:color="000000"/>
            </w:tcBorders>
          </w:tcPr>
          <w:p>
            <w:pPr>
              <w:pStyle w:val="TableParagraph"/>
              <w:spacing w:line="254" w:lineRule="auto"/>
              <w:ind w:left="118"/>
              <w:rPr>
                <w:sz w:val="18"/>
              </w:rPr>
            </w:pPr>
            <w:r>
              <w:rPr>
                <w:sz w:val="18"/>
              </w:rPr>
              <w:t>Column</w:t>
            </w:r>
            <w:r>
              <w:rPr>
                <w:spacing w:val="-10"/>
                <w:sz w:val="18"/>
              </w:rPr>
              <w:t> </w:t>
            </w:r>
            <w:r>
              <w:rPr>
                <w:sz w:val="18"/>
              </w:rPr>
              <w:t>header</w:t>
            </w:r>
            <w:r>
              <w:rPr>
                <w:spacing w:val="-10"/>
                <w:sz w:val="18"/>
              </w:rPr>
              <w:t> </w:t>
            </w:r>
            <w:r>
              <w:rPr>
                <w:sz w:val="18"/>
              </w:rPr>
              <w:t>renamed</w:t>
            </w:r>
            <w:r>
              <w:rPr>
                <w:spacing w:val="-10"/>
                <w:sz w:val="18"/>
              </w:rPr>
              <w:t> </w:t>
            </w:r>
            <w:r>
              <w:rPr>
                <w:sz w:val="18"/>
              </w:rPr>
              <w:t>to</w:t>
            </w:r>
            <w:r>
              <w:rPr>
                <w:spacing w:val="-10"/>
                <w:sz w:val="18"/>
              </w:rPr>
              <w:t> </w:t>
            </w:r>
            <w:r>
              <w:rPr>
                <w:sz w:val="18"/>
              </w:rPr>
              <w:t>“Test</w:t>
            </w:r>
            <w:r>
              <w:rPr>
                <w:spacing w:val="-10"/>
                <w:sz w:val="18"/>
              </w:rPr>
              <w:t> </w:t>
            </w:r>
            <w:r>
              <w:rPr>
                <w:sz w:val="18"/>
              </w:rPr>
              <w:t>period”;</w:t>
            </w:r>
            <w:r>
              <w:rPr>
                <w:spacing w:val="-10"/>
                <w:sz w:val="18"/>
              </w:rPr>
              <w:t> </w:t>
            </w:r>
            <w:r>
              <w:rPr>
                <w:sz w:val="18"/>
              </w:rPr>
              <w:t>all</w:t>
            </w:r>
            <w:r>
              <w:rPr>
                <w:spacing w:val="-10"/>
                <w:sz w:val="18"/>
              </w:rPr>
              <w:t> </w:t>
            </w:r>
            <w:r>
              <w:rPr>
                <w:sz w:val="18"/>
              </w:rPr>
              <w:t>rows</w:t>
            </w:r>
            <w:r>
              <w:rPr>
                <w:spacing w:val="-10"/>
                <w:sz w:val="18"/>
              </w:rPr>
              <w:t> </w:t>
            </w:r>
            <w:r>
              <w:rPr>
                <w:sz w:val="18"/>
              </w:rPr>
              <w:t>applied</w:t>
            </w:r>
            <w:r>
              <w:rPr>
                <w:spacing w:val="-10"/>
                <w:sz w:val="18"/>
              </w:rPr>
              <w:t> </w:t>
            </w:r>
            <w:r>
              <w:rPr>
                <w:sz w:val="18"/>
              </w:rPr>
              <w:t>to</w:t>
            </w:r>
            <w:r>
              <w:rPr>
                <w:spacing w:val="-10"/>
                <w:sz w:val="18"/>
              </w:rPr>
              <w:t> </w:t>
            </w:r>
            <w:r>
              <w:rPr>
                <w:sz w:val="18"/>
              </w:rPr>
              <w:t>both </w:t>
            </w:r>
            <w:r>
              <w:rPr>
                <w:spacing w:val="-2"/>
                <w:sz w:val="18"/>
              </w:rPr>
              <w:t>tables</w:t>
            </w:r>
          </w:p>
        </w:tc>
      </w:tr>
    </w:tbl>
    <w:p>
      <w:pPr>
        <w:pStyle w:val="BodyText"/>
        <w:rPr>
          <w:sz w:val="20"/>
        </w:rPr>
      </w:pPr>
    </w:p>
    <w:p>
      <w:pPr>
        <w:pStyle w:val="BodyText"/>
        <w:rPr>
          <w:sz w:val="20"/>
        </w:rPr>
      </w:pPr>
    </w:p>
    <w:p>
      <w:pPr>
        <w:pStyle w:val="BodyText"/>
        <w:spacing w:before="213"/>
        <w:rPr>
          <w:sz w:val="20"/>
        </w:rPr>
      </w:pPr>
    </w:p>
    <w:p>
      <w:pPr>
        <w:pStyle w:val="Heading3"/>
        <w:numPr>
          <w:ilvl w:val="2"/>
          <w:numId w:val="56"/>
        </w:numPr>
        <w:tabs>
          <w:tab w:pos="1466" w:val="left" w:leader="none"/>
        </w:tabs>
        <w:spacing w:line="240" w:lineRule="auto" w:before="0" w:after="0"/>
        <w:ind w:left="1466" w:right="0" w:hanging="757"/>
        <w:jc w:val="left"/>
      </w:pPr>
      <w:bookmarkStart w:name="E.3.4 Chapter 5 — Prediction: Bold Label" w:id="342"/>
      <w:bookmarkEnd w:id="342"/>
      <w:r>
        <w:rPr>
          <w:b w:val="0"/>
        </w:rPr>
      </w:r>
      <w:bookmarkStart w:name="_bookmark205" w:id="343"/>
      <w:bookmarkEnd w:id="343"/>
      <w:r>
        <w:rPr>
          <w:b w:val="0"/>
        </w:rPr>
      </w:r>
      <w:r>
        <w:rPr/>
        <w:t>Chapter</w:t>
      </w:r>
      <w:r>
        <w:rPr>
          <w:spacing w:val="-8"/>
        </w:rPr>
        <w:t> </w:t>
      </w:r>
      <w:r>
        <w:rPr/>
        <w:t>5</w:t>
      </w:r>
      <w:r>
        <w:rPr>
          <w:spacing w:val="-7"/>
        </w:rPr>
        <w:t> </w:t>
      </w:r>
      <w:r>
        <w:rPr/>
        <w:t>—</w:t>
      </w:r>
      <w:r>
        <w:rPr>
          <w:spacing w:val="-7"/>
        </w:rPr>
        <w:t> </w:t>
      </w:r>
      <w:r>
        <w:rPr/>
        <w:t>Prediction:</w:t>
      </w:r>
      <w:r>
        <w:rPr>
          <w:spacing w:val="6"/>
        </w:rPr>
        <w:t> </w:t>
      </w:r>
      <w:r>
        <w:rPr/>
        <w:t>Bold</w:t>
      </w:r>
      <w:r>
        <w:rPr>
          <w:spacing w:val="-7"/>
        </w:rPr>
        <w:t> </w:t>
      </w:r>
      <w:r>
        <w:rPr/>
        <w:t>Label</w:t>
      </w:r>
      <w:r>
        <w:rPr>
          <w:spacing w:val="-8"/>
        </w:rPr>
        <w:t> </w:t>
      </w:r>
      <w:r>
        <w:rPr>
          <w:spacing w:val="-2"/>
        </w:rPr>
        <w:t>Paragraphs</w:t>
      </w:r>
    </w:p>
    <w:p>
      <w:pPr>
        <w:pStyle w:val="BodyText"/>
        <w:spacing w:before="20"/>
        <w:rPr>
          <w:b/>
          <w:sz w:val="24"/>
        </w:rPr>
      </w:pPr>
    </w:p>
    <w:p>
      <w:pPr>
        <w:pStyle w:val="BodyText"/>
        <w:ind w:left="709"/>
        <w:jc w:val="both"/>
      </w:pPr>
      <w:r>
        <w:rPr>
          <w:b/>
        </w:rPr>
        <w:t>Location:</w:t>
      </w:r>
      <w:r>
        <w:rPr>
          <w:b/>
          <w:spacing w:val="2"/>
        </w:rPr>
        <w:t> </w:t>
      </w:r>
      <w:r>
        <w:rPr/>
        <w:t>Section</w:t>
      </w:r>
      <w:r>
        <w:rPr>
          <w:spacing w:val="-9"/>
        </w:rPr>
        <w:t> </w:t>
      </w:r>
      <w:hyperlink w:history="true" w:anchor="_bookmark107">
        <w:r>
          <w:rPr>
            <w:color w:val="8B2C18"/>
          </w:rPr>
          <w:t>5.3</w:t>
        </w:r>
      </w:hyperlink>
      <w:r>
        <w:rPr>
          <w:color w:val="8B2C18"/>
          <w:spacing w:val="-10"/>
        </w:rPr>
        <w:t> </w:t>
      </w:r>
      <w:r>
        <w:rPr/>
        <w:t>(per-scenario</w:t>
      </w:r>
      <w:r>
        <w:rPr>
          <w:spacing w:val="-9"/>
        </w:rPr>
        <w:t> </w:t>
      </w:r>
      <w:r>
        <w:rPr/>
        <w:t>analysis</w:t>
      </w:r>
      <w:r>
        <w:rPr>
          <w:spacing w:val="-9"/>
        </w:rPr>
        <w:t> </w:t>
      </w:r>
      <w:r>
        <w:rPr>
          <w:spacing w:val="-2"/>
        </w:rPr>
        <w:t>paragraphs)</w:t>
      </w:r>
    </w:p>
    <w:p>
      <w:pPr>
        <w:pStyle w:val="BodyText"/>
        <w:spacing w:line="312" w:lineRule="auto" w:before="114"/>
        <w:ind w:left="709" w:right="132" w:firstLine="338"/>
        <w:jc w:val="both"/>
      </w:pPr>
      <w:r>
        <w:rPr>
          <w:b/>
        </w:rPr>
        <w:t>Purpose:</w:t>
      </w:r>
      <w:r>
        <w:rPr>
          <w:b/>
          <w:spacing w:val="-14"/>
        </w:rPr>
        <w:t> </w:t>
      </w:r>
      <w:r>
        <w:rPr/>
        <w:t>Several</w:t>
      </w:r>
      <w:r>
        <w:rPr>
          <w:spacing w:val="-14"/>
        </w:rPr>
        <w:t> </w:t>
      </w:r>
      <w:r>
        <w:rPr/>
        <w:t>paragraphs</w:t>
      </w:r>
      <w:r>
        <w:rPr>
          <w:spacing w:val="-14"/>
        </w:rPr>
        <w:t> </w:t>
      </w:r>
      <w:r>
        <w:rPr/>
        <w:t>with</w:t>
      </w:r>
      <w:r>
        <w:rPr>
          <w:spacing w:val="-13"/>
        </w:rPr>
        <w:t> </w:t>
      </w:r>
      <w:r>
        <w:rPr/>
        <w:t>a</w:t>
      </w:r>
      <w:r>
        <w:rPr>
          <w:spacing w:val="-14"/>
        </w:rPr>
        <w:t> </w:t>
      </w:r>
      <w:r>
        <w:rPr/>
        <w:t>bold</w:t>
      </w:r>
      <w:r>
        <w:rPr>
          <w:spacing w:val="-14"/>
        </w:rPr>
        <w:t> </w:t>
      </w:r>
      <w:r>
        <w:rPr/>
        <w:t>label</w:t>
      </w:r>
      <w:r>
        <w:rPr>
          <w:spacing w:val="-14"/>
        </w:rPr>
        <w:t> </w:t>
      </w:r>
      <w:r>
        <w:rPr/>
        <w:t>(e.g.,</w:t>
      </w:r>
      <w:r>
        <w:rPr>
          <w:spacing w:val="-13"/>
        </w:rPr>
        <w:t> </w:t>
      </w:r>
      <w:r>
        <w:rPr/>
        <w:t>“Scenarios</w:t>
      </w:r>
      <w:r>
        <w:rPr>
          <w:spacing w:val="-14"/>
        </w:rPr>
        <w:t> </w:t>
      </w:r>
      <w:r>
        <w:rPr/>
        <w:t>3</w:t>
      </w:r>
      <w:r>
        <w:rPr>
          <w:spacing w:val="-14"/>
        </w:rPr>
        <w:t> </w:t>
      </w:r>
      <w:r>
        <w:rPr/>
        <w:t>and</w:t>
      </w:r>
      <w:r>
        <w:rPr>
          <w:spacing w:val="-14"/>
        </w:rPr>
        <w:t> </w:t>
      </w:r>
      <w:r>
        <w:rPr/>
        <w:t>4:”)</w:t>
      </w:r>
      <w:r>
        <w:rPr>
          <w:spacing w:val="-13"/>
        </w:rPr>
        <w:t> </w:t>
      </w:r>
      <w:r>
        <w:rPr/>
        <w:t>had</w:t>
      </w:r>
      <w:r>
        <w:rPr>
          <w:spacing w:val="-14"/>
        </w:rPr>
        <w:t> </w:t>
      </w:r>
      <w:r>
        <w:rPr/>
        <w:t>their</w:t>
      </w:r>
      <w:r>
        <w:rPr>
          <w:spacing w:val="-14"/>
        </w:rPr>
        <w:t> </w:t>
      </w:r>
      <w:r>
        <w:rPr/>
        <w:t>formatting </w:t>
      </w:r>
      <w:r>
        <w:rPr>
          <w:spacing w:val="-2"/>
        </w:rPr>
        <w:t>collapsed</w:t>
      </w:r>
      <w:r>
        <w:rPr>
          <w:spacing w:val="-7"/>
        </w:rPr>
        <w:t> </w:t>
      </w:r>
      <w:r>
        <w:rPr>
          <w:spacing w:val="-2"/>
        </w:rPr>
        <w:t>when</w:t>
      </w:r>
      <w:r>
        <w:rPr>
          <w:spacing w:val="-7"/>
        </w:rPr>
        <w:t> </w:t>
      </w:r>
      <w:r>
        <w:rPr>
          <w:spacing w:val="-2"/>
        </w:rPr>
        <w:t>previous</w:t>
      </w:r>
      <w:r>
        <w:rPr>
          <w:spacing w:val="-7"/>
        </w:rPr>
        <w:t> </w:t>
      </w:r>
      <w:r>
        <w:rPr>
          <w:spacing w:val="-2"/>
        </w:rPr>
        <w:t>edits</w:t>
      </w:r>
      <w:r>
        <w:rPr>
          <w:spacing w:val="-7"/>
        </w:rPr>
        <w:t> </w:t>
      </w:r>
      <w:r>
        <w:rPr>
          <w:spacing w:val="-2"/>
        </w:rPr>
        <w:t>were</w:t>
      </w:r>
      <w:r>
        <w:rPr>
          <w:spacing w:val="-7"/>
        </w:rPr>
        <w:t> </w:t>
      </w:r>
      <w:r>
        <w:rPr>
          <w:spacing w:val="-2"/>
        </w:rPr>
        <w:t>applied. AI</w:t>
      </w:r>
      <w:r>
        <w:rPr>
          <w:spacing w:val="-7"/>
        </w:rPr>
        <w:t> </w:t>
      </w:r>
      <w:r>
        <w:rPr>
          <w:spacing w:val="-2"/>
        </w:rPr>
        <w:t>reconstructed</w:t>
      </w:r>
      <w:r>
        <w:rPr>
          <w:spacing w:val="-7"/>
        </w:rPr>
        <w:t> </w:t>
      </w:r>
      <w:r>
        <w:rPr>
          <w:spacing w:val="-2"/>
        </w:rPr>
        <w:t>the</w:t>
      </w:r>
      <w:r>
        <w:rPr>
          <w:spacing w:val="-7"/>
        </w:rPr>
        <w:t> </w:t>
      </w:r>
      <w:r>
        <w:rPr>
          <w:spacing w:val="-2"/>
        </w:rPr>
        <w:t>correct</w:t>
      </w:r>
      <w:r>
        <w:rPr>
          <w:spacing w:val="-7"/>
        </w:rPr>
        <w:t> </w:t>
      </w:r>
      <w:r>
        <w:rPr>
          <w:spacing w:val="-2"/>
        </w:rPr>
        <w:t>bold-label</w:t>
      </w:r>
      <w:r>
        <w:rPr>
          <w:spacing w:val="-7"/>
        </w:rPr>
        <w:t> </w:t>
      </w:r>
      <w:r>
        <w:rPr>
          <w:spacing w:val="-2"/>
        </w:rPr>
        <w:t>+</w:t>
      </w:r>
      <w:r>
        <w:rPr>
          <w:spacing w:val="-7"/>
        </w:rPr>
        <w:t> </w:t>
      </w:r>
      <w:r>
        <w:rPr>
          <w:spacing w:val="-2"/>
        </w:rPr>
        <w:t>normal-</w:t>
      </w:r>
      <w:r>
        <w:rPr>
          <w:spacing w:val="-2"/>
        </w:rPr>
        <w:t>body structure.</w:t>
      </w:r>
    </w:p>
    <w:p>
      <w:pPr>
        <w:pStyle w:val="BodyText"/>
        <w:spacing w:before="39"/>
        <w:ind w:left="1047"/>
        <w:jc w:val="both"/>
      </w:pPr>
      <w:r>
        <w:rPr/>
        <w:t>Iteration</w:t>
      </w:r>
      <w:r>
        <w:rPr>
          <w:spacing w:val="-9"/>
        </w:rPr>
        <w:t> </w:t>
      </w:r>
      <w:r>
        <w:rPr>
          <w:spacing w:val="-2"/>
        </w:rPr>
        <w:t>example:</w:t>
      </w:r>
    </w:p>
    <w:p>
      <w:pPr>
        <w:pStyle w:val="BodyText"/>
        <w:spacing w:before="44"/>
      </w:pPr>
    </w:p>
    <w:p>
      <w:pPr>
        <w:spacing w:before="0"/>
        <w:ind w:left="3516" w:right="0" w:firstLine="0"/>
        <w:jc w:val="left"/>
        <w:rPr>
          <w:sz w:val="20"/>
        </w:rPr>
      </w:pPr>
      <w:bookmarkStart w:name="_bookmark206" w:id="344"/>
      <w:bookmarkEnd w:id="344"/>
      <w:r>
        <w:rPr/>
      </w:r>
      <w:r>
        <w:rPr>
          <w:b/>
          <w:sz w:val="20"/>
        </w:rPr>
        <w:t>Table</w:t>
      </w:r>
      <w:r>
        <w:rPr>
          <w:b/>
          <w:spacing w:val="-8"/>
          <w:sz w:val="20"/>
        </w:rPr>
        <w:t> </w:t>
      </w:r>
      <w:r>
        <w:rPr>
          <w:b/>
          <w:sz w:val="20"/>
        </w:rPr>
        <w:t>E.4:</w:t>
      </w:r>
      <w:r>
        <w:rPr>
          <w:b/>
          <w:spacing w:val="2"/>
          <w:sz w:val="20"/>
        </w:rPr>
        <w:t> </w:t>
      </w:r>
      <w:r>
        <w:rPr>
          <w:sz w:val="20"/>
        </w:rPr>
        <w:t>AI</w:t>
      </w:r>
      <w:r>
        <w:rPr>
          <w:spacing w:val="-8"/>
          <w:sz w:val="20"/>
        </w:rPr>
        <w:t> </w:t>
      </w:r>
      <w:r>
        <w:rPr>
          <w:sz w:val="20"/>
        </w:rPr>
        <w:t>use</w:t>
      </w:r>
      <w:r>
        <w:rPr>
          <w:spacing w:val="-8"/>
          <w:sz w:val="20"/>
        </w:rPr>
        <w:t> </w:t>
      </w:r>
      <w:r>
        <w:rPr>
          <w:sz w:val="20"/>
        </w:rPr>
        <w:t>summary</w:t>
      </w:r>
      <w:r>
        <w:rPr>
          <w:spacing w:val="-8"/>
          <w:sz w:val="20"/>
        </w:rPr>
        <w:t> </w:t>
      </w:r>
      <w:r>
        <w:rPr>
          <w:sz w:val="20"/>
        </w:rPr>
        <w:t>table</w:t>
      </w:r>
      <w:r>
        <w:rPr>
          <w:spacing w:val="-8"/>
          <w:sz w:val="20"/>
        </w:rPr>
        <w:t> </w:t>
      </w:r>
      <w:r>
        <w:rPr>
          <w:spacing w:val="-5"/>
          <w:sz w:val="20"/>
        </w:rPr>
        <w:t>4.</w:t>
      </w:r>
    </w:p>
    <w:p>
      <w:pPr>
        <w:pStyle w:val="BodyText"/>
        <w:spacing w:before="5"/>
        <w:rPr>
          <w:sz w:val="18"/>
        </w:rPr>
      </w:pPr>
      <w:r>
        <w:rPr>
          <w:sz w:val="18"/>
        </w:rPr>
        <mc:AlternateContent>
          <mc:Choice Requires="wps">
            <w:drawing>
              <wp:anchor distT="0" distB="0" distL="0" distR="0" allowOverlap="1" layoutInCell="1" locked="0" behindDoc="1" simplePos="0" relativeHeight="487649792">
                <wp:simplePos x="0" y="0"/>
                <wp:positionH relativeFrom="page">
                  <wp:posOffset>1260005</wp:posOffset>
                </wp:positionH>
                <wp:positionV relativeFrom="paragraph">
                  <wp:posOffset>150267</wp:posOffset>
                </wp:positionV>
                <wp:extent cx="5400040" cy="1270"/>
                <wp:effectExtent l="0" t="0" r="0" b="0"/>
                <wp:wrapTopAndBottom/>
                <wp:docPr id="318" name="Graphic 318"/>
                <wp:cNvGraphicFramePr>
                  <a:graphicFrameLocks/>
                </wp:cNvGraphicFramePr>
                <a:graphic>
                  <a:graphicData uri="http://schemas.microsoft.com/office/word/2010/wordprocessingShape">
                    <wps:wsp>
                      <wps:cNvPr id="318" name="Graphic 318"/>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1.832053pt;width:425.2pt;height:.1pt;mso-position-horizontal-relative:page;mso-position-vertical-relative:paragraph;z-index:-15666688;mso-wrap-distance-left:0;mso-wrap-distance-right:0" id="docshape280" coordorigin="1984,237" coordsize="8504,0" path="m1984,237l10488,237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7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70"/>
        <w:gridCol w:w="3082"/>
        <w:gridCol w:w="4953"/>
      </w:tblGrid>
      <w:tr>
        <w:trPr>
          <w:trHeight w:val="320" w:hRule="atLeast"/>
        </w:trPr>
        <w:tc>
          <w:tcPr>
            <w:tcW w:w="470" w:type="dxa"/>
            <w:tcBorders>
              <w:top w:val="nil"/>
              <w:left w:val="nil"/>
              <w:right w:val="single" w:sz="4" w:space="0" w:color="000000"/>
            </w:tcBorders>
          </w:tcPr>
          <w:p>
            <w:pPr>
              <w:pStyle w:val="TableParagraph"/>
              <w:spacing w:before="31"/>
              <w:ind w:left="119"/>
              <w:rPr>
                <w:sz w:val="18"/>
              </w:rPr>
            </w:pPr>
            <w:r>
              <w:rPr>
                <w:spacing w:val="-10"/>
                <w:sz w:val="18"/>
              </w:rPr>
              <w:t>#</w:t>
            </w:r>
          </w:p>
        </w:tc>
        <w:tc>
          <w:tcPr>
            <w:tcW w:w="3082" w:type="dxa"/>
            <w:tcBorders>
              <w:top w:val="nil"/>
              <w:left w:val="single" w:sz="4" w:space="0" w:color="000000"/>
              <w:right w:val="single" w:sz="4" w:space="0" w:color="000000"/>
            </w:tcBorders>
          </w:tcPr>
          <w:p>
            <w:pPr>
              <w:pStyle w:val="TableParagraph"/>
              <w:spacing w:before="31"/>
              <w:ind w:left="118"/>
              <w:rPr>
                <w:sz w:val="18"/>
              </w:rPr>
            </w:pPr>
            <w:r>
              <w:rPr>
                <w:spacing w:val="-2"/>
                <w:sz w:val="18"/>
              </w:rPr>
              <w:t>Prompt</w:t>
            </w:r>
          </w:p>
        </w:tc>
        <w:tc>
          <w:tcPr>
            <w:tcW w:w="4953" w:type="dxa"/>
            <w:tcBorders>
              <w:top w:val="nil"/>
              <w:left w:val="single" w:sz="4" w:space="0" w:color="000000"/>
              <w:right w:val="nil"/>
            </w:tcBorders>
          </w:tcPr>
          <w:p>
            <w:pPr>
              <w:pStyle w:val="TableParagraph"/>
              <w:spacing w:before="31"/>
              <w:ind w:left="118"/>
              <w:rPr>
                <w:sz w:val="18"/>
              </w:rPr>
            </w:pPr>
            <w:r>
              <w:rPr>
                <w:spacing w:val="-2"/>
                <w:sz w:val="18"/>
              </w:rPr>
              <w:t>Outcome</w:t>
            </w:r>
          </w:p>
        </w:tc>
      </w:tr>
    </w:tbl>
    <w:p>
      <w:pPr>
        <w:pStyle w:val="BodyText"/>
        <w:spacing w:before="10"/>
        <w:rPr>
          <w:sz w:val="4"/>
        </w:rPr>
      </w:pPr>
    </w:p>
    <w:tbl>
      <w:tblPr>
        <w:tblW w:w="0" w:type="auto"/>
        <w:jc w:val="left"/>
        <w:tblInd w:w="7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70"/>
        <w:gridCol w:w="3082"/>
        <w:gridCol w:w="4953"/>
      </w:tblGrid>
      <w:tr>
        <w:trPr>
          <w:trHeight w:val="1767" w:hRule="atLeast"/>
        </w:trPr>
        <w:tc>
          <w:tcPr>
            <w:tcW w:w="470" w:type="dxa"/>
            <w:tcBorders>
              <w:top w:val="nil"/>
              <w:left w:val="nil"/>
              <w:right w:val="single" w:sz="4" w:space="0" w:color="000000"/>
            </w:tcBorders>
          </w:tcPr>
          <w:p>
            <w:pPr>
              <w:pStyle w:val="TableParagraph"/>
              <w:spacing w:before="31"/>
              <w:ind w:left="119"/>
              <w:rPr>
                <w:sz w:val="18"/>
              </w:rPr>
            </w:pPr>
            <w:r>
              <w:rPr>
                <w:spacing w:val="-10"/>
                <w:sz w:val="18"/>
              </w:rPr>
              <w:t>1</w:t>
            </w:r>
          </w:p>
          <w:p>
            <w:pPr>
              <w:pStyle w:val="TableParagraph"/>
              <w:spacing w:before="0"/>
              <w:rPr>
                <w:sz w:val="18"/>
              </w:rPr>
            </w:pPr>
          </w:p>
          <w:p>
            <w:pPr>
              <w:pStyle w:val="TableParagraph"/>
              <w:spacing w:before="102"/>
              <w:rPr>
                <w:sz w:val="18"/>
              </w:rPr>
            </w:pPr>
          </w:p>
          <w:p>
            <w:pPr>
              <w:pStyle w:val="TableParagraph"/>
              <w:spacing w:before="0"/>
              <w:ind w:left="119"/>
              <w:rPr>
                <w:sz w:val="18"/>
              </w:rPr>
            </w:pPr>
            <w:r>
              <w:rPr>
                <w:spacing w:val="-10"/>
                <w:sz w:val="18"/>
              </w:rPr>
              <w:t>2</w:t>
            </w:r>
          </w:p>
          <w:p>
            <w:pPr>
              <w:pStyle w:val="TableParagraph"/>
              <w:spacing w:before="90"/>
              <w:rPr>
                <w:sz w:val="18"/>
              </w:rPr>
            </w:pPr>
          </w:p>
          <w:p>
            <w:pPr>
              <w:pStyle w:val="TableParagraph"/>
              <w:spacing w:before="1"/>
              <w:ind w:left="119"/>
              <w:rPr>
                <w:sz w:val="18"/>
              </w:rPr>
            </w:pPr>
            <w:r>
              <w:rPr>
                <w:spacing w:val="-10"/>
                <w:sz w:val="18"/>
              </w:rPr>
              <w:t>3</w:t>
            </w:r>
          </w:p>
        </w:tc>
        <w:tc>
          <w:tcPr>
            <w:tcW w:w="3082" w:type="dxa"/>
            <w:tcBorders>
              <w:top w:val="nil"/>
              <w:left w:val="single" w:sz="4" w:space="0" w:color="000000"/>
              <w:right w:val="single" w:sz="4" w:space="0" w:color="000000"/>
            </w:tcBorders>
          </w:tcPr>
          <w:p>
            <w:pPr>
              <w:pStyle w:val="TableParagraph"/>
              <w:spacing w:line="254" w:lineRule="auto" w:before="31"/>
              <w:ind w:left="118" w:right="87"/>
              <w:jc w:val="both"/>
              <w:rPr>
                <w:sz w:val="18"/>
              </w:rPr>
            </w:pPr>
            <w:r>
              <w:rPr>
                <w:sz w:val="18"/>
              </w:rPr>
              <w:t>“this</w:t>
            </w:r>
            <w:r>
              <w:rPr>
                <w:spacing w:val="-4"/>
                <w:sz w:val="18"/>
              </w:rPr>
              <w:t> </w:t>
            </w:r>
            <w:r>
              <w:rPr>
                <w:sz w:val="18"/>
              </w:rPr>
              <w:t>is</w:t>
            </w:r>
            <w:r>
              <w:rPr>
                <w:spacing w:val="-4"/>
                <w:sz w:val="18"/>
              </w:rPr>
              <w:t> </w:t>
            </w:r>
            <w:r>
              <w:rPr>
                <w:sz w:val="18"/>
              </w:rPr>
              <w:t>in</w:t>
            </w:r>
            <w:r>
              <w:rPr>
                <w:spacing w:val="-4"/>
                <w:sz w:val="18"/>
              </w:rPr>
              <w:t> </w:t>
            </w:r>
            <w:r>
              <w:rPr>
                <w:sz w:val="18"/>
              </w:rPr>
              <w:t>bold... apply</w:t>
            </w:r>
            <w:r>
              <w:rPr>
                <w:spacing w:val="-4"/>
                <w:sz w:val="18"/>
              </w:rPr>
              <w:t> </w:t>
            </w:r>
            <w:r>
              <w:rPr>
                <w:sz w:val="18"/>
              </w:rPr>
              <w:t>the</w:t>
            </w:r>
            <w:r>
              <w:rPr>
                <w:spacing w:val="-4"/>
                <w:sz w:val="18"/>
              </w:rPr>
              <w:t> </w:t>
            </w:r>
            <w:r>
              <w:rPr>
                <w:sz w:val="18"/>
              </w:rPr>
              <w:t>same</w:t>
            </w:r>
            <w:r>
              <w:rPr>
                <w:spacing w:val="-4"/>
                <w:sz w:val="18"/>
              </w:rPr>
              <w:t> </w:t>
            </w:r>
            <w:r>
              <w:rPr>
                <w:sz w:val="18"/>
              </w:rPr>
              <w:t>format as the others [Scenarios 3 and 4 </w:t>
            </w:r>
            <w:r>
              <w:rPr>
                <w:sz w:val="18"/>
              </w:rPr>
              <w:t>para-</w:t>
            </w:r>
            <w:r>
              <w:rPr>
                <w:spacing w:val="-2"/>
                <w:sz w:val="18"/>
              </w:rPr>
              <w:t>graph]”</w:t>
            </w:r>
          </w:p>
          <w:p>
            <w:pPr>
              <w:pStyle w:val="TableParagraph"/>
              <w:spacing w:before="65"/>
              <w:ind w:left="118"/>
              <w:jc w:val="both"/>
              <w:rPr>
                <w:sz w:val="18"/>
              </w:rPr>
            </w:pPr>
            <w:r>
              <w:rPr>
                <w:sz w:val="18"/>
              </w:rPr>
              <w:t>“Continue</w:t>
            </w:r>
            <w:r>
              <w:rPr>
                <w:spacing w:val="-6"/>
                <w:sz w:val="18"/>
              </w:rPr>
              <w:t> </w:t>
            </w:r>
            <w:r>
              <w:rPr>
                <w:sz w:val="18"/>
              </w:rPr>
              <w:t>from</w:t>
            </w:r>
            <w:r>
              <w:rPr>
                <w:spacing w:val="-5"/>
                <w:sz w:val="18"/>
              </w:rPr>
              <w:t> </w:t>
            </w:r>
            <w:r>
              <w:rPr>
                <w:sz w:val="18"/>
              </w:rPr>
              <w:t>where</w:t>
            </w:r>
            <w:r>
              <w:rPr>
                <w:spacing w:val="-5"/>
                <w:sz w:val="18"/>
              </w:rPr>
              <w:t> </w:t>
            </w:r>
            <w:r>
              <w:rPr>
                <w:sz w:val="18"/>
              </w:rPr>
              <w:t>you</w:t>
            </w:r>
            <w:r>
              <w:rPr>
                <w:spacing w:val="-5"/>
                <w:sz w:val="18"/>
              </w:rPr>
              <w:t> </w:t>
            </w:r>
            <w:r>
              <w:rPr>
                <w:sz w:val="18"/>
              </w:rPr>
              <w:t>left</w:t>
            </w:r>
            <w:r>
              <w:rPr>
                <w:spacing w:val="-5"/>
                <w:sz w:val="18"/>
              </w:rPr>
              <w:t> </w:t>
            </w:r>
            <w:r>
              <w:rPr>
                <w:spacing w:val="-4"/>
                <w:sz w:val="18"/>
              </w:rPr>
              <w:t>off”</w:t>
            </w:r>
          </w:p>
          <w:p>
            <w:pPr>
              <w:pStyle w:val="TableParagraph"/>
              <w:spacing w:before="105"/>
              <w:rPr>
                <w:sz w:val="18"/>
              </w:rPr>
            </w:pPr>
          </w:p>
          <w:p>
            <w:pPr>
              <w:pStyle w:val="TableParagraph"/>
              <w:spacing w:line="218" w:lineRule="auto" w:before="0"/>
              <w:ind w:left="118" w:right="118"/>
              <w:jc w:val="both"/>
              <w:rPr>
                <w:sz w:val="18"/>
              </w:rPr>
            </w:pPr>
            <w:r>
              <w:rPr>
                <w:sz w:val="18"/>
              </w:rPr>
              <w:t>“while executing it, this par is full </w:t>
            </w:r>
            <w:r>
              <w:rPr>
                <w:sz w:val="18"/>
              </w:rPr>
              <w:t>in bold [Why </w:t>
            </w:r>
            <w:r>
              <w:rPr>
                <w:i/>
                <w:sz w:val="18"/>
              </w:rPr>
              <w:t>η</w:t>
            </w:r>
            <w:r>
              <w:rPr>
                <w:position w:val="7"/>
                <w:sz w:val="14"/>
              </w:rPr>
              <w:t>2</w:t>
            </w:r>
            <w:r>
              <w:rPr>
                <w:spacing w:val="40"/>
                <w:position w:val="7"/>
                <w:sz w:val="14"/>
              </w:rPr>
              <w:t> </w:t>
            </w:r>
            <w:r>
              <w:rPr>
                <w:sz w:val="18"/>
              </w:rPr>
              <w:t>wins in RDD]”</w:t>
            </w:r>
          </w:p>
        </w:tc>
        <w:tc>
          <w:tcPr>
            <w:tcW w:w="4953" w:type="dxa"/>
            <w:tcBorders>
              <w:top w:val="nil"/>
              <w:left w:val="single" w:sz="4" w:space="0" w:color="000000"/>
              <w:right w:val="nil"/>
            </w:tcBorders>
          </w:tcPr>
          <w:p>
            <w:pPr>
              <w:pStyle w:val="TableParagraph"/>
              <w:spacing w:line="254" w:lineRule="auto" w:before="31"/>
              <w:ind w:left="118"/>
              <w:rPr>
                <w:sz w:val="18"/>
              </w:rPr>
            </w:pPr>
            <w:r>
              <w:rPr>
                <w:sz w:val="18"/>
              </w:rPr>
              <w:t>AI identified the paragraph and reconstructed two-run </w:t>
            </w:r>
            <w:r>
              <w:rPr>
                <w:sz w:val="18"/>
              </w:rPr>
              <w:t>structure: bold label up to colon, normal body text</w:t>
            </w:r>
          </w:p>
          <w:p>
            <w:pPr>
              <w:pStyle w:val="TableParagraph"/>
              <w:spacing w:before="77"/>
              <w:rPr>
                <w:sz w:val="18"/>
              </w:rPr>
            </w:pPr>
          </w:p>
          <w:p>
            <w:pPr>
              <w:pStyle w:val="TableParagraph"/>
              <w:spacing w:line="254" w:lineRule="auto" w:before="1"/>
              <w:ind w:left="118"/>
              <w:rPr>
                <w:sz w:val="18"/>
              </w:rPr>
            </w:pPr>
            <w:r>
              <w:rPr>
                <w:sz w:val="18"/>
              </w:rPr>
              <w:t>Same</w:t>
            </w:r>
            <w:r>
              <w:rPr>
                <w:spacing w:val="27"/>
                <w:sz w:val="18"/>
              </w:rPr>
              <w:t> </w:t>
            </w:r>
            <w:r>
              <w:rPr>
                <w:sz w:val="18"/>
              </w:rPr>
              <w:t>fix</w:t>
            </w:r>
            <w:r>
              <w:rPr>
                <w:spacing w:val="27"/>
                <w:sz w:val="18"/>
              </w:rPr>
              <w:t> </w:t>
            </w:r>
            <w:r>
              <w:rPr>
                <w:sz w:val="18"/>
              </w:rPr>
              <w:t>applied</w:t>
            </w:r>
            <w:r>
              <w:rPr>
                <w:spacing w:val="27"/>
                <w:sz w:val="18"/>
              </w:rPr>
              <w:t> </w:t>
            </w:r>
            <w:r>
              <w:rPr>
                <w:sz w:val="18"/>
              </w:rPr>
              <w:t>to</w:t>
            </w:r>
            <w:r>
              <w:rPr>
                <w:spacing w:val="27"/>
                <w:sz w:val="18"/>
              </w:rPr>
              <w:t> </w:t>
            </w:r>
            <w:r>
              <w:rPr>
                <w:sz w:val="18"/>
              </w:rPr>
              <w:t>“Scenarios</w:t>
            </w:r>
            <w:r>
              <w:rPr>
                <w:spacing w:val="27"/>
                <w:sz w:val="18"/>
              </w:rPr>
              <w:t> </w:t>
            </w:r>
            <w:r>
              <w:rPr>
                <w:sz w:val="18"/>
              </w:rPr>
              <w:t>17</w:t>
            </w:r>
            <w:r>
              <w:rPr>
                <w:spacing w:val="27"/>
                <w:sz w:val="18"/>
              </w:rPr>
              <w:t> </w:t>
            </w:r>
            <w:r>
              <w:rPr>
                <w:sz w:val="18"/>
              </w:rPr>
              <w:t>and</w:t>
            </w:r>
            <w:r>
              <w:rPr>
                <w:spacing w:val="27"/>
                <w:sz w:val="18"/>
              </w:rPr>
              <w:t> </w:t>
            </w:r>
            <w:r>
              <w:rPr>
                <w:sz w:val="18"/>
              </w:rPr>
              <w:t>18”</w:t>
            </w:r>
            <w:r>
              <w:rPr>
                <w:spacing w:val="27"/>
                <w:sz w:val="18"/>
              </w:rPr>
              <w:t> </w:t>
            </w:r>
            <w:r>
              <w:rPr>
                <w:sz w:val="18"/>
              </w:rPr>
              <w:t>and</w:t>
            </w:r>
            <w:r>
              <w:rPr>
                <w:spacing w:val="27"/>
                <w:sz w:val="18"/>
              </w:rPr>
              <w:t> </w:t>
            </w:r>
            <w:r>
              <w:rPr>
                <w:sz w:val="18"/>
              </w:rPr>
              <w:t>“The</w:t>
            </w:r>
            <w:r>
              <w:rPr>
                <w:spacing w:val="27"/>
                <w:sz w:val="18"/>
              </w:rPr>
              <w:t> </w:t>
            </w:r>
            <w:r>
              <w:rPr>
                <w:sz w:val="18"/>
              </w:rPr>
              <w:t>fallback pattern” paragraphs</w:t>
            </w:r>
          </w:p>
          <w:p>
            <w:pPr>
              <w:pStyle w:val="TableParagraph"/>
              <w:spacing w:before="65"/>
              <w:ind w:left="118"/>
              <w:rPr>
                <w:sz w:val="18"/>
              </w:rPr>
            </w:pPr>
            <w:r>
              <w:rPr>
                <w:sz w:val="18"/>
              </w:rPr>
              <w:t>Same</w:t>
            </w:r>
            <w:r>
              <w:rPr>
                <w:spacing w:val="-7"/>
                <w:sz w:val="18"/>
              </w:rPr>
              <w:t> </w:t>
            </w:r>
            <w:r>
              <w:rPr>
                <w:sz w:val="18"/>
              </w:rPr>
              <w:t>fix</w:t>
            </w:r>
            <w:r>
              <w:rPr>
                <w:spacing w:val="-6"/>
                <w:sz w:val="18"/>
              </w:rPr>
              <w:t> </w:t>
            </w:r>
            <w:r>
              <w:rPr>
                <w:sz w:val="18"/>
              </w:rPr>
              <w:t>applied</w:t>
            </w:r>
            <w:r>
              <w:rPr>
                <w:spacing w:val="-7"/>
                <w:sz w:val="18"/>
              </w:rPr>
              <w:t> </w:t>
            </w:r>
            <w:r>
              <w:rPr>
                <w:sz w:val="18"/>
              </w:rPr>
              <w:t>in</w:t>
            </w:r>
            <w:r>
              <w:rPr>
                <w:spacing w:val="-6"/>
                <w:sz w:val="18"/>
              </w:rPr>
              <w:t> </w:t>
            </w:r>
            <w:r>
              <w:rPr>
                <w:sz w:val="18"/>
              </w:rPr>
              <w:t>Chapter</w:t>
            </w:r>
            <w:r>
              <w:rPr>
                <w:spacing w:val="-6"/>
                <w:sz w:val="18"/>
              </w:rPr>
              <w:t> </w:t>
            </w:r>
            <w:hyperlink w:history="true" w:anchor="_bookmark96">
              <w:r>
                <w:rPr>
                  <w:color w:val="8B2C18"/>
                  <w:sz w:val="18"/>
                </w:rPr>
                <w:t>5</w:t>
              </w:r>
            </w:hyperlink>
            <w:r>
              <w:rPr>
                <w:color w:val="8B2C18"/>
                <w:spacing w:val="-7"/>
                <w:sz w:val="18"/>
              </w:rPr>
              <w:t> </w:t>
            </w:r>
            <w:r>
              <w:rPr>
                <w:sz w:val="18"/>
              </w:rPr>
              <w:t>expand</w:t>
            </w:r>
            <w:r>
              <w:rPr>
                <w:spacing w:val="-6"/>
                <w:sz w:val="18"/>
              </w:rPr>
              <w:t> </w:t>
            </w:r>
            <w:r>
              <w:rPr>
                <w:spacing w:val="-4"/>
                <w:sz w:val="18"/>
              </w:rPr>
              <w:t>file</w:t>
            </w:r>
          </w:p>
        </w:tc>
      </w:tr>
    </w:tbl>
    <w:p>
      <w:pPr>
        <w:pStyle w:val="TableParagraph"/>
        <w:spacing w:after="0"/>
        <w:rPr>
          <w:sz w:val="18"/>
        </w:rPr>
        <w:sectPr>
          <w:headerReference w:type="default" r:id="rId135"/>
          <w:pgSz w:w="11910" w:h="16840"/>
          <w:pgMar w:header="0" w:footer="0" w:top="1060" w:bottom="280" w:left="1275" w:right="1275"/>
        </w:sectPr>
      </w:pPr>
    </w:p>
    <w:p>
      <w:pPr>
        <w:pStyle w:val="BodyText"/>
        <w:spacing w:before="153"/>
        <w:rPr>
          <w:sz w:val="28"/>
        </w:rPr>
      </w:pPr>
    </w:p>
    <w:p>
      <w:pPr>
        <w:pStyle w:val="Heading2"/>
        <w:numPr>
          <w:ilvl w:val="1"/>
          <w:numId w:val="56"/>
        </w:numPr>
        <w:tabs>
          <w:tab w:pos="835" w:val="left" w:leader="none"/>
        </w:tabs>
        <w:spacing w:line="240" w:lineRule="auto" w:before="1" w:after="0"/>
        <w:ind w:left="835" w:right="0" w:hanging="693"/>
        <w:jc w:val="left"/>
      </w:pPr>
      <w:bookmarkStart w:name="E.4 Code Generation" w:id="345"/>
      <w:bookmarkEnd w:id="345"/>
      <w:r>
        <w:rPr>
          <w:b w:val="0"/>
        </w:rPr>
      </w:r>
      <w:bookmarkStart w:name="_bookmark207" w:id="346"/>
      <w:bookmarkEnd w:id="346"/>
      <w:r>
        <w:rPr>
          <w:b w:val="0"/>
        </w:rPr>
      </w:r>
      <w:r>
        <w:rPr/>
        <w:t>Code</w:t>
      </w:r>
      <w:r>
        <w:rPr>
          <w:spacing w:val="13"/>
        </w:rPr>
        <w:t> </w:t>
      </w:r>
      <w:r>
        <w:rPr>
          <w:spacing w:val="-2"/>
        </w:rPr>
        <w:t>Generation</w:t>
      </w:r>
    </w:p>
    <w:p>
      <w:pPr>
        <w:pStyle w:val="BodyText"/>
        <w:spacing w:line="312" w:lineRule="auto" w:before="288"/>
        <w:ind w:left="142" w:right="699" w:hanging="8"/>
        <w:jc w:val="both"/>
      </w:pPr>
      <w:r>
        <w:rPr>
          <w:spacing w:val="-2"/>
        </w:rPr>
        <w:t>AI</w:t>
      </w:r>
      <w:r>
        <w:rPr>
          <w:spacing w:val="-10"/>
        </w:rPr>
        <w:t> </w:t>
      </w:r>
      <w:r>
        <w:rPr>
          <w:spacing w:val="-2"/>
        </w:rPr>
        <w:t>was</w:t>
      </w:r>
      <w:r>
        <w:rPr>
          <w:spacing w:val="-10"/>
        </w:rPr>
        <w:t> </w:t>
      </w:r>
      <w:r>
        <w:rPr>
          <w:spacing w:val="-2"/>
        </w:rPr>
        <w:t>used</w:t>
      </w:r>
      <w:r>
        <w:rPr>
          <w:spacing w:val="-10"/>
        </w:rPr>
        <w:t> </w:t>
      </w:r>
      <w:r>
        <w:rPr>
          <w:spacing w:val="-2"/>
        </w:rPr>
        <w:t>to</w:t>
      </w:r>
      <w:r>
        <w:rPr>
          <w:spacing w:val="-10"/>
        </w:rPr>
        <w:t> </w:t>
      </w:r>
      <w:r>
        <w:rPr>
          <w:spacing w:val="-2"/>
        </w:rPr>
        <w:t>generate</w:t>
      </w:r>
      <w:r>
        <w:rPr>
          <w:spacing w:val="-10"/>
        </w:rPr>
        <w:t> </w:t>
      </w:r>
      <w:r>
        <w:rPr>
          <w:spacing w:val="-2"/>
        </w:rPr>
        <w:t>two</w:t>
      </w:r>
      <w:r>
        <w:rPr>
          <w:spacing w:val="-10"/>
        </w:rPr>
        <w:t> </w:t>
      </w:r>
      <w:r>
        <w:rPr>
          <w:spacing w:val="-2"/>
        </w:rPr>
        <w:t>types</w:t>
      </w:r>
      <w:r>
        <w:rPr>
          <w:spacing w:val="-10"/>
        </w:rPr>
        <w:t> </w:t>
      </w:r>
      <w:r>
        <w:rPr>
          <w:spacing w:val="-2"/>
        </w:rPr>
        <w:t>of</w:t>
      </w:r>
      <w:r>
        <w:rPr>
          <w:spacing w:val="-10"/>
        </w:rPr>
        <w:t> </w:t>
      </w:r>
      <w:r>
        <w:rPr>
          <w:spacing w:val="-2"/>
        </w:rPr>
        <w:t>code:</w:t>
      </w:r>
      <w:r>
        <w:rPr>
          <w:spacing w:val="4"/>
        </w:rPr>
        <w:t> </w:t>
      </w:r>
      <w:r>
        <w:rPr>
          <w:spacing w:val="-2"/>
        </w:rPr>
        <w:t>modifications</w:t>
      </w:r>
      <w:r>
        <w:rPr>
          <w:spacing w:val="-10"/>
        </w:rPr>
        <w:t> </w:t>
      </w:r>
      <w:r>
        <w:rPr>
          <w:spacing w:val="-2"/>
        </w:rPr>
        <w:t>to</w:t>
      </w:r>
      <w:r>
        <w:rPr>
          <w:spacing w:val="-10"/>
        </w:rPr>
        <w:t> </w:t>
      </w:r>
      <w:r>
        <w:rPr>
          <w:spacing w:val="-2"/>
        </w:rPr>
        <w:t>an</w:t>
      </w:r>
      <w:r>
        <w:rPr>
          <w:spacing w:val="-10"/>
        </w:rPr>
        <w:t> </w:t>
      </w:r>
      <w:r>
        <w:rPr>
          <w:spacing w:val="-2"/>
        </w:rPr>
        <w:t>existing</w:t>
      </w:r>
      <w:r>
        <w:rPr>
          <w:spacing w:val="-10"/>
        </w:rPr>
        <w:t> </w:t>
      </w:r>
      <w:r>
        <w:rPr>
          <w:spacing w:val="-2"/>
        </w:rPr>
        <w:t>R</w:t>
      </w:r>
      <w:r>
        <w:rPr>
          <w:spacing w:val="-10"/>
        </w:rPr>
        <w:t> </w:t>
      </w:r>
      <w:r>
        <w:rPr>
          <w:spacing w:val="-2"/>
        </w:rPr>
        <w:t>pipeline</w:t>
      </w:r>
      <w:r>
        <w:rPr>
          <w:spacing w:val="-10"/>
        </w:rPr>
        <w:t> </w:t>
      </w:r>
      <w:r>
        <w:rPr>
          <w:spacing w:val="-2"/>
        </w:rPr>
        <w:t>script,</w:t>
      </w:r>
      <w:r>
        <w:rPr>
          <w:spacing w:val="-9"/>
        </w:rPr>
        <w:t> </w:t>
      </w:r>
      <w:r>
        <w:rPr>
          <w:spacing w:val="-2"/>
        </w:rPr>
        <w:t>and</w:t>
      </w:r>
      <w:r>
        <w:rPr>
          <w:spacing w:val="-10"/>
        </w:rPr>
        <w:t> </w:t>
      </w:r>
      <w:r>
        <w:rPr>
          <w:spacing w:val="-2"/>
        </w:rPr>
        <w:t>a</w:t>
      </w:r>
      <w:r>
        <w:rPr>
          <w:spacing w:val="-10"/>
        </w:rPr>
        <w:t> </w:t>
      </w:r>
      <w:r>
        <w:rPr>
          <w:spacing w:val="-2"/>
        </w:rPr>
        <w:t>new </w:t>
      </w:r>
      <w:r>
        <w:rPr/>
        <w:t>R</w:t>
      </w:r>
      <w:r>
        <w:rPr>
          <w:spacing w:val="-3"/>
        </w:rPr>
        <w:t> </w:t>
      </w:r>
      <w:r>
        <w:rPr/>
        <w:t>analysis</w:t>
      </w:r>
      <w:r>
        <w:rPr>
          <w:spacing w:val="-3"/>
        </w:rPr>
        <w:t> </w:t>
      </w:r>
      <w:r>
        <w:rPr/>
        <w:t>script. All</w:t>
      </w:r>
      <w:r>
        <w:rPr>
          <w:spacing w:val="-3"/>
        </w:rPr>
        <w:t> </w:t>
      </w:r>
      <w:r>
        <w:rPr/>
        <w:t>code</w:t>
      </w:r>
      <w:r>
        <w:rPr>
          <w:spacing w:val="-3"/>
        </w:rPr>
        <w:t> </w:t>
      </w:r>
      <w:r>
        <w:rPr/>
        <w:t>was</w:t>
      </w:r>
      <w:r>
        <w:rPr>
          <w:spacing w:val="-3"/>
        </w:rPr>
        <w:t> </w:t>
      </w:r>
      <w:r>
        <w:rPr/>
        <w:t>reviewed</w:t>
      </w:r>
      <w:r>
        <w:rPr>
          <w:spacing w:val="-3"/>
        </w:rPr>
        <w:t> </w:t>
      </w:r>
      <w:r>
        <w:rPr/>
        <w:t>and</w:t>
      </w:r>
      <w:r>
        <w:rPr>
          <w:spacing w:val="-3"/>
        </w:rPr>
        <w:t> </w:t>
      </w:r>
      <w:r>
        <w:rPr/>
        <w:t>tested</w:t>
      </w:r>
      <w:r>
        <w:rPr>
          <w:spacing w:val="-3"/>
        </w:rPr>
        <w:t> </w:t>
      </w:r>
      <w:r>
        <w:rPr/>
        <w:t>by</w:t>
      </w:r>
      <w:r>
        <w:rPr>
          <w:spacing w:val="-3"/>
        </w:rPr>
        <w:t> </w:t>
      </w:r>
      <w:r>
        <w:rPr/>
        <w:t>the</w:t>
      </w:r>
      <w:r>
        <w:rPr>
          <w:spacing w:val="-3"/>
        </w:rPr>
        <w:t> </w:t>
      </w:r>
      <w:r>
        <w:rPr/>
        <w:t>student. The</w:t>
      </w:r>
      <w:r>
        <w:rPr>
          <w:spacing w:val="-3"/>
        </w:rPr>
        <w:t> </w:t>
      </w:r>
      <w:r>
        <w:rPr/>
        <w:t>student</w:t>
      </w:r>
      <w:r>
        <w:rPr>
          <w:spacing w:val="-3"/>
        </w:rPr>
        <w:t> </w:t>
      </w:r>
      <w:r>
        <w:rPr/>
        <w:t>is</w:t>
      </w:r>
      <w:r>
        <w:rPr>
          <w:spacing w:val="-3"/>
        </w:rPr>
        <w:t> </w:t>
      </w:r>
      <w:r>
        <w:rPr/>
        <w:t>able</w:t>
      </w:r>
      <w:r>
        <w:rPr>
          <w:spacing w:val="-3"/>
        </w:rPr>
        <w:t> </w:t>
      </w:r>
      <w:r>
        <w:rPr/>
        <w:t>to</w:t>
      </w:r>
      <w:r>
        <w:rPr>
          <w:spacing w:val="-3"/>
        </w:rPr>
        <w:t> </w:t>
      </w:r>
      <w:r>
        <w:rPr/>
        <w:t>explain the logic of all generated code.</w:t>
      </w:r>
    </w:p>
    <w:p>
      <w:pPr>
        <w:spacing w:before="143"/>
        <w:ind w:left="2949" w:right="0" w:firstLine="0"/>
        <w:jc w:val="left"/>
        <w:rPr>
          <w:sz w:val="20"/>
        </w:rPr>
      </w:pPr>
      <w:bookmarkStart w:name="_bookmark208" w:id="347"/>
      <w:bookmarkEnd w:id="347"/>
      <w:r>
        <w:rPr/>
      </w:r>
      <w:r>
        <w:rPr>
          <w:b/>
          <w:sz w:val="20"/>
        </w:rPr>
        <w:t>Table</w:t>
      </w:r>
      <w:r>
        <w:rPr>
          <w:b/>
          <w:spacing w:val="-8"/>
          <w:sz w:val="20"/>
        </w:rPr>
        <w:t> </w:t>
      </w:r>
      <w:r>
        <w:rPr>
          <w:b/>
          <w:sz w:val="20"/>
        </w:rPr>
        <w:t>E.5:</w:t>
      </w:r>
      <w:r>
        <w:rPr>
          <w:b/>
          <w:spacing w:val="2"/>
          <w:sz w:val="20"/>
        </w:rPr>
        <w:t> </w:t>
      </w:r>
      <w:r>
        <w:rPr>
          <w:sz w:val="20"/>
        </w:rPr>
        <w:t>AI</w:t>
      </w:r>
      <w:r>
        <w:rPr>
          <w:spacing w:val="-8"/>
          <w:sz w:val="20"/>
        </w:rPr>
        <w:t> </w:t>
      </w:r>
      <w:r>
        <w:rPr>
          <w:sz w:val="20"/>
        </w:rPr>
        <w:t>use</w:t>
      </w:r>
      <w:r>
        <w:rPr>
          <w:spacing w:val="-8"/>
          <w:sz w:val="20"/>
        </w:rPr>
        <w:t> </w:t>
      </w:r>
      <w:r>
        <w:rPr>
          <w:sz w:val="20"/>
        </w:rPr>
        <w:t>summary</w:t>
      </w:r>
      <w:r>
        <w:rPr>
          <w:spacing w:val="-8"/>
          <w:sz w:val="20"/>
        </w:rPr>
        <w:t> </w:t>
      </w:r>
      <w:r>
        <w:rPr>
          <w:sz w:val="20"/>
        </w:rPr>
        <w:t>table</w:t>
      </w:r>
      <w:r>
        <w:rPr>
          <w:spacing w:val="-8"/>
          <w:sz w:val="20"/>
        </w:rPr>
        <w:t> </w:t>
      </w:r>
      <w:r>
        <w:rPr>
          <w:spacing w:val="-5"/>
          <w:sz w:val="20"/>
        </w:rPr>
        <w:t>5.</w:t>
      </w:r>
    </w:p>
    <w:p>
      <w:pPr>
        <w:pStyle w:val="BodyText"/>
        <w:spacing w:before="6"/>
        <w:rPr>
          <w:sz w:val="18"/>
        </w:rPr>
      </w:pPr>
      <w:r>
        <w:rPr>
          <w:sz w:val="18"/>
        </w:rPr>
        <mc:AlternateContent>
          <mc:Choice Requires="wps">
            <w:drawing>
              <wp:anchor distT="0" distB="0" distL="0" distR="0" allowOverlap="1" layoutInCell="1" locked="0" behindDoc="1" simplePos="0" relativeHeight="487650304">
                <wp:simplePos x="0" y="0"/>
                <wp:positionH relativeFrom="page">
                  <wp:posOffset>899998</wp:posOffset>
                </wp:positionH>
                <wp:positionV relativeFrom="paragraph">
                  <wp:posOffset>150538</wp:posOffset>
                </wp:positionV>
                <wp:extent cx="5400040" cy="1270"/>
                <wp:effectExtent l="0" t="0" r="0" b="0"/>
                <wp:wrapTopAndBottom/>
                <wp:docPr id="321" name="Graphic 321"/>
                <wp:cNvGraphicFramePr>
                  <a:graphicFrameLocks/>
                </wp:cNvGraphicFramePr>
                <a:graphic>
                  <a:graphicData uri="http://schemas.microsoft.com/office/word/2010/wordprocessingShape">
                    <wps:wsp>
                      <wps:cNvPr id="321" name="Graphic 321"/>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1.853443pt;width:425.2pt;height:.1pt;mso-position-horizontal-relative:page;mso-position-vertical-relative:paragraph;z-index:-15666176;mso-wrap-distance-left:0;mso-wrap-distance-right:0" id="docshape283" coordorigin="1417,237" coordsize="8504,0" path="m1417,237l9921,237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1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794"/>
        <w:gridCol w:w="1381"/>
        <w:gridCol w:w="4329"/>
      </w:tblGrid>
      <w:tr>
        <w:trPr>
          <w:trHeight w:val="320" w:hRule="atLeast"/>
        </w:trPr>
        <w:tc>
          <w:tcPr>
            <w:tcW w:w="2794" w:type="dxa"/>
            <w:tcBorders>
              <w:top w:val="nil"/>
              <w:left w:val="nil"/>
              <w:right w:val="single" w:sz="4" w:space="0" w:color="000000"/>
            </w:tcBorders>
          </w:tcPr>
          <w:p>
            <w:pPr>
              <w:pStyle w:val="TableParagraph"/>
              <w:spacing w:before="31"/>
              <w:ind w:left="119"/>
              <w:rPr>
                <w:sz w:val="18"/>
              </w:rPr>
            </w:pPr>
            <w:r>
              <w:rPr>
                <w:spacing w:val="-4"/>
                <w:sz w:val="18"/>
              </w:rPr>
              <w:t>File</w:t>
            </w:r>
          </w:p>
        </w:tc>
        <w:tc>
          <w:tcPr>
            <w:tcW w:w="1381" w:type="dxa"/>
            <w:tcBorders>
              <w:top w:val="nil"/>
              <w:left w:val="single" w:sz="4" w:space="0" w:color="000000"/>
              <w:right w:val="single" w:sz="4" w:space="0" w:color="000000"/>
            </w:tcBorders>
          </w:tcPr>
          <w:p>
            <w:pPr>
              <w:pStyle w:val="TableParagraph"/>
              <w:spacing w:before="31"/>
              <w:ind w:left="118"/>
              <w:rPr>
                <w:sz w:val="18"/>
              </w:rPr>
            </w:pPr>
            <w:r>
              <w:rPr>
                <w:spacing w:val="-4"/>
                <w:sz w:val="18"/>
              </w:rPr>
              <w:t>Type</w:t>
            </w:r>
          </w:p>
        </w:tc>
        <w:tc>
          <w:tcPr>
            <w:tcW w:w="4329" w:type="dxa"/>
            <w:tcBorders>
              <w:top w:val="nil"/>
              <w:left w:val="single" w:sz="4" w:space="0" w:color="000000"/>
              <w:right w:val="nil"/>
            </w:tcBorders>
          </w:tcPr>
          <w:p>
            <w:pPr>
              <w:pStyle w:val="TableParagraph"/>
              <w:spacing w:before="31"/>
              <w:ind w:left="118"/>
              <w:rPr>
                <w:sz w:val="18"/>
              </w:rPr>
            </w:pPr>
            <w:r>
              <w:rPr>
                <w:spacing w:val="-2"/>
                <w:sz w:val="18"/>
              </w:rPr>
              <w:t>Description</w:t>
            </w:r>
          </w:p>
        </w:tc>
      </w:tr>
    </w:tbl>
    <w:p>
      <w:pPr>
        <w:pStyle w:val="BodyText"/>
        <w:spacing w:before="10"/>
        <w:rPr>
          <w:sz w:val="4"/>
        </w:rPr>
      </w:pPr>
    </w:p>
    <w:tbl>
      <w:tblPr>
        <w:tblW w:w="0" w:type="auto"/>
        <w:jc w:val="left"/>
        <w:tblInd w:w="1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94"/>
        <w:gridCol w:w="1381"/>
        <w:gridCol w:w="4329"/>
      </w:tblGrid>
      <w:tr>
        <w:trPr>
          <w:trHeight w:val="2425" w:hRule="atLeast"/>
        </w:trPr>
        <w:tc>
          <w:tcPr>
            <w:tcW w:w="2794" w:type="dxa"/>
            <w:tcBorders>
              <w:top w:val="nil"/>
              <w:left w:val="nil"/>
              <w:right w:val="single" w:sz="4" w:space="0" w:color="000000"/>
            </w:tcBorders>
          </w:tcPr>
          <w:p>
            <w:pPr>
              <w:pStyle w:val="TableParagraph"/>
              <w:spacing w:line="254" w:lineRule="auto" w:before="31"/>
              <w:ind w:left="115" w:right="167" w:firstLine="4"/>
              <w:rPr>
                <w:sz w:val="18"/>
              </w:rPr>
            </w:pPr>
            <w:r>
              <w:rPr>
                <w:spacing w:val="-2"/>
                <w:sz w:val="18"/>
              </w:rPr>
              <w:t>src/rscripts/6_scenario_ validation.R</w:t>
            </w:r>
          </w:p>
          <w:p>
            <w:pPr>
              <w:pStyle w:val="TableParagraph"/>
              <w:spacing w:before="77"/>
              <w:rPr>
                <w:sz w:val="18"/>
              </w:rPr>
            </w:pPr>
          </w:p>
          <w:p>
            <w:pPr>
              <w:pStyle w:val="TableParagraph"/>
              <w:spacing w:line="254" w:lineRule="auto" w:before="1"/>
              <w:ind w:left="119"/>
              <w:rPr>
                <w:sz w:val="18"/>
              </w:rPr>
            </w:pPr>
            <w:r>
              <w:rPr>
                <w:spacing w:val="-2"/>
                <w:sz w:val="18"/>
              </w:rPr>
              <w:t>src/rscripts/10_rule_overlap_ analysis.R</w:t>
            </w:r>
          </w:p>
          <w:p>
            <w:pPr>
              <w:pStyle w:val="TableParagraph"/>
              <w:spacing w:before="77"/>
              <w:rPr>
                <w:sz w:val="18"/>
              </w:rPr>
            </w:pPr>
          </w:p>
          <w:p>
            <w:pPr>
              <w:pStyle w:val="TableParagraph"/>
              <w:spacing w:before="0"/>
              <w:ind w:left="119"/>
              <w:rPr>
                <w:sz w:val="18"/>
              </w:rPr>
            </w:pPr>
            <w:r>
              <w:rPr>
                <w:spacing w:val="-2"/>
                <w:sz w:val="18"/>
              </w:rPr>
              <w:t>Verification</w:t>
            </w:r>
            <w:r>
              <w:rPr>
                <w:spacing w:val="-3"/>
                <w:sz w:val="18"/>
              </w:rPr>
              <w:t> </w:t>
            </w:r>
            <w:r>
              <w:rPr>
                <w:spacing w:val="-2"/>
                <w:sz w:val="18"/>
              </w:rPr>
              <w:t>scripts (Python)</w:t>
            </w:r>
          </w:p>
        </w:tc>
        <w:tc>
          <w:tcPr>
            <w:tcW w:w="1381" w:type="dxa"/>
            <w:tcBorders>
              <w:top w:val="nil"/>
              <w:left w:val="single" w:sz="4" w:space="0" w:color="000000"/>
              <w:right w:val="single" w:sz="4" w:space="0" w:color="000000"/>
            </w:tcBorders>
          </w:tcPr>
          <w:p>
            <w:pPr>
              <w:pStyle w:val="TableParagraph"/>
              <w:spacing w:before="31"/>
              <w:ind w:left="118"/>
              <w:rPr>
                <w:sz w:val="18"/>
              </w:rPr>
            </w:pPr>
            <w:r>
              <w:rPr>
                <w:spacing w:val="-2"/>
                <w:sz w:val="18"/>
              </w:rPr>
              <w:t>Modification</w:t>
            </w:r>
          </w:p>
          <w:p>
            <w:pPr>
              <w:pStyle w:val="TableParagraph"/>
              <w:spacing w:before="0"/>
              <w:rPr>
                <w:sz w:val="18"/>
              </w:rPr>
            </w:pPr>
          </w:p>
          <w:p>
            <w:pPr>
              <w:pStyle w:val="TableParagraph"/>
              <w:spacing w:before="102"/>
              <w:rPr>
                <w:sz w:val="18"/>
              </w:rPr>
            </w:pPr>
          </w:p>
          <w:p>
            <w:pPr>
              <w:pStyle w:val="TableParagraph"/>
              <w:spacing w:before="0"/>
              <w:ind w:left="118"/>
              <w:rPr>
                <w:sz w:val="18"/>
              </w:rPr>
            </w:pPr>
            <w:r>
              <w:rPr>
                <w:sz w:val="18"/>
              </w:rPr>
              <w:t>New</w:t>
            </w:r>
            <w:r>
              <w:rPr>
                <w:spacing w:val="-10"/>
                <w:sz w:val="18"/>
              </w:rPr>
              <w:t> </w:t>
            </w:r>
            <w:r>
              <w:rPr>
                <w:spacing w:val="-2"/>
                <w:sz w:val="18"/>
              </w:rPr>
              <w:t>script</w:t>
            </w:r>
          </w:p>
          <w:p>
            <w:pPr>
              <w:pStyle w:val="TableParagraph"/>
              <w:spacing w:before="0"/>
              <w:rPr>
                <w:sz w:val="18"/>
              </w:rPr>
            </w:pPr>
          </w:p>
          <w:p>
            <w:pPr>
              <w:pStyle w:val="TableParagraph"/>
              <w:spacing w:before="103"/>
              <w:rPr>
                <w:sz w:val="18"/>
              </w:rPr>
            </w:pPr>
          </w:p>
          <w:p>
            <w:pPr>
              <w:pStyle w:val="TableParagraph"/>
              <w:spacing w:before="0"/>
              <w:ind w:left="118"/>
              <w:rPr>
                <w:sz w:val="18"/>
              </w:rPr>
            </w:pPr>
            <w:r>
              <w:rPr>
                <w:sz w:val="18"/>
              </w:rPr>
              <w:t>New</w:t>
            </w:r>
            <w:r>
              <w:rPr>
                <w:spacing w:val="-10"/>
                <w:sz w:val="18"/>
              </w:rPr>
              <w:t> </w:t>
            </w:r>
            <w:r>
              <w:rPr>
                <w:spacing w:val="-2"/>
                <w:sz w:val="18"/>
              </w:rPr>
              <w:t>scripts</w:t>
            </w:r>
          </w:p>
        </w:tc>
        <w:tc>
          <w:tcPr>
            <w:tcW w:w="4329" w:type="dxa"/>
            <w:tcBorders>
              <w:top w:val="nil"/>
              <w:left w:val="single" w:sz="4" w:space="0" w:color="000000"/>
              <w:right w:val="nil"/>
            </w:tcBorders>
          </w:tcPr>
          <w:p>
            <w:pPr>
              <w:pStyle w:val="TableParagraph"/>
              <w:spacing w:line="254" w:lineRule="auto" w:before="31"/>
              <w:ind w:left="118" w:right="117"/>
              <w:jc w:val="both"/>
              <w:rPr>
                <w:sz w:val="18"/>
              </w:rPr>
            </w:pPr>
            <w:r>
              <w:rPr>
                <w:spacing w:val="-2"/>
                <w:sz w:val="18"/>
              </w:rPr>
              <w:t>Added</w:t>
            </w:r>
            <w:r>
              <w:rPr>
                <w:spacing w:val="-10"/>
                <w:sz w:val="18"/>
              </w:rPr>
              <w:t> </w:t>
            </w:r>
            <w:r>
              <w:rPr>
                <w:spacing w:val="-2"/>
                <w:sz w:val="18"/>
              </w:rPr>
              <w:t>CLI</w:t>
            </w:r>
            <w:r>
              <w:rPr>
                <w:spacing w:val="-9"/>
                <w:sz w:val="18"/>
              </w:rPr>
              <w:t> </w:t>
            </w:r>
            <w:r>
              <w:rPr>
                <w:spacing w:val="-2"/>
                <w:sz w:val="18"/>
              </w:rPr>
              <w:t>argument</w:t>
            </w:r>
            <w:r>
              <w:rPr>
                <w:spacing w:val="-9"/>
                <w:sz w:val="18"/>
              </w:rPr>
              <w:t> </w:t>
            </w:r>
            <w:r>
              <w:rPr>
                <w:spacing w:val="-2"/>
                <w:sz w:val="18"/>
              </w:rPr>
              <w:t>parsing</w:t>
            </w:r>
            <w:r>
              <w:rPr>
                <w:spacing w:val="-9"/>
                <w:sz w:val="18"/>
              </w:rPr>
              <w:t> </w:t>
            </w:r>
            <w:r>
              <w:rPr>
                <w:spacing w:val="-2"/>
                <w:sz w:val="18"/>
              </w:rPr>
              <w:t>(RDD/RVV</w:t>
            </w:r>
            <w:r>
              <w:rPr>
                <w:spacing w:val="-10"/>
                <w:sz w:val="18"/>
              </w:rPr>
              <w:t> </w:t>
            </w:r>
            <w:r>
              <w:rPr>
                <w:spacing w:val="-2"/>
                <w:sz w:val="18"/>
              </w:rPr>
              <w:t>region</w:t>
            </w:r>
            <w:r>
              <w:rPr>
                <w:spacing w:val="-9"/>
                <w:sz w:val="18"/>
              </w:rPr>
              <w:t> </w:t>
            </w:r>
            <w:r>
              <w:rPr>
                <w:spacing w:val="-2"/>
                <w:sz w:val="18"/>
              </w:rPr>
              <w:t>flag)</w:t>
            </w:r>
            <w:r>
              <w:rPr>
                <w:spacing w:val="-9"/>
                <w:sz w:val="18"/>
              </w:rPr>
              <w:t> </w:t>
            </w:r>
            <w:r>
              <w:rPr>
                <w:spacing w:val="-2"/>
                <w:sz w:val="18"/>
              </w:rPr>
              <w:t>and </w:t>
            </w:r>
            <w:r>
              <w:rPr>
                <w:sz w:val="18"/>
              </w:rPr>
              <w:t>modified</w:t>
            </w:r>
            <w:r>
              <w:rPr>
                <w:spacing w:val="-12"/>
                <w:sz w:val="18"/>
              </w:rPr>
              <w:t> </w:t>
            </w:r>
            <w:r>
              <w:rPr>
                <w:sz w:val="18"/>
              </w:rPr>
              <w:t>learning</w:t>
            </w:r>
            <w:r>
              <w:rPr>
                <w:spacing w:val="-11"/>
                <w:sz w:val="18"/>
              </w:rPr>
              <w:t> </w:t>
            </w:r>
            <w:r>
              <w:rPr>
                <w:sz w:val="18"/>
              </w:rPr>
              <w:t>curve</w:t>
            </w:r>
            <w:r>
              <w:rPr>
                <w:spacing w:val="-11"/>
                <w:sz w:val="18"/>
              </w:rPr>
              <w:t> </w:t>
            </w:r>
            <w:r>
              <w:rPr>
                <w:sz w:val="18"/>
              </w:rPr>
              <w:t>plot</w:t>
            </w:r>
            <w:r>
              <w:rPr>
                <w:spacing w:val="-11"/>
                <w:sz w:val="18"/>
              </w:rPr>
              <w:t> </w:t>
            </w:r>
            <w:r>
              <w:rPr>
                <w:sz w:val="18"/>
              </w:rPr>
              <w:t>section</w:t>
            </w:r>
            <w:r>
              <w:rPr>
                <w:spacing w:val="-12"/>
                <w:sz w:val="18"/>
              </w:rPr>
              <w:t> </w:t>
            </w:r>
            <w:r>
              <w:rPr>
                <w:sz w:val="18"/>
              </w:rPr>
              <w:t>to</w:t>
            </w:r>
            <w:r>
              <w:rPr>
                <w:spacing w:val="-11"/>
                <w:sz w:val="18"/>
              </w:rPr>
              <w:t> </w:t>
            </w:r>
            <w:r>
              <w:rPr>
                <w:sz w:val="18"/>
              </w:rPr>
              <w:t>apply</w:t>
            </w:r>
            <w:r>
              <w:rPr>
                <w:spacing w:val="-11"/>
                <w:sz w:val="18"/>
              </w:rPr>
              <w:t> </w:t>
            </w:r>
            <w:r>
              <w:rPr>
                <w:sz w:val="18"/>
              </w:rPr>
              <w:t>thicker</w:t>
            </w:r>
            <w:r>
              <w:rPr>
                <w:spacing w:val="-11"/>
                <w:sz w:val="18"/>
              </w:rPr>
              <w:t> </w:t>
            </w:r>
            <w:r>
              <w:rPr>
                <w:sz w:val="18"/>
              </w:rPr>
              <w:t>lines to Naive_Median and best CarenR variant</w:t>
            </w:r>
          </w:p>
          <w:p>
            <w:pPr>
              <w:pStyle w:val="TableParagraph"/>
              <w:spacing w:line="254" w:lineRule="auto" w:before="65"/>
              <w:ind w:left="118" w:right="114"/>
              <w:jc w:val="both"/>
              <w:rPr>
                <w:sz w:val="18"/>
              </w:rPr>
            </w:pPr>
            <w:r>
              <w:rPr>
                <w:spacing w:val="-2"/>
                <w:sz w:val="18"/>
              </w:rPr>
              <w:t>New</w:t>
            </w:r>
            <w:r>
              <w:rPr>
                <w:spacing w:val="-3"/>
                <w:sz w:val="18"/>
              </w:rPr>
              <w:t> </w:t>
            </w:r>
            <w:r>
              <w:rPr>
                <w:spacing w:val="-2"/>
                <w:sz w:val="18"/>
              </w:rPr>
              <w:t>R</w:t>
            </w:r>
            <w:r>
              <w:rPr>
                <w:spacing w:val="-3"/>
                <w:sz w:val="18"/>
              </w:rPr>
              <w:t> </w:t>
            </w:r>
            <w:r>
              <w:rPr>
                <w:spacing w:val="-2"/>
                <w:sz w:val="18"/>
              </w:rPr>
              <w:t>script</w:t>
            </w:r>
            <w:r>
              <w:rPr>
                <w:spacing w:val="-3"/>
                <w:sz w:val="18"/>
              </w:rPr>
              <w:t> </w:t>
            </w:r>
            <w:r>
              <w:rPr>
                <w:spacing w:val="-2"/>
                <w:sz w:val="18"/>
              </w:rPr>
              <w:t>computing</w:t>
            </w:r>
            <w:r>
              <w:rPr>
                <w:spacing w:val="-3"/>
                <w:sz w:val="18"/>
              </w:rPr>
              <w:t> </w:t>
            </w:r>
            <w:r>
              <w:rPr>
                <w:spacing w:val="-2"/>
                <w:sz w:val="18"/>
              </w:rPr>
              <w:t>pairwise</w:t>
            </w:r>
            <w:r>
              <w:rPr>
                <w:spacing w:val="-3"/>
                <w:sz w:val="18"/>
              </w:rPr>
              <w:t> </w:t>
            </w:r>
            <w:r>
              <w:rPr>
                <w:spacing w:val="-2"/>
                <w:sz w:val="18"/>
              </w:rPr>
              <w:t>feature</w:t>
            </w:r>
            <w:r>
              <w:rPr>
                <w:spacing w:val="-3"/>
                <w:sz w:val="18"/>
              </w:rPr>
              <w:t> </w:t>
            </w:r>
            <w:r>
              <w:rPr>
                <w:spacing w:val="-2"/>
                <w:sz w:val="18"/>
              </w:rPr>
              <w:t>overlap,</w:t>
            </w:r>
            <w:r>
              <w:rPr>
                <w:spacing w:val="-3"/>
                <w:sz w:val="18"/>
              </w:rPr>
              <w:t> </w:t>
            </w:r>
            <w:r>
              <w:rPr>
                <w:spacing w:val="-2"/>
                <w:sz w:val="18"/>
              </w:rPr>
              <w:t>distinct </w:t>
            </w:r>
            <w:r>
              <w:rPr>
                <w:sz w:val="18"/>
              </w:rPr>
              <w:t>feature combinations, and condition-subset statistics </w:t>
            </w:r>
            <w:r>
              <w:rPr>
                <w:sz w:val="18"/>
              </w:rPr>
              <w:t>for both regions</w:t>
            </w:r>
          </w:p>
          <w:p>
            <w:pPr>
              <w:pStyle w:val="TableParagraph"/>
              <w:spacing w:line="254" w:lineRule="auto" w:before="65"/>
              <w:ind w:left="118" w:right="87"/>
              <w:jc w:val="both"/>
              <w:rPr>
                <w:sz w:val="18"/>
              </w:rPr>
            </w:pPr>
            <w:r>
              <w:rPr>
                <w:sz w:val="18"/>
              </w:rPr>
              <w:t>Python</w:t>
            </w:r>
            <w:r>
              <w:rPr>
                <w:spacing w:val="-7"/>
                <w:sz w:val="18"/>
              </w:rPr>
              <w:t> </w:t>
            </w:r>
            <w:r>
              <w:rPr>
                <w:sz w:val="18"/>
              </w:rPr>
              <w:t>scripts</w:t>
            </w:r>
            <w:r>
              <w:rPr>
                <w:spacing w:val="-7"/>
                <w:sz w:val="18"/>
              </w:rPr>
              <w:t> </w:t>
            </w:r>
            <w:r>
              <w:rPr>
                <w:sz w:val="18"/>
              </w:rPr>
              <w:t>to</w:t>
            </w:r>
            <w:r>
              <w:rPr>
                <w:spacing w:val="-7"/>
                <w:sz w:val="18"/>
              </w:rPr>
              <w:t> </w:t>
            </w:r>
            <w:r>
              <w:rPr>
                <w:sz w:val="18"/>
              </w:rPr>
              <w:t>cross-verify</w:t>
            </w:r>
            <w:r>
              <w:rPr>
                <w:spacing w:val="-7"/>
                <w:sz w:val="18"/>
              </w:rPr>
              <w:t> </w:t>
            </w:r>
            <w:r>
              <w:rPr>
                <w:sz w:val="18"/>
              </w:rPr>
              <w:t>all</w:t>
            </w:r>
            <w:r>
              <w:rPr>
                <w:spacing w:val="-7"/>
                <w:sz w:val="18"/>
              </w:rPr>
              <w:t> </w:t>
            </w:r>
            <w:r>
              <w:rPr>
                <w:sz w:val="18"/>
              </w:rPr>
              <w:t>numerical</w:t>
            </w:r>
            <w:r>
              <w:rPr>
                <w:spacing w:val="-7"/>
                <w:sz w:val="18"/>
              </w:rPr>
              <w:t> </w:t>
            </w:r>
            <w:r>
              <w:rPr>
                <w:sz w:val="18"/>
              </w:rPr>
              <w:t>claims</w:t>
            </w:r>
            <w:r>
              <w:rPr>
                <w:spacing w:val="-7"/>
                <w:sz w:val="18"/>
              </w:rPr>
              <w:t> </w:t>
            </w:r>
            <w:r>
              <w:rPr>
                <w:sz w:val="18"/>
              </w:rPr>
              <w:t>in</w:t>
            </w:r>
            <w:r>
              <w:rPr>
                <w:spacing w:val="-7"/>
                <w:sz w:val="18"/>
              </w:rPr>
              <w:t> </w:t>
            </w:r>
            <w:r>
              <w:rPr>
                <w:sz w:val="18"/>
              </w:rPr>
              <w:t>the-sis chapters against data CSVs (scenario_metrics, rules_ interpreted). Used</w:t>
            </w:r>
            <w:r>
              <w:rPr>
                <w:spacing w:val="-6"/>
                <w:sz w:val="18"/>
              </w:rPr>
              <w:t> </w:t>
            </w:r>
            <w:r>
              <w:rPr>
                <w:sz w:val="18"/>
              </w:rPr>
              <w:t>to</w:t>
            </w:r>
            <w:r>
              <w:rPr>
                <w:spacing w:val="-6"/>
                <w:sz w:val="18"/>
              </w:rPr>
              <w:t> </w:t>
            </w:r>
            <w:r>
              <w:rPr>
                <w:sz w:val="18"/>
              </w:rPr>
              <w:t>detect</w:t>
            </w:r>
            <w:r>
              <w:rPr>
                <w:spacing w:val="-6"/>
                <w:sz w:val="18"/>
              </w:rPr>
              <w:t> </w:t>
            </w:r>
            <w:r>
              <w:rPr>
                <w:sz w:val="18"/>
              </w:rPr>
              <w:t>and</w:t>
            </w:r>
            <w:r>
              <w:rPr>
                <w:spacing w:val="-6"/>
                <w:sz w:val="18"/>
              </w:rPr>
              <w:t> </w:t>
            </w:r>
            <w:r>
              <w:rPr>
                <w:sz w:val="18"/>
              </w:rPr>
              <w:t>correct</w:t>
            </w:r>
            <w:r>
              <w:rPr>
                <w:spacing w:val="-6"/>
                <w:sz w:val="18"/>
              </w:rPr>
              <w:t> </w:t>
            </w:r>
            <w:r>
              <w:rPr>
                <w:sz w:val="18"/>
              </w:rPr>
              <w:t>errors;</w:t>
            </w:r>
            <w:r>
              <w:rPr>
                <w:spacing w:val="-6"/>
                <w:sz w:val="18"/>
              </w:rPr>
              <w:t> </w:t>
            </w:r>
            <w:r>
              <w:rPr>
                <w:sz w:val="18"/>
              </w:rPr>
              <w:t>not</w:t>
            </w:r>
            <w:r>
              <w:rPr>
                <w:spacing w:val="-6"/>
                <w:sz w:val="18"/>
              </w:rPr>
              <w:t> </w:t>
            </w:r>
            <w:r>
              <w:rPr>
                <w:sz w:val="18"/>
              </w:rPr>
              <w:t>part</w:t>
            </w:r>
            <w:r>
              <w:rPr>
                <w:spacing w:val="-6"/>
                <w:sz w:val="18"/>
              </w:rPr>
              <w:t> </w:t>
            </w:r>
            <w:r>
              <w:rPr>
                <w:sz w:val="18"/>
              </w:rPr>
              <w:t>of submitted codebase.</w:t>
            </w:r>
          </w:p>
        </w:tc>
      </w:tr>
    </w:tbl>
    <w:p>
      <w:pPr>
        <w:pStyle w:val="BodyText"/>
        <w:spacing w:before="93"/>
        <w:rPr>
          <w:sz w:val="20"/>
        </w:rPr>
      </w:pPr>
    </w:p>
    <w:p>
      <w:pPr>
        <w:pStyle w:val="BodyText"/>
        <w:ind w:left="481"/>
        <w:jc w:val="both"/>
      </w:pPr>
      <w:r>
        <w:rPr/>
        <w:t>Representative</w:t>
      </w:r>
      <w:r>
        <w:rPr>
          <w:spacing w:val="-13"/>
        </w:rPr>
        <w:t> </w:t>
      </w:r>
      <w:r>
        <w:rPr/>
        <w:t>prompts</w:t>
      </w:r>
      <w:r>
        <w:rPr>
          <w:spacing w:val="-10"/>
        </w:rPr>
        <w:t> </w:t>
      </w:r>
      <w:r>
        <w:rPr/>
        <w:t>for</w:t>
      </w:r>
      <w:r>
        <w:rPr>
          <w:spacing w:val="-10"/>
        </w:rPr>
        <w:t> </w:t>
      </w:r>
      <w:r>
        <w:rPr/>
        <w:t>code</w:t>
      </w:r>
      <w:r>
        <w:rPr>
          <w:spacing w:val="-10"/>
        </w:rPr>
        <w:t> </w:t>
      </w:r>
      <w:r>
        <w:rPr>
          <w:spacing w:val="-2"/>
        </w:rPr>
        <w:t>generation:</w:t>
      </w:r>
    </w:p>
    <w:p>
      <w:pPr>
        <w:pStyle w:val="ListParagraph"/>
        <w:numPr>
          <w:ilvl w:val="0"/>
          <w:numId w:val="58"/>
        </w:numPr>
        <w:tabs>
          <w:tab w:pos="610" w:val="left" w:leader="none"/>
        </w:tabs>
        <w:spacing w:line="312" w:lineRule="auto" w:before="76" w:after="0"/>
        <w:ind w:left="142" w:right="707" w:firstLine="338"/>
        <w:jc w:val="both"/>
        <w:rPr>
          <w:sz w:val="22"/>
        </w:rPr>
      </w:pPr>
      <w:r>
        <w:rPr>
          <w:sz w:val="22"/>
        </w:rPr>
        <w:t>“I</w:t>
      </w:r>
      <w:r>
        <w:rPr>
          <w:spacing w:val="-5"/>
          <w:sz w:val="22"/>
        </w:rPr>
        <w:t> </w:t>
      </w:r>
      <w:r>
        <w:rPr>
          <w:sz w:val="22"/>
        </w:rPr>
        <w:t>have</w:t>
      </w:r>
      <w:r>
        <w:rPr>
          <w:spacing w:val="-5"/>
          <w:sz w:val="22"/>
        </w:rPr>
        <w:t> </w:t>
      </w:r>
      <w:r>
        <w:rPr>
          <w:sz w:val="22"/>
        </w:rPr>
        <w:t>an</w:t>
      </w:r>
      <w:r>
        <w:rPr>
          <w:spacing w:val="-5"/>
          <w:sz w:val="22"/>
        </w:rPr>
        <w:t> </w:t>
      </w:r>
      <w:r>
        <w:rPr>
          <w:sz w:val="22"/>
        </w:rPr>
        <w:t>idea</w:t>
      </w:r>
      <w:r>
        <w:rPr>
          <w:spacing w:val="-5"/>
          <w:sz w:val="22"/>
        </w:rPr>
        <w:t> </w:t>
      </w:r>
      <w:r>
        <w:rPr>
          <w:sz w:val="22"/>
        </w:rPr>
        <w:t>/</w:t>
      </w:r>
      <w:r>
        <w:rPr>
          <w:spacing w:val="-5"/>
          <w:sz w:val="22"/>
        </w:rPr>
        <w:t> </w:t>
      </w:r>
      <w:r>
        <w:rPr>
          <w:sz w:val="22"/>
        </w:rPr>
        <w:t>Give</w:t>
      </w:r>
      <w:r>
        <w:rPr>
          <w:spacing w:val="-5"/>
          <w:sz w:val="22"/>
        </w:rPr>
        <w:t> </w:t>
      </w:r>
      <w:r>
        <w:rPr>
          <w:sz w:val="22"/>
        </w:rPr>
        <w:t>some</w:t>
      </w:r>
      <w:r>
        <w:rPr>
          <w:spacing w:val="-5"/>
          <w:sz w:val="22"/>
        </w:rPr>
        <w:t> </w:t>
      </w:r>
      <w:r>
        <w:rPr>
          <w:sz w:val="22"/>
        </w:rPr>
        <w:t>extra</w:t>
      </w:r>
      <w:r>
        <w:rPr>
          <w:spacing w:val="-5"/>
          <w:sz w:val="22"/>
        </w:rPr>
        <w:t> </w:t>
      </w:r>
      <w:r>
        <w:rPr>
          <w:sz w:val="22"/>
        </w:rPr>
        <w:t>thickness</w:t>
      </w:r>
      <w:r>
        <w:rPr>
          <w:spacing w:val="-5"/>
          <w:sz w:val="22"/>
        </w:rPr>
        <w:t> </w:t>
      </w:r>
      <w:r>
        <w:rPr>
          <w:sz w:val="22"/>
        </w:rPr>
        <w:t>to</w:t>
      </w:r>
      <w:r>
        <w:rPr>
          <w:spacing w:val="-5"/>
          <w:sz w:val="22"/>
        </w:rPr>
        <w:t> </w:t>
      </w:r>
      <w:r>
        <w:rPr>
          <w:sz w:val="22"/>
        </w:rPr>
        <w:t>the</w:t>
      </w:r>
      <w:r>
        <w:rPr>
          <w:spacing w:val="-5"/>
          <w:sz w:val="22"/>
        </w:rPr>
        <w:t> </w:t>
      </w:r>
      <w:r>
        <w:rPr>
          <w:sz w:val="22"/>
        </w:rPr>
        <w:t>naive</w:t>
      </w:r>
      <w:r>
        <w:rPr>
          <w:spacing w:val="-5"/>
          <w:sz w:val="22"/>
        </w:rPr>
        <w:t> </w:t>
      </w:r>
      <w:r>
        <w:rPr>
          <w:sz w:val="22"/>
        </w:rPr>
        <w:t>baseline</w:t>
      </w:r>
      <w:r>
        <w:rPr>
          <w:spacing w:val="-5"/>
          <w:sz w:val="22"/>
        </w:rPr>
        <w:t> </w:t>
      </w:r>
      <w:r>
        <w:rPr>
          <w:sz w:val="22"/>
        </w:rPr>
        <w:t>and</w:t>
      </w:r>
      <w:r>
        <w:rPr>
          <w:spacing w:val="-5"/>
          <w:sz w:val="22"/>
        </w:rPr>
        <w:t> </w:t>
      </w:r>
      <w:r>
        <w:rPr>
          <w:sz w:val="22"/>
        </w:rPr>
        <w:t>the</w:t>
      </w:r>
      <w:r>
        <w:rPr>
          <w:spacing w:val="-5"/>
          <w:sz w:val="22"/>
        </w:rPr>
        <w:t> </w:t>
      </w:r>
      <w:r>
        <w:rPr>
          <w:sz w:val="22"/>
        </w:rPr>
        <w:t>best</w:t>
      </w:r>
      <w:r>
        <w:rPr>
          <w:spacing w:val="-5"/>
          <w:sz w:val="22"/>
        </w:rPr>
        <w:t> </w:t>
      </w:r>
      <w:r>
        <w:rPr>
          <w:sz w:val="22"/>
        </w:rPr>
        <w:t>caren</w:t>
      </w:r>
      <w:r>
        <w:rPr>
          <w:spacing w:val="-5"/>
          <w:sz w:val="22"/>
        </w:rPr>
        <w:t> </w:t>
      </w:r>
      <w:r>
        <w:rPr>
          <w:sz w:val="22"/>
        </w:rPr>
        <w:t>for</w:t>
      </w:r>
      <w:r>
        <w:rPr>
          <w:spacing w:val="-5"/>
          <w:sz w:val="22"/>
        </w:rPr>
        <w:t> </w:t>
      </w:r>
      <w:r>
        <w:rPr>
          <w:sz w:val="22"/>
        </w:rPr>
        <w:t>each plot” — resulted in linewidth aesthetic mapping in ggplot2</w:t>
      </w:r>
    </w:p>
    <w:p>
      <w:pPr>
        <w:pStyle w:val="ListParagraph"/>
        <w:numPr>
          <w:ilvl w:val="0"/>
          <w:numId w:val="58"/>
        </w:numPr>
        <w:tabs>
          <w:tab w:pos="613" w:val="left" w:leader="none"/>
        </w:tabs>
        <w:spacing w:line="312" w:lineRule="auto" w:before="0" w:after="0"/>
        <w:ind w:left="142" w:right="707" w:firstLine="338"/>
        <w:jc w:val="both"/>
        <w:rPr>
          <w:sz w:val="22"/>
        </w:rPr>
      </w:pPr>
      <w:r>
        <w:rPr>
          <w:sz w:val="22"/>
        </w:rPr>
        <w:t>“go through the full pages on every chapter and see if we have all the scripts available and once we have them execute it and check if the numbers match” — resulted in comprehensive Python verification script</w:t>
      </w:r>
    </w:p>
    <w:p>
      <w:pPr>
        <w:pStyle w:val="BodyText"/>
        <w:spacing w:before="140"/>
      </w:pPr>
    </w:p>
    <w:p>
      <w:pPr>
        <w:pStyle w:val="Heading2"/>
        <w:numPr>
          <w:ilvl w:val="1"/>
          <w:numId w:val="56"/>
        </w:numPr>
        <w:tabs>
          <w:tab w:pos="835" w:val="left" w:leader="none"/>
        </w:tabs>
        <w:spacing w:line="240" w:lineRule="auto" w:before="0" w:after="0"/>
        <w:ind w:left="835" w:right="0" w:hanging="693"/>
        <w:jc w:val="left"/>
      </w:pPr>
      <w:bookmarkStart w:name="E.5 Numerical Verification Process" w:id="348"/>
      <w:bookmarkEnd w:id="348"/>
      <w:r>
        <w:rPr>
          <w:b w:val="0"/>
        </w:rPr>
      </w:r>
      <w:bookmarkStart w:name="_bookmark209" w:id="349"/>
      <w:bookmarkEnd w:id="349"/>
      <w:r>
        <w:rPr>
          <w:b w:val="0"/>
        </w:rPr>
      </w:r>
      <w:r>
        <w:rPr/>
        <w:t>Numerical</w:t>
      </w:r>
      <w:r>
        <w:rPr>
          <w:spacing w:val="7"/>
        </w:rPr>
        <w:t> </w:t>
      </w:r>
      <w:r>
        <w:rPr/>
        <w:t>Verification</w:t>
      </w:r>
      <w:r>
        <w:rPr>
          <w:spacing w:val="8"/>
        </w:rPr>
        <w:t> </w:t>
      </w:r>
      <w:r>
        <w:rPr>
          <w:spacing w:val="-2"/>
        </w:rPr>
        <w:t>Process</w:t>
      </w:r>
    </w:p>
    <w:p>
      <w:pPr>
        <w:pStyle w:val="BodyText"/>
        <w:spacing w:line="312" w:lineRule="auto" w:before="289"/>
        <w:ind w:left="142" w:right="679" w:hanging="8"/>
        <w:jc w:val="both"/>
      </w:pPr>
      <w:r>
        <w:rPr>
          <w:spacing w:val="-2"/>
        </w:rPr>
        <w:t>A</w:t>
      </w:r>
      <w:r>
        <w:rPr>
          <w:spacing w:val="-8"/>
        </w:rPr>
        <w:t> </w:t>
      </w:r>
      <w:r>
        <w:rPr>
          <w:spacing w:val="-2"/>
        </w:rPr>
        <w:t>complete</w:t>
      </w:r>
      <w:r>
        <w:rPr>
          <w:spacing w:val="-8"/>
        </w:rPr>
        <w:t> </w:t>
      </w:r>
      <w:r>
        <w:rPr>
          <w:spacing w:val="-2"/>
        </w:rPr>
        <w:t>numerical</w:t>
      </w:r>
      <w:r>
        <w:rPr>
          <w:spacing w:val="-8"/>
        </w:rPr>
        <w:t> </w:t>
      </w:r>
      <w:r>
        <w:rPr>
          <w:spacing w:val="-2"/>
        </w:rPr>
        <w:t>verification</w:t>
      </w:r>
      <w:r>
        <w:rPr>
          <w:spacing w:val="-8"/>
        </w:rPr>
        <w:t> </w:t>
      </w:r>
      <w:r>
        <w:rPr>
          <w:spacing w:val="-2"/>
        </w:rPr>
        <w:t>pass</w:t>
      </w:r>
      <w:r>
        <w:rPr>
          <w:spacing w:val="-8"/>
        </w:rPr>
        <w:t> </w:t>
      </w:r>
      <w:r>
        <w:rPr>
          <w:spacing w:val="-2"/>
        </w:rPr>
        <w:t>was</w:t>
      </w:r>
      <w:r>
        <w:rPr>
          <w:spacing w:val="-8"/>
        </w:rPr>
        <w:t> </w:t>
      </w:r>
      <w:r>
        <w:rPr>
          <w:spacing w:val="-2"/>
        </w:rPr>
        <w:t>conducted</w:t>
      </w:r>
      <w:r>
        <w:rPr>
          <w:spacing w:val="-8"/>
        </w:rPr>
        <w:t> </w:t>
      </w:r>
      <w:r>
        <w:rPr>
          <w:spacing w:val="-2"/>
        </w:rPr>
        <w:t>across</w:t>
      </w:r>
      <w:r>
        <w:rPr>
          <w:spacing w:val="-8"/>
        </w:rPr>
        <w:t> </w:t>
      </w:r>
      <w:r>
        <w:rPr>
          <w:spacing w:val="-2"/>
        </w:rPr>
        <w:t>all</w:t>
      </w:r>
      <w:r>
        <w:rPr>
          <w:spacing w:val="-8"/>
        </w:rPr>
        <w:t> </w:t>
      </w:r>
      <w:r>
        <w:rPr>
          <w:spacing w:val="-2"/>
        </w:rPr>
        <w:t>chapter</w:t>
      </w:r>
      <w:r>
        <w:rPr>
          <w:spacing w:val="-8"/>
        </w:rPr>
        <w:t> </w:t>
      </w:r>
      <w:r>
        <w:rPr>
          <w:spacing w:val="-2"/>
        </w:rPr>
        <w:t>files. AI</w:t>
      </w:r>
      <w:r>
        <w:rPr>
          <w:spacing w:val="-8"/>
        </w:rPr>
        <w:t> </w:t>
      </w:r>
      <w:r>
        <w:rPr>
          <w:spacing w:val="-2"/>
        </w:rPr>
        <w:t>generated</w:t>
      </w:r>
      <w:r>
        <w:rPr>
          <w:spacing w:val="-8"/>
        </w:rPr>
        <w:t> </w:t>
      </w:r>
      <w:r>
        <w:rPr>
          <w:spacing w:val="-2"/>
        </w:rPr>
        <w:t>Python </w:t>
      </w:r>
      <w:r>
        <w:rPr/>
        <w:t>scripts that loaded the data CSVs, recomputed all key statistics (weighted MAE, Wilcoxon tests, </w:t>
      </w:r>
      <w:r>
        <w:rPr>
          <w:spacing w:val="-2"/>
        </w:rPr>
        <w:t>overlap</w:t>
      </w:r>
      <w:r>
        <w:rPr>
          <w:spacing w:val="-4"/>
        </w:rPr>
        <w:t> </w:t>
      </w:r>
      <w:r>
        <w:rPr>
          <w:spacing w:val="-2"/>
        </w:rPr>
        <w:t>statistics,</w:t>
      </w:r>
      <w:r>
        <w:rPr>
          <w:spacing w:val="-4"/>
        </w:rPr>
        <w:t> </w:t>
      </w:r>
      <w:r>
        <w:rPr>
          <w:spacing w:val="-2"/>
        </w:rPr>
        <w:t>rule</w:t>
      </w:r>
      <w:r>
        <w:rPr>
          <w:spacing w:val="-4"/>
        </w:rPr>
        <w:t> </w:t>
      </w:r>
      <w:r>
        <w:rPr>
          <w:spacing w:val="-2"/>
        </w:rPr>
        <w:t>counts,</w:t>
      </w:r>
      <w:r>
        <w:rPr>
          <w:spacing w:val="-4"/>
        </w:rPr>
        <w:t> </w:t>
      </w:r>
      <w:r>
        <w:rPr>
          <w:spacing w:val="-2"/>
        </w:rPr>
        <w:t>direction</w:t>
      </w:r>
      <w:r>
        <w:rPr>
          <w:spacing w:val="-4"/>
        </w:rPr>
        <w:t> </w:t>
      </w:r>
      <w:r>
        <w:rPr>
          <w:spacing w:val="-2"/>
        </w:rPr>
        <w:t>counts,</w:t>
      </w:r>
      <w:r>
        <w:rPr>
          <w:spacing w:val="-4"/>
        </w:rPr>
        <w:t> </w:t>
      </w:r>
      <w:r>
        <w:rPr>
          <w:spacing w:val="-2"/>
        </w:rPr>
        <w:t>support</w:t>
      </w:r>
      <w:r>
        <w:rPr>
          <w:spacing w:val="-4"/>
        </w:rPr>
        <w:t> </w:t>
      </w:r>
      <w:r>
        <w:rPr>
          <w:spacing w:val="-2"/>
        </w:rPr>
        <w:t>thresholds),</w:t>
      </w:r>
      <w:r>
        <w:rPr>
          <w:spacing w:val="-4"/>
        </w:rPr>
        <w:t> </w:t>
      </w:r>
      <w:r>
        <w:rPr>
          <w:spacing w:val="-2"/>
        </w:rPr>
        <w:t>and</w:t>
      </w:r>
      <w:r>
        <w:rPr>
          <w:spacing w:val="-4"/>
        </w:rPr>
        <w:t> </w:t>
      </w:r>
      <w:r>
        <w:rPr>
          <w:spacing w:val="-2"/>
        </w:rPr>
        <w:t>compared</w:t>
      </w:r>
      <w:r>
        <w:rPr>
          <w:spacing w:val="-4"/>
        </w:rPr>
        <w:t> </w:t>
      </w:r>
      <w:r>
        <w:rPr>
          <w:spacing w:val="-2"/>
        </w:rPr>
        <w:t>them</w:t>
      </w:r>
      <w:r>
        <w:rPr>
          <w:spacing w:val="-4"/>
        </w:rPr>
        <w:t> </w:t>
      </w:r>
      <w:r>
        <w:rPr>
          <w:spacing w:val="-2"/>
        </w:rPr>
        <w:t>against</w:t>
      </w:r>
      <w:r>
        <w:rPr>
          <w:spacing w:val="-4"/>
        </w:rPr>
        <w:t> </w:t>
      </w:r>
      <w:r>
        <w:rPr>
          <w:spacing w:val="-2"/>
        </w:rPr>
        <w:t>the </w:t>
      </w:r>
      <w:r>
        <w:rPr/>
        <w:t>thesis text. The following errors were identified and corrected:</w:t>
      </w:r>
    </w:p>
    <w:p>
      <w:pPr>
        <w:pStyle w:val="BodyText"/>
        <w:spacing w:after="0" w:line="312" w:lineRule="auto"/>
        <w:jc w:val="both"/>
        <w:sectPr>
          <w:headerReference w:type="even" r:id="rId136"/>
          <w:pgSz w:w="11910" w:h="16840"/>
          <w:pgMar w:header="1160" w:footer="0" w:top="1420" w:bottom="280" w:left="1275" w:right="1275"/>
          <w:pgNumType w:start="114"/>
        </w:sectPr>
      </w:pPr>
    </w:p>
    <w:p>
      <w:pPr>
        <w:tabs>
          <w:tab w:pos="8885" w:val="left" w:leader="none"/>
        </w:tabs>
        <w:spacing w:before="74"/>
        <w:ind w:left="702" w:right="0" w:firstLine="0"/>
        <w:jc w:val="left"/>
        <w:rPr>
          <w:sz w:val="22"/>
        </w:rPr>
      </w:pPr>
      <w:r>
        <w:rPr>
          <w:rFonts w:ascii="Cambria"/>
          <w:i/>
          <w:sz w:val="22"/>
        </w:rPr>
        <w:t>E.6</w:t>
      </w:r>
      <w:r>
        <w:rPr>
          <w:rFonts w:ascii="Cambria"/>
          <w:i/>
          <w:spacing w:val="-9"/>
          <w:sz w:val="22"/>
        </w:rPr>
        <w:t> </w:t>
      </w:r>
      <w:r>
        <w:rPr>
          <w:rFonts w:ascii="Cambria"/>
          <w:i/>
          <w:sz w:val="22"/>
        </w:rPr>
        <w:t>Student</w:t>
      </w:r>
      <w:r>
        <w:rPr>
          <w:rFonts w:ascii="Cambria"/>
          <w:i/>
          <w:spacing w:val="-9"/>
          <w:sz w:val="22"/>
        </w:rPr>
        <w:t> </w:t>
      </w:r>
      <w:r>
        <w:rPr>
          <w:rFonts w:ascii="Cambria"/>
          <w:i/>
          <w:sz w:val="22"/>
        </w:rPr>
        <w:t>Responsibility</w:t>
      </w:r>
      <w:r>
        <w:rPr>
          <w:rFonts w:ascii="Cambria"/>
          <w:i/>
          <w:spacing w:val="-8"/>
          <w:sz w:val="22"/>
        </w:rPr>
        <w:t> </w:t>
      </w:r>
      <w:r>
        <w:rPr>
          <w:rFonts w:ascii="Cambria"/>
          <w:i/>
          <w:spacing w:val="-2"/>
          <w:sz w:val="22"/>
        </w:rPr>
        <w:t>Declaration</w:t>
      </w:r>
      <w:r>
        <w:rPr>
          <w:sz w:val="22"/>
        </w:rPr>
        <w:tab/>
      </w:r>
      <w:r>
        <w:rPr>
          <w:spacing w:val="-5"/>
          <w:sz w:val="22"/>
        </w:rPr>
        <w:t>115</w:t>
      </w:r>
    </w:p>
    <w:p>
      <w:pPr>
        <w:pStyle w:val="BodyText"/>
      </w:pPr>
    </w:p>
    <w:p>
      <w:pPr>
        <w:pStyle w:val="BodyText"/>
        <w:spacing w:before="5"/>
      </w:pPr>
    </w:p>
    <w:p>
      <w:pPr>
        <w:spacing w:before="1"/>
        <w:ind w:left="3516" w:right="0" w:firstLine="0"/>
        <w:jc w:val="left"/>
        <w:rPr>
          <w:sz w:val="20"/>
        </w:rPr>
      </w:pPr>
      <w:bookmarkStart w:name="_bookmark210" w:id="350"/>
      <w:bookmarkEnd w:id="350"/>
      <w:r>
        <w:rPr/>
      </w:r>
      <w:r>
        <w:rPr>
          <w:b/>
          <w:sz w:val="20"/>
        </w:rPr>
        <w:t>Table</w:t>
      </w:r>
      <w:r>
        <w:rPr>
          <w:b/>
          <w:spacing w:val="-8"/>
          <w:sz w:val="20"/>
        </w:rPr>
        <w:t> </w:t>
      </w:r>
      <w:r>
        <w:rPr>
          <w:b/>
          <w:sz w:val="20"/>
        </w:rPr>
        <w:t>E.6:</w:t>
      </w:r>
      <w:r>
        <w:rPr>
          <w:b/>
          <w:spacing w:val="2"/>
          <w:sz w:val="20"/>
        </w:rPr>
        <w:t> </w:t>
      </w:r>
      <w:r>
        <w:rPr>
          <w:sz w:val="20"/>
        </w:rPr>
        <w:t>AI</w:t>
      </w:r>
      <w:r>
        <w:rPr>
          <w:spacing w:val="-8"/>
          <w:sz w:val="20"/>
        </w:rPr>
        <w:t> </w:t>
      </w:r>
      <w:r>
        <w:rPr>
          <w:sz w:val="20"/>
        </w:rPr>
        <w:t>use</w:t>
      </w:r>
      <w:r>
        <w:rPr>
          <w:spacing w:val="-8"/>
          <w:sz w:val="20"/>
        </w:rPr>
        <w:t> </w:t>
      </w:r>
      <w:r>
        <w:rPr>
          <w:sz w:val="20"/>
        </w:rPr>
        <w:t>summary</w:t>
      </w:r>
      <w:r>
        <w:rPr>
          <w:spacing w:val="-8"/>
          <w:sz w:val="20"/>
        </w:rPr>
        <w:t> </w:t>
      </w:r>
      <w:r>
        <w:rPr>
          <w:sz w:val="20"/>
        </w:rPr>
        <w:t>table</w:t>
      </w:r>
      <w:r>
        <w:rPr>
          <w:spacing w:val="-8"/>
          <w:sz w:val="20"/>
        </w:rPr>
        <w:t> </w:t>
      </w:r>
      <w:r>
        <w:rPr>
          <w:spacing w:val="-5"/>
          <w:sz w:val="20"/>
        </w:rPr>
        <w:t>6.</w:t>
      </w:r>
    </w:p>
    <w:p>
      <w:pPr>
        <w:pStyle w:val="BodyText"/>
        <w:spacing w:before="5"/>
        <w:rPr>
          <w:sz w:val="18"/>
        </w:rPr>
      </w:pPr>
      <w:r>
        <w:rPr>
          <w:sz w:val="18"/>
        </w:rPr>
        <mc:AlternateContent>
          <mc:Choice Requires="wps">
            <w:drawing>
              <wp:anchor distT="0" distB="0" distL="0" distR="0" allowOverlap="1" layoutInCell="1" locked="0" behindDoc="1" simplePos="0" relativeHeight="487650816">
                <wp:simplePos x="0" y="0"/>
                <wp:positionH relativeFrom="page">
                  <wp:posOffset>1260005</wp:posOffset>
                </wp:positionH>
                <wp:positionV relativeFrom="paragraph">
                  <wp:posOffset>150001</wp:posOffset>
                </wp:positionV>
                <wp:extent cx="5400040" cy="1270"/>
                <wp:effectExtent l="0" t="0" r="0" b="0"/>
                <wp:wrapTopAndBottom/>
                <wp:docPr id="322" name="Graphic 322"/>
                <wp:cNvGraphicFramePr>
                  <a:graphicFrameLocks/>
                </wp:cNvGraphicFramePr>
                <a:graphic>
                  <a:graphicData uri="http://schemas.microsoft.com/office/word/2010/wordprocessingShape">
                    <wps:wsp>
                      <wps:cNvPr id="322" name="Graphic 322"/>
                      <wps:cNvSpPr/>
                      <wps:spPr>
                        <a:xfrm>
                          <a:off x="0" y="0"/>
                          <a:ext cx="5400040" cy="1270"/>
                        </a:xfrm>
                        <a:custGeom>
                          <a:avLst/>
                          <a:gdLst/>
                          <a:ahLst/>
                          <a:cxnLst/>
                          <a:rect l="l" t="t" r="r" b="b"/>
                          <a:pathLst>
                            <a:path w="5400040" h="0">
                              <a:moveTo>
                                <a:pt x="0" y="0"/>
                              </a:moveTo>
                              <a:lnTo>
                                <a:pt x="5400001"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1.811129pt;width:425.2pt;height:.1pt;mso-position-horizontal-relative:page;mso-position-vertical-relative:paragraph;z-index:-15665664;mso-wrap-distance-left:0;mso-wrap-distance-right:0" id="docshape284" coordorigin="1984,236" coordsize="8504,0" path="m1984,236l10488,236e" filled="false" stroked="true" strokeweight=".868pt" strokecolor="#000000">
                <v:path arrowok="t"/>
                <v:stroke dashstyle="solid"/>
                <w10:wrap type="topAndBottom"/>
              </v:shape>
            </w:pict>
          </mc:Fallback>
        </mc:AlternateContent>
      </w:r>
    </w:p>
    <w:p>
      <w:pPr>
        <w:pStyle w:val="BodyText"/>
        <w:spacing w:before="9"/>
        <w:rPr>
          <w:sz w:val="4"/>
        </w:rPr>
      </w:pPr>
    </w:p>
    <w:tbl>
      <w:tblPr>
        <w:tblW w:w="0" w:type="auto"/>
        <w:jc w:val="left"/>
        <w:tblInd w:w="7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148"/>
        <w:gridCol w:w="1572"/>
        <w:gridCol w:w="2400"/>
        <w:gridCol w:w="1385"/>
      </w:tblGrid>
      <w:tr>
        <w:trPr>
          <w:trHeight w:val="320" w:hRule="atLeast"/>
        </w:trPr>
        <w:tc>
          <w:tcPr>
            <w:tcW w:w="3148" w:type="dxa"/>
            <w:tcBorders>
              <w:top w:val="nil"/>
              <w:left w:val="nil"/>
              <w:right w:val="single" w:sz="4" w:space="0" w:color="000000"/>
            </w:tcBorders>
          </w:tcPr>
          <w:p>
            <w:pPr>
              <w:pStyle w:val="TableParagraph"/>
              <w:spacing w:before="31"/>
              <w:ind w:left="119"/>
              <w:rPr>
                <w:sz w:val="18"/>
              </w:rPr>
            </w:pPr>
            <w:r>
              <w:rPr>
                <w:spacing w:val="-2"/>
                <w:sz w:val="18"/>
              </w:rPr>
              <w:t>Location</w:t>
            </w:r>
          </w:p>
        </w:tc>
        <w:tc>
          <w:tcPr>
            <w:tcW w:w="1572" w:type="dxa"/>
            <w:tcBorders>
              <w:top w:val="nil"/>
              <w:left w:val="single" w:sz="4" w:space="0" w:color="000000"/>
              <w:right w:val="single" w:sz="4" w:space="0" w:color="000000"/>
            </w:tcBorders>
          </w:tcPr>
          <w:p>
            <w:pPr>
              <w:pStyle w:val="TableParagraph"/>
              <w:spacing w:before="31"/>
              <w:ind w:left="118"/>
              <w:rPr>
                <w:sz w:val="18"/>
              </w:rPr>
            </w:pPr>
            <w:r>
              <w:rPr>
                <w:spacing w:val="-2"/>
                <w:sz w:val="18"/>
              </w:rPr>
              <w:t>Original</w:t>
            </w:r>
          </w:p>
        </w:tc>
        <w:tc>
          <w:tcPr>
            <w:tcW w:w="2400" w:type="dxa"/>
            <w:tcBorders>
              <w:top w:val="nil"/>
              <w:left w:val="single" w:sz="4" w:space="0" w:color="000000"/>
              <w:right w:val="single" w:sz="4" w:space="0" w:color="000000"/>
            </w:tcBorders>
          </w:tcPr>
          <w:p>
            <w:pPr>
              <w:pStyle w:val="TableParagraph"/>
              <w:spacing w:before="31"/>
              <w:ind w:left="118"/>
              <w:rPr>
                <w:sz w:val="18"/>
              </w:rPr>
            </w:pPr>
            <w:r>
              <w:rPr>
                <w:spacing w:val="-2"/>
                <w:sz w:val="18"/>
              </w:rPr>
              <w:t>Corrected</w:t>
            </w:r>
          </w:p>
        </w:tc>
        <w:tc>
          <w:tcPr>
            <w:tcW w:w="1385" w:type="dxa"/>
            <w:tcBorders>
              <w:top w:val="nil"/>
              <w:left w:val="single" w:sz="4" w:space="0" w:color="000000"/>
              <w:right w:val="nil"/>
            </w:tcBorders>
          </w:tcPr>
          <w:p>
            <w:pPr>
              <w:pStyle w:val="TableParagraph"/>
              <w:spacing w:before="31"/>
              <w:ind w:left="117"/>
              <w:rPr>
                <w:sz w:val="18"/>
              </w:rPr>
            </w:pPr>
            <w:r>
              <w:rPr>
                <w:spacing w:val="-2"/>
                <w:sz w:val="18"/>
              </w:rPr>
              <w:t>Source</w:t>
            </w:r>
          </w:p>
        </w:tc>
      </w:tr>
    </w:tbl>
    <w:p>
      <w:pPr>
        <w:pStyle w:val="BodyText"/>
        <w:spacing w:before="10"/>
        <w:rPr>
          <w:sz w:val="4"/>
        </w:rPr>
      </w:pPr>
    </w:p>
    <w:tbl>
      <w:tblPr>
        <w:tblW w:w="0" w:type="auto"/>
        <w:jc w:val="left"/>
        <w:tblInd w:w="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48"/>
        <w:gridCol w:w="1572"/>
        <w:gridCol w:w="2400"/>
        <w:gridCol w:w="1385"/>
      </w:tblGrid>
      <w:tr>
        <w:trPr>
          <w:trHeight w:val="722" w:hRule="atLeast"/>
        </w:trPr>
        <w:tc>
          <w:tcPr>
            <w:tcW w:w="3148" w:type="dxa"/>
            <w:tcBorders>
              <w:right w:val="single" w:sz="4" w:space="0" w:color="000000"/>
            </w:tcBorders>
          </w:tcPr>
          <w:p>
            <w:pPr>
              <w:pStyle w:val="TableParagraph"/>
              <w:spacing w:before="31"/>
              <w:ind w:left="119"/>
              <w:rPr>
                <w:sz w:val="18"/>
              </w:rPr>
            </w:pPr>
            <w:r>
              <w:rPr>
                <w:sz w:val="18"/>
              </w:rPr>
              <w:t>Ch.</w:t>
            </w:r>
            <w:r>
              <w:rPr>
                <w:spacing w:val="3"/>
                <w:sz w:val="18"/>
              </w:rPr>
              <w:t> </w:t>
            </w:r>
            <w:r>
              <w:rPr>
                <w:sz w:val="18"/>
              </w:rPr>
              <w:t>3</w:t>
            </w:r>
            <w:r>
              <w:rPr>
                <w:spacing w:val="-5"/>
                <w:sz w:val="18"/>
              </w:rPr>
              <w:t> </w:t>
            </w:r>
            <w:r>
              <w:rPr>
                <w:sz w:val="18"/>
              </w:rPr>
              <w:t>—</w:t>
            </w:r>
            <w:r>
              <w:rPr>
                <w:spacing w:val="-6"/>
                <w:sz w:val="18"/>
              </w:rPr>
              <w:t> </w:t>
            </w:r>
            <w:r>
              <w:rPr>
                <w:sz w:val="18"/>
              </w:rPr>
              <w:t>CarenR_Dist_Thresh</w:t>
            </w:r>
            <w:r>
              <w:rPr>
                <w:spacing w:val="-6"/>
                <w:sz w:val="18"/>
              </w:rPr>
              <w:t> </w:t>
            </w:r>
            <w:r>
              <w:rPr>
                <w:spacing w:val="-2"/>
                <w:sz w:val="18"/>
              </w:rPr>
              <w:t>threshold</w:t>
            </w:r>
          </w:p>
        </w:tc>
        <w:tc>
          <w:tcPr>
            <w:tcW w:w="1572" w:type="dxa"/>
            <w:tcBorders>
              <w:left w:val="single" w:sz="4" w:space="0" w:color="000000"/>
              <w:right w:val="single" w:sz="4" w:space="0" w:color="000000"/>
            </w:tcBorders>
          </w:tcPr>
          <w:p>
            <w:pPr>
              <w:pStyle w:val="TableParagraph"/>
              <w:spacing w:line="275" w:lineRule="exact" w:before="0"/>
              <w:ind w:left="118"/>
              <w:rPr>
                <w:sz w:val="18"/>
              </w:rPr>
            </w:pPr>
            <w:r>
              <w:rPr>
                <w:sz w:val="18"/>
              </w:rPr>
              <w:t>|r|</w:t>
            </w:r>
            <w:r>
              <w:rPr>
                <w:spacing w:val="-9"/>
                <w:sz w:val="18"/>
              </w:rPr>
              <w:t> </w:t>
            </w:r>
            <w:r>
              <w:rPr>
                <w:rFonts w:ascii="Meiryo UI" w:hAnsi="Meiryo UI"/>
                <w:i/>
                <w:sz w:val="18"/>
              </w:rPr>
              <w:t>≥</w:t>
            </w:r>
            <w:r>
              <w:rPr>
                <w:rFonts w:ascii="Meiryo UI" w:hAnsi="Meiryo UI"/>
                <w:i/>
                <w:spacing w:val="-17"/>
                <w:sz w:val="18"/>
              </w:rPr>
              <w:t> </w:t>
            </w:r>
            <w:r>
              <w:rPr>
                <w:spacing w:val="-4"/>
                <w:sz w:val="18"/>
              </w:rPr>
              <w:t>0.20</w:t>
            </w:r>
          </w:p>
        </w:tc>
        <w:tc>
          <w:tcPr>
            <w:tcW w:w="2400" w:type="dxa"/>
            <w:tcBorders>
              <w:left w:val="single" w:sz="4" w:space="0" w:color="000000"/>
              <w:right w:val="single" w:sz="4" w:space="0" w:color="000000"/>
            </w:tcBorders>
          </w:tcPr>
          <w:p>
            <w:pPr>
              <w:pStyle w:val="TableParagraph"/>
              <w:spacing w:line="275" w:lineRule="exact" w:before="0"/>
              <w:ind w:left="118"/>
              <w:rPr>
                <w:sz w:val="18"/>
              </w:rPr>
            </w:pPr>
            <w:r>
              <w:rPr>
                <w:sz w:val="18"/>
              </w:rPr>
              <w:t>|r|</w:t>
            </w:r>
            <w:r>
              <w:rPr>
                <w:spacing w:val="-9"/>
                <w:sz w:val="18"/>
              </w:rPr>
              <w:t> </w:t>
            </w:r>
            <w:r>
              <w:rPr>
                <w:rFonts w:ascii="Meiryo UI" w:hAnsi="Meiryo UI"/>
                <w:i/>
                <w:sz w:val="18"/>
              </w:rPr>
              <w:t>≥</w:t>
            </w:r>
            <w:r>
              <w:rPr>
                <w:rFonts w:ascii="Meiryo UI" w:hAnsi="Meiryo UI"/>
                <w:i/>
                <w:spacing w:val="-17"/>
                <w:sz w:val="18"/>
              </w:rPr>
              <w:t> </w:t>
            </w:r>
            <w:r>
              <w:rPr>
                <w:spacing w:val="-4"/>
                <w:sz w:val="18"/>
              </w:rPr>
              <w:t>0.30</w:t>
            </w:r>
          </w:p>
        </w:tc>
        <w:tc>
          <w:tcPr>
            <w:tcW w:w="1385" w:type="dxa"/>
            <w:tcBorders>
              <w:left w:val="single" w:sz="4" w:space="0" w:color="000000"/>
            </w:tcBorders>
          </w:tcPr>
          <w:p>
            <w:pPr>
              <w:pStyle w:val="TableParagraph"/>
              <w:spacing w:line="254" w:lineRule="auto" w:before="31"/>
              <w:ind w:left="117" w:right="109"/>
              <w:jc w:val="both"/>
              <w:rPr>
                <w:sz w:val="18"/>
              </w:rPr>
            </w:pPr>
            <w:r>
              <w:rPr>
                <w:sz w:val="18"/>
              </w:rPr>
              <w:t>Code: </w:t>
            </w:r>
            <w:r>
              <w:rPr>
                <w:sz w:val="18"/>
              </w:rPr>
              <w:t>carenr_ cor_thresh = </w:t>
            </w:r>
            <w:r>
              <w:rPr>
                <w:spacing w:val="-4"/>
                <w:sz w:val="18"/>
              </w:rPr>
              <w:t>0.30</w:t>
            </w:r>
          </w:p>
        </w:tc>
      </w:tr>
      <w:tr>
        <w:trPr>
          <w:trHeight w:val="504" w:hRule="atLeast"/>
        </w:trPr>
        <w:tc>
          <w:tcPr>
            <w:tcW w:w="3148" w:type="dxa"/>
            <w:tcBorders>
              <w:right w:val="single" w:sz="4" w:space="0" w:color="000000"/>
            </w:tcBorders>
          </w:tcPr>
          <w:p>
            <w:pPr>
              <w:pStyle w:val="TableParagraph"/>
              <w:ind w:left="119"/>
              <w:rPr>
                <w:sz w:val="18"/>
              </w:rPr>
            </w:pPr>
            <w:r>
              <w:rPr>
                <w:sz w:val="18"/>
              </w:rPr>
              <w:t>Ch.</w:t>
            </w:r>
            <w:r>
              <w:rPr>
                <w:spacing w:val="6"/>
                <w:sz w:val="18"/>
              </w:rPr>
              <w:t> </w:t>
            </w:r>
            <w:r>
              <w:rPr>
                <w:sz w:val="18"/>
              </w:rPr>
              <w:t>4</w:t>
            </w:r>
            <w:r>
              <w:rPr>
                <w:spacing w:val="-3"/>
                <w:sz w:val="18"/>
              </w:rPr>
              <w:t> </w:t>
            </w:r>
            <w:r>
              <w:rPr>
                <w:sz w:val="18"/>
              </w:rPr>
              <w:t>—</w:t>
            </w:r>
            <w:r>
              <w:rPr>
                <w:spacing w:val="-4"/>
                <w:sz w:val="18"/>
              </w:rPr>
              <w:t> </w:t>
            </w:r>
            <w:r>
              <w:rPr>
                <w:sz w:val="18"/>
              </w:rPr>
              <w:t>support</w:t>
            </w:r>
            <w:r>
              <w:rPr>
                <w:spacing w:val="-3"/>
                <w:sz w:val="18"/>
              </w:rPr>
              <w:t> </w:t>
            </w:r>
            <w:r>
              <w:rPr>
                <w:spacing w:val="-2"/>
                <w:sz w:val="18"/>
              </w:rPr>
              <w:t>filter</w:t>
            </w:r>
          </w:p>
        </w:tc>
        <w:tc>
          <w:tcPr>
            <w:tcW w:w="1572" w:type="dxa"/>
            <w:tcBorders>
              <w:left w:val="single" w:sz="4" w:space="0" w:color="000000"/>
              <w:right w:val="single" w:sz="4" w:space="0" w:color="000000"/>
            </w:tcBorders>
          </w:tcPr>
          <w:p>
            <w:pPr>
              <w:pStyle w:val="TableParagraph"/>
              <w:spacing w:line="276" w:lineRule="exact" w:before="0"/>
              <w:ind w:left="118"/>
              <w:rPr>
                <w:sz w:val="18"/>
              </w:rPr>
            </w:pPr>
            <w:r>
              <w:rPr>
                <w:rFonts w:ascii="Meiryo UI" w:hAnsi="Meiryo UI"/>
                <w:i/>
                <w:sz w:val="18"/>
              </w:rPr>
              <w:t>≥</w:t>
            </w:r>
            <w:r>
              <w:rPr>
                <w:sz w:val="18"/>
              </w:rPr>
              <w:t>15%</w:t>
            </w:r>
            <w:r>
              <w:rPr>
                <w:spacing w:val="-7"/>
                <w:sz w:val="18"/>
              </w:rPr>
              <w:t> </w:t>
            </w:r>
            <w:r>
              <w:rPr>
                <w:sz w:val="18"/>
              </w:rPr>
              <w:t>of</w:t>
            </w:r>
            <w:r>
              <w:rPr>
                <w:spacing w:val="-6"/>
                <w:sz w:val="18"/>
              </w:rPr>
              <w:t> </w:t>
            </w:r>
            <w:r>
              <w:rPr>
                <w:spacing w:val="-4"/>
                <w:sz w:val="18"/>
              </w:rPr>
              <w:t>obs.</w:t>
            </w:r>
          </w:p>
        </w:tc>
        <w:tc>
          <w:tcPr>
            <w:tcW w:w="2400" w:type="dxa"/>
            <w:tcBorders>
              <w:left w:val="single" w:sz="4" w:space="0" w:color="000000"/>
              <w:right w:val="single" w:sz="4" w:space="0" w:color="000000"/>
            </w:tcBorders>
          </w:tcPr>
          <w:p>
            <w:pPr>
              <w:pStyle w:val="TableParagraph"/>
              <w:spacing w:line="276" w:lineRule="exact" w:before="0"/>
              <w:ind w:left="118"/>
              <w:rPr>
                <w:sz w:val="18"/>
              </w:rPr>
            </w:pPr>
            <w:r>
              <w:rPr>
                <w:rFonts w:ascii="Meiryo UI" w:hAnsi="Meiryo UI"/>
                <w:i/>
                <w:sz w:val="18"/>
              </w:rPr>
              <w:t>≥</w:t>
            </w:r>
            <w:r>
              <w:rPr>
                <w:sz w:val="18"/>
              </w:rPr>
              <w:t>20%</w:t>
            </w:r>
            <w:r>
              <w:rPr>
                <w:spacing w:val="-7"/>
                <w:sz w:val="18"/>
              </w:rPr>
              <w:t> </w:t>
            </w:r>
            <w:r>
              <w:rPr>
                <w:sz w:val="18"/>
              </w:rPr>
              <w:t>of</w:t>
            </w:r>
            <w:r>
              <w:rPr>
                <w:spacing w:val="-7"/>
                <w:sz w:val="18"/>
              </w:rPr>
              <w:t> </w:t>
            </w:r>
            <w:r>
              <w:rPr>
                <w:spacing w:val="-4"/>
                <w:sz w:val="18"/>
              </w:rPr>
              <w:t>obs.</w:t>
            </w:r>
          </w:p>
        </w:tc>
        <w:tc>
          <w:tcPr>
            <w:tcW w:w="1385" w:type="dxa"/>
            <w:tcBorders>
              <w:left w:val="single" w:sz="4" w:space="0" w:color="000000"/>
            </w:tcBorders>
          </w:tcPr>
          <w:p>
            <w:pPr>
              <w:pStyle w:val="TableParagraph"/>
              <w:spacing w:line="254" w:lineRule="auto"/>
              <w:ind w:left="117"/>
              <w:rPr>
                <w:sz w:val="18"/>
              </w:rPr>
            </w:pPr>
            <w:r>
              <w:rPr>
                <w:sz w:val="18"/>
              </w:rPr>
              <w:t>Code:</w:t>
            </w:r>
            <w:r>
              <w:rPr>
                <w:spacing w:val="80"/>
                <w:sz w:val="18"/>
              </w:rPr>
              <w:t> </w:t>
            </w:r>
            <w:r>
              <w:rPr>
                <w:sz w:val="18"/>
              </w:rPr>
              <w:t>carenr_ min_sup</w:t>
            </w:r>
            <w:r>
              <w:rPr>
                <w:spacing w:val="-5"/>
                <w:sz w:val="18"/>
              </w:rPr>
              <w:t> </w:t>
            </w:r>
            <w:r>
              <w:rPr>
                <w:sz w:val="18"/>
              </w:rPr>
              <w:t>=</w:t>
            </w:r>
            <w:r>
              <w:rPr>
                <w:spacing w:val="-5"/>
                <w:sz w:val="18"/>
              </w:rPr>
              <w:t> </w:t>
            </w:r>
            <w:r>
              <w:rPr>
                <w:spacing w:val="-4"/>
                <w:sz w:val="18"/>
              </w:rPr>
              <w:t>0.20</w:t>
            </w:r>
          </w:p>
        </w:tc>
      </w:tr>
      <w:tr>
        <w:trPr>
          <w:trHeight w:val="723" w:hRule="atLeast"/>
        </w:trPr>
        <w:tc>
          <w:tcPr>
            <w:tcW w:w="3148" w:type="dxa"/>
            <w:tcBorders>
              <w:right w:val="single" w:sz="4" w:space="0" w:color="000000"/>
            </w:tcBorders>
          </w:tcPr>
          <w:p>
            <w:pPr>
              <w:pStyle w:val="TableParagraph"/>
              <w:ind w:left="119"/>
              <w:rPr>
                <w:sz w:val="18"/>
              </w:rPr>
            </w:pPr>
            <w:r>
              <w:rPr>
                <w:sz w:val="18"/>
              </w:rPr>
              <w:t>Ch.</w:t>
            </w:r>
            <w:r>
              <w:rPr>
                <w:spacing w:val="6"/>
                <w:sz w:val="18"/>
              </w:rPr>
              <w:t> </w:t>
            </w:r>
            <w:r>
              <w:rPr>
                <w:sz w:val="18"/>
              </w:rPr>
              <w:t>4</w:t>
            </w:r>
            <w:r>
              <w:rPr>
                <w:spacing w:val="-4"/>
                <w:sz w:val="18"/>
              </w:rPr>
              <w:t> </w:t>
            </w:r>
            <w:r>
              <w:rPr>
                <w:sz w:val="18"/>
              </w:rPr>
              <w:t>—</w:t>
            </w:r>
            <w:r>
              <w:rPr>
                <w:spacing w:val="-4"/>
                <w:sz w:val="18"/>
              </w:rPr>
              <w:t> </w:t>
            </w:r>
            <w:r>
              <w:rPr>
                <w:sz w:val="18"/>
              </w:rPr>
              <w:t>RDD</w:t>
            </w:r>
            <w:r>
              <w:rPr>
                <w:spacing w:val="-4"/>
                <w:sz w:val="18"/>
              </w:rPr>
              <w:t> </w:t>
            </w:r>
            <w:r>
              <w:rPr>
                <w:sz w:val="18"/>
              </w:rPr>
              <w:t>direction</w:t>
            </w:r>
            <w:r>
              <w:rPr>
                <w:spacing w:val="-4"/>
                <w:sz w:val="18"/>
              </w:rPr>
              <w:t> </w:t>
            </w:r>
            <w:r>
              <w:rPr>
                <w:spacing w:val="-2"/>
                <w:sz w:val="18"/>
              </w:rPr>
              <w:t>count</w:t>
            </w:r>
          </w:p>
        </w:tc>
        <w:tc>
          <w:tcPr>
            <w:tcW w:w="1572" w:type="dxa"/>
            <w:tcBorders>
              <w:left w:val="single" w:sz="4" w:space="0" w:color="000000"/>
              <w:right w:val="single" w:sz="4" w:space="0" w:color="000000"/>
            </w:tcBorders>
          </w:tcPr>
          <w:p>
            <w:pPr>
              <w:pStyle w:val="TableParagraph"/>
              <w:ind w:left="118"/>
              <w:rPr>
                <w:sz w:val="18"/>
              </w:rPr>
            </w:pPr>
            <w:r>
              <w:rPr>
                <w:spacing w:val="-2"/>
                <w:sz w:val="18"/>
              </w:rPr>
              <w:t>46/48</w:t>
            </w:r>
            <w:r>
              <w:rPr>
                <w:spacing w:val="6"/>
                <w:sz w:val="18"/>
              </w:rPr>
              <w:t> </w:t>
            </w:r>
            <w:r>
              <w:rPr>
                <w:spacing w:val="-2"/>
                <w:sz w:val="18"/>
              </w:rPr>
              <w:t>above-trend</w:t>
            </w:r>
          </w:p>
        </w:tc>
        <w:tc>
          <w:tcPr>
            <w:tcW w:w="2400" w:type="dxa"/>
            <w:tcBorders>
              <w:left w:val="single" w:sz="4" w:space="0" w:color="000000"/>
              <w:right w:val="single" w:sz="4" w:space="0" w:color="000000"/>
            </w:tcBorders>
          </w:tcPr>
          <w:p>
            <w:pPr>
              <w:pStyle w:val="TableParagraph"/>
              <w:ind w:left="118"/>
              <w:rPr>
                <w:sz w:val="18"/>
              </w:rPr>
            </w:pPr>
            <w:r>
              <w:rPr>
                <w:spacing w:val="-2"/>
                <w:sz w:val="18"/>
              </w:rPr>
              <w:t>31/48</w:t>
            </w:r>
            <w:r>
              <w:rPr>
                <w:spacing w:val="6"/>
                <w:sz w:val="18"/>
              </w:rPr>
              <w:t> </w:t>
            </w:r>
            <w:r>
              <w:rPr>
                <w:spacing w:val="-2"/>
                <w:sz w:val="18"/>
              </w:rPr>
              <w:t>above-trend</w:t>
            </w:r>
          </w:p>
        </w:tc>
        <w:tc>
          <w:tcPr>
            <w:tcW w:w="1385" w:type="dxa"/>
            <w:tcBorders>
              <w:left w:val="single" w:sz="4" w:space="0" w:color="000000"/>
            </w:tcBorders>
          </w:tcPr>
          <w:p>
            <w:pPr>
              <w:pStyle w:val="TableParagraph"/>
              <w:spacing w:line="254" w:lineRule="auto"/>
              <w:ind w:left="117" w:right="9"/>
              <w:rPr>
                <w:sz w:val="18"/>
              </w:rPr>
            </w:pPr>
            <w:r>
              <w:rPr>
                <w:spacing w:val="-2"/>
                <w:sz w:val="18"/>
              </w:rPr>
              <w:t>rules_ interpreted_ rdd.csv</w:t>
            </w:r>
          </w:p>
        </w:tc>
      </w:tr>
      <w:tr>
        <w:trPr>
          <w:trHeight w:val="723" w:hRule="atLeast"/>
        </w:trPr>
        <w:tc>
          <w:tcPr>
            <w:tcW w:w="3148" w:type="dxa"/>
            <w:tcBorders>
              <w:right w:val="single" w:sz="4" w:space="0" w:color="000000"/>
            </w:tcBorders>
          </w:tcPr>
          <w:p>
            <w:pPr>
              <w:pStyle w:val="TableParagraph"/>
              <w:ind w:left="119"/>
              <w:rPr>
                <w:sz w:val="18"/>
              </w:rPr>
            </w:pPr>
            <w:r>
              <w:rPr>
                <w:sz w:val="18"/>
              </w:rPr>
              <w:t>Ch.</w:t>
            </w:r>
            <w:r>
              <w:rPr>
                <w:spacing w:val="2"/>
                <w:sz w:val="18"/>
              </w:rPr>
              <w:t> </w:t>
            </w:r>
            <w:r>
              <w:rPr>
                <w:sz w:val="18"/>
              </w:rPr>
              <w:t>4</w:t>
            </w:r>
            <w:r>
              <w:rPr>
                <w:spacing w:val="-7"/>
                <w:sz w:val="18"/>
              </w:rPr>
              <w:t> </w:t>
            </w:r>
            <w:r>
              <w:rPr>
                <w:sz w:val="18"/>
              </w:rPr>
              <w:t>—</w:t>
            </w:r>
            <w:r>
              <w:rPr>
                <w:spacing w:val="-6"/>
                <w:sz w:val="18"/>
              </w:rPr>
              <w:t> </w:t>
            </w:r>
            <w:r>
              <w:rPr>
                <w:sz w:val="18"/>
              </w:rPr>
              <w:t>RVV</w:t>
            </w:r>
            <w:r>
              <w:rPr>
                <w:spacing w:val="-7"/>
                <w:sz w:val="18"/>
              </w:rPr>
              <w:t> </w:t>
            </w:r>
            <w:r>
              <w:rPr>
                <w:sz w:val="18"/>
              </w:rPr>
              <w:t>direction</w:t>
            </w:r>
            <w:r>
              <w:rPr>
                <w:spacing w:val="-7"/>
                <w:sz w:val="18"/>
              </w:rPr>
              <w:t> </w:t>
            </w:r>
            <w:r>
              <w:rPr>
                <w:spacing w:val="-2"/>
                <w:sz w:val="18"/>
              </w:rPr>
              <w:t>count</w:t>
            </w:r>
          </w:p>
        </w:tc>
        <w:tc>
          <w:tcPr>
            <w:tcW w:w="1572" w:type="dxa"/>
            <w:tcBorders>
              <w:left w:val="single" w:sz="4" w:space="0" w:color="000000"/>
              <w:right w:val="single" w:sz="4" w:space="0" w:color="000000"/>
            </w:tcBorders>
          </w:tcPr>
          <w:p>
            <w:pPr>
              <w:pStyle w:val="TableParagraph"/>
              <w:ind w:left="118"/>
              <w:rPr>
                <w:sz w:val="18"/>
              </w:rPr>
            </w:pPr>
            <w:r>
              <w:rPr>
                <w:spacing w:val="-2"/>
                <w:sz w:val="18"/>
              </w:rPr>
              <w:t>19/20</w:t>
            </w:r>
            <w:r>
              <w:rPr>
                <w:spacing w:val="6"/>
                <w:sz w:val="18"/>
              </w:rPr>
              <w:t> </w:t>
            </w:r>
            <w:r>
              <w:rPr>
                <w:spacing w:val="-2"/>
                <w:sz w:val="18"/>
              </w:rPr>
              <w:t>below-trend</w:t>
            </w:r>
          </w:p>
        </w:tc>
        <w:tc>
          <w:tcPr>
            <w:tcW w:w="2400" w:type="dxa"/>
            <w:tcBorders>
              <w:left w:val="single" w:sz="4" w:space="0" w:color="000000"/>
              <w:right w:val="single" w:sz="4" w:space="0" w:color="000000"/>
            </w:tcBorders>
          </w:tcPr>
          <w:p>
            <w:pPr>
              <w:pStyle w:val="TableParagraph"/>
              <w:ind w:left="118"/>
              <w:rPr>
                <w:sz w:val="18"/>
              </w:rPr>
            </w:pPr>
            <w:r>
              <w:rPr>
                <w:spacing w:val="-2"/>
                <w:sz w:val="18"/>
              </w:rPr>
              <w:t>16/20</w:t>
            </w:r>
            <w:r>
              <w:rPr>
                <w:spacing w:val="6"/>
                <w:sz w:val="18"/>
              </w:rPr>
              <w:t> </w:t>
            </w:r>
            <w:r>
              <w:rPr>
                <w:spacing w:val="-2"/>
                <w:sz w:val="18"/>
              </w:rPr>
              <w:t>below-trend</w:t>
            </w:r>
          </w:p>
        </w:tc>
        <w:tc>
          <w:tcPr>
            <w:tcW w:w="1385" w:type="dxa"/>
            <w:tcBorders>
              <w:left w:val="single" w:sz="4" w:space="0" w:color="000000"/>
            </w:tcBorders>
          </w:tcPr>
          <w:p>
            <w:pPr>
              <w:pStyle w:val="TableParagraph"/>
              <w:spacing w:line="254" w:lineRule="auto"/>
              <w:ind w:left="117" w:right="9"/>
              <w:rPr>
                <w:sz w:val="18"/>
              </w:rPr>
            </w:pPr>
            <w:r>
              <w:rPr>
                <w:spacing w:val="-2"/>
                <w:sz w:val="18"/>
              </w:rPr>
              <w:t>rules_ interpreted_ rvv.csv</w:t>
            </w:r>
          </w:p>
        </w:tc>
      </w:tr>
      <w:tr>
        <w:trPr>
          <w:trHeight w:val="496" w:hRule="atLeast"/>
        </w:trPr>
        <w:tc>
          <w:tcPr>
            <w:tcW w:w="3148" w:type="dxa"/>
            <w:tcBorders>
              <w:right w:val="single" w:sz="4" w:space="0" w:color="000000"/>
            </w:tcBorders>
          </w:tcPr>
          <w:p>
            <w:pPr>
              <w:pStyle w:val="TableParagraph"/>
              <w:ind w:left="119"/>
              <w:rPr>
                <w:sz w:val="18"/>
              </w:rPr>
            </w:pPr>
            <w:r>
              <w:rPr>
                <w:sz w:val="18"/>
              </w:rPr>
              <w:t>Ch.</w:t>
            </w:r>
            <w:r>
              <w:rPr>
                <w:spacing w:val="2"/>
                <w:sz w:val="18"/>
              </w:rPr>
              <w:t> </w:t>
            </w:r>
            <w:r>
              <w:rPr>
                <w:sz w:val="18"/>
              </w:rPr>
              <w:t>4</w:t>
            </w:r>
            <w:r>
              <w:rPr>
                <w:spacing w:val="-6"/>
                <w:sz w:val="18"/>
              </w:rPr>
              <w:t> </w:t>
            </w:r>
            <w:r>
              <w:rPr>
                <w:sz w:val="18"/>
              </w:rPr>
              <w:t>—</w:t>
            </w:r>
            <w:r>
              <w:rPr>
                <w:spacing w:val="-7"/>
                <w:sz w:val="18"/>
              </w:rPr>
              <w:t> </w:t>
            </w:r>
            <w:r>
              <w:rPr>
                <w:sz w:val="18"/>
              </w:rPr>
              <w:t>RIPPER</w:t>
            </w:r>
            <w:r>
              <w:rPr>
                <w:spacing w:val="-7"/>
                <w:sz w:val="18"/>
              </w:rPr>
              <w:t> </w:t>
            </w:r>
            <w:r>
              <w:rPr>
                <w:sz w:val="18"/>
              </w:rPr>
              <w:t>RVV</w:t>
            </w:r>
            <w:r>
              <w:rPr>
                <w:spacing w:val="-7"/>
                <w:sz w:val="18"/>
              </w:rPr>
              <w:t> </w:t>
            </w:r>
            <w:r>
              <w:rPr>
                <w:spacing w:val="-2"/>
                <w:sz w:val="18"/>
              </w:rPr>
              <w:t>accuracy</w:t>
            </w:r>
          </w:p>
        </w:tc>
        <w:tc>
          <w:tcPr>
            <w:tcW w:w="1572" w:type="dxa"/>
            <w:tcBorders>
              <w:left w:val="single" w:sz="4" w:space="0" w:color="000000"/>
              <w:right w:val="single" w:sz="4" w:space="0" w:color="000000"/>
            </w:tcBorders>
          </w:tcPr>
          <w:p>
            <w:pPr>
              <w:pStyle w:val="TableParagraph"/>
              <w:ind w:left="118"/>
              <w:rPr>
                <w:sz w:val="18"/>
              </w:rPr>
            </w:pPr>
            <w:r>
              <w:rPr>
                <w:spacing w:val="-5"/>
                <w:sz w:val="18"/>
              </w:rPr>
              <w:t>35%</w:t>
            </w:r>
          </w:p>
        </w:tc>
        <w:tc>
          <w:tcPr>
            <w:tcW w:w="2400" w:type="dxa"/>
            <w:tcBorders>
              <w:left w:val="single" w:sz="4" w:space="0" w:color="000000"/>
              <w:right w:val="single" w:sz="4" w:space="0" w:color="000000"/>
            </w:tcBorders>
          </w:tcPr>
          <w:p>
            <w:pPr>
              <w:pStyle w:val="TableParagraph"/>
              <w:ind w:left="118"/>
              <w:rPr>
                <w:sz w:val="18"/>
              </w:rPr>
            </w:pPr>
            <w:r>
              <w:rPr>
                <w:spacing w:val="-2"/>
                <w:sz w:val="18"/>
              </w:rPr>
              <w:t>27.5%</w:t>
            </w:r>
          </w:p>
        </w:tc>
        <w:tc>
          <w:tcPr>
            <w:tcW w:w="1385" w:type="dxa"/>
            <w:tcBorders>
              <w:left w:val="single" w:sz="4" w:space="0" w:color="000000"/>
            </w:tcBorders>
          </w:tcPr>
          <w:p>
            <w:pPr>
              <w:pStyle w:val="TableParagraph"/>
              <w:spacing w:line="254" w:lineRule="auto"/>
              <w:ind w:left="117"/>
              <w:rPr>
                <w:sz w:val="18"/>
              </w:rPr>
            </w:pPr>
            <w:r>
              <w:rPr>
                <w:spacing w:val="-2"/>
                <w:sz w:val="18"/>
              </w:rPr>
              <w:t>ripper_metrics_ rvv.csv</w:t>
            </w:r>
          </w:p>
        </w:tc>
      </w:tr>
      <w:tr>
        <w:trPr>
          <w:trHeight w:val="511" w:hRule="atLeast"/>
        </w:trPr>
        <w:tc>
          <w:tcPr>
            <w:tcW w:w="3148" w:type="dxa"/>
            <w:tcBorders>
              <w:right w:val="single" w:sz="4" w:space="0" w:color="000000"/>
            </w:tcBorders>
          </w:tcPr>
          <w:p>
            <w:pPr>
              <w:pStyle w:val="TableParagraph"/>
              <w:spacing w:before="39"/>
              <w:ind w:left="119"/>
              <w:rPr>
                <w:sz w:val="18"/>
              </w:rPr>
            </w:pPr>
            <w:r>
              <w:rPr>
                <w:sz w:val="18"/>
              </w:rPr>
              <w:t>Ch.</w:t>
            </w:r>
            <w:r>
              <w:rPr>
                <w:spacing w:val="6"/>
                <w:sz w:val="18"/>
              </w:rPr>
              <w:t> </w:t>
            </w:r>
            <w:r>
              <w:rPr>
                <w:sz w:val="18"/>
              </w:rPr>
              <w:t>4</w:t>
            </w:r>
            <w:r>
              <w:rPr>
                <w:spacing w:val="-4"/>
                <w:sz w:val="18"/>
              </w:rPr>
              <w:t> </w:t>
            </w:r>
            <w:r>
              <w:rPr>
                <w:sz w:val="18"/>
              </w:rPr>
              <w:t>—</w:t>
            </w:r>
            <w:r>
              <w:rPr>
                <w:spacing w:val="-4"/>
                <w:sz w:val="18"/>
              </w:rPr>
              <w:t> </w:t>
            </w:r>
            <w:r>
              <w:rPr>
                <w:sz w:val="18"/>
              </w:rPr>
              <w:t>RIPPER</w:t>
            </w:r>
            <w:r>
              <w:rPr>
                <w:spacing w:val="-4"/>
                <w:sz w:val="18"/>
              </w:rPr>
              <w:t> </w:t>
            </w:r>
            <w:r>
              <w:rPr>
                <w:sz w:val="18"/>
              </w:rPr>
              <w:t>kappa</w:t>
            </w:r>
            <w:r>
              <w:rPr>
                <w:spacing w:val="-4"/>
                <w:sz w:val="18"/>
              </w:rPr>
              <w:t> </w:t>
            </w:r>
            <w:r>
              <w:rPr>
                <w:spacing w:val="-2"/>
                <w:sz w:val="18"/>
              </w:rPr>
              <w:t>range</w:t>
            </w:r>
          </w:p>
        </w:tc>
        <w:tc>
          <w:tcPr>
            <w:tcW w:w="1572" w:type="dxa"/>
            <w:tcBorders>
              <w:left w:val="single" w:sz="4" w:space="0" w:color="000000"/>
              <w:right w:val="single" w:sz="4" w:space="0" w:color="000000"/>
            </w:tcBorders>
          </w:tcPr>
          <w:p>
            <w:pPr>
              <w:pStyle w:val="TableParagraph"/>
              <w:spacing w:before="39"/>
              <w:ind w:left="118"/>
              <w:rPr>
                <w:sz w:val="18"/>
              </w:rPr>
            </w:pPr>
            <w:r>
              <w:rPr>
                <w:i/>
                <w:sz w:val="18"/>
              </w:rPr>
              <w:t>κ</w:t>
            </w:r>
            <w:r>
              <w:rPr>
                <w:i/>
                <w:spacing w:val="17"/>
                <w:sz w:val="18"/>
              </w:rPr>
              <w:t> </w:t>
            </w:r>
            <w:r>
              <w:rPr>
                <w:sz w:val="18"/>
              </w:rPr>
              <w:t>=</w:t>
            </w:r>
            <w:r>
              <w:rPr>
                <w:spacing w:val="2"/>
                <w:sz w:val="18"/>
              </w:rPr>
              <w:t> </w:t>
            </w:r>
            <w:r>
              <w:rPr>
                <w:sz w:val="18"/>
              </w:rPr>
              <w:t>0.06–</w:t>
            </w:r>
            <w:r>
              <w:rPr>
                <w:spacing w:val="-4"/>
                <w:sz w:val="18"/>
              </w:rPr>
              <w:t>0.19</w:t>
            </w:r>
          </w:p>
        </w:tc>
        <w:tc>
          <w:tcPr>
            <w:tcW w:w="2400" w:type="dxa"/>
            <w:tcBorders>
              <w:left w:val="single" w:sz="4" w:space="0" w:color="000000"/>
              <w:right w:val="single" w:sz="4" w:space="0" w:color="000000"/>
            </w:tcBorders>
          </w:tcPr>
          <w:p>
            <w:pPr>
              <w:pStyle w:val="TableParagraph"/>
              <w:spacing w:before="39"/>
              <w:ind w:left="118"/>
              <w:rPr>
                <w:sz w:val="18"/>
              </w:rPr>
            </w:pPr>
            <w:r>
              <w:rPr>
                <w:i/>
                <w:sz w:val="18"/>
              </w:rPr>
              <w:t>κ</w:t>
            </w:r>
            <w:r>
              <w:rPr>
                <w:i/>
                <w:spacing w:val="13"/>
                <w:sz w:val="18"/>
              </w:rPr>
              <w:t> </w:t>
            </w:r>
            <w:r>
              <w:rPr>
                <w:sz w:val="18"/>
              </w:rPr>
              <w:t>=</w:t>
            </w:r>
            <w:r>
              <w:rPr>
                <w:spacing w:val="-1"/>
                <w:sz w:val="18"/>
              </w:rPr>
              <w:t> </w:t>
            </w:r>
            <w:r>
              <w:rPr>
                <w:sz w:val="18"/>
              </w:rPr>
              <w:t>0.13</w:t>
            </w:r>
            <w:r>
              <w:rPr>
                <w:spacing w:val="-2"/>
                <w:sz w:val="18"/>
              </w:rPr>
              <w:t> </w:t>
            </w:r>
            <w:r>
              <w:rPr>
                <w:sz w:val="18"/>
              </w:rPr>
              <w:t>(RDD),</w:t>
            </w:r>
            <w:r>
              <w:rPr>
                <w:spacing w:val="-1"/>
                <w:sz w:val="18"/>
              </w:rPr>
              <w:t> </w:t>
            </w:r>
            <w:r>
              <w:rPr>
                <w:sz w:val="18"/>
              </w:rPr>
              <w:t>-0.09</w:t>
            </w:r>
            <w:r>
              <w:rPr>
                <w:spacing w:val="-2"/>
                <w:sz w:val="18"/>
              </w:rPr>
              <w:t> </w:t>
            </w:r>
            <w:r>
              <w:rPr>
                <w:spacing w:val="-4"/>
                <w:sz w:val="18"/>
              </w:rPr>
              <w:t>(RVV)</w:t>
            </w:r>
          </w:p>
        </w:tc>
        <w:tc>
          <w:tcPr>
            <w:tcW w:w="1385" w:type="dxa"/>
            <w:tcBorders>
              <w:left w:val="single" w:sz="4" w:space="0" w:color="000000"/>
            </w:tcBorders>
          </w:tcPr>
          <w:p>
            <w:pPr>
              <w:pStyle w:val="TableParagraph"/>
              <w:spacing w:line="254" w:lineRule="auto" w:before="39"/>
              <w:ind w:left="117"/>
              <w:rPr>
                <w:sz w:val="18"/>
              </w:rPr>
            </w:pPr>
            <w:r>
              <w:rPr>
                <w:spacing w:val="-2"/>
                <w:sz w:val="18"/>
              </w:rPr>
              <w:t>ripper_rules_ rdd/rvv.txt</w:t>
            </w:r>
          </w:p>
        </w:tc>
      </w:tr>
      <w:tr>
        <w:trPr>
          <w:trHeight w:val="504" w:hRule="atLeast"/>
        </w:trPr>
        <w:tc>
          <w:tcPr>
            <w:tcW w:w="3148" w:type="dxa"/>
            <w:tcBorders>
              <w:right w:val="single" w:sz="4" w:space="0" w:color="000000"/>
            </w:tcBorders>
          </w:tcPr>
          <w:p>
            <w:pPr>
              <w:pStyle w:val="TableParagraph"/>
              <w:ind w:left="119"/>
              <w:rPr>
                <w:sz w:val="18"/>
              </w:rPr>
            </w:pPr>
            <w:r>
              <w:rPr>
                <w:sz w:val="18"/>
              </w:rPr>
              <w:t>Ch.</w:t>
            </w:r>
            <w:r>
              <w:rPr>
                <w:spacing w:val="5"/>
                <w:sz w:val="18"/>
              </w:rPr>
              <w:t> </w:t>
            </w:r>
            <w:r>
              <w:rPr>
                <w:sz w:val="18"/>
              </w:rPr>
              <w:t>5/6</w:t>
            </w:r>
            <w:r>
              <w:rPr>
                <w:spacing w:val="-5"/>
                <w:sz w:val="18"/>
              </w:rPr>
              <w:t> </w:t>
            </w:r>
            <w:r>
              <w:rPr>
                <w:sz w:val="18"/>
              </w:rPr>
              <w:t>—</w:t>
            </w:r>
            <w:r>
              <w:rPr>
                <w:spacing w:val="-4"/>
                <w:sz w:val="18"/>
              </w:rPr>
              <w:t> </w:t>
            </w:r>
            <w:r>
              <w:rPr>
                <w:sz w:val="18"/>
              </w:rPr>
              <w:t>support</w:t>
            </w:r>
            <w:r>
              <w:rPr>
                <w:spacing w:val="-5"/>
                <w:sz w:val="18"/>
              </w:rPr>
              <w:t> </w:t>
            </w:r>
            <w:r>
              <w:rPr>
                <w:sz w:val="18"/>
              </w:rPr>
              <w:t>threshold</w:t>
            </w:r>
            <w:r>
              <w:rPr>
                <w:spacing w:val="-4"/>
                <w:sz w:val="18"/>
              </w:rPr>
              <w:t> refs</w:t>
            </w:r>
          </w:p>
        </w:tc>
        <w:tc>
          <w:tcPr>
            <w:tcW w:w="1572" w:type="dxa"/>
            <w:tcBorders>
              <w:left w:val="single" w:sz="4" w:space="0" w:color="000000"/>
              <w:right w:val="single" w:sz="4" w:space="0" w:color="000000"/>
            </w:tcBorders>
          </w:tcPr>
          <w:p>
            <w:pPr>
              <w:pStyle w:val="TableParagraph"/>
              <w:spacing w:line="276" w:lineRule="exact" w:before="0"/>
              <w:ind w:left="118"/>
              <w:rPr>
                <w:sz w:val="18"/>
              </w:rPr>
            </w:pPr>
            <w:r>
              <w:rPr>
                <w:rFonts w:ascii="Meiryo UI" w:hAnsi="Meiryo UI"/>
                <w:i/>
                <w:sz w:val="18"/>
              </w:rPr>
              <w:t>≥</w:t>
            </w:r>
            <w:r>
              <w:rPr>
                <w:sz w:val="18"/>
              </w:rPr>
              <w:t>15%</w:t>
            </w:r>
            <w:r>
              <w:rPr>
                <w:spacing w:val="-11"/>
                <w:sz w:val="18"/>
              </w:rPr>
              <w:t> </w:t>
            </w:r>
            <w:r>
              <w:rPr>
                <w:spacing w:val="-2"/>
                <w:sz w:val="18"/>
              </w:rPr>
              <w:t>support</w:t>
            </w:r>
          </w:p>
        </w:tc>
        <w:tc>
          <w:tcPr>
            <w:tcW w:w="2400" w:type="dxa"/>
            <w:tcBorders>
              <w:left w:val="single" w:sz="4" w:space="0" w:color="000000"/>
              <w:right w:val="single" w:sz="4" w:space="0" w:color="000000"/>
            </w:tcBorders>
          </w:tcPr>
          <w:p>
            <w:pPr>
              <w:pStyle w:val="TableParagraph"/>
              <w:spacing w:line="276" w:lineRule="exact" w:before="0"/>
              <w:ind w:left="118"/>
              <w:rPr>
                <w:sz w:val="18"/>
              </w:rPr>
            </w:pPr>
            <w:r>
              <w:rPr>
                <w:rFonts w:ascii="Meiryo UI" w:hAnsi="Meiryo UI"/>
                <w:i/>
                <w:sz w:val="18"/>
              </w:rPr>
              <w:t>≥</w:t>
            </w:r>
            <w:r>
              <w:rPr>
                <w:sz w:val="18"/>
              </w:rPr>
              <w:t>20%</w:t>
            </w:r>
            <w:r>
              <w:rPr>
                <w:spacing w:val="-12"/>
                <w:sz w:val="18"/>
              </w:rPr>
              <w:t> </w:t>
            </w:r>
            <w:r>
              <w:rPr>
                <w:spacing w:val="-2"/>
                <w:sz w:val="18"/>
              </w:rPr>
              <w:t>support</w:t>
            </w:r>
          </w:p>
        </w:tc>
        <w:tc>
          <w:tcPr>
            <w:tcW w:w="1385" w:type="dxa"/>
            <w:tcBorders>
              <w:left w:val="single" w:sz="4" w:space="0" w:color="000000"/>
            </w:tcBorders>
          </w:tcPr>
          <w:p>
            <w:pPr>
              <w:pStyle w:val="TableParagraph"/>
              <w:spacing w:line="254" w:lineRule="auto"/>
              <w:ind w:left="117"/>
              <w:rPr>
                <w:sz w:val="18"/>
              </w:rPr>
            </w:pPr>
            <w:r>
              <w:rPr>
                <w:sz w:val="18"/>
              </w:rPr>
              <w:t>Code:</w:t>
            </w:r>
            <w:r>
              <w:rPr>
                <w:spacing w:val="80"/>
                <w:sz w:val="18"/>
              </w:rPr>
              <w:t> </w:t>
            </w:r>
            <w:r>
              <w:rPr>
                <w:sz w:val="18"/>
              </w:rPr>
              <w:t>carenr_ min_sup</w:t>
            </w:r>
            <w:r>
              <w:rPr>
                <w:spacing w:val="-5"/>
                <w:sz w:val="18"/>
              </w:rPr>
              <w:t> </w:t>
            </w:r>
            <w:r>
              <w:rPr>
                <w:sz w:val="18"/>
              </w:rPr>
              <w:t>=</w:t>
            </w:r>
            <w:r>
              <w:rPr>
                <w:spacing w:val="-5"/>
                <w:sz w:val="18"/>
              </w:rPr>
              <w:t> </w:t>
            </w:r>
            <w:r>
              <w:rPr>
                <w:spacing w:val="-4"/>
                <w:sz w:val="18"/>
              </w:rPr>
              <w:t>0.20</w:t>
            </w:r>
          </w:p>
        </w:tc>
      </w:tr>
      <w:tr>
        <w:trPr>
          <w:trHeight w:val="723" w:hRule="atLeast"/>
        </w:trPr>
        <w:tc>
          <w:tcPr>
            <w:tcW w:w="3148" w:type="dxa"/>
            <w:tcBorders>
              <w:right w:val="single" w:sz="4" w:space="0" w:color="000000"/>
            </w:tcBorders>
          </w:tcPr>
          <w:p>
            <w:pPr>
              <w:pStyle w:val="TableParagraph"/>
              <w:ind w:left="119"/>
              <w:rPr>
                <w:sz w:val="18"/>
              </w:rPr>
            </w:pPr>
            <w:r>
              <w:rPr>
                <w:sz w:val="18"/>
              </w:rPr>
              <w:t>Appendix</w:t>
            </w:r>
            <w:r>
              <w:rPr>
                <w:spacing w:val="-9"/>
                <w:sz w:val="18"/>
              </w:rPr>
              <w:t> </w:t>
            </w:r>
            <w:hyperlink w:history="true" w:anchor="_bookmark150">
              <w:r>
                <w:rPr>
                  <w:color w:val="8B2C18"/>
                  <w:sz w:val="18"/>
                </w:rPr>
                <w:t>A</w:t>
              </w:r>
            </w:hyperlink>
            <w:r>
              <w:rPr>
                <w:color w:val="8B2C18"/>
                <w:spacing w:val="-8"/>
                <w:sz w:val="18"/>
              </w:rPr>
              <w:t> </w:t>
            </w:r>
            <w:r>
              <w:rPr>
                <w:sz w:val="18"/>
              </w:rPr>
              <w:t>—</w:t>
            </w:r>
            <w:r>
              <w:rPr>
                <w:spacing w:val="-8"/>
                <w:sz w:val="18"/>
              </w:rPr>
              <w:t> </w:t>
            </w:r>
            <w:r>
              <w:rPr>
                <w:sz w:val="18"/>
              </w:rPr>
              <w:t>RVV</w:t>
            </w:r>
            <w:r>
              <w:rPr>
                <w:spacing w:val="-8"/>
                <w:sz w:val="18"/>
              </w:rPr>
              <w:t> </w:t>
            </w:r>
            <w:r>
              <w:rPr>
                <w:sz w:val="18"/>
              </w:rPr>
              <w:t>direction</w:t>
            </w:r>
            <w:r>
              <w:rPr>
                <w:spacing w:val="-8"/>
                <w:sz w:val="18"/>
              </w:rPr>
              <w:t> </w:t>
            </w:r>
            <w:r>
              <w:rPr>
                <w:spacing w:val="-2"/>
                <w:sz w:val="18"/>
              </w:rPr>
              <w:t>count</w:t>
            </w:r>
          </w:p>
        </w:tc>
        <w:tc>
          <w:tcPr>
            <w:tcW w:w="1572" w:type="dxa"/>
            <w:tcBorders>
              <w:left w:val="single" w:sz="4" w:space="0" w:color="000000"/>
              <w:right w:val="single" w:sz="4" w:space="0" w:color="000000"/>
            </w:tcBorders>
          </w:tcPr>
          <w:p>
            <w:pPr>
              <w:pStyle w:val="TableParagraph"/>
              <w:ind w:left="118"/>
              <w:rPr>
                <w:sz w:val="18"/>
              </w:rPr>
            </w:pPr>
            <w:r>
              <w:rPr>
                <w:sz w:val="18"/>
              </w:rPr>
              <w:t>19/1</w:t>
            </w:r>
            <w:r>
              <w:rPr>
                <w:spacing w:val="-5"/>
                <w:sz w:val="18"/>
              </w:rPr>
              <w:t> </w:t>
            </w:r>
            <w:r>
              <w:rPr>
                <w:spacing w:val="-2"/>
                <w:sz w:val="18"/>
              </w:rPr>
              <w:t>split</w:t>
            </w:r>
          </w:p>
        </w:tc>
        <w:tc>
          <w:tcPr>
            <w:tcW w:w="2400" w:type="dxa"/>
            <w:tcBorders>
              <w:left w:val="single" w:sz="4" w:space="0" w:color="000000"/>
              <w:right w:val="single" w:sz="4" w:space="0" w:color="000000"/>
            </w:tcBorders>
          </w:tcPr>
          <w:p>
            <w:pPr>
              <w:pStyle w:val="TableParagraph"/>
              <w:ind w:left="118"/>
              <w:rPr>
                <w:sz w:val="18"/>
              </w:rPr>
            </w:pPr>
            <w:r>
              <w:rPr>
                <w:sz w:val="18"/>
              </w:rPr>
              <w:t>16/4</w:t>
            </w:r>
            <w:r>
              <w:rPr>
                <w:spacing w:val="-5"/>
                <w:sz w:val="18"/>
              </w:rPr>
              <w:t> </w:t>
            </w:r>
            <w:r>
              <w:rPr>
                <w:spacing w:val="-2"/>
                <w:sz w:val="18"/>
              </w:rPr>
              <w:t>split</w:t>
            </w:r>
          </w:p>
        </w:tc>
        <w:tc>
          <w:tcPr>
            <w:tcW w:w="1385" w:type="dxa"/>
            <w:tcBorders>
              <w:left w:val="single" w:sz="4" w:space="0" w:color="000000"/>
            </w:tcBorders>
          </w:tcPr>
          <w:p>
            <w:pPr>
              <w:pStyle w:val="TableParagraph"/>
              <w:spacing w:line="254" w:lineRule="auto"/>
              <w:ind w:left="117" w:right="9"/>
              <w:rPr>
                <w:sz w:val="18"/>
              </w:rPr>
            </w:pPr>
            <w:r>
              <w:rPr>
                <w:spacing w:val="-2"/>
                <w:sz w:val="18"/>
              </w:rPr>
              <w:t>rules_ interpreted_ rvv.csv</w:t>
            </w:r>
          </w:p>
        </w:tc>
      </w:tr>
      <w:tr>
        <w:trPr>
          <w:trHeight w:val="504" w:hRule="atLeast"/>
        </w:trPr>
        <w:tc>
          <w:tcPr>
            <w:tcW w:w="3148" w:type="dxa"/>
            <w:tcBorders>
              <w:right w:val="single" w:sz="4" w:space="0" w:color="000000"/>
            </w:tcBorders>
          </w:tcPr>
          <w:p>
            <w:pPr>
              <w:pStyle w:val="TableParagraph"/>
              <w:ind w:left="119"/>
              <w:rPr>
                <w:sz w:val="18"/>
              </w:rPr>
            </w:pPr>
            <w:r>
              <w:rPr>
                <w:sz w:val="18"/>
              </w:rPr>
              <w:t>Appendix</w:t>
            </w:r>
            <w:r>
              <w:rPr>
                <w:spacing w:val="-5"/>
                <w:sz w:val="18"/>
              </w:rPr>
              <w:t> </w:t>
            </w:r>
            <w:hyperlink w:history="true" w:anchor="_bookmark180">
              <w:r>
                <w:rPr>
                  <w:color w:val="8B2C18"/>
                  <w:sz w:val="18"/>
                </w:rPr>
                <w:t>C</w:t>
              </w:r>
            </w:hyperlink>
            <w:r>
              <w:rPr>
                <w:color w:val="8B2C18"/>
                <w:spacing w:val="-5"/>
                <w:sz w:val="18"/>
              </w:rPr>
              <w:t> </w:t>
            </w:r>
            <w:r>
              <w:rPr>
                <w:sz w:val="18"/>
              </w:rPr>
              <w:t>—</w:t>
            </w:r>
            <w:r>
              <w:rPr>
                <w:spacing w:val="-5"/>
                <w:sz w:val="18"/>
              </w:rPr>
              <w:t> </w:t>
            </w:r>
            <w:r>
              <w:rPr>
                <w:sz w:val="18"/>
              </w:rPr>
              <w:t>feature</w:t>
            </w:r>
            <w:r>
              <w:rPr>
                <w:spacing w:val="-5"/>
                <w:sz w:val="18"/>
              </w:rPr>
              <w:t> </w:t>
            </w:r>
            <w:r>
              <w:rPr>
                <w:spacing w:val="-2"/>
                <w:sz w:val="18"/>
              </w:rPr>
              <w:t>count</w:t>
            </w:r>
          </w:p>
        </w:tc>
        <w:tc>
          <w:tcPr>
            <w:tcW w:w="1572" w:type="dxa"/>
            <w:tcBorders>
              <w:left w:val="single" w:sz="4" w:space="0" w:color="000000"/>
              <w:right w:val="single" w:sz="4" w:space="0" w:color="000000"/>
            </w:tcBorders>
          </w:tcPr>
          <w:p>
            <w:pPr>
              <w:pStyle w:val="TableParagraph"/>
              <w:ind w:left="118"/>
              <w:rPr>
                <w:sz w:val="18"/>
              </w:rPr>
            </w:pPr>
            <w:r>
              <w:rPr>
                <w:sz w:val="18"/>
              </w:rPr>
              <w:t>59</w:t>
            </w:r>
            <w:r>
              <w:rPr>
                <w:spacing w:val="-3"/>
                <w:sz w:val="18"/>
              </w:rPr>
              <w:t> </w:t>
            </w:r>
            <w:r>
              <w:rPr>
                <w:spacing w:val="-2"/>
                <w:sz w:val="18"/>
              </w:rPr>
              <w:t>features</w:t>
            </w:r>
          </w:p>
        </w:tc>
        <w:tc>
          <w:tcPr>
            <w:tcW w:w="2400" w:type="dxa"/>
            <w:tcBorders>
              <w:left w:val="single" w:sz="4" w:space="0" w:color="000000"/>
              <w:right w:val="single" w:sz="4" w:space="0" w:color="000000"/>
            </w:tcBorders>
          </w:tcPr>
          <w:p>
            <w:pPr>
              <w:pStyle w:val="TableParagraph"/>
              <w:ind w:left="118"/>
              <w:rPr>
                <w:sz w:val="18"/>
              </w:rPr>
            </w:pPr>
            <w:r>
              <w:rPr>
                <w:sz w:val="18"/>
              </w:rPr>
              <w:t>58</w:t>
            </w:r>
            <w:r>
              <w:rPr>
                <w:spacing w:val="-3"/>
                <w:sz w:val="18"/>
              </w:rPr>
              <w:t> </w:t>
            </w:r>
            <w:r>
              <w:rPr>
                <w:spacing w:val="-2"/>
                <w:sz w:val="18"/>
              </w:rPr>
              <w:t>features</w:t>
            </w:r>
          </w:p>
        </w:tc>
        <w:tc>
          <w:tcPr>
            <w:tcW w:w="1385" w:type="dxa"/>
            <w:tcBorders>
              <w:left w:val="single" w:sz="4" w:space="0" w:color="000000"/>
            </w:tcBorders>
          </w:tcPr>
          <w:p>
            <w:pPr>
              <w:pStyle w:val="TableParagraph"/>
              <w:spacing w:line="254" w:lineRule="auto"/>
              <w:ind w:left="117"/>
              <w:rPr>
                <w:sz w:val="18"/>
              </w:rPr>
            </w:pPr>
            <w:r>
              <w:rPr>
                <w:spacing w:val="-2"/>
                <w:sz w:val="18"/>
              </w:rPr>
              <w:t>dataPrep_cont_ dataset_rdd.csv</w:t>
            </w:r>
          </w:p>
        </w:tc>
      </w:tr>
      <w:tr>
        <w:trPr>
          <w:trHeight w:val="760" w:hRule="atLeast"/>
        </w:trPr>
        <w:tc>
          <w:tcPr>
            <w:tcW w:w="3148" w:type="dxa"/>
            <w:tcBorders>
              <w:bottom w:val="single" w:sz="8" w:space="0" w:color="000000"/>
              <w:right w:val="single" w:sz="4" w:space="0" w:color="000000"/>
            </w:tcBorders>
          </w:tcPr>
          <w:p>
            <w:pPr>
              <w:pStyle w:val="TableParagraph"/>
              <w:ind w:left="119"/>
              <w:rPr>
                <w:sz w:val="18"/>
              </w:rPr>
            </w:pPr>
            <w:r>
              <w:rPr>
                <w:sz w:val="18"/>
              </w:rPr>
              <w:t>Ch.</w:t>
            </w:r>
            <w:r>
              <w:rPr>
                <w:spacing w:val="5"/>
                <w:sz w:val="18"/>
              </w:rPr>
              <w:t> </w:t>
            </w:r>
            <w:r>
              <w:rPr>
                <w:sz w:val="18"/>
              </w:rPr>
              <w:t>19/appendices</w:t>
            </w:r>
            <w:r>
              <w:rPr>
                <w:spacing w:val="-5"/>
                <w:sz w:val="18"/>
              </w:rPr>
              <w:t> </w:t>
            </w:r>
            <w:r>
              <w:rPr>
                <w:sz w:val="18"/>
              </w:rPr>
              <w:t>—</w:t>
            </w:r>
            <w:r>
              <w:rPr>
                <w:spacing w:val="-4"/>
                <w:sz w:val="18"/>
              </w:rPr>
              <w:t> </w:t>
            </w:r>
            <w:r>
              <w:rPr>
                <w:sz w:val="18"/>
              </w:rPr>
              <w:t>LAI</w:t>
            </w:r>
            <w:r>
              <w:rPr>
                <w:spacing w:val="-5"/>
                <w:sz w:val="18"/>
              </w:rPr>
              <w:t> </w:t>
            </w:r>
            <w:r>
              <w:rPr>
                <w:sz w:val="18"/>
              </w:rPr>
              <w:t>in</w:t>
            </w:r>
            <w:r>
              <w:rPr>
                <w:spacing w:val="-5"/>
                <w:sz w:val="18"/>
              </w:rPr>
              <w:t> RVV</w:t>
            </w:r>
          </w:p>
        </w:tc>
        <w:tc>
          <w:tcPr>
            <w:tcW w:w="1572" w:type="dxa"/>
            <w:tcBorders>
              <w:left w:val="single" w:sz="4" w:space="0" w:color="000000"/>
              <w:bottom w:val="single" w:sz="8" w:space="0" w:color="000000"/>
              <w:right w:val="single" w:sz="4" w:space="0" w:color="000000"/>
            </w:tcBorders>
          </w:tcPr>
          <w:p>
            <w:pPr>
              <w:pStyle w:val="TableParagraph"/>
              <w:ind w:left="118"/>
              <w:rPr>
                <w:sz w:val="18"/>
              </w:rPr>
            </w:pPr>
            <w:r>
              <w:rPr>
                <w:sz w:val="18"/>
              </w:rPr>
              <w:t>LAI</w:t>
            </w:r>
            <w:r>
              <w:rPr>
                <w:spacing w:val="-3"/>
                <w:sz w:val="18"/>
              </w:rPr>
              <w:t> </w:t>
            </w:r>
            <w:r>
              <w:rPr>
                <w:sz w:val="18"/>
              </w:rPr>
              <w:t>in</w:t>
            </w:r>
            <w:r>
              <w:rPr>
                <w:spacing w:val="-3"/>
                <w:sz w:val="18"/>
              </w:rPr>
              <w:t> </w:t>
            </w:r>
            <w:r>
              <w:rPr>
                <w:sz w:val="18"/>
              </w:rPr>
              <w:t>all</w:t>
            </w:r>
            <w:r>
              <w:rPr>
                <w:spacing w:val="-3"/>
                <w:sz w:val="18"/>
              </w:rPr>
              <w:t> </w:t>
            </w:r>
            <w:r>
              <w:rPr>
                <w:sz w:val="18"/>
              </w:rPr>
              <w:t>20</w:t>
            </w:r>
            <w:r>
              <w:rPr>
                <w:spacing w:val="-3"/>
                <w:sz w:val="18"/>
              </w:rPr>
              <w:t> </w:t>
            </w:r>
            <w:r>
              <w:rPr>
                <w:spacing w:val="-2"/>
                <w:sz w:val="18"/>
              </w:rPr>
              <w:t>rules</w:t>
            </w:r>
          </w:p>
        </w:tc>
        <w:tc>
          <w:tcPr>
            <w:tcW w:w="2400" w:type="dxa"/>
            <w:tcBorders>
              <w:left w:val="single" w:sz="4" w:space="0" w:color="000000"/>
              <w:bottom w:val="single" w:sz="8" w:space="0" w:color="000000"/>
              <w:right w:val="single" w:sz="4" w:space="0" w:color="000000"/>
            </w:tcBorders>
          </w:tcPr>
          <w:p>
            <w:pPr>
              <w:pStyle w:val="TableParagraph"/>
              <w:ind w:left="118"/>
              <w:rPr>
                <w:sz w:val="18"/>
              </w:rPr>
            </w:pPr>
            <w:r>
              <w:rPr>
                <w:sz w:val="18"/>
              </w:rPr>
              <w:t>LAI</w:t>
            </w:r>
            <w:r>
              <w:rPr>
                <w:spacing w:val="-4"/>
                <w:sz w:val="18"/>
              </w:rPr>
              <w:t> </w:t>
            </w:r>
            <w:r>
              <w:rPr>
                <w:sz w:val="18"/>
              </w:rPr>
              <w:t>in</w:t>
            </w:r>
            <w:r>
              <w:rPr>
                <w:spacing w:val="-4"/>
                <w:sz w:val="18"/>
              </w:rPr>
              <w:t> </w:t>
            </w:r>
            <w:r>
              <w:rPr>
                <w:sz w:val="18"/>
              </w:rPr>
              <w:t>4/20</w:t>
            </w:r>
            <w:r>
              <w:rPr>
                <w:spacing w:val="-3"/>
                <w:sz w:val="18"/>
              </w:rPr>
              <w:t> </w:t>
            </w:r>
            <w:r>
              <w:rPr>
                <w:spacing w:val="-4"/>
                <w:sz w:val="18"/>
              </w:rPr>
              <w:t>rules</w:t>
            </w:r>
          </w:p>
        </w:tc>
        <w:tc>
          <w:tcPr>
            <w:tcW w:w="1385" w:type="dxa"/>
            <w:tcBorders>
              <w:left w:val="single" w:sz="4" w:space="0" w:color="000000"/>
              <w:bottom w:val="single" w:sz="8" w:space="0" w:color="000000"/>
            </w:tcBorders>
          </w:tcPr>
          <w:p>
            <w:pPr>
              <w:pStyle w:val="TableParagraph"/>
              <w:spacing w:line="254" w:lineRule="auto"/>
              <w:ind w:left="117" w:right="9"/>
              <w:rPr>
                <w:sz w:val="18"/>
              </w:rPr>
            </w:pPr>
            <w:r>
              <w:rPr>
                <w:spacing w:val="-2"/>
                <w:sz w:val="18"/>
              </w:rPr>
              <w:t>rules_ interpreted_ rvv.csv</w:t>
            </w:r>
          </w:p>
        </w:tc>
      </w:tr>
    </w:tbl>
    <w:p>
      <w:pPr>
        <w:pStyle w:val="BodyText"/>
        <w:rPr>
          <w:sz w:val="20"/>
        </w:rPr>
      </w:pPr>
    </w:p>
    <w:p>
      <w:pPr>
        <w:pStyle w:val="BodyText"/>
        <w:spacing w:before="50"/>
        <w:rPr>
          <w:sz w:val="20"/>
        </w:rPr>
      </w:pPr>
    </w:p>
    <w:p>
      <w:pPr>
        <w:pStyle w:val="BodyText"/>
        <w:spacing w:line="312" w:lineRule="auto"/>
        <w:ind w:left="699" w:right="112" w:firstLine="348"/>
        <w:jc w:val="both"/>
      </w:pPr>
      <w:r>
        <w:rPr/>
        <w:t>Claims verified as correct: rule counts (48/20), weighted MAEs (189.2/171.6/184/140 mhl), Wilcoxon tests (W=68 p=0.468; W=0 p=0.004), binomial test (5/5, p=0.031), pairwise overlap (730/1128</w:t>
      </w:r>
      <w:r>
        <w:rPr>
          <w:spacing w:val="-12"/>
        </w:rPr>
        <w:t> </w:t>
      </w:r>
      <w:r>
        <w:rPr/>
        <w:t>=</w:t>
      </w:r>
      <w:r>
        <w:rPr>
          <w:spacing w:val="-12"/>
        </w:rPr>
        <w:t> </w:t>
      </w:r>
      <w:r>
        <w:rPr/>
        <w:t>64.7%;</w:t>
      </w:r>
      <w:r>
        <w:rPr>
          <w:spacing w:val="-12"/>
        </w:rPr>
        <w:t> </w:t>
      </w:r>
      <w:r>
        <w:rPr/>
        <w:t>95/190</w:t>
      </w:r>
      <w:r>
        <w:rPr>
          <w:spacing w:val="-12"/>
        </w:rPr>
        <w:t> </w:t>
      </w:r>
      <w:r>
        <w:rPr/>
        <w:t>=</w:t>
      </w:r>
      <w:r>
        <w:rPr>
          <w:spacing w:val="-12"/>
        </w:rPr>
        <w:t> </w:t>
      </w:r>
      <w:r>
        <w:rPr/>
        <w:t>50.0%),</w:t>
      </w:r>
      <w:r>
        <w:rPr>
          <w:spacing w:val="-12"/>
        </w:rPr>
        <w:t> </w:t>
      </w:r>
      <w:r>
        <w:rPr/>
        <w:t>distinct</w:t>
      </w:r>
      <w:r>
        <w:rPr>
          <w:spacing w:val="-12"/>
        </w:rPr>
        <w:t> </w:t>
      </w:r>
      <w:r>
        <w:rPr/>
        <w:t>feature</w:t>
      </w:r>
      <w:r>
        <w:rPr>
          <w:spacing w:val="-12"/>
        </w:rPr>
        <w:t> </w:t>
      </w:r>
      <w:r>
        <w:rPr/>
        <w:t>combinations</w:t>
      </w:r>
      <w:r>
        <w:rPr>
          <w:spacing w:val="-12"/>
        </w:rPr>
        <w:t> </w:t>
      </w:r>
      <w:r>
        <w:rPr/>
        <w:t>(44/48;</w:t>
      </w:r>
      <w:r>
        <w:rPr>
          <w:spacing w:val="-12"/>
        </w:rPr>
        <w:t> </w:t>
      </w:r>
      <w:r>
        <w:rPr/>
        <w:t>20/20),</w:t>
      </w:r>
      <w:r>
        <w:rPr>
          <w:spacing w:val="-12"/>
        </w:rPr>
        <w:t> </w:t>
      </w:r>
      <w:r>
        <w:rPr/>
        <w:t>feature-subset rules</w:t>
      </w:r>
      <w:r>
        <w:rPr>
          <w:spacing w:val="-14"/>
        </w:rPr>
        <w:t> </w:t>
      </w:r>
      <w:r>
        <w:rPr/>
        <w:t>(28/48;</w:t>
      </w:r>
      <w:r>
        <w:rPr>
          <w:spacing w:val="-14"/>
        </w:rPr>
        <w:t> </w:t>
      </w:r>
      <w:r>
        <w:rPr/>
        <w:t>5/20),</w:t>
      </w:r>
      <w:r>
        <w:rPr>
          <w:spacing w:val="-13"/>
        </w:rPr>
        <w:t> </w:t>
      </w:r>
      <w:r>
        <w:rPr/>
        <w:t>M5Rules</w:t>
      </w:r>
      <w:r>
        <w:rPr>
          <w:spacing w:val="-14"/>
        </w:rPr>
        <w:t> </w:t>
      </w:r>
      <w:r>
        <w:rPr/>
        <w:t>rule</w:t>
      </w:r>
      <w:r>
        <w:rPr>
          <w:spacing w:val="-14"/>
        </w:rPr>
        <w:t> </w:t>
      </w:r>
      <w:r>
        <w:rPr/>
        <w:t>counts</w:t>
      </w:r>
      <w:r>
        <w:rPr>
          <w:spacing w:val="-13"/>
        </w:rPr>
        <w:t> </w:t>
      </w:r>
      <w:r>
        <w:rPr/>
        <w:t>(2/3),</w:t>
      </w:r>
      <w:r>
        <w:rPr>
          <w:spacing w:val="-14"/>
        </w:rPr>
        <w:t> </w:t>
      </w:r>
      <w:r>
        <w:rPr/>
        <w:t>RIPPER</w:t>
      </w:r>
      <w:r>
        <w:rPr>
          <w:spacing w:val="-14"/>
        </w:rPr>
        <w:t> </w:t>
      </w:r>
      <w:r>
        <w:rPr/>
        <w:t>RDD</w:t>
      </w:r>
      <w:r>
        <w:rPr>
          <w:spacing w:val="-13"/>
        </w:rPr>
        <w:t> </w:t>
      </w:r>
      <w:r>
        <w:rPr/>
        <w:t>accuracy</w:t>
      </w:r>
      <w:r>
        <w:rPr>
          <w:spacing w:val="-14"/>
        </w:rPr>
        <w:t> </w:t>
      </w:r>
      <w:r>
        <w:rPr/>
        <w:t>(42%),</w:t>
      </w:r>
      <w:r>
        <w:rPr>
          <w:spacing w:val="-14"/>
        </w:rPr>
        <w:t> </w:t>
      </w:r>
      <w:r>
        <w:rPr/>
        <w:t>LOESS</w:t>
      </w:r>
      <w:r>
        <w:rPr>
          <w:spacing w:val="-13"/>
        </w:rPr>
        <w:t> </w:t>
      </w:r>
      <w:r>
        <w:rPr/>
        <w:t>MAEs</w:t>
      </w:r>
      <w:r>
        <w:rPr>
          <w:spacing w:val="-14"/>
        </w:rPr>
        <w:t> </w:t>
      </w:r>
      <w:r>
        <w:rPr/>
        <w:t>(</w:t>
      </w:r>
      <w:r>
        <w:rPr>
          <w:spacing w:val="-14"/>
        </w:rPr>
        <w:t> </w:t>
      </w:r>
      <w:r>
        <w:rPr/>
        <w:t>90 mhl RVV;</w:t>
      </w:r>
      <w:r>
        <w:rPr>
          <w:spacing w:val="40"/>
        </w:rPr>
        <w:t> </w:t>
      </w:r>
      <w:r>
        <w:rPr/>
        <w:t>290 mhl RDD), era-composition threshold ( 29%).</w:t>
      </w:r>
    </w:p>
    <w:p>
      <w:pPr>
        <w:pStyle w:val="BodyText"/>
      </w:pPr>
    </w:p>
    <w:p>
      <w:pPr>
        <w:pStyle w:val="BodyText"/>
      </w:pPr>
    </w:p>
    <w:p>
      <w:pPr>
        <w:pStyle w:val="BodyText"/>
        <w:spacing w:before="40"/>
      </w:pPr>
    </w:p>
    <w:p>
      <w:pPr>
        <w:pStyle w:val="Heading2"/>
        <w:numPr>
          <w:ilvl w:val="1"/>
          <w:numId w:val="59"/>
        </w:numPr>
        <w:tabs>
          <w:tab w:pos="1402" w:val="left" w:leader="none"/>
        </w:tabs>
        <w:spacing w:line="240" w:lineRule="auto" w:before="1" w:after="0"/>
        <w:ind w:left="1402" w:right="0" w:hanging="693"/>
        <w:jc w:val="left"/>
      </w:pPr>
      <w:bookmarkStart w:name="E.6 Student Responsibility Declaration" w:id="351"/>
      <w:bookmarkEnd w:id="351"/>
      <w:r>
        <w:rPr>
          <w:b w:val="0"/>
        </w:rPr>
      </w:r>
      <w:bookmarkStart w:name="_bookmark211" w:id="352"/>
      <w:bookmarkEnd w:id="352"/>
      <w:r>
        <w:rPr>
          <w:b w:val="0"/>
        </w:rPr>
      </w:r>
      <w:r>
        <w:rPr/>
        <w:t>Student</w:t>
      </w:r>
      <w:r>
        <w:rPr>
          <w:spacing w:val="27"/>
        </w:rPr>
        <w:t> </w:t>
      </w:r>
      <w:r>
        <w:rPr/>
        <w:t>Responsibility</w:t>
      </w:r>
      <w:r>
        <w:rPr>
          <w:spacing w:val="27"/>
        </w:rPr>
        <w:t> </w:t>
      </w:r>
      <w:r>
        <w:rPr>
          <w:spacing w:val="-2"/>
        </w:rPr>
        <w:t>Declaration</w:t>
      </w:r>
    </w:p>
    <w:p>
      <w:pPr>
        <w:pStyle w:val="BodyText"/>
        <w:spacing w:before="102"/>
        <w:rPr>
          <w:b/>
          <w:sz w:val="28"/>
        </w:rPr>
      </w:pPr>
    </w:p>
    <w:p>
      <w:pPr>
        <w:pStyle w:val="BodyText"/>
        <w:ind w:left="702"/>
      </w:pPr>
      <w:r>
        <w:rPr/>
        <w:t>The</w:t>
      </w:r>
      <w:r>
        <w:rPr>
          <w:spacing w:val="-14"/>
        </w:rPr>
        <w:t> </w:t>
      </w:r>
      <w:r>
        <w:rPr/>
        <w:t>student</w:t>
      </w:r>
      <w:r>
        <w:rPr>
          <w:spacing w:val="-13"/>
        </w:rPr>
        <w:t> </w:t>
      </w:r>
      <w:r>
        <w:rPr/>
        <w:t>affirms</w:t>
      </w:r>
      <w:r>
        <w:rPr>
          <w:spacing w:val="-13"/>
        </w:rPr>
        <w:t> </w:t>
      </w:r>
      <w:r>
        <w:rPr>
          <w:spacing w:val="-2"/>
        </w:rPr>
        <w:t>that:</w:t>
      </w:r>
    </w:p>
    <w:p>
      <w:pPr>
        <w:pStyle w:val="ListParagraph"/>
        <w:numPr>
          <w:ilvl w:val="2"/>
          <w:numId w:val="59"/>
        </w:numPr>
        <w:tabs>
          <w:tab w:pos="1194" w:val="left" w:leader="none"/>
        </w:tabs>
        <w:spacing w:line="312" w:lineRule="auto" w:before="144" w:after="0"/>
        <w:ind w:left="709" w:right="140" w:firstLine="338"/>
        <w:jc w:val="left"/>
        <w:rPr>
          <w:sz w:val="22"/>
        </w:rPr>
      </w:pPr>
      <w:r>
        <w:rPr>
          <w:sz w:val="22"/>
        </w:rPr>
        <w:t>All research activities (data preparation, feature engineering, model execution, </w:t>
      </w:r>
      <w:r>
        <w:rPr>
          <w:sz w:val="22"/>
        </w:rPr>
        <w:t>statistical analysis) were conducted independently without AI assistance.</w:t>
      </w:r>
    </w:p>
    <w:p>
      <w:pPr>
        <w:pStyle w:val="ListParagraph"/>
        <w:numPr>
          <w:ilvl w:val="2"/>
          <w:numId w:val="59"/>
        </w:numPr>
        <w:tabs>
          <w:tab w:pos="1176" w:val="left" w:leader="none"/>
        </w:tabs>
        <w:spacing w:line="312" w:lineRule="auto" w:before="68" w:after="0"/>
        <w:ind w:left="709" w:right="132" w:firstLine="338"/>
        <w:jc w:val="left"/>
        <w:rPr>
          <w:sz w:val="22"/>
        </w:rPr>
      </w:pPr>
      <w:r>
        <w:rPr>
          <w:sz w:val="22"/>
        </w:rPr>
        <w:t>All</w:t>
      </w:r>
      <w:r>
        <w:rPr>
          <w:spacing w:val="-14"/>
          <w:sz w:val="22"/>
        </w:rPr>
        <w:t> </w:t>
      </w:r>
      <w:r>
        <w:rPr>
          <w:sz w:val="22"/>
        </w:rPr>
        <w:t>AI-generated</w:t>
      </w:r>
      <w:r>
        <w:rPr>
          <w:spacing w:val="-14"/>
          <w:sz w:val="22"/>
        </w:rPr>
        <w:t> </w:t>
      </w:r>
      <w:r>
        <w:rPr>
          <w:sz w:val="22"/>
        </w:rPr>
        <w:t>or</w:t>
      </w:r>
      <w:r>
        <w:rPr>
          <w:spacing w:val="-14"/>
          <w:sz w:val="22"/>
        </w:rPr>
        <w:t> </w:t>
      </w:r>
      <w:r>
        <w:rPr>
          <w:sz w:val="22"/>
        </w:rPr>
        <w:t>AI-revised</w:t>
      </w:r>
      <w:r>
        <w:rPr>
          <w:spacing w:val="-13"/>
          <w:sz w:val="22"/>
        </w:rPr>
        <w:t> </w:t>
      </w:r>
      <w:r>
        <w:rPr>
          <w:sz w:val="22"/>
        </w:rPr>
        <w:t>content</w:t>
      </w:r>
      <w:r>
        <w:rPr>
          <w:spacing w:val="-14"/>
          <w:sz w:val="22"/>
        </w:rPr>
        <w:t> </w:t>
      </w:r>
      <w:r>
        <w:rPr>
          <w:sz w:val="22"/>
        </w:rPr>
        <w:t>was</w:t>
      </w:r>
      <w:r>
        <w:rPr>
          <w:spacing w:val="-14"/>
          <w:sz w:val="22"/>
        </w:rPr>
        <w:t> </w:t>
      </w:r>
      <w:r>
        <w:rPr>
          <w:sz w:val="22"/>
        </w:rPr>
        <w:t>critically</w:t>
      </w:r>
      <w:r>
        <w:rPr>
          <w:spacing w:val="-14"/>
          <w:sz w:val="22"/>
        </w:rPr>
        <w:t> </w:t>
      </w:r>
      <w:r>
        <w:rPr>
          <w:sz w:val="22"/>
        </w:rPr>
        <w:t>reviewed</w:t>
      </w:r>
      <w:r>
        <w:rPr>
          <w:spacing w:val="-13"/>
          <w:sz w:val="22"/>
        </w:rPr>
        <w:t> </w:t>
      </w:r>
      <w:r>
        <w:rPr>
          <w:sz w:val="22"/>
        </w:rPr>
        <w:t>and</w:t>
      </w:r>
      <w:r>
        <w:rPr>
          <w:spacing w:val="-14"/>
          <w:sz w:val="22"/>
        </w:rPr>
        <w:t> </w:t>
      </w:r>
      <w:r>
        <w:rPr>
          <w:sz w:val="22"/>
        </w:rPr>
        <w:t>validated</w:t>
      </w:r>
      <w:r>
        <w:rPr>
          <w:spacing w:val="-14"/>
          <w:sz w:val="22"/>
        </w:rPr>
        <w:t> </w:t>
      </w:r>
      <w:r>
        <w:rPr>
          <w:sz w:val="22"/>
        </w:rPr>
        <w:t>against</w:t>
      </w:r>
      <w:r>
        <w:rPr>
          <w:spacing w:val="-14"/>
          <w:sz w:val="22"/>
        </w:rPr>
        <w:t> </w:t>
      </w:r>
      <w:r>
        <w:rPr>
          <w:sz w:val="22"/>
        </w:rPr>
        <w:t>primary sources before inclusion.</w:t>
      </w:r>
    </w:p>
    <w:p>
      <w:pPr>
        <w:pStyle w:val="ListParagraph"/>
        <w:numPr>
          <w:ilvl w:val="2"/>
          <w:numId w:val="59"/>
        </w:numPr>
        <w:tabs>
          <w:tab w:pos="1175" w:val="left" w:leader="none"/>
        </w:tabs>
        <w:spacing w:line="312" w:lineRule="auto" w:before="69" w:after="0"/>
        <w:ind w:left="709" w:right="140" w:firstLine="338"/>
        <w:jc w:val="left"/>
        <w:rPr>
          <w:sz w:val="22"/>
        </w:rPr>
      </w:pPr>
      <w:r>
        <w:rPr>
          <w:spacing w:val="-2"/>
          <w:sz w:val="22"/>
        </w:rPr>
        <w:t>The</w:t>
      </w:r>
      <w:r>
        <w:rPr>
          <w:spacing w:val="-12"/>
          <w:sz w:val="22"/>
        </w:rPr>
        <w:t> </w:t>
      </w:r>
      <w:r>
        <w:rPr>
          <w:spacing w:val="-2"/>
          <w:sz w:val="22"/>
        </w:rPr>
        <w:t>numerical</w:t>
      </w:r>
      <w:r>
        <w:rPr>
          <w:spacing w:val="-12"/>
          <w:sz w:val="22"/>
        </w:rPr>
        <w:t> </w:t>
      </w:r>
      <w:r>
        <w:rPr>
          <w:spacing w:val="-2"/>
          <w:sz w:val="22"/>
        </w:rPr>
        <w:t>verification</w:t>
      </w:r>
      <w:r>
        <w:rPr>
          <w:spacing w:val="-11"/>
          <w:sz w:val="22"/>
        </w:rPr>
        <w:t> </w:t>
      </w:r>
      <w:r>
        <w:rPr>
          <w:spacing w:val="-2"/>
          <w:sz w:val="22"/>
        </w:rPr>
        <w:t>process</w:t>
      </w:r>
      <w:r>
        <w:rPr>
          <w:spacing w:val="-12"/>
          <w:sz w:val="22"/>
        </w:rPr>
        <w:t> </w:t>
      </w:r>
      <w:r>
        <w:rPr>
          <w:spacing w:val="-2"/>
          <w:sz w:val="22"/>
        </w:rPr>
        <w:t>demonstrates</w:t>
      </w:r>
      <w:r>
        <w:rPr>
          <w:spacing w:val="-12"/>
          <w:sz w:val="22"/>
        </w:rPr>
        <w:t> </w:t>
      </w:r>
      <w:r>
        <w:rPr>
          <w:spacing w:val="-2"/>
          <w:sz w:val="22"/>
        </w:rPr>
        <w:t>active</w:t>
      </w:r>
      <w:r>
        <w:rPr>
          <w:spacing w:val="-11"/>
          <w:sz w:val="22"/>
        </w:rPr>
        <w:t> </w:t>
      </w:r>
      <w:r>
        <w:rPr>
          <w:spacing w:val="-2"/>
          <w:sz w:val="22"/>
        </w:rPr>
        <w:t>critical</w:t>
      </w:r>
      <w:r>
        <w:rPr>
          <w:spacing w:val="-12"/>
          <w:sz w:val="22"/>
        </w:rPr>
        <w:t> </w:t>
      </w:r>
      <w:r>
        <w:rPr>
          <w:spacing w:val="-2"/>
          <w:sz w:val="22"/>
        </w:rPr>
        <w:t>engagement:</w:t>
      </w:r>
      <w:r>
        <w:rPr>
          <w:sz w:val="22"/>
        </w:rPr>
        <w:t> </w:t>
      </w:r>
      <w:r>
        <w:rPr>
          <w:spacing w:val="-2"/>
          <w:sz w:val="22"/>
        </w:rPr>
        <w:t>errors</w:t>
      </w:r>
      <w:r>
        <w:rPr>
          <w:spacing w:val="-12"/>
          <w:sz w:val="22"/>
        </w:rPr>
        <w:t> </w:t>
      </w:r>
      <w:r>
        <w:rPr>
          <w:spacing w:val="-2"/>
          <w:sz w:val="22"/>
        </w:rPr>
        <w:t>introduced </w:t>
      </w:r>
      <w:r>
        <w:rPr>
          <w:sz w:val="22"/>
        </w:rPr>
        <w:t>earlier in the writing process (including AI-generated errors) were identified and corrected.</w:t>
      </w:r>
    </w:p>
    <w:p>
      <w:pPr>
        <w:pStyle w:val="ListParagraph"/>
        <w:spacing w:after="0" w:line="312" w:lineRule="auto"/>
        <w:jc w:val="left"/>
        <w:rPr>
          <w:sz w:val="22"/>
        </w:rPr>
        <w:sectPr>
          <w:headerReference w:type="default" r:id="rId137"/>
          <w:pgSz w:w="11910" w:h="16840"/>
          <w:pgMar w:header="0" w:footer="0" w:top="1060" w:bottom="280" w:left="1275" w:right="1275"/>
        </w:sectPr>
      </w:pPr>
    </w:p>
    <w:p>
      <w:pPr>
        <w:pStyle w:val="BodyText"/>
      </w:pPr>
    </w:p>
    <w:p>
      <w:pPr>
        <w:pStyle w:val="BodyText"/>
        <w:spacing w:before="25"/>
      </w:pPr>
    </w:p>
    <w:p>
      <w:pPr>
        <w:pStyle w:val="ListParagraph"/>
        <w:numPr>
          <w:ilvl w:val="0"/>
          <w:numId w:val="60"/>
        </w:numPr>
        <w:tabs>
          <w:tab w:pos="613" w:val="left" w:leader="none"/>
        </w:tabs>
        <w:spacing w:line="312" w:lineRule="auto" w:before="1" w:after="0"/>
        <w:ind w:left="142" w:right="707" w:firstLine="338"/>
        <w:jc w:val="left"/>
        <w:rPr>
          <w:sz w:val="22"/>
        </w:rPr>
      </w:pPr>
      <w:r>
        <w:rPr>
          <w:sz w:val="22"/>
        </w:rPr>
        <w:t>The student understands and is able to explain all content in this dissertation, including all sections revised with AI assistance.</w:t>
      </w:r>
    </w:p>
    <w:p>
      <w:pPr>
        <w:pStyle w:val="BodyText"/>
        <w:spacing w:before="108"/>
        <w:ind w:left="142"/>
      </w:pPr>
      <w:r>
        <w:rPr/>
        <w:t>Hugo</w:t>
      </w:r>
      <w:r>
        <w:rPr>
          <w:spacing w:val="-7"/>
        </w:rPr>
        <w:t> </w:t>
      </w:r>
      <w:r>
        <w:rPr/>
        <w:t>Filipe</w:t>
      </w:r>
      <w:r>
        <w:rPr>
          <w:spacing w:val="-7"/>
        </w:rPr>
        <w:t> </w:t>
      </w:r>
      <w:r>
        <w:rPr/>
        <w:t>Queiróz</w:t>
      </w:r>
      <w:r>
        <w:rPr>
          <w:spacing w:val="-7"/>
        </w:rPr>
        <w:t> </w:t>
      </w:r>
      <w:r>
        <w:rPr/>
        <w:t>Nogueira,</w:t>
      </w:r>
      <w:r>
        <w:rPr>
          <w:spacing w:val="-7"/>
        </w:rPr>
        <w:t> </w:t>
      </w:r>
      <w:r>
        <w:rPr/>
        <w:t>June</w:t>
      </w:r>
      <w:r>
        <w:rPr>
          <w:spacing w:val="-7"/>
        </w:rPr>
        <w:t> </w:t>
      </w:r>
      <w:r>
        <w:rPr>
          <w:spacing w:val="-4"/>
        </w:rPr>
        <w:t>2026</w:t>
      </w:r>
    </w:p>
    <w:p>
      <w:pPr>
        <w:pStyle w:val="BodyText"/>
        <w:spacing w:after="0"/>
        <w:sectPr>
          <w:headerReference w:type="even" r:id="rId138"/>
          <w:pgSz w:w="11910" w:h="16840"/>
          <w:pgMar w:header="1160" w:footer="0" w:top="1420" w:bottom="280" w:left="1275" w:right="1275"/>
          <w:pgNumType w:start="116"/>
        </w:sectPr>
      </w:pPr>
    </w:p>
    <w:p>
      <w:pPr>
        <w:pStyle w:val="BodyText"/>
        <w:rPr>
          <w:sz w:val="49"/>
        </w:rPr>
      </w:pPr>
    </w:p>
    <w:p>
      <w:pPr>
        <w:pStyle w:val="BodyText"/>
        <w:spacing w:before="237"/>
        <w:rPr>
          <w:sz w:val="49"/>
        </w:rPr>
      </w:pPr>
    </w:p>
    <w:p>
      <w:pPr>
        <w:pStyle w:val="Heading1"/>
      </w:pPr>
      <w:bookmarkStart w:name="References" w:id="353"/>
      <w:bookmarkEnd w:id="353"/>
      <w:r>
        <w:rPr>
          <w:b w:val="0"/>
        </w:rPr>
      </w:r>
      <w:bookmarkStart w:name="_bookmark212" w:id="354"/>
      <w:bookmarkEnd w:id="354"/>
      <w:r>
        <w:rPr>
          <w:b w:val="0"/>
        </w:rPr>
      </w:r>
      <w:r>
        <w:rPr>
          <w:spacing w:val="-2"/>
        </w:rPr>
        <w:t>References</w:t>
      </w:r>
    </w:p>
    <w:p>
      <w:pPr>
        <w:pStyle w:val="BodyText"/>
        <w:spacing w:before="193"/>
        <w:rPr>
          <w:b/>
          <w:sz w:val="49"/>
        </w:rPr>
      </w:pPr>
    </w:p>
    <w:p>
      <w:pPr>
        <w:pStyle w:val="BodyText"/>
        <w:spacing w:line="256" w:lineRule="auto" w:before="1"/>
        <w:ind w:left="918" w:right="140" w:hanging="210"/>
        <w:jc w:val="both"/>
      </w:pPr>
      <w:bookmarkStart w:name="_bookmark213" w:id="355"/>
      <w:bookmarkEnd w:id="355"/>
      <w:r>
        <w:rPr/>
      </w:r>
      <w:r>
        <w:rPr>
          <w:spacing w:val="-2"/>
        </w:rPr>
        <w:t>Bock,</w:t>
      </w:r>
      <w:r>
        <w:rPr>
          <w:spacing w:val="-8"/>
        </w:rPr>
        <w:t> </w:t>
      </w:r>
      <w:r>
        <w:rPr>
          <w:spacing w:val="-2"/>
        </w:rPr>
        <w:t>A.,</w:t>
      </w:r>
      <w:r>
        <w:rPr>
          <w:spacing w:val="-8"/>
        </w:rPr>
        <w:t> </w:t>
      </w:r>
      <w:r>
        <w:rPr>
          <w:spacing w:val="-2"/>
        </w:rPr>
        <w:t>Sparks,</w:t>
      </w:r>
      <w:r>
        <w:rPr>
          <w:spacing w:val="-8"/>
        </w:rPr>
        <w:t> </w:t>
      </w:r>
      <w:r>
        <w:rPr>
          <w:spacing w:val="-2"/>
        </w:rPr>
        <w:t>T.</w:t>
      </w:r>
      <w:r>
        <w:rPr>
          <w:spacing w:val="-8"/>
        </w:rPr>
        <w:t> </w:t>
      </w:r>
      <w:r>
        <w:rPr>
          <w:spacing w:val="-2"/>
        </w:rPr>
        <w:t>H.,</w:t>
      </w:r>
      <w:r>
        <w:rPr>
          <w:spacing w:val="-8"/>
        </w:rPr>
        <w:t> </w:t>
      </w:r>
      <w:r>
        <w:rPr>
          <w:spacing w:val="-2"/>
        </w:rPr>
        <w:t>Estrella,</w:t>
      </w:r>
      <w:r>
        <w:rPr>
          <w:spacing w:val="-8"/>
        </w:rPr>
        <w:t> </w:t>
      </w:r>
      <w:r>
        <w:rPr>
          <w:spacing w:val="-2"/>
        </w:rPr>
        <w:t>N.,</w:t>
      </w:r>
      <w:r>
        <w:rPr>
          <w:spacing w:val="-8"/>
        </w:rPr>
        <w:t> </w:t>
      </w:r>
      <w:r>
        <w:rPr>
          <w:spacing w:val="-2"/>
        </w:rPr>
        <w:t>Menzel,</w:t>
      </w:r>
      <w:r>
        <w:rPr>
          <w:spacing w:val="-8"/>
        </w:rPr>
        <w:t> </w:t>
      </w:r>
      <w:r>
        <w:rPr>
          <w:spacing w:val="-2"/>
        </w:rPr>
        <w:t>and</w:t>
      </w:r>
      <w:r>
        <w:rPr>
          <w:spacing w:val="-8"/>
        </w:rPr>
        <w:t> </w:t>
      </w:r>
      <w:r>
        <w:rPr>
          <w:spacing w:val="-2"/>
        </w:rPr>
        <w:t>A.</w:t>
      </w:r>
      <w:r>
        <w:rPr>
          <w:spacing w:val="12"/>
        </w:rPr>
        <w:t> </w:t>
      </w:r>
      <w:r>
        <w:rPr>
          <w:spacing w:val="-2"/>
        </w:rPr>
        <w:t>Changes</w:t>
      </w:r>
      <w:r>
        <w:rPr>
          <w:spacing w:val="-8"/>
        </w:rPr>
        <w:t> </w:t>
      </w:r>
      <w:r>
        <w:rPr>
          <w:spacing w:val="-2"/>
        </w:rPr>
        <w:t>in</w:t>
      </w:r>
      <w:r>
        <w:rPr>
          <w:spacing w:val="-8"/>
        </w:rPr>
        <w:t> </w:t>
      </w:r>
      <w:r>
        <w:rPr>
          <w:spacing w:val="-2"/>
        </w:rPr>
        <w:t>the</w:t>
      </w:r>
      <w:r>
        <w:rPr>
          <w:spacing w:val="-8"/>
        </w:rPr>
        <w:t> </w:t>
      </w:r>
      <w:r>
        <w:rPr>
          <w:spacing w:val="-2"/>
        </w:rPr>
        <w:t>phenology</w:t>
      </w:r>
      <w:r>
        <w:rPr>
          <w:spacing w:val="-8"/>
        </w:rPr>
        <w:t> </w:t>
      </w:r>
      <w:r>
        <w:rPr>
          <w:spacing w:val="-2"/>
        </w:rPr>
        <w:t>and</w:t>
      </w:r>
      <w:r>
        <w:rPr>
          <w:spacing w:val="-8"/>
        </w:rPr>
        <w:t> </w:t>
      </w:r>
      <w:r>
        <w:rPr>
          <w:spacing w:val="-2"/>
        </w:rPr>
        <w:t>composition</w:t>
      </w:r>
      <w:r>
        <w:rPr>
          <w:spacing w:val="-8"/>
        </w:rPr>
        <w:t> </w:t>
      </w:r>
      <w:r>
        <w:rPr>
          <w:spacing w:val="-2"/>
        </w:rPr>
        <w:t>of </w:t>
      </w:r>
      <w:r>
        <w:rPr/>
        <w:t>wine from franconia, germany.</w:t>
      </w:r>
      <w:r>
        <w:rPr>
          <w:spacing w:val="34"/>
        </w:rPr>
        <w:t> </w:t>
      </w:r>
      <w:r>
        <w:rPr>
          <w:i/>
        </w:rPr>
        <w:t>Climate Research</w:t>
      </w:r>
      <w:r>
        <w:rPr/>
        <w:t>, 2013.</w:t>
      </w:r>
      <w:r>
        <w:rPr>
          <w:spacing w:val="34"/>
        </w:rPr>
        <w:t> </w:t>
      </w:r>
      <w:r>
        <w:rPr/>
        <w:t>doi: 10.3354/cr01048.</w:t>
      </w:r>
    </w:p>
    <w:p>
      <w:pPr>
        <w:spacing w:before="203"/>
        <w:ind w:left="709" w:right="0" w:firstLine="0"/>
        <w:jc w:val="left"/>
        <w:rPr>
          <w:sz w:val="22"/>
        </w:rPr>
      </w:pPr>
      <w:bookmarkStart w:name="_bookmark214" w:id="356"/>
      <w:bookmarkEnd w:id="356"/>
      <w:r>
        <w:rPr/>
      </w:r>
      <w:r>
        <w:rPr>
          <w:sz w:val="22"/>
        </w:rPr>
        <w:t>Clark,</w:t>
      </w:r>
      <w:r>
        <w:rPr>
          <w:spacing w:val="-10"/>
          <w:sz w:val="22"/>
        </w:rPr>
        <w:t> </w:t>
      </w:r>
      <w:r>
        <w:rPr>
          <w:sz w:val="22"/>
        </w:rPr>
        <w:t>P.,</w:t>
      </w:r>
      <w:r>
        <w:rPr>
          <w:spacing w:val="-10"/>
          <w:sz w:val="22"/>
        </w:rPr>
        <w:t> </w:t>
      </w:r>
      <w:r>
        <w:rPr>
          <w:sz w:val="22"/>
        </w:rPr>
        <w:t>Niblett,</w:t>
      </w:r>
      <w:r>
        <w:rPr>
          <w:spacing w:val="-10"/>
          <w:sz w:val="22"/>
        </w:rPr>
        <w:t> </w:t>
      </w:r>
      <w:r>
        <w:rPr>
          <w:sz w:val="22"/>
        </w:rPr>
        <w:t>and</w:t>
      </w:r>
      <w:r>
        <w:rPr>
          <w:spacing w:val="-10"/>
          <w:sz w:val="22"/>
        </w:rPr>
        <w:t> </w:t>
      </w:r>
      <w:r>
        <w:rPr>
          <w:sz w:val="22"/>
        </w:rPr>
        <w:t>T.</w:t>
      </w:r>
      <w:r>
        <w:rPr>
          <w:spacing w:val="10"/>
          <w:sz w:val="22"/>
        </w:rPr>
        <w:t> </w:t>
      </w:r>
      <w:r>
        <w:rPr>
          <w:sz w:val="22"/>
        </w:rPr>
        <w:t>The</w:t>
      </w:r>
      <w:r>
        <w:rPr>
          <w:spacing w:val="-10"/>
          <w:sz w:val="22"/>
        </w:rPr>
        <w:t> </w:t>
      </w:r>
      <w:r>
        <w:rPr>
          <w:sz w:val="22"/>
        </w:rPr>
        <w:t>cn2</w:t>
      </w:r>
      <w:r>
        <w:rPr>
          <w:spacing w:val="-10"/>
          <w:sz w:val="22"/>
        </w:rPr>
        <w:t> </w:t>
      </w:r>
      <w:r>
        <w:rPr>
          <w:sz w:val="22"/>
        </w:rPr>
        <w:t>induction</w:t>
      </w:r>
      <w:r>
        <w:rPr>
          <w:spacing w:val="-10"/>
          <w:sz w:val="22"/>
        </w:rPr>
        <w:t> </w:t>
      </w:r>
      <w:r>
        <w:rPr>
          <w:sz w:val="22"/>
        </w:rPr>
        <w:t>algorithm.</w:t>
      </w:r>
      <w:r>
        <w:rPr>
          <w:spacing w:val="10"/>
          <w:sz w:val="22"/>
        </w:rPr>
        <w:t> </w:t>
      </w:r>
      <w:r>
        <w:rPr>
          <w:i/>
          <w:sz w:val="22"/>
        </w:rPr>
        <w:t>Machine</w:t>
      </w:r>
      <w:r>
        <w:rPr>
          <w:i/>
          <w:spacing w:val="-9"/>
          <w:sz w:val="22"/>
        </w:rPr>
        <w:t> </w:t>
      </w:r>
      <w:r>
        <w:rPr>
          <w:i/>
          <w:sz w:val="22"/>
        </w:rPr>
        <w:t>Learning</w:t>
      </w:r>
      <w:r>
        <w:rPr>
          <w:sz w:val="22"/>
        </w:rPr>
        <w:t>,</w:t>
      </w:r>
      <w:r>
        <w:rPr>
          <w:spacing w:val="-10"/>
          <w:sz w:val="22"/>
        </w:rPr>
        <w:t> </w:t>
      </w:r>
      <w:r>
        <w:rPr>
          <w:spacing w:val="-2"/>
          <w:sz w:val="22"/>
        </w:rPr>
        <w:t>1989.</w:t>
      </w:r>
    </w:p>
    <w:p>
      <w:pPr>
        <w:spacing w:line="256" w:lineRule="auto" w:before="220"/>
        <w:ind w:left="919" w:right="140" w:hanging="210"/>
        <w:jc w:val="both"/>
        <w:rPr>
          <w:sz w:val="22"/>
        </w:rPr>
      </w:pPr>
      <w:bookmarkStart w:name="_bookmark215" w:id="357"/>
      <w:bookmarkEnd w:id="357"/>
      <w:r>
        <w:rPr/>
      </w:r>
      <w:r>
        <w:rPr>
          <w:sz w:val="22"/>
        </w:rPr>
        <w:t>Cohen and W. W.</w:t>
      </w:r>
      <w:r>
        <w:rPr>
          <w:spacing w:val="40"/>
          <w:sz w:val="22"/>
        </w:rPr>
        <w:t> </w:t>
      </w:r>
      <w:r>
        <w:rPr>
          <w:sz w:val="22"/>
        </w:rPr>
        <w:t>Fast effective rule induction.</w:t>
      </w:r>
      <w:r>
        <w:rPr>
          <w:spacing w:val="40"/>
          <w:sz w:val="22"/>
        </w:rPr>
        <w:t> </w:t>
      </w:r>
      <w:r>
        <w:rPr>
          <w:sz w:val="22"/>
        </w:rPr>
        <w:t>In </w:t>
      </w:r>
      <w:r>
        <w:rPr>
          <w:i/>
          <w:sz w:val="22"/>
        </w:rPr>
        <w:t>In Proceedings of the 12th International</w:t>
      </w:r>
      <w:r>
        <w:rPr>
          <w:i/>
          <w:sz w:val="22"/>
        </w:rPr>
        <w:t> Conference on Machine Learning (ICML 1995)</w:t>
      </w:r>
      <w:r>
        <w:rPr>
          <w:sz w:val="22"/>
        </w:rPr>
        <w:t>, 1995.</w:t>
      </w:r>
    </w:p>
    <w:p>
      <w:pPr>
        <w:pStyle w:val="BodyText"/>
        <w:spacing w:line="256" w:lineRule="auto" w:before="203"/>
        <w:ind w:left="926" w:right="113" w:hanging="217"/>
        <w:jc w:val="both"/>
      </w:pPr>
      <w:bookmarkStart w:name="_bookmark216" w:id="358"/>
      <w:bookmarkEnd w:id="358"/>
      <w:r>
        <w:rPr/>
      </w:r>
      <w:r>
        <w:rPr>
          <w:spacing w:val="-2"/>
        </w:rPr>
        <w:t>Cunha,</w:t>
      </w:r>
      <w:r>
        <w:rPr>
          <w:spacing w:val="-9"/>
        </w:rPr>
        <w:t> </w:t>
      </w:r>
      <w:r>
        <w:rPr>
          <w:spacing w:val="-2"/>
        </w:rPr>
        <w:t>M.,</w:t>
      </w:r>
      <w:r>
        <w:rPr>
          <w:spacing w:val="-9"/>
        </w:rPr>
        <w:t> </w:t>
      </w:r>
      <w:r>
        <w:rPr>
          <w:spacing w:val="-2"/>
        </w:rPr>
        <w:t>Richter,</w:t>
      </w:r>
      <w:r>
        <w:rPr>
          <w:spacing w:val="-9"/>
        </w:rPr>
        <w:t> </w:t>
      </w:r>
      <w:r>
        <w:rPr>
          <w:spacing w:val="-2"/>
        </w:rPr>
        <w:t>and</w:t>
      </w:r>
      <w:r>
        <w:rPr>
          <w:spacing w:val="-9"/>
        </w:rPr>
        <w:t> </w:t>
      </w:r>
      <w:r>
        <w:rPr>
          <w:spacing w:val="-2"/>
        </w:rPr>
        <w:t>C.</w:t>
      </w:r>
      <w:r>
        <w:rPr>
          <w:spacing w:val="8"/>
        </w:rPr>
        <w:t> </w:t>
      </w:r>
      <w:r>
        <w:rPr>
          <w:spacing w:val="-2"/>
        </w:rPr>
        <w:t>Measuring</w:t>
      </w:r>
      <w:r>
        <w:rPr>
          <w:spacing w:val="-9"/>
        </w:rPr>
        <w:t> </w:t>
      </w:r>
      <w:r>
        <w:rPr>
          <w:spacing w:val="-2"/>
        </w:rPr>
        <w:t>the</w:t>
      </w:r>
      <w:r>
        <w:rPr>
          <w:spacing w:val="-10"/>
        </w:rPr>
        <w:t> </w:t>
      </w:r>
      <w:r>
        <w:rPr>
          <w:spacing w:val="-2"/>
        </w:rPr>
        <w:t>impact</w:t>
      </w:r>
      <w:r>
        <w:rPr>
          <w:spacing w:val="-9"/>
        </w:rPr>
        <w:t> </w:t>
      </w:r>
      <w:r>
        <w:rPr>
          <w:spacing w:val="-2"/>
        </w:rPr>
        <w:t>of</w:t>
      </w:r>
      <w:r>
        <w:rPr>
          <w:spacing w:val="-10"/>
        </w:rPr>
        <w:t> </w:t>
      </w:r>
      <w:r>
        <w:rPr>
          <w:spacing w:val="-2"/>
        </w:rPr>
        <w:t>temperature</w:t>
      </w:r>
      <w:r>
        <w:rPr>
          <w:spacing w:val="-10"/>
        </w:rPr>
        <w:t> </w:t>
      </w:r>
      <w:r>
        <w:rPr>
          <w:spacing w:val="-2"/>
        </w:rPr>
        <w:t>changes</w:t>
      </w:r>
      <w:r>
        <w:rPr>
          <w:spacing w:val="-9"/>
        </w:rPr>
        <w:t> </w:t>
      </w:r>
      <w:r>
        <w:rPr>
          <w:spacing w:val="-2"/>
        </w:rPr>
        <w:t>on</w:t>
      </w:r>
      <w:r>
        <w:rPr>
          <w:spacing w:val="-10"/>
        </w:rPr>
        <w:t> </w:t>
      </w:r>
      <w:r>
        <w:rPr>
          <w:spacing w:val="-2"/>
        </w:rPr>
        <w:t>the</w:t>
      </w:r>
      <w:r>
        <w:rPr>
          <w:spacing w:val="-9"/>
        </w:rPr>
        <w:t> </w:t>
      </w:r>
      <w:r>
        <w:rPr>
          <w:spacing w:val="-2"/>
        </w:rPr>
        <w:t>wine</w:t>
      </w:r>
      <w:r>
        <w:rPr>
          <w:spacing w:val="-10"/>
        </w:rPr>
        <w:t> </w:t>
      </w:r>
      <w:r>
        <w:rPr>
          <w:spacing w:val="-2"/>
        </w:rPr>
        <w:t>production</w:t>
      </w:r>
      <w:r>
        <w:rPr>
          <w:spacing w:val="-9"/>
        </w:rPr>
        <w:t> </w:t>
      </w:r>
      <w:r>
        <w:rPr>
          <w:spacing w:val="-2"/>
        </w:rPr>
        <w:t>in the</w:t>
      </w:r>
      <w:r>
        <w:rPr>
          <w:spacing w:val="-12"/>
        </w:rPr>
        <w:t> </w:t>
      </w:r>
      <w:r>
        <w:rPr>
          <w:spacing w:val="-2"/>
        </w:rPr>
        <w:t>douro</w:t>
      </w:r>
      <w:r>
        <w:rPr>
          <w:spacing w:val="-11"/>
        </w:rPr>
        <w:t> </w:t>
      </w:r>
      <w:r>
        <w:rPr>
          <w:spacing w:val="-2"/>
        </w:rPr>
        <w:t>region</w:t>
      </w:r>
      <w:r>
        <w:rPr>
          <w:spacing w:val="-12"/>
        </w:rPr>
        <w:t> </w:t>
      </w:r>
      <w:r>
        <w:rPr>
          <w:spacing w:val="-2"/>
        </w:rPr>
        <w:t>using</w:t>
      </w:r>
      <w:r>
        <w:rPr>
          <w:spacing w:val="-11"/>
        </w:rPr>
        <w:t> </w:t>
      </w:r>
      <w:r>
        <w:rPr>
          <w:spacing w:val="-2"/>
        </w:rPr>
        <w:t>the</w:t>
      </w:r>
      <w:r>
        <w:rPr>
          <w:spacing w:val="-12"/>
        </w:rPr>
        <w:t> </w:t>
      </w:r>
      <w:r>
        <w:rPr>
          <w:spacing w:val="-2"/>
        </w:rPr>
        <w:t>short</w:t>
      </w:r>
      <w:r>
        <w:rPr>
          <w:spacing w:val="-11"/>
        </w:rPr>
        <w:t> </w:t>
      </w:r>
      <w:r>
        <w:rPr>
          <w:spacing w:val="-2"/>
        </w:rPr>
        <w:t>time</w:t>
      </w:r>
      <w:r>
        <w:rPr>
          <w:spacing w:val="-12"/>
        </w:rPr>
        <w:t> </w:t>
      </w:r>
      <w:r>
        <w:rPr>
          <w:spacing w:val="-2"/>
        </w:rPr>
        <w:t>fourier</w:t>
      </w:r>
      <w:r>
        <w:rPr>
          <w:spacing w:val="-11"/>
        </w:rPr>
        <w:t> </w:t>
      </w:r>
      <w:r>
        <w:rPr>
          <w:spacing w:val="-2"/>
        </w:rPr>
        <w:t>transform.</w:t>
      </w:r>
      <w:r>
        <w:rPr>
          <w:spacing w:val="6"/>
        </w:rPr>
        <w:t> </w:t>
      </w:r>
      <w:r>
        <w:rPr>
          <w:i/>
          <w:spacing w:val="-2"/>
        </w:rPr>
        <w:t>International</w:t>
      </w:r>
      <w:r>
        <w:rPr>
          <w:i/>
          <w:spacing w:val="-12"/>
        </w:rPr>
        <w:t> </w:t>
      </w:r>
      <w:r>
        <w:rPr>
          <w:i/>
          <w:spacing w:val="-2"/>
        </w:rPr>
        <w:t>Journal</w:t>
      </w:r>
      <w:r>
        <w:rPr>
          <w:i/>
          <w:spacing w:val="-11"/>
        </w:rPr>
        <w:t> </w:t>
      </w:r>
      <w:r>
        <w:rPr>
          <w:i/>
          <w:spacing w:val="-2"/>
        </w:rPr>
        <w:t>of</w:t>
      </w:r>
      <w:r>
        <w:rPr>
          <w:i/>
          <w:spacing w:val="-12"/>
        </w:rPr>
        <w:t> </w:t>
      </w:r>
      <w:r>
        <w:rPr>
          <w:i/>
          <w:spacing w:val="-2"/>
        </w:rPr>
        <w:t>Biometeorology</w:t>
      </w:r>
      <w:r>
        <w:rPr>
          <w:spacing w:val="-2"/>
        </w:rPr>
        <w:t>, </w:t>
      </w:r>
      <w:r>
        <w:rPr/>
        <w:t>2012. doi: 10.1007/s00484-011-0444-3.</w:t>
      </w:r>
    </w:p>
    <w:p>
      <w:pPr>
        <w:pStyle w:val="BodyText"/>
        <w:spacing w:line="256" w:lineRule="auto" w:before="204"/>
        <w:ind w:left="926" w:right="140" w:hanging="217"/>
        <w:jc w:val="both"/>
      </w:pPr>
      <w:bookmarkStart w:name="_bookmark217" w:id="359"/>
      <w:bookmarkEnd w:id="359"/>
      <w:r>
        <w:rPr/>
      </w:r>
      <w:r>
        <w:rPr/>
        <w:t>Cunha, M., Richter, and C.</w:t>
      </w:r>
      <w:r>
        <w:rPr>
          <w:spacing w:val="40"/>
        </w:rPr>
        <w:t> </w:t>
      </w:r>
      <w:r>
        <w:rPr/>
        <w:t>The impact of climate change on the winegrape vineyards of the portuguese douro region.</w:t>
      </w:r>
      <w:r>
        <w:rPr>
          <w:spacing w:val="40"/>
        </w:rPr>
        <w:t> </w:t>
      </w:r>
      <w:r>
        <w:rPr>
          <w:i/>
        </w:rPr>
        <w:t>Climatic Change</w:t>
      </w:r>
      <w:r>
        <w:rPr/>
        <w:t>, 2016.</w:t>
      </w:r>
      <w:r>
        <w:rPr>
          <w:spacing w:val="40"/>
        </w:rPr>
        <w:t> </w:t>
      </w:r>
      <w:r>
        <w:rPr/>
        <w:t>doi: 10.1007/s10584-016-1719-0.</w:t>
      </w:r>
    </w:p>
    <w:p>
      <w:pPr>
        <w:pStyle w:val="BodyText"/>
        <w:spacing w:line="256" w:lineRule="auto" w:before="203"/>
        <w:ind w:left="926" w:right="113" w:hanging="217"/>
        <w:jc w:val="both"/>
      </w:pPr>
      <w:bookmarkStart w:name="_bookmark218" w:id="360"/>
      <w:bookmarkEnd w:id="360"/>
      <w:r>
        <w:rPr/>
      </w:r>
      <w:r>
        <w:rPr/>
        <w:t>Cunha,</w:t>
      </w:r>
      <w:r>
        <w:rPr>
          <w:spacing w:val="-11"/>
        </w:rPr>
        <w:t> </w:t>
      </w:r>
      <w:r>
        <w:rPr/>
        <w:t>M.,</w:t>
      </w:r>
      <w:r>
        <w:rPr>
          <w:spacing w:val="-11"/>
        </w:rPr>
        <w:t> </w:t>
      </w:r>
      <w:r>
        <w:rPr/>
        <w:t>Richter,</w:t>
      </w:r>
      <w:r>
        <w:rPr>
          <w:spacing w:val="-11"/>
        </w:rPr>
        <w:t> </w:t>
      </w:r>
      <w:r>
        <w:rPr/>
        <w:t>and</w:t>
      </w:r>
      <w:r>
        <w:rPr>
          <w:spacing w:val="-11"/>
        </w:rPr>
        <w:t> </w:t>
      </w:r>
      <w:r>
        <w:rPr/>
        <w:t>C.</w:t>
      </w:r>
      <w:r>
        <w:rPr>
          <w:spacing w:val="8"/>
        </w:rPr>
        <w:t> </w:t>
      </w:r>
      <w:r>
        <w:rPr/>
        <w:t>Climate-induced</w:t>
      </w:r>
      <w:r>
        <w:rPr>
          <w:spacing w:val="-11"/>
        </w:rPr>
        <w:t> </w:t>
      </w:r>
      <w:r>
        <w:rPr/>
        <w:t>cyclical</w:t>
      </w:r>
      <w:r>
        <w:rPr>
          <w:spacing w:val="-11"/>
        </w:rPr>
        <w:t> </w:t>
      </w:r>
      <w:r>
        <w:rPr/>
        <w:t>properties</w:t>
      </w:r>
      <w:r>
        <w:rPr>
          <w:spacing w:val="-11"/>
        </w:rPr>
        <w:t> </w:t>
      </w:r>
      <w:r>
        <w:rPr/>
        <w:t>of</w:t>
      </w:r>
      <w:r>
        <w:rPr>
          <w:spacing w:val="-11"/>
        </w:rPr>
        <w:t> </w:t>
      </w:r>
      <w:r>
        <w:rPr/>
        <w:t>regional</w:t>
      </w:r>
      <w:r>
        <w:rPr>
          <w:spacing w:val="-11"/>
        </w:rPr>
        <w:t> </w:t>
      </w:r>
      <w:r>
        <w:rPr/>
        <w:t>wine</w:t>
      </w:r>
      <w:r>
        <w:rPr>
          <w:spacing w:val="-11"/>
        </w:rPr>
        <w:t> </w:t>
      </w:r>
      <w:r>
        <w:rPr/>
        <w:t>production</w:t>
      </w:r>
      <w:r>
        <w:rPr>
          <w:spacing w:val="-11"/>
        </w:rPr>
        <w:t> </w:t>
      </w:r>
      <w:r>
        <w:rPr/>
        <w:t>using a time-frequency approach in douro and minho wine regions.</w:t>
      </w:r>
      <w:r>
        <w:rPr>
          <w:spacing w:val="40"/>
        </w:rPr>
        <w:t> </w:t>
      </w:r>
      <w:r>
        <w:rPr>
          <w:i/>
        </w:rPr>
        <w:t>Ciência e Técnica Vitivinícola</w:t>
      </w:r>
      <w:r>
        <w:rPr/>
        <w:t>, 2020. doi: 10.1051/ctv/20203501016.</w:t>
      </w:r>
    </w:p>
    <w:p>
      <w:pPr>
        <w:spacing w:line="256" w:lineRule="auto" w:before="203"/>
        <w:ind w:left="919" w:right="140" w:hanging="210"/>
        <w:jc w:val="both"/>
        <w:rPr>
          <w:sz w:val="22"/>
        </w:rPr>
      </w:pPr>
      <w:bookmarkStart w:name="_bookmark219" w:id="361"/>
      <w:bookmarkEnd w:id="361"/>
      <w:r>
        <w:rPr/>
      </w:r>
      <w:r>
        <w:rPr>
          <w:sz w:val="22"/>
        </w:rPr>
        <w:t>Duivesteijn, W., Feelders, A., Knobbe, and A.</w:t>
      </w:r>
      <w:r>
        <w:rPr>
          <w:spacing w:val="40"/>
          <w:sz w:val="22"/>
        </w:rPr>
        <w:t> </w:t>
      </w:r>
      <w:r>
        <w:rPr>
          <w:sz w:val="22"/>
        </w:rPr>
        <w:t>Exceptional model mining.</w:t>
      </w:r>
      <w:r>
        <w:rPr>
          <w:spacing w:val="40"/>
          <w:sz w:val="22"/>
        </w:rPr>
        <w:t> </w:t>
      </w:r>
      <w:r>
        <w:rPr>
          <w:i/>
          <w:sz w:val="22"/>
        </w:rPr>
        <w:t>Data Mining and</w:t>
      </w:r>
      <w:r>
        <w:rPr>
          <w:i/>
          <w:sz w:val="22"/>
        </w:rPr>
        <w:t> Knowledge Discovery</w:t>
      </w:r>
      <w:r>
        <w:rPr>
          <w:sz w:val="22"/>
        </w:rPr>
        <w:t>, 2016. doi: 10.1007/s10618-016-0474-0.</w:t>
      </w:r>
    </w:p>
    <w:p>
      <w:pPr>
        <w:pStyle w:val="BodyText"/>
        <w:spacing w:line="256" w:lineRule="auto" w:before="203"/>
        <w:ind w:left="926" w:right="113" w:hanging="217"/>
        <w:jc w:val="both"/>
      </w:pPr>
      <w:bookmarkStart w:name="_bookmark220" w:id="362"/>
      <w:bookmarkEnd w:id="362"/>
      <w:r>
        <w:rPr/>
      </w:r>
      <w:r>
        <w:rPr/>
        <w:t>Fraga,</w:t>
      </w:r>
      <w:r>
        <w:rPr>
          <w:spacing w:val="-12"/>
        </w:rPr>
        <w:t> </w:t>
      </w:r>
      <w:r>
        <w:rPr/>
        <w:t>H.,</w:t>
      </w:r>
      <w:r>
        <w:rPr>
          <w:spacing w:val="-12"/>
        </w:rPr>
        <w:t> </w:t>
      </w:r>
      <w:r>
        <w:rPr/>
        <w:t>Malheiro,</w:t>
      </w:r>
      <w:r>
        <w:rPr>
          <w:spacing w:val="-12"/>
        </w:rPr>
        <w:t> </w:t>
      </w:r>
      <w:r>
        <w:rPr/>
        <w:t>A.</w:t>
      </w:r>
      <w:r>
        <w:rPr>
          <w:spacing w:val="-12"/>
        </w:rPr>
        <w:t> </w:t>
      </w:r>
      <w:r>
        <w:rPr/>
        <w:t>C.,</w:t>
      </w:r>
      <w:r>
        <w:rPr>
          <w:spacing w:val="-12"/>
        </w:rPr>
        <w:t> </w:t>
      </w:r>
      <w:r>
        <w:rPr/>
        <w:t>Moutinho-Pereira,</w:t>
      </w:r>
      <w:r>
        <w:rPr>
          <w:spacing w:val="-12"/>
        </w:rPr>
        <w:t> </w:t>
      </w:r>
      <w:r>
        <w:rPr/>
        <w:t>J.,</w:t>
      </w:r>
      <w:r>
        <w:rPr>
          <w:spacing w:val="-12"/>
        </w:rPr>
        <w:t> </w:t>
      </w:r>
      <w:r>
        <w:rPr/>
        <w:t>Santos,</w:t>
      </w:r>
      <w:r>
        <w:rPr>
          <w:spacing w:val="-12"/>
        </w:rPr>
        <w:t> </w:t>
      </w:r>
      <w:r>
        <w:rPr/>
        <w:t>and</w:t>
      </w:r>
      <w:r>
        <w:rPr>
          <w:spacing w:val="-12"/>
        </w:rPr>
        <w:t> </w:t>
      </w:r>
      <w:r>
        <w:rPr/>
        <w:t>J.</w:t>
      </w:r>
      <w:r>
        <w:rPr>
          <w:spacing w:val="-12"/>
        </w:rPr>
        <w:t> </w:t>
      </w:r>
      <w:r>
        <w:rPr/>
        <w:t>A.</w:t>
      </w:r>
      <w:r>
        <w:rPr>
          <w:spacing w:val="7"/>
        </w:rPr>
        <w:t> </w:t>
      </w:r>
      <w:r>
        <w:rPr/>
        <w:t>Statistical</w:t>
      </w:r>
      <w:r>
        <w:rPr>
          <w:spacing w:val="-12"/>
        </w:rPr>
        <w:t> </w:t>
      </w:r>
      <w:r>
        <w:rPr/>
        <w:t>modelling</w:t>
      </w:r>
      <w:r>
        <w:rPr>
          <w:spacing w:val="-12"/>
        </w:rPr>
        <w:t> </w:t>
      </w:r>
      <w:r>
        <w:rPr/>
        <w:t>of</w:t>
      </w:r>
      <w:r>
        <w:rPr>
          <w:spacing w:val="-12"/>
        </w:rPr>
        <w:t> </w:t>
      </w:r>
      <w:r>
        <w:rPr/>
        <w:t>climate impacts</w:t>
      </w:r>
      <w:r>
        <w:rPr>
          <w:spacing w:val="-7"/>
        </w:rPr>
        <w:t> </w:t>
      </w:r>
      <w:r>
        <w:rPr/>
        <w:t>on</w:t>
      </w:r>
      <w:r>
        <w:rPr>
          <w:spacing w:val="-7"/>
        </w:rPr>
        <w:t> </w:t>
      </w:r>
      <w:r>
        <w:rPr/>
        <w:t>grapevine</w:t>
      </w:r>
      <w:r>
        <w:rPr>
          <w:spacing w:val="-7"/>
        </w:rPr>
        <w:t> </w:t>
      </w:r>
      <w:r>
        <w:rPr/>
        <w:t>yield</w:t>
      </w:r>
      <w:r>
        <w:rPr>
          <w:spacing w:val="-7"/>
        </w:rPr>
        <w:t> </w:t>
      </w:r>
      <w:r>
        <w:rPr/>
        <w:t>and</w:t>
      </w:r>
      <w:r>
        <w:rPr>
          <w:spacing w:val="-7"/>
        </w:rPr>
        <w:t> </w:t>
      </w:r>
      <w:r>
        <w:rPr/>
        <w:t>wine</w:t>
      </w:r>
      <w:r>
        <w:rPr>
          <w:spacing w:val="-7"/>
        </w:rPr>
        <w:t> </w:t>
      </w:r>
      <w:r>
        <w:rPr/>
        <w:t>quality.</w:t>
      </w:r>
      <w:r>
        <w:rPr>
          <w:spacing w:val="15"/>
        </w:rPr>
        <w:t> </w:t>
      </w:r>
      <w:r>
        <w:rPr>
          <w:i/>
        </w:rPr>
        <w:t>Australian</w:t>
      </w:r>
      <w:r>
        <w:rPr>
          <w:i/>
          <w:spacing w:val="-7"/>
        </w:rPr>
        <w:t> </w:t>
      </w:r>
      <w:r>
        <w:rPr>
          <w:i/>
        </w:rPr>
        <w:t>Journal</w:t>
      </w:r>
      <w:r>
        <w:rPr>
          <w:i/>
          <w:spacing w:val="-7"/>
        </w:rPr>
        <w:t> </w:t>
      </w:r>
      <w:r>
        <w:rPr>
          <w:i/>
        </w:rPr>
        <w:t>of</w:t>
      </w:r>
      <w:r>
        <w:rPr>
          <w:i/>
          <w:spacing w:val="-7"/>
        </w:rPr>
        <w:t> </w:t>
      </w:r>
      <w:r>
        <w:rPr>
          <w:i/>
        </w:rPr>
        <w:t>Grape</w:t>
      </w:r>
      <w:r>
        <w:rPr>
          <w:i/>
          <w:spacing w:val="-7"/>
        </w:rPr>
        <w:t> </w:t>
      </w:r>
      <w:r>
        <w:rPr>
          <w:i/>
        </w:rPr>
        <w:t>and</w:t>
      </w:r>
      <w:r>
        <w:rPr>
          <w:i/>
          <w:spacing w:val="-7"/>
        </w:rPr>
        <w:t> </w:t>
      </w:r>
      <w:r>
        <w:rPr>
          <w:i/>
        </w:rPr>
        <w:t>Wine</w:t>
      </w:r>
      <w:r>
        <w:rPr>
          <w:i/>
          <w:spacing w:val="-7"/>
        </w:rPr>
        <w:t> </w:t>
      </w:r>
      <w:r>
        <w:rPr>
          <w:i/>
        </w:rPr>
        <w:t>Research</w:t>
      </w:r>
      <w:r>
        <w:rPr/>
        <w:t>, 2024.</w:t>
      </w:r>
      <w:r>
        <w:rPr>
          <w:spacing w:val="38"/>
        </w:rPr>
        <w:t> </w:t>
      </w:r>
      <w:r>
        <w:rPr/>
        <w:t>TODO: confirm title, journal and DOI with supervisor.</w:t>
      </w:r>
    </w:p>
    <w:p>
      <w:pPr>
        <w:pStyle w:val="BodyText"/>
        <w:spacing w:line="256" w:lineRule="auto" w:before="203"/>
        <w:ind w:left="926" w:right="111" w:hanging="217"/>
        <w:jc w:val="both"/>
      </w:pPr>
      <w:bookmarkStart w:name="_bookmark221" w:id="363"/>
      <w:bookmarkEnd w:id="363"/>
      <w:r>
        <w:rPr/>
      </w:r>
      <w:r>
        <w:rPr>
          <w:spacing w:val="-2"/>
        </w:rPr>
        <w:t>Herrera,</w:t>
      </w:r>
      <w:r>
        <w:rPr>
          <w:spacing w:val="-8"/>
        </w:rPr>
        <w:t> </w:t>
      </w:r>
      <w:r>
        <w:rPr>
          <w:spacing w:val="-2"/>
        </w:rPr>
        <w:t>F.,</w:t>
      </w:r>
      <w:r>
        <w:rPr>
          <w:spacing w:val="-8"/>
        </w:rPr>
        <w:t> </w:t>
      </w:r>
      <w:r>
        <w:rPr>
          <w:spacing w:val="-2"/>
        </w:rPr>
        <w:t>Carmona,</w:t>
      </w:r>
      <w:r>
        <w:rPr>
          <w:spacing w:val="-8"/>
        </w:rPr>
        <w:t> </w:t>
      </w:r>
      <w:r>
        <w:rPr>
          <w:spacing w:val="-2"/>
        </w:rPr>
        <w:t>C.</w:t>
      </w:r>
      <w:r>
        <w:rPr>
          <w:spacing w:val="-8"/>
        </w:rPr>
        <w:t> </w:t>
      </w:r>
      <w:r>
        <w:rPr>
          <w:spacing w:val="-2"/>
        </w:rPr>
        <w:t>J.,</w:t>
      </w:r>
      <w:r>
        <w:rPr>
          <w:spacing w:val="-8"/>
        </w:rPr>
        <w:t> </w:t>
      </w:r>
      <w:r>
        <w:rPr>
          <w:spacing w:val="-2"/>
        </w:rPr>
        <w:t>González,</w:t>
      </w:r>
      <w:r>
        <w:rPr>
          <w:spacing w:val="-8"/>
        </w:rPr>
        <w:t> </w:t>
      </w:r>
      <w:r>
        <w:rPr>
          <w:spacing w:val="-2"/>
        </w:rPr>
        <w:t>P.,</w:t>
      </w:r>
      <w:r>
        <w:rPr>
          <w:spacing w:val="-8"/>
        </w:rPr>
        <w:t> </w:t>
      </w:r>
      <w:r>
        <w:rPr>
          <w:spacing w:val="-2"/>
        </w:rPr>
        <w:t>del</w:t>
      </w:r>
      <w:r>
        <w:rPr>
          <w:spacing w:val="-8"/>
        </w:rPr>
        <w:t> </w:t>
      </w:r>
      <w:r>
        <w:rPr>
          <w:spacing w:val="-2"/>
        </w:rPr>
        <w:t>Jesus,</w:t>
      </w:r>
      <w:r>
        <w:rPr>
          <w:spacing w:val="-8"/>
        </w:rPr>
        <w:t> </w:t>
      </w:r>
      <w:r>
        <w:rPr>
          <w:spacing w:val="-2"/>
        </w:rPr>
        <w:t>and</w:t>
      </w:r>
      <w:r>
        <w:rPr>
          <w:spacing w:val="-8"/>
        </w:rPr>
        <w:t> </w:t>
      </w:r>
      <w:r>
        <w:rPr>
          <w:spacing w:val="-2"/>
        </w:rPr>
        <w:t>M.</w:t>
      </w:r>
      <w:r>
        <w:rPr>
          <w:spacing w:val="-8"/>
        </w:rPr>
        <w:t> </w:t>
      </w:r>
      <w:r>
        <w:rPr>
          <w:spacing w:val="-2"/>
        </w:rPr>
        <w:t>J.</w:t>
      </w:r>
      <w:r>
        <w:rPr>
          <w:spacing w:val="15"/>
        </w:rPr>
        <w:t> </w:t>
      </w:r>
      <w:r>
        <w:rPr>
          <w:spacing w:val="-2"/>
        </w:rPr>
        <w:t>An</w:t>
      </w:r>
      <w:r>
        <w:rPr>
          <w:spacing w:val="-8"/>
        </w:rPr>
        <w:t> </w:t>
      </w:r>
      <w:r>
        <w:rPr>
          <w:spacing w:val="-2"/>
        </w:rPr>
        <w:t>overview</w:t>
      </w:r>
      <w:r>
        <w:rPr>
          <w:spacing w:val="-8"/>
        </w:rPr>
        <w:t> </w:t>
      </w:r>
      <w:r>
        <w:rPr>
          <w:spacing w:val="-2"/>
        </w:rPr>
        <w:t>on</w:t>
      </w:r>
      <w:r>
        <w:rPr>
          <w:spacing w:val="-8"/>
        </w:rPr>
        <w:t> </w:t>
      </w:r>
      <w:r>
        <w:rPr>
          <w:spacing w:val="-2"/>
        </w:rPr>
        <w:t>subgroup</w:t>
      </w:r>
      <w:r>
        <w:rPr>
          <w:spacing w:val="-8"/>
        </w:rPr>
        <w:t> </w:t>
      </w:r>
      <w:r>
        <w:rPr>
          <w:spacing w:val="-2"/>
        </w:rPr>
        <w:t>discovery: </w:t>
      </w:r>
      <w:r>
        <w:rPr/>
        <w:t>foundations and applications.</w:t>
      </w:r>
      <w:r>
        <w:rPr>
          <w:spacing w:val="40"/>
        </w:rPr>
        <w:t> </w:t>
      </w:r>
      <w:r>
        <w:rPr>
          <w:i/>
        </w:rPr>
        <w:t>Knowledge and Information Systems</w:t>
      </w:r>
      <w:r>
        <w:rPr/>
        <w:t>, 2011.</w:t>
      </w:r>
      <w:r>
        <w:rPr>
          <w:spacing w:val="40"/>
        </w:rPr>
        <w:t> </w:t>
      </w:r>
      <w:r>
        <w:rPr/>
        <w:t>doi: 10.1007/ </w:t>
      </w:r>
      <w:r>
        <w:rPr>
          <w:spacing w:val="-2"/>
        </w:rPr>
        <w:t>s10115-010-0356-2.</w:t>
      </w:r>
    </w:p>
    <w:p>
      <w:pPr>
        <w:spacing w:line="256" w:lineRule="auto" w:before="204"/>
        <w:ind w:left="918" w:right="102" w:hanging="210"/>
        <w:jc w:val="both"/>
        <w:rPr>
          <w:sz w:val="22"/>
        </w:rPr>
      </w:pPr>
      <w:bookmarkStart w:name="_bookmark222" w:id="364"/>
      <w:bookmarkEnd w:id="364"/>
      <w:r>
        <w:rPr/>
      </w:r>
      <w:r>
        <w:rPr>
          <w:sz w:val="22"/>
        </w:rPr>
        <w:t>Jorge,</w:t>
      </w:r>
      <w:r>
        <w:rPr>
          <w:spacing w:val="-6"/>
          <w:sz w:val="22"/>
        </w:rPr>
        <w:t> </w:t>
      </w:r>
      <w:r>
        <w:rPr>
          <w:sz w:val="22"/>
        </w:rPr>
        <w:t>A.</w:t>
      </w:r>
      <w:r>
        <w:rPr>
          <w:spacing w:val="-6"/>
          <w:sz w:val="22"/>
        </w:rPr>
        <w:t> </w:t>
      </w:r>
      <w:r>
        <w:rPr>
          <w:sz w:val="22"/>
        </w:rPr>
        <w:t>M.,</w:t>
      </w:r>
      <w:r>
        <w:rPr>
          <w:spacing w:val="-6"/>
          <w:sz w:val="22"/>
        </w:rPr>
        <w:t> </w:t>
      </w:r>
      <w:r>
        <w:rPr>
          <w:sz w:val="22"/>
        </w:rPr>
        <w:t>Azevedo,</w:t>
      </w:r>
      <w:r>
        <w:rPr>
          <w:spacing w:val="-6"/>
          <w:sz w:val="22"/>
        </w:rPr>
        <w:t> </w:t>
      </w:r>
      <w:r>
        <w:rPr>
          <w:sz w:val="22"/>
        </w:rPr>
        <w:t>P.</w:t>
      </w:r>
      <w:r>
        <w:rPr>
          <w:spacing w:val="-6"/>
          <w:sz w:val="22"/>
        </w:rPr>
        <w:t> </w:t>
      </w:r>
      <w:r>
        <w:rPr>
          <w:sz w:val="22"/>
        </w:rPr>
        <w:t>J.,</w:t>
      </w:r>
      <w:r>
        <w:rPr>
          <w:spacing w:val="-6"/>
          <w:sz w:val="22"/>
        </w:rPr>
        <w:t> </w:t>
      </w:r>
      <w:r>
        <w:rPr>
          <w:sz w:val="22"/>
        </w:rPr>
        <w:t>Pereira,</w:t>
      </w:r>
      <w:r>
        <w:rPr>
          <w:spacing w:val="-6"/>
          <w:sz w:val="22"/>
        </w:rPr>
        <w:t> </w:t>
      </w:r>
      <w:r>
        <w:rPr>
          <w:sz w:val="22"/>
        </w:rPr>
        <w:t>and</w:t>
      </w:r>
      <w:r>
        <w:rPr>
          <w:spacing w:val="-6"/>
          <w:sz w:val="22"/>
        </w:rPr>
        <w:t> </w:t>
      </w:r>
      <w:r>
        <w:rPr>
          <w:sz w:val="22"/>
        </w:rPr>
        <w:t>F.</w:t>
      </w:r>
      <w:r>
        <w:rPr>
          <w:spacing w:val="16"/>
          <w:sz w:val="22"/>
        </w:rPr>
        <w:t> </w:t>
      </w:r>
      <w:r>
        <w:rPr>
          <w:sz w:val="22"/>
        </w:rPr>
        <w:t>Distribution</w:t>
      </w:r>
      <w:r>
        <w:rPr>
          <w:spacing w:val="-6"/>
          <w:sz w:val="22"/>
        </w:rPr>
        <w:t> </w:t>
      </w:r>
      <w:r>
        <w:rPr>
          <w:sz w:val="22"/>
        </w:rPr>
        <w:t>rules</w:t>
      </w:r>
      <w:r>
        <w:rPr>
          <w:spacing w:val="-6"/>
          <w:sz w:val="22"/>
        </w:rPr>
        <w:t> </w:t>
      </w:r>
      <w:r>
        <w:rPr>
          <w:sz w:val="22"/>
        </w:rPr>
        <w:t>with</w:t>
      </w:r>
      <w:r>
        <w:rPr>
          <w:spacing w:val="-6"/>
          <w:sz w:val="22"/>
        </w:rPr>
        <w:t> </w:t>
      </w:r>
      <w:r>
        <w:rPr>
          <w:sz w:val="22"/>
        </w:rPr>
        <w:t>numeric</w:t>
      </w:r>
      <w:r>
        <w:rPr>
          <w:spacing w:val="-6"/>
          <w:sz w:val="22"/>
        </w:rPr>
        <w:t> </w:t>
      </w:r>
      <w:r>
        <w:rPr>
          <w:sz w:val="22"/>
        </w:rPr>
        <w:t>attributes</w:t>
      </w:r>
      <w:r>
        <w:rPr>
          <w:spacing w:val="-6"/>
          <w:sz w:val="22"/>
        </w:rPr>
        <w:t> </w:t>
      </w:r>
      <w:r>
        <w:rPr>
          <w:sz w:val="22"/>
        </w:rPr>
        <w:t>of</w:t>
      </w:r>
      <w:r>
        <w:rPr>
          <w:spacing w:val="-6"/>
          <w:sz w:val="22"/>
        </w:rPr>
        <w:t> </w:t>
      </w:r>
      <w:r>
        <w:rPr>
          <w:sz w:val="22"/>
        </w:rPr>
        <w:t>interest. In </w:t>
      </w:r>
      <w:r>
        <w:rPr>
          <w:i/>
          <w:sz w:val="22"/>
        </w:rPr>
        <w:t>In Proceedings of the 10th European Conference on Principles and Practice of Knowledge</w:t>
      </w:r>
      <w:r>
        <w:rPr>
          <w:i/>
          <w:sz w:val="22"/>
        </w:rPr>
        <w:t> Discovery in Databases (PKDD 2006)</w:t>
      </w:r>
      <w:r>
        <w:rPr>
          <w:sz w:val="22"/>
        </w:rPr>
        <w:t>, 2006.</w:t>
      </w:r>
      <w:r>
        <w:rPr>
          <w:spacing w:val="40"/>
          <w:sz w:val="22"/>
        </w:rPr>
        <w:t> </w:t>
      </w:r>
      <w:r>
        <w:rPr>
          <w:sz w:val="22"/>
        </w:rPr>
        <w:t>doi: 10.1007/11871637_25.</w:t>
      </w:r>
    </w:p>
    <w:p>
      <w:pPr>
        <w:pStyle w:val="BodyText"/>
        <w:spacing w:before="203"/>
        <w:ind w:left="709"/>
      </w:pPr>
      <w:bookmarkStart w:name="_bookmark223" w:id="365"/>
      <w:bookmarkEnd w:id="365"/>
      <w:r>
        <w:rPr/>
      </w:r>
      <w:r>
        <w:rPr/>
        <w:t>Kavšek,</w:t>
      </w:r>
      <w:r>
        <w:rPr>
          <w:spacing w:val="-8"/>
        </w:rPr>
        <w:t> </w:t>
      </w:r>
      <w:r>
        <w:rPr/>
        <w:t>B.,</w:t>
      </w:r>
      <w:r>
        <w:rPr>
          <w:spacing w:val="-7"/>
        </w:rPr>
        <w:t> </w:t>
      </w:r>
      <w:r>
        <w:rPr/>
        <w:t>Lavrac,</w:t>
      </w:r>
      <w:r>
        <w:rPr>
          <w:spacing w:val="-8"/>
        </w:rPr>
        <w:t> </w:t>
      </w:r>
      <w:r>
        <w:rPr/>
        <w:t>and</w:t>
      </w:r>
      <w:r>
        <w:rPr>
          <w:spacing w:val="-7"/>
        </w:rPr>
        <w:t> </w:t>
      </w:r>
      <w:r>
        <w:rPr/>
        <w:t>N.</w:t>
      </w:r>
      <w:r>
        <w:rPr>
          <w:spacing w:val="14"/>
        </w:rPr>
        <w:t> </w:t>
      </w:r>
      <w:r>
        <w:rPr/>
        <w:t>Apriori-sd:</w:t>
      </w:r>
      <w:r>
        <w:rPr>
          <w:spacing w:val="4"/>
        </w:rPr>
        <w:t> </w:t>
      </w:r>
      <w:r>
        <w:rPr/>
        <w:t>Adapting</w:t>
      </w:r>
      <w:r>
        <w:rPr>
          <w:spacing w:val="-8"/>
        </w:rPr>
        <w:t> </w:t>
      </w:r>
      <w:r>
        <w:rPr/>
        <w:t>association</w:t>
      </w:r>
      <w:r>
        <w:rPr>
          <w:spacing w:val="-7"/>
        </w:rPr>
        <w:t> </w:t>
      </w:r>
      <w:r>
        <w:rPr/>
        <w:t>rule</w:t>
      </w:r>
      <w:r>
        <w:rPr>
          <w:spacing w:val="-7"/>
        </w:rPr>
        <w:t> </w:t>
      </w:r>
      <w:r>
        <w:rPr/>
        <w:t>learning</w:t>
      </w:r>
      <w:r>
        <w:rPr>
          <w:spacing w:val="-8"/>
        </w:rPr>
        <w:t> </w:t>
      </w:r>
      <w:r>
        <w:rPr/>
        <w:t>to</w:t>
      </w:r>
      <w:r>
        <w:rPr>
          <w:spacing w:val="-7"/>
        </w:rPr>
        <w:t> </w:t>
      </w:r>
      <w:r>
        <w:rPr/>
        <w:t>subgroup</w:t>
      </w:r>
      <w:r>
        <w:rPr>
          <w:spacing w:val="-7"/>
        </w:rPr>
        <w:t> </w:t>
      </w:r>
      <w:r>
        <w:rPr>
          <w:spacing w:val="-2"/>
        </w:rPr>
        <w:t>discovery.</w:t>
      </w:r>
    </w:p>
    <w:p>
      <w:pPr>
        <w:spacing w:before="18"/>
        <w:ind w:left="912" w:right="0" w:firstLine="0"/>
        <w:jc w:val="left"/>
        <w:rPr>
          <w:sz w:val="22"/>
        </w:rPr>
      </w:pPr>
      <w:r>
        <w:rPr>
          <w:i/>
          <w:sz w:val="22"/>
        </w:rPr>
        <w:t>Applied</w:t>
      </w:r>
      <w:r>
        <w:rPr>
          <w:i/>
          <w:spacing w:val="-11"/>
          <w:sz w:val="22"/>
        </w:rPr>
        <w:t> </w:t>
      </w:r>
      <w:r>
        <w:rPr>
          <w:i/>
          <w:sz w:val="22"/>
        </w:rPr>
        <w:t>Artificial</w:t>
      </w:r>
      <w:r>
        <w:rPr>
          <w:i/>
          <w:spacing w:val="-10"/>
          <w:sz w:val="22"/>
        </w:rPr>
        <w:t> </w:t>
      </w:r>
      <w:r>
        <w:rPr>
          <w:i/>
          <w:sz w:val="22"/>
        </w:rPr>
        <w:t>Intelligence</w:t>
      </w:r>
      <w:r>
        <w:rPr>
          <w:sz w:val="22"/>
        </w:rPr>
        <w:t>,</w:t>
      </w:r>
      <w:r>
        <w:rPr>
          <w:spacing w:val="-11"/>
          <w:sz w:val="22"/>
        </w:rPr>
        <w:t> </w:t>
      </w:r>
      <w:r>
        <w:rPr>
          <w:sz w:val="22"/>
        </w:rPr>
        <w:t>2006.</w:t>
      </w:r>
      <w:r>
        <w:rPr>
          <w:spacing w:val="9"/>
          <w:sz w:val="22"/>
        </w:rPr>
        <w:t> </w:t>
      </w:r>
      <w:r>
        <w:rPr>
          <w:sz w:val="22"/>
        </w:rPr>
        <w:t>doi:</w:t>
      </w:r>
      <w:r>
        <w:rPr>
          <w:spacing w:val="1"/>
          <w:sz w:val="22"/>
        </w:rPr>
        <w:t> </w:t>
      </w:r>
      <w:r>
        <w:rPr>
          <w:spacing w:val="-2"/>
          <w:sz w:val="22"/>
        </w:rPr>
        <w:t>10.1080/08839510600779688.</w:t>
      </w:r>
    </w:p>
    <w:p>
      <w:pPr>
        <w:spacing w:line="256" w:lineRule="auto" w:before="221"/>
        <w:ind w:left="917" w:right="140" w:hanging="208"/>
        <w:jc w:val="both"/>
        <w:rPr>
          <w:sz w:val="22"/>
        </w:rPr>
      </w:pPr>
      <w:bookmarkStart w:name="_bookmark224" w:id="366"/>
      <w:bookmarkEnd w:id="366"/>
      <w:r>
        <w:rPr/>
      </w:r>
      <w:r>
        <w:rPr>
          <w:sz w:val="22"/>
        </w:rPr>
        <w:t>Lavrac,</w:t>
      </w:r>
      <w:r>
        <w:rPr>
          <w:spacing w:val="-14"/>
          <w:sz w:val="22"/>
        </w:rPr>
        <w:t> </w:t>
      </w:r>
      <w:r>
        <w:rPr>
          <w:sz w:val="22"/>
        </w:rPr>
        <w:t>N.,</w:t>
      </w:r>
      <w:r>
        <w:rPr>
          <w:spacing w:val="-14"/>
          <w:sz w:val="22"/>
        </w:rPr>
        <w:t> </w:t>
      </w:r>
      <w:r>
        <w:rPr>
          <w:sz w:val="22"/>
        </w:rPr>
        <w:t>Kavsek,</w:t>
      </w:r>
      <w:r>
        <w:rPr>
          <w:spacing w:val="-14"/>
          <w:sz w:val="22"/>
        </w:rPr>
        <w:t> </w:t>
      </w:r>
      <w:r>
        <w:rPr>
          <w:sz w:val="22"/>
        </w:rPr>
        <w:t>B.,</w:t>
      </w:r>
      <w:r>
        <w:rPr>
          <w:spacing w:val="-13"/>
          <w:sz w:val="22"/>
        </w:rPr>
        <w:t> </w:t>
      </w:r>
      <w:r>
        <w:rPr>
          <w:sz w:val="22"/>
        </w:rPr>
        <w:t>Flach,</w:t>
      </w:r>
      <w:r>
        <w:rPr>
          <w:spacing w:val="-14"/>
          <w:sz w:val="22"/>
        </w:rPr>
        <w:t> </w:t>
      </w:r>
      <w:r>
        <w:rPr>
          <w:sz w:val="22"/>
        </w:rPr>
        <w:t>P.,</w:t>
      </w:r>
      <w:r>
        <w:rPr>
          <w:spacing w:val="-14"/>
          <w:sz w:val="22"/>
        </w:rPr>
        <w:t> </w:t>
      </w:r>
      <w:r>
        <w:rPr>
          <w:sz w:val="22"/>
        </w:rPr>
        <w:t>Todorovski,</w:t>
      </w:r>
      <w:r>
        <w:rPr>
          <w:spacing w:val="-14"/>
          <w:sz w:val="22"/>
        </w:rPr>
        <w:t> </w:t>
      </w:r>
      <w:r>
        <w:rPr>
          <w:sz w:val="22"/>
        </w:rPr>
        <w:t>and</w:t>
      </w:r>
      <w:r>
        <w:rPr>
          <w:spacing w:val="-13"/>
          <w:sz w:val="22"/>
        </w:rPr>
        <w:t> </w:t>
      </w:r>
      <w:r>
        <w:rPr>
          <w:sz w:val="22"/>
        </w:rPr>
        <w:t>L.</w:t>
      </w:r>
      <w:r>
        <w:rPr>
          <w:spacing w:val="3"/>
          <w:sz w:val="22"/>
        </w:rPr>
        <w:t> </w:t>
      </w:r>
      <w:r>
        <w:rPr>
          <w:sz w:val="22"/>
        </w:rPr>
        <w:t>Subgroup</w:t>
      </w:r>
      <w:r>
        <w:rPr>
          <w:spacing w:val="-14"/>
          <w:sz w:val="22"/>
        </w:rPr>
        <w:t> </w:t>
      </w:r>
      <w:r>
        <w:rPr>
          <w:sz w:val="22"/>
        </w:rPr>
        <w:t>discovery</w:t>
      </w:r>
      <w:r>
        <w:rPr>
          <w:spacing w:val="-14"/>
          <w:sz w:val="22"/>
        </w:rPr>
        <w:t> </w:t>
      </w:r>
      <w:r>
        <w:rPr>
          <w:sz w:val="22"/>
        </w:rPr>
        <w:t>with</w:t>
      </w:r>
      <w:r>
        <w:rPr>
          <w:spacing w:val="-14"/>
          <w:sz w:val="22"/>
        </w:rPr>
        <w:t> </w:t>
      </w:r>
      <w:r>
        <w:rPr>
          <w:sz w:val="22"/>
        </w:rPr>
        <w:t>cn2-sd.</w:t>
      </w:r>
      <w:r>
        <w:rPr>
          <w:spacing w:val="5"/>
          <w:sz w:val="22"/>
        </w:rPr>
        <w:t> </w:t>
      </w:r>
      <w:r>
        <w:rPr>
          <w:i/>
          <w:sz w:val="22"/>
        </w:rPr>
        <w:t>Journal</w:t>
      </w:r>
      <w:r>
        <w:rPr>
          <w:i/>
          <w:spacing w:val="-14"/>
          <w:sz w:val="22"/>
        </w:rPr>
        <w:t> </w:t>
      </w:r>
      <w:r>
        <w:rPr>
          <w:i/>
          <w:sz w:val="22"/>
        </w:rPr>
        <w:t>of</w:t>
      </w:r>
      <w:r>
        <w:rPr>
          <w:i/>
          <w:sz w:val="22"/>
        </w:rPr>
        <w:t> Machine Learning Research</w:t>
      </w:r>
      <w:r>
        <w:rPr>
          <w:sz w:val="22"/>
        </w:rPr>
        <w:t>, 2004.</w:t>
      </w:r>
    </w:p>
    <w:p>
      <w:pPr>
        <w:spacing w:line="256" w:lineRule="auto" w:before="203"/>
        <w:ind w:left="919" w:right="140" w:hanging="210"/>
        <w:jc w:val="both"/>
        <w:rPr>
          <w:sz w:val="22"/>
        </w:rPr>
      </w:pPr>
      <w:bookmarkStart w:name="_bookmark225" w:id="367"/>
      <w:bookmarkEnd w:id="367"/>
      <w:r>
        <w:rPr/>
      </w:r>
      <w:r>
        <w:rPr>
          <w:sz w:val="22"/>
        </w:rPr>
        <w:t>Lemmerich,</w:t>
      </w:r>
      <w:r>
        <w:rPr>
          <w:spacing w:val="-7"/>
          <w:sz w:val="22"/>
        </w:rPr>
        <w:t> </w:t>
      </w:r>
      <w:r>
        <w:rPr>
          <w:sz w:val="22"/>
        </w:rPr>
        <w:t>F.,</w:t>
      </w:r>
      <w:r>
        <w:rPr>
          <w:spacing w:val="-7"/>
          <w:sz w:val="22"/>
        </w:rPr>
        <w:t> </w:t>
      </w:r>
      <w:r>
        <w:rPr>
          <w:sz w:val="22"/>
        </w:rPr>
        <w:t>Becker,</w:t>
      </w:r>
      <w:r>
        <w:rPr>
          <w:spacing w:val="-7"/>
          <w:sz w:val="22"/>
        </w:rPr>
        <w:t> </w:t>
      </w:r>
      <w:r>
        <w:rPr>
          <w:sz w:val="22"/>
        </w:rPr>
        <w:t>M.,</w:t>
      </w:r>
      <w:r>
        <w:rPr>
          <w:spacing w:val="-7"/>
          <w:sz w:val="22"/>
        </w:rPr>
        <w:t> </w:t>
      </w:r>
      <w:r>
        <w:rPr>
          <w:sz w:val="22"/>
        </w:rPr>
        <w:t>Lang,</w:t>
      </w:r>
      <w:r>
        <w:rPr>
          <w:spacing w:val="-7"/>
          <w:sz w:val="22"/>
        </w:rPr>
        <w:t> </w:t>
      </w:r>
      <w:r>
        <w:rPr>
          <w:sz w:val="22"/>
        </w:rPr>
        <w:t>M.,</w:t>
      </w:r>
      <w:r>
        <w:rPr>
          <w:spacing w:val="-7"/>
          <w:sz w:val="22"/>
        </w:rPr>
        <w:t> </w:t>
      </w:r>
      <w:r>
        <w:rPr>
          <w:sz w:val="22"/>
        </w:rPr>
        <w:t>Pilz,</w:t>
      </w:r>
      <w:r>
        <w:rPr>
          <w:spacing w:val="-7"/>
          <w:sz w:val="22"/>
        </w:rPr>
        <w:t> </w:t>
      </w:r>
      <w:r>
        <w:rPr>
          <w:sz w:val="22"/>
        </w:rPr>
        <w:t>and</w:t>
      </w:r>
      <w:r>
        <w:rPr>
          <w:spacing w:val="-7"/>
          <w:sz w:val="22"/>
        </w:rPr>
        <w:t> </w:t>
      </w:r>
      <w:r>
        <w:rPr>
          <w:sz w:val="22"/>
        </w:rPr>
        <w:t>F.</w:t>
      </w:r>
      <w:r>
        <w:rPr>
          <w:spacing w:val="15"/>
          <w:sz w:val="22"/>
        </w:rPr>
        <w:t> </w:t>
      </w:r>
      <w:r>
        <w:rPr>
          <w:sz w:val="22"/>
        </w:rPr>
        <w:t>Robust</w:t>
      </w:r>
      <w:r>
        <w:rPr>
          <w:spacing w:val="-7"/>
          <w:sz w:val="22"/>
        </w:rPr>
        <w:t> </w:t>
      </w:r>
      <w:r>
        <w:rPr>
          <w:sz w:val="22"/>
        </w:rPr>
        <w:t>subgroup</w:t>
      </w:r>
      <w:r>
        <w:rPr>
          <w:spacing w:val="-7"/>
          <w:sz w:val="22"/>
        </w:rPr>
        <w:t> </w:t>
      </w:r>
      <w:r>
        <w:rPr>
          <w:sz w:val="22"/>
        </w:rPr>
        <w:t>discovery.</w:t>
      </w:r>
      <w:r>
        <w:rPr>
          <w:spacing w:val="15"/>
          <w:sz w:val="22"/>
        </w:rPr>
        <w:t> </w:t>
      </w:r>
      <w:r>
        <w:rPr>
          <w:i/>
          <w:sz w:val="22"/>
        </w:rPr>
        <w:t>Data</w:t>
      </w:r>
      <w:r>
        <w:rPr>
          <w:i/>
          <w:spacing w:val="-7"/>
          <w:sz w:val="22"/>
        </w:rPr>
        <w:t> </w:t>
      </w:r>
      <w:r>
        <w:rPr>
          <w:i/>
          <w:sz w:val="22"/>
        </w:rPr>
        <w:t>Mining</w:t>
      </w:r>
      <w:r>
        <w:rPr>
          <w:i/>
          <w:spacing w:val="-7"/>
          <w:sz w:val="22"/>
        </w:rPr>
        <w:t> </w:t>
      </w:r>
      <w:r>
        <w:rPr>
          <w:i/>
          <w:sz w:val="22"/>
        </w:rPr>
        <w:t>and</w:t>
      </w:r>
      <w:r>
        <w:rPr>
          <w:i/>
          <w:sz w:val="22"/>
        </w:rPr>
        <w:t> Knowledge Discovery</w:t>
      </w:r>
      <w:r>
        <w:rPr>
          <w:sz w:val="22"/>
        </w:rPr>
        <w:t>, 2022. doi: 10.1007/s10618-022-00856-x.</w:t>
      </w:r>
    </w:p>
    <w:p>
      <w:pPr>
        <w:pStyle w:val="BodyText"/>
        <w:spacing w:before="74"/>
      </w:pPr>
    </w:p>
    <w:p>
      <w:pPr>
        <w:pStyle w:val="BodyText"/>
        <w:ind w:left="1137" w:right="571"/>
        <w:jc w:val="center"/>
      </w:pPr>
      <w:r>
        <w:rPr>
          <w:spacing w:val="-5"/>
        </w:rPr>
        <w:t>117</w:t>
      </w:r>
    </w:p>
    <w:p>
      <w:pPr>
        <w:pStyle w:val="BodyText"/>
        <w:spacing w:after="0"/>
        <w:jc w:val="center"/>
        <w:sectPr>
          <w:headerReference w:type="default" r:id="rId139"/>
          <w:pgSz w:w="11910" w:h="16840"/>
          <w:pgMar w:header="0" w:footer="0" w:top="1920" w:bottom="280" w:left="1275" w:right="1275"/>
        </w:sectPr>
      </w:pPr>
    </w:p>
    <w:p>
      <w:pPr>
        <w:pStyle w:val="BodyText"/>
      </w:pPr>
    </w:p>
    <w:p>
      <w:pPr>
        <w:pStyle w:val="BodyText"/>
        <w:spacing w:before="25"/>
      </w:pPr>
    </w:p>
    <w:p>
      <w:pPr>
        <w:pStyle w:val="BodyText"/>
        <w:spacing w:line="256" w:lineRule="auto" w:before="1"/>
        <w:ind w:left="359" w:right="707" w:hanging="217"/>
        <w:jc w:val="both"/>
      </w:pPr>
      <w:bookmarkStart w:name="_bookmark226" w:id="368"/>
      <w:bookmarkEnd w:id="368"/>
      <w:r>
        <w:rPr/>
      </w:r>
      <w:r>
        <w:rPr/>
        <w:t>Lopes, C. M., Monteiro, A., Teixeira, M., Cunha, and M.</w:t>
      </w:r>
      <w:r>
        <w:rPr>
          <w:spacing w:val="40"/>
        </w:rPr>
        <w:t> </w:t>
      </w:r>
      <w:r>
        <w:rPr/>
        <w:t>Identifying climatic drivers of wine production</w:t>
      </w:r>
      <w:r>
        <w:rPr>
          <w:spacing w:val="-5"/>
        </w:rPr>
        <w:t> </w:t>
      </w:r>
      <w:r>
        <w:rPr/>
        <w:t>variability</w:t>
      </w:r>
      <w:r>
        <w:rPr>
          <w:spacing w:val="-5"/>
        </w:rPr>
        <w:t> </w:t>
      </w:r>
      <w:r>
        <w:rPr/>
        <w:t>using</w:t>
      </w:r>
      <w:r>
        <w:rPr>
          <w:spacing w:val="-5"/>
        </w:rPr>
        <w:t> </w:t>
      </w:r>
      <w:r>
        <w:rPr/>
        <w:t>random</w:t>
      </w:r>
      <w:r>
        <w:rPr>
          <w:spacing w:val="-5"/>
        </w:rPr>
        <w:t> </w:t>
      </w:r>
      <w:r>
        <w:rPr/>
        <w:t>forest</w:t>
      </w:r>
      <w:r>
        <w:rPr>
          <w:spacing w:val="-5"/>
        </w:rPr>
        <w:t> </w:t>
      </w:r>
      <w:r>
        <w:rPr/>
        <w:t>models.</w:t>
      </w:r>
      <w:r>
        <w:rPr>
          <w:spacing w:val="17"/>
        </w:rPr>
        <w:t> </w:t>
      </w:r>
      <w:r>
        <w:rPr>
          <w:i/>
        </w:rPr>
        <w:t>Journal</w:t>
      </w:r>
      <w:r>
        <w:rPr>
          <w:i/>
          <w:spacing w:val="-5"/>
        </w:rPr>
        <w:t> </w:t>
      </w:r>
      <w:r>
        <w:rPr>
          <w:i/>
        </w:rPr>
        <w:t>to</w:t>
      </w:r>
      <w:r>
        <w:rPr>
          <w:i/>
          <w:spacing w:val="-5"/>
        </w:rPr>
        <w:t> </w:t>
      </w:r>
      <w:r>
        <w:rPr>
          <w:i/>
        </w:rPr>
        <w:t>confirm</w:t>
      </w:r>
      <w:r>
        <w:rPr/>
        <w:t>,</w:t>
      </w:r>
      <w:r>
        <w:rPr>
          <w:spacing w:val="-5"/>
        </w:rPr>
        <w:t> </w:t>
      </w:r>
      <w:r>
        <w:rPr/>
        <w:t>2024.</w:t>
      </w:r>
      <w:r>
        <w:rPr>
          <w:spacing w:val="17"/>
        </w:rPr>
        <w:t> </w:t>
      </w:r>
      <w:r>
        <w:rPr/>
        <w:t>TODO:</w:t>
      </w:r>
      <w:r>
        <w:rPr>
          <w:spacing w:val="-5"/>
        </w:rPr>
        <w:t> </w:t>
      </w:r>
      <w:r>
        <w:rPr/>
        <w:t>confirm title, journal and DOI with supervisor.</w:t>
      </w:r>
    </w:p>
    <w:p>
      <w:pPr>
        <w:pStyle w:val="BodyText"/>
        <w:spacing w:line="256" w:lineRule="auto" w:before="180"/>
        <w:ind w:left="359" w:right="703" w:hanging="217"/>
        <w:jc w:val="both"/>
      </w:pPr>
      <w:bookmarkStart w:name="_bookmark227" w:id="369"/>
      <w:bookmarkEnd w:id="369"/>
      <w:r>
        <w:rPr/>
      </w:r>
      <w:r>
        <w:rPr/>
        <w:t>Moreira, J. P. M., Jorge, A. M., Azevedo, and P. J.</w:t>
      </w:r>
      <w:r>
        <w:rPr>
          <w:spacing w:val="40"/>
        </w:rPr>
        <w:t> </w:t>
      </w:r>
      <w:r>
        <w:rPr/>
        <w:t>CarenR: Contrast association rules for extraordinary nodes.</w:t>
      </w:r>
      <w:r>
        <w:rPr>
          <w:spacing w:val="40"/>
        </w:rPr>
        <w:t> </w:t>
      </w:r>
      <w:r>
        <w:rPr/>
        <w:t>R package, University of Porto / FEUP, 2022.</w:t>
      </w:r>
      <w:r>
        <w:rPr>
          <w:spacing w:val="40"/>
        </w:rPr>
        <w:t> </w:t>
      </w:r>
      <w:r>
        <w:rPr/>
        <w:t>TODO: confirm exact citation and URL/DOI with supervisor.</w:t>
      </w:r>
    </w:p>
    <w:p>
      <w:pPr>
        <w:spacing w:line="256" w:lineRule="auto" w:before="180"/>
        <w:ind w:left="352" w:right="707" w:hanging="210"/>
        <w:jc w:val="both"/>
        <w:rPr>
          <w:sz w:val="22"/>
        </w:rPr>
      </w:pPr>
      <w:bookmarkStart w:name="_bookmark228" w:id="370"/>
      <w:bookmarkEnd w:id="370"/>
      <w:r>
        <w:rPr/>
      </w:r>
      <w:r>
        <w:rPr>
          <w:sz w:val="22"/>
        </w:rPr>
        <w:t>Quinlan</w:t>
      </w:r>
      <w:r>
        <w:rPr>
          <w:spacing w:val="-10"/>
          <w:sz w:val="22"/>
        </w:rPr>
        <w:t> </w:t>
      </w:r>
      <w:r>
        <w:rPr>
          <w:sz w:val="22"/>
        </w:rPr>
        <w:t>and</w:t>
      </w:r>
      <w:r>
        <w:rPr>
          <w:spacing w:val="-10"/>
          <w:sz w:val="22"/>
        </w:rPr>
        <w:t> </w:t>
      </w:r>
      <w:r>
        <w:rPr>
          <w:sz w:val="22"/>
        </w:rPr>
        <w:t>J.</w:t>
      </w:r>
      <w:r>
        <w:rPr>
          <w:spacing w:val="-10"/>
          <w:sz w:val="22"/>
        </w:rPr>
        <w:t> </w:t>
      </w:r>
      <w:r>
        <w:rPr>
          <w:sz w:val="22"/>
        </w:rPr>
        <w:t>R.</w:t>
      </w:r>
      <w:r>
        <w:rPr>
          <w:spacing w:val="11"/>
          <w:sz w:val="22"/>
        </w:rPr>
        <w:t> </w:t>
      </w:r>
      <w:r>
        <w:rPr>
          <w:sz w:val="22"/>
        </w:rPr>
        <w:t>Learning</w:t>
      </w:r>
      <w:r>
        <w:rPr>
          <w:spacing w:val="-10"/>
          <w:sz w:val="22"/>
        </w:rPr>
        <w:t> </w:t>
      </w:r>
      <w:r>
        <w:rPr>
          <w:sz w:val="22"/>
        </w:rPr>
        <w:t>with</w:t>
      </w:r>
      <w:r>
        <w:rPr>
          <w:spacing w:val="-10"/>
          <w:sz w:val="22"/>
        </w:rPr>
        <w:t> </w:t>
      </w:r>
      <w:r>
        <w:rPr>
          <w:sz w:val="22"/>
        </w:rPr>
        <w:t>continuous</w:t>
      </w:r>
      <w:r>
        <w:rPr>
          <w:spacing w:val="-10"/>
          <w:sz w:val="22"/>
        </w:rPr>
        <w:t> </w:t>
      </w:r>
      <w:r>
        <w:rPr>
          <w:sz w:val="22"/>
        </w:rPr>
        <w:t>classes.</w:t>
      </w:r>
      <w:r>
        <w:rPr>
          <w:spacing w:val="11"/>
          <w:sz w:val="22"/>
        </w:rPr>
        <w:t> </w:t>
      </w:r>
      <w:r>
        <w:rPr>
          <w:sz w:val="22"/>
        </w:rPr>
        <w:t>In</w:t>
      </w:r>
      <w:r>
        <w:rPr>
          <w:spacing w:val="-10"/>
          <w:sz w:val="22"/>
        </w:rPr>
        <w:t> </w:t>
      </w:r>
      <w:r>
        <w:rPr>
          <w:i/>
          <w:sz w:val="22"/>
        </w:rPr>
        <w:t>In</w:t>
      </w:r>
      <w:r>
        <w:rPr>
          <w:i/>
          <w:spacing w:val="-10"/>
          <w:sz w:val="22"/>
        </w:rPr>
        <w:t> </w:t>
      </w:r>
      <w:r>
        <w:rPr>
          <w:i/>
          <w:sz w:val="22"/>
        </w:rPr>
        <w:t>Proceedings</w:t>
      </w:r>
      <w:r>
        <w:rPr>
          <w:i/>
          <w:spacing w:val="-10"/>
          <w:sz w:val="22"/>
        </w:rPr>
        <w:t> </w:t>
      </w:r>
      <w:r>
        <w:rPr>
          <w:i/>
          <w:sz w:val="22"/>
        </w:rPr>
        <w:t>of</w:t>
      </w:r>
      <w:r>
        <w:rPr>
          <w:i/>
          <w:spacing w:val="-10"/>
          <w:sz w:val="22"/>
        </w:rPr>
        <w:t> </w:t>
      </w:r>
      <w:r>
        <w:rPr>
          <w:i/>
          <w:sz w:val="22"/>
        </w:rPr>
        <w:t>the</w:t>
      </w:r>
      <w:r>
        <w:rPr>
          <w:i/>
          <w:spacing w:val="-10"/>
          <w:sz w:val="22"/>
        </w:rPr>
        <w:t> </w:t>
      </w:r>
      <w:r>
        <w:rPr>
          <w:i/>
          <w:sz w:val="22"/>
        </w:rPr>
        <w:t>5th</w:t>
      </w:r>
      <w:r>
        <w:rPr>
          <w:i/>
          <w:spacing w:val="-10"/>
          <w:sz w:val="22"/>
        </w:rPr>
        <w:t> </w:t>
      </w:r>
      <w:r>
        <w:rPr>
          <w:i/>
          <w:sz w:val="22"/>
        </w:rPr>
        <w:t>Australian</w:t>
      </w:r>
      <w:r>
        <w:rPr>
          <w:i/>
          <w:spacing w:val="-10"/>
          <w:sz w:val="22"/>
        </w:rPr>
        <w:t> </w:t>
      </w:r>
      <w:r>
        <w:rPr>
          <w:i/>
          <w:sz w:val="22"/>
        </w:rPr>
        <w:t>Joint</w:t>
      </w:r>
      <w:r>
        <w:rPr>
          <w:i/>
          <w:sz w:val="22"/>
        </w:rPr>
        <w:t> Conference on Artificial Intelligence</w:t>
      </w:r>
      <w:r>
        <w:rPr>
          <w:sz w:val="22"/>
        </w:rPr>
        <w:t>, 1992.</w:t>
      </w:r>
    </w:p>
    <w:p>
      <w:pPr>
        <w:pStyle w:val="BodyText"/>
        <w:spacing w:line="256" w:lineRule="auto" w:before="180"/>
        <w:ind w:left="353" w:right="707" w:hanging="212"/>
        <w:jc w:val="both"/>
      </w:pPr>
      <w:bookmarkStart w:name="_bookmark229" w:id="371"/>
      <w:bookmarkEnd w:id="371"/>
      <w:r>
        <w:rPr/>
      </w:r>
      <w:r>
        <w:rPr>
          <w:spacing w:val="-2"/>
        </w:rPr>
        <w:t>Santos,</w:t>
      </w:r>
      <w:r>
        <w:rPr>
          <w:spacing w:val="-12"/>
        </w:rPr>
        <w:t> </w:t>
      </w:r>
      <w:r>
        <w:rPr>
          <w:spacing w:val="-2"/>
        </w:rPr>
        <w:t>J.</w:t>
      </w:r>
      <w:r>
        <w:rPr>
          <w:spacing w:val="-12"/>
        </w:rPr>
        <w:t> </w:t>
      </w:r>
      <w:r>
        <w:rPr>
          <w:spacing w:val="-2"/>
        </w:rPr>
        <w:t>A.,</w:t>
      </w:r>
      <w:r>
        <w:rPr>
          <w:spacing w:val="-12"/>
        </w:rPr>
        <w:t> </w:t>
      </w:r>
      <w:r>
        <w:rPr>
          <w:spacing w:val="-2"/>
        </w:rPr>
        <w:t>Malheiro,</w:t>
      </w:r>
      <w:r>
        <w:rPr>
          <w:spacing w:val="-11"/>
        </w:rPr>
        <w:t> </w:t>
      </w:r>
      <w:r>
        <w:rPr>
          <w:spacing w:val="-2"/>
        </w:rPr>
        <w:t>A.</w:t>
      </w:r>
      <w:r>
        <w:rPr>
          <w:spacing w:val="-12"/>
        </w:rPr>
        <w:t> </w:t>
      </w:r>
      <w:r>
        <w:rPr>
          <w:spacing w:val="-2"/>
        </w:rPr>
        <w:t>C.,</w:t>
      </w:r>
      <w:r>
        <w:rPr>
          <w:spacing w:val="-12"/>
        </w:rPr>
        <w:t> </w:t>
      </w:r>
      <w:r>
        <w:rPr>
          <w:spacing w:val="-2"/>
        </w:rPr>
        <w:t>Karremann,</w:t>
      </w:r>
      <w:r>
        <w:rPr>
          <w:spacing w:val="-12"/>
        </w:rPr>
        <w:t> </w:t>
      </w:r>
      <w:r>
        <w:rPr>
          <w:spacing w:val="-2"/>
        </w:rPr>
        <w:t>M.</w:t>
      </w:r>
      <w:r>
        <w:rPr>
          <w:spacing w:val="-11"/>
        </w:rPr>
        <w:t> </w:t>
      </w:r>
      <w:r>
        <w:rPr>
          <w:spacing w:val="-2"/>
        </w:rPr>
        <w:t>K.,</w:t>
      </w:r>
      <w:r>
        <w:rPr>
          <w:spacing w:val="-12"/>
        </w:rPr>
        <w:t> </w:t>
      </w:r>
      <w:r>
        <w:rPr>
          <w:spacing w:val="-2"/>
        </w:rPr>
        <w:t>Pinto,</w:t>
      </w:r>
      <w:r>
        <w:rPr>
          <w:spacing w:val="-12"/>
        </w:rPr>
        <w:t> </w:t>
      </w:r>
      <w:r>
        <w:rPr>
          <w:spacing w:val="-2"/>
        </w:rPr>
        <w:t>and</w:t>
      </w:r>
      <w:r>
        <w:rPr>
          <w:spacing w:val="-12"/>
        </w:rPr>
        <w:t> </w:t>
      </w:r>
      <w:r>
        <w:rPr>
          <w:spacing w:val="-2"/>
        </w:rPr>
        <w:t>J.</w:t>
      </w:r>
      <w:r>
        <w:rPr>
          <w:spacing w:val="-11"/>
        </w:rPr>
        <w:t> </w:t>
      </w:r>
      <w:r>
        <w:rPr>
          <w:spacing w:val="-2"/>
        </w:rPr>
        <w:t>G.</w:t>
      </w:r>
      <w:r>
        <w:rPr>
          <w:spacing w:val="-12"/>
        </w:rPr>
        <w:t> </w:t>
      </w:r>
      <w:r>
        <w:rPr>
          <w:spacing w:val="-2"/>
        </w:rPr>
        <w:t>Statistical</w:t>
      </w:r>
      <w:r>
        <w:rPr>
          <w:spacing w:val="-12"/>
        </w:rPr>
        <w:t> </w:t>
      </w:r>
      <w:r>
        <w:rPr>
          <w:spacing w:val="-2"/>
        </w:rPr>
        <w:t>modelling</w:t>
      </w:r>
      <w:r>
        <w:rPr>
          <w:spacing w:val="-11"/>
        </w:rPr>
        <w:t> </w:t>
      </w:r>
      <w:r>
        <w:rPr>
          <w:spacing w:val="-2"/>
        </w:rPr>
        <w:t>of</w:t>
      </w:r>
      <w:r>
        <w:rPr>
          <w:spacing w:val="-12"/>
        </w:rPr>
        <w:t> </w:t>
      </w:r>
      <w:r>
        <w:rPr>
          <w:spacing w:val="-2"/>
        </w:rPr>
        <w:t>grapevine </w:t>
      </w:r>
      <w:r>
        <w:rPr/>
        <w:t>yield</w:t>
      </w:r>
      <w:r>
        <w:rPr>
          <w:spacing w:val="-11"/>
        </w:rPr>
        <w:t> </w:t>
      </w:r>
      <w:r>
        <w:rPr/>
        <w:t>in</w:t>
      </w:r>
      <w:r>
        <w:rPr>
          <w:spacing w:val="-11"/>
        </w:rPr>
        <w:t> </w:t>
      </w:r>
      <w:r>
        <w:rPr/>
        <w:t>the</w:t>
      </w:r>
      <w:r>
        <w:rPr>
          <w:spacing w:val="-11"/>
        </w:rPr>
        <w:t> </w:t>
      </w:r>
      <w:r>
        <w:rPr/>
        <w:t>port</w:t>
      </w:r>
      <w:r>
        <w:rPr>
          <w:spacing w:val="-11"/>
        </w:rPr>
        <w:t> </w:t>
      </w:r>
      <w:r>
        <w:rPr/>
        <w:t>wine</w:t>
      </w:r>
      <w:r>
        <w:rPr>
          <w:spacing w:val="-11"/>
        </w:rPr>
        <w:t> </w:t>
      </w:r>
      <w:r>
        <w:rPr/>
        <w:t>region</w:t>
      </w:r>
      <w:r>
        <w:rPr>
          <w:spacing w:val="-11"/>
        </w:rPr>
        <w:t> </w:t>
      </w:r>
      <w:r>
        <w:rPr/>
        <w:t>under</w:t>
      </w:r>
      <w:r>
        <w:rPr>
          <w:spacing w:val="-11"/>
        </w:rPr>
        <w:t> </w:t>
      </w:r>
      <w:r>
        <w:rPr/>
        <w:t>present</w:t>
      </w:r>
      <w:r>
        <w:rPr>
          <w:spacing w:val="-11"/>
        </w:rPr>
        <w:t> </w:t>
      </w:r>
      <w:r>
        <w:rPr/>
        <w:t>and</w:t>
      </w:r>
      <w:r>
        <w:rPr>
          <w:spacing w:val="-11"/>
        </w:rPr>
        <w:t> </w:t>
      </w:r>
      <w:r>
        <w:rPr/>
        <w:t>future</w:t>
      </w:r>
      <w:r>
        <w:rPr>
          <w:spacing w:val="-11"/>
        </w:rPr>
        <w:t> </w:t>
      </w:r>
      <w:r>
        <w:rPr/>
        <w:t>climate</w:t>
      </w:r>
      <w:r>
        <w:rPr>
          <w:spacing w:val="-11"/>
        </w:rPr>
        <w:t> </w:t>
      </w:r>
      <w:r>
        <w:rPr/>
        <w:t>conditions.</w:t>
      </w:r>
      <w:r>
        <w:rPr>
          <w:spacing w:val="8"/>
        </w:rPr>
        <w:t> </w:t>
      </w:r>
      <w:r>
        <w:rPr>
          <w:i/>
        </w:rPr>
        <w:t>International</w:t>
      </w:r>
      <w:r>
        <w:rPr>
          <w:i/>
          <w:spacing w:val="-11"/>
        </w:rPr>
        <w:t> </w:t>
      </w:r>
      <w:r>
        <w:rPr>
          <w:i/>
        </w:rPr>
        <w:t>Journal</w:t>
      </w:r>
      <w:r>
        <w:rPr>
          <w:i/>
        </w:rPr>
        <w:t> of Climatology</w:t>
      </w:r>
      <w:r>
        <w:rPr/>
        <w:t>, 2011. doi: 10.1002/joc.2215.</w:t>
      </w:r>
    </w:p>
    <w:p>
      <w:pPr>
        <w:spacing w:line="256" w:lineRule="auto" w:before="180"/>
        <w:ind w:left="342" w:right="707" w:hanging="201"/>
        <w:jc w:val="both"/>
        <w:rPr>
          <w:sz w:val="22"/>
        </w:rPr>
      </w:pPr>
      <w:bookmarkStart w:name="_bookmark230" w:id="372"/>
      <w:bookmarkEnd w:id="372"/>
      <w:r>
        <w:rPr/>
      </w:r>
      <w:r>
        <w:rPr>
          <w:sz w:val="22"/>
        </w:rPr>
        <w:t>Wang, Y., Witten, and I. H.</w:t>
      </w:r>
      <w:r>
        <w:rPr>
          <w:spacing w:val="40"/>
          <w:sz w:val="22"/>
        </w:rPr>
        <w:t> </w:t>
      </w:r>
      <w:r>
        <w:rPr>
          <w:sz w:val="22"/>
        </w:rPr>
        <w:t>Induction of model trees for predicting continuous classes.</w:t>
      </w:r>
      <w:r>
        <w:rPr>
          <w:spacing w:val="40"/>
          <w:sz w:val="22"/>
        </w:rPr>
        <w:t> </w:t>
      </w:r>
      <w:r>
        <w:rPr>
          <w:sz w:val="22"/>
        </w:rPr>
        <w:t>In </w:t>
      </w:r>
      <w:r>
        <w:rPr>
          <w:i/>
          <w:sz w:val="22"/>
        </w:rPr>
        <w:t>In</w:t>
      </w:r>
      <w:r>
        <w:rPr>
          <w:i/>
          <w:sz w:val="22"/>
        </w:rPr>
        <w:t> Proceedings of the Poster Papers of the European Conference on Machine Learning (ECML 1997)</w:t>
      </w:r>
      <w:r>
        <w:rPr>
          <w:sz w:val="22"/>
        </w:rPr>
        <w:t>, 1997.</w:t>
      </w:r>
    </w:p>
    <w:p>
      <w:pPr>
        <w:spacing w:line="256" w:lineRule="auto" w:before="180"/>
        <w:ind w:left="347" w:right="707" w:hanging="205"/>
        <w:jc w:val="both"/>
        <w:rPr>
          <w:sz w:val="22"/>
        </w:rPr>
      </w:pPr>
      <w:bookmarkStart w:name="_bookmark231" w:id="373"/>
      <w:bookmarkEnd w:id="373"/>
      <w:r>
        <w:rPr/>
      </w:r>
      <w:r>
        <w:rPr>
          <w:sz w:val="22"/>
        </w:rPr>
        <w:t>Witten, I. H., Frank, E., Hall, and M. A.</w:t>
      </w:r>
      <w:r>
        <w:rPr>
          <w:spacing w:val="40"/>
          <w:sz w:val="22"/>
        </w:rPr>
        <w:t> </w:t>
      </w:r>
      <w:r>
        <w:rPr>
          <w:i/>
          <w:sz w:val="22"/>
        </w:rPr>
        <w:t>Data Mining: Practical Machine Learning Tools and</w:t>
      </w:r>
      <w:r>
        <w:rPr>
          <w:i/>
          <w:sz w:val="22"/>
        </w:rPr>
        <w:t> Techniques (3rd ed.)</w:t>
      </w:r>
      <w:r>
        <w:rPr>
          <w:sz w:val="22"/>
        </w:rPr>
        <w:t>.</w:t>
      </w:r>
      <w:r>
        <w:rPr>
          <w:spacing w:val="37"/>
          <w:sz w:val="22"/>
        </w:rPr>
        <w:t> </w:t>
      </w:r>
      <w:r>
        <w:rPr>
          <w:sz w:val="22"/>
        </w:rPr>
        <w:t>Morgan Kaufmann, Burlington, MA, 2011.</w:t>
      </w:r>
    </w:p>
    <w:p>
      <w:pPr>
        <w:spacing w:line="256" w:lineRule="auto" w:before="180"/>
        <w:ind w:left="342" w:right="679" w:hanging="201"/>
        <w:jc w:val="both"/>
        <w:rPr>
          <w:sz w:val="22"/>
        </w:rPr>
      </w:pPr>
      <w:bookmarkStart w:name="_bookmark232" w:id="374"/>
      <w:bookmarkEnd w:id="374"/>
      <w:r>
        <w:rPr/>
      </w:r>
      <w:r>
        <w:rPr>
          <w:sz w:val="22"/>
        </w:rPr>
        <w:t>Wrobel</w:t>
      </w:r>
      <w:r>
        <w:rPr>
          <w:spacing w:val="-9"/>
          <w:sz w:val="22"/>
        </w:rPr>
        <w:t> </w:t>
      </w:r>
      <w:r>
        <w:rPr>
          <w:sz w:val="22"/>
        </w:rPr>
        <w:t>and</w:t>
      </w:r>
      <w:r>
        <w:rPr>
          <w:spacing w:val="-9"/>
          <w:sz w:val="22"/>
        </w:rPr>
        <w:t> </w:t>
      </w:r>
      <w:r>
        <w:rPr>
          <w:sz w:val="22"/>
        </w:rPr>
        <w:t>S.</w:t>
      </w:r>
      <w:r>
        <w:rPr>
          <w:spacing w:val="12"/>
          <w:sz w:val="22"/>
        </w:rPr>
        <w:t> </w:t>
      </w:r>
      <w:r>
        <w:rPr>
          <w:sz w:val="22"/>
        </w:rPr>
        <w:t>An</w:t>
      </w:r>
      <w:r>
        <w:rPr>
          <w:spacing w:val="-9"/>
          <w:sz w:val="22"/>
        </w:rPr>
        <w:t> </w:t>
      </w:r>
      <w:r>
        <w:rPr>
          <w:sz w:val="22"/>
        </w:rPr>
        <w:t>algorithm</w:t>
      </w:r>
      <w:r>
        <w:rPr>
          <w:spacing w:val="-9"/>
          <w:sz w:val="22"/>
        </w:rPr>
        <w:t> </w:t>
      </w:r>
      <w:r>
        <w:rPr>
          <w:sz w:val="22"/>
        </w:rPr>
        <w:t>for</w:t>
      </w:r>
      <w:r>
        <w:rPr>
          <w:spacing w:val="-9"/>
          <w:sz w:val="22"/>
        </w:rPr>
        <w:t> </w:t>
      </w:r>
      <w:r>
        <w:rPr>
          <w:sz w:val="22"/>
        </w:rPr>
        <w:t>multi-relational</w:t>
      </w:r>
      <w:r>
        <w:rPr>
          <w:spacing w:val="-9"/>
          <w:sz w:val="22"/>
        </w:rPr>
        <w:t> </w:t>
      </w:r>
      <w:r>
        <w:rPr>
          <w:sz w:val="22"/>
        </w:rPr>
        <w:t>discovery</w:t>
      </w:r>
      <w:r>
        <w:rPr>
          <w:spacing w:val="-9"/>
          <w:sz w:val="22"/>
        </w:rPr>
        <w:t> </w:t>
      </w:r>
      <w:r>
        <w:rPr>
          <w:sz w:val="22"/>
        </w:rPr>
        <w:t>of</w:t>
      </w:r>
      <w:r>
        <w:rPr>
          <w:spacing w:val="-9"/>
          <w:sz w:val="22"/>
        </w:rPr>
        <w:t> </w:t>
      </w:r>
      <w:r>
        <w:rPr>
          <w:sz w:val="22"/>
        </w:rPr>
        <w:t>subgroups.</w:t>
      </w:r>
      <w:r>
        <w:rPr>
          <w:spacing w:val="12"/>
          <w:sz w:val="22"/>
        </w:rPr>
        <w:t> </w:t>
      </w:r>
      <w:r>
        <w:rPr>
          <w:sz w:val="22"/>
        </w:rPr>
        <w:t>In</w:t>
      </w:r>
      <w:r>
        <w:rPr>
          <w:spacing w:val="-9"/>
          <w:sz w:val="22"/>
        </w:rPr>
        <w:t> </w:t>
      </w:r>
      <w:r>
        <w:rPr>
          <w:i/>
          <w:sz w:val="22"/>
        </w:rPr>
        <w:t>In</w:t>
      </w:r>
      <w:r>
        <w:rPr>
          <w:i/>
          <w:spacing w:val="-9"/>
          <w:sz w:val="22"/>
        </w:rPr>
        <w:t> </w:t>
      </w:r>
      <w:r>
        <w:rPr>
          <w:i/>
          <w:sz w:val="22"/>
        </w:rPr>
        <w:t>Proceedings</w:t>
      </w:r>
      <w:r>
        <w:rPr>
          <w:i/>
          <w:spacing w:val="-9"/>
          <w:sz w:val="22"/>
        </w:rPr>
        <w:t> </w:t>
      </w:r>
      <w:r>
        <w:rPr>
          <w:i/>
          <w:sz w:val="22"/>
        </w:rPr>
        <w:t>of</w:t>
      </w:r>
      <w:r>
        <w:rPr>
          <w:i/>
          <w:spacing w:val="-9"/>
          <w:sz w:val="22"/>
        </w:rPr>
        <w:t> </w:t>
      </w:r>
      <w:r>
        <w:rPr>
          <w:i/>
          <w:sz w:val="22"/>
        </w:rPr>
        <w:t>the</w:t>
      </w:r>
      <w:r>
        <w:rPr>
          <w:i/>
          <w:sz w:val="22"/>
        </w:rPr>
        <w:t> </w:t>
      </w:r>
      <w:r>
        <w:rPr>
          <w:i/>
          <w:spacing w:val="-2"/>
          <w:sz w:val="22"/>
        </w:rPr>
        <w:t>1st</w:t>
      </w:r>
      <w:r>
        <w:rPr>
          <w:i/>
          <w:spacing w:val="-12"/>
          <w:sz w:val="22"/>
        </w:rPr>
        <w:t> </w:t>
      </w:r>
      <w:r>
        <w:rPr>
          <w:i/>
          <w:spacing w:val="-2"/>
          <w:sz w:val="22"/>
        </w:rPr>
        <w:t>European</w:t>
      </w:r>
      <w:r>
        <w:rPr>
          <w:i/>
          <w:spacing w:val="-12"/>
          <w:sz w:val="22"/>
        </w:rPr>
        <w:t> </w:t>
      </w:r>
      <w:r>
        <w:rPr>
          <w:i/>
          <w:spacing w:val="-2"/>
          <w:sz w:val="22"/>
        </w:rPr>
        <w:t>Symposium</w:t>
      </w:r>
      <w:r>
        <w:rPr>
          <w:i/>
          <w:spacing w:val="-12"/>
          <w:sz w:val="22"/>
        </w:rPr>
        <w:t> </w:t>
      </w:r>
      <w:r>
        <w:rPr>
          <w:i/>
          <w:spacing w:val="-2"/>
          <w:sz w:val="22"/>
        </w:rPr>
        <w:t>on</w:t>
      </w:r>
      <w:r>
        <w:rPr>
          <w:i/>
          <w:spacing w:val="-11"/>
          <w:sz w:val="22"/>
        </w:rPr>
        <w:t> </w:t>
      </w:r>
      <w:r>
        <w:rPr>
          <w:i/>
          <w:spacing w:val="-2"/>
          <w:sz w:val="22"/>
        </w:rPr>
        <w:t>Principles</w:t>
      </w:r>
      <w:r>
        <w:rPr>
          <w:i/>
          <w:spacing w:val="-12"/>
          <w:sz w:val="22"/>
        </w:rPr>
        <w:t> </w:t>
      </w:r>
      <w:r>
        <w:rPr>
          <w:i/>
          <w:spacing w:val="-2"/>
          <w:sz w:val="22"/>
        </w:rPr>
        <w:t>of</w:t>
      </w:r>
      <w:r>
        <w:rPr>
          <w:i/>
          <w:spacing w:val="-12"/>
          <w:sz w:val="22"/>
        </w:rPr>
        <w:t> </w:t>
      </w:r>
      <w:r>
        <w:rPr>
          <w:i/>
          <w:spacing w:val="-2"/>
          <w:sz w:val="22"/>
        </w:rPr>
        <w:t>Data</w:t>
      </w:r>
      <w:r>
        <w:rPr>
          <w:i/>
          <w:spacing w:val="-12"/>
          <w:sz w:val="22"/>
        </w:rPr>
        <w:t> </w:t>
      </w:r>
      <w:r>
        <w:rPr>
          <w:i/>
          <w:spacing w:val="-2"/>
          <w:sz w:val="22"/>
        </w:rPr>
        <w:t>Mining</w:t>
      </w:r>
      <w:r>
        <w:rPr>
          <w:i/>
          <w:spacing w:val="-11"/>
          <w:sz w:val="22"/>
        </w:rPr>
        <w:t> </w:t>
      </w:r>
      <w:r>
        <w:rPr>
          <w:i/>
          <w:spacing w:val="-2"/>
          <w:sz w:val="22"/>
        </w:rPr>
        <w:t>and</w:t>
      </w:r>
      <w:r>
        <w:rPr>
          <w:i/>
          <w:spacing w:val="-12"/>
          <w:sz w:val="22"/>
        </w:rPr>
        <w:t> </w:t>
      </w:r>
      <w:r>
        <w:rPr>
          <w:i/>
          <w:spacing w:val="-2"/>
          <w:sz w:val="22"/>
        </w:rPr>
        <w:t>Knowledge</w:t>
      </w:r>
      <w:r>
        <w:rPr>
          <w:i/>
          <w:spacing w:val="-12"/>
          <w:sz w:val="22"/>
        </w:rPr>
        <w:t> </w:t>
      </w:r>
      <w:r>
        <w:rPr>
          <w:i/>
          <w:spacing w:val="-2"/>
          <w:sz w:val="22"/>
        </w:rPr>
        <w:t>Discovery</w:t>
      </w:r>
      <w:r>
        <w:rPr>
          <w:i/>
          <w:spacing w:val="-12"/>
          <w:sz w:val="22"/>
        </w:rPr>
        <w:t> </w:t>
      </w:r>
      <w:r>
        <w:rPr>
          <w:i/>
          <w:spacing w:val="-2"/>
          <w:sz w:val="22"/>
        </w:rPr>
        <w:t>(PKDD</w:t>
      </w:r>
      <w:r>
        <w:rPr>
          <w:i/>
          <w:spacing w:val="-11"/>
          <w:sz w:val="22"/>
        </w:rPr>
        <w:t> </w:t>
      </w:r>
      <w:r>
        <w:rPr>
          <w:i/>
          <w:spacing w:val="-2"/>
          <w:sz w:val="22"/>
        </w:rPr>
        <w:t>1997)</w:t>
      </w:r>
      <w:r>
        <w:rPr>
          <w:spacing w:val="-2"/>
          <w:sz w:val="22"/>
        </w:rPr>
        <w:t>, 1997.</w:t>
      </w:r>
    </w:p>
    <w:p>
      <w:pPr>
        <w:pStyle w:val="BodyText"/>
        <w:spacing w:line="256" w:lineRule="auto" w:before="181"/>
        <w:ind w:left="359" w:right="669" w:hanging="217"/>
        <w:jc w:val="both"/>
      </w:pPr>
      <w:bookmarkStart w:name="_bookmark233" w:id="375"/>
      <w:bookmarkEnd w:id="375"/>
      <w:r>
        <w:rPr/>
      </w:r>
      <w:r>
        <w:rPr/>
        <w:t>Zhu,</w:t>
      </w:r>
      <w:r>
        <w:rPr>
          <w:spacing w:val="28"/>
        </w:rPr>
        <w:t> </w:t>
      </w:r>
      <w:r>
        <w:rPr/>
        <w:t>J.,</w:t>
      </w:r>
      <w:r>
        <w:rPr>
          <w:spacing w:val="29"/>
        </w:rPr>
        <w:t> </w:t>
      </w:r>
      <w:r>
        <w:rPr/>
        <w:t>Fraysse,</w:t>
      </w:r>
      <w:r>
        <w:rPr>
          <w:spacing w:val="28"/>
        </w:rPr>
        <w:t> </w:t>
      </w:r>
      <w:r>
        <w:rPr/>
        <w:t>R.,</w:t>
      </w:r>
      <w:r>
        <w:rPr>
          <w:spacing w:val="28"/>
        </w:rPr>
        <w:t> </w:t>
      </w:r>
      <w:r>
        <w:rPr/>
        <w:t>Trought,</w:t>
      </w:r>
      <w:r>
        <w:rPr>
          <w:spacing w:val="28"/>
        </w:rPr>
        <w:t> </w:t>
      </w:r>
      <w:r>
        <w:rPr/>
        <w:t>M.</w:t>
      </w:r>
      <w:r>
        <w:rPr>
          <w:spacing w:val="23"/>
        </w:rPr>
        <w:t> </w:t>
      </w:r>
      <w:r>
        <w:rPr/>
        <w:t>C.</w:t>
      </w:r>
      <w:r>
        <w:rPr>
          <w:spacing w:val="23"/>
        </w:rPr>
        <w:t> </w:t>
      </w:r>
      <w:r>
        <w:rPr/>
        <w:t>T.,</w:t>
      </w:r>
      <w:r>
        <w:rPr>
          <w:spacing w:val="29"/>
        </w:rPr>
        <w:t> </w:t>
      </w:r>
      <w:r>
        <w:rPr/>
        <w:t>Raw,</w:t>
      </w:r>
      <w:r>
        <w:rPr>
          <w:spacing w:val="28"/>
        </w:rPr>
        <w:t> </w:t>
      </w:r>
      <w:r>
        <w:rPr/>
        <w:t>V.,</w:t>
      </w:r>
      <w:r>
        <w:rPr>
          <w:spacing w:val="28"/>
        </w:rPr>
        <w:t> </w:t>
      </w:r>
      <w:r>
        <w:rPr/>
        <w:t>Yang,</w:t>
      </w:r>
      <w:r>
        <w:rPr>
          <w:spacing w:val="29"/>
        </w:rPr>
        <w:t> </w:t>
      </w:r>
      <w:r>
        <w:rPr/>
        <w:t>L.,</w:t>
      </w:r>
      <w:r>
        <w:rPr>
          <w:spacing w:val="28"/>
        </w:rPr>
        <w:t> </w:t>
      </w:r>
      <w:r>
        <w:rPr/>
        <w:t>Greven,</w:t>
      </w:r>
      <w:r>
        <w:rPr>
          <w:spacing w:val="28"/>
        </w:rPr>
        <w:t> </w:t>
      </w:r>
      <w:r>
        <w:rPr/>
        <w:t>M.,</w:t>
      </w:r>
      <w:r>
        <w:rPr>
          <w:spacing w:val="28"/>
        </w:rPr>
        <w:t> </w:t>
      </w:r>
      <w:r>
        <w:rPr/>
        <w:t>Martin,</w:t>
      </w:r>
      <w:r>
        <w:rPr>
          <w:spacing w:val="29"/>
        </w:rPr>
        <w:t> </w:t>
      </w:r>
      <w:r>
        <w:rPr/>
        <w:t>D.,</w:t>
      </w:r>
      <w:r>
        <w:rPr>
          <w:spacing w:val="28"/>
        </w:rPr>
        <w:t> </w:t>
      </w:r>
      <w:r>
        <w:rPr/>
        <w:t>Agnew, and R.</w:t>
      </w:r>
      <w:r>
        <w:rPr>
          <w:spacing w:val="40"/>
        </w:rPr>
        <w:t> </w:t>
      </w:r>
      <w:r>
        <w:rPr/>
        <w:t>Quantifying the seasonal variations in grapevine yield components based on pre- and </w:t>
      </w:r>
      <w:r>
        <w:rPr>
          <w:spacing w:val="-2"/>
        </w:rPr>
        <w:t>post-flowering</w:t>
      </w:r>
      <w:r>
        <w:rPr>
          <w:spacing w:val="-3"/>
        </w:rPr>
        <w:t> </w:t>
      </w:r>
      <w:r>
        <w:rPr>
          <w:spacing w:val="-2"/>
        </w:rPr>
        <w:t>weather conditions.</w:t>
      </w:r>
      <w:r>
        <w:rPr>
          <w:spacing w:val="21"/>
        </w:rPr>
        <w:t> </w:t>
      </w:r>
      <w:r>
        <w:rPr>
          <w:i/>
          <w:spacing w:val="-2"/>
        </w:rPr>
        <w:t>OENO One</w:t>
      </w:r>
      <w:r>
        <w:rPr>
          <w:spacing w:val="-2"/>
        </w:rPr>
        <w:t>, 2020.</w:t>
      </w:r>
      <w:r>
        <w:rPr>
          <w:spacing w:val="21"/>
        </w:rPr>
        <w:t> </w:t>
      </w:r>
      <w:r>
        <w:rPr>
          <w:spacing w:val="-2"/>
        </w:rPr>
        <w:t>doi:</w:t>
      </w:r>
      <w:r>
        <w:rPr>
          <w:spacing w:val="11"/>
        </w:rPr>
        <w:t> </w:t>
      </w:r>
      <w:r>
        <w:rPr>
          <w:spacing w:val="-2"/>
        </w:rPr>
        <w:t>10.20870/oeno-</w:t>
      </w:r>
      <w:r>
        <w:rPr>
          <w:spacing w:val="-2"/>
        </w:rPr>
        <w:t>one.2020.54.2.2892.</w:t>
      </w:r>
    </w:p>
    <w:p>
      <w:pPr>
        <w:spacing w:line="256" w:lineRule="auto" w:before="180"/>
        <w:ind w:left="342" w:right="676" w:hanging="201"/>
        <w:jc w:val="both"/>
        <w:rPr>
          <w:sz w:val="22"/>
        </w:rPr>
      </w:pPr>
      <w:bookmarkStart w:name="_bookmark234" w:id="376"/>
      <w:bookmarkEnd w:id="376"/>
      <w:r>
        <w:rPr/>
      </w:r>
      <w:r>
        <w:rPr>
          <w:sz w:val="22"/>
        </w:rPr>
        <w:t>Zimmermann,</w:t>
      </w:r>
      <w:r>
        <w:rPr>
          <w:spacing w:val="-11"/>
          <w:sz w:val="22"/>
        </w:rPr>
        <w:t> </w:t>
      </w:r>
      <w:r>
        <w:rPr>
          <w:sz w:val="22"/>
        </w:rPr>
        <w:t>A.,</w:t>
      </w:r>
      <w:r>
        <w:rPr>
          <w:spacing w:val="-11"/>
          <w:sz w:val="22"/>
        </w:rPr>
        <w:t> </w:t>
      </w:r>
      <w:r>
        <w:rPr>
          <w:sz w:val="22"/>
        </w:rPr>
        <w:t>Atzmueller,</w:t>
      </w:r>
      <w:r>
        <w:rPr>
          <w:spacing w:val="-11"/>
          <w:sz w:val="22"/>
        </w:rPr>
        <w:t> </w:t>
      </w:r>
      <w:r>
        <w:rPr>
          <w:sz w:val="22"/>
        </w:rPr>
        <w:t>and</w:t>
      </w:r>
      <w:r>
        <w:rPr>
          <w:spacing w:val="-11"/>
          <w:sz w:val="22"/>
        </w:rPr>
        <w:t> </w:t>
      </w:r>
      <w:r>
        <w:rPr>
          <w:sz w:val="22"/>
        </w:rPr>
        <w:t>M.</w:t>
      </w:r>
      <w:r>
        <w:rPr>
          <w:spacing w:val="9"/>
          <w:sz w:val="22"/>
        </w:rPr>
        <w:t> </w:t>
      </w:r>
      <w:r>
        <w:rPr>
          <w:sz w:val="22"/>
        </w:rPr>
        <w:t>Subgroup</w:t>
      </w:r>
      <w:r>
        <w:rPr>
          <w:spacing w:val="-11"/>
          <w:sz w:val="22"/>
        </w:rPr>
        <w:t> </w:t>
      </w:r>
      <w:r>
        <w:rPr>
          <w:sz w:val="22"/>
        </w:rPr>
        <w:t>discovery</w:t>
      </w:r>
      <w:r>
        <w:rPr>
          <w:spacing w:val="-11"/>
          <w:sz w:val="22"/>
        </w:rPr>
        <w:t> </w:t>
      </w:r>
      <w:r>
        <w:rPr>
          <w:sz w:val="22"/>
        </w:rPr>
        <w:t>for</w:t>
      </w:r>
      <w:r>
        <w:rPr>
          <w:spacing w:val="-11"/>
          <w:sz w:val="22"/>
        </w:rPr>
        <w:t> </w:t>
      </w:r>
      <w:r>
        <w:rPr>
          <w:sz w:val="22"/>
        </w:rPr>
        <w:t>time</w:t>
      </w:r>
      <w:r>
        <w:rPr>
          <w:spacing w:val="-11"/>
          <w:sz w:val="22"/>
        </w:rPr>
        <w:t> </w:t>
      </w:r>
      <w:r>
        <w:rPr>
          <w:sz w:val="22"/>
        </w:rPr>
        <w:t>series</w:t>
      </w:r>
      <w:r>
        <w:rPr>
          <w:spacing w:val="-11"/>
          <w:sz w:val="22"/>
        </w:rPr>
        <w:t> </w:t>
      </w:r>
      <w:r>
        <w:rPr>
          <w:sz w:val="22"/>
        </w:rPr>
        <w:t>data.</w:t>
      </w:r>
      <w:r>
        <w:rPr>
          <w:spacing w:val="9"/>
          <w:sz w:val="22"/>
        </w:rPr>
        <w:t> </w:t>
      </w:r>
      <w:r>
        <w:rPr>
          <w:sz w:val="22"/>
        </w:rPr>
        <w:t>In</w:t>
      </w:r>
      <w:r>
        <w:rPr>
          <w:spacing w:val="-11"/>
          <w:sz w:val="22"/>
        </w:rPr>
        <w:t> </w:t>
      </w:r>
      <w:r>
        <w:rPr>
          <w:i/>
          <w:sz w:val="22"/>
        </w:rPr>
        <w:t>In</w:t>
      </w:r>
      <w:r>
        <w:rPr>
          <w:i/>
          <w:spacing w:val="-11"/>
          <w:sz w:val="22"/>
        </w:rPr>
        <w:t> </w:t>
      </w:r>
      <w:r>
        <w:rPr>
          <w:i/>
          <w:sz w:val="22"/>
        </w:rPr>
        <w:t>Proceedings</w:t>
      </w:r>
      <w:r>
        <w:rPr>
          <w:i/>
          <w:sz w:val="22"/>
        </w:rPr>
        <w:t> of the IEEE International Conference on Data Mining Workshops (ICDMW 2019)</w:t>
      </w:r>
      <w:r>
        <w:rPr>
          <w:sz w:val="22"/>
        </w:rPr>
        <w:t>, 2019.</w:t>
      </w:r>
      <w:r>
        <w:rPr>
          <w:spacing w:val="27"/>
          <w:sz w:val="22"/>
        </w:rPr>
        <w:t> </w:t>
      </w:r>
      <w:r>
        <w:rPr>
          <w:sz w:val="22"/>
        </w:rPr>
        <w:t>doi: </w:t>
      </w:r>
      <w:r>
        <w:rPr>
          <w:spacing w:val="-2"/>
          <w:sz w:val="22"/>
        </w:rPr>
        <w:t>10.1109/ICDMW.2019.00069.</w:t>
      </w:r>
    </w:p>
    <w:sectPr>
      <w:headerReference w:type="even" r:id="rId140"/>
      <w:pgSz w:w="11910" w:h="16840"/>
      <w:pgMar w:header="1160" w:footer="0" w:top="1420" w:bottom="280" w:left="1275" w:right="1275"/>
      <w:pgNumType w:start="11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Verdana">
    <w:altName w:val="Verdana"/>
    <w:charset w:val="0"/>
    <w:family w:val="swiss"/>
    <w:pitch w:val="variable"/>
  </w:font>
  <w:font w:name="Meiryo UI">
    <w:altName w:val="Meiryo UI"/>
    <w:charset w:val="0"/>
    <w:family w:val="swiss"/>
    <w:pitch w:val="variable"/>
  </w:font>
  <w:font w:name="Lucida Sans Unicode">
    <w:altName w:val="Lucida Sans Unicode"/>
    <w:charset w:val="0"/>
    <w:family w:val="swiss"/>
    <w:pitch w:val="variable"/>
  </w:font>
  <w:font w:name="Adobe Clean">
    <w:altName w:val="Adobe Clean"/>
    <w:charset w:val="0"/>
    <w:family w:val="swiss"/>
    <w:pitch w:val="variable"/>
  </w:font>
  <w:font w:name="Courier New">
    <w:altName w:val="Courier New"/>
    <w:charset w:val="0"/>
    <w:family w:val="modern"/>
    <w:pitch w:val="fixed"/>
  </w:font>
  <w:font w:name="Cambria">
    <w:altName w:val="Cambria"/>
    <w:charset w:val="0"/>
    <w:family w:val="roman"/>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47936">
              <wp:simplePos x="0" y="0"/>
              <wp:positionH relativeFrom="page">
                <wp:posOffset>887298</wp:posOffset>
              </wp:positionH>
              <wp:positionV relativeFrom="page">
                <wp:posOffset>723773</wp:posOffset>
              </wp:positionV>
              <wp:extent cx="102870" cy="19240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02870" cy="192405"/>
                      </a:xfrm>
                      <a:prstGeom prst="rect">
                        <a:avLst/>
                      </a:prstGeom>
                    </wps:spPr>
                    <wps:txbx>
                      <w:txbxContent>
                        <w:p>
                          <w:pPr>
                            <w:pStyle w:val="BodyText"/>
                            <w:spacing w:before="16"/>
                            <w:ind w:left="20"/>
                          </w:pPr>
                          <w:r>
                            <w:rPr>
                              <w:spacing w:val="-5"/>
                            </w:rPr>
                            <w:t>ii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865997pt;margin-top:56.990005pt;width:8.1pt;height:15.15pt;mso-position-horizontal-relative:page;mso-position-vertical-relative:page;z-index:-23468544" type="#_x0000_t202" id="docshape27" filled="false" stroked="false">
              <v:textbox inset="0,0,0,0">
                <w:txbxContent>
                  <w:p>
                    <w:pPr>
                      <w:pStyle w:val="BodyText"/>
                      <w:spacing w:before="16"/>
                      <w:ind w:left="20"/>
                    </w:pPr>
                    <w:r>
                      <w:rPr>
                        <w:spacing w:val="-5"/>
                      </w:rPr>
                      <w:t>ii</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50496">
              <wp:simplePos x="0" y="0"/>
              <wp:positionH relativeFrom="page">
                <wp:posOffset>883831</wp:posOffset>
              </wp:positionH>
              <wp:positionV relativeFrom="page">
                <wp:posOffset>723773</wp:posOffset>
              </wp:positionV>
              <wp:extent cx="210820" cy="19240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10820" cy="192405"/>
                      </a:xfrm>
                      <a:prstGeom prst="rect">
                        <a:avLst/>
                      </a:prstGeom>
                    </wps:spPr>
                    <wps:txbx>
                      <w:txbxContent>
                        <w:p>
                          <w:pPr>
                            <w:pStyle w:val="BodyText"/>
                            <w:spacing w:before="16"/>
                            <w:ind w:left="20"/>
                          </w:pPr>
                          <w:r>
                            <w:rPr>
                              <w:spacing w:val="-4"/>
                            </w:rPr>
                            <w:t>viii</w:t>
                          </w:r>
                        </w:p>
                      </w:txbxContent>
                    </wps:txbx>
                    <wps:bodyPr wrap="square" lIns="0" tIns="0" rIns="0" bIns="0" rtlCol="0">
                      <a:noAutofit/>
                    </wps:bodyPr>
                  </wps:wsp>
                </a:graphicData>
              </a:graphic>
            </wp:anchor>
          </w:drawing>
        </mc:Choice>
        <mc:Fallback>
          <w:pict>
            <v:shape style="position:absolute;margin-left:69.593002pt;margin-top:56.990005pt;width:16.6pt;height:15.15pt;mso-position-horizontal-relative:page;mso-position-vertical-relative:page;z-index:-23465984" type="#_x0000_t202" id="docshape28" filled="false" stroked="false">
              <v:textbox inset="0,0,0,0">
                <w:txbxContent>
                  <w:p>
                    <w:pPr>
                      <w:pStyle w:val="BodyText"/>
                      <w:spacing w:before="16"/>
                      <w:ind w:left="20"/>
                    </w:pPr>
                    <w:r>
                      <w:rPr>
                        <w:spacing w:val="-4"/>
                      </w:rPr>
                      <w:t>viii</w:t>
                    </w:r>
                  </w:p>
                </w:txbxContent>
              </v:textbox>
              <w10:wrap type="none"/>
            </v:shape>
          </w:pict>
        </mc:Fallback>
      </mc:AlternateContent>
    </w:r>
    <w:r>
      <w:rPr>
        <w:sz w:val="20"/>
      </w:rPr>
      <mc:AlternateContent>
        <mc:Choice Requires="wps">
          <w:drawing>
            <wp:anchor distT="0" distB="0" distL="0" distR="0" allowOverlap="1" layoutInCell="1" locked="0" behindDoc="1" simplePos="0" relativeHeight="479851008">
              <wp:simplePos x="0" y="0"/>
              <wp:positionH relativeFrom="page">
                <wp:posOffset>5171185</wp:posOffset>
              </wp:positionH>
              <wp:positionV relativeFrom="page">
                <wp:posOffset>723773</wp:posOffset>
              </wp:positionV>
              <wp:extent cx="1141730" cy="19240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141730" cy="192405"/>
                      </a:xfrm>
                      <a:prstGeom prst="rect">
                        <a:avLst/>
                      </a:prstGeom>
                    </wps:spPr>
                    <wps:txbx>
                      <w:txbxContent>
                        <w:p>
                          <w:pPr>
                            <w:spacing w:before="12"/>
                            <w:ind w:left="20" w:right="0" w:firstLine="0"/>
                            <w:jc w:val="left"/>
                            <w:rPr>
                              <w:rFonts w:ascii="Cambria"/>
                              <w:i/>
                              <w:sz w:val="22"/>
                            </w:rPr>
                          </w:pPr>
                          <w:r>
                            <w:rPr>
                              <w:rFonts w:ascii="Cambria"/>
                              <w:i/>
                              <w:w w:val="110"/>
                              <w:sz w:val="22"/>
                            </w:rPr>
                            <w:t>LIST</w:t>
                          </w:r>
                          <w:r>
                            <w:rPr>
                              <w:rFonts w:ascii="Cambria"/>
                              <w:i/>
                              <w:spacing w:val="1"/>
                              <w:w w:val="110"/>
                              <w:sz w:val="22"/>
                            </w:rPr>
                            <w:t> </w:t>
                          </w:r>
                          <w:r>
                            <w:rPr>
                              <w:rFonts w:ascii="Cambria"/>
                              <w:i/>
                              <w:w w:val="110"/>
                              <w:sz w:val="22"/>
                            </w:rPr>
                            <w:t>OF</w:t>
                          </w:r>
                          <w:r>
                            <w:rPr>
                              <w:rFonts w:ascii="Cambria"/>
                              <w:i/>
                              <w:spacing w:val="1"/>
                              <w:w w:val="110"/>
                              <w:sz w:val="22"/>
                            </w:rPr>
                            <w:t> </w:t>
                          </w:r>
                          <w:r>
                            <w:rPr>
                              <w:rFonts w:ascii="Cambria"/>
                              <w:i/>
                              <w:spacing w:val="-2"/>
                              <w:w w:val="110"/>
                              <w:sz w:val="22"/>
                            </w:rPr>
                            <w:t>FIGURES</w:t>
                          </w:r>
                        </w:p>
                      </w:txbxContent>
                    </wps:txbx>
                    <wps:bodyPr wrap="square" lIns="0" tIns="0" rIns="0" bIns="0" rtlCol="0">
                      <a:noAutofit/>
                    </wps:bodyPr>
                  </wps:wsp>
                </a:graphicData>
              </a:graphic>
            </wp:anchor>
          </w:drawing>
        </mc:Choice>
        <mc:Fallback>
          <w:pict>
            <v:shape style="position:absolute;margin-left:407.179993pt;margin-top:56.990005pt;width:89.9pt;height:15.15pt;mso-position-horizontal-relative:page;mso-position-vertical-relative:page;z-index:-23465472" type="#_x0000_t202" id="docshape29" filled="false" stroked="false">
              <v:textbox inset="0,0,0,0">
                <w:txbxContent>
                  <w:p>
                    <w:pPr>
                      <w:spacing w:before="12"/>
                      <w:ind w:left="20" w:right="0" w:firstLine="0"/>
                      <w:jc w:val="left"/>
                      <w:rPr>
                        <w:rFonts w:ascii="Cambria"/>
                        <w:i/>
                        <w:sz w:val="22"/>
                      </w:rPr>
                    </w:pPr>
                    <w:r>
                      <w:rPr>
                        <w:rFonts w:ascii="Cambria"/>
                        <w:i/>
                        <w:w w:val="110"/>
                        <w:sz w:val="22"/>
                      </w:rPr>
                      <w:t>LIST</w:t>
                    </w:r>
                    <w:r>
                      <w:rPr>
                        <w:rFonts w:ascii="Cambria"/>
                        <w:i/>
                        <w:spacing w:val="1"/>
                        <w:w w:val="110"/>
                        <w:sz w:val="22"/>
                      </w:rPr>
                      <w:t> </w:t>
                    </w:r>
                    <w:r>
                      <w:rPr>
                        <w:rFonts w:ascii="Cambria"/>
                        <w:i/>
                        <w:w w:val="110"/>
                        <w:sz w:val="22"/>
                      </w:rPr>
                      <w:t>OF</w:t>
                    </w:r>
                    <w:r>
                      <w:rPr>
                        <w:rFonts w:ascii="Cambria"/>
                        <w:i/>
                        <w:spacing w:val="1"/>
                        <w:w w:val="110"/>
                        <w:sz w:val="22"/>
                      </w:rPr>
                      <w:t> </w:t>
                    </w:r>
                    <w:r>
                      <w:rPr>
                        <w:rFonts w:ascii="Cambria"/>
                        <w:i/>
                        <w:spacing w:val="-2"/>
                        <w:w w:val="110"/>
                        <w:sz w:val="22"/>
                      </w:rPr>
                      <w:t>FIGURES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51520">
              <wp:simplePos x="0" y="0"/>
              <wp:positionH relativeFrom="page">
                <wp:posOffset>861898</wp:posOffset>
              </wp:positionH>
              <wp:positionV relativeFrom="page">
                <wp:posOffset>723773</wp:posOffset>
              </wp:positionV>
              <wp:extent cx="158750" cy="19240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58750" cy="192405"/>
                      </a:xfrm>
                      <a:prstGeom prst="rect">
                        <a:avLst/>
                      </a:prstGeom>
                    </wps:spPr>
                    <wps:txbx>
                      <w:txbxContent>
                        <w:p>
                          <w:pPr>
                            <w:pStyle w:val="BodyText"/>
                            <w:spacing w:before="16"/>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67.865997pt;margin-top:56.990005pt;width:12.5pt;height:15.15pt;mso-position-horizontal-relative:page;mso-position-vertical-relative:page;z-index:-23464960" type="#_x0000_t202" id="docshape32" filled="false" stroked="false">
              <v:textbox inset="0,0,0,0">
                <w:txbxContent>
                  <w:p>
                    <w:pPr>
                      <w:pStyle w:val="BodyText"/>
                      <w:spacing w:before="16"/>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852032">
              <wp:simplePos x="0" y="0"/>
              <wp:positionH relativeFrom="page">
                <wp:posOffset>5602338</wp:posOffset>
              </wp:positionH>
              <wp:positionV relativeFrom="page">
                <wp:posOffset>723773</wp:posOffset>
              </wp:positionV>
              <wp:extent cx="710565" cy="19240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710565" cy="192405"/>
                      </a:xfrm>
                      <a:prstGeom prst="rect">
                        <a:avLst/>
                      </a:prstGeom>
                    </wps:spPr>
                    <wps:txbx>
                      <w:txbxContent>
                        <w:p>
                          <w:pPr>
                            <w:spacing w:before="12"/>
                            <w:ind w:left="20" w:right="0" w:firstLine="0"/>
                            <w:jc w:val="left"/>
                            <w:rPr>
                              <w:rFonts w:ascii="Cambria"/>
                              <w:i/>
                              <w:sz w:val="22"/>
                            </w:rPr>
                          </w:pPr>
                          <w:r>
                            <w:rPr>
                              <w:rFonts w:ascii="Cambria"/>
                              <w:i/>
                              <w:spacing w:val="-2"/>
                              <w:w w:val="90"/>
                              <w:sz w:val="22"/>
                            </w:rPr>
                            <w:t>Introduction</w:t>
                          </w:r>
                        </w:p>
                      </w:txbxContent>
                    </wps:txbx>
                    <wps:bodyPr wrap="square" lIns="0" tIns="0" rIns="0" bIns="0" rtlCol="0">
                      <a:noAutofit/>
                    </wps:bodyPr>
                  </wps:wsp>
                </a:graphicData>
              </a:graphic>
            </wp:anchor>
          </w:drawing>
        </mc:Choice>
        <mc:Fallback>
          <w:pict>
            <v:shape style="position:absolute;margin-left:441.128998pt;margin-top:56.990005pt;width:55.95pt;height:15.15pt;mso-position-horizontal-relative:page;mso-position-vertical-relative:page;z-index:-23464448" type="#_x0000_t202" id="docshape33" filled="false" stroked="false">
              <v:textbox inset="0,0,0,0">
                <w:txbxContent>
                  <w:p>
                    <w:pPr>
                      <w:spacing w:before="12"/>
                      <w:ind w:left="20" w:right="0" w:firstLine="0"/>
                      <w:jc w:val="left"/>
                      <w:rPr>
                        <w:rFonts w:ascii="Cambria"/>
                        <w:i/>
                        <w:sz w:val="22"/>
                      </w:rPr>
                    </w:pPr>
                    <w:r>
                      <w:rPr>
                        <w:rFonts w:ascii="Cambria"/>
                        <w:i/>
                        <w:spacing w:val="-2"/>
                        <w:w w:val="90"/>
                        <w:sz w:val="22"/>
                      </w:rPr>
                      <w:t>Introduction</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52544">
              <wp:simplePos x="0" y="0"/>
              <wp:positionH relativeFrom="page">
                <wp:posOffset>857046</wp:posOffset>
              </wp:positionH>
              <wp:positionV relativeFrom="page">
                <wp:posOffset>723773</wp:posOffset>
              </wp:positionV>
              <wp:extent cx="158750" cy="19240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58750" cy="192405"/>
                      </a:xfrm>
                      <a:prstGeom prst="rect">
                        <a:avLst/>
                      </a:prstGeom>
                    </wps:spPr>
                    <wps:txbx>
                      <w:txbxContent>
                        <w:p>
                          <w:pPr>
                            <w:pStyle w:val="BodyText"/>
                            <w:spacing w:before="16"/>
                            <w:ind w:left="6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 style="position:absolute;margin-left:67.484001pt;margin-top:56.990005pt;width:12.5pt;height:15.15pt;mso-position-horizontal-relative:page;mso-position-vertical-relative:page;z-index:-23463936" type="#_x0000_t202" id="docshape34" filled="false" stroked="false">
              <v:textbox inset="0,0,0,0">
                <w:txbxContent>
                  <w:p>
                    <w:pPr>
                      <w:pStyle w:val="BodyText"/>
                      <w:spacing w:before="16"/>
                      <w:ind w:left="6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853056">
              <wp:simplePos x="0" y="0"/>
              <wp:positionH relativeFrom="page">
                <wp:posOffset>5602338</wp:posOffset>
              </wp:positionH>
              <wp:positionV relativeFrom="page">
                <wp:posOffset>723773</wp:posOffset>
              </wp:positionV>
              <wp:extent cx="710565" cy="19240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710565" cy="192405"/>
                      </a:xfrm>
                      <a:prstGeom prst="rect">
                        <a:avLst/>
                      </a:prstGeom>
                    </wps:spPr>
                    <wps:txbx>
                      <w:txbxContent>
                        <w:p>
                          <w:pPr>
                            <w:spacing w:before="12"/>
                            <w:ind w:left="20" w:right="0" w:firstLine="0"/>
                            <w:jc w:val="left"/>
                            <w:rPr>
                              <w:rFonts w:ascii="Cambria"/>
                              <w:i/>
                              <w:sz w:val="22"/>
                            </w:rPr>
                          </w:pPr>
                          <w:r>
                            <w:rPr>
                              <w:rFonts w:ascii="Cambria"/>
                              <w:i/>
                              <w:spacing w:val="-2"/>
                              <w:w w:val="90"/>
                              <w:sz w:val="22"/>
                            </w:rPr>
                            <w:t>Introduction</w:t>
                          </w:r>
                        </w:p>
                      </w:txbxContent>
                    </wps:txbx>
                    <wps:bodyPr wrap="square" lIns="0" tIns="0" rIns="0" bIns="0" rtlCol="0">
                      <a:noAutofit/>
                    </wps:bodyPr>
                  </wps:wsp>
                </a:graphicData>
              </a:graphic>
            </wp:anchor>
          </w:drawing>
        </mc:Choice>
        <mc:Fallback>
          <w:pict>
            <v:shape style="position:absolute;margin-left:441.128998pt;margin-top:56.990005pt;width:55.95pt;height:15.15pt;mso-position-horizontal-relative:page;mso-position-vertical-relative:page;z-index:-23463424" type="#_x0000_t202" id="docshape35" filled="false" stroked="false">
              <v:textbox inset="0,0,0,0">
                <w:txbxContent>
                  <w:p>
                    <w:pPr>
                      <w:spacing w:before="12"/>
                      <w:ind w:left="20" w:right="0" w:firstLine="0"/>
                      <w:jc w:val="left"/>
                      <w:rPr>
                        <w:rFonts w:ascii="Cambria"/>
                        <w:i/>
                        <w:sz w:val="22"/>
                      </w:rPr>
                    </w:pPr>
                    <w:r>
                      <w:rPr>
                        <w:rFonts w:ascii="Cambria"/>
                        <w:i/>
                        <w:spacing w:val="-2"/>
                        <w:w w:val="90"/>
                        <w:sz w:val="22"/>
                      </w:rPr>
                      <w:t>Introduction</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53568">
              <wp:simplePos x="0" y="0"/>
              <wp:positionH relativeFrom="page">
                <wp:posOffset>861898</wp:posOffset>
              </wp:positionH>
              <wp:positionV relativeFrom="page">
                <wp:posOffset>723773</wp:posOffset>
              </wp:positionV>
              <wp:extent cx="179070" cy="19240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79070" cy="192405"/>
                      </a:xfrm>
                      <a:prstGeom prst="rect">
                        <a:avLst/>
                      </a:prstGeom>
                    </wps:spPr>
                    <wps:txbx>
                      <w:txbxContent>
                        <w:p>
                          <w:pPr>
                            <w:pStyle w:val="BodyText"/>
                            <w:spacing w:before="16"/>
                            <w:ind w:left="43"/>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67.865997pt;margin-top:56.990005pt;width:14.1pt;height:15.15pt;mso-position-horizontal-relative:page;mso-position-vertical-relative:page;z-index:-23462912" type="#_x0000_t202" id="docshape36" filled="false" stroked="false">
              <v:textbox inset="0,0,0,0">
                <w:txbxContent>
                  <w:p>
                    <w:pPr>
                      <w:pStyle w:val="BodyText"/>
                      <w:spacing w:before="16"/>
                      <w:ind w:left="43"/>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854080">
              <wp:simplePos x="0" y="0"/>
              <wp:positionH relativeFrom="page">
                <wp:posOffset>5290058</wp:posOffset>
              </wp:positionH>
              <wp:positionV relativeFrom="page">
                <wp:posOffset>723773</wp:posOffset>
              </wp:positionV>
              <wp:extent cx="1022985" cy="19240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022985" cy="192405"/>
                      </a:xfrm>
                      <a:prstGeom prst="rect">
                        <a:avLst/>
                      </a:prstGeom>
                    </wps:spPr>
                    <wps:txbx>
                      <w:txbxContent>
                        <w:p>
                          <w:pPr>
                            <w:spacing w:before="12"/>
                            <w:ind w:left="20" w:right="0" w:firstLine="0"/>
                            <w:jc w:val="left"/>
                            <w:rPr>
                              <w:rFonts w:ascii="Cambria"/>
                              <w:i/>
                              <w:sz w:val="22"/>
                            </w:rPr>
                          </w:pPr>
                          <w:r>
                            <w:rPr>
                              <w:rFonts w:ascii="Cambria"/>
                              <w:i/>
                              <w:w w:val="90"/>
                              <w:sz w:val="22"/>
                            </w:rPr>
                            <w:t>Literature</w:t>
                          </w:r>
                          <w:r>
                            <w:rPr>
                              <w:rFonts w:ascii="Cambria"/>
                              <w:i/>
                              <w:spacing w:val="15"/>
                              <w:sz w:val="22"/>
                            </w:rPr>
                            <w:t> </w:t>
                          </w:r>
                          <w:r>
                            <w:rPr>
                              <w:rFonts w:ascii="Cambria"/>
                              <w:i/>
                              <w:spacing w:val="-2"/>
                              <w:sz w:val="22"/>
                            </w:rPr>
                            <w:t>Review</w:t>
                          </w:r>
                        </w:p>
                      </w:txbxContent>
                    </wps:txbx>
                    <wps:bodyPr wrap="square" lIns="0" tIns="0" rIns="0" bIns="0" rtlCol="0">
                      <a:noAutofit/>
                    </wps:bodyPr>
                  </wps:wsp>
                </a:graphicData>
              </a:graphic>
            </wp:anchor>
          </w:drawing>
        </mc:Choice>
        <mc:Fallback>
          <w:pict>
            <v:shape style="position:absolute;margin-left:416.540009pt;margin-top:56.990005pt;width:80.55pt;height:15.15pt;mso-position-horizontal-relative:page;mso-position-vertical-relative:page;z-index:-23462400" type="#_x0000_t202" id="docshape37" filled="false" stroked="false">
              <v:textbox inset="0,0,0,0">
                <w:txbxContent>
                  <w:p>
                    <w:pPr>
                      <w:spacing w:before="12"/>
                      <w:ind w:left="20" w:right="0" w:firstLine="0"/>
                      <w:jc w:val="left"/>
                      <w:rPr>
                        <w:rFonts w:ascii="Cambria"/>
                        <w:i/>
                        <w:sz w:val="22"/>
                      </w:rPr>
                    </w:pPr>
                    <w:r>
                      <w:rPr>
                        <w:rFonts w:ascii="Cambria"/>
                        <w:i/>
                        <w:w w:val="90"/>
                        <w:sz w:val="22"/>
                      </w:rPr>
                      <w:t>Literature</w:t>
                    </w:r>
                    <w:r>
                      <w:rPr>
                        <w:rFonts w:ascii="Cambria"/>
                        <w:i/>
                        <w:spacing w:val="15"/>
                        <w:sz w:val="22"/>
                      </w:rPr>
                      <w:t> </w:t>
                    </w:r>
                    <w:r>
                      <w:rPr>
                        <w:rFonts w:ascii="Cambria"/>
                        <w:i/>
                        <w:spacing w:val="-2"/>
                        <w:sz w:val="22"/>
                      </w:rPr>
                      <w:t>Review</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54592">
              <wp:simplePos x="0" y="0"/>
              <wp:positionH relativeFrom="page">
                <wp:posOffset>861898</wp:posOffset>
              </wp:positionH>
              <wp:positionV relativeFrom="page">
                <wp:posOffset>723773</wp:posOffset>
              </wp:positionV>
              <wp:extent cx="158750" cy="19240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58750" cy="192405"/>
                      </a:xfrm>
                      <a:prstGeom prst="rect">
                        <a:avLst/>
                      </a:prstGeom>
                    </wps:spPr>
                    <wps:txbx>
                      <w:txbxContent>
                        <w:p>
                          <w:pPr>
                            <w:pStyle w:val="BodyText"/>
                            <w:spacing w:before="16"/>
                            <w:ind w:left="60"/>
                          </w:pP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 style="position:absolute;margin-left:67.865997pt;margin-top:56.990005pt;width:12.5pt;height:15.15pt;mso-position-horizontal-relative:page;mso-position-vertical-relative:page;z-index:-23461888" type="#_x0000_t202" id="docshape38" filled="false" stroked="false">
              <v:textbox inset="0,0,0,0">
                <w:txbxContent>
                  <w:p>
                    <w:pPr>
                      <w:pStyle w:val="BodyText"/>
                      <w:spacing w:before="16"/>
                      <w:ind w:left="60"/>
                    </w:pP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855104">
              <wp:simplePos x="0" y="0"/>
              <wp:positionH relativeFrom="page">
                <wp:posOffset>5290058</wp:posOffset>
              </wp:positionH>
              <wp:positionV relativeFrom="page">
                <wp:posOffset>723773</wp:posOffset>
              </wp:positionV>
              <wp:extent cx="1022985" cy="19240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022985" cy="192405"/>
                      </a:xfrm>
                      <a:prstGeom prst="rect">
                        <a:avLst/>
                      </a:prstGeom>
                    </wps:spPr>
                    <wps:txbx>
                      <w:txbxContent>
                        <w:p>
                          <w:pPr>
                            <w:spacing w:before="12"/>
                            <w:ind w:left="20" w:right="0" w:firstLine="0"/>
                            <w:jc w:val="left"/>
                            <w:rPr>
                              <w:rFonts w:ascii="Cambria"/>
                              <w:i/>
                              <w:sz w:val="22"/>
                            </w:rPr>
                          </w:pPr>
                          <w:r>
                            <w:rPr>
                              <w:rFonts w:ascii="Cambria"/>
                              <w:i/>
                              <w:w w:val="90"/>
                              <w:sz w:val="22"/>
                            </w:rPr>
                            <w:t>Literature</w:t>
                          </w:r>
                          <w:r>
                            <w:rPr>
                              <w:rFonts w:ascii="Cambria"/>
                              <w:i/>
                              <w:spacing w:val="15"/>
                              <w:sz w:val="22"/>
                            </w:rPr>
                            <w:t> </w:t>
                          </w:r>
                          <w:r>
                            <w:rPr>
                              <w:rFonts w:ascii="Cambria"/>
                              <w:i/>
                              <w:spacing w:val="-2"/>
                              <w:sz w:val="22"/>
                            </w:rPr>
                            <w:t>Review</w:t>
                          </w:r>
                        </w:p>
                      </w:txbxContent>
                    </wps:txbx>
                    <wps:bodyPr wrap="square" lIns="0" tIns="0" rIns="0" bIns="0" rtlCol="0">
                      <a:noAutofit/>
                    </wps:bodyPr>
                  </wps:wsp>
                </a:graphicData>
              </a:graphic>
            </wp:anchor>
          </w:drawing>
        </mc:Choice>
        <mc:Fallback>
          <w:pict>
            <v:shape style="position:absolute;margin-left:416.540009pt;margin-top:56.990005pt;width:80.55pt;height:15.15pt;mso-position-horizontal-relative:page;mso-position-vertical-relative:page;z-index:-23461376" type="#_x0000_t202" id="docshape39" filled="false" stroked="false">
              <v:textbox inset="0,0,0,0">
                <w:txbxContent>
                  <w:p>
                    <w:pPr>
                      <w:spacing w:before="12"/>
                      <w:ind w:left="20" w:right="0" w:firstLine="0"/>
                      <w:jc w:val="left"/>
                      <w:rPr>
                        <w:rFonts w:ascii="Cambria"/>
                        <w:i/>
                        <w:sz w:val="22"/>
                      </w:rPr>
                    </w:pPr>
                    <w:r>
                      <w:rPr>
                        <w:rFonts w:ascii="Cambria"/>
                        <w:i/>
                        <w:w w:val="90"/>
                        <w:sz w:val="22"/>
                      </w:rPr>
                      <w:t>Literature</w:t>
                    </w:r>
                    <w:r>
                      <w:rPr>
                        <w:rFonts w:ascii="Cambria"/>
                        <w:i/>
                        <w:spacing w:val="15"/>
                        <w:sz w:val="22"/>
                      </w:rPr>
                      <w:t> </w:t>
                    </w:r>
                    <w:r>
                      <w:rPr>
                        <w:rFonts w:ascii="Cambria"/>
                        <w:i/>
                        <w:spacing w:val="-2"/>
                        <w:sz w:val="22"/>
                      </w:rPr>
                      <w:t>Review</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55616">
              <wp:simplePos x="0" y="0"/>
              <wp:positionH relativeFrom="page">
                <wp:posOffset>1243838</wp:posOffset>
              </wp:positionH>
              <wp:positionV relativeFrom="page">
                <wp:posOffset>723773</wp:posOffset>
              </wp:positionV>
              <wp:extent cx="2815590" cy="19240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815590" cy="192405"/>
                      </a:xfrm>
                      <a:prstGeom prst="rect">
                        <a:avLst/>
                      </a:prstGeom>
                    </wps:spPr>
                    <wps:txbx>
                      <w:txbxContent>
                        <w:p>
                          <w:pPr>
                            <w:spacing w:before="12"/>
                            <w:ind w:left="20" w:right="0" w:firstLine="0"/>
                            <w:jc w:val="left"/>
                            <w:rPr>
                              <w:rFonts w:ascii="Cambria"/>
                              <w:i/>
                              <w:sz w:val="22"/>
                            </w:rPr>
                          </w:pPr>
                          <w:r>
                            <w:rPr>
                              <w:rFonts w:ascii="Cambria"/>
                              <w:i/>
                              <w:spacing w:val="-2"/>
                              <w:sz w:val="22"/>
                            </w:rPr>
                            <w:t>2.6</w:t>
                          </w:r>
                          <w:r>
                            <w:rPr>
                              <w:rFonts w:ascii="Cambria"/>
                              <w:i/>
                              <w:spacing w:val="-7"/>
                              <w:sz w:val="22"/>
                            </w:rPr>
                            <w:t> </w:t>
                          </w:r>
                          <w:r>
                            <w:rPr>
                              <w:rFonts w:ascii="Cambria"/>
                              <w:i/>
                              <w:spacing w:val="-2"/>
                              <w:sz w:val="22"/>
                            </w:rPr>
                            <w:t>Distribution</w:t>
                          </w:r>
                          <w:r>
                            <w:rPr>
                              <w:rFonts w:ascii="Cambria"/>
                              <w:i/>
                              <w:spacing w:val="-7"/>
                              <w:sz w:val="22"/>
                            </w:rPr>
                            <w:t> </w:t>
                          </w:r>
                          <w:r>
                            <w:rPr>
                              <w:rFonts w:ascii="Cambria"/>
                              <w:i/>
                              <w:spacing w:val="-2"/>
                              <w:sz w:val="22"/>
                            </w:rPr>
                            <w:t>Rules</w:t>
                          </w:r>
                          <w:r>
                            <w:rPr>
                              <w:rFonts w:ascii="Cambria"/>
                              <w:i/>
                              <w:spacing w:val="-7"/>
                              <w:sz w:val="22"/>
                            </w:rPr>
                            <w:t> </w:t>
                          </w:r>
                          <w:r>
                            <w:rPr>
                              <w:rFonts w:ascii="Cambria"/>
                              <w:i/>
                              <w:spacing w:val="-2"/>
                              <w:sz w:val="22"/>
                            </w:rPr>
                            <w:t>and</w:t>
                          </w:r>
                          <w:r>
                            <w:rPr>
                              <w:rFonts w:ascii="Cambria"/>
                              <w:i/>
                              <w:spacing w:val="-6"/>
                              <w:sz w:val="22"/>
                            </w:rPr>
                            <w:t> </w:t>
                          </w:r>
                          <w:r>
                            <w:rPr>
                              <w:rFonts w:ascii="Cambria"/>
                              <w:i/>
                              <w:spacing w:val="-2"/>
                              <w:sz w:val="22"/>
                            </w:rPr>
                            <w:t>the</w:t>
                          </w:r>
                          <w:r>
                            <w:rPr>
                              <w:rFonts w:ascii="Cambria"/>
                              <w:i/>
                              <w:spacing w:val="-7"/>
                              <w:sz w:val="22"/>
                            </w:rPr>
                            <w:t> </w:t>
                          </w:r>
                          <w:r>
                            <w:rPr>
                              <w:rFonts w:ascii="Cambria"/>
                              <w:i/>
                              <w:spacing w:val="-2"/>
                              <w:sz w:val="22"/>
                            </w:rPr>
                            <w:t>CarenR</w:t>
                          </w:r>
                          <w:r>
                            <w:rPr>
                              <w:rFonts w:ascii="Cambria"/>
                              <w:i/>
                              <w:spacing w:val="-7"/>
                              <w:sz w:val="22"/>
                            </w:rPr>
                            <w:t> </w:t>
                          </w:r>
                          <w:r>
                            <w:rPr>
                              <w:rFonts w:ascii="Cambria"/>
                              <w:i/>
                              <w:spacing w:val="-6"/>
                              <w:sz w:val="22"/>
                            </w:rPr>
                            <w:t>Framework</w:t>
                          </w:r>
                        </w:p>
                      </w:txbxContent>
                    </wps:txbx>
                    <wps:bodyPr wrap="square" lIns="0" tIns="0" rIns="0" bIns="0" rtlCol="0">
                      <a:noAutofit/>
                    </wps:bodyPr>
                  </wps:wsp>
                </a:graphicData>
              </a:graphic>
            </wp:anchor>
          </w:drawing>
        </mc:Choice>
        <mc:Fallback>
          <w:pict>
            <v:shape style="position:absolute;margin-left:97.940002pt;margin-top:56.990005pt;width:221.7pt;height:15.15pt;mso-position-horizontal-relative:page;mso-position-vertical-relative:page;z-index:-23460864" type="#_x0000_t202" id="docshape40" filled="false" stroked="false">
              <v:textbox inset="0,0,0,0">
                <w:txbxContent>
                  <w:p>
                    <w:pPr>
                      <w:spacing w:before="12"/>
                      <w:ind w:left="20" w:right="0" w:firstLine="0"/>
                      <w:jc w:val="left"/>
                      <w:rPr>
                        <w:rFonts w:ascii="Cambria"/>
                        <w:i/>
                        <w:sz w:val="22"/>
                      </w:rPr>
                    </w:pPr>
                    <w:r>
                      <w:rPr>
                        <w:rFonts w:ascii="Cambria"/>
                        <w:i/>
                        <w:spacing w:val="-2"/>
                        <w:sz w:val="22"/>
                      </w:rPr>
                      <w:t>2.6</w:t>
                    </w:r>
                    <w:r>
                      <w:rPr>
                        <w:rFonts w:ascii="Cambria"/>
                        <w:i/>
                        <w:spacing w:val="-7"/>
                        <w:sz w:val="22"/>
                      </w:rPr>
                      <w:t> </w:t>
                    </w:r>
                    <w:r>
                      <w:rPr>
                        <w:rFonts w:ascii="Cambria"/>
                        <w:i/>
                        <w:spacing w:val="-2"/>
                        <w:sz w:val="22"/>
                      </w:rPr>
                      <w:t>Distribution</w:t>
                    </w:r>
                    <w:r>
                      <w:rPr>
                        <w:rFonts w:ascii="Cambria"/>
                        <w:i/>
                        <w:spacing w:val="-7"/>
                        <w:sz w:val="22"/>
                      </w:rPr>
                      <w:t> </w:t>
                    </w:r>
                    <w:r>
                      <w:rPr>
                        <w:rFonts w:ascii="Cambria"/>
                        <w:i/>
                        <w:spacing w:val="-2"/>
                        <w:sz w:val="22"/>
                      </w:rPr>
                      <w:t>Rules</w:t>
                    </w:r>
                    <w:r>
                      <w:rPr>
                        <w:rFonts w:ascii="Cambria"/>
                        <w:i/>
                        <w:spacing w:val="-7"/>
                        <w:sz w:val="22"/>
                      </w:rPr>
                      <w:t> </w:t>
                    </w:r>
                    <w:r>
                      <w:rPr>
                        <w:rFonts w:ascii="Cambria"/>
                        <w:i/>
                        <w:spacing w:val="-2"/>
                        <w:sz w:val="22"/>
                      </w:rPr>
                      <w:t>and</w:t>
                    </w:r>
                    <w:r>
                      <w:rPr>
                        <w:rFonts w:ascii="Cambria"/>
                        <w:i/>
                        <w:spacing w:val="-6"/>
                        <w:sz w:val="22"/>
                      </w:rPr>
                      <w:t> </w:t>
                    </w:r>
                    <w:r>
                      <w:rPr>
                        <w:rFonts w:ascii="Cambria"/>
                        <w:i/>
                        <w:spacing w:val="-2"/>
                        <w:sz w:val="22"/>
                      </w:rPr>
                      <w:t>the</w:t>
                    </w:r>
                    <w:r>
                      <w:rPr>
                        <w:rFonts w:ascii="Cambria"/>
                        <w:i/>
                        <w:spacing w:val="-7"/>
                        <w:sz w:val="22"/>
                      </w:rPr>
                      <w:t> </w:t>
                    </w:r>
                    <w:r>
                      <w:rPr>
                        <w:rFonts w:ascii="Cambria"/>
                        <w:i/>
                        <w:spacing w:val="-2"/>
                        <w:sz w:val="22"/>
                      </w:rPr>
                      <w:t>CarenR</w:t>
                    </w:r>
                    <w:r>
                      <w:rPr>
                        <w:rFonts w:ascii="Cambria"/>
                        <w:i/>
                        <w:spacing w:val="-7"/>
                        <w:sz w:val="22"/>
                      </w:rPr>
                      <w:t> </w:t>
                    </w:r>
                    <w:r>
                      <w:rPr>
                        <w:rFonts w:ascii="Cambria"/>
                        <w:i/>
                        <w:spacing w:val="-6"/>
                        <w:sz w:val="22"/>
                      </w:rPr>
                      <w:t>Framework</w:t>
                    </w:r>
                  </w:p>
                </w:txbxContent>
              </v:textbox>
              <w10:wrap type="none"/>
            </v:shape>
          </w:pict>
        </mc:Fallback>
      </mc:AlternateContent>
    </w:r>
    <w:r>
      <w:rPr>
        <w:sz w:val="20"/>
      </w:rPr>
      <mc:AlternateContent>
        <mc:Choice Requires="wps">
          <w:drawing>
            <wp:anchor distT="0" distB="0" distL="0" distR="0" allowOverlap="1" layoutInCell="1" locked="0" behindDoc="1" simplePos="0" relativeHeight="479856128">
              <wp:simplePos x="0" y="0"/>
              <wp:positionH relativeFrom="page">
                <wp:posOffset>6578028</wp:posOffset>
              </wp:positionH>
              <wp:positionV relativeFrom="page">
                <wp:posOffset>723773</wp:posOffset>
              </wp:positionV>
              <wp:extent cx="95250" cy="19240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95250" cy="192405"/>
                      </a:xfrm>
                      <a:prstGeom prst="rect">
                        <a:avLst/>
                      </a:prstGeom>
                    </wps:spPr>
                    <wps:txbx>
                      <w:txbxContent>
                        <w:p>
                          <w:pPr>
                            <w:pStyle w:val="BodyText"/>
                            <w:spacing w:before="16"/>
                            <w:ind w:left="20"/>
                          </w:pPr>
                          <w:r>
                            <w:rPr>
                              <w:spacing w:val="-10"/>
                            </w:rPr>
                            <w:t>9</w:t>
                          </w:r>
                        </w:p>
                      </w:txbxContent>
                    </wps:txbx>
                    <wps:bodyPr wrap="square" lIns="0" tIns="0" rIns="0" bIns="0" rtlCol="0">
                      <a:noAutofit/>
                    </wps:bodyPr>
                  </wps:wsp>
                </a:graphicData>
              </a:graphic>
            </wp:anchor>
          </w:drawing>
        </mc:Choice>
        <mc:Fallback>
          <w:pict>
            <v:shape style="position:absolute;margin-left:517.955017pt;margin-top:56.990005pt;width:7.5pt;height:15.15pt;mso-position-horizontal-relative:page;mso-position-vertical-relative:page;z-index:-23460352" type="#_x0000_t202" id="docshape41" filled="false" stroked="false">
              <v:textbox inset="0,0,0,0">
                <w:txbxContent>
                  <w:p>
                    <w:pPr>
                      <w:pStyle w:val="BodyText"/>
                      <w:spacing w:before="16"/>
                      <w:ind w:left="20"/>
                    </w:pPr>
                    <w:r>
                      <w:rPr>
                        <w:spacing w:val="-10"/>
                      </w:rPr>
                      <w:t>9</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56640">
              <wp:simplePos x="0" y="0"/>
              <wp:positionH relativeFrom="page">
                <wp:posOffset>1243838</wp:posOffset>
              </wp:positionH>
              <wp:positionV relativeFrom="page">
                <wp:posOffset>723773</wp:posOffset>
              </wp:positionV>
              <wp:extent cx="3136265" cy="19240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3136265" cy="192405"/>
                      </a:xfrm>
                      <a:prstGeom prst="rect">
                        <a:avLst/>
                      </a:prstGeom>
                    </wps:spPr>
                    <wps:txbx>
                      <w:txbxContent>
                        <w:p>
                          <w:pPr>
                            <w:spacing w:before="12"/>
                            <w:ind w:left="20" w:right="0" w:firstLine="0"/>
                            <w:jc w:val="left"/>
                            <w:rPr>
                              <w:rFonts w:ascii="Cambria"/>
                              <w:i/>
                              <w:sz w:val="22"/>
                            </w:rPr>
                          </w:pPr>
                          <w:r>
                            <w:rPr>
                              <w:rFonts w:ascii="Cambria"/>
                              <w:i/>
                              <w:spacing w:val="-6"/>
                              <w:sz w:val="22"/>
                            </w:rPr>
                            <w:t>2.8</w:t>
                          </w:r>
                          <w:r>
                            <w:rPr>
                              <w:rFonts w:ascii="Cambria"/>
                              <w:i/>
                              <w:spacing w:val="3"/>
                              <w:sz w:val="22"/>
                            </w:rPr>
                            <w:t> </w:t>
                          </w:r>
                          <w:r>
                            <w:rPr>
                              <w:rFonts w:ascii="Cambria"/>
                              <w:i/>
                              <w:spacing w:val="-6"/>
                              <w:sz w:val="22"/>
                            </w:rPr>
                            <w:t>Portuguese</w:t>
                          </w:r>
                          <w:r>
                            <w:rPr>
                              <w:rFonts w:ascii="Cambria"/>
                              <w:i/>
                              <w:spacing w:val="3"/>
                              <w:sz w:val="22"/>
                            </w:rPr>
                            <w:t> </w:t>
                          </w:r>
                          <w:r>
                            <w:rPr>
                              <w:rFonts w:ascii="Cambria"/>
                              <w:i/>
                              <w:spacing w:val="-6"/>
                              <w:sz w:val="22"/>
                            </w:rPr>
                            <w:t>Viticulture</w:t>
                          </w:r>
                          <w:r>
                            <w:rPr>
                              <w:rFonts w:ascii="Cambria"/>
                              <w:i/>
                              <w:spacing w:val="3"/>
                              <w:sz w:val="22"/>
                            </w:rPr>
                            <w:t> </w:t>
                          </w:r>
                          <w:r>
                            <w:rPr>
                              <w:rFonts w:ascii="Cambria"/>
                              <w:i/>
                              <w:spacing w:val="-6"/>
                              <w:sz w:val="22"/>
                            </w:rPr>
                            <w:t>Industry</w:t>
                          </w:r>
                          <w:r>
                            <w:rPr>
                              <w:rFonts w:ascii="Cambria"/>
                              <w:i/>
                              <w:spacing w:val="4"/>
                              <w:sz w:val="22"/>
                            </w:rPr>
                            <w:t> </w:t>
                          </w:r>
                          <w:r>
                            <w:rPr>
                              <w:rFonts w:ascii="Cambria"/>
                              <w:i/>
                              <w:spacing w:val="-6"/>
                              <w:sz w:val="22"/>
                            </w:rPr>
                            <w:t>Structure</w:t>
                          </w:r>
                          <w:r>
                            <w:rPr>
                              <w:rFonts w:ascii="Cambria"/>
                              <w:i/>
                              <w:spacing w:val="3"/>
                              <w:sz w:val="22"/>
                            </w:rPr>
                            <w:t> </w:t>
                          </w:r>
                          <w:r>
                            <w:rPr>
                              <w:rFonts w:ascii="Cambria"/>
                              <w:i/>
                              <w:spacing w:val="-6"/>
                              <w:sz w:val="22"/>
                            </w:rPr>
                            <w:t>and</w:t>
                          </w:r>
                          <w:r>
                            <w:rPr>
                              <w:rFonts w:ascii="Cambria"/>
                              <w:i/>
                              <w:spacing w:val="3"/>
                              <w:sz w:val="22"/>
                            </w:rPr>
                            <w:t> </w:t>
                          </w:r>
                          <w:r>
                            <w:rPr>
                              <w:rFonts w:ascii="Cambria"/>
                              <w:i/>
                              <w:spacing w:val="-6"/>
                              <w:sz w:val="22"/>
                            </w:rPr>
                            <w:t>Policy</w:t>
                          </w:r>
                        </w:p>
                      </w:txbxContent>
                    </wps:txbx>
                    <wps:bodyPr wrap="square" lIns="0" tIns="0" rIns="0" bIns="0" rtlCol="0">
                      <a:noAutofit/>
                    </wps:bodyPr>
                  </wps:wsp>
                </a:graphicData>
              </a:graphic>
            </wp:anchor>
          </w:drawing>
        </mc:Choice>
        <mc:Fallback>
          <w:pict>
            <v:shape style="position:absolute;margin-left:97.940002pt;margin-top:56.990005pt;width:246.95pt;height:15.15pt;mso-position-horizontal-relative:page;mso-position-vertical-relative:page;z-index:-23459840" type="#_x0000_t202" id="docshape42" filled="false" stroked="false">
              <v:textbox inset="0,0,0,0">
                <w:txbxContent>
                  <w:p>
                    <w:pPr>
                      <w:spacing w:before="12"/>
                      <w:ind w:left="20" w:right="0" w:firstLine="0"/>
                      <w:jc w:val="left"/>
                      <w:rPr>
                        <w:rFonts w:ascii="Cambria"/>
                        <w:i/>
                        <w:sz w:val="22"/>
                      </w:rPr>
                    </w:pPr>
                    <w:r>
                      <w:rPr>
                        <w:rFonts w:ascii="Cambria"/>
                        <w:i/>
                        <w:spacing w:val="-6"/>
                        <w:sz w:val="22"/>
                      </w:rPr>
                      <w:t>2.8</w:t>
                    </w:r>
                    <w:r>
                      <w:rPr>
                        <w:rFonts w:ascii="Cambria"/>
                        <w:i/>
                        <w:spacing w:val="3"/>
                        <w:sz w:val="22"/>
                      </w:rPr>
                      <w:t> </w:t>
                    </w:r>
                    <w:r>
                      <w:rPr>
                        <w:rFonts w:ascii="Cambria"/>
                        <w:i/>
                        <w:spacing w:val="-6"/>
                        <w:sz w:val="22"/>
                      </w:rPr>
                      <w:t>Portuguese</w:t>
                    </w:r>
                    <w:r>
                      <w:rPr>
                        <w:rFonts w:ascii="Cambria"/>
                        <w:i/>
                        <w:spacing w:val="3"/>
                        <w:sz w:val="22"/>
                      </w:rPr>
                      <w:t> </w:t>
                    </w:r>
                    <w:r>
                      <w:rPr>
                        <w:rFonts w:ascii="Cambria"/>
                        <w:i/>
                        <w:spacing w:val="-6"/>
                        <w:sz w:val="22"/>
                      </w:rPr>
                      <w:t>Viticulture</w:t>
                    </w:r>
                    <w:r>
                      <w:rPr>
                        <w:rFonts w:ascii="Cambria"/>
                        <w:i/>
                        <w:spacing w:val="3"/>
                        <w:sz w:val="22"/>
                      </w:rPr>
                      <w:t> </w:t>
                    </w:r>
                    <w:r>
                      <w:rPr>
                        <w:rFonts w:ascii="Cambria"/>
                        <w:i/>
                        <w:spacing w:val="-6"/>
                        <w:sz w:val="22"/>
                      </w:rPr>
                      <w:t>Industry</w:t>
                    </w:r>
                    <w:r>
                      <w:rPr>
                        <w:rFonts w:ascii="Cambria"/>
                        <w:i/>
                        <w:spacing w:val="4"/>
                        <w:sz w:val="22"/>
                      </w:rPr>
                      <w:t> </w:t>
                    </w:r>
                    <w:r>
                      <w:rPr>
                        <w:rFonts w:ascii="Cambria"/>
                        <w:i/>
                        <w:spacing w:val="-6"/>
                        <w:sz w:val="22"/>
                      </w:rPr>
                      <w:t>Structure</w:t>
                    </w:r>
                    <w:r>
                      <w:rPr>
                        <w:rFonts w:ascii="Cambria"/>
                        <w:i/>
                        <w:spacing w:val="3"/>
                        <w:sz w:val="22"/>
                      </w:rPr>
                      <w:t> </w:t>
                    </w:r>
                    <w:r>
                      <w:rPr>
                        <w:rFonts w:ascii="Cambria"/>
                        <w:i/>
                        <w:spacing w:val="-6"/>
                        <w:sz w:val="22"/>
                      </w:rPr>
                      <w:t>and</w:t>
                    </w:r>
                    <w:r>
                      <w:rPr>
                        <w:rFonts w:ascii="Cambria"/>
                        <w:i/>
                        <w:spacing w:val="3"/>
                        <w:sz w:val="22"/>
                      </w:rPr>
                      <w:t> </w:t>
                    </w:r>
                    <w:r>
                      <w:rPr>
                        <w:rFonts w:ascii="Cambria"/>
                        <w:i/>
                        <w:spacing w:val="-6"/>
                        <w:sz w:val="22"/>
                      </w:rPr>
                      <w:t>Policy</w:t>
                    </w:r>
                  </w:p>
                </w:txbxContent>
              </v:textbox>
              <w10:wrap type="none"/>
            </v:shape>
          </w:pict>
        </mc:Fallback>
      </mc:AlternateContent>
    </w:r>
    <w:r>
      <w:rPr>
        <w:sz w:val="20"/>
      </w:rPr>
      <mc:AlternateContent>
        <mc:Choice Requires="wps">
          <w:drawing>
            <wp:anchor distT="0" distB="0" distL="0" distR="0" allowOverlap="1" layoutInCell="1" locked="0" behindDoc="1" simplePos="0" relativeHeight="479857152">
              <wp:simplePos x="0" y="0"/>
              <wp:positionH relativeFrom="page">
                <wp:posOffset>6508750</wp:posOffset>
              </wp:positionH>
              <wp:positionV relativeFrom="page">
                <wp:posOffset>723773</wp:posOffset>
              </wp:positionV>
              <wp:extent cx="164465" cy="19240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64465" cy="192405"/>
                      </a:xfrm>
                      <a:prstGeom prst="rect">
                        <a:avLst/>
                      </a:prstGeom>
                    </wps:spPr>
                    <wps:txbx>
                      <w:txbxContent>
                        <w:p>
                          <w:pPr>
                            <w:pStyle w:val="BodyText"/>
                            <w:spacing w:before="16"/>
                            <w:ind w:left="20"/>
                          </w:pPr>
                          <w:r>
                            <w:rPr>
                              <w:spacing w:val="-5"/>
                            </w:rPr>
                            <w:t>11</w:t>
                          </w:r>
                        </w:p>
                      </w:txbxContent>
                    </wps:txbx>
                    <wps:bodyPr wrap="square" lIns="0" tIns="0" rIns="0" bIns="0" rtlCol="0">
                      <a:noAutofit/>
                    </wps:bodyPr>
                  </wps:wsp>
                </a:graphicData>
              </a:graphic>
            </wp:anchor>
          </w:drawing>
        </mc:Choice>
        <mc:Fallback>
          <w:pict>
            <v:shape style="position:absolute;margin-left:512.5pt;margin-top:56.990005pt;width:12.95pt;height:15.15pt;mso-position-horizontal-relative:page;mso-position-vertical-relative:page;z-index:-23459328" type="#_x0000_t202" id="docshape43" filled="false" stroked="false">
              <v:textbox inset="0,0,0,0">
                <w:txbxContent>
                  <w:p>
                    <w:pPr>
                      <w:pStyle w:val="BodyText"/>
                      <w:spacing w:before="16"/>
                      <w:ind w:left="20"/>
                    </w:pPr>
                    <w:r>
                      <w:rPr>
                        <w:spacing w:val="-5"/>
                      </w:rPr>
                      <w:t>11</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57664">
              <wp:simplePos x="0" y="0"/>
              <wp:positionH relativeFrom="page">
                <wp:posOffset>851509</wp:posOffset>
              </wp:positionH>
              <wp:positionV relativeFrom="page">
                <wp:posOffset>723773</wp:posOffset>
              </wp:positionV>
              <wp:extent cx="227965" cy="19240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 style="position:absolute;margin-left:67.047997pt;margin-top:56.990005pt;width:17.95pt;height:15.15pt;mso-position-horizontal-relative:page;mso-position-vertical-relative:page;z-index:-23458816" type="#_x0000_t202" id="docshape44"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858176">
              <wp:simplePos x="0" y="0"/>
              <wp:positionH relativeFrom="page">
                <wp:posOffset>5290058</wp:posOffset>
              </wp:positionH>
              <wp:positionV relativeFrom="page">
                <wp:posOffset>723773</wp:posOffset>
              </wp:positionV>
              <wp:extent cx="1022985" cy="19240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022985" cy="192405"/>
                      </a:xfrm>
                      <a:prstGeom prst="rect">
                        <a:avLst/>
                      </a:prstGeom>
                    </wps:spPr>
                    <wps:txbx>
                      <w:txbxContent>
                        <w:p>
                          <w:pPr>
                            <w:spacing w:before="12"/>
                            <w:ind w:left="20" w:right="0" w:firstLine="0"/>
                            <w:jc w:val="left"/>
                            <w:rPr>
                              <w:rFonts w:ascii="Cambria"/>
                              <w:i/>
                              <w:sz w:val="22"/>
                            </w:rPr>
                          </w:pPr>
                          <w:r>
                            <w:rPr>
                              <w:rFonts w:ascii="Cambria"/>
                              <w:i/>
                              <w:w w:val="90"/>
                              <w:sz w:val="22"/>
                            </w:rPr>
                            <w:t>Literature</w:t>
                          </w:r>
                          <w:r>
                            <w:rPr>
                              <w:rFonts w:ascii="Cambria"/>
                              <w:i/>
                              <w:spacing w:val="15"/>
                              <w:sz w:val="22"/>
                            </w:rPr>
                            <w:t> </w:t>
                          </w:r>
                          <w:r>
                            <w:rPr>
                              <w:rFonts w:ascii="Cambria"/>
                              <w:i/>
                              <w:spacing w:val="-2"/>
                              <w:sz w:val="22"/>
                            </w:rPr>
                            <w:t>Review</w:t>
                          </w:r>
                        </w:p>
                      </w:txbxContent>
                    </wps:txbx>
                    <wps:bodyPr wrap="square" lIns="0" tIns="0" rIns="0" bIns="0" rtlCol="0">
                      <a:noAutofit/>
                    </wps:bodyPr>
                  </wps:wsp>
                </a:graphicData>
              </a:graphic>
            </wp:anchor>
          </w:drawing>
        </mc:Choice>
        <mc:Fallback>
          <w:pict>
            <v:shape style="position:absolute;margin-left:416.540009pt;margin-top:56.990005pt;width:80.55pt;height:15.15pt;mso-position-horizontal-relative:page;mso-position-vertical-relative:page;z-index:-23458304" type="#_x0000_t202" id="docshape45" filled="false" stroked="false">
              <v:textbox inset="0,0,0,0">
                <w:txbxContent>
                  <w:p>
                    <w:pPr>
                      <w:spacing w:before="12"/>
                      <w:ind w:left="20" w:right="0" w:firstLine="0"/>
                      <w:jc w:val="left"/>
                      <w:rPr>
                        <w:rFonts w:ascii="Cambria"/>
                        <w:i/>
                        <w:sz w:val="22"/>
                      </w:rPr>
                    </w:pPr>
                    <w:r>
                      <w:rPr>
                        <w:rFonts w:ascii="Cambria"/>
                        <w:i/>
                        <w:w w:val="90"/>
                        <w:sz w:val="22"/>
                      </w:rPr>
                      <w:t>Literature</w:t>
                    </w:r>
                    <w:r>
                      <w:rPr>
                        <w:rFonts w:ascii="Cambria"/>
                        <w:i/>
                        <w:spacing w:val="15"/>
                        <w:sz w:val="22"/>
                      </w:rPr>
                      <w:t> </w:t>
                    </w:r>
                    <w:r>
                      <w:rPr>
                        <w:rFonts w:ascii="Cambria"/>
                        <w:i/>
                        <w:spacing w:val="-2"/>
                        <w:sz w:val="22"/>
                      </w:rPr>
                      <w:t>Review</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58688">
              <wp:simplePos x="0" y="0"/>
              <wp:positionH relativeFrom="page">
                <wp:posOffset>1243838</wp:posOffset>
              </wp:positionH>
              <wp:positionV relativeFrom="page">
                <wp:posOffset>723773</wp:posOffset>
              </wp:positionV>
              <wp:extent cx="3138170" cy="19240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3138170" cy="192405"/>
                      </a:xfrm>
                      <a:prstGeom prst="rect">
                        <a:avLst/>
                      </a:prstGeom>
                    </wps:spPr>
                    <wps:txbx>
                      <w:txbxContent>
                        <w:p>
                          <w:pPr>
                            <w:spacing w:before="12"/>
                            <w:ind w:left="20" w:right="0" w:firstLine="0"/>
                            <w:jc w:val="left"/>
                            <w:rPr>
                              <w:rFonts w:ascii="Cambria"/>
                              <w:i/>
                              <w:sz w:val="22"/>
                            </w:rPr>
                          </w:pPr>
                          <w:r>
                            <w:rPr>
                              <w:rFonts w:ascii="Cambria"/>
                              <w:i/>
                              <w:spacing w:val="-4"/>
                              <w:sz w:val="22"/>
                            </w:rPr>
                            <w:t>2.9</w:t>
                          </w:r>
                          <w:r>
                            <w:rPr>
                              <w:rFonts w:ascii="Cambria"/>
                              <w:i/>
                              <w:spacing w:val="-3"/>
                              <w:sz w:val="22"/>
                            </w:rPr>
                            <w:t> </w:t>
                          </w:r>
                          <w:r>
                            <w:rPr>
                              <w:rFonts w:ascii="Cambria"/>
                              <w:i/>
                              <w:spacing w:val="-4"/>
                              <w:sz w:val="22"/>
                            </w:rPr>
                            <w:t>Time</w:t>
                          </w:r>
                          <w:r>
                            <w:rPr>
                              <w:rFonts w:ascii="Cambria"/>
                              <w:i/>
                              <w:spacing w:val="-3"/>
                              <w:sz w:val="22"/>
                            </w:rPr>
                            <w:t> </w:t>
                          </w:r>
                          <w:r>
                            <w:rPr>
                              <w:rFonts w:ascii="Cambria"/>
                              <w:i/>
                              <w:spacing w:val="-4"/>
                              <w:sz w:val="22"/>
                            </w:rPr>
                            <w:t>Series</w:t>
                          </w:r>
                          <w:r>
                            <w:rPr>
                              <w:rFonts w:ascii="Cambria"/>
                              <w:i/>
                              <w:spacing w:val="-3"/>
                              <w:sz w:val="22"/>
                            </w:rPr>
                            <w:t> </w:t>
                          </w:r>
                          <w:r>
                            <w:rPr>
                              <w:rFonts w:ascii="Cambria"/>
                              <w:i/>
                              <w:spacing w:val="-4"/>
                              <w:sz w:val="22"/>
                            </w:rPr>
                            <w:t>Properties</w:t>
                          </w:r>
                          <w:r>
                            <w:rPr>
                              <w:rFonts w:ascii="Cambria"/>
                              <w:i/>
                              <w:spacing w:val="-3"/>
                              <w:sz w:val="22"/>
                            </w:rPr>
                            <w:t> </w:t>
                          </w:r>
                          <w:r>
                            <w:rPr>
                              <w:rFonts w:ascii="Cambria"/>
                              <w:i/>
                              <w:spacing w:val="-4"/>
                              <w:sz w:val="22"/>
                            </w:rPr>
                            <w:t>and</w:t>
                          </w:r>
                          <w:r>
                            <w:rPr>
                              <w:rFonts w:ascii="Cambria"/>
                              <w:i/>
                              <w:spacing w:val="-3"/>
                              <w:sz w:val="22"/>
                            </w:rPr>
                            <w:t> </w:t>
                          </w:r>
                          <w:r>
                            <w:rPr>
                              <w:rFonts w:ascii="Cambria"/>
                              <w:i/>
                              <w:spacing w:val="-4"/>
                              <w:sz w:val="22"/>
                            </w:rPr>
                            <w:t>Evaluation</w:t>
                          </w:r>
                          <w:r>
                            <w:rPr>
                              <w:rFonts w:ascii="Cambria"/>
                              <w:i/>
                              <w:spacing w:val="-2"/>
                              <w:sz w:val="22"/>
                            </w:rPr>
                            <w:t> </w:t>
                          </w:r>
                          <w:r>
                            <w:rPr>
                              <w:rFonts w:ascii="Cambria"/>
                              <w:i/>
                              <w:spacing w:val="-4"/>
                              <w:sz w:val="22"/>
                            </w:rPr>
                            <w:t>Methodology</w:t>
                          </w:r>
                        </w:p>
                      </w:txbxContent>
                    </wps:txbx>
                    <wps:bodyPr wrap="square" lIns="0" tIns="0" rIns="0" bIns="0" rtlCol="0">
                      <a:noAutofit/>
                    </wps:bodyPr>
                  </wps:wsp>
                </a:graphicData>
              </a:graphic>
            </wp:anchor>
          </w:drawing>
        </mc:Choice>
        <mc:Fallback>
          <w:pict>
            <v:shape style="position:absolute;margin-left:97.940002pt;margin-top:56.990005pt;width:247.1pt;height:15.15pt;mso-position-horizontal-relative:page;mso-position-vertical-relative:page;z-index:-23457792" type="#_x0000_t202" id="docshape46" filled="false" stroked="false">
              <v:textbox inset="0,0,0,0">
                <w:txbxContent>
                  <w:p>
                    <w:pPr>
                      <w:spacing w:before="12"/>
                      <w:ind w:left="20" w:right="0" w:firstLine="0"/>
                      <w:jc w:val="left"/>
                      <w:rPr>
                        <w:rFonts w:ascii="Cambria"/>
                        <w:i/>
                        <w:sz w:val="22"/>
                      </w:rPr>
                    </w:pPr>
                    <w:r>
                      <w:rPr>
                        <w:rFonts w:ascii="Cambria"/>
                        <w:i/>
                        <w:spacing w:val="-4"/>
                        <w:sz w:val="22"/>
                      </w:rPr>
                      <w:t>2.9</w:t>
                    </w:r>
                    <w:r>
                      <w:rPr>
                        <w:rFonts w:ascii="Cambria"/>
                        <w:i/>
                        <w:spacing w:val="-3"/>
                        <w:sz w:val="22"/>
                      </w:rPr>
                      <w:t> </w:t>
                    </w:r>
                    <w:r>
                      <w:rPr>
                        <w:rFonts w:ascii="Cambria"/>
                        <w:i/>
                        <w:spacing w:val="-4"/>
                        <w:sz w:val="22"/>
                      </w:rPr>
                      <w:t>Time</w:t>
                    </w:r>
                    <w:r>
                      <w:rPr>
                        <w:rFonts w:ascii="Cambria"/>
                        <w:i/>
                        <w:spacing w:val="-3"/>
                        <w:sz w:val="22"/>
                      </w:rPr>
                      <w:t> </w:t>
                    </w:r>
                    <w:r>
                      <w:rPr>
                        <w:rFonts w:ascii="Cambria"/>
                        <w:i/>
                        <w:spacing w:val="-4"/>
                        <w:sz w:val="22"/>
                      </w:rPr>
                      <w:t>Series</w:t>
                    </w:r>
                    <w:r>
                      <w:rPr>
                        <w:rFonts w:ascii="Cambria"/>
                        <w:i/>
                        <w:spacing w:val="-3"/>
                        <w:sz w:val="22"/>
                      </w:rPr>
                      <w:t> </w:t>
                    </w:r>
                    <w:r>
                      <w:rPr>
                        <w:rFonts w:ascii="Cambria"/>
                        <w:i/>
                        <w:spacing w:val="-4"/>
                        <w:sz w:val="22"/>
                      </w:rPr>
                      <w:t>Properties</w:t>
                    </w:r>
                    <w:r>
                      <w:rPr>
                        <w:rFonts w:ascii="Cambria"/>
                        <w:i/>
                        <w:spacing w:val="-3"/>
                        <w:sz w:val="22"/>
                      </w:rPr>
                      <w:t> </w:t>
                    </w:r>
                    <w:r>
                      <w:rPr>
                        <w:rFonts w:ascii="Cambria"/>
                        <w:i/>
                        <w:spacing w:val="-4"/>
                        <w:sz w:val="22"/>
                      </w:rPr>
                      <w:t>and</w:t>
                    </w:r>
                    <w:r>
                      <w:rPr>
                        <w:rFonts w:ascii="Cambria"/>
                        <w:i/>
                        <w:spacing w:val="-3"/>
                        <w:sz w:val="22"/>
                      </w:rPr>
                      <w:t> </w:t>
                    </w:r>
                    <w:r>
                      <w:rPr>
                        <w:rFonts w:ascii="Cambria"/>
                        <w:i/>
                        <w:spacing w:val="-4"/>
                        <w:sz w:val="22"/>
                      </w:rPr>
                      <w:t>Evaluation</w:t>
                    </w:r>
                    <w:r>
                      <w:rPr>
                        <w:rFonts w:ascii="Cambria"/>
                        <w:i/>
                        <w:spacing w:val="-2"/>
                        <w:sz w:val="22"/>
                      </w:rPr>
                      <w:t> </w:t>
                    </w:r>
                    <w:r>
                      <w:rPr>
                        <w:rFonts w:ascii="Cambria"/>
                        <w:i/>
                        <w:spacing w:val="-4"/>
                        <w:sz w:val="22"/>
                      </w:rPr>
                      <w:t>Methodology</w:t>
                    </w:r>
                  </w:p>
                </w:txbxContent>
              </v:textbox>
              <w10:wrap type="none"/>
            </v:shape>
          </w:pict>
        </mc:Fallback>
      </mc:AlternateContent>
    </w:r>
    <w:r>
      <w:rPr>
        <w:sz w:val="20"/>
      </w:rPr>
      <mc:AlternateContent>
        <mc:Choice Requires="wps">
          <w:drawing>
            <wp:anchor distT="0" distB="0" distL="0" distR="0" allowOverlap="1" layoutInCell="1" locked="0" behindDoc="1" simplePos="0" relativeHeight="479859200">
              <wp:simplePos x="0" y="0"/>
              <wp:positionH relativeFrom="page">
                <wp:posOffset>6508750</wp:posOffset>
              </wp:positionH>
              <wp:positionV relativeFrom="page">
                <wp:posOffset>723773</wp:posOffset>
              </wp:positionV>
              <wp:extent cx="164465" cy="19240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64465" cy="192405"/>
                      </a:xfrm>
                      <a:prstGeom prst="rect">
                        <a:avLst/>
                      </a:prstGeom>
                    </wps:spPr>
                    <wps:txbx>
                      <w:txbxContent>
                        <w:p>
                          <w:pPr>
                            <w:pStyle w:val="BodyText"/>
                            <w:spacing w:before="16"/>
                            <w:ind w:left="20"/>
                          </w:pPr>
                          <w:r>
                            <w:rPr>
                              <w:spacing w:val="-5"/>
                            </w:rPr>
                            <w:t>13</w:t>
                          </w:r>
                        </w:p>
                      </w:txbxContent>
                    </wps:txbx>
                    <wps:bodyPr wrap="square" lIns="0" tIns="0" rIns="0" bIns="0" rtlCol="0">
                      <a:noAutofit/>
                    </wps:bodyPr>
                  </wps:wsp>
                </a:graphicData>
              </a:graphic>
            </wp:anchor>
          </w:drawing>
        </mc:Choice>
        <mc:Fallback>
          <w:pict>
            <v:shape style="position:absolute;margin-left:512.5pt;margin-top:56.990005pt;width:12.95pt;height:15.15pt;mso-position-horizontal-relative:page;mso-position-vertical-relative:page;z-index:-23457280" type="#_x0000_t202" id="docshape47" filled="false" stroked="false">
              <v:textbox inset="0,0,0,0">
                <w:txbxContent>
                  <w:p>
                    <w:pPr>
                      <w:pStyle w:val="BodyText"/>
                      <w:spacing w:before="16"/>
                      <w:ind w:left="20"/>
                    </w:pPr>
                    <w:r>
                      <w:rPr>
                        <w:spacing w:val="-5"/>
                      </w:rPr>
                      <w:t>13</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59712">
              <wp:simplePos x="0" y="0"/>
              <wp:positionH relativeFrom="page">
                <wp:posOffset>851509</wp:posOffset>
              </wp:positionH>
              <wp:positionV relativeFrom="page">
                <wp:posOffset>723773</wp:posOffset>
              </wp:positionV>
              <wp:extent cx="227965" cy="19240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 style="position:absolute;margin-left:67.047997pt;margin-top:56.990005pt;width:17.95pt;height:15.15pt;mso-position-horizontal-relative:page;mso-position-vertical-relative:page;z-index:-23456768" type="#_x0000_t202" id="docshape48"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860224">
              <wp:simplePos x="0" y="0"/>
              <wp:positionH relativeFrom="page">
                <wp:posOffset>5290058</wp:posOffset>
              </wp:positionH>
              <wp:positionV relativeFrom="page">
                <wp:posOffset>723773</wp:posOffset>
              </wp:positionV>
              <wp:extent cx="1022985" cy="19240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022985" cy="192405"/>
                      </a:xfrm>
                      <a:prstGeom prst="rect">
                        <a:avLst/>
                      </a:prstGeom>
                    </wps:spPr>
                    <wps:txbx>
                      <w:txbxContent>
                        <w:p>
                          <w:pPr>
                            <w:spacing w:before="12"/>
                            <w:ind w:left="20" w:right="0" w:firstLine="0"/>
                            <w:jc w:val="left"/>
                            <w:rPr>
                              <w:rFonts w:ascii="Cambria"/>
                              <w:i/>
                              <w:sz w:val="22"/>
                            </w:rPr>
                          </w:pPr>
                          <w:r>
                            <w:rPr>
                              <w:rFonts w:ascii="Cambria"/>
                              <w:i/>
                              <w:w w:val="90"/>
                              <w:sz w:val="22"/>
                            </w:rPr>
                            <w:t>Literature</w:t>
                          </w:r>
                          <w:r>
                            <w:rPr>
                              <w:rFonts w:ascii="Cambria"/>
                              <w:i/>
                              <w:spacing w:val="15"/>
                              <w:sz w:val="22"/>
                            </w:rPr>
                            <w:t> </w:t>
                          </w:r>
                          <w:r>
                            <w:rPr>
                              <w:rFonts w:ascii="Cambria"/>
                              <w:i/>
                              <w:spacing w:val="-2"/>
                              <w:sz w:val="22"/>
                            </w:rPr>
                            <w:t>Review</w:t>
                          </w:r>
                        </w:p>
                      </w:txbxContent>
                    </wps:txbx>
                    <wps:bodyPr wrap="square" lIns="0" tIns="0" rIns="0" bIns="0" rtlCol="0">
                      <a:noAutofit/>
                    </wps:bodyPr>
                  </wps:wsp>
                </a:graphicData>
              </a:graphic>
            </wp:anchor>
          </w:drawing>
        </mc:Choice>
        <mc:Fallback>
          <w:pict>
            <v:shape style="position:absolute;margin-left:416.540009pt;margin-top:56.990005pt;width:80.55pt;height:15.15pt;mso-position-horizontal-relative:page;mso-position-vertical-relative:page;z-index:-23456256" type="#_x0000_t202" id="docshape49" filled="false" stroked="false">
              <v:textbox inset="0,0,0,0">
                <w:txbxContent>
                  <w:p>
                    <w:pPr>
                      <w:spacing w:before="12"/>
                      <w:ind w:left="20" w:right="0" w:firstLine="0"/>
                      <w:jc w:val="left"/>
                      <w:rPr>
                        <w:rFonts w:ascii="Cambria"/>
                        <w:i/>
                        <w:sz w:val="22"/>
                      </w:rPr>
                    </w:pPr>
                    <w:r>
                      <w:rPr>
                        <w:rFonts w:ascii="Cambria"/>
                        <w:i/>
                        <w:w w:val="90"/>
                        <w:sz w:val="22"/>
                      </w:rPr>
                      <w:t>Literature</w:t>
                    </w:r>
                    <w:r>
                      <w:rPr>
                        <w:rFonts w:ascii="Cambria"/>
                        <w:i/>
                        <w:spacing w:val="15"/>
                        <w:sz w:val="22"/>
                      </w:rPr>
                      <w:t> </w:t>
                    </w:r>
                    <w:r>
                      <w:rPr>
                        <w:rFonts w:ascii="Cambria"/>
                        <w:i/>
                        <w:spacing w:val="-2"/>
                        <w:sz w:val="22"/>
                      </w:rPr>
                      <w:t>Review</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60736">
              <wp:simplePos x="0" y="0"/>
              <wp:positionH relativeFrom="page">
                <wp:posOffset>851509</wp:posOffset>
              </wp:positionH>
              <wp:positionV relativeFrom="page">
                <wp:posOffset>723773</wp:posOffset>
              </wp:positionV>
              <wp:extent cx="227965" cy="19240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 style="position:absolute;margin-left:67.047997pt;margin-top:56.990005pt;width:17.95pt;height:15.15pt;mso-position-horizontal-relative:page;mso-position-vertical-relative:page;z-index:-23455744" type="#_x0000_t202" id="docshape51"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861248">
              <wp:simplePos x="0" y="0"/>
              <wp:positionH relativeFrom="page">
                <wp:posOffset>5009781</wp:posOffset>
              </wp:positionH>
              <wp:positionV relativeFrom="page">
                <wp:posOffset>723773</wp:posOffset>
              </wp:positionV>
              <wp:extent cx="1303020" cy="19240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303020" cy="192405"/>
                      </a:xfrm>
                      <a:prstGeom prst="rect">
                        <a:avLst/>
                      </a:prstGeom>
                    </wps:spPr>
                    <wps:txbx>
                      <w:txbxContent>
                        <w:p>
                          <w:pPr>
                            <w:spacing w:before="12"/>
                            <w:ind w:left="20" w:right="0" w:firstLine="0"/>
                            <w:jc w:val="left"/>
                            <w:rPr>
                              <w:rFonts w:ascii="Cambria"/>
                              <w:i/>
                              <w:sz w:val="22"/>
                            </w:rPr>
                          </w:pPr>
                          <w:r>
                            <w:rPr>
                              <w:rFonts w:ascii="Cambria"/>
                              <w:i/>
                              <w:spacing w:val="-8"/>
                              <w:sz w:val="22"/>
                            </w:rPr>
                            <w:t>Data</w:t>
                          </w:r>
                          <w:r>
                            <w:rPr>
                              <w:rFonts w:ascii="Cambria"/>
                              <w:i/>
                              <w:spacing w:val="-4"/>
                              <w:sz w:val="22"/>
                            </w:rPr>
                            <w:t> </w:t>
                          </w:r>
                          <w:r>
                            <w:rPr>
                              <w:rFonts w:ascii="Cambria"/>
                              <w:i/>
                              <w:spacing w:val="-8"/>
                              <w:sz w:val="22"/>
                            </w:rPr>
                            <w:t>and</w:t>
                          </w:r>
                          <w:r>
                            <w:rPr>
                              <w:rFonts w:ascii="Cambria"/>
                              <w:i/>
                              <w:spacing w:val="-4"/>
                              <w:sz w:val="22"/>
                            </w:rPr>
                            <w:t> </w:t>
                          </w:r>
                          <w:r>
                            <w:rPr>
                              <w:rFonts w:ascii="Cambria"/>
                              <w:i/>
                              <w:spacing w:val="-8"/>
                              <w:sz w:val="22"/>
                            </w:rPr>
                            <w:t>Methodology</w:t>
                          </w:r>
                        </w:p>
                      </w:txbxContent>
                    </wps:txbx>
                    <wps:bodyPr wrap="square" lIns="0" tIns="0" rIns="0" bIns="0" rtlCol="0">
                      <a:noAutofit/>
                    </wps:bodyPr>
                  </wps:wsp>
                </a:graphicData>
              </a:graphic>
            </wp:anchor>
          </w:drawing>
        </mc:Choice>
        <mc:Fallback>
          <w:pict>
            <v:shape style="position:absolute;margin-left:394.471008pt;margin-top:56.990005pt;width:102.6pt;height:15.15pt;mso-position-horizontal-relative:page;mso-position-vertical-relative:page;z-index:-23455232" type="#_x0000_t202" id="docshape52" filled="false" stroked="false">
              <v:textbox inset="0,0,0,0">
                <w:txbxContent>
                  <w:p>
                    <w:pPr>
                      <w:spacing w:before="12"/>
                      <w:ind w:left="20" w:right="0" w:firstLine="0"/>
                      <w:jc w:val="left"/>
                      <w:rPr>
                        <w:rFonts w:ascii="Cambria"/>
                        <w:i/>
                        <w:sz w:val="22"/>
                      </w:rPr>
                    </w:pPr>
                    <w:r>
                      <w:rPr>
                        <w:rFonts w:ascii="Cambria"/>
                        <w:i/>
                        <w:spacing w:val="-8"/>
                        <w:sz w:val="22"/>
                      </w:rPr>
                      <w:t>Data</w:t>
                    </w:r>
                    <w:r>
                      <w:rPr>
                        <w:rFonts w:ascii="Cambria"/>
                        <w:i/>
                        <w:spacing w:val="-4"/>
                        <w:sz w:val="22"/>
                      </w:rPr>
                      <w:t> </w:t>
                    </w:r>
                    <w:r>
                      <w:rPr>
                        <w:rFonts w:ascii="Cambria"/>
                        <w:i/>
                        <w:spacing w:val="-8"/>
                        <w:sz w:val="22"/>
                      </w:rPr>
                      <w:t>and</w:t>
                    </w:r>
                    <w:r>
                      <w:rPr>
                        <w:rFonts w:ascii="Cambria"/>
                        <w:i/>
                        <w:spacing w:val="-4"/>
                        <w:sz w:val="22"/>
                      </w:rPr>
                      <w:t> </w:t>
                    </w:r>
                    <w:r>
                      <w:rPr>
                        <w:rFonts w:ascii="Cambria"/>
                        <w:i/>
                        <w:spacing w:val="-8"/>
                        <w:sz w:val="22"/>
                      </w:rPr>
                      <w:t>Methodology</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61760">
              <wp:simplePos x="0" y="0"/>
              <wp:positionH relativeFrom="page">
                <wp:posOffset>1240370</wp:posOffset>
              </wp:positionH>
              <wp:positionV relativeFrom="page">
                <wp:posOffset>723773</wp:posOffset>
              </wp:positionV>
              <wp:extent cx="1360805" cy="19240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360805" cy="192405"/>
                      </a:xfrm>
                      <a:prstGeom prst="rect">
                        <a:avLst/>
                      </a:prstGeom>
                    </wps:spPr>
                    <wps:txbx>
                      <w:txbxContent>
                        <w:p>
                          <w:pPr>
                            <w:spacing w:before="12"/>
                            <w:ind w:left="20" w:right="0" w:firstLine="0"/>
                            <w:jc w:val="left"/>
                            <w:rPr>
                              <w:rFonts w:ascii="Cambria"/>
                              <w:i/>
                              <w:sz w:val="22"/>
                            </w:rPr>
                          </w:pPr>
                          <w:r>
                            <w:rPr>
                              <w:rFonts w:ascii="Cambria"/>
                              <w:i/>
                              <w:spacing w:val="-6"/>
                              <w:sz w:val="22"/>
                            </w:rPr>
                            <w:t>3.2</w:t>
                          </w:r>
                          <w:r>
                            <w:rPr>
                              <w:rFonts w:ascii="Cambria"/>
                              <w:i/>
                              <w:spacing w:val="1"/>
                              <w:sz w:val="22"/>
                            </w:rPr>
                            <w:t> </w:t>
                          </w:r>
                          <w:r>
                            <w:rPr>
                              <w:rFonts w:ascii="Cambria"/>
                              <w:i/>
                              <w:spacing w:val="-6"/>
                              <w:sz w:val="22"/>
                            </w:rPr>
                            <w:t>Feature</w:t>
                          </w:r>
                          <w:r>
                            <w:rPr>
                              <w:rFonts w:ascii="Cambria"/>
                              <w:i/>
                              <w:spacing w:val="1"/>
                              <w:sz w:val="22"/>
                            </w:rPr>
                            <w:t> </w:t>
                          </w:r>
                          <w:r>
                            <w:rPr>
                              <w:rFonts w:ascii="Cambria"/>
                              <w:i/>
                              <w:spacing w:val="-6"/>
                              <w:sz w:val="22"/>
                            </w:rPr>
                            <w:t>Engineering</w:t>
                          </w:r>
                        </w:p>
                      </w:txbxContent>
                    </wps:txbx>
                    <wps:bodyPr wrap="square" lIns="0" tIns="0" rIns="0" bIns="0" rtlCol="0">
                      <a:noAutofit/>
                    </wps:bodyPr>
                  </wps:wsp>
                </a:graphicData>
              </a:graphic>
            </wp:anchor>
          </w:drawing>
        </mc:Choice>
        <mc:Fallback>
          <w:pict>
            <v:shape style="position:absolute;margin-left:97.667pt;margin-top:56.990005pt;width:107.15pt;height:15.15pt;mso-position-horizontal-relative:page;mso-position-vertical-relative:page;z-index:-23454720" type="#_x0000_t202" id="docshape53" filled="false" stroked="false">
              <v:textbox inset="0,0,0,0">
                <w:txbxContent>
                  <w:p>
                    <w:pPr>
                      <w:spacing w:before="12"/>
                      <w:ind w:left="20" w:right="0" w:firstLine="0"/>
                      <w:jc w:val="left"/>
                      <w:rPr>
                        <w:rFonts w:ascii="Cambria"/>
                        <w:i/>
                        <w:sz w:val="22"/>
                      </w:rPr>
                    </w:pPr>
                    <w:r>
                      <w:rPr>
                        <w:rFonts w:ascii="Cambria"/>
                        <w:i/>
                        <w:spacing w:val="-6"/>
                        <w:sz w:val="22"/>
                      </w:rPr>
                      <w:t>3.2</w:t>
                    </w:r>
                    <w:r>
                      <w:rPr>
                        <w:rFonts w:ascii="Cambria"/>
                        <w:i/>
                        <w:spacing w:val="1"/>
                        <w:sz w:val="22"/>
                      </w:rPr>
                      <w:t> </w:t>
                    </w:r>
                    <w:r>
                      <w:rPr>
                        <w:rFonts w:ascii="Cambria"/>
                        <w:i/>
                        <w:spacing w:val="-6"/>
                        <w:sz w:val="22"/>
                      </w:rPr>
                      <w:t>Feature</w:t>
                    </w:r>
                    <w:r>
                      <w:rPr>
                        <w:rFonts w:ascii="Cambria"/>
                        <w:i/>
                        <w:spacing w:val="1"/>
                        <w:sz w:val="22"/>
                      </w:rPr>
                      <w:t> </w:t>
                    </w:r>
                    <w:r>
                      <w:rPr>
                        <w:rFonts w:ascii="Cambria"/>
                        <w:i/>
                        <w:spacing w:val="-6"/>
                        <w:sz w:val="22"/>
                      </w:rPr>
                      <w:t>Engineering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79862272">
              <wp:simplePos x="0" y="0"/>
              <wp:positionH relativeFrom="page">
                <wp:posOffset>6508750</wp:posOffset>
              </wp:positionH>
              <wp:positionV relativeFrom="page">
                <wp:posOffset>723773</wp:posOffset>
              </wp:positionV>
              <wp:extent cx="164465" cy="19240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64465" cy="192405"/>
                      </a:xfrm>
                      <a:prstGeom prst="rect">
                        <a:avLst/>
                      </a:prstGeom>
                    </wps:spPr>
                    <wps:txbx>
                      <w:txbxContent>
                        <w:p>
                          <w:pPr>
                            <w:pStyle w:val="BodyText"/>
                            <w:spacing w:before="16"/>
                            <w:ind w:left="20"/>
                          </w:pPr>
                          <w:r>
                            <w:rPr>
                              <w:spacing w:val="-5"/>
                            </w:rPr>
                            <w:t>17</w:t>
                          </w:r>
                        </w:p>
                      </w:txbxContent>
                    </wps:txbx>
                    <wps:bodyPr wrap="square" lIns="0" tIns="0" rIns="0" bIns="0" rtlCol="0">
                      <a:noAutofit/>
                    </wps:bodyPr>
                  </wps:wsp>
                </a:graphicData>
              </a:graphic>
            </wp:anchor>
          </w:drawing>
        </mc:Choice>
        <mc:Fallback>
          <w:pict>
            <v:shape style="position:absolute;margin-left:512.5pt;margin-top:56.990005pt;width:12.95pt;height:15.15pt;mso-position-horizontal-relative:page;mso-position-vertical-relative:page;z-index:-23454208" type="#_x0000_t202" id="docshape54" filled="false" stroked="false">
              <v:textbox inset="0,0,0,0">
                <w:txbxContent>
                  <w:p>
                    <w:pPr>
                      <w:pStyle w:val="BodyText"/>
                      <w:spacing w:before="16"/>
                      <w:ind w:left="20"/>
                    </w:pPr>
                    <w:r>
                      <w:rPr>
                        <w:spacing w:val="-5"/>
                      </w:rPr>
                      <w:t>17</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62784">
              <wp:simplePos x="0" y="0"/>
              <wp:positionH relativeFrom="page">
                <wp:posOffset>1240370</wp:posOffset>
              </wp:positionH>
              <wp:positionV relativeFrom="page">
                <wp:posOffset>723773</wp:posOffset>
              </wp:positionV>
              <wp:extent cx="1707514" cy="19240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707514" cy="192405"/>
                      </a:xfrm>
                      <a:prstGeom prst="rect">
                        <a:avLst/>
                      </a:prstGeom>
                    </wps:spPr>
                    <wps:txbx>
                      <w:txbxContent>
                        <w:p>
                          <w:pPr>
                            <w:spacing w:before="12"/>
                            <w:ind w:left="20" w:right="0" w:firstLine="0"/>
                            <w:jc w:val="left"/>
                            <w:rPr>
                              <w:rFonts w:ascii="Cambria"/>
                              <w:i/>
                              <w:sz w:val="22"/>
                            </w:rPr>
                          </w:pPr>
                          <w:r>
                            <w:rPr>
                              <w:rFonts w:ascii="Cambria"/>
                              <w:i/>
                              <w:spacing w:val="-2"/>
                              <w:sz w:val="22"/>
                            </w:rPr>
                            <w:t>3.4</w:t>
                          </w:r>
                          <w:r>
                            <w:rPr>
                              <w:rFonts w:ascii="Cambria"/>
                              <w:i/>
                              <w:spacing w:val="-1"/>
                              <w:sz w:val="22"/>
                            </w:rPr>
                            <w:t> </w:t>
                          </w:r>
                          <w:r>
                            <w:rPr>
                              <w:rFonts w:ascii="Cambria"/>
                              <w:i/>
                              <w:spacing w:val="-2"/>
                              <w:sz w:val="22"/>
                            </w:rPr>
                            <w:t>Rule-Learning</w:t>
                          </w:r>
                          <w:r>
                            <w:rPr>
                              <w:rFonts w:ascii="Cambria"/>
                              <w:i/>
                              <w:sz w:val="22"/>
                            </w:rPr>
                            <w:t> </w:t>
                          </w:r>
                          <w:r>
                            <w:rPr>
                              <w:rFonts w:ascii="Cambria"/>
                              <w:i/>
                              <w:spacing w:val="-2"/>
                              <w:sz w:val="22"/>
                            </w:rPr>
                            <w:t>Algorithms</w:t>
                          </w:r>
                        </w:p>
                      </w:txbxContent>
                    </wps:txbx>
                    <wps:bodyPr wrap="square" lIns="0" tIns="0" rIns="0" bIns="0" rtlCol="0">
                      <a:noAutofit/>
                    </wps:bodyPr>
                  </wps:wsp>
                </a:graphicData>
              </a:graphic>
            </wp:anchor>
          </w:drawing>
        </mc:Choice>
        <mc:Fallback>
          <w:pict>
            <v:shape style="position:absolute;margin-left:97.667pt;margin-top:56.990005pt;width:134.450pt;height:15.15pt;mso-position-horizontal-relative:page;mso-position-vertical-relative:page;z-index:-23453696" type="#_x0000_t202" id="docshape55" filled="false" stroked="false">
              <v:textbox inset="0,0,0,0">
                <w:txbxContent>
                  <w:p>
                    <w:pPr>
                      <w:spacing w:before="12"/>
                      <w:ind w:left="20" w:right="0" w:firstLine="0"/>
                      <w:jc w:val="left"/>
                      <w:rPr>
                        <w:rFonts w:ascii="Cambria"/>
                        <w:i/>
                        <w:sz w:val="22"/>
                      </w:rPr>
                    </w:pPr>
                    <w:r>
                      <w:rPr>
                        <w:rFonts w:ascii="Cambria"/>
                        <w:i/>
                        <w:spacing w:val="-2"/>
                        <w:sz w:val="22"/>
                      </w:rPr>
                      <w:t>3.4</w:t>
                    </w:r>
                    <w:r>
                      <w:rPr>
                        <w:rFonts w:ascii="Cambria"/>
                        <w:i/>
                        <w:spacing w:val="-1"/>
                        <w:sz w:val="22"/>
                      </w:rPr>
                      <w:t> </w:t>
                    </w:r>
                    <w:r>
                      <w:rPr>
                        <w:rFonts w:ascii="Cambria"/>
                        <w:i/>
                        <w:spacing w:val="-2"/>
                        <w:sz w:val="22"/>
                      </w:rPr>
                      <w:t>Rule-Learning</w:t>
                    </w:r>
                    <w:r>
                      <w:rPr>
                        <w:rFonts w:ascii="Cambria"/>
                        <w:i/>
                        <w:sz w:val="22"/>
                      </w:rPr>
                      <w:t> </w:t>
                    </w:r>
                    <w:r>
                      <w:rPr>
                        <w:rFonts w:ascii="Cambria"/>
                        <w:i/>
                        <w:spacing w:val="-2"/>
                        <w:sz w:val="22"/>
                      </w:rPr>
                      <w:t>Algorithms</w:t>
                    </w:r>
                  </w:p>
                </w:txbxContent>
              </v:textbox>
              <w10:wrap type="none"/>
            </v:shape>
          </w:pict>
        </mc:Fallback>
      </mc:AlternateContent>
    </w:r>
    <w:r>
      <w:rPr>
        <w:sz w:val="20"/>
      </w:rPr>
      <mc:AlternateContent>
        <mc:Choice Requires="wps">
          <w:drawing>
            <wp:anchor distT="0" distB="0" distL="0" distR="0" allowOverlap="1" layoutInCell="1" locked="0" behindDoc="1" simplePos="0" relativeHeight="479863296">
              <wp:simplePos x="0" y="0"/>
              <wp:positionH relativeFrom="page">
                <wp:posOffset>6483350</wp:posOffset>
              </wp:positionH>
              <wp:positionV relativeFrom="page">
                <wp:posOffset>723773</wp:posOffset>
              </wp:positionV>
              <wp:extent cx="227965" cy="19240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 style="position:absolute;margin-left:510.5pt;margin-top:56.990005pt;width:17.95pt;height:15.15pt;mso-position-horizontal-relative:page;mso-position-vertical-relative:page;z-index:-23453184" type="#_x0000_t202" id="docshape56"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19</w:t>
                    </w:r>
                    <w:r>
                      <w:rPr>
                        <w:spacing w:val="-5"/>
                      </w:rPr>
                      <w:fldChar w:fldCharType="end"/>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63808">
              <wp:simplePos x="0" y="0"/>
              <wp:positionH relativeFrom="page">
                <wp:posOffset>861898</wp:posOffset>
              </wp:positionH>
              <wp:positionV relativeFrom="page">
                <wp:posOffset>723773</wp:posOffset>
              </wp:positionV>
              <wp:extent cx="227965" cy="19240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20</w:t>
                          </w:r>
                          <w:r>
                            <w:rPr>
                              <w:spacing w:val="-5"/>
                            </w:rPr>
                            <w:fldChar w:fldCharType="end"/>
                          </w:r>
                        </w:p>
                      </w:txbxContent>
                    </wps:txbx>
                    <wps:bodyPr wrap="square" lIns="0" tIns="0" rIns="0" bIns="0" rtlCol="0">
                      <a:noAutofit/>
                    </wps:bodyPr>
                  </wps:wsp>
                </a:graphicData>
              </a:graphic>
            </wp:anchor>
          </w:drawing>
        </mc:Choice>
        <mc:Fallback>
          <w:pict>
            <v:shape style="position:absolute;margin-left:67.865997pt;margin-top:56.990005pt;width:17.95pt;height:15.15pt;mso-position-horizontal-relative:page;mso-position-vertical-relative:page;z-index:-23452672" type="#_x0000_t202" id="docshape57"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20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864320">
              <wp:simplePos x="0" y="0"/>
              <wp:positionH relativeFrom="page">
                <wp:posOffset>5009781</wp:posOffset>
              </wp:positionH>
              <wp:positionV relativeFrom="page">
                <wp:posOffset>723773</wp:posOffset>
              </wp:positionV>
              <wp:extent cx="1303020" cy="19240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303020" cy="192405"/>
                      </a:xfrm>
                      <a:prstGeom prst="rect">
                        <a:avLst/>
                      </a:prstGeom>
                    </wps:spPr>
                    <wps:txbx>
                      <w:txbxContent>
                        <w:p>
                          <w:pPr>
                            <w:spacing w:before="12"/>
                            <w:ind w:left="20" w:right="0" w:firstLine="0"/>
                            <w:jc w:val="left"/>
                            <w:rPr>
                              <w:rFonts w:ascii="Cambria"/>
                              <w:i/>
                              <w:sz w:val="22"/>
                            </w:rPr>
                          </w:pPr>
                          <w:r>
                            <w:rPr>
                              <w:rFonts w:ascii="Cambria"/>
                              <w:i/>
                              <w:spacing w:val="-8"/>
                              <w:sz w:val="22"/>
                            </w:rPr>
                            <w:t>Data</w:t>
                          </w:r>
                          <w:r>
                            <w:rPr>
                              <w:rFonts w:ascii="Cambria"/>
                              <w:i/>
                              <w:spacing w:val="-4"/>
                              <w:sz w:val="22"/>
                            </w:rPr>
                            <w:t> </w:t>
                          </w:r>
                          <w:r>
                            <w:rPr>
                              <w:rFonts w:ascii="Cambria"/>
                              <w:i/>
                              <w:spacing w:val="-8"/>
                              <w:sz w:val="22"/>
                            </w:rPr>
                            <w:t>and</w:t>
                          </w:r>
                          <w:r>
                            <w:rPr>
                              <w:rFonts w:ascii="Cambria"/>
                              <w:i/>
                              <w:spacing w:val="-4"/>
                              <w:sz w:val="22"/>
                            </w:rPr>
                            <w:t> </w:t>
                          </w:r>
                          <w:r>
                            <w:rPr>
                              <w:rFonts w:ascii="Cambria"/>
                              <w:i/>
                              <w:spacing w:val="-8"/>
                              <w:sz w:val="22"/>
                            </w:rPr>
                            <w:t>Methodology</w:t>
                          </w:r>
                        </w:p>
                      </w:txbxContent>
                    </wps:txbx>
                    <wps:bodyPr wrap="square" lIns="0" tIns="0" rIns="0" bIns="0" rtlCol="0">
                      <a:noAutofit/>
                    </wps:bodyPr>
                  </wps:wsp>
                </a:graphicData>
              </a:graphic>
            </wp:anchor>
          </w:drawing>
        </mc:Choice>
        <mc:Fallback>
          <w:pict>
            <v:shape style="position:absolute;margin-left:394.471008pt;margin-top:56.990005pt;width:102.6pt;height:15.15pt;mso-position-horizontal-relative:page;mso-position-vertical-relative:page;z-index:-23452160" type="#_x0000_t202" id="docshape58" filled="false" stroked="false">
              <v:textbox inset="0,0,0,0">
                <w:txbxContent>
                  <w:p>
                    <w:pPr>
                      <w:spacing w:before="12"/>
                      <w:ind w:left="20" w:right="0" w:firstLine="0"/>
                      <w:jc w:val="left"/>
                      <w:rPr>
                        <w:rFonts w:ascii="Cambria"/>
                        <w:i/>
                        <w:sz w:val="22"/>
                      </w:rPr>
                    </w:pPr>
                    <w:r>
                      <w:rPr>
                        <w:rFonts w:ascii="Cambria"/>
                        <w:i/>
                        <w:spacing w:val="-8"/>
                        <w:sz w:val="22"/>
                      </w:rPr>
                      <w:t>Data</w:t>
                    </w:r>
                    <w:r>
                      <w:rPr>
                        <w:rFonts w:ascii="Cambria"/>
                        <w:i/>
                        <w:spacing w:val="-4"/>
                        <w:sz w:val="22"/>
                      </w:rPr>
                      <w:t> </w:t>
                    </w:r>
                    <w:r>
                      <w:rPr>
                        <w:rFonts w:ascii="Cambria"/>
                        <w:i/>
                        <w:spacing w:val="-8"/>
                        <w:sz w:val="22"/>
                      </w:rPr>
                      <w:t>and</w:t>
                    </w:r>
                    <w:r>
                      <w:rPr>
                        <w:rFonts w:ascii="Cambria"/>
                        <w:i/>
                        <w:spacing w:val="-4"/>
                        <w:sz w:val="22"/>
                      </w:rPr>
                      <w:t> </w:t>
                    </w:r>
                    <w:r>
                      <w:rPr>
                        <w:rFonts w:ascii="Cambria"/>
                        <w:i/>
                        <w:spacing w:val="-8"/>
                        <w:sz w:val="22"/>
                      </w:rPr>
                      <w:t>Methodology</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64832">
              <wp:simplePos x="0" y="0"/>
              <wp:positionH relativeFrom="page">
                <wp:posOffset>1240370</wp:posOffset>
              </wp:positionH>
              <wp:positionV relativeFrom="page">
                <wp:posOffset>723773</wp:posOffset>
              </wp:positionV>
              <wp:extent cx="2143125" cy="19240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2143125" cy="192405"/>
                      </a:xfrm>
                      <a:prstGeom prst="rect">
                        <a:avLst/>
                      </a:prstGeom>
                    </wps:spPr>
                    <wps:txbx>
                      <w:txbxContent>
                        <w:p>
                          <w:pPr>
                            <w:spacing w:before="12"/>
                            <w:ind w:left="20" w:right="0" w:firstLine="0"/>
                            <w:jc w:val="left"/>
                            <w:rPr>
                              <w:rFonts w:ascii="Cambria"/>
                              <w:i/>
                              <w:sz w:val="22"/>
                            </w:rPr>
                          </w:pPr>
                          <w:r>
                            <w:rPr>
                              <w:rFonts w:ascii="Cambria"/>
                              <w:i/>
                              <w:spacing w:val="-6"/>
                              <w:sz w:val="22"/>
                            </w:rPr>
                            <w:t>3.5</w:t>
                          </w:r>
                          <w:r>
                            <w:rPr>
                              <w:rFonts w:ascii="Cambria"/>
                              <w:i/>
                              <w:sz w:val="22"/>
                            </w:rPr>
                            <w:t> </w:t>
                          </w:r>
                          <w:r>
                            <w:rPr>
                              <w:rFonts w:ascii="Cambria"/>
                              <w:i/>
                              <w:spacing w:val="-6"/>
                              <w:sz w:val="22"/>
                            </w:rPr>
                            <w:t>Walk-Forward</w:t>
                          </w:r>
                          <w:r>
                            <w:rPr>
                              <w:rFonts w:ascii="Cambria"/>
                              <w:i/>
                              <w:spacing w:val="1"/>
                              <w:sz w:val="22"/>
                            </w:rPr>
                            <w:t> </w:t>
                          </w:r>
                          <w:r>
                            <w:rPr>
                              <w:rFonts w:ascii="Cambria"/>
                              <w:i/>
                              <w:spacing w:val="-6"/>
                              <w:sz w:val="22"/>
                            </w:rPr>
                            <w:t>Validation</w:t>
                          </w:r>
                          <w:r>
                            <w:rPr>
                              <w:rFonts w:ascii="Cambria"/>
                              <w:i/>
                              <w:sz w:val="22"/>
                            </w:rPr>
                            <w:t> </w:t>
                          </w:r>
                          <w:r>
                            <w:rPr>
                              <w:rFonts w:ascii="Cambria"/>
                              <w:i/>
                              <w:spacing w:val="-6"/>
                              <w:sz w:val="22"/>
                            </w:rPr>
                            <w:t>Protocol</w:t>
                          </w:r>
                        </w:p>
                      </w:txbxContent>
                    </wps:txbx>
                    <wps:bodyPr wrap="square" lIns="0" tIns="0" rIns="0" bIns="0" rtlCol="0">
                      <a:noAutofit/>
                    </wps:bodyPr>
                  </wps:wsp>
                </a:graphicData>
              </a:graphic>
            </wp:anchor>
          </w:drawing>
        </mc:Choice>
        <mc:Fallback>
          <w:pict>
            <v:shape style="position:absolute;margin-left:97.667pt;margin-top:56.990005pt;width:168.75pt;height:15.15pt;mso-position-horizontal-relative:page;mso-position-vertical-relative:page;z-index:-23451648" type="#_x0000_t202" id="docshape64" filled="false" stroked="false">
              <v:textbox inset="0,0,0,0">
                <w:txbxContent>
                  <w:p>
                    <w:pPr>
                      <w:spacing w:before="12"/>
                      <w:ind w:left="20" w:right="0" w:firstLine="0"/>
                      <w:jc w:val="left"/>
                      <w:rPr>
                        <w:rFonts w:ascii="Cambria"/>
                        <w:i/>
                        <w:sz w:val="22"/>
                      </w:rPr>
                    </w:pPr>
                    <w:r>
                      <w:rPr>
                        <w:rFonts w:ascii="Cambria"/>
                        <w:i/>
                        <w:spacing w:val="-6"/>
                        <w:sz w:val="22"/>
                      </w:rPr>
                      <w:t>3.5</w:t>
                    </w:r>
                    <w:r>
                      <w:rPr>
                        <w:rFonts w:ascii="Cambria"/>
                        <w:i/>
                        <w:sz w:val="22"/>
                      </w:rPr>
                      <w:t> </w:t>
                    </w:r>
                    <w:r>
                      <w:rPr>
                        <w:rFonts w:ascii="Cambria"/>
                        <w:i/>
                        <w:spacing w:val="-6"/>
                        <w:sz w:val="22"/>
                      </w:rPr>
                      <w:t>Walk-Forward</w:t>
                    </w:r>
                    <w:r>
                      <w:rPr>
                        <w:rFonts w:ascii="Cambria"/>
                        <w:i/>
                        <w:spacing w:val="1"/>
                        <w:sz w:val="22"/>
                      </w:rPr>
                      <w:t> </w:t>
                    </w:r>
                    <w:r>
                      <w:rPr>
                        <w:rFonts w:ascii="Cambria"/>
                        <w:i/>
                        <w:spacing w:val="-6"/>
                        <w:sz w:val="22"/>
                      </w:rPr>
                      <w:t>Validation</w:t>
                    </w:r>
                    <w:r>
                      <w:rPr>
                        <w:rFonts w:ascii="Cambria"/>
                        <w:i/>
                        <w:sz w:val="22"/>
                      </w:rPr>
                      <w:t> </w:t>
                    </w:r>
                    <w:r>
                      <w:rPr>
                        <w:rFonts w:ascii="Cambria"/>
                        <w:i/>
                        <w:spacing w:val="-6"/>
                        <w:sz w:val="22"/>
                      </w:rPr>
                      <w:t>Protocol</w:t>
                    </w:r>
                  </w:p>
                </w:txbxContent>
              </v:textbox>
              <w10:wrap type="none"/>
            </v:shape>
          </w:pict>
        </mc:Fallback>
      </mc:AlternateContent>
    </w:r>
    <w:r>
      <w:rPr>
        <w:sz w:val="20"/>
      </w:rPr>
      <mc:AlternateContent>
        <mc:Choice Requires="wps">
          <w:drawing>
            <wp:anchor distT="0" distB="0" distL="0" distR="0" allowOverlap="1" layoutInCell="1" locked="0" behindDoc="1" simplePos="0" relativeHeight="479865344">
              <wp:simplePos x="0" y="0"/>
              <wp:positionH relativeFrom="page">
                <wp:posOffset>6483350</wp:posOffset>
              </wp:positionH>
              <wp:positionV relativeFrom="page">
                <wp:posOffset>723773</wp:posOffset>
              </wp:positionV>
              <wp:extent cx="227965" cy="19240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25</w:t>
                          </w:r>
                          <w:r>
                            <w:rPr>
                              <w:spacing w:val="-5"/>
                            </w:rPr>
                            <w:fldChar w:fldCharType="end"/>
                          </w:r>
                        </w:p>
                      </w:txbxContent>
                    </wps:txbx>
                    <wps:bodyPr wrap="square" lIns="0" tIns="0" rIns="0" bIns="0" rtlCol="0">
                      <a:noAutofit/>
                    </wps:bodyPr>
                  </wps:wsp>
                </a:graphicData>
              </a:graphic>
            </wp:anchor>
          </w:drawing>
        </mc:Choice>
        <mc:Fallback>
          <w:pict>
            <v:shape style="position:absolute;margin-left:510.5pt;margin-top:56.990005pt;width:17.95pt;height:15.15pt;mso-position-horizontal-relative:page;mso-position-vertical-relative:page;z-index:-23451136" type="#_x0000_t202" id="docshape65"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25</w:t>
                    </w:r>
                    <w:r>
                      <w:rPr>
                        <w:spacing w:val="-5"/>
                      </w:rPr>
                      <w:fldChar w:fldCharType="end"/>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65856">
              <wp:simplePos x="0" y="0"/>
              <wp:positionH relativeFrom="page">
                <wp:posOffset>861898</wp:posOffset>
              </wp:positionH>
              <wp:positionV relativeFrom="page">
                <wp:posOffset>723773</wp:posOffset>
              </wp:positionV>
              <wp:extent cx="227965" cy="19240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26</w:t>
                          </w:r>
                          <w:r>
                            <w:rPr>
                              <w:spacing w:val="-5"/>
                            </w:rPr>
                            <w:fldChar w:fldCharType="end"/>
                          </w:r>
                        </w:p>
                      </w:txbxContent>
                    </wps:txbx>
                    <wps:bodyPr wrap="square" lIns="0" tIns="0" rIns="0" bIns="0" rtlCol="0">
                      <a:noAutofit/>
                    </wps:bodyPr>
                  </wps:wsp>
                </a:graphicData>
              </a:graphic>
            </wp:anchor>
          </w:drawing>
        </mc:Choice>
        <mc:Fallback>
          <w:pict>
            <v:shape style="position:absolute;margin-left:67.865997pt;margin-top:56.990005pt;width:17.95pt;height:15.15pt;mso-position-horizontal-relative:page;mso-position-vertical-relative:page;z-index:-23450624" type="#_x0000_t202" id="docshape66"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26</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866368">
              <wp:simplePos x="0" y="0"/>
              <wp:positionH relativeFrom="page">
                <wp:posOffset>5009781</wp:posOffset>
              </wp:positionH>
              <wp:positionV relativeFrom="page">
                <wp:posOffset>723773</wp:posOffset>
              </wp:positionV>
              <wp:extent cx="1303020" cy="19240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303020" cy="192405"/>
                      </a:xfrm>
                      <a:prstGeom prst="rect">
                        <a:avLst/>
                      </a:prstGeom>
                    </wps:spPr>
                    <wps:txbx>
                      <w:txbxContent>
                        <w:p>
                          <w:pPr>
                            <w:spacing w:before="12"/>
                            <w:ind w:left="20" w:right="0" w:firstLine="0"/>
                            <w:jc w:val="left"/>
                            <w:rPr>
                              <w:rFonts w:ascii="Cambria"/>
                              <w:i/>
                              <w:sz w:val="22"/>
                            </w:rPr>
                          </w:pPr>
                          <w:r>
                            <w:rPr>
                              <w:rFonts w:ascii="Cambria"/>
                              <w:i/>
                              <w:spacing w:val="-8"/>
                              <w:sz w:val="22"/>
                            </w:rPr>
                            <w:t>Data</w:t>
                          </w:r>
                          <w:r>
                            <w:rPr>
                              <w:rFonts w:ascii="Cambria"/>
                              <w:i/>
                              <w:spacing w:val="-4"/>
                              <w:sz w:val="22"/>
                            </w:rPr>
                            <w:t> </w:t>
                          </w:r>
                          <w:r>
                            <w:rPr>
                              <w:rFonts w:ascii="Cambria"/>
                              <w:i/>
                              <w:spacing w:val="-8"/>
                              <w:sz w:val="22"/>
                            </w:rPr>
                            <w:t>and</w:t>
                          </w:r>
                          <w:r>
                            <w:rPr>
                              <w:rFonts w:ascii="Cambria"/>
                              <w:i/>
                              <w:spacing w:val="-4"/>
                              <w:sz w:val="22"/>
                            </w:rPr>
                            <w:t> </w:t>
                          </w:r>
                          <w:r>
                            <w:rPr>
                              <w:rFonts w:ascii="Cambria"/>
                              <w:i/>
                              <w:spacing w:val="-8"/>
                              <w:sz w:val="22"/>
                            </w:rPr>
                            <w:t>Methodology</w:t>
                          </w:r>
                        </w:p>
                      </w:txbxContent>
                    </wps:txbx>
                    <wps:bodyPr wrap="square" lIns="0" tIns="0" rIns="0" bIns="0" rtlCol="0">
                      <a:noAutofit/>
                    </wps:bodyPr>
                  </wps:wsp>
                </a:graphicData>
              </a:graphic>
            </wp:anchor>
          </w:drawing>
        </mc:Choice>
        <mc:Fallback>
          <w:pict>
            <v:shape style="position:absolute;margin-left:394.471008pt;margin-top:56.990005pt;width:102.6pt;height:15.15pt;mso-position-horizontal-relative:page;mso-position-vertical-relative:page;z-index:-23450112" type="#_x0000_t202" id="docshape67" filled="false" stroked="false">
              <v:textbox inset="0,0,0,0">
                <w:txbxContent>
                  <w:p>
                    <w:pPr>
                      <w:spacing w:before="12"/>
                      <w:ind w:left="20" w:right="0" w:firstLine="0"/>
                      <w:jc w:val="left"/>
                      <w:rPr>
                        <w:rFonts w:ascii="Cambria"/>
                        <w:i/>
                        <w:sz w:val="22"/>
                      </w:rPr>
                    </w:pPr>
                    <w:r>
                      <w:rPr>
                        <w:rFonts w:ascii="Cambria"/>
                        <w:i/>
                        <w:spacing w:val="-8"/>
                        <w:sz w:val="22"/>
                      </w:rPr>
                      <w:t>Data</w:t>
                    </w:r>
                    <w:r>
                      <w:rPr>
                        <w:rFonts w:ascii="Cambria"/>
                        <w:i/>
                        <w:spacing w:val="-4"/>
                        <w:sz w:val="22"/>
                      </w:rPr>
                      <w:t> </w:t>
                    </w:r>
                    <w:r>
                      <w:rPr>
                        <w:rFonts w:ascii="Cambria"/>
                        <w:i/>
                        <w:spacing w:val="-8"/>
                        <w:sz w:val="22"/>
                      </w:rPr>
                      <w:t>and</w:t>
                    </w:r>
                    <w:r>
                      <w:rPr>
                        <w:rFonts w:ascii="Cambria"/>
                        <w:i/>
                        <w:spacing w:val="-4"/>
                        <w:sz w:val="22"/>
                      </w:rPr>
                      <w:t> </w:t>
                    </w:r>
                    <w:r>
                      <w:rPr>
                        <w:rFonts w:ascii="Cambria"/>
                        <w:i/>
                        <w:spacing w:val="-8"/>
                        <w:sz w:val="22"/>
                      </w:rPr>
                      <w:t>Methodology</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66880">
              <wp:simplePos x="0" y="0"/>
              <wp:positionH relativeFrom="page">
                <wp:posOffset>1240370</wp:posOffset>
              </wp:positionH>
              <wp:positionV relativeFrom="page">
                <wp:posOffset>723773</wp:posOffset>
              </wp:positionV>
              <wp:extent cx="1234440" cy="19240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234440" cy="192405"/>
                      </a:xfrm>
                      <a:prstGeom prst="rect">
                        <a:avLst/>
                      </a:prstGeom>
                    </wps:spPr>
                    <wps:txbx>
                      <w:txbxContent>
                        <w:p>
                          <w:pPr>
                            <w:spacing w:before="12"/>
                            <w:ind w:left="20" w:right="0" w:firstLine="0"/>
                            <w:jc w:val="left"/>
                            <w:rPr>
                              <w:rFonts w:ascii="Cambria"/>
                              <w:i/>
                              <w:sz w:val="22"/>
                            </w:rPr>
                          </w:pPr>
                          <w:r>
                            <w:rPr>
                              <w:rFonts w:ascii="Cambria"/>
                              <w:i/>
                              <w:spacing w:val="-4"/>
                              <w:sz w:val="22"/>
                            </w:rPr>
                            <w:t>3.7</w:t>
                          </w:r>
                          <w:r>
                            <w:rPr>
                              <w:rFonts w:ascii="Cambria"/>
                              <w:i/>
                              <w:spacing w:val="-5"/>
                              <w:sz w:val="22"/>
                            </w:rPr>
                            <w:t> </w:t>
                          </w:r>
                          <w:r>
                            <w:rPr>
                              <w:rFonts w:ascii="Cambria"/>
                              <w:i/>
                              <w:spacing w:val="-4"/>
                              <w:sz w:val="22"/>
                            </w:rPr>
                            <w:t>Evaluation Metric</w:t>
                          </w:r>
                        </w:p>
                      </w:txbxContent>
                    </wps:txbx>
                    <wps:bodyPr wrap="square" lIns="0" tIns="0" rIns="0" bIns="0" rtlCol="0">
                      <a:noAutofit/>
                    </wps:bodyPr>
                  </wps:wsp>
                </a:graphicData>
              </a:graphic>
            </wp:anchor>
          </w:drawing>
        </mc:Choice>
        <mc:Fallback>
          <w:pict>
            <v:shape style="position:absolute;margin-left:97.667pt;margin-top:56.990005pt;width:97.2pt;height:15.15pt;mso-position-horizontal-relative:page;mso-position-vertical-relative:page;z-index:-23449600" type="#_x0000_t202" id="docshape68" filled="false" stroked="false">
              <v:textbox inset="0,0,0,0">
                <w:txbxContent>
                  <w:p>
                    <w:pPr>
                      <w:spacing w:before="12"/>
                      <w:ind w:left="20" w:right="0" w:firstLine="0"/>
                      <w:jc w:val="left"/>
                      <w:rPr>
                        <w:rFonts w:ascii="Cambria"/>
                        <w:i/>
                        <w:sz w:val="22"/>
                      </w:rPr>
                    </w:pPr>
                    <w:r>
                      <w:rPr>
                        <w:rFonts w:ascii="Cambria"/>
                        <w:i/>
                        <w:spacing w:val="-4"/>
                        <w:sz w:val="22"/>
                      </w:rPr>
                      <w:t>3.7</w:t>
                    </w:r>
                    <w:r>
                      <w:rPr>
                        <w:rFonts w:ascii="Cambria"/>
                        <w:i/>
                        <w:spacing w:val="-5"/>
                        <w:sz w:val="22"/>
                      </w:rPr>
                      <w:t> </w:t>
                    </w:r>
                    <w:r>
                      <w:rPr>
                        <w:rFonts w:ascii="Cambria"/>
                        <w:i/>
                        <w:spacing w:val="-4"/>
                        <w:sz w:val="22"/>
                      </w:rPr>
                      <w:t>Evaluation Metric</w:t>
                    </w:r>
                  </w:p>
                </w:txbxContent>
              </v:textbox>
              <w10:wrap type="none"/>
            </v:shape>
          </w:pict>
        </mc:Fallback>
      </mc:AlternateContent>
    </w:r>
    <w:r>
      <w:rPr>
        <w:sz w:val="20"/>
      </w:rPr>
      <mc:AlternateContent>
        <mc:Choice Requires="wps">
          <w:drawing>
            <wp:anchor distT="0" distB="0" distL="0" distR="0" allowOverlap="1" layoutInCell="1" locked="0" behindDoc="1" simplePos="0" relativeHeight="479867392">
              <wp:simplePos x="0" y="0"/>
              <wp:positionH relativeFrom="page">
                <wp:posOffset>6483350</wp:posOffset>
              </wp:positionH>
              <wp:positionV relativeFrom="page">
                <wp:posOffset>723773</wp:posOffset>
              </wp:positionV>
              <wp:extent cx="227965" cy="19240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27</w:t>
                          </w:r>
                          <w:r>
                            <w:rPr>
                              <w:spacing w:val="-5"/>
                            </w:rPr>
                            <w:fldChar w:fldCharType="end"/>
                          </w:r>
                        </w:p>
                      </w:txbxContent>
                    </wps:txbx>
                    <wps:bodyPr wrap="square" lIns="0" tIns="0" rIns="0" bIns="0" rtlCol="0">
                      <a:noAutofit/>
                    </wps:bodyPr>
                  </wps:wsp>
                </a:graphicData>
              </a:graphic>
            </wp:anchor>
          </w:drawing>
        </mc:Choice>
        <mc:Fallback>
          <w:pict>
            <v:shape style="position:absolute;margin-left:510.5pt;margin-top:56.990005pt;width:17.95pt;height:15.15pt;mso-position-horizontal-relative:page;mso-position-vertical-relative:page;z-index:-23449088" type="#_x0000_t202" id="docshape69"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27</w:t>
                    </w:r>
                    <w:r>
                      <w:rPr>
                        <w:spacing w:val="-5"/>
                      </w:rPr>
                      <w:fldChar w:fldCharType="end"/>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67904">
              <wp:simplePos x="0" y="0"/>
              <wp:positionH relativeFrom="page">
                <wp:posOffset>861898</wp:posOffset>
              </wp:positionH>
              <wp:positionV relativeFrom="page">
                <wp:posOffset>723773</wp:posOffset>
              </wp:positionV>
              <wp:extent cx="227965" cy="19240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28</w:t>
                          </w:r>
                          <w:r>
                            <w:rPr>
                              <w:spacing w:val="-5"/>
                            </w:rPr>
                            <w:fldChar w:fldCharType="end"/>
                          </w:r>
                        </w:p>
                      </w:txbxContent>
                    </wps:txbx>
                    <wps:bodyPr wrap="square" lIns="0" tIns="0" rIns="0" bIns="0" rtlCol="0">
                      <a:noAutofit/>
                    </wps:bodyPr>
                  </wps:wsp>
                </a:graphicData>
              </a:graphic>
            </wp:anchor>
          </w:drawing>
        </mc:Choice>
        <mc:Fallback>
          <w:pict>
            <v:shape style="position:absolute;margin-left:67.865997pt;margin-top:56.990005pt;width:17.95pt;height:15.15pt;mso-position-horizontal-relative:page;mso-position-vertical-relative:page;z-index:-23448576" type="#_x0000_t202" id="docshape70"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28</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868416">
              <wp:simplePos x="0" y="0"/>
              <wp:positionH relativeFrom="page">
                <wp:posOffset>5009781</wp:posOffset>
              </wp:positionH>
              <wp:positionV relativeFrom="page">
                <wp:posOffset>723773</wp:posOffset>
              </wp:positionV>
              <wp:extent cx="1303020" cy="19240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303020" cy="192405"/>
                      </a:xfrm>
                      <a:prstGeom prst="rect">
                        <a:avLst/>
                      </a:prstGeom>
                    </wps:spPr>
                    <wps:txbx>
                      <w:txbxContent>
                        <w:p>
                          <w:pPr>
                            <w:spacing w:before="12"/>
                            <w:ind w:left="20" w:right="0" w:firstLine="0"/>
                            <w:jc w:val="left"/>
                            <w:rPr>
                              <w:rFonts w:ascii="Cambria"/>
                              <w:i/>
                              <w:sz w:val="22"/>
                            </w:rPr>
                          </w:pPr>
                          <w:r>
                            <w:rPr>
                              <w:rFonts w:ascii="Cambria"/>
                              <w:i/>
                              <w:spacing w:val="-8"/>
                              <w:sz w:val="22"/>
                            </w:rPr>
                            <w:t>Data</w:t>
                          </w:r>
                          <w:r>
                            <w:rPr>
                              <w:rFonts w:ascii="Cambria"/>
                              <w:i/>
                              <w:spacing w:val="-4"/>
                              <w:sz w:val="22"/>
                            </w:rPr>
                            <w:t> </w:t>
                          </w:r>
                          <w:r>
                            <w:rPr>
                              <w:rFonts w:ascii="Cambria"/>
                              <w:i/>
                              <w:spacing w:val="-8"/>
                              <w:sz w:val="22"/>
                            </w:rPr>
                            <w:t>and</w:t>
                          </w:r>
                          <w:r>
                            <w:rPr>
                              <w:rFonts w:ascii="Cambria"/>
                              <w:i/>
                              <w:spacing w:val="-4"/>
                              <w:sz w:val="22"/>
                            </w:rPr>
                            <w:t> </w:t>
                          </w:r>
                          <w:r>
                            <w:rPr>
                              <w:rFonts w:ascii="Cambria"/>
                              <w:i/>
                              <w:spacing w:val="-8"/>
                              <w:sz w:val="22"/>
                            </w:rPr>
                            <w:t>Methodology</w:t>
                          </w:r>
                        </w:p>
                      </w:txbxContent>
                    </wps:txbx>
                    <wps:bodyPr wrap="square" lIns="0" tIns="0" rIns="0" bIns="0" rtlCol="0">
                      <a:noAutofit/>
                    </wps:bodyPr>
                  </wps:wsp>
                </a:graphicData>
              </a:graphic>
            </wp:anchor>
          </w:drawing>
        </mc:Choice>
        <mc:Fallback>
          <w:pict>
            <v:shape style="position:absolute;margin-left:394.471008pt;margin-top:56.990005pt;width:102.6pt;height:15.15pt;mso-position-horizontal-relative:page;mso-position-vertical-relative:page;z-index:-23448064" type="#_x0000_t202" id="docshape71" filled="false" stroked="false">
              <v:textbox inset="0,0,0,0">
                <w:txbxContent>
                  <w:p>
                    <w:pPr>
                      <w:spacing w:before="12"/>
                      <w:ind w:left="20" w:right="0" w:firstLine="0"/>
                      <w:jc w:val="left"/>
                      <w:rPr>
                        <w:rFonts w:ascii="Cambria"/>
                        <w:i/>
                        <w:sz w:val="22"/>
                      </w:rPr>
                    </w:pPr>
                    <w:r>
                      <w:rPr>
                        <w:rFonts w:ascii="Cambria"/>
                        <w:i/>
                        <w:spacing w:val="-8"/>
                        <w:sz w:val="22"/>
                      </w:rPr>
                      <w:t>Data</w:t>
                    </w:r>
                    <w:r>
                      <w:rPr>
                        <w:rFonts w:ascii="Cambria"/>
                        <w:i/>
                        <w:spacing w:val="-4"/>
                        <w:sz w:val="22"/>
                      </w:rPr>
                      <w:t> </w:t>
                    </w:r>
                    <w:r>
                      <w:rPr>
                        <w:rFonts w:ascii="Cambria"/>
                        <w:i/>
                        <w:spacing w:val="-8"/>
                        <w:sz w:val="22"/>
                      </w:rPr>
                      <w:t>and</w:t>
                    </w:r>
                    <w:r>
                      <w:rPr>
                        <w:rFonts w:ascii="Cambria"/>
                        <w:i/>
                        <w:spacing w:val="-4"/>
                        <w:sz w:val="22"/>
                      </w:rPr>
                      <w:t> </w:t>
                    </w:r>
                    <w:r>
                      <w:rPr>
                        <w:rFonts w:ascii="Cambria"/>
                        <w:i/>
                        <w:spacing w:val="-8"/>
                        <w:sz w:val="22"/>
                      </w:rPr>
                      <w:t>Methodology</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68928">
              <wp:simplePos x="0" y="0"/>
              <wp:positionH relativeFrom="page">
                <wp:posOffset>1240370</wp:posOffset>
              </wp:positionH>
              <wp:positionV relativeFrom="page">
                <wp:posOffset>723773</wp:posOffset>
              </wp:positionV>
              <wp:extent cx="1871345" cy="19240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871345" cy="192405"/>
                      </a:xfrm>
                      <a:prstGeom prst="rect">
                        <a:avLst/>
                      </a:prstGeom>
                    </wps:spPr>
                    <wps:txbx>
                      <w:txbxContent>
                        <w:p>
                          <w:pPr>
                            <w:spacing w:before="12"/>
                            <w:ind w:left="20" w:right="0" w:firstLine="0"/>
                            <w:jc w:val="left"/>
                            <w:rPr>
                              <w:rFonts w:ascii="Cambria"/>
                              <w:i/>
                              <w:sz w:val="22"/>
                            </w:rPr>
                          </w:pPr>
                          <w:r>
                            <w:rPr>
                              <w:rFonts w:ascii="Cambria"/>
                              <w:i/>
                              <w:spacing w:val="-4"/>
                              <w:sz w:val="22"/>
                            </w:rPr>
                            <w:t>3.8 Software</w:t>
                          </w:r>
                          <w:r>
                            <w:rPr>
                              <w:rFonts w:ascii="Cambria"/>
                              <w:i/>
                              <w:spacing w:val="-3"/>
                              <w:sz w:val="22"/>
                            </w:rPr>
                            <w:t> </w:t>
                          </w:r>
                          <w:r>
                            <w:rPr>
                              <w:rFonts w:ascii="Cambria"/>
                              <w:i/>
                              <w:spacing w:val="-4"/>
                              <w:sz w:val="22"/>
                            </w:rPr>
                            <w:t>and</w:t>
                          </w:r>
                          <w:r>
                            <w:rPr>
                              <w:rFonts w:ascii="Cambria"/>
                              <w:i/>
                              <w:spacing w:val="-3"/>
                              <w:sz w:val="22"/>
                            </w:rPr>
                            <w:t> </w:t>
                          </w:r>
                          <w:r>
                            <w:rPr>
                              <w:rFonts w:ascii="Cambria"/>
                              <w:i/>
                              <w:spacing w:val="-4"/>
                              <w:sz w:val="22"/>
                            </w:rPr>
                            <w:t>Reproducibility</w:t>
                          </w:r>
                        </w:p>
                      </w:txbxContent>
                    </wps:txbx>
                    <wps:bodyPr wrap="square" lIns="0" tIns="0" rIns="0" bIns="0" rtlCol="0">
                      <a:noAutofit/>
                    </wps:bodyPr>
                  </wps:wsp>
                </a:graphicData>
              </a:graphic>
            </wp:anchor>
          </w:drawing>
        </mc:Choice>
        <mc:Fallback>
          <w:pict>
            <v:shape style="position:absolute;margin-left:97.667pt;margin-top:56.990005pt;width:147.35pt;height:15.15pt;mso-position-horizontal-relative:page;mso-position-vertical-relative:page;z-index:-23447552" type="#_x0000_t202" id="docshape72" filled="false" stroked="false">
              <v:textbox inset="0,0,0,0">
                <w:txbxContent>
                  <w:p>
                    <w:pPr>
                      <w:spacing w:before="12"/>
                      <w:ind w:left="20" w:right="0" w:firstLine="0"/>
                      <w:jc w:val="left"/>
                      <w:rPr>
                        <w:rFonts w:ascii="Cambria"/>
                        <w:i/>
                        <w:sz w:val="22"/>
                      </w:rPr>
                    </w:pPr>
                    <w:r>
                      <w:rPr>
                        <w:rFonts w:ascii="Cambria"/>
                        <w:i/>
                        <w:spacing w:val="-4"/>
                        <w:sz w:val="22"/>
                      </w:rPr>
                      <w:t>3.8 Software</w:t>
                    </w:r>
                    <w:r>
                      <w:rPr>
                        <w:rFonts w:ascii="Cambria"/>
                        <w:i/>
                        <w:spacing w:val="-3"/>
                        <w:sz w:val="22"/>
                      </w:rPr>
                      <w:t> </w:t>
                    </w:r>
                    <w:r>
                      <w:rPr>
                        <w:rFonts w:ascii="Cambria"/>
                        <w:i/>
                        <w:spacing w:val="-4"/>
                        <w:sz w:val="22"/>
                      </w:rPr>
                      <w:t>and</w:t>
                    </w:r>
                    <w:r>
                      <w:rPr>
                        <w:rFonts w:ascii="Cambria"/>
                        <w:i/>
                        <w:spacing w:val="-3"/>
                        <w:sz w:val="22"/>
                      </w:rPr>
                      <w:t> </w:t>
                    </w:r>
                    <w:r>
                      <w:rPr>
                        <w:rFonts w:ascii="Cambria"/>
                        <w:i/>
                        <w:spacing w:val="-4"/>
                        <w:sz w:val="22"/>
                      </w:rPr>
                      <w:t>Reproducibility</w:t>
                    </w:r>
                  </w:p>
                </w:txbxContent>
              </v:textbox>
              <w10:wrap type="none"/>
            </v:shape>
          </w:pict>
        </mc:Fallback>
      </mc:AlternateContent>
    </w:r>
    <w:r>
      <w:rPr>
        <w:sz w:val="20"/>
      </w:rPr>
      <mc:AlternateContent>
        <mc:Choice Requires="wps">
          <w:drawing>
            <wp:anchor distT="0" distB="0" distL="0" distR="0" allowOverlap="1" layoutInCell="1" locked="0" behindDoc="1" simplePos="0" relativeHeight="479869440">
              <wp:simplePos x="0" y="0"/>
              <wp:positionH relativeFrom="page">
                <wp:posOffset>6483350</wp:posOffset>
              </wp:positionH>
              <wp:positionV relativeFrom="page">
                <wp:posOffset>723773</wp:posOffset>
              </wp:positionV>
              <wp:extent cx="227965" cy="19240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29</w:t>
                          </w:r>
                          <w:r>
                            <w:rPr>
                              <w:spacing w:val="-5"/>
                            </w:rPr>
                            <w:fldChar w:fldCharType="end"/>
                          </w:r>
                        </w:p>
                      </w:txbxContent>
                    </wps:txbx>
                    <wps:bodyPr wrap="square" lIns="0" tIns="0" rIns="0" bIns="0" rtlCol="0">
                      <a:noAutofit/>
                    </wps:bodyPr>
                  </wps:wsp>
                </a:graphicData>
              </a:graphic>
            </wp:anchor>
          </w:drawing>
        </mc:Choice>
        <mc:Fallback>
          <w:pict>
            <v:shape style="position:absolute;margin-left:510.5pt;margin-top:56.990005pt;width:17.95pt;height:15.15pt;mso-position-horizontal-relative:page;mso-position-vertical-relative:page;z-index:-23447040" type="#_x0000_t202" id="docshape73"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29</w:t>
                    </w:r>
                    <w:r>
                      <w:rPr>
                        <w:spacing w:val="-5"/>
                      </w:rPr>
                      <w:fldChar w:fldCharType="end"/>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69952">
              <wp:simplePos x="0" y="0"/>
              <wp:positionH relativeFrom="page">
                <wp:posOffset>861898</wp:posOffset>
              </wp:positionH>
              <wp:positionV relativeFrom="page">
                <wp:posOffset>723773</wp:posOffset>
              </wp:positionV>
              <wp:extent cx="227965" cy="19240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wps:txbx>
                    <wps:bodyPr wrap="square" lIns="0" tIns="0" rIns="0" bIns="0" rtlCol="0">
                      <a:noAutofit/>
                    </wps:bodyPr>
                  </wps:wsp>
                </a:graphicData>
              </a:graphic>
            </wp:anchor>
          </w:drawing>
        </mc:Choice>
        <mc:Fallback>
          <w:pict>
            <v:shape style="position:absolute;margin-left:67.865997pt;margin-top:56.990005pt;width:17.95pt;height:15.15pt;mso-position-horizontal-relative:page;mso-position-vertical-relative:page;z-index:-23446528" type="#_x0000_t202" id="docshape74"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870464">
              <wp:simplePos x="0" y="0"/>
              <wp:positionH relativeFrom="page">
                <wp:posOffset>5009781</wp:posOffset>
              </wp:positionH>
              <wp:positionV relativeFrom="page">
                <wp:posOffset>723773</wp:posOffset>
              </wp:positionV>
              <wp:extent cx="1303020" cy="19240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303020" cy="192405"/>
                      </a:xfrm>
                      <a:prstGeom prst="rect">
                        <a:avLst/>
                      </a:prstGeom>
                    </wps:spPr>
                    <wps:txbx>
                      <w:txbxContent>
                        <w:p>
                          <w:pPr>
                            <w:spacing w:before="12"/>
                            <w:ind w:left="20" w:right="0" w:firstLine="0"/>
                            <w:jc w:val="left"/>
                            <w:rPr>
                              <w:rFonts w:ascii="Cambria"/>
                              <w:i/>
                              <w:sz w:val="22"/>
                            </w:rPr>
                          </w:pPr>
                          <w:r>
                            <w:rPr>
                              <w:rFonts w:ascii="Cambria"/>
                              <w:i/>
                              <w:spacing w:val="-8"/>
                              <w:sz w:val="22"/>
                            </w:rPr>
                            <w:t>Data</w:t>
                          </w:r>
                          <w:r>
                            <w:rPr>
                              <w:rFonts w:ascii="Cambria"/>
                              <w:i/>
                              <w:spacing w:val="-4"/>
                              <w:sz w:val="22"/>
                            </w:rPr>
                            <w:t> </w:t>
                          </w:r>
                          <w:r>
                            <w:rPr>
                              <w:rFonts w:ascii="Cambria"/>
                              <w:i/>
                              <w:spacing w:val="-8"/>
                              <w:sz w:val="22"/>
                            </w:rPr>
                            <w:t>and</w:t>
                          </w:r>
                          <w:r>
                            <w:rPr>
                              <w:rFonts w:ascii="Cambria"/>
                              <w:i/>
                              <w:spacing w:val="-4"/>
                              <w:sz w:val="22"/>
                            </w:rPr>
                            <w:t> </w:t>
                          </w:r>
                          <w:r>
                            <w:rPr>
                              <w:rFonts w:ascii="Cambria"/>
                              <w:i/>
                              <w:spacing w:val="-8"/>
                              <w:sz w:val="22"/>
                            </w:rPr>
                            <w:t>Methodology</w:t>
                          </w:r>
                        </w:p>
                      </w:txbxContent>
                    </wps:txbx>
                    <wps:bodyPr wrap="square" lIns="0" tIns="0" rIns="0" bIns="0" rtlCol="0">
                      <a:noAutofit/>
                    </wps:bodyPr>
                  </wps:wsp>
                </a:graphicData>
              </a:graphic>
            </wp:anchor>
          </w:drawing>
        </mc:Choice>
        <mc:Fallback>
          <w:pict>
            <v:shape style="position:absolute;margin-left:394.471008pt;margin-top:56.990005pt;width:102.6pt;height:15.15pt;mso-position-horizontal-relative:page;mso-position-vertical-relative:page;z-index:-23446016" type="#_x0000_t202" id="docshape75" filled="false" stroked="false">
              <v:textbox inset="0,0,0,0">
                <w:txbxContent>
                  <w:p>
                    <w:pPr>
                      <w:spacing w:before="12"/>
                      <w:ind w:left="20" w:right="0" w:firstLine="0"/>
                      <w:jc w:val="left"/>
                      <w:rPr>
                        <w:rFonts w:ascii="Cambria"/>
                        <w:i/>
                        <w:sz w:val="22"/>
                      </w:rPr>
                    </w:pPr>
                    <w:r>
                      <w:rPr>
                        <w:rFonts w:ascii="Cambria"/>
                        <w:i/>
                        <w:spacing w:val="-8"/>
                        <w:sz w:val="22"/>
                      </w:rPr>
                      <w:t>Data</w:t>
                    </w:r>
                    <w:r>
                      <w:rPr>
                        <w:rFonts w:ascii="Cambria"/>
                        <w:i/>
                        <w:spacing w:val="-4"/>
                        <w:sz w:val="22"/>
                      </w:rPr>
                      <w:t> </w:t>
                    </w:r>
                    <w:r>
                      <w:rPr>
                        <w:rFonts w:ascii="Cambria"/>
                        <w:i/>
                        <w:spacing w:val="-8"/>
                        <w:sz w:val="22"/>
                      </w:rPr>
                      <w:t>and</w:t>
                    </w:r>
                    <w:r>
                      <w:rPr>
                        <w:rFonts w:ascii="Cambria"/>
                        <w:i/>
                        <w:spacing w:val="-4"/>
                        <w:sz w:val="22"/>
                      </w:rPr>
                      <w:t> </w:t>
                    </w:r>
                    <w:r>
                      <w:rPr>
                        <w:rFonts w:ascii="Cambria"/>
                        <w:i/>
                        <w:spacing w:val="-8"/>
                        <w:sz w:val="22"/>
                      </w:rPr>
                      <w:t>Methodology</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70976">
              <wp:simplePos x="0" y="0"/>
              <wp:positionH relativeFrom="page">
                <wp:posOffset>1240370</wp:posOffset>
              </wp:positionH>
              <wp:positionV relativeFrom="page">
                <wp:posOffset>723773</wp:posOffset>
              </wp:positionV>
              <wp:extent cx="1753235" cy="192405"/>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1753235" cy="192405"/>
                      </a:xfrm>
                      <a:prstGeom prst="rect">
                        <a:avLst/>
                      </a:prstGeom>
                    </wps:spPr>
                    <wps:txbx>
                      <w:txbxContent>
                        <w:p>
                          <w:pPr>
                            <w:spacing w:before="12"/>
                            <w:ind w:left="20" w:right="0" w:firstLine="0"/>
                            <w:jc w:val="left"/>
                            <w:rPr>
                              <w:rFonts w:ascii="Cambria"/>
                              <w:i/>
                              <w:sz w:val="22"/>
                            </w:rPr>
                          </w:pPr>
                          <w:r>
                            <w:rPr>
                              <w:rFonts w:ascii="Cambria"/>
                              <w:i/>
                              <w:spacing w:val="-6"/>
                              <w:sz w:val="22"/>
                            </w:rPr>
                            <w:t>3.9</w:t>
                          </w:r>
                          <w:r>
                            <w:rPr>
                              <w:rFonts w:ascii="Cambria"/>
                              <w:i/>
                              <w:spacing w:val="2"/>
                              <w:sz w:val="22"/>
                            </w:rPr>
                            <w:t> </w:t>
                          </w:r>
                          <w:r>
                            <w:rPr>
                              <w:rFonts w:ascii="Cambria"/>
                              <w:i/>
                              <w:spacing w:val="-6"/>
                              <w:sz w:val="22"/>
                            </w:rPr>
                            <w:t>Formal</w:t>
                          </w:r>
                          <w:r>
                            <w:rPr>
                              <w:rFonts w:ascii="Cambria"/>
                              <w:i/>
                              <w:spacing w:val="2"/>
                              <w:sz w:val="22"/>
                            </w:rPr>
                            <w:t> </w:t>
                          </w:r>
                          <w:r>
                            <w:rPr>
                              <w:rFonts w:ascii="Cambria"/>
                              <w:i/>
                              <w:spacing w:val="-6"/>
                              <w:sz w:val="22"/>
                            </w:rPr>
                            <w:t>Stationarity</w:t>
                          </w:r>
                          <w:r>
                            <w:rPr>
                              <w:rFonts w:ascii="Cambria"/>
                              <w:i/>
                              <w:spacing w:val="2"/>
                              <w:sz w:val="22"/>
                            </w:rPr>
                            <w:t> </w:t>
                          </w:r>
                          <w:r>
                            <w:rPr>
                              <w:rFonts w:ascii="Cambria"/>
                              <w:i/>
                              <w:spacing w:val="-6"/>
                              <w:sz w:val="22"/>
                            </w:rPr>
                            <w:t>Testing</w:t>
                          </w:r>
                        </w:p>
                      </w:txbxContent>
                    </wps:txbx>
                    <wps:bodyPr wrap="square" lIns="0" tIns="0" rIns="0" bIns="0" rtlCol="0">
                      <a:noAutofit/>
                    </wps:bodyPr>
                  </wps:wsp>
                </a:graphicData>
              </a:graphic>
            </wp:anchor>
          </w:drawing>
        </mc:Choice>
        <mc:Fallback>
          <w:pict>
            <v:shape style="position:absolute;margin-left:97.667pt;margin-top:56.990005pt;width:138.050pt;height:15.15pt;mso-position-horizontal-relative:page;mso-position-vertical-relative:page;z-index:-23445504" type="#_x0000_t202" id="docshape90" filled="false" stroked="false">
              <v:textbox inset="0,0,0,0">
                <w:txbxContent>
                  <w:p>
                    <w:pPr>
                      <w:spacing w:before="12"/>
                      <w:ind w:left="20" w:right="0" w:firstLine="0"/>
                      <w:jc w:val="left"/>
                      <w:rPr>
                        <w:rFonts w:ascii="Cambria"/>
                        <w:i/>
                        <w:sz w:val="22"/>
                      </w:rPr>
                    </w:pPr>
                    <w:r>
                      <w:rPr>
                        <w:rFonts w:ascii="Cambria"/>
                        <w:i/>
                        <w:spacing w:val="-6"/>
                        <w:sz w:val="22"/>
                      </w:rPr>
                      <w:t>3.9</w:t>
                    </w:r>
                    <w:r>
                      <w:rPr>
                        <w:rFonts w:ascii="Cambria"/>
                        <w:i/>
                        <w:spacing w:val="2"/>
                        <w:sz w:val="22"/>
                      </w:rPr>
                      <w:t> </w:t>
                    </w:r>
                    <w:r>
                      <w:rPr>
                        <w:rFonts w:ascii="Cambria"/>
                        <w:i/>
                        <w:spacing w:val="-6"/>
                        <w:sz w:val="22"/>
                      </w:rPr>
                      <w:t>Formal</w:t>
                    </w:r>
                    <w:r>
                      <w:rPr>
                        <w:rFonts w:ascii="Cambria"/>
                        <w:i/>
                        <w:spacing w:val="2"/>
                        <w:sz w:val="22"/>
                      </w:rPr>
                      <w:t> </w:t>
                    </w:r>
                    <w:r>
                      <w:rPr>
                        <w:rFonts w:ascii="Cambria"/>
                        <w:i/>
                        <w:spacing w:val="-6"/>
                        <w:sz w:val="22"/>
                      </w:rPr>
                      <w:t>Stationarity</w:t>
                    </w:r>
                    <w:r>
                      <w:rPr>
                        <w:rFonts w:ascii="Cambria"/>
                        <w:i/>
                        <w:spacing w:val="2"/>
                        <w:sz w:val="22"/>
                      </w:rPr>
                      <w:t> </w:t>
                    </w:r>
                    <w:r>
                      <w:rPr>
                        <w:rFonts w:ascii="Cambria"/>
                        <w:i/>
                        <w:spacing w:val="-6"/>
                        <w:sz w:val="22"/>
                      </w:rPr>
                      <w:t>Testing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79871488">
              <wp:simplePos x="0" y="0"/>
              <wp:positionH relativeFrom="page">
                <wp:posOffset>6483350</wp:posOffset>
              </wp:positionH>
              <wp:positionV relativeFrom="page">
                <wp:posOffset>723773</wp:posOffset>
              </wp:positionV>
              <wp:extent cx="227965" cy="19240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31</w:t>
                          </w:r>
                          <w:r>
                            <w:rPr>
                              <w:spacing w:val="-5"/>
                            </w:rPr>
                            <w:fldChar w:fldCharType="end"/>
                          </w:r>
                        </w:p>
                      </w:txbxContent>
                    </wps:txbx>
                    <wps:bodyPr wrap="square" lIns="0" tIns="0" rIns="0" bIns="0" rtlCol="0">
                      <a:noAutofit/>
                    </wps:bodyPr>
                  </wps:wsp>
                </a:graphicData>
              </a:graphic>
            </wp:anchor>
          </w:drawing>
        </mc:Choice>
        <mc:Fallback>
          <w:pict>
            <v:shape style="position:absolute;margin-left:510.5pt;margin-top:56.990005pt;width:17.95pt;height:15.15pt;mso-position-horizontal-relative:page;mso-position-vertical-relative:page;z-index:-23444992" type="#_x0000_t202" id="docshape91"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31</w:t>
                    </w:r>
                    <w:r>
                      <w:rPr>
                        <w:spacing w:val="-5"/>
                      </w:rPr>
                      <w:fldChar w:fldCharType="end"/>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72000">
              <wp:simplePos x="0" y="0"/>
              <wp:positionH relativeFrom="page">
                <wp:posOffset>861898</wp:posOffset>
              </wp:positionH>
              <wp:positionV relativeFrom="page">
                <wp:posOffset>723773</wp:posOffset>
              </wp:positionV>
              <wp:extent cx="227965" cy="192405"/>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32</w:t>
                          </w:r>
                          <w:r>
                            <w:rPr>
                              <w:spacing w:val="-5"/>
                            </w:rPr>
                            <w:fldChar w:fldCharType="end"/>
                          </w:r>
                        </w:p>
                      </w:txbxContent>
                    </wps:txbx>
                    <wps:bodyPr wrap="square" lIns="0" tIns="0" rIns="0" bIns="0" rtlCol="0">
                      <a:noAutofit/>
                    </wps:bodyPr>
                  </wps:wsp>
                </a:graphicData>
              </a:graphic>
            </wp:anchor>
          </w:drawing>
        </mc:Choice>
        <mc:Fallback>
          <w:pict>
            <v:shape style="position:absolute;margin-left:67.865997pt;margin-top:56.990005pt;width:17.95pt;height:15.15pt;mso-position-horizontal-relative:page;mso-position-vertical-relative:page;z-index:-23444480" type="#_x0000_t202" id="docshape92"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32</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872512">
              <wp:simplePos x="0" y="0"/>
              <wp:positionH relativeFrom="page">
                <wp:posOffset>5009781</wp:posOffset>
              </wp:positionH>
              <wp:positionV relativeFrom="page">
                <wp:posOffset>723773</wp:posOffset>
              </wp:positionV>
              <wp:extent cx="1303020" cy="19240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1303020" cy="192405"/>
                      </a:xfrm>
                      <a:prstGeom prst="rect">
                        <a:avLst/>
                      </a:prstGeom>
                    </wps:spPr>
                    <wps:txbx>
                      <w:txbxContent>
                        <w:p>
                          <w:pPr>
                            <w:spacing w:before="12"/>
                            <w:ind w:left="20" w:right="0" w:firstLine="0"/>
                            <w:jc w:val="left"/>
                            <w:rPr>
                              <w:rFonts w:ascii="Cambria"/>
                              <w:i/>
                              <w:sz w:val="22"/>
                            </w:rPr>
                          </w:pPr>
                          <w:r>
                            <w:rPr>
                              <w:rFonts w:ascii="Cambria"/>
                              <w:i/>
                              <w:spacing w:val="-8"/>
                              <w:sz w:val="22"/>
                            </w:rPr>
                            <w:t>Data</w:t>
                          </w:r>
                          <w:r>
                            <w:rPr>
                              <w:rFonts w:ascii="Cambria"/>
                              <w:i/>
                              <w:spacing w:val="-4"/>
                              <w:sz w:val="22"/>
                            </w:rPr>
                            <w:t> </w:t>
                          </w:r>
                          <w:r>
                            <w:rPr>
                              <w:rFonts w:ascii="Cambria"/>
                              <w:i/>
                              <w:spacing w:val="-8"/>
                              <w:sz w:val="22"/>
                            </w:rPr>
                            <w:t>and</w:t>
                          </w:r>
                          <w:r>
                            <w:rPr>
                              <w:rFonts w:ascii="Cambria"/>
                              <w:i/>
                              <w:spacing w:val="-4"/>
                              <w:sz w:val="22"/>
                            </w:rPr>
                            <w:t> </w:t>
                          </w:r>
                          <w:r>
                            <w:rPr>
                              <w:rFonts w:ascii="Cambria"/>
                              <w:i/>
                              <w:spacing w:val="-8"/>
                              <w:sz w:val="22"/>
                            </w:rPr>
                            <w:t>Methodology</w:t>
                          </w:r>
                        </w:p>
                      </w:txbxContent>
                    </wps:txbx>
                    <wps:bodyPr wrap="square" lIns="0" tIns="0" rIns="0" bIns="0" rtlCol="0">
                      <a:noAutofit/>
                    </wps:bodyPr>
                  </wps:wsp>
                </a:graphicData>
              </a:graphic>
            </wp:anchor>
          </w:drawing>
        </mc:Choice>
        <mc:Fallback>
          <w:pict>
            <v:shape style="position:absolute;margin-left:394.471008pt;margin-top:56.990005pt;width:102.6pt;height:15.15pt;mso-position-horizontal-relative:page;mso-position-vertical-relative:page;z-index:-23443968" type="#_x0000_t202" id="docshape93" filled="false" stroked="false">
              <v:textbox inset="0,0,0,0">
                <w:txbxContent>
                  <w:p>
                    <w:pPr>
                      <w:spacing w:before="12"/>
                      <w:ind w:left="20" w:right="0" w:firstLine="0"/>
                      <w:jc w:val="left"/>
                      <w:rPr>
                        <w:rFonts w:ascii="Cambria"/>
                        <w:i/>
                        <w:sz w:val="22"/>
                      </w:rPr>
                    </w:pPr>
                    <w:r>
                      <w:rPr>
                        <w:rFonts w:ascii="Cambria"/>
                        <w:i/>
                        <w:spacing w:val="-8"/>
                        <w:sz w:val="22"/>
                      </w:rPr>
                      <w:t>Data</w:t>
                    </w:r>
                    <w:r>
                      <w:rPr>
                        <w:rFonts w:ascii="Cambria"/>
                        <w:i/>
                        <w:spacing w:val="-4"/>
                        <w:sz w:val="22"/>
                      </w:rPr>
                      <w:t> </w:t>
                    </w:r>
                    <w:r>
                      <w:rPr>
                        <w:rFonts w:ascii="Cambria"/>
                        <w:i/>
                        <w:spacing w:val="-8"/>
                        <w:sz w:val="22"/>
                      </w:rPr>
                      <w:t>and</w:t>
                    </w:r>
                    <w:r>
                      <w:rPr>
                        <w:rFonts w:ascii="Cambria"/>
                        <w:i/>
                        <w:spacing w:val="-4"/>
                        <w:sz w:val="22"/>
                      </w:rPr>
                      <w:t> </w:t>
                    </w:r>
                    <w:r>
                      <w:rPr>
                        <w:rFonts w:ascii="Cambria"/>
                        <w:i/>
                        <w:spacing w:val="-8"/>
                        <w:sz w:val="22"/>
                      </w:rPr>
                      <w:t>Methodology</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73024">
              <wp:simplePos x="0" y="0"/>
              <wp:positionH relativeFrom="page">
                <wp:posOffset>1240370</wp:posOffset>
              </wp:positionH>
              <wp:positionV relativeFrom="page">
                <wp:posOffset>723773</wp:posOffset>
              </wp:positionV>
              <wp:extent cx="1037590" cy="192405"/>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037590" cy="192405"/>
                      </a:xfrm>
                      <a:prstGeom prst="rect">
                        <a:avLst/>
                      </a:prstGeom>
                    </wps:spPr>
                    <wps:txbx>
                      <w:txbxContent>
                        <w:p>
                          <w:pPr>
                            <w:spacing w:before="12"/>
                            <w:ind w:left="20" w:right="0" w:firstLine="0"/>
                            <w:jc w:val="left"/>
                            <w:rPr>
                              <w:rFonts w:ascii="Cambria"/>
                              <w:i/>
                              <w:sz w:val="22"/>
                            </w:rPr>
                          </w:pPr>
                          <w:r>
                            <w:rPr>
                              <w:rFonts w:ascii="Cambria"/>
                              <w:i/>
                              <w:spacing w:val="-4"/>
                              <w:sz w:val="22"/>
                            </w:rPr>
                            <w:t>3.10</w:t>
                          </w:r>
                          <w:r>
                            <w:rPr>
                              <w:rFonts w:ascii="Cambria"/>
                              <w:i/>
                              <w:spacing w:val="-5"/>
                              <w:sz w:val="22"/>
                            </w:rPr>
                            <w:t> </w:t>
                          </w:r>
                          <w:r>
                            <w:rPr>
                              <w:rFonts w:ascii="Cambria"/>
                              <w:i/>
                              <w:spacing w:val="-4"/>
                              <w:sz w:val="22"/>
                            </w:rPr>
                            <w:t>Data Sources</w:t>
                          </w:r>
                        </w:p>
                      </w:txbxContent>
                    </wps:txbx>
                    <wps:bodyPr wrap="square" lIns="0" tIns="0" rIns="0" bIns="0" rtlCol="0">
                      <a:noAutofit/>
                    </wps:bodyPr>
                  </wps:wsp>
                </a:graphicData>
              </a:graphic>
            </wp:anchor>
          </w:drawing>
        </mc:Choice>
        <mc:Fallback>
          <w:pict>
            <v:shape style="position:absolute;margin-left:97.667pt;margin-top:56.990005pt;width:81.7pt;height:15.15pt;mso-position-horizontal-relative:page;mso-position-vertical-relative:page;z-index:-23443456" type="#_x0000_t202" id="docshape102" filled="false" stroked="false">
              <v:textbox inset="0,0,0,0">
                <w:txbxContent>
                  <w:p>
                    <w:pPr>
                      <w:spacing w:before="12"/>
                      <w:ind w:left="20" w:right="0" w:firstLine="0"/>
                      <w:jc w:val="left"/>
                      <w:rPr>
                        <w:rFonts w:ascii="Cambria"/>
                        <w:i/>
                        <w:sz w:val="22"/>
                      </w:rPr>
                    </w:pPr>
                    <w:r>
                      <w:rPr>
                        <w:rFonts w:ascii="Cambria"/>
                        <w:i/>
                        <w:spacing w:val="-4"/>
                        <w:sz w:val="22"/>
                      </w:rPr>
                      <w:t>3.10</w:t>
                    </w:r>
                    <w:r>
                      <w:rPr>
                        <w:rFonts w:ascii="Cambria"/>
                        <w:i/>
                        <w:spacing w:val="-5"/>
                        <w:sz w:val="22"/>
                      </w:rPr>
                      <w:t> </w:t>
                    </w:r>
                    <w:r>
                      <w:rPr>
                        <w:rFonts w:ascii="Cambria"/>
                        <w:i/>
                        <w:spacing w:val="-4"/>
                        <w:sz w:val="22"/>
                      </w:rPr>
                      <w:t>Data Sources</w:t>
                    </w:r>
                  </w:p>
                </w:txbxContent>
              </v:textbox>
              <w10:wrap type="none"/>
            </v:shape>
          </w:pict>
        </mc:Fallback>
      </mc:AlternateContent>
    </w:r>
    <w:r>
      <w:rPr>
        <w:sz w:val="20"/>
      </w:rPr>
      <mc:AlternateContent>
        <mc:Choice Requires="wps">
          <w:drawing>
            <wp:anchor distT="0" distB="0" distL="0" distR="0" allowOverlap="1" layoutInCell="1" locked="0" behindDoc="1" simplePos="0" relativeHeight="479873536">
              <wp:simplePos x="0" y="0"/>
              <wp:positionH relativeFrom="page">
                <wp:posOffset>6483350</wp:posOffset>
              </wp:positionH>
              <wp:positionV relativeFrom="page">
                <wp:posOffset>723773</wp:posOffset>
              </wp:positionV>
              <wp:extent cx="227965" cy="192405"/>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33</w:t>
                          </w:r>
                          <w:r>
                            <w:rPr>
                              <w:spacing w:val="-5"/>
                            </w:rPr>
                            <w:fldChar w:fldCharType="end"/>
                          </w:r>
                        </w:p>
                      </w:txbxContent>
                    </wps:txbx>
                    <wps:bodyPr wrap="square" lIns="0" tIns="0" rIns="0" bIns="0" rtlCol="0">
                      <a:noAutofit/>
                    </wps:bodyPr>
                  </wps:wsp>
                </a:graphicData>
              </a:graphic>
            </wp:anchor>
          </w:drawing>
        </mc:Choice>
        <mc:Fallback>
          <w:pict>
            <v:shape style="position:absolute;margin-left:510.5pt;margin-top:56.990005pt;width:17.95pt;height:15.15pt;mso-position-horizontal-relative:page;mso-position-vertical-relative:page;z-index:-23442944" type="#_x0000_t202" id="docshape103"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33</w:t>
                    </w:r>
                    <w:r>
                      <w:rPr>
                        <w:spacing w:val="-5"/>
                      </w:rPr>
                      <w:fldChar w:fldCharType="end"/>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74048">
              <wp:simplePos x="0" y="0"/>
              <wp:positionH relativeFrom="page">
                <wp:posOffset>861898</wp:posOffset>
              </wp:positionH>
              <wp:positionV relativeFrom="page">
                <wp:posOffset>723773</wp:posOffset>
              </wp:positionV>
              <wp:extent cx="227965" cy="192405"/>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34</w:t>
                          </w:r>
                          <w:r>
                            <w:rPr>
                              <w:spacing w:val="-5"/>
                            </w:rPr>
                            <w:fldChar w:fldCharType="end"/>
                          </w:r>
                        </w:p>
                      </w:txbxContent>
                    </wps:txbx>
                    <wps:bodyPr wrap="square" lIns="0" tIns="0" rIns="0" bIns="0" rtlCol="0">
                      <a:noAutofit/>
                    </wps:bodyPr>
                  </wps:wsp>
                </a:graphicData>
              </a:graphic>
            </wp:anchor>
          </w:drawing>
        </mc:Choice>
        <mc:Fallback>
          <w:pict>
            <v:shape style="position:absolute;margin-left:67.865997pt;margin-top:56.990005pt;width:17.95pt;height:15.15pt;mso-position-horizontal-relative:page;mso-position-vertical-relative:page;z-index:-23442432" type="#_x0000_t202" id="docshape104"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34</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874560">
              <wp:simplePos x="0" y="0"/>
              <wp:positionH relativeFrom="page">
                <wp:posOffset>5009781</wp:posOffset>
              </wp:positionH>
              <wp:positionV relativeFrom="page">
                <wp:posOffset>723773</wp:posOffset>
              </wp:positionV>
              <wp:extent cx="1303020" cy="19240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1303020" cy="192405"/>
                      </a:xfrm>
                      <a:prstGeom prst="rect">
                        <a:avLst/>
                      </a:prstGeom>
                    </wps:spPr>
                    <wps:txbx>
                      <w:txbxContent>
                        <w:p>
                          <w:pPr>
                            <w:spacing w:before="12"/>
                            <w:ind w:left="20" w:right="0" w:firstLine="0"/>
                            <w:jc w:val="left"/>
                            <w:rPr>
                              <w:rFonts w:ascii="Cambria"/>
                              <w:i/>
                              <w:sz w:val="22"/>
                            </w:rPr>
                          </w:pPr>
                          <w:r>
                            <w:rPr>
                              <w:rFonts w:ascii="Cambria"/>
                              <w:i/>
                              <w:spacing w:val="-8"/>
                              <w:sz w:val="22"/>
                            </w:rPr>
                            <w:t>Data</w:t>
                          </w:r>
                          <w:r>
                            <w:rPr>
                              <w:rFonts w:ascii="Cambria"/>
                              <w:i/>
                              <w:spacing w:val="-4"/>
                              <w:sz w:val="22"/>
                            </w:rPr>
                            <w:t> </w:t>
                          </w:r>
                          <w:r>
                            <w:rPr>
                              <w:rFonts w:ascii="Cambria"/>
                              <w:i/>
                              <w:spacing w:val="-8"/>
                              <w:sz w:val="22"/>
                            </w:rPr>
                            <w:t>and</w:t>
                          </w:r>
                          <w:r>
                            <w:rPr>
                              <w:rFonts w:ascii="Cambria"/>
                              <w:i/>
                              <w:spacing w:val="-4"/>
                              <w:sz w:val="22"/>
                            </w:rPr>
                            <w:t> </w:t>
                          </w:r>
                          <w:r>
                            <w:rPr>
                              <w:rFonts w:ascii="Cambria"/>
                              <w:i/>
                              <w:spacing w:val="-8"/>
                              <w:sz w:val="22"/>
                            </w:rPr>
                            <w:t>Methodology</w:t>
                          </w:r>
                        </w:p>
                      </w:txbxContent>
                    </wps:txbx>
                    <wps:bodyPr wrap="square" lIns="0" tIns="0" rIns="0" bIns="0" rtlCol="0">
                      <a:noAutofit/>
                    </wps:bodyPr>
                  </wps:wsp>
                </a:graphicData>
              </a:graphic>
            </wp:anchor>
          </w:drawing>
        </mc:Choice>
        <mc:Fallback>
          <w:pict>
            <v:shape style="position:absolute;margin-left:394.471008pt;margin-top:56.990005pt;width:102.6pt;height:15.15pt;mso-position-horizontal-relative:page;mso-position-vertical-relative:page;z-index:-23441920" type="#_x0000_t202" id="docshape105" filled="false" stroked="false">
              <v:textbox inset="0,0,0,0">
                <w:txbxContent>
                  <w:p>
                    <w:pPr>
                      <w:spacing w:before="12"/>
                      <w:ind w:left="20" w:right="0" w:firstLine="0"/>
                      <w:jc w:val="left"/>
                      <w:rPr>
                        <w:rFonts w:ascii="Cambria"/>
                        <w:i/>
                        <w:sz w:val="22"/>
                      </w:rPr>
                    </w:pPr>
                    <w:r>
                      <w:rPr>
                        <w:rFonts w:ascii="Cambria"/>
                        <w:i/>
                        <w:spacing w:val="-8"/>
                        <w:sz w:val="22"/>
                      </w:rPr>
                      <w:t>Data</w:t>
                    </w:r>
                    <w:r>
                      <w:rPr>
                        <w:rFonts w:ascii="Cambria"/>
                        <w:i/>
                        <w:spacing w:val="-4"/>
                        <w:sz w:val="22"/>
                      </w:rPr>
                      <w:t> </w:t>
                    </w:r>
                    <w:r>
                      <w:rPr>
                        <w:rFonts w:ascii="Cambria"/>
                        <w:i/>
                        <w:spacing w:val="-8"/>
                        <w:sz w:val="22"/>
                      </w:rPr>
                      <w:t>and</w:t>
                    </w:r>
                    <w:r>
                      <w:rPr>
                        <w:rFonts w:ascii="Cambria"/>
                        <w:i/>
                        <w:spacing w:val="-4"/>
                        <w:sz w:val="22"/>
                      </w:rPr>
                      <w:t> </w:t>
                    </w:r>
                    <w:r>
                      <w:rPr>
                        <w:rFonts w:ascii="Cambria"/>
                        <w:i/>
                        <w:spacing w:val="-8"/>
                        <w:sz w:val="22"/>
                      </w:rPr>
                      <w:t>Methodology</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75072">
              <wp:simplePos x="0" y="0"/>
              <wp:positionH relativeFrom="page">
                <wp:posOffset>1240370</wp:posOffset>
              </wp:positionH>
              <wp:positionV relativeFrom="page">
                <wp:posOffset>723773</wp:posOffset>
              </wp:positionV>
              <wp:extent cx="3731895" cy="192405"/>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3731895" cy="192405"/>
                      </a:xfrm>
                      <a:prstGeom prst="rect">
                        <a:avLst/>
                      </a:prstGeom>
                    </wps:spPr>
                    <wps:txbx>
                      <w:txbxContent>
                        <w:p>
                          <w:pPr>
                            <w:spacing w:before="12"/>
                            <w:ind w:left="20" w:right="0" w:firstLine="0"/>
                            <w:jc w:val="left"/>
                            <w:rPr>
                              <w:rFonts w:ascii="Cambria"/>
                              <w:i/>
                              <w:sz w:val="22"/>
                            </w:rPr>
                          </w:pPr>
                          <w:r>
                            <w:rPr>
                              <w:rFonts w:ascii="Cambria"/>
                              <w:i/>
                              <w:spacing w:val="-2"/>
                              <w:sz w:val="22"/>
                            </w:rPr>
                            <w:t>3.11</w:t>
                          </w:r>
                          <w:r>
                            <w:rPr>
                              <w:rFonts w:ascii="Cambria"/>
                              <w:i/>
                              <w:spacing w:val="-8"/>
                              <w:sz w:val="22"/>
                            </w:rPr>
                            <w:t> </w:t>
                          </w:r>
                          <w:r>
                            <w:rPr>
                              <w:rFonts w:ascii="Cambria"/>
                              <w:i/>
                              <w:spacing w:val="-2"/>
                              <w:sz w:val="22"/>
                            </w:rPr>
                            <w:t>Feature</w:t>
                          </w:r>
                          <w:r>
                            <w:rPr>
                              <w:rFonts w:ascii="Cambria"/>
                              <w:i/>
                              <w:spacing w:val="-8"/>
                              <w:sz w:val="22"/>
                            </w:rPr>
                            <w:t> </w:t>
                          </w:r>
                          <w:r>
                            <w:rPr>
                              <w:rFonts w:ascii="Cambria"/>
                              <w:i/>
                              <w:spacing w:val="-2"/>
                              <w:sz w:val="22"/>
                            </w:rPr>
                            <w:t>Engineering:</w:t>
                          </w:r>
                          <w:r>
                            <w:rPr>
                              <w:rFonts w:ascii="Cambria"/>
                              <w:i/>
                              <w:spacing w:val="2"/>
                              <w:sz w:val="22"/>
                            </w:rPr>
                            <w:t> </w:t>
                          </w:r>
                          <w:r>
                            <w:rPr>
                              <w:rFonts w:ascii="Cambria"/>
                              <w:i/>
                              <w:spacing w:val="-2"/>
                              <w:sz w:val="22"/>
                            </w:rPr>
                            <w:t>From</w:t>
                          </w:r>
                          <w:r>
                            <w:rPr>
                              <w:rFonts w:ascii="Cambria"/>
                              <w:i/>
                              <w:spacing w:val="-8"/>
                              <w:sz w:val="22"/>
                            </w:rPr>
                            <w:t> </w:t>
                          </w:r>
                          <w:r>
                            <w:rPr>
                              <w:rFonts w:ascii="Cambria"/>
                              <w:i/>
                              <w:spacing w:val="-2"/>
                              <w:sz w:val="22"/>
                            </w:rPr>
                            <w:t>Daily</w:t>
                          </w:r>
                          <w:r>
                            <w:rPr>
                              <w:rFonts w:ascii="Cambria"/>
                              <w:i/>
                              <w:spacing w:val="-8"/>
                              <w:sz w:val="22"/>
                            </w:rPr>
                            <w:t> </w:t>
                          </w:r>
                          <w:r>
                            <w:rPr>
                              <w:rFonts w:ascii="Cambria"/>
                              <w:i/>
                              <w:spacing w:val="-2"/>
                              <w:sz w:val="22"/>
                            </w:rPr>
                            <w:t>Records</w:t>
                          </w:r>
                          <w:r>
                            <w:rPr>
                              <w:rFonts w:ascii="Cambria"/>
                              <w:i/>
                              <w:spacing w:val="-8"/>
                              <w:sz w:val="22"/>
                            </w:rPr>
                            <w:t> </w:t>
                          </w:r>
                          <w:r>
                            <w:rPr>
                              <w:rFonts w:ascii="Cambria"/>
                              <w:i/>
                              <w:spacing w:val="-2"/>
                              <w:sz w:val="22"/>
                            </w:rPr>
                            <w:t>to</w:t>
                          </w:r>
                          <w:r>
                            <w:rPr>
                              <w:rFonts w:ascii="Cambria"/>
                              <w:i/>
                              <w:spacing w:val="-7"/>
                              <w:sz w:val="22"/>
                            </w:rPr>
                            <w:t> </w:t>
                          </w:r>
                          <w:r>
                            <w:rPr>
                              <w:rFonts w:ascii="Cambria"/>
                              <w:i/>
                              <w:spacing w:val="-2"/>
                              <w:sz w:val="22"/>
                            </w:rPr>
                            <w:t>Annual</w:t>
                          </w:r>
                          <w:r>
                            <w:rPr>
                              <w:rFonts w:ascii="Cambria"/>
                              <w:i/>
                              <w:spacing w:val="-8"/>
                              <w:sz w:val="22"/>
                            </w:rPr>
                            <w:t> </w:t>
                          </w:r>
                          <w:r>
                            <w:rPr>
                              <w:rFonts w:ascii="Cambria"/>
                              <w:i/>
                              <w:spacing w:val="-4"/>
                              <w:sz w:val="22"/>
                            </w:rPr>
                            <w:t>Features</w:t>
                          </w:r>
                        </w:p>
                      </w:txbxContent>
                    </wps:txbx>
                    <wps:bodyPr wrap="square" lIns="0" tIns="0" rIns="0" bIns="0" rtlCol="0">
                      <a:noAutofit/>
                    </wps:bodyPr>
                  </wps:wsp>
                </a:graphicData>
              </a:graphic>
            </wp:anchor>
          </w:drawing>
        </mc:Choice>
        <mc:Fallback>
          <w:pict>
            <v:shape style="position:absolute;margin-left:97.667pt;margin-top:56.990005pt;width:293.850pt;height:15.15pt;mso-position-horizontal-relative:page;mso-position-vertical-relative:page;z-index:-23441408" type="#_x0000_t202" id="docshape114" filled="false" stroked="false">
              <v:textbox inset="0,0,0,0">
                <w:txbxContent>
                  <w:p>
                    <w:pPr>
                      <w:spacing w:before="12"/>
                      <w:ind w:left="20" w:right="0" w:firstLine="0"/>
                      <w:jc w:val="left"/>
                      <w:rPr>
                        <w:rFonts w:ascii="Cambria"/>
                        <w:i/>
                        <w:sz w:val="22"/>
                      </w:rPr>
                    </w:pPr>
                    <w:r>
                      <w:rPr>
                        <w:rFonts w:ascii="Cambria"/>
                        <w:i/>
                        <w:spacing w:val="-2"/>
                        <w:sz w:val="22"/>
                      </w:rPr>
                      <w:t>3.11</w:t>
                    </w:r>
                    <w:r>
                      <w:rPr>
                        <w:rFonts w:ascii="Cambria"/>
                        <w:i/>
                        <w:spacing w:val="-8"/>
                        <w:sz w:val="22"/>
                      </w:rPr>
                      <w:t> </w:t>
                    </w:r>
                    <w:r>
                      <w:rPr>
                        <w:rFonts w:ascii="Cambria"/>
                        <w:i/>
                        <w:spacing w:val="-2"/>
                        <w:sz w:val="22"/>
                      </w:rPr>
                      <w:t>Feature</w:t>
                    </w:r>
                    <w:r>
                      <w:rPr>
                        <w:rFonts w:ascii="Cambria"/>
                        <w:i/>
                        <w:spacing w:val="-8"/>
                        <w:sz w:val="22"/>
                      </w:rPr>
                      <w:t> </w:t>
                    </w:r>
                    <w:r>
                      <w:rPr>
                        <w:rFonts w:ascii="Cambria"/>
                        <w:i/>
                        <w:spacing w:val="-2"/>
                        <w:sz w:val="22"/>
                      </w:rPr>
                      <w:t>Engineering:</w:t>
                    </w:r>
                    <w:r>
                      <w:rPr>
                        <w:rFonts w:ascii="Cambria"/>
                        <w:i/>
                        <w:spacing w:val="2"/>
                        <w:sz w:val="22"/>
                      </w:rPr>
                      <w:t> </w:t>
                    </w:r>
                    <w:r>
                      <w:rPr>
                        <w:rFonts w:ascii="Cambria"/>
                        <w:i/>
                        <w:spacing w:val="-2"/>
                        <w:sz w:val="22"/>
                      </w:rPr>
                      <w:t>From</w:t>
                    </w:r>
                    <w:r>
                      <w:rPr>
                        <w:rFonts w:ascii="Cambria"/>
                        <w:i/>
                        <w:spacing w:val="-8"/>
                        <w:sz w:val="22"/>
                      </w:rPr>
                      <w:t> </w:t>
                    </w:r>
                    <w:r>
                      <w:rPr>
                        <w:rFonts w:ascii="Cambria"/>
                        <w:i/>
                        <w:spacing w:val="-2"/>
                        <w:sz w:val="22"/>
                      </w:rPr>
                      <w:t>Daily</w:t>
                    </w:r>
                    <w:r>
                      <w:rPr>
                        <w:rFonts w:ascii="Cambria"/>
                        <w:i/>
                        <w:spacing w:val="-8"/>
                        <w:sz w:val="22"/>
                      </w:rPr>
                      <w:t> </w:t>
                    </w:r>
                    <w:r>
                      <w:rPr>
                        <w:rFonts w:ascii="Cambria"/>
                        <w:i/>
                        <w:spacing w:val="-2"/>
                        <w:sz w:val="22"/>
                      </w:rPr>
                      <w:t>Records</w:t>
                    </w:r>
                    <w:r>
                      <w:rPr>
                        <w:rFonts w:ascii="Cambria"/>
                        <w:i/>
                        <w:spacing w:val="-8"/>
                        <w:sz w:val="22"/>
                      </w:rPr>
                      <w:t> </w:t>
                    </w:r>
                    <w:r>
                      <w:rPr>
                        <w:rFonts w:ascii="Cambria"/>
                        <w:i/>
                        <w:spacing w:val="-2"/>
                        <w:sz w:val="22"/>
                      </w:rPr>
                      <w:t>to</w:t>
                    </w:r>
                    <w:r>
                      <w:rPr>
                        <w:rFonts w:ascii="Cambria"/>
                        <w:i/>
                        <w:spacing w:val="-7"/>
                        <w:sz w:val="22"/>
                      </w:rPr>
                      <w:t> </w:t>
                    </w:r>
                    <w:r>
                      <w:rPr>
                        <w:rFonts w:ascii="Cambria"/>
                        <w:i/>
                        <w:spacing w:val="-2"/>
                        <w:sz w:val="22"/>
                      </w:rPr>
                      <w:t>Annual</w:t>
                    </w:r>
                    <w:r>
                      <w:rPr>
                        <w:rFonts w:ascii="Cambria"/>
                        <w:i/>
                        <w:spacing w:val="-8"/>
                        <w:sz w:val="22"/>
                      </w:rPr>
                      <w:t> </w:t>
                    </w:r>
                    <w:r>
                      <w:rPr>
                        <w:rFonts w:ascii="Cambria"/>
                        <w:i/>
                        <w:spacing w:val="-4"/>
                        <w:sz w:val="22"/>
                      </w:rPr>
                      <w:t>Features</w:t>
                    </w:r>
                  </w:p>
                </w:txbxContent>
              </v:textbox>
              <w10:wrap type="none"/>
            </v:shape>
          </w:pict>
        </mc:Fallback>
      </mc:AlternateContent>
    </w:r>
    <w:r>
      <w:rPr>
        <w:sz w:val="20"/>
      </w:rPr>
      <mc:AlternateContent>
        <mc:Choice Requires="wps">
          <w:drawing>
            <wp:anchor distT="0" distB="0" distL="0" distR="0" allowOverlap="1" layoutInCell="1" locked="0" behindDoc="1" simplePos="0" relativeHeight="479875584">
              <wp:simplePos x="0" y="0"/>
              <wp:positionH relativeFrom="page">
                <wp:posOffset>6483350</wp:posOffset>
              </wp:positionH>
              <wp:positionV relativeFrom="page">
                <wp:posOffset>723773</wp:posOffset>
              </wp:positionV>
              <wp:extent cx="227965" cy="192405"/>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35</w:t>
                          </w:r>
                          <w:r>
                            <w:rPr>
                              <w:spacing w:val="-5"/>
                            </w:rPr>
                            <w:fldChar w:fldCharType="end"/>
                          </w:r>
                        </w:p>
                      </w:txbxContent>
                    </wps:txbx>
                    <wps:bodyPr wrap="square" lIns="0" tIns="0" rIns="0" bIns="0" rtlCol="0">
                      <a:noAutofit/>
                    </wps:bodyPr>
                  </wps:wsp>
                </a:graphicData>
              </a:graphic>
            </wp:anchor>
          </w:drawing>
        </mc:Choice>
        <mc:Fallback>
          <w:pict>
            <v:shape style="position:absolute;margin-left:510.5pt;margin-top:56.990005pt;width:17.95pt;height:15.15pt;mso-position-horizontal-relative:page;mso-position-vertical-relative:page;z-index:-23440896" type="#_x0000_t202" id="docshape115"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35</w:t>
                    </w:r>
                    <w:r>
                      <w:rPr>
                        <w:spacing w:val="-5"/>
                      </w:rPr>
                      <w:fldChar w:fldCharType="end"/>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76096">
              <wp:simplePos x="0" y="0"/>
              <wp:positionH relativeFrom="page">
                <wp:posOffset>861898</wp:posOffset>
              </wp:positionH>
              <wp:positionV relativeFrom="page">
                <wp:posOffset>723773</wp:posOffset>
              </wp:positionV>
              <wp:extent cx="227965" cy="192405"/>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wps:txbx>
                    <wps:bodyPr wrap="square" lIns="0" tIns="0" rIns="0" bIns="0" rtlCol="0">
                      <a:noAutofit/>
                    </wps:bodyPr>
                  </wps:wsp>
                </a:graphicData>
              </a:graphic>
            </wp:anchor>
          </w:drawing>
        </mc:Choice>
        <mc:Fallback>
          <w:pict>
            <v:shape style="position:absolute;margin-left:67.865997pt;margin-top:56.990005pt;width:17.95pt;height:15.15pt;mso-position-horizontal-relative:page;mso-position-vertical-relative:page;z-index:-23440384" type="#_x0000_t202" id="docshape116"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876608">
              <wp:simplePos x="0" y="0"/>
              <wp:positionH relativeFrom="page">
                <wp:posOffset>5009781</wp:posOffset>
              </wp:positionH>
              <wp:positionV relativeFrom="page">
                <wp:posOffset>723773</wp:posOffset>
              </wp:positionV>
              <wp:extent cx="1303020" cy="192405"/>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1303020" cy="192405"/>
                      </a:xfrm>
                      <a:prstGeom prst="rect">
                        <a:avLst/>
                      </a:prstGeom>
                    </wps:spPr>
                    <wps:txbx>
                      <w:txbxContent>
                        <w:p>
                          <w:pPr>
                            <w:spacing w:before="12"/>
                            <w:ind w:left="20" w:right="0" w:firstLine="0"/>
                            <w:jc w:val="left"/>
                            <w:rPr>
                              <w:rFonts w:ascii="Cambria"/>
                              <w:i/>
                              <w:sz w:val="22"/>
                            </w:rPr>
                          </w:pPr>
                          <w:r>
                            <w:rPr>
                              <w:rFonts w:ascii="Cambria"/>
                              <w:i/>
                              <w:spacing w:val="-8"/>
                              <w:sz w:val="22"/>
                            </w:rPr>
                            <w:t>Data</w:t>
                          </w:r>
                          <w:r>
                            <w:rPr>
                              <w:rFonts w:ascii="Cambria"/>
                              <w:i/>
                              <w:spacing w:val="-4"/>
                              <w:sz w:val="22"/>
                            </w:rPr>
                            <w:t> </w:t>
                          </w:r>
                          <w:r>
                            <w:rPr>
                              <w:rFonts w:ascii="Cambria"/>
                              <w:i/>
                              <w:spacing w:val="-8"/>
                              <w:sz w:val="22"/>
                            </w:rPr>
                            <w:t>and</w:t>
                          </w:r>
                          <w:r>
                            <w:rPr>
                              <w:rFonts w:ascii="Cambria"/>
                              <w:i/>
                              <w:spacing w:val="-4"/>
                              <w:sz w:val="22"/>
                            </w:rPr>
                            <w:t> </w:t>
                          </w:r>
                          <w:r>
                            <w:rPr>
                              <w:rFonts w:ascii="Cambria"/>
                              <w:i/>
                              <w:spacing w:val="-8"/>
                              <w:sz w:val="22"/>
                            </w:rPr>
                            <w:t>Methodology</w:t>
                          </w:r>
                        </w:p>
                      </w:txbxContent>
                    </wps:txbx>
                    <wps:bodyPr wrap="square" lIns="0" tIns="0" rIns="0" bIns="0" rtlCol="0">
                      <a:noAutofit/>
                    </wps:bodyPr>
                  </wps:wsp>
                </a:graphicData>
              </a:graphic>
            </wp:anchor>
          </w:drawing>
        </mc:Choice>
        <mc:Fallback>
          <w:pict>
            <v:shape style="position:absolute;margin-left:394.471008pt;margin-top:56.990005pt;width:102.6pt;height:15.15pt;mso-position-horizontal-relative:page;mso-position-vertical-relative:page;z-index:-23439872" type="#_x0000_t202" id="docshape117" filled="false" stroked="false">
              <v:textbox inset="0,0,0,0">
                <w:txbxContent>
                  <w:p>
                    <w:pPr>
                      <w:spacing w:before="12"/>
                      <w:ind w:left="20" w:right="0" w:firstLine="0"/>
                      <w:jc w:val="left"/>
                      <w:rPr>
                        <w:rFonts w:ascii="Cambria"/>
                        <w:i/>
                        <w:sz w:val="22"/>
                      </w:rPr>
                    </w:pPr>
                    <w:r>
                      <w:rPr>
                        <w:rFonts w:ascii="Cambria"/>
                        <w:i/>
                        <w:spacing w:val="-8"/>
                        <w:sz w:val="22"/>
                      </w:rPr>
                      <w:t>Data</w:t>
                    </w:r>
                    <w:r>
                      <w:rPr>
                        <w:rFonts w:ascii="Cambria"/>
                        <w:i/>
                        <w:spacing w:val="-4"/>
                        <w:sz w:val="22"/>
                      </w:rPr>
                      <w:t> </w:t>
                    </w:r>
                    <w:r>
                      <w:rPr>
                        <w:rFonts w:ascii="Cambria"/>
                        <w:i/>
                        <w:spacing w:val="-8"/>
                        <w:sz w:val="22"/>
                      </w:rPr>
                      <w:t>and</w:t>
                    </w:r>
                    <w:r>
                      <w:rPr>
                        <w:rFonts w:ascii="Cambria"/>
                        <w:i/>
                        <w:spacing w:val="-4"/>
                        <w:sz w:val="22"/>
                      </w:rPr>
                      <w:t> </w:t>
                    </w:r>
                    <w:r>
                      <w:rPr>
                        <w:rFonts w:ascii="Cambria"/>
                        <w:i/>
                        <w:spacing w:val="-8"/>
                        <w:sz w:val="22"/>
                      </w:rPr>
                      <w:t>Methodology</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77120">
              <wp:simplePos x="0" y="0"/>
              <wp:positionH relativeFrom="page">
                <wp:posOffset>1240370</wp:posOffset>
              </wp:positionH>
              <wp:positionV relativeFrom="page">
                <wp:posOffset>723773</wp:posOffset>
              </wp:positionV>
              <wp:extent cx="1626870" cy="192405"/>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1626870" cy="192405"/>
                      </a:xfrm>
                      <a:prstGeom prst="rect">
                        <a:avLst/>
                      </a:prstGeom>
                    </wps:spPr>
                    <wps:txbx>
                      <w:txbxContent>
                        <w:p>
                          <w:pPr>
                            <w:spacing w:before="12"/>
                            <w:ind w:left="20" w:right="0" w:firstLine="0"/>
                            <w:jc w:val="left"/>
                            <w:rPr>
                              <w:rFonts w:ascii="Cambria"/>
                              <w:i/>
                              <w:sz w:val="22"/>
                            </w:rPr>
                          </w:pPr>
                          <w:r>
                            <w:rPr>
                              <w:rFonts w:ascii="Cambria"/>
                              <w:i/>
                              <w:spacing w:val="-2"/>
                              <w:sz w:val="22"/>
                            </w:rPr>
                            <w:t>3.12</w:t>
                          </w:r>
                          <w:r>
                            <w:rPr>
                              <w:rFonts w:ascii="Cambria"/>
                              <w:i/>
                              <w:spacing w:val="-9"/>
                              <w:sz w:val="22"/>
                            </w:rPr>
                            <w:t> </w:t>
                          </w:r>
                          <w:r>
                            <w:rPr>
                              <w:rFonts w:ascii="Cambria"/>
                              <w:i/>
                              <w:spacing w:val="-2"/>
                              <w:sz w:val="22"/>
                            </w:rPr>
                            <w:t>Data</w:t>
                          </w:r>
                          <w:r>
                            <w:rPr>
                              <w:rFonts w:ascii="Cambria"/>
                              <w:i/>
                              <w:spacing w:val="-8"/>
                              <w:sz w:val="22"/>
                            </w:rPr>
                            <w:t> </w:t>
                          </w:r>
                          <w:r>
                            <w:rPr>
                              <w:rFonts w:ascii="Cambria"/>
                              <w:i/>
                              <w:spacing w:val="-2"/>
                              <w:sz w:val="22"/>
                            </w:rPr>
                            <w:t>Pipeline</w:t>
                          </w:r>
                          <w:r>
                            <w:rPr>
                              <w:rFonts w:ascii="Cambria"/>
                              <w:i/>
                              <w:spacing w:val="-8"/>
                              <w:sz w:val="22"/>
                            </w:rPr>
                            <w:t> </w:t>
                          </w:r>
                          <w:r>
                            <w:rPr>
                              <w:rFonts w:ascii="Cambria"/>
                              <w:i/>
                              <w:spacing w:val="-4"/>
                              <w:sz w:val="22"/>
                            </w:rPr>
                            <w:t>Summary</w:t>
                          </w:r>
                        </w:p>
                      </w:txbxContent>
                    </wps:txbx>
                    <wps:bodyPr wrap="square" lIns="0" tIns="0" rIns="0" bIns="0" rtlCol="0">
                      <a:noAutofit/>
                    </wps:bodyPr>
                  </wps:wsp>
                </a:graphicData>
              </a:graphic>
            </wp:anchor>
          </w:drawing>
        </mc:Choice>
        <mc:Fallback>
          <w:pict>
            <v:shape style="position:absolute;margin-left:97.667pt;margin-top:56.990005pt;width:128.1pt;height:15.15pt;mso-position-horizontal-relative:page;mso-position-vertical-relative:page;z-index:-23439360" type="#_x0000_t202" id="docshape120" filled="false" stroked="false">
              <v:textbox inset="0,0,0,0">
                <w:txbxContent>
                  <w:p>
                    <w:pPr>
                      <w:spacing w:before="12"/>
                      <w:ind w:left="20" w:right="0" w:firstLine="0"/>
                      <w:jc w:val="left"/>
                      <w:rPr>
                        <w:rFonts w:ascii="Cambria"/>
                        <w:i/>
                        <w:sz w:val="22"/>
                      </w:rPr>
                    </w:pPr>
                    <w:r>
                      <w:rPr>
                        <w:rFonts w:ascii="Cambria"/>
                        <w:i/>
                        <w:spacing w:val="-2"/>
                        <w:sz w:val="22"/>
                      </w:rPr>
                      <w:t>3.12</w:t>
                    </w:r>
                    <w:r>
                      <w:rPr>
                        <w:rFonts w:ascii="Cambria"/>
                        <w:i/>
                        <w:spacing w:val="-9"/>
                        <w:sz w:val="22"/>
                      </w:rPr>
                      <w:t> </w:t>
                    </w:r>
                    <w:r>
                      <w:rPr>
                        <w:rFonts w:ascii="Cambria"/>
                        <w:i/>
                        <w:spacing w:val="-2"/>
                        <w:sz w:val="22"/>
                      </w:rPr>
                      <w:t>Data</w:t>
                    </w:r>
                    <w:r>
                      <w:rPr>
                        <w:rFonts w:ascii="Cambria"/>
                        <w:i/>
                        <w:spacing w:val="-8"/>
                        <w:sz w:val="22"/>
                      </w:rPr>
                      <w:t> </w:t>
                    </w:r>
                    <w:r>
                      <w:rPr>
                        <w:rFonts w:ascii="Cambria"/>
                        <w:i/>
                        <w:spacing w:val="-2"/>
                        <w:sz w:val="22"/>
                      </w:rPr>
                      <w:t>Pipeline</w:t>
                    </w:r>
                    <w:r>
                      <w:rPr>
                        <w:rFonts w:ascii="Cambria"/>
                        <w:i/>
                        <w:spacing w:val="-8"/>
                        <w:sz w:val="22"/>
                      </w:rPr>
                      <w:t> </w:t>
                    </w:r>
                    <w:r>
                      <w:rPr>
                        <w:rFonts w:ascii="Cambria"/>
                        <w:i/>
                        <w:spacing w:val="-4"/>
                        <w:sz w:val="22"/>
                      </w:rPr>
                      <w:t>Summary</w:t>
                    </w:r>
                  </w:p>
                </w:txbxContent>
              </v:textbox>
              <w10:wrap type="none"/>
            </v:shape>
          </w:pict>
        </mc:Fallback>
      </mc:AlternateContent>
    </w:r>
    <w:r>
      <w:rPr>
        <w:sz w:val="20"/>
      </w:rPr>
      <mc:AlternateContent>
        <mc:Choice Requires="wps">
          <w:drawing>
            <wp:anchor distT="0" distB="0" distL="0" distR="0" allowOverlap="1" layoutInCell="1" locked="0" behindDoc="1" simplePos="0" relativeHeight="479877632">
              <wp:simplePos x="0" y="0"/>
              <wp:positionH relativeFrom="page">
                <wp:posOffset>6483350</wp:posOffset>
              </wp:positionH>
              <wp:positionV relativeFrom="page">
                <wp:posOffset>723773</wp:posOffset>
              </wp:positionV>
              <wp:extent cx="227965" cy="192405"/>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37</w:t>
                          </w:r>
                          <w:r>
                            <w:rPr>
                              <w:spacing w:val="-5"/>
                            </w:rPr>
                            <w:fldChar w:fldCharType="end"/>
                          </w:r>
                        </w:p>
                      </w:txbxContent>
                    </wps:txbx>
                    <wps:bodyPr wrap="square" lIns="0" tIns="0" rIns="0" bIns="0" rtlCol="0">
                      <a:noAutofit/>
                    </wps:bodyPr>
                  </wps:wsp>
                </a:graphicData>
              </a:graphic>
            </wp:anchor>
          </w:drawing>
        </mc:Choice>
        <mc:Fallback>
          <w:pict>
            <v:shape style="position:absolute;margin-left:510.5pt;margin-top:56.990005pt;width:17.95pt;height:15.15pt;mso-position-horizontal-relative:page;mso-position-vertical-relative:page;z-index:-23438848" type="#_x0000_t202" id="docshape121"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37</w:t>
                    </w:r>
                    <w:r>
                      <w:rPr>
                        <w:spacing w:val="-5"/>
                      </w:rPr>
                      <w:fldChar w:fldCharType="end"/>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78144">
              <wp:simplePos x="0" y="0"/>
              <wp:positionH relativeFrom="page">
                <wp:posOffset>861898</wp:posOffset>
              </wp:positionH>
              <wp:positionV relativeFrom="page">
                <wp:posOffset>723773</wp:posOffset>
              </wp:positionV>
              <wp:extent cx="227965" cy="19240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38</w:t>
                          </w:r>
                          <w:r>
                            <w:rPr>
                              <w:spacing w:val="-5"/>
                            </w:rPr>
                            <w:fldChar w:fldCharType="end"/>
                          </w:r>
                        </w:p>
                      </w:txbxContent>
                    </wps:txbx>
                    <wps:bodyPr wrap="square" lIns="0" tIns="0" rIns="0" bIns="0" rtlCol="0">
                      <a:noAutofit/>
                    </wps:bodyPr>
                  </wps:wsp>
                </a:graphicData>
              </a:graphic>
            </wp:anchor>
          </w:drawing>
        </mc:Choice>
        <mc:Fallback>
          <w:pict>
            <v:shape style="position:absolute;margin-left:67.865997pt;margin-top:56.990005pt;width:17.95pt;height:15.15pt;mso-position-horizontal-relative:page;mso-position-vertical-relative:page;z-index:-23438336" type="#_x0000_t202" id="docshape122"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38</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878656">
              <wp:simplePos x="0" y="0"/>
              <wp:positionH relativeFrom="page">
                <wp:posOffset>5009781</wp:posOffset>
              </wp:positionH>
              <wp:positionV relativeFrom="page">
                <wp:posOffset>723773</wp:posOffset>
              </wp:positionV>
              <wp:extent cx="1303020" cy="192405"/>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1303020" cy="192405"/>
                      </a:xfrm>
                      <a:prstGeom prst="rect">
                        <a:avLst/>
                      </a:prstGeom>
                    </wps:spPr>
                    <wps:txbx>
                      <w:txbxContent>
                        <w:p>
                          <w:pPr>
                            <w:spacing w:before="12"/>
                            <w:ind w:left="20" w:right="0" w:firstLine="0"/>
                            <w:jc w:val="left"/>
                            <w:rPr>
                              <w:rFonts w:ascii="Cambria"/>
                              <w:i/>
                              <w:sz w:val="22"/>
                            </w:rPr>
                          </w:pPr>
                          <w:r>
                            <w:rPr>
                              <w:rFonts w:ascii="Cambria"/>
                              <w:i/>
                              <w:spacing w:val="-8"/>
                              <w:sz w:val="22"/>
                            </w:rPr>
                            <w:t>Data</w:t>
                          </w:r>
                          <w:r>
                            <w:rPr>
                              <w:rFonts w:ascii="Cambria"/>
                              <w:i/>
                              <w:spacing w:val="-4"/>
                              <w:sz w:val="22"/>
                            </w:rPr>
                            <w:t> </w:t>
                          </w:r>
                          <w:r>
                            <w:rPr>
                              <w:rFonts w:ascii="Cambria"/>
                              <w:i/>
                              <w:spacing w:val="-8"/>
                              <w:sz w:val="22"/>
                            </w:rPr>
                            <w:t>and</w:t>
                          </w:r>
                          <w:r>
                            <w:rPr>
                              <w:rFonts w:ascii="Cambria"/>
                              <w:i/>
                              <w:spacing w:val="-4"/>
                              <w:sz w:val="22"/>
                            </w:rPr>
                            <w:t> </w:t>
                          </w:r>
                          <w:r>
                            <w:rPr>
                              <w:rFonts w:ascii="Cambria"/>
                              <w:i/>
                              <w:spacing w:val="-8"/>
                              <w:sz w:val="22"/>
                            </w:rPr>
                            <w:t>Methodology</w:t>
                          </w:r>
                        </w:p>
                      </w:txbxContent>
                    </wps:txbx>
                    <wps:bodyPr wrap="square" lIns="0" tIns="0" rIns="0" bIns="0" rtlCol="0">
                      <a:noAutofit/>
                    </wps:bodyPr>
                  </wps:wsp>
                </a:graphicData>
              </a:graphic>
            </wp:anchor>
          </w:drawing>
        </mc:Choice>
        <mc:Fallback>
          <w:pict>
            <v:shape style="position:absolute;margin-left:394.471008pt;margin-top:56.990005pt;width:102.6pt;height:15.15pt;mso-position-horizontal-relative:page;mso-position-vertical-relative:page;z-index:-23437824" type="#_x0000_t202" id="docshape123" filled="false" stroked="false">
              <v:textbox inset="0,0,0,0">
                <w:txbxContent>
                  <w:p>
                    <w:pPr>
                      <w:spacing w:before="12"/>
                      <w:ind w:left="20" w:right="0" w:firstLine="0"/>
                      <w:jc w:val="left"/>
                      <w:rPr>
                        <w:rFonts w:ascii="Cambria"/>
                        <w:i/>
                        <w:sz w:val="22"/>
                      </w:rPr>
                    </w:pPr>
                    <w:r>
                      <w:rPr>
                        <w:rFonts w:ascii="Cambria"/>
                        <w:i/>
                        <w:spacing w:val="-8"/>
                        <w:sz w:val="22"/>
                      </w:rPr>
                      <w:t>Data</w:t>
                    </w:r>
                    <w:r>
                      <w:rPr>
                        <w:rFonts w:ascii="Cambria"/>
                        <w:i/>
                        <w:spacing w:val="-4"/>
                        <w:sz w:val="22"/>
                      </w:rPr>
                      <w:t> </w:t>
                    </w:r>
                    <w:r>
                      <w:rPr>
                        <w:rFonts w:ascii="Cambria"/>
                        <w:i/>
                        <w:spacing w:val="-8"/>
                        <w:sz w:val="22"/>
                      </w:rPr>
                      <w:t>and</w:t>
                    </w:r>
                    <w:r>
                      <w:rPr>
                        <w:rFonts w:ascii="Cambria"/>
                        <w:i/>
                        <w:spacing w:val="-4"/>
                        <w:sz w:val="22"/>
                      </w:rPr>
                      <w:t> </w:t>
                    </w:r>
                    <w:r>
                      <w:rPr>
                        <w:rFonts w:ascii="Cambria"/>
                        <w:i/>
                        <w:spacing w:val="-8"/>
                        <w:sz w:val="22"/>
                      </w:rPr>
                      <w:t>Methodology</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79168">
              <wp:simplePos x="0" y="0"/>
              <wp:positionH relativeFrom="page">
                <wp:posOffset>857046</wp:posOffset>
              </wp:positionH>
              <wp:positionV relativeFrom="page">
                <wp:posOffset>723773</wp:posOffset>
              </wp:positionV>
              <wp:extent cx="227965" cy="192405"/>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40</w:t>
                          </w:r>
                          <w:r>
                            <w:rPr>
                              <w:spacing w:val="-5"/>
                            </w:rPr>
                            <w:fldChar w:fldCharType="end"/>
                          </w:r>
                        </w:p>
                      </w:txbxContent>
                    </wps:txbx>
                    <wps:bodyPr wrap="square" lIns="0" tIns="0" rIns="0" bIns="0" rtlCol="0">
                      <a:noAutofit/>
                    </wps:bodyPr>
                  </wps:wsp>
                </a:graphicData>
              </a:graphic>
            </wp:anchor>
          </w:drawing>
        </mc:Choice>
        <mc:Fallback>
          <w:pict>
            <v:shape style="position:absolute;margin-left:67.484001pt;margin-top:56.990005pt;width:17.95pt;height:15.15pt;mso-position-horizontal-relative:page;mso-position-vertical-relative:page;z-index:-23437312" type="#_x0000_t202" id="docshape124"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40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879680">
              <wp:simplePos x="0" y="0"/>
              <wp:positionH relativeFrom="page">
                <wp:posOffset>4482909</wp:posOffset>
              </wp:positionH>
              <wp:positionV relativeFrom="page">
                <wp:posOffset>723773</wp:posOffset>
              </wp:positionV>
              <wp:extent cx="1830070" cy="192405"/>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1830070" cy="192405"/>
                      </a:xfrm>
                      <a:prstGeom prst="rect">
                        <a:avLst/>
                      </a:prstGeom>
                    </wps:spPr>
                    <wps:txbx>
                      <w:txbxContent>
                        <w:p>
                          <w:pPr>
                            <w:spacing w:before="12"/>
                            <w:ind w:left="20" w:right="0" w:firstLine="0"/>
                            <w:jc w:val="left"/>
                            <w:rPr>
                              <w:rFonts w:ascii="Cambria"/>
                              <w:i/>
                              <w:sz w:val="22"/>
                            </w:rPr>
                          </w:pPr>
                          <w:r>
                            <w:rPr>
                              <w:rFonts w:ascii="Cambria"/>
                              <w:i/>
                              <w:sz w:val="22"/>
                            </w:rPr>
                            <w:t>Rule</w:t>
                          </w:r>
                          <w:r>
                            <w:rPr>
                              <w:rFonts w:ascii="Cambria"/>
                              <w:i/>
                              <w:spacing w:val="3"/>
                              <w:sz w:val="22"/>
                            </w:rPr>
                            <w:t> </w:t>
                          </w:r>
                          <w:r>
                            <w:rPr>
                              <w:rFonts w:ascii="Cambria"/>
                              <w:i/>
                              <w:sz w:val="22"/>
                            </w:rPr>
                            <w:t>Discovery</w:t>
                          </w:r>
                          <w:r>
                            <w:rPr>
                              <w:rFonts w:ascii="Cambria"/>
                              <w:i/>
                              <w:spacing w:val="4"/>
                              <w:sz w:val="22"/>
                            </w:rPr>
                            <w:t> </w:t>
                          </w:r>
                          <w:r>
                            <w:rPr>
                              <w:rFonts w:ascii="Cambria"/>
                              <w:i/>
                              <w:sz w:val="22"/>
                            </w:rPr>
                            <w:t>Results</w:t>
                          </w:r>
                          <w:r>
                            <w:rPr>
                              <w:rFonts w:ascii="Cambria"/>
                              <w:i/>
                              <w:spacing w:val="3"/>
                              <w:sz w:val="22"/>
                            </w:rPr>
                            <w:t> </w:t>
                          </w:r>
                          <w:r>
                            <w:rPr>
                              <w:rFonts w:ascii="Cambria"/>
                              <w:i/>
                              <w:sz w:val="22"/>
                            </w:rPr>
                            <w:t>(Goal</w:t>
                          </w:r>
                          <w:r>
                            <w:rPr>
                              <w:rFonts w:ascii="Cambria"/>
                              <w:i/>
                              <w:spacing w:val="4"/>
                              <w:sz w:val="22"/>
                            </w:rPr>
                            <w:t> </w:t>
                          </w:r>
                          <w:r>
                            <w:rPr>
                              <w:rFonts w:ascii="Cambria"/>
                              <w:i/>
                              <w:spacing w:val="-5"/>
                              <w:sz w:val="22"/>
                            </w:rPr>
                            <w:t>1)</w:t>
                          </w:r>
                        </w:p>
                      </w:txbxContent>
                    </wps:txbx>
                    <wps:bodyPr wrap="square" lIns="0" tIns="0" rIns="0" bIns="0" rtlCol="0">
                      <a:noAutofit/>
                    </wps:bodyPr>
                  </wps:wsp>
                </a:graphicData>
              </a:graphic>
            </wp:anchor>
          </w:drawing>
        </mc:Choice>
        <mc:Fallback>
          <w:pict>
            <v:shape style="position:absolute;margin-left:352.984985pt;margin-top:56.990005pt;width:144.1pt;height:15.15pt;mso-position-horizontal-relative:page;mso-position-vertical-relative:page;z-index:-23436800" type="#_x0000_t202" id="docshape125" filled="false" stroked="false">
              <v:textbox inset="0,0,0,0">
                <w:txbxContent>
                  <w:p>
                    <w:pPr>
                      <w:spacing w:before="12"/>
                      <w:ind w:left="20" w:right="0" w:firstLine="0"/>
                      <w:jc w:val="left"/>
                      <w:rPr>
                        <w:rFonts w:ascii="Cambria"/>
                        <w:i/>
                        <w:sz w:val="22"/>
                      </w:rPr>
                    </w:pPr>
                    <w:r>
                      <w:rPr>
                        <w:rFonts w:ascii="Cambria"/>
                        <w:i/>
                        <w:sz w:val="22"/>
                      </w:rPr>
                      <w:t>Rule</w:t>
                    </w:r>
                    <w:r>
                      <w:rPr>
                        <w:rFonts w:ascii="Cambria"/>
                        <w:i/>
                        <w:spacing w:val="3"/>
                        <w:sz w:val="22"/>
                      </w:rPr>
                      <w:t> </w:t>
                    </w:r>
                    <w:r>
                      <w:rPr>
                        <w:rFonts w:ascii="Cambria"/>
                        <w:i/>
                        <w:sz w:val="22"/>
                      </w:rPr>
                      <w:t>Discovery</w:t>
                    </w:r>
                    <w:r>
                      <w:rPr>
                        <w:rFonts w:ascii="Cambria"/>
                        <w:i/>
                        <w:spacing w:val="4"/>
                        <w:sz w:val="22"/>
                      </w:rPr>
                      <w:t> </w:t>
                    </w:r>
                    <w:r>
                      <w:rPr>
                        <w:rFonts w:ascii="Cambria"/>
                        <w:i/>
                        <w:sz w:val="22"/>
                      </w:rPr>
                      <w:t>Results</w:t>
                    </w:r>
                    <w:r>
                      <w:rPr>
                        <w:rFonts w:ascii="Cambria"/>
                        <w:i/>
                        <w:spacing w:val="3"/>
                        <w:sz w:val="22"/>
                      </w:rPr>
                      <w:t> </w:t>
                    </w:r>
                    <w:r>
                      <w:rPr>
                        <w:rFonts w:ascii="Cambria"/>
                        <w:i/>
                        <w:sz w:val="22"/>
                      </w:rPr>
                      <w:t>(Goal</w:t>
                    </w:r>
                    <w:r>
                      <w:rPr>
                        <w:rFonts w:ascii="Cambria"/>
                        <w:i/>
                        <w:spacing w:val="4"/>
                        <w:sz w:val="22"/>
                      </w:rPr>
                      <w:t> </w:t>
                    </w:r>
                    <w:r>
                      <w:rPr>
                        <w:rFonts w:ascii="Cambria"/>
                        <w:i/>
                        <w:spacing w:val="-5"/>
                        <w:sz w:val="22"/>
                      </w:rPr>
                      <w:t>1)</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80192">
              <wp:simplePos x="0" y="0"/>
              <wp:positionH relativeFrom="page">
                <wp:posOffset>1243838</wp:posOffset>
              </wp:positionH>
              <wp:positionV relativeFrom="page">
                <wp:posOffset>723773</wp:posOffset>
              </wp:positionV>
              <wp:extent cx="1847214" cy="192405"/>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1847214" cy="192405"/>
                      </a:xfrm>
                      <a:prstGeom prst="rect">
                        <a:avLst/>
                      </a:prstGeom>
                    </wps:spPr>
                    <wps:txbx>
                      <w:txbxContent>
                        <w:p>
                          <w:pPr>
                            <w:spacing w:before="12"/>
                            <w:ind w:left="20" w:right="0" w:firstLine="0"/>
                            <w:jc w:val="left"/>
                            <w:rPr>
                              <w:rFonts w:ascii="Cambria"/>
                              <w:i/>
                              <w:sz w:val="22"/>
                            </w:rPr>
                          </w:pPr>
                          <w:r>
                            <w:rPr>
                              <w:rFonts w:ascii="Cambria"/>
                              <w:i/>
                              <w:spacing w:val="-2"/>
                              <w:sz w:val="22"/>
                            </w:rPr>
                            <w:t>4.1</w:t>
                          </w:r>
                          <w:r>
                            <w:rPr>
                              <w:rFonts w:ascii="Cambria"/>
                              <w:i/>
                              <w:spacing w:val="-10"/>
                              <w:sz w:val="22"/>
                            </w:rPr>
                            <w:t> </w:t>
                          </w:r>
                          <w:r>
                            <w:rPr>
                              <w:rFonts w:ascii="Cambria"/>
                              <w:i/>
                              <w:spacing w:val="-2"/>
                              <w:sz w:val="22"/>
                            </w:rPr>
                            <w:t>CarenR:</w:t>
                          </w:r>
                          <w:r>
                            <w:rPr>
                              <w:rFonts w:ascii="Cambria"/>
                              <w:i/>
                              <w:spacing w:val="-10"/>
                              <w:sz w:val="22"/>
                            </w:rPr>
                            <w:t> </w:t>
                          </w:r>
                          <w:r>
                            <w:rPr>
                              <w:rFonts w:ascii="Cambria"/>
                              <w:i/>
                              <w:spacing w:val="-2"/>
                              <w:sz w:val="22"/>
                            </w:rPr>
                            <w:t>Distributional</w:t>
                          </w:r>
                          <w:r>
                            <w:rPr>
                              <w:rFonts w:ascii="Cambria"/>
                              <w:i/>
                              <w:spacing w:val="-10"/>
                              <w:sz w:val="22"/>
                            </w:rPr>
                            <w:t> </w:t>
                          </w:r>
                          <w:r>
                            <w:rPr>
                              <w:rFonts w:ascii="Cambria"/>
                              <w:i/>
                              <w:spacing w:val="-2"/>
                              <w:sz w:val="22"/>
                            </w:rPr>
                            <w:t>Rules</w:t>
                          </w:r>
                        </w:p>
                      </w:txbxContent>
                    </wps:txbx>
                    <wps:bodyPr wrap="square" lIns="0" tIns="0" rIns="0" bIns="0" rtlCol="0">
                      <a:noAutofit/>
                    </wps:bodyPr>
                  </wps:wsp>
                </a:graphicData>
              </a:graphic>
            </wp:anchor>
          </w:drawing>
        </mc:Choice>
        <mc:Fallback>
          <w:pict>
            <v:shape style="position:absolute;margin-left:97.940002pt;margin-top:56.990005pt;width:145.450pt;height:15.15pt;mso-position-horizontal-relative:page;mso-position-vertical-relative:page;z-index:-23436288" type="#_x0000_t202" id="docshape126" filled="false" stroked="false">
              <v:textbox inset="0,0,0,0">
                <w:txbxContent>
                  <w:p>
                    <w:pPr>
                      <w:spacing w:before="12"/>
                      <w:ind w:left="20" w:right="0" w:firstLine="0"/>
                      <w:jc w:val="left"/>
                      <w:rPr>
                        <w:rFonts w:ascii="Cambria"/>
                        <w:i/>
                        <w:sz w:val="22"/>
                      </w:rPr>
                    </w:pPr>
                    <w:r>
                      <w:rPr>
                        <w:rFonts w:ascii="Cambria"/>
                        <w:i/>
                        <w:spacing w:val="-2"/>
                        <w:sz w:val="22"/>
                      </w:rPr>
                      <w:t>4.1</w:t>
                    </w:r>
                    <w:r>
                      <w:rPr>
                        <w:rFonts w:ascii="Cambria"/>
                        <w:i/>
                        <w:spacing w:val="-10"/>
                        <w:sz w:val="22"/>
                      </w:rPr>
                      <w:t> </w:t>
                    </w:r>
                    <w:r>
                      <w:rPr>
                        <w:rFonts w:ascii="Cambria"/>
                        <w:i/>
                        <w:spacing w:val="-2"/>
                        <w:sz w:val="22"/>
                      </w:rPr>
                      <w:t>CarenR:</w:t>
                    </w:r>
                    <w:r>
                      <w:rPr>
                        <w:rFonts w:ascii="Cambria"/>
                        <w:i/>
                        <w:spacing w:val="-10"/>
                        <w:sz w:val="22"/>
                      </w:rPr>
                      <w:t> </w:t>
                    </w:r>
                    <w:r>
                      <w:rPr>
                        <w:rFonts w:ascii="Cambria"/>
                        <w:i/>
                        <w:spacing w:val="-2"/>
                        <w:sz w:val="22"/>
                      </w:rPr>
                      <w:t>Distributional</w:t>
                    </w:r>
                    <w:r>
                      <w:rPr>
                        <w:rFonts w:ascii="Cambria"/>
                        <w:i/>
                        <w:spacing w:val="-10"/>
                        <w:sz w:val="22"/>
                      </w:rPr>
                      <w:t> </w:t>
                    </w:r>
                    <w:r>
                      <w:rPr>
                        <w:rFonts w:ascii="Cambria"/>
                        <w:i/>
                        <w:spacing w:val="-2"/>
                        <w:sz w:val="22"/>
                      </w:rPr>
                      <w:t>Rules</w:t>
                    </w:r>
                  </w:p>
                </w:txbxContent>
              </v:textbox>
              <w10:wrap type="none"/>
            </v:shape>
          </w:pict>
        </mc:Fallback>
      </mc:AlternateContent>
    </w:r>
    <w:r>
      <w:rPr>
        <w:sz w:val="20"/>
      </w:rPr>
      <mc:AlternateContent>
        <mc:Choice Requires="wps">
          <w:drawing>
            <wp:anchor distT="0" distB="0" distL="0" distR="0" allowOverlap="1" layoutInCell="1" locked="0" behindDoc="1" simplePos="0" relativeHeight="479880704">
              <wp:simplePos x="0" y="0"/>
              <wp:positionH relativeFrom="page">
                <wp:posOffset>6508750</wp:posOffset>
              </wp:positionH>
              <wp:positionV relativeFrom="page">
                <wp:posOffset>723773</wp:posOffset>
              </wp:positionV>
              <wp:extent cx="164465" cy="192405"/>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164465" cy="192405"/>
                      </a:xfrm>
                      <a:prstGeom prst="rect">
                        <a:avLst/>
                      </a:prstGeom>
                    </wps:spPr>
                    <wps:txbx>
                      <w:txbxContent>
                        <w:p>
                          <w:pPr>
                            <w:pStyle w:val="BodyText"/>
                            <w:spacing w:before="16"/>
                            <w:ind w:left="20"/>
                          </w:pPr>
                          <w:r>
                            <w:rPr>
                              <w:spacing w:val="-5"/>
                            </w:rPr>
                            <w:t>41</w:t>
                          </w:r>
                        </w:p>
                      </w:txbxContent>
                    </wps:txbx>
                    <wps:bodyPr wrap="square" lIns="0" tIns="0" rIns="0" bIns="0" rtlCol="0">
                      <a:noAutofit/>
                    </wps:bodyPr>
                  </wps:wsp>
                </a:graphicData>
              </a:graphic>
            </wp:anchor>
          </w:drawing>
        </mc:Choice>
        <mc:Fallback>
          <w:pict>
            <v:shape style="position:absolute;margin-left:512.5pt;margin-top:56.990005pt;width:12.95pt;height:15.15pt;mso-position-horizontal-relative:page;mso-position-vertical-relative:page;z-index:-23435776" type="#_x0000_t202" id="docshape127" filled="false" stroked="false">
              <v:textbox inset="0,0,0,0">
                <w:txbxContent>
                  <w:p>
                    <w:pPr>
                      <w:pStyle w:val="BodyText"/>
                      <w:spacing w:before="16"/>
                      <w:ind w:left="20"/>
                    </w:pPr>
                    <w:r>
                      <w:rPr>
                        <w:spacing w:val="-5"/>
                      </w:rPr>
                      <w:t>41</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81216">
              <wp:simplePos x="0" y="0"/>
              <wp:positionH relativeFrom="page">
                <wp:posOffset>1243838</wp:posOffset>
              </wp:positionH>
              <wp:positionV relativeFrom="page">
                <wp:posOffset>723773</wp:posOffset>
              </wp:positionV>
              <wp:extent cx="1842770" cy="192405"/>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1842770" cy="192405"/>
                      </a:xfrm>
                      <a:prstGeom prst="rect">
                        <a:avLst/>
                      </a:prstGeom>
                    </wps:spPr>
                    <wps:txbx>
                      <w:txbxContent>
                        <w:p>
                          <w:pPr>
                            <w:spacing w:before="12"/>
                            <w:ind w:left="20" w:right="0" w:firstLine="0"/>
                            <w:jc w:val="left"/>
                            <w:rPr>
                              <w:rFonts w:ascii="Cambria"/>
                              <w:i/>
                              <w:sz w:val="22"/>
                            </w:rPr>
                          </w:pPr>
                          <w:r>
                            <w:rPr>
                              <w:rFonts w:ascii="Cambria"/>
                              <w:i/>
                              <w:sz w:val="22"/>
                            </w:rPr>
                            <w:t>4.3</w:t>
                          </w:r>
                          <w:r>
                            <w:rPr>
                              <w:rFonts w:ascii="Cambria"/>
                              <w:i/>
                              <w:spacing w:val="3"/>
                              <w:sz w:val="22"/>
                            </w:rPr>
                            <w:t> </w:t>
                          </w:r>
                          <w:r>
                            <w:rPr>
                              <w:rFonts w:ascii="Cambria"/>
                              <w:i/>
                              <w:sz w:val="22"/>
                            </w:rPr>
                            <w:t>RIPPER</w:t>
                          </w:r>
                          <w:r>
                            <w:rPr>
                              <w:rFonts w:ascii="Cambria"/>
                              <w:i/>
                              <w:spacing w:val="4"/>
                              <w:sz w:val="22"/>
                            </w:rPr>
                            <w:t> </w:t>
                          </w:r>
                          <w:r>
                            <w:rPr>
                              <w:rFonts w:ascii="Cambria"/>
                              <w:i/>
                              <w:sz w:val="22"/>
                            </w:rPr>
                            <w:t>Classification</w:t>
                          </w:r>
                          <w:r>
                            <w:rPr>
                              <w:rFonts w:ascii="Cambria"/>
                              <w:i/>
                              <w:spacing w:val="3"/>
                              <w:sz w:val="22"/>
                            </w:rPr>
                            <w:t> </w:t>
                          </w:r>
                          <w:r>
                            <w:rPr>
                              <w:rFonts w:ascii="Cambria"/>
                              <w:i/>
                              <w:spacing w:val="-2"/>
                              <w:sz w:val="22"/>
                            </w:rPr>
                            <w:t>Rules</w:t>
                          </w:r>
                        </w:p>
                      </w:txbxContent>
                    </wps:txbx>
                    <wps:bodyPr wrap="square" lIns="0" tIns="0" rIns="0" bIns="0" rtlCol="0">
                      <a:noAutofit/>
                    </wps:bodyPr>
                  </wps:wsp>
                </a:graphicData>
              </a:graphic>
            </wp:anchor>
          </w:drawing>
        </mc:Choice>
        <mc:Fallback>
          <w:pict>
            <v:shape style="position:absolute;margin-left:97.940002pt;margin-top:56.990005pt;width:145.1pt;height:15.15pt;mso-position-horizontal-relative:page;mso-position-vertical-relative:page;z-index:-23435264" type="#_x0000_t202" id="docshape131" filled="false" stroked="false">
              <v:textbox inset="0,0,0,0">
                <w:txbxContent>
                  <w:p>
                    <w:pPr>
                      <w:spacing w:before="12"/>
                      <w:ind w:left="20" w:right="0" w:firstLine="0"/>
                      <w:jc w:val="left"/>
                      <w:rPr>
                        <w:rFonts w:ascii="Cambria"/>
                        <w:i/>
                        <w:sz w:val="22"/>
                      </w:rPr>
                    </w:pPr>
                    <w:r>
                      <w:rPr>
                        <w:rFonts w:ascii="Cambria"/>
                        <w:i/>
                        <w:sz w:val="22"/>
                      </w:rPr>
                      <w:t>4.3</w:t>
                    </w:r>
                    <w:r>
                      <w:rPr>
                        <w:rFonts w:ascii="Cambria"/>
                        <w:i/>
                        <w:spacing w:val="3"/>
                        <w:sz w:val="22"/>
                      </w:rPr>
                      <w:t> </w:t>
                    </w:r>
                    <w:r>
                      <w:rPr>
                        <w:rFonts w:ascii="Cambria"/>
                        <w:i/>
                        <w:sz w:val="22"/>
                      </w:rPr>
                      <w:t>RIPPER</w:t>
                    </w:r>
                    <w:r>
                      <w:rPr>
                        <w:rFonts w:ascii="Cambria"/>
                        <w:i/>
                        <w:spacing w:val="4"/>
                        <w:sz w:val="22"/>
                      </w:rPr>
                      <w:t> </w:t>
                    </w:r>
                    <w:r>
                      <w:rPr>
                        <w:rFonts w:ascii="Cambria"/>
                        <w:i/>
                        <w:sz w:val="22"/>
                      </w:rPr>
                      <w:t>Classification</w:t>
                    </w:r>
                    <w:r>
                      <w:rPr>
                        <w:rFonts w:ascii="Cambria"/>
                        <w:i/>
                        <w:spacing w:val="3"/>
                        <w:sz w:val="22"/>
                      </w:rPr>
                      <w:t> </w:t>
                    </w:r>
                    <w:r>
                      <w:rPr>
                        <w:rFonts w:ascii="Cambria"/>
                        <w:i/>
                        <w:spacing w:val="-2"/>
                        <w:sz w:val="22"/>
                      </w:rPr>
                      <w:t>Rules</w:t>
                    </w:r>
                  </w:p>
                </w:txbxContent>
              </v:textbox>
              <w10:wrap type="none"/>
            </v:shape>
          </w:pict>
        </mc:Fallback>
      </mc:AlternateContent>
    </w:r>
    <w:r>
      <w:rPr>
        <w:sz w:val="20"/>
      </w:rPr>
      <mc:AlternateContent>
        <mc:Choice Requires="wps">
          <w:drawing>
            <wp:anchor distT="0" distB="0" distL="0" distR="0" allowOverlap="1" layoutInCell="1" locked="0" behindDoc="1" simplePos="0" relativeHeight="479881728">
              <wp:simplePos x="0" y="0"/>
              <wp:positionH relativeFrom="page">
                <wp:posOffset>6508750</wp:posOffset>
              </wp:positionH>
              <wp:positionV relativeFrom="page">
                <wp:posOffset>723773</wp:posOffset>
              </wp:positionV>
              <wp:extent cx="164465" cy="192405"/>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164465" cy="192405"/>
                      </a:xfrm>
                      <a:prstGeom prst="rect">
                        <a:avLst/>
                      </a:prstGeom>
                    </wps:spPr>
                    <wps:txbx>
                      <w:txbxContent>
                        <w:p>
                          <w:pPr>
                            <w:pStyle w:val="BodyText"/>
                            <w:spacing w:before="16"/>
                            <w:ind w:left="20"/>
                          </w:pPr>
                          <w:r>
                            <w:rPr>
                              <w:spacing w:val="-5"/>
                            </w:rPr>
                            <w:t>43</w:t>
                          </w:r>
                        </w:p>
                      </w:txbxContent>
                    </wps:txbx>
                    <wps:bodyPr wrap="square" lIns="0" tIns="0" rIns="0" bIns="0" rtlCol="0">
                      <a:noAutofit/>
                    </wps:bodyPr>
                  </wps:wsp>
                </a:graphicData>
              </a:graphic>
            </wp:anchor>
          </w:drawing>
        </mc:Choice>
        <mc:Fallback>
          <w:pict>
            <v:shape style="position:absolute;margin-left:512.5pt;margin-top:56.990005pt;width:12.95pt;height:15.15pt;mso-position-horizontal-relative:page;mso-position-vertical-relative:page;z-index:-23434752" type="#_x0000_t202" id="docshape132" filled="false" stroked="false">
              <v:textbox inset="0,0,0,0">
                <w:txbxContent>
                  <w:p>
                    <w:pPr>
                      <w:pStyle w:val="BodyText"/>
                      <w:spacing w:before="16"/>
                      <w:ind w:left="20"/>
                    </w:pPr>
                    <w:r>
                      <w:rPr>
                        <w:spacing w:val="-5"/>
                      </w:rPr>
                      <w:t>43</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82240">
              <wp:simplePos x="0" y="0"/>
              <wp:positionH relativeFrom="page">
                <wp:posOffset>857046</wp:posOffset>
              </wp:positionH>
              <wp:positionV relativeFrom="page">
                <wp:posOffset>723773</wp:posOffset>
              </wp:positionV>
              <wp:extent cx="227965" cy="192405"/>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44</w:t>
                          </w:r>
                          <w:r>
                            <w:rPr>
                              <w:spacing w:val="-5"/>
                            </w:rPr>
                            <w:fldChar w:fldCharType="end"/>
                          </w:r>
                        </w:p>
                      </w:txbxContent>
                    </wps:txbx>
                    <wps:bodyPr wrap="square" lIns="0" tIns="0" rIns="0" bIns="0" rtlCol="0">
                      <a:noAutofit/>
                    </wps:bodyPr>
                  </wps:wsp>
                </a:graphicData>
              </a:graphic>
            </wp:anchor>
          </w:drawing>
        </mc:Choice>
        <mc:Fallback>
          <w:pict>
            <v:shape style="position:absolute;margin-left:67.484001pt;margin-top:56.990005pt;width:17.95pt;height:15.15pt;mso-position-horizontal-relative:page;mso-position-vertical-relative:page;z-index:-23434240" type="#_x0000_t202" id="docshape133"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44</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882752">
              <wp:simplePos x="0" y="0"/>
              <wp:positionH relativeFrom="page">
                <wp:posOffset>4482909</wp:posOffset>
              </wp:positionH>
              <wp:positionV relativeFrom="page">
                <wp:posOffset>723773</wp:posOffset>
              </wp:positionV>
              <wp:extent cx="1830070" cy="192405"/>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1830070" cy="192405"/>
                      </a:xfrm>
                      <a:prstGeom prst="rect">
                        <a:avLst/>
                      </a:prstGeom>
                    </wps:spPr>
                    <wps:txbx>
                      <w:txbxContent>
                        <w:p>
                          <w:pPr>
                            <w:spacing w:before="12"/>
                            <w:ind w:left="20" w:right="0" w:firstLine="0"/>
                            <w:jc w:val="left"/>
                            <w:rPr>
                              <w:rFonts w:ascii="Cambria"/>
                              <w:i/>
                              <w:sz w:val="22"/>
                            </w:rPr>
                          </w:pPr>
                          <w:r>
                            <w:rPr>
                              <w:rFonts w:ascii="Cambria"/>
                              <w:i/>
                              <w:sz w:val="22"/>
                            </w:rPr>
                            <w:t>Rule</w:t>
                          </w:r>
                          <w:r>
                            <w:rPr>
                              <w:rFonts w:ascii="Cambria"/>
                              <w:i/>
                              <w:spacing w:val="3"/>
                              <w:sz w:val="22"/>
                            </w:rPr>
                            <w:t> </w:t>
                          </w:r>
                          <w:r>
                            <w:rPr>
                              <w:rFonts w:ascii="Cambria"/>
                              <w:i/>
                              <w:sz w:val="22"/>
                            </w:rPr>
                            <w:t>Discovery</w:t>
                          </w:r>
                          <w:r>
                            <w:rPr>
                              <w:rFonts w:ascii="Cambria"/>
                              <w:i/>
                              <w:spacing w:val="4"/>
                              <w:sz w:val="22"/>
                            </w:rPr>
                            <w:t> </w:t>
                          </w:r>
                          <w:r>
                            <w:rPr>
                              <w:rFonts w:ascii="Cambria"/>
                              <w:i/>
                              <w:sz w:val="22"/>
                            </w:rPr>
                            <w:t>Results</w:t>
                          </w:r>
                          <w:r>
                            <w:rPr>
                              <w:rFonts w:ascii="Cambria"/>
                              <w:i/>
                              <w:spacing w:val="3"/>
                              <w:sz w:val="22"/>
                            </w:rPr>
                            <w:t> </w:t>
                          </w:r>
                          <w:r>
                            <w:rPr>
                              <w:rFonts w:ascii="Cambria"/>
                              <w:i/>
                              <w:sz w:val="22"/>
                            </w:rPr>
                            <w:t>(Goal</w:t>
                          </w:r>
                          <w:r>
                            <w:rPr>
                              <w:rFonts w:ascii="Cambria"/>
                              <w:i/>
                              <w:spacing w:val="4"/>
                              <w:sz w:val="22"/>
                            </w:rPr>
                            <w:t> </w:t>
                          </w:r>
                          <w:r>
                            <w:rPr>
                              <w:rFonts w:ascii="Cambria"/>
                              <w:i/>
                              <w:spacing w:val="-5"/>
                              <w:sz w:val="22"/>
                            </w:rPr>
                            <w:t>1)</w:t>
                          </w:r>
                        </w:p>
                      </w:txbxContent>
                    </wps:txbx>
                    <wps:bodyPr wrap="square" lIns="0" tIns="0" rIns="0" bIns="0" rtlCol="0">
                      <a:noAutofit/>
                    </wps:bodyPr>
                  </wps:wsp>
                </a:graphicData>
              </a:graphic>
            </wp:anchor>
          </w:drawing>
        </mc:Choice>
        <mc:Fallback>
          <w:pict>
            <v:shape style="position:absolute;margin-left:352.984985pt;margin-top:56.990005pt;width:144.1pt;height:15.15pt;mso-position-horizontal-relative:page;mso-position-vertical-relative:page;z-index:-23433728" type="#_x0000_t202" id="docshape134" filled="false" stroked="false">
              <v:textbox inset="0,0,0,0">
                <w:txbxContent>
                  <w:p>
                    <w:pPr>
                      <w:spacing w:before="12"/>
                      <w:ind w:left="20" w:right="0" w:firstLine="0"/>
                      <w:jc w:val="left"/>
                      <w:rPr>
                        <w:rFonts w:ascii="Cambria"/>
                        <w:i/>
                        <w:sz w:val="22"/>
                      </w:rPr>
                    </w:pPr>
                    <w:r>
                      <w:rPr>
                        <w:rFonts w:ascii="Cambria"/>
                        <w:i/>
                        <w:sz w:val="22"/>
                      </w:rPr>
                      <w:t>Rule</w:t>
                    </w:r>
                    <w:r>
                      <w:rPr>
                        <w:rFonts w:ascii="Cambria"/>
                        <w:i/>
                        <w:spacing w:val="3"/>
                        <w:sz w:val="22"/>
                      </w:rPr>
                      <w:t> </w:t>
                    </w:r>
                    <w:r>
                      <w:rPr>
                        <w:rFonts w:ascii="Cambria"/>
                        <w:i/>
                        <w:sz w:val="22"/>
                      </w:rPr>
                      <w:t>Discovery</w:t>
                    </w:r>
                    <w:r>
                      <w:rPr>
                        <w:rFonts w:ascii="Cambria"/>
                        <w:i/>
                        <w:spacing w:val="4"/>
                        <w:sz w:val="22"/>
                      </w:rPr>
                      <w:t> </w:t>
                    </w:r>
                    <w:r>
                      <w:rPr>
                        <w:rFonts w:ascii="Cambria"/>
                        <w:i/>
                        <w:sz w:val="22"/>
                      </w:rPr>
                      <w:t>Results</w:t>
                    </w:r>
                    <w:r>
                      <w:rPr>
                        <w:rFonts w:ascii="Cambria"/>
                        <w:i/>
                        <w:spacing w:val="3"/>
                        <w:sz w:val="22"/>
                      </w:rPr>
                      <w:t> </w:t>
                    </w:r>
                    <w:r>
                      <w:rPr>
                        <w:rFonts w:ascii="Cambria"/>
                        <w:i/>
                        <w:sz w:val="22"/>
                      </w:rPr>
                      <w:t>(Goal</w:t>
                    </w:r>
                    <w:r>
                      <w:rPr>
                        <w:rFonts w:ascii="Cambria"/>
                        <w:i/>
                        <w:spacing w:val="4"/>
                        <w:sz w:val="22"/>
                      </w:rPr>
                      <w:t> </w:t>
                    </w:r>
                    <w:r>
                      <w:rPr>
                        <w:rFonts w:ascii="Cambria"/>
                        <w:i/>
                        <w:spacing w:val="-5"/>
                        <w:sz w:val="22"/>
                      </w:rPr>
                      <w:t>1)</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83264">
              <wp:simplePos x="0" y="0"/>
              <wp:positionH relativeFrom="page">
                <wp:posOffset>1243838</wp:posOffset>
              </wp:positionH>
              <wp:positionV relativeFrom="page">
                <wp:posOffset>723773</wp:posOffset>
              </wp:positionV>
              <wp:extent cx="3890645" cy="192405"/>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3890645" cy="192405"/>
                      </a:xfrm>
                      <a:prstGeom prst="rect">
                        <a:avLst/>
                      </a:prstGeom>
                    </wps:spPr>
                    <wps:txbx>
                      <w:txbxContent>
                        <w:p>
                          <w:pPr>
                            <w:spacing w:before="12"/>
                            <w:ind w:left="20" w:right="0" w:firstLine="0"/>
                            <w:jc w:val="left"/>
                            <w:rPr>
                              <w:rFonts w:ascii="Cambria"/>
                              <w:i/>
                              <w:sz w:val="22"/>
                            </w:rPr>
                          </w:pPr>
                          <w:r>
                            <w:rPr>
                              <w:rFonts w:ascii="Cambria"/>
                              <w:i/>
                              <w:sz w:val="22"/>
                            </w:rPr>
                            <w:t>4.4</w:t>
                          </w:r>
                          <w:r>
                            <w:rPr>
                              <w:rFonts w:ascii="Cambria"/>
                              <w:i/>
                              <w:spacing w:val="-5"/>
                              <w:sz w:val="22"/>
                            </w:rPr>
                            <w:t> </w:t>
                          </w:r>
                          <w:r>
                            <w:rPr>
                              <w:rFonts w:ascii="Cambria"/>
                              <w:i/>
                              <w:sz w:val="22"/>
                            </w:rPr>
                            <w:t>M5Rules:</w:t>
                          </w:r>
                          <w:r>
                            <w:rPr>
                              <w:rFonts w:ascii="Cambria"/>
                              <w:i/>
                              <w:spacing w:val="5"/>
                              <w:sz w:val="22"/>
                            </w:rPr>
                            <w:t> </w:t>
                          </w:r>
                          <w:r>
                            <w:rPr>
                              <w:rFonts w:ascii="Cambria"/>
                              <w:i/>
                              <w:sz w:val="22"/>
                            </w:rPr>
                            <w:t>Piecewise</w:t>
                          </w:r>
                          <w:r>
                            <w:rPr>
                              <w:rFonts w:ascii="Cambria"/>
                              <w:i/>
                              <w:spacing w:val="-4"/>
                              <w:sz w:val="22"/>
                            </w:rPr>
                            <w:t> </w:t>
                          </w:r>
                          <w:r>
                            <w:rPr>
                              <w:rFonts w:ascii="Cambria"/>
                              <w:i/>
                              <w:sz w:val="22"/>
                            </w:rPr>
                            <w:t>Linear</w:t>
                          </w:r>
                          <w:r>
                            <w:rPr>
                              <w:rFonts w:ascii="Cambria"/>
                              <w:i/>
                              <w:spacing w:val="-5"/>
                              <w:sz w:val="22"/>
                            </w:rPr>
                            <w:t> </w:t>
                          </w:r>
                          <w:r>
                            <w:rPr>
                              <w:rFonts w:ascii="Cambria"/>
                              <w:i/>
                              <w:sz w:val="22"/>
                            </w:rPr>
                            <w:t>Models</w:t>
                          </w:r>
                          <w:r>
                            <w:rPr>
                              <w:rFonts w:ascii="Cambria"/>
                              <w:i/>
                              <w:spacing w:val="-5"/>
                              <w:sz w:val="22"/>
                            </w:rPr>
                            <w:t> </w:t>
                          </w:r>
                          <w:r>
                            <w:rPr>
                              <w:rFonts w:ascii="Cambria"/>
                              <w:i/>
                              <w:sz w:val="22"/>
                            </w:rPr>
                            <w:t>and</w:t>
                          </w:r>
                          <w:r>
                            <w:rPr>
                              <w:rFonts w:ascii="Cambria"/>
                              <w:i/>
                              <w:spacing w:val="-4"/>
                              <w:sz w:val="22"/>
                            </w:rPr>
                            <w:t> </w:t>
                          </w:r>
                          <w:r>
                            <w:rPr>
                              <w:rFonts w:ascii="Cambria"/>
                              <w:i/>
                              <w:sz w:val="22"/>
                            </w:rPr>
                            <w:t>Coefficient</w:t>
                          </w:r>
                          <w:r>
                            <w:rPr>
                              <w:rFonts w:ascii="Cambria"/>
                              <w:i/>
                              <w:spacing w:val="-5"/>
                              <w:sz w:val="22"/>
                            </w:rPr>
                            <w:t> </w:t>
                          </w:r>
                          <w:r>
                            <w:rPr>
                              <w:rFonts w:ascii="Cambria"/>
                              <w:i/>
                              <w:spacing w:val="-2"/>
                              <w:w w:val="90"/>
                              <w:sz w:val="22"/>
                            </w:rPr>
                            <w:t>Interpretation</w:t>
                          </w:r>
                        </w:p>
                      </w:txbxContent>
                    </wps:txbx>
                    <wps:bodyPr wrap="square" lIns="0" tIns="0" rIns="0" bIns="0" rtlCol="0">
                      <a:noAutofit/>
                    </wps:bodyPr>
                  </wps:wsp>
                </a:graphicData>
              </a:graphic>
            </wp:anchor>
          </w:drawing>
        </mc:Choice>
        <mc:Fallback>
          <w:pict>
            <v:shape style="position:absolute;margin-left:97.940002pt;margin-top:56.990005pt;width:306.350pt;height:15.15pt;mso-position-horizontal-relative:page;mso-position-vertical-relative:page;z-index:-23433216" type="#_x0000_t202" id="docshape138" filled="false" stroked="false">
              <v:textbox inset="0,0,0,0">
                <w:txbxContent>
                  <w:p>
                    <w:pPr>
                      <w:spacing w:before="12"/>
                      <w:ind w:left="20" w:right="0" w:firstLine="0"/>
                      <w:jc w:val="left"/>
                      <w:rPr>
                        <w:rFonts w:ascii="Cambria"/>
                        <w:i/>
                        <w:sz w:val="22"/>
                      </w:rPr>
                    </w:pPr>
                    <w:r>
                      <w:rPr>
                        <w:rFonts w:ascii="Cambria"/>
                        <w:i/>
                        <w:sz w:val="22"/>
                      </w:rPr>
                      <w:t>4.4</w:t>
                    </w:r>
                    <w:r>
                      <w:rPr>
                        <w:rFonts w:ascii="Cambria"/>
                        <w:i/>
                        <w:spacing w:val="-5"/>
                        <w:sz w:val="22"/>
                      </w:rPr>
                      <w:t> </w:t>
                    </w:r>
                    <w:r>
                      <w:rPr>
                        <w:rFonts w:ascii="Cambria"/>
                        <w:i/>
                        <w:sz w:val="22"/>
                      </w:rPr>
                      <w:t>M5Rules:</w:t>
                    </w:r>
                    <w:r>
                      <w:rPr>
                        <w:rFonts w:ascii="Cambria"/>
                        <w:i/>
                        <w:spacing w:val="5"/>
                        <w:sz w:val="22"/>
                      </w:rPr>
                      <w:t> </w:t>
                    </w:r>
                    <w:r>
                      <w:rPr>
                        <w:rFonts w:ascii="Cambria"/>
                        <w:i/>
                        <w:sz w:val="22"/>
                      </w:rPr>
                      <w:t>Piecewise</w:t>
                    </w:r>
                    <w:r>
                      <w:rPr>
                        <w:rFonts w:ascii="Cambria"/>
                        <w:i/>
                        <w:spacing w:val="-4"/>
                        <w:sz w:val="22"/>
                      </w:rPr>
                      <w:t> </w:t>
                    </w:r>
                    <w:r>
                      <w:rPr>
                        <w:rFonts w:ascii="Cambria"/>
                        <w:i/>
                        <w:sz w:val="22"/>
                      </w:rPr>
                      <w:t>Linear</w:t>
                    </w:r>
                    <w:r>
                      <w:rPr>
                        <w:rFonts w:ascii="Cambria"/>
                        <w:i/>
                        <w:spacing w:val="-5"/>
                        <w:sz w:val="22"/>
                      </w:rPr>
                      <w:t> </w:t>
                    </w:r>
                    <w:r>
                      <w:rPr>
                        <w:rFonts w:ascii="Cambria"/>
                        <w:i/>
                        <w:sz w:val="22"/>
                      </w:rPr>
                      <w:t>Models</w:t>
                    </w:r>
                    <w:r>
                      <w:rPr>
                        <w:rFonts w:ascii="Cambria"/>
                        <w:i/>
                        <w:spacing w:val="-5"/>
                        <w:sz w:val="22"/>
                      </w:rPr>
                      <w:t> </w:t>
                    </w:r>
                    <w:r>
                      <w:rPr>
                        <w:rFonts w:ascii="Cambria"/>
                        <w:i/>
                        <w:sz w:val="22"/>
                      </w:rPr>
                      <w:t>and</w:t>
                    </w:r>
                    <w:r>
                      <w:rPr>
                        <w:rFonts w:ascii="Cambria"/>
                        <w:i/>
                        <w:spacing w:val="-4"/>
                        <w:sz w:val="22"/>
                      </w:rPr>
                      <w:t> </w:t>
                    </w:r>
                    <w:r>
                      <w:rPr>
                        <w:rFonts w:ascii="Cambria"/>
                        <w:i/>
                        <w:sz w:val="22"/>
                      </w:rPr>
                      <w:t>Coefficient</w:t>
                    </w:r>
                    <w:r>
                      <w:rPr>
                        <w:rFonts w:ascii="Cambria"/>
                        <w:i/>
                        <w:spacing w:val="-5"/>
                        <w:sz w:val="22"/>
                      </w:rPr>
                      <w:t> </w:t>
                    </w:r>
                    <w:r>
                      <w:rPr>
                        <w:rFonts w:ascii="Cambria"/>
                        <w:i/>
                        <w:spacing w:val="-2"/>
                        <w:w w:val="90"/>
                        <w:sz w:val="22"/>
                      </w:rPr>
                      <w:t>Interpretation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79883776">
              <wp:simplePos x="0" y="0"/>
              <wp:positionH relativeFrom="page">
                <wp:posOffset>6508750</wp:posOffset>
              </wp:positionH>
              <wp:positionV relativeFrom="page">
                <wp:posOffset>723773</wp:posOffset>
              </wp:positionV>
              <wp:extent cx="164465" cy="192405"/>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164465" cy="192405"/>
                      </a:xfrm>
                      <a:prstGeom prst="rect">
                        <a:avLst/>
                      </a:prstGeom>
                    </wps:spPr>
                    <wps:txbx>
                      <w:txbxContent>
                        <w:p>
                          <w:pPr>
                            <w:pStyle w:val="BodyText"/>
                            <w:spacing w:before="16"/>
                            <w:ind w:left="20"/>
                          </w:pPr>
                          <w:r>
                            <w:rPr>
                              <w:spacing w:val="-5"/>
                            </w:rPr>
                            <w:t>45</w:t>
                          </w:r>
                        </w:p>
                      </w:txbxContent>
                    </wps:txbx>
                    <wps:bodyPr wrap="square" lIns="0" tIns="0" rIns="0" bIns="0" rtlCol="0">
                      <a:noAutofit/>
                    </wps:bodyPr>
                  </wps:wsp>
                </a:graphicData>
              </a:graphic>
            </wp:anchor>
          </w:drawing>
        </mc:Choice>
        <mc:Fallback>
          <w:pict>
            <v:shape style="position:absolute;margin-left:512.5pt;margin-top:56.990005pt;width:12.95pt;height:15.15pt;mso-position-horizontal-relative:page;mso-position-vertical-relative:page;z-index:-23432704" type="#_x0000_t202" id="docshape139" filled="false" stroked="false">
              <v:textbox inset="0,0,0,0">
                <w:txbxContent>
                  <w:p>
                    <w:pPr>
                      <w:pStyle w:val="BodyText"/>
                      <w:spacing w:before="16"/>
                      <w:ind w:left="20"/>
                    </w:pPr>
                    <w:r>
                      <w:rPr>
                        <w:spacing w:val="-5"/>
                      </w:rPr>
                      <w:t>45</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84288">
              <wp:simplePos x="0" y="0"/>
              <wp:positionH relativeFrom="page">
                <wp:posOffset>857046</wp:posOffset>
              </wp:positionH>
              <wp:positionV relativeFrom="page">
                <wp:posOffset>723773</wp:posOffset>
              </wp:positionV>
              <wp:extent cx="227965" cy="192405"/>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46</w:t>
                          </w:r>
                          <w:r>
                            <w:rPr>
                              <w:spacing w:val="-5"/>
                            </w:rPr>
                            <w:fldChar w:fldCharType="end"/>
                          </w:r>
                        </w:p>
                      </w:txbxContent>
                    </wps:txbx>
                    <wps:bodyPr wrap="square" lIns="0" tIns="0" rIns="0" bIns="0" rtlCol="0">
                      <a:noAutofit/>
                    </wps:bodyPr>
                  </wps:wsp>
                </a:graphicData>
              </a:graphic>
            </wp:anchor>
          </w:drawing>
        </mc:Choice>
        <mc:Fallback>
          <w:pict>
            <v:shape style="position:absolute;margin-left:67.484001pt;margin-top:56.990005pt;width:17.95pt;height:15.15pt;mso-position-horizontal-relative:page;mso-position-vertical-relative:page;z-index:-23432192" type="#_x0000_t202" id="docshape140"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46</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884800">
              <wp:simplePos x="0" y="0"/>
              <wp:positionH relativeFrom="page">
                <wp:posOffset>4482909</wp:posOffset>
              </wp:positionH>
              <wp:positionV relativeFrom="page">
                <wp:posOffset>723773</wp:posOffset>
              </wp:positionV>
              <wp:extent cx="1830070" cy="192405"/>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1830070" cy="192405"/>
                      </a:xfrm>
                      <a:prstGeom prst="rect">
                        <a:avLst/>
                      </a:prstGeom>
                    </wps:spPr>
                    <wps:txbx>
                      <w:txbxContent>
                        <w:p>
                          <w:pPr>
                            <w:spacing w:before="12"/>
                            <w:ind w:left="20" w:right="0" w:firstLine="0"/>
                            <w:jc w:val="left"/>
                            <w:rPr>
                              <w:rFonts w:ascii="Cambria"/>
                              <w:i/>
                              <w:sz w:val="22"/>
                            </w:rPr>
                          </w:pPr>
                          <w:r>
                            <w:rPr>
                              <w:rFonts w:ascii="Cambria"/>
                              <w:i/>
                              <w:sz w:val="22"/>
                            </w:rPr>
                            <w:t>Rule</w:t>
                          </w:r>
                          <w:r>
                            <w:rPr>
                              <w:rFonts w:ascii="Cambria"/>
                              <w:i/>
                              <w:spacing w:val="3"/>
                              <w:sz w:val="22"/>
                            </w:rPr>
                            <w:t> </w:t>
                          </w:r>
                          <w:r>
                            <w:rPr>
                              <w:rFonts w:ascii="Cambria"/>
                              <w:i/>
                              <w:sz w:val="22"/>
                            </w:rPr>
                            <w:t>Discovery</w:t>
                          </w:r>
                          <w:r>
                            <w:rPr>
                              <w:rFonts w:ascii="Cambria"/>
                              <w:i/>
                              <w:spacing w:val="4"/>
                              <w:sz w:val="22"/>
                            </w:rPr>
                            <w:t> </w:t>
                          </w:r>
                          <w:r>
                            <w:rPr>
                              <w:rFonts w:ascii="Cambria"/>
                              <w:i/>
                              <w:sz w:val="22"/>
                            </w:rPr>
                            <w:t>Results</w:t>
                          </w:r>
                          <w:r>
                            <w:rPr>
                              <w:rFonts w:ascii="Cambria"/>
                              <w:i/>
                              <w:spacing w:val="3"/>
                              <w:sz w:val="22"/>
                            </w:rPr>
                            <w:t> </w:t>
                          </w:r>
                          <w:r>
                            <w:rPr>
                              <w:rFonts w:ascii="Cambria"/>
                              <w:i/>
                              <w:sz w:val="22"/>
                            </w:rPr>
                            <w:t>(Goal</w:t>
                          </w:r>
                          <w:r>
                            <w:rPr>
                              <w:rFonts w:ascii="Cambria"/>
                              <w:i/>
                              <w:spacing w:val="4"/>
                              <w:sz w:val="22"/>
                            </w:rPr>
                            <w:t> </w:t>
                          </w:r>
                          <w:r>
                            <w:rPr>
                              <w:rFonts w:ascii="Cambria"/>
                              <w:i/>
                              <w:spacing w:val="-5"/>
                              <w:sz w:val="22"/>
                            </w:rPr>
                            <w:t>1)</w:t>
                          </w:r>
                        </w:p>
                      </w:txbxContent>
                    </wps:txbx>
                    <wps:bodyPr wrap="square" lIns="0" tIns="0" rIns="0" bIns="0" rtlCol="0">
                      <a:noAutofit/>
                    </wps:bodyPr>
                  </wps:wsp>
                </a:graphicData>
              </a:graphic>
            </wp:anchor>
          </w:drawing>
        </mc:Choice>
        <mc:Fallback>
          <w:pict>
            <v:shape style="position:absolute;margin-left:352.984985pt;margin-top:56.990005pt;width:144.1pt;height:15.15pt;mso-position-horizontal-relative:page;mso-position-vertical-relative:page;z-index:-23431680" type="#_x0000_t202" id="docshape141" filled="false" stroked="false">
              <v:textbox inset="0,0,0,0">
                <w:txbxContent>
                  <w:p>
                    <w:pPr>
                      <w:spacing w:before="12"/>
                      <w:ind w:left="20" w:right="0" w:firstLine="0"/>
                      <w:jc w:val="left"/>
                      <w:rPr>
                        <w:rFonts w:ascii="Cambria"/>
                        <w:i/>
                        <w:sz w:val="22"/>
                      </w:rPr>
                    </w:pPr>
                    <w:r>
                      <w:rPr>
                        <w:rFonts w:ascii="Cambria"/>
                        <w:i/>
                        <w:sz w:val="22"/>
                      </w:rPr>
                      <w:t>Rule</w:t>
                    </w:r>
                    <w:r>
                      <w:rPr>
                        <w:rFonts w:ascii="Cambria"/>
                        <w:i/>
                        <w:spacing w:val="3"/>
                        <w:sz w:val="22"/>
                      </w:rPr>
                      <w:t> </w:t>
                    </w:r>
                    <w:r>
                      <w:rPr>
                        <w:rFonts w:ascii="Cambria"/>
                        <w:i/>
                        <w:sz w:val="22"/>
                      </w:rPr>
                      <w:t>Discovery</w:t>
                    </w:r>
                    <w:r>
                      <w:rPr>
                        <w:rFonts w:ascii="Cambria"/>
                        <w:i/>
                        <w:spacing w:val="4"/>
                        <w:sz w:val="22"/>
                      </w:rPr>
                      <w:t> </w:t>
                    </w:r>
                    <w:r>
                      <w:rPr>
                        <w:rFonts w:ascii="Cambria"/>
                        <w:i/>
                        <w:sz w:val="22"/>
                      </w:rPr>
                      <w:t>Results</w:t>
                    </w:r>
                    <w:r>
                      <w:rPr>
                        <w:rFonts w:ascii="Cambria"/>
                        <w:i/>
                        <w:spacing w:val="3"/>
                        <w:sz w:val="22"/>
                      </w:rPr>
                      <w:t> </w:t>
                    </w:r>
                    <w:r>
                      <w:rPr>
                        <w:rFonts w:ascii="Cambria"/>
                        <w:i/>
                        <w:sz w:val="22"/>
                      </w:rPr>
                      <w:t>(Goal</w:t>
                    </w:r>
                    <w:r>
                      <w:rPr>
                        <w:rFonts w:ascii="Cambria"/>
                        <w:i/>
                        <w:spacing w:val="4"/>
                        <w:sz w:val="22"/>
                      </w:rPr>
                      <w:t> </w:t>
                    </w:r>
                    <w:r>
                      <w:rPr>
                        <w:rFonts w:ascii="Cambria"/>
                        <w:i/>
                        <w:spacing w:val="-5"/>
                        <w:sz w:val="22"/>
                      </w:rPr>
                      <w:t>1)</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85312">
              <wp:simplePos x="0" y="0"/>
              <wp:positionH relativeFrom="page">
                <wp:posOffset>1243838</wp:posOffset>
              </wp:positionH>
              <wp:positionV relativeFrom="page">
                <wp:posOffset>723773</wp:posOffset>
              </wp:positionV>
              <wp:extent cx="3722370" cy="192405"/>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3722370" cy="192405"/>
                      </a:xfrm>
                      <a:prstGeom prst="rect">
                        <a:avLst/>
                      </a:prstGeom>
                    </wps:spPr>
                    <wps:txbx>
                      <w:txbxContent>
                        <w:p>
                          <w:pPr>
                            <w:spacing w:before="12"/>
                            <w:ind w:left="20" w:right="0" w:firstLine="0"/>
                            <w:jc w:val="left"/>
                            <w:rPr>
                              <w:rFonts w:ascii="Cambria"/>
                              <w:i/>
                              <w:sz w:val="22"/>
                            </w:rPr>
                          </w:pPr>
                          <w:r>
                            <w:rPr>
                              <w:rFonts w:ascii="Cambria"/>
                              <w:i/>
                              <w:sz w:val="22"/>
                            </w:rPr>
                            <w:t>4.6</w:t>
                          </w:r>
                          <w:r>
                            <w:rPr>
                              <w:rFonts w:ascii="Cambria"/>
                              <w:i/>
                              <w:spacing w:val="-12"/>
                              <w:sz w:val="22"/>
                            </w:rPr>
                            <w:t> </w:t>
                          </w:r>
                          <w:r>
                            <w:rPr>
                              <w:rFonts w:ascii="Cambria"/>
                              <w:i/>
                              <w:sz w:val="22"/>
                            </w:rPr>
                            <w:t>Feature</w:t>
                          </w:r>
                          <w:r>
                            <w:rPr>
                              <w:rFonts w:ascii="Cambria"/>
                              <w:i/>
                              <w:spacing w:val="-11"/>
                              <w:sz w:val="22"/>
                            </w:rPr>
                            <w:t> </w:t>
                          </w:r>
                          <w:r>
                            <w:rPr>
                              <w:rFonts w:ascii="Cambria"/>
                              <w:i/>
                              <w:sz w:val="22"/>
                            </w:rPr>
                            <w:t>Frequency</w:t>
                          </w:r>
                          <w:r>
                            <w:rPr>
                              <w:rFonts w:ascii="Cambria"/>
                              <w:i/>
                              <w:spacing w:val="-11"/>
                              <w:sz w:val="22"/>
                            </w:rPr>
                            <w:t> </w:t>
                          </w:r>
                          <w:r>
                            <w:rPr>
                              <w:rFonts w:ascii="Cambria"/>
                              <w:i/>
                              <w:sz w:val="22"/>
                            </w:rPr>
                            <w:t>Analysis:</w:t>
                          </w:r>
                          <w:r>
                            <w:rPr>
                              <w:rFonts w:ascii="Cambria"/>
                              <w:i/>
                              <w:spacing w:val="-2"/>
                              <w:sz w:val="22"/>
                            </w:rPr>
                            <w:t> </w:t>
                          </w:r>
                          <w:r>
                            <w:rPr>
                              <w:rFonts w:ascii="Cambria"/>
                              <w:i/>
                              <w:sz w:val="22"/>
                            </w:rPr>
                            <w:t>What</w:t>
                          </w:r>
                          <w:r>
                            <w:rPr>
                              <w:rFonts w:ascii="Cambria"/>
                              <w:i/>
                              <w:spacing w:val="-12"/>
                              <w:sz w:val="22"/>
                            </w:rPr>
                            <w:t> </w:t>
                          </w:r>
                          <w:r>
                            <w:rPr>
                              <w:rFonts w:ascii="Cambria"/>
                              <w:i/>
                              <w:sz w:val="22"/>
                            </w:rPr>
                            <w:t>CarenR</w:t>
                          </w:r>
                          <w:r>
                            <w:rPr>
                              <w:rFonts w:ascii="Cambria"/>
                              <w:i/>
                              <w:spacing w:val="-11"/>
                              <w:sz w:val="22"/>
                            </w:rPr>
                            <w:t> </w:t>
                          </w:r>
                          <w:r>
                            <w:rPr>
                              <w:rFonts w:ascii="Cambria"/>
                              <w:i/>
                              <w:sz w:val="22"/>
                            </w:rPr>
                            <w:t>Selects</w:t>
                          </w:r>
                          <w:r>
                            <w:rPr>
                              <w:rFonts w:ascii="Cambria"/>
                              <w:i/>
                              <w:spacing w:val="-11"/>
                              <w:sz w:val="22"/>
                            </w:rPr>
                            <w:t> </w:t>
                          </w:r>
                          <w:r>
                            <w:rPr>
                              <w:rFonts w:ascii="Cambria"/>
                              <w:i/>
                              <w:sz w:val="22"/>
                            </w:rPr>
                            <w:t>Most</w:t>
                          </w:r>
                          <w:r>
                            <w:rPr>
                              <w:rFonts w:ascii="Cambria"/>
                              <w:i/>
                              <w:spacing w:val="-11"/>
                              <w:sz w:val="22"/>
                            </w:rPr>
                            <w:t> </w:t>
                          </w:r>
                          <w:r>
                            <w:rPr>
                              <w:rFonts w:ascii="Cambria"/>
                              <w:i/>
                              <w:spacing w:val="-2"/>
                              <w:sz w:val="22"/>
                            </w:rPr>
                            <w:t>Often</w:t>
                          </w:r>
                        </w:p>
                      </w:txbxContent>
                    </wps:txbx>
                    <wps:bodyPr wrap="square" lIns="0" tIns="0" rIns="0" bIns="0" rtlCol="0">
                      <a:noAutofit/>
                    </wps:bodyPr>
                  </wps:wsp>
                </a:graphicData>
              </a:graphic>
            </wp:anchor>
          </w:drawing>
        </mc:Choice>
        <mc:Fallback>
          <w:pict>
            <v:shape style="position:absolute;margin-left:97.940002pt;margin-top:56.990005pt;width:293.1pt;height:15.15pt;mso-position-horizontal-relative:page;mso-position-vertical-relative:page;z-index:-23431168" type="#_x0000_t202" id="docshape145" filled="false" stroked="false">
              <v:textbox inset="0,0,0,0">
                <w:txbxContent>
                  <w:p>
                    <w:pPr>
                      <w:spacing w:before="12"/>
                      <w:ind w:left="20" w:right="0" w:firstLine="0"/>
                      <w:jc w:val="left"/>
                      <w:rPr>
                        <w:rFonts w:ascii="Cambria"/>
                        <w:i/>
                        <w:sz w:val="22"/>
                      </w:rPr>
                    </w:pPr>
                    <w:r>
                      <w:rPr>
                        <w:rFonts w:ascii="Cambria"/>
                        <w:i/>
                        <w:sz w:val="22"/>
                      </w:rPr>
                      <w:t>4.6</w:t>
                    </w:r>
                    <w:r>
                      <w:rPr>
                        <w:rFonts w:ascii="Cambria"/>
                        <w:i/>
                        <w:spacing w:val="-12"/>
                        <w:sz w:val="22"/>
                      </w:rPr>
                      <w:t> </w:t>
                    </w:r>
                    <w:r>
                      <w:rPr>
                        <w:rFonts w:ascii="Cambria"/>
                        <w:i/>
                        <w:sz w:val="22"/>
                      </w:rPr>
                      <w:t>Feature</w:t>
                    </w:r>
                    <w:r>
                      <w:rPr>
                        <w:rFonts w:ascii="Cambria"/>
                        <w:i/>
                        <w:spacing w:val="-11"/>
                        <w:sz w:val="22"/>
                      </w:rPr>
                      <w:t> </w:t>
                    </w:r>
                    <w:r>
                      <w:rPr>
                        <w:rFonts w:ascii="Cambria"/>
                        <w:i/>
                        <w:sz w:val="22"/>
                      </w:rPr>
                      <w:t>Frequency</w:t>
                    </w:r>
                    <w:r>
                      <w:rPr>
                        <w:rFonts w:ascii="Cambria"/>
                        <w:i/>
                        <w:spacing w:val="-11"/>
                        <w:sz w:val="22"/>
                      </w:rPr>
                      <w:t> </w:t>
                    </w:r>
                    <w:r>
                      <w:rPr>
                        <w:rFonts w:ascii="Cambria"/>
                        <w:i/>
                        <w:sz w:val="22"/>
                      </w:rPr>
                      <w:t>Analysis:</w:t>
                    </w:r>
                    <w:r>
                      <w:rPr>
                        <w:rFonts w:ascii="Cambria"/>
                        <w:i/>
                        <w:spacing w:val="-2"/>
                        <w:sz w:val="22"/>
                      </w:rPr>
                      <w:t> </w:t>
                    </w:r>
                    <w:r>
                      <w:rPr>
                        <w:rFonts w:ascii="Cambria"/>
                        <w:i/>
                        <w:sz w:val="22"/>
                      </w:rPr>
                      <w:t>What</w:t>
                    </w:r>
                    <w:r>
                      <w:rPr>
                        <w:rFonts w:ascii="Cambria"/>
                        <w:i/>
                        <w:spacing w:val="-12"/>
                        <w:sz w:val="22"/>
                      </w:rPr>
                      <w:t> </w:t>
                    </w:r>
                    <w:r>
                      <w:rPr>
                        <w:rFonts w:ascii="Cambria"/>
                        <w:i/>
                        <w:sz w:val="22"/>
                      </w:rPr>
                      <w:t>CarenR</w:t>
                    </w:r>
                    <w:r>
                      <w:rPr>
                        <w:rFonts w:ascii="Cambria"/>
                        <w:i/>
                        <w:spacing w:val="-11"/>
                        <w:sz w:val="22"/>
                      </w:rPr>
                      <w:t> </w:t>
                    </w:r>
                    <w:r>
                      <w:rPr>
                        <w:rFonts w:ascii="Cambria"/>
                        <w:i/>
                        <w:sz w:val="22"/>
                      </w:rPr>
                      <w:t>Selects</w:t>
                    </w:r>
                    <w:r>
                      <w:rPr>
                        <w:rFonts w:ascii="Cambria"/>
                        <w:i/>
                        <w:spacing w:val="-11"/>
                        <w:sz w:val="22"/>
                      </w:rPr>
                      <w:t> </w:t>
                    </w:r>
                    <w:r>
                      <w:rPr>
                        <w:rFonts w:ascii="Cambria"/>
                        <w:i/>
                        <w:sz w:val="22"/>
                      </w:rPr>
                      <w:t>Most</w:t>
                    </w:r>
                    <w:r>
                      <w:rPr>
                        <w:rFonts w:ascii="Cambria"/>
                        <w:i/>
                        <w:spacing w:val="-11"/>
                        <w:sz w:val="22"/>
                      </w:rPr>
                      <w:t> </w:t>
                    </w:r>
                    <w:r>
                      <w:rPr>
                        <w:rFonts w:ascii="Cambria"/>
                        <w:i/>
                        <w:spacing w:val="-2"/>
                        <w:sz w:val="22"/>
                      </w:rPr>
                      <w:t>Often</w:t>
                    </w:r>
                  </w:p>
                </w:txbxContent>
              </v:textbox>
              <w10:wrap type="none"/>
            </v:shape>
          </w:pict>
        </mc:Fallback>
      </mc:AlternateContent>
    </w:r>
    <w:r>
      <w:rPr>
        <w:sz w:val="20"/>
      </w:rPr>
      <mc:AlternateContent>
        <mc:Choice Requires="wps">
          <w:drawing>
            <wp:anchor distT="0" distB="0" distL="0" distR="0" allowOverlap="1" layoutInCell="1" locked="0" behindDoc="1" simplePos="0" relativeHeight="479885824">
              <wp:simplePos x="0" y="0"/>
              <wp:positionH relativeFrom="page">
                <wp:posOffset>6508750</wp:posOffset>
              </wp:positionH>
              <wp:positionV relativeFrom="page">
                <wp:posOffset>723773</wp:posOffset>
              </wp:positionV>
              <wp:extent cx="164465" cy="192405"/>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164465" cy="192405"/>
                      </a:xfrm>
                      <a:prstGeom prst="rect">
                        <a:avLst/>
                      </a:prstGeom>
                    </wps:spPr>
                    <wps:txbx>
                      <w:txbxContent>
                        <w:p>
                          <w:pPr>
                            <w:pStyle w:val="BodyText"/>
                            <w:spacing w:before="16"/>
                            <w:ind w:left="20"/>
                          </w:pPr>
                          <w:r>
                            <w:rPr>
                              <w:spacing w:val="-5"/>
                            </w:rPr>
                            <w:t>47</w:t>
                          </w:r>
                        </w:p>
                      </w:txbxContent>
                    </wps:txbx>
                    <wps:bodyPr wrap="square" lIns="0" tIns="0" rIns="0" bIns="0" rtlCol="0">
                      <a:noAutofit/>
                    </wps:bodyPr>
                  </wps:wsp>
                </a:graphicData>
              </a:graphic>
            </wp:anchor>
          </w:drawing>
        </mc:Choice>
        <mc:Fallback>
          <w:pict>
            <v:shape style="position:absolute;margin-left:512.5pt;margin-top:56.990005pt;width:12.95pt;height:15.15pt;mso-position-horizontal-relative:page;mso-position-vertical-relative:page;z-index:-23430656" type="#_x0000_t202" id="docshape146" filled="false" stroked="false">
              <v:textbox inset="0,0,0,0">
                <w:txbxContent>
                  <w:p>
                    <w:pPr>
                      <w:pStyle w:val="BodyText"/>
                      <w:spacing w:before="16"/>
                      <w:ind w:left="20"/>
                    </w:pPr>
                    <w:r>
                      <w:rPr>
                        <w:spacing w:val="-5"/>
                      </w:rPr>
                      <w:t>47</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86336">
              <wp:simplePos x="0" y="0"/>
              <wp:positionH relativeFrom="page">
                <wp:posOffset>857046</wp:posOffset>
              </wp:positionH>
              <wp:positionV relativeFrom="page">
                <wp:posOffset>723773</wp:posOffset>
              </wp:positionV>
              <wp:extent cx="227965" cy="192405"/>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48</w:t>
                          </w:r>
                          <w:r>
                            <w:rPr>
                              <w:spacing w:val="-5"/>
                            </w:rPr>
                            <w:fldChar w:fldCharType="end"/>
                          </w:r>
                        </w:p>
                      </w:txbxContent>
                    </wps:txbx>
                    <wps:bodyPr wrap="square" lIns="0" tIns="0" rIns="0" bIns="0" rtlCol="0">
                      <a:noAutofit/>
                    </wps:bodyPr>
                  </wps:wsp>
                </a:graphicData>
              </a:graphic>
            </wp:anchor>
          </w:drawing>
        </mc:Choice>
        <mc:Fallback>
          <w:pict>
            <v:shape style="position:absolute;margin-left:67.484001pt;margin-top:56.990005pt;width:17.95pt;height:15.15pt;mso-position-horizontal-relative:page;mso-position-vertical-relative:page;z-index:-23430144" type="#_x0000_t202" id="docshape147"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48</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886848">
              <wp:simplePos x="0" y="0"/>
              <wp:positionH relativeFrom="page">
                <wp:posOffset>4482909</wp:posOffset>
              </wp:positionH>
              <wp:positionV relativeFrom="page">
                <wp:posOffset>723773</wp:posOffset>
              </wp:positionV>
              <wp:extent cx="1830070" cy="192405"/>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1830070" cy="192405"/>
                      </a:xfrm>
                      <a:prstGeom prst="rect">
                        <a:avLst/>
                      </a:prstGeom>
                    </wps:spPr>
                    <wps:txbx>
                      <w:txbxContent>
                        <w:p>
                          <w:pPr>
                            <w:spacing w:before="12"/>
                            <w:ind w:left="20" w:right="0" w:firstLine="0"/>
                            <w:jc w:val="left"/>
                            <w:rPr>
                              <w:rFonts w:ascii="Cambria"/>
                              <w:i/>
                              <w:sz w:val="22"/>
                            </w:rPr>
                          </w:pPr>
                          <w:r>
                            <w:rPr>
                              <w:rFonts w:ascii="Cambria"/>
                              <w:i/>
                              <w:sz w:val="22"/>
                            </w:rPr>
                            <w:t>Rule</w:t>
                          </w:r>
                          <w:r>
                            <w:rPr>
                              <w:rFonts w:ascii="Cambria"/>
                              <w:i/>
                              <w:spacing w:val="3"/>
                              <w:sz w:val="22"/>
                            </w:rPr>
                            <w:t> </w:t>
                          </w:r>
                          <w:r>
                            <w:rPr>
                              <w:rFonts w:ascii="Cambria"/>
                              <w:i/>
                              <w:sz w:val="22"/>
                            </w:rPr>
                            <w:t>Discovery</w:t>
                          </w:r>
                          <w:r>
                            <w:rPr>
                              <w:rFonts w:ascii="Cambria"/>
                              <w:i/>
                              <w:spacing w:val="4"/>
                              <w:sz w:val="22"/>
                            </w:rPr>
                            <w:t> </w:t>
                          </w:r>
                          <w:r>
                            <w:rPr>
                              <w:rFonts w:ascii="Cambria"/>
                              <w:i/>
                              <w:sz w:val="22"/>
                            </w:rPr>
                            <w:t>Results</w:t>
                          </w:r>
                          <w:r>
                            <w:rPr>
                              <w:rFonts w:ascii="Cambria"/>
                              <w:i/>
                              <w:spacing w:val="3"/>
                              <w:sz w:val="22"/>
                            </w:rPr>
                            <w:t> </w:t>
                          </w:r>
                          <w:r>
                            <w:rPr>
                              <w:rFonts w:ascii="Cambria"/>
                              <w:i/>
                              <w:sz w:val="22"/>
                            </w:rPr>
                            <w:t>(Goal</w:t>
                          </w:r>
                          <w:r>
                            <w:rPr>
                              <w:rFonts w:ascii="Cambria"/>
                              <w:i/>
                              <w:spacing w:val="4"/>
                              <w:sz w:val="22"/>
                            </w:rPr>
                            <w:t> </w:t>
                          </w:r>
                          <w:r>
                            <w:rPr>
                              <w:rFonts w:ascii="Cambria"/>
                              <w:i/>
                              <w:spacing w:val="-5"/>
                              <w:sz w:val="22"/>
                            </w:rPr>
                            <w:t>1)</w:t>
                          </w:r>
                        </w:p>
                      </w:txbxContent>
                    </wps:txbx>
                    <wps:bodyPr wrap="square" lIns="0" tIns="0" rIns="0" bIns="0" rtlCol="0">
                      <a:noAutofit/>
                    </wps:bodyPr>
                  </wps:wsp>
                </a:graphicData>
              </a:graphic>
            </wp:anchor>
          </w:drawing>
        </mc:Choice>
        <mc:Fallback>
          <w:pict>
            <v:shape style="position:absolute;margin-left:352.984985pt;margin-top:56.990005pt;width:144.1pt;height:15.15pt;mso-position-horizontal-relative:page;mso-position-vertical-relative:page;z-index:-23429632" type="#_x0000_t202" id="docshape148" filled="false" stroked="false">
              <v:textbox inset="0,0,0,0">
                <w:txbxContent>
                  <w:p>
                    <w:pPr>
                      <w:spacing w:before="12"/>
                      <w:ind w:left="20" w:right="0" w:firstLine="0"/>
                      <w:jc w:val="left"/>
                      <w:rPr>
                        <w:rFonts w:ascii="Cambria"/>
                        <w:i/>
                        <w:sz w:val="22"/>
                      </w:rPr>
                    </w:pPr>
                    <w:r>
                      <w:rPr>
                        <w:rFonts w:ascii="Cambria"/>
                        <w:i/>
                        <w:sz w:val="22"/>
                      </w:rPr>
                      <w:t>Rule</w:t>
                    </w:r>
                    <w:r>
                      <w:rPr>
                        <w:rFonts w:ascii="Cambria"/>
                        <w:i/>
                        <w:spacing w:val="3"/>
                        <w:sz w:val="22"/>
                      </w:rPr>
                      <w:t> </w:t>
                    </w:r>
                    <w:r>
                      <w:rPr>
                        <w:rFonts w:ascii="Cambria"/>
                        <w:i/>
                        <w:sz w:val="22"/>
                      </w:rPr>
                      <w:t>Discovery</w:t>
                    </w:r>
                    <w:r>
                      <w:rPr>
                        <w:rFonts w:ascii="Cambria"/>
                        <w:i/>
                        <w:spacing w:val="4"/>
                        <w:sz w:val="22"/>
                      </w:rPr>
                      <w:t> </w:t>
                    </w:r>
                    <w:r>
                      <w:rPr>
                        <w:rFonts w:ascii="Cambria"/>
                        <w:i/>
                        <w:sz w:val="22"/>
                      </w:rPr>
                      <w:t>Results</w:t>
                    </w:r>
                    <w:r>
                      <w:rPr>
                        <w:rFonts w:ascii="Cambria"/>
                        <w:i/>
                        <w:spacing w:val="3"/>
                        <w:sz w:val="22"/>
                      </w:rPr>
                      <w:t> </w:t>
                    </w:r>
                    <w:r>
                      <w:rPr>
                        <w:rFonts w:ascii="Cambria"/>
                        <w:i/>
                        <w:sz w:val="22"/>
                      </w:rPr>
                      <w:t>(Goal</w:t>
                    </w:r>
                    <w:r>
                      <w:rPr>
                        <w:rFonts w:ascii="Cambria"/>
                        <w:i/>
                        <w:spacing w:val="4"/>
                        <w:sz w:val="22"/>
                      </w:rPr>
                      <w:t> </w:t>
                    </w:r>
                    <w:r>
                      <w:rPr>
                        <w:rFonts w:ascii="Cambria"/>
                        <w:i/>
                        <w:spacing w:val="-5"/>
                        <w:sz w:val="22"/>
                      </w:rPr>
                      <w:t>1)</w:t>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87360">
              <wp:simplePos x="0" y="0"/>
              <wp:positionH relativeFrom="page">
                <wp:posOffset>1243838</wp:posOffset>
              </wp:positionH>
              <wp:positionV relativeFrom="page">
                <wp:posOffset>723773</wp:posOffset>
              </wp:positionV>
              <wp:extent cx="2513330" cy="192405"/>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2513330" cy="192405"/>
                      </a:xfrm>
                      <a:prstGeom prst="rect">
                        <a:avLst/>
                      </a:prstGeom>
                    </wps:spPr>
                    <wps:txbx>
                      <w:txbxContent>
                        <w:p>
                          <w:pPr>
                            <w:spacing w:before="12"/>
                            <w:ind w:left="20" w:right="0" w:firstLine="0"/>
                            <w:jc w:val="left"/>
                            <w:rPr>
                              <w:rFonts w:ascii="Cambria"/>
                              <w:i/>
                              <w:sz w:val="22"/>
                            </w:rPr>
                          </w:pPr>
                          <w:r>
                            <w:rPr>
                              <w:rFonts w:ascii="Cambria"/>
                              <w:i/>
                              <w:spacing w:val="-2"/>
                              <w:sz w:val="22"/>
                            </w:rPr>
                            <w:t>4.7</w:t>
                          </w:r>
                          <w:r>
                            <w:rPr>
                              <w:rFonts w:ascii="Cambria"/>
                              <w:i/>
                              <w:spacing w:val="-9"/>
                              <w:sz w:val="22"/>
                            </w:rPr>
                            <w:t> </w:t>
                          </w:r>
                          <w:r>
                            <w:rPr>
                              <w:rFonts w:ascii="Cambria"/>
                              <w:i/>
                              <w:spacing w:val="-2"/>
                              <w:sz w:val="22"/>
                            </w:rPr>
                            <w:t>Rule</w:t>
                          </w:r>
                          <w:r>
                            <w:rPr>
                              <w:rFonts w:ascii="Cambria"/>
                              <w:i/>
                              <w:spacing w:val="-8"/>
                              <w:sz w:val="22"/>
                            </w:rPr>
                            <w:t> </w:t>
                          </w:r>
                          <w:r>
                            <w:rPr>
                              <w:rFonts w:ascii="Cambria"/>
                              <w:i/>
                              <w:spacing w:val="-2"/>
                              <w:sz w:val="22"/>
                            </w:rPr>
                            <w:t>Set</w:t>
                          </w:r>
                          <w:r>
                            <w:rPr>
                              <w:rFonts w:ascii="Cambria"/>
                              <w:i/>
                              <w:spacing w:val="-8"/>
                              <w:sz w:val="22"/>
                            </w:rPr>
                            <w:t> </w:t>
                          </w:r>
                          <w:r>
                            <w:rPr>
                              <w:rFonts w:ascii="Cambria"/>
                              <w:i/>
                              <w:spacing w:val="-2"/>
                              <w:sz w:val="22"/>
                            </w:rPr>
                            <w:t>Overlap</w:t>
                          </w:r>
                          <w:r>
                            <w:rPr>
                              <w:rFonts w:ascii="Cambria"/>
                              <w:i/>
                              <w:spacing w:val="-8"/>
                              <w:sz w:val="22"/>
                            </w:rPr>
                            <w:t> </w:t>
                          </w:r>
                          <w:r>
                            <w:rPr>
                              <w:rFonts w:ascii="Cambria"/>
                              <w:i/>
                              <w:spacing w:val="-2"/>
                              <w:sz w:val="22"/>
                            </w:rPr>
                            <w:t>and</w:t>
                          </w:r>
                          <w:r>
                            <w:rPr>
                              <w:rFonts w:ascii="Cambria"/>
                              <w:i/>
                              <w:spacing w:val="-8"/>
                              <w:sz w:val="22"/>
                            </w:rPr>
                            <w:t> </w:t>
                          </w:r>
                          <w:r>
                            <w:rPr>
                              <w:rFonts w:ascii="Cambria"/>
                              <w:i/>
                              <w:spacing w:val="-2"/>
                              <w:sz w:val="22"/>
                            </w:rPr>
                            <w:t>Internal</w:t>
                          </w:r>
                          <w:r>
                            <w:rPr>
                              <w:rFonts w:ascii="Cambria"/>
                              <w:i/>
                              <w:spacing w:val="-8"/>
                              <w:sz w:val="22"/>
                            </w:rPr>
                            <w:t> </w:t>
                          </w:r>
                          <w:r>
                            <w:rPr>
                              <w:rFonts w:ascii="Cambria"/>
                              <w:i/>
                              <w:spacing w:val="-2"/>
                              <w:sz w:val="22"/>
                            </w:rPr>
                            <w:t>Coherence</w:t>
                          </w:r>
                        </w:p>
                      </w:txbxContent>
                    </wps:txbx>
                    <wps:bodyPr wrap="square" lIns="0" tIns="0" rIns="0" bIns="0" rtlCol="0">
                      <a:noAutofit/>
                    </wps:bodyPr>
                  </wps:wsp>
                </a:graphicData>
              </a:graphic>
            </wp:anchor>
          </w:drawing>
        </mc:Choice>
        <mc:Fallback>
          <w:pict>
            <v:shape style="position:absolute;margin-left:97.940002pt;margin-top:56.990005pt;width:197.9pt;height:15.15pt;mso-position-horizontal-relative:page;mso-position-vertical-relative:page;z-index:-23429120" type="#_x0000_t202" id="docshape150" filled="false" stroked="false">
              <v:textbox inset="0,0,0,0">
                <w:txbxContent>
                  <w:p>
                    <w:pPr>
                      <w:spacing w:before="12"/>
                      <w:ind w:left="20" w:right="0" w:firstLine="0"/>
                      <w:jc w:val="left"/>
                      <w:rPr>
                        <w:rFonts w:ascii="Cambria"/>
                        <w:i/>
                        <w:sz w:val="22"/>
                      </w:rPr>
                    </w:pPr>
                    <w:r>
                      <w:rPr>
                        <w:rFonts w:ascii="Cambria"/>
                        <w:i/>
                        <w:spacing w:val="-2"/>
                        <w:sz w:val="22"/>
                      </w:rPr>
                      <w:t>4.7</w:t>
                    </w:r>
                    <w:r>
                      <w:rPr>
                        <w:rFonts w:ascii="Cambria"/>
                        <w:i/>
                        <w:spacing w:val="-9"/>
                        <w:sz w:val="22"/>
                      </w:rPr>
                      <w:t> </w:t>
                    </w:r>
                    <w:r>
                      <w:rPr>
                        <w:rFonts w:ascii="Cambria"/>
                        <w:i/>
                        <w:spacing w:val="-2"/>
                        <w:sz w:val="22"/>
                      </w:rPr>
                      <w:t>Rule</w:t>
                    </w:r>
                    <w:r>
                      <w:rPr>
                        <w:rFonts w:ascii="Cambria"/>
                        <w:i/>
                        <w:spacing w:val="-8"/>
                        <w:sz w:val="22"/>
                      </w:rPr>
                      <w:t> </w:t>
                    </w:r>
                    <w:r>
                      <w:rPr>
                        <w:rFonts w:ascii="Cambria"/>
                        <w:i/>
                        <w:spacing w:val="-2"/>
                        <w:sz w:val="22"/>
                      </w:rPr>
                      <w:t>Set</w:t>
                    </w:r>
                    <w:r>
                      <w:rPr>
                        <w:rFonts w:ascii="Cambria"/>
                        <w:i/>
                        <w:spacing w:val="-8"/>
                        <w:sz w:val="22"/>
                      </w:rPr>
                      <w:t> </w:t>
                    </w:r>
                    <w:r>
                      <w:rPr>
                        <w:rFonts w:ascii="Cambria"/>
                        <w:i/>
                        <w:spacing w:val="-2"/>
                        <w:sz w:val="22"/>
                      </w:rPr>
                      <w:t>Overlap</w:t>
                    </w:r>
                    <w:r>
                      <w:rPr>
                        <w:rFonts w:ascii="Cambria"/>
                        <w:i/>
                        <w:spacing w:val="-8"/>
                        <w:sz w:val="22"/>
                      </w:rPr>
                      <w:t> </w:t>
                    </w:r>
                    <w:r>
                      <w:rPr>
                        <w:rFonts w:ascii="Cambria"/>
                        <w:i/>
                        <w:spacing w:val="-2"/>
                        <w:sz w:val="22"/>
                      </w:rPr>
                      <w:t>and</w:t>
                    </w:r>
                    <w:r>
                      <w:rPr>
                        <w:rFonts w:ascii="Cambria"/>
                        <w:i/>
                        <w:spacing w:val="-8"/>
                        <w:sz w:val="22"/>
                      </w:rPr>
                      <w:t> </w:t>
                    </w:r>
                    <w:r>
                      <w:rPr>
                        <w:rFonts w:ascii="Cambria"/>
                        <w:i/>
                        <w:spacing w:val="-2"/>
                        <w:sz w:val="22"/>
                      </w:rPr>
                      <w:t>Internal</w:t>
                    </w:r>
                    <w:r>
                      <w:rPr>
                        <w:rFonts w:ascii="Cambria"/>
                        <w:i/>
                        <w:spacing w:val="-8"/>
                        <w:sz w:val="22"/>
                      </w:rPr>
                      <w:t> </w:t>
                    </w:r>
                    <w:r>
                      <w:rPr>
                        <w:rFonts w:ascii="Cambria"/>
                        <w:i/>
                        <w:spacing w:val="-2"/>
                        <w:sz w:val="22"/>
                      </w:rPr>
                      <w:t>Coherence</w:t>
                    </w:r>
                  </w:p>
                </w:txbxContent>
              </v:textbox>
              <w10:wrap type="none"/>
            </v:shape>
          </w:pict>
        </mc:Fallback>
      </mc:AlternateContent>
    </w:r>
    <w:r>
      <w:rPr>
        <w:sz w:val="20"/>
      </w:rPr>
      <mc:AlternateContent>
        <mc:Choice Requires="wps">
          <w:drawing>
            <wp:anchor distT="0" distB="0" distL="0" distR="0" allowOverlap="1" layoutInCell="1" locked="0" behindDoc="1" simplePos="0" relativeHeight="479887872">
              <wp:simplePos x="0" y="0"/>
              <wp:positionH relativeFrom="page">
                <wp:posOffset>6508750</wp:posOffset>
              </wp:positionH>
              <wp:positionV relativeFrom="page">
                <wp:posOffset>723773</wp:posOffset>
              </wp:positionV>
              <wp:extent cx="164465" cy="192405"/>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164465" cy="192405"/>
                      </a:xfrm>
                      <a:prstGeom prst="rect">
                        <a:avLst/>
                      </a:prstGeom>
                    </wps:spPr>
                    <wps:txbx>
                      <w:txbxContent>
                        <w:p>
                          <w:pPr>
                            <w:pStyle w:val="BodyText"/>
                            <w:spacing w:before="16"/>
                            <w:ind w:left="20"/>
                          </w:pPr>
                          <w:r>
                            <w:rPr>
                              <w:spacing w:val="-5"/>
                            </w:rPr>
                            <w:t>49</w:t>
                          </w:r>
                        </w:p>
                      </w:txbxContent>
                    </wps:txbx>
                    <wps:bodyPr wrap="square" lIns="0" tIns="0" rIns="0" bIns="0" rtlCol="0">
                      <a:noAutofit/>
                    </wps:bodyPr>
                  </wps:wsp>
                </a:graphicData>
              </a:graphic>
            </wp:anchor>
          </w:drawing>
        </mc:Choice>
        <mc:Fallback>
          <w:pict>
            <v:shape style="position:absolute;margin-left:512.5pt;margin-top:56.990005pt;width:12.95pt;height:15.15pt;mso-position-horizontal-relative:page;mso-position-vertical-relative:page;z-index:-23428608" type="#_x0000_t202" id="docshape151" filled="false" stroked="false">
              <v:textbox inset="0,0,0,0">
                <w:txbxContent>
                  <w:p>
                    <w:pPr>
                      <w:pStyle w:val="BodyText"/>
                      <w:spacing w:before="16"/>
                      <w:ind w:left="20"/>
                    </w:pPr>
                    <w:r>
                      <w:rPr>
                        <w:spacing w:val="-5"/>
                      </w:rPr>
                      <w:t>49</w:t>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88384">
              <wp:simplePos x="0" y="0"/>
              <wp:positionH relativeFrom="page">
                <wp:posOffset>861898</wp:posOffset>
              </wp:positionH>
              <wp:positionV relativeFrom="page">
                <wp:posOffset>723773</wp:posOffset>
              </wp:positionV>
              <wp:extent cx="227965" cy="192405"/>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50</w:t>
                          </w:r>
                          <w:r>
                            <w:rPr>
                              <w:spacing w:val="-5"/>
                            </w:rPr>
                            <w:fldChar w:fldCharType="end"/>
                          </w:r>
                        </w:p>
                      </w:txbxContent>
                    </wps:txbx>
                    <wps:bodyPr wrap="square" lIns="0" tIns="0" rIns="0" bIns="0" rtlCol="0">
                      <a:noAutofit/>
                    </wps:bodyPr>
                  </wps:wsp>
                </a:graphicData>
              </a:graphic>
            </wp:anchor>
          </w:drawing>
        </mc:Choice>
        <mc:Fallback>
          <w:pict>
            <v:shape style="position:absolute;margin-left:67.865997pt;margin-top:56.990005pt;width:17.95pt;height:15.15pt;mso-position-horizontal-relative:page;mso-position-vertical-relative:page;z-index:-23428096" type="#_x0000_t202" id="docshape152"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50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888896">
              <wp:simplePos x="0" y="0"/>
              <wp:positionH relativeFrom="page">
                <wp:posOffset>4482909</wp:posOffset>
              </wp:positionH>
              <wp:positionV relativeFrom="page">
                <wp:posOffset>723773</wp:posOffset>
              </wp:positionV>
              <wp:extent cx="1830070" cy="192405"/>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1830070" cy="192405"/>
                      </a:xfrm>
                      <a:prstGeom prst="rect">
                        <a:avLst/>
                      </a:prstGeom>
                    </wps:spPr>
                    <wps:txbx>
                      <w:txbxContent>
                        <w:p>
                          <w:pPr>
                            <w:spacing w:before="12"/>
                            <w:ind w:left="20" w:right="0" w:firstLine="0"/>
                            <w:jc w:val="left"/>
                            <w:rPr>
                              <w:rFonts w:ascii="Cambria"/>
                              <w:i/>
                              <w:sz w:val="22"/>
                            </w:rPr>
                          </w:pPr>
                          <w:r>
                            <w:rPr>
                              <w:rFonts w:ascii="Cambria"/>
                              <w:i/>
                              <w:sz w:val="22"/>
                            </w:rPr>
                            <w:t>Rule</w:t>
                          </w:r>
                          <w:r>
                            <w:rPr>
                              <w:rFonts w:ascii="Cambria"/>
                              <w:i/>
                              <w:spacing w:val="3"/>
                              <w:sz w:val="22"/>
                            </w:rPr>
                            <w:t> </w:t>
                          </w:r>
                          <w:r>
                            <w:rPr>
                              <w:rFonts w:ascii="Cambria"/>
                              <w:i/>
                              <w:sz w:val="22"/>
                            </w:rPr>
                            <w:t>Discovery</w:t>
                          </w:r>
                          <w:r>
                            <w:rPr>
                              <w:rFonts w:ascii="Cambria"/>
                              <w:i/>
                              <w:spacing w:val="4"/>
                              <w:sz w:val="22"/>
                            </w:rPr>
                            <w:t> </w:t>
                          </w:r>
                          <w:r>
                            <w:rPr>
                              <w:rFonts w:ascii="Cambria"/>
                              <w:i/>
                              <w:sz w:val="22"/>
                            </w:rPr>
                            <w:t>Results</w:t>
                          </w:r>
                          <w:r>
                            <w:rPr>
                              <w:rFonts w:ascii="Cambria"/>
                              <w:i/>
                              <w:spacing w:val="3"/>
                              <w:sz w:val="22"/>
                            </w:rPr>
                            <w:t> </w:t>
                          </w:r>
                          <w:r>
                            <w:rPr>
                              <w:rFonts w:ascii="Cambria"/>
                              <w:i/>
                              <w:sz w:val="22"/>
                            </w:rPr>
                            <w:t>(Goal</w:t>
                          </w:r>
                          <w:r>
                            <w:rPr>
                              <w:rFonts w:ascii="Cambria"/>
                              <w:i/>
                              <w:spacing w:val="4"/>
                              <w:sz w:val="22"/>
                            </w:rPr>
                            <w:t> </w:t>
                          </w:r>
                          <w:r>
                            <w:rPr>
                              <w:rFonts w:ascii="Cambria"/>
                              <w:i/>
                              <w:spacing w:val="-5"/>
                              <w:sz w:val="22"/>
                            </w:rPr>
                            <w:t>1)</w:t>
                          </w:r>
                        </w:p>
                      </w:txbxContent>
                    </wps:txbx>
                    <wps:bodyPr wrap="square" lIns="0" tIns="0" rIns="0" bIns="0" rtlCol="0">
                      <a:noAutofit/>
                    </wps:bodyPr>
                  </wps:wsp>
                </a:graphicData>
              </a:graphic>
            </wp:anchor>
          </w:drawing>
        </mc:Choice>
        <mc:Fallback>
          <w:pict>
            <v:shape style="position:absolute;margin-left:352.984985pt;margin-top:56.990005pt;width:144.1pt;height:15.15pt;mso-position-horizontal-relative:page;mso-position-vertical-relative:page;z-index:-23427584" type="#_x0000_t202" id="docshape153" filled="false" stroked="false">
              <v:textbox inset="0,0,0,0">
                <w:txbxContent>
                  <w:p>
                    <w:pPr>
                      <w:spacing w:before="12"/>
                      <w:ind w:left="20" w:right="0" w:firstLine="0"/>
                      <w:jc w:val="left"/>
                      <w:rPr>
                        <w:rFonts w:ascii="Cambria"/>
                        <w:i/>
                        <w:sz w:val="22"/>
                      </w:rPr>
                    </w:pPr>
                    <w:r>
                      <w:rPr>
                        <w:rFonts w:ascii="Cambria"/>
                        <w:i/>
                        <w:sz w:val="22"/>
                      </w:rPr>
                      <w:t>Rule</w:t>
                    </w:r>
                    <w:r>
                      <w:rPr>
                        <w:rFonts w:ascii="Cambria"/>
                        <w:i/>
                        <w:spacing w:val="3"/>
                        <w:sz w:val="22"/>
                      </w:rPr>
                      <w:t> </w:t>
                    </w:r>
                    <w:r>
                      <w:rPr>
                        <w:rFonts w:ascii="Cambria"/>
                        <w:i/>
                        <w:sz w:val="22"/>
                      </w:rPr>
                      <w:t>Discovery</w:t>
                    </w:r>
                    <w:r>
                      <w:rPr>
                        <w:rFonts w:ascii="Cambria"/>
                        <w:i/>
                        <w:spacing w:val="4"/>
                        <w:sz w:val="22"/>
                      </w:rPr>
                      <w:t> </w:t>
                    </w:r>
                    <w:r>
                      <w:rPr>
                        <w:rFonts w:ascii="Cambria"/>
                        <w:i/>
                        <w:sz w:val="22"/>
                      </w:rPr>
                      <w:t>Results</w:t>
                    </w:r>
                    <w:r>
                      <w:rPr>
                        <w:rFonts w:ascii="Cambria"/>
                        <w:i/>
                        <w:spacing w:val="3"/>
                        <w:sz w:val="22"/>
                      </w:rPr>
                      <w:t> </w:t>
                    </w:r>
                    <w:r>
                      <w:rPr>
                        <w:rFonts w:ascii="Cambria"/>
                        <w:i/>
                        <w:sz w:val="22"/>
                      </w:rPr>
                      <w:t>(Goal</w:t>
                    </w:r>
                    <w:r>
                      <w:rPr>
                        <w:rFonts w:ascii="Cambria"/>
                        <w:i/>
                        <w:spacing w:val="4"/>
                        <w:sz w:val="22"/>
                      </w:rPr>
                      <w:t> </w:t>
                    </w:r>
                    <w:r>
                      <w:rPr>
                        <w:rFonts w:ascii="Cambria"/>
                        <w:i/>
                        <w:spacing w:val="-5"/>
                        <w:sz w:val="22"/>
                      </w:rPr>
                      <w:t>1)</w:t>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89408">
              <wp:simplePos x="0" y="0"/>
              <wp:positionH relativeFrom="page">
                <wp:posOffset>1243838</wp:posOffset>
              </wp:positionH>
              <wp:positionV relativeFrom="page">
                <wp:posOffset>723773</wp:posOffset>
              </wp:positionV>
              <wp:extent cx="2904490" cy="192405"/>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2904490" cy="192405"/>
                      </a:xfrm>
                      <a:prstGeom prst="rect">
                        <a:avLst/>
                      </a:prstGeom>
                    </wps:spPr>
                    <wps:txbx>
                      <w:txbxContent>
                        <w:p>
                          <w:pPr>
                            <w:spacing w:before="12"/>
                            <w:ind w:left="20" w:right="0" w:firstLine="0"/>
                            <w:jc w:val="left"/>
                            <w:rPr>
                              <w:rFonts w:ascii="Cambria"/>
                              <w:i/>
                              <w:sz w:val="22"/>
                            </w:rPr>
                          </w:pPr>
                          <w:r>
                            <w:rPr>
                              <w:rFonts w:ascii="Cambria"/>
                              <w:i/>
                              <w:sz w:val="22"/>
                            </w:rPr>
                            <w:t>4.8</w:t>
                          </w:r>
                          <w:r>
                            <w:rPr>
                              <w:rFonts w:ascii="Cambria"/>
                              <w:i/>
                              <w:spacing w:val="-3"/>
                              <w:sz w:val="22"/>
                            </w:rPr>
                            <w:t> </w:t>
                          </w:r>
                          <w:r>
                            <w:rPr>
                              <w:rFonts w:ascii="Cambria"/>
                              <w:i/>
                              <w:sz w:val="22"/>
                            </w:rPr>
                            <w:t>Summary:</w:t>
                          </w:r>
                          <w:r>
                            <w:rPr>
                              <w:rFonts w:ascii="Cambria"/>
                              <w:i/>
                              <w:spacing w:val="10"/>
                              <w:sz w:val="22"/>
                            </w:rPr>
                            <w:t> </w:t>
                          </w:r>
                          <w:r>
                            <w:rPr>
                              <w:rFonts w:ascii="Cambria"/>
                              <w:i/>
                              <w:sz w:val="22"/>
                            </w:rPr>
                            <w:t>Rule</w:t>
                          </w:r>
                          <w:r>
                            <w:rPr>
                              <w:rFonts w:ascii="Cambria"/>
                              <w:i/>
                              <w:spacing w:val="-2"/>
                              <w:sz w:val="22"/>
                            </w:rPr>
                            <w:t> </w:t>
                          </w:r>
                          <w:r>
                            <w:rPr>
                              <w:rFonts w:ascii="Cambria"/>
                              <w:i/>
                              <w:sz w:val="22"/>
                            </w:rPr>
                            <w:t>Discovery</w:t>
                          </w:r>
                          <w:r>
                            <w:rPr>
                              <w:rFonts w:ascii="Cambria"/>
                              <w:i/>
                              <w:spacing w:val="-3"/>
                              <w:sz w:val="22"/>
                            </w:rPr>
                            <w:t> </w:t>
                          </w:r>
                          <w:r>
                            <w:rPr>
                              <w:rFonts w:ascii="Cambria"/>
                              <w:i/>
                              <w:sz w:val="22"/>
                            </w:rPr>
                            <w:t>Assessment</w:t>
                          </w:r>
                          <w:r>
                            <w:rPr>
                              <w:rFonts w:ascii="Cambria"/>
                              <w:i/>
                              <w:spacing w:val="-2"/>
                              <w:sz w:val="22"/>
                            </w:rPr>
                            <w:t> </w:t>
                          </w:r>
                          <w:r>
                            <w:rPr>
                              <w:rFonts w:ascii="Cambria"/>
                              <w:i/>
                              <w:sz w:val="22"/>
                            </w:rPr>
                            <w:t>(Goal</w:t>
                          </w:r>
                          <w:r>
                            <w:rPr>
                              <w:rFonts w:ascii="Cambria"/>
                              <w:i/>
                              <w:spacing w:val="-2"/>
                              <w:sz w:val="22"/>
                            </w:rPr>
                            <w:t> </w:t>
                          </w:r>
                          <w:r>
                            <w:rPr>
                              <w:rFonts w:ascii="Cambria"/>
                              <w:i/>
                              <w:spacing w:val="-5"/>
                              <w:sz w:val="22"/>
                            </w:rPr>
                            <w:t>1)</w:t>
                          </w:r>
                        </w:p>
                      </w:txbxContent>
                    </wps:txbx>
                    <wps:bodyPr wrap="square" lIns="0" tIns="0" rIns="0" bIns="0" rtlCol="0">
                      <a:noAutofit/>
                    </wps:bodyPr>
                  </wps:wsp>
                </a:graphicData>
              </a:graphic>
            </wp:anchor>
          </w:drawing>
        </mc:Choice>
        <mc:Fallback>
          <w:pict>
            <v:shape style="position:absolute;margin-left:97.940002pt;margin-top:56.990005pt;width:228.7pt;height:15.15pt;mso-position-horizontal-relative:page;mso-position-vertical-relative:page;z-index:-23427072" type="#_x0000_t202" id="docshape155" filled="false" stroked="false">
              <v:textbox inset="0,0,0,0">
                <w:txbxContent>
                  <w:p>
                    <w:pPr>
                      <w:spacing w:before="12"/>
                      <w:ind w:left="20" w:right="0" w:firstLine="0"/>
                      <w:jc w:val="left"/>
                      <w:rPr>
                        <w:rFonts w:ascii="Cambria"/>
                        <w:i/>
                        <w:sz w:val="22"/>
                      </w:rPr>
                    </w:pPr>
                    <w:r>
                      <w:rPr>
                        <w:rFonts w:ascii="Cambria"/>
                        <w:i/>
                        <w:sz w:val="22"/>
                      </w:rPr>
                      <w:t>4.8</w:t>
                    </w:r>
                    <w:r>
                      <w:rPr>
                        <w:rFonts w:ascii="Cambria"/>
                        <w:i/>
                        <w:spacing w:val="-3"/>
                        <w:sz w:val="22"/>
                      </w:rPr>
                      <w:t> </w:t>
                    </w:r>
                    <w:r>
                      <w:rPr>
                        <w:rFonts w:ascii="Cambria"/>
                        <w:i/>
                        <w:sz w:val="22"/>
                      </w:rPr>
                      <w:t>Summary:</w:t>
                    </w:r>
                    <w:r>
                      <w:rPr>
                        <w:rFonts w:ascii="Cambria"/>
                        <w:i/>
                        <w:spacing w:val="10"/>
                        <w:sz w:val="22"/>
                      </w:rPr>
                      <w:t> </w:t>
                    </w:r>
                    <w:r>
                      <w:rPr>
                        <w:rFonts w:ascii="Cambria"/>
                        <w:i/>
                        <w:sz w:val="22"/>
                      </w:rPr>
                      <w:t>Rule</w:t>
                    </w:r>
                    <w:r>
                      <w:rPr>
                        <w:rFonts w:ascii="Cambria"/>
                        <w:i/>
                        <w:spacing w:val="-2"/>
                        <w:sz w:val="22"/>
                      </w:rPr>
                      <w:t> </w:t>
                    </w:r>
                    <w:r>
                      <w:rPr>
                        <w:rFonts w:ascii="Cambria"/>
                        <w:i/>
                        <w:sz w:val="22"/>
                      </w:rPr>
                      <w:t>Discovery</w:t>
                    </w:r>
                    <w:r>
                      <w:rPr>
                        <w:rFonts w:ascii="Cambria"/>
                        <w:i/>
                        <w:spacing w:val="-3"/>
                        <w:sz w:val="22"/>
                      </w:rPr>
                      <w:t> </w:t>
                    </w:r>
                    <w:r>
                      <w:rPr>
                        <w:rFonts w:ascii="Cambria"/>
                        <w:i/>
                        <w:sz w:val="22"/>
                      </w:rPr>
                      <w:t>Assessment</w:t>
                    </w:r>
                    <w:r>
                      <w:rPr>
                        <w:rFonts w:ascii="Cambria"/>
                        <w:i/>
                        <w:spacing w:val="-2"/>
                        <w:sz w:val="22"/>
                      </w:rPr>
                      <w:t> </w:t>
                    </w:r>
                    <w:r>
                      <w:rPr>
                        <w:rFonts w:ascii="Cambria"/>
                        <w:i/>
                        <w:sz w:val="22"/>
                      </w:rPr>
                      <w:t>(Goal</w:t>
                    </w:r>
                    <w:r>
                      <w:rPr>
                        <w:rFonts w:ascii="Cambria"/>
                        <w:i/>
                        <w:spacing w:val="-2"/>
                        <w:sz w:val="22"/>
                      </w:rPr>
                      <w:t> </w:t>
                    </w:r>
                    <w:r>
                      <w:rPr>
                        <w:rFonts w:ascii="Cambria"/>
                        <w:i/>
                        <w:spacing w:val="-5"/>
                        <w:sz w:val="22"/>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79889920">
              <wp:simplePos x="0" y="0"/>
              <wp:positionH relativeFrom="page">
                <wp:posOffset>6508750</wp:posOffset>
              </wp:positionH>
              <wp:positionV relativeFrom="page">
                <wp:posOffset>723773</wp:posOffset>
              </wp:positionV>
              <wp:extent cx="164465" cy="192405"/>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164465" cy="192405"/>
                      </a:xfrm>
                      <a:prstGeom prst="rect">
                        <a:avLst/>
                      </a:prstGeom>
                    </wps:spPr>
                    <wps:txbx>
                      <w:txbxContent>
                        <w:p>
                          <w:pPr>
                            <w:pStyle w:val="BodyText"/>
                            <w:spacing w:before="16"/>
                            <w:ind w:left="20"/>
                          </w:pPr>
                          <w:r>
                            <w:rPr>
                              <w:spacing w:val="-5"/>
                            </w:rPr>
                            <w:t>51</w:t>
                          </w:r>
                        </w:p>
                      </w:txbxContent>
                    </wps:txbx>
                    <wps:bodyPr wrap="square" lIns="0" tIns="0" rIns="0" bIns="0" rtlCol="0">
                      <a:noAutofit/>
                    </wps:bodyPr>
                  </wps:wsp>
                </a:graphicData>
              </a:graphic>
            </wp:anchor>
          </w:drawing>
        </mc:Choice>
        <mc:Fallback>
          <w:pict>
            <v:shape style="position:absolute;margin-left:512.5pt;margin-top:56.990005pt;width:12.95pt;height:15.15pt;mso-position-horizontal-relative:page;mso-position-vertical-relative:page;z-index:-23426560" type="#_x0000_t202" id="docshape156" filled="false" stroked="false">
              <v:textbox inset="0,0,0,0">
                <w:txbxContent>
                  <w:p>
                    <w:pPr>
                      <w:pStyle w:val="BodyText"/>
                      <w:spacing w:before="16"/>
                      <w:ind w:left="20"/>
                    </w:pPr>
                    <w:r>
                      <w:rPr>
                        <w:spacing w:val="-5"/>
                      </w:rPr>
                      <w:t>51</w:t>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90432">
              <wp:simplePos x="0" y="0"/>
              <wp:positionH relativeFrom="page">
                <wp:posOffset>861898</wp:posOffset>
              </wp:positionH>
              <wp:positionV relativeFrom="page">
                <wp:posOffset>723773</wp:posOffset>
              </wp:positionV>
              <wp:extent cx="227965" cy="192405"/>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52</w:t>
                          </w:r>
                          <w:r>
                            <w:rPr>
                              <w:spacing w:val="-5"/>
                            </w:rPr>
                            <w:fldChar w:fldCharType="end"/>
                          </w:r>
                        </w:p>
                      </w:txbxContent>
                    </wps:txbx>
                    <wps:bodyPr wrap="square" lIns="0" tIns="0" rIns="0" bIns="0" rtlCol="0">
                      <a:noAutofit/>
                    </wps:bodyPr>
                  </wps:wsp>
                </a:graphicData>
              </a:graphic>
            </wp:anchor>
          </w:drawing>
        </mc:Choice>
        <mc:Fallback>
          <w:pict>
            <v:shape style="position:absolute;margin-left:67.865997pt;margin-top:56.990005pt;width:17.95pt;height:15.15pt;mso-position-horizontal-relative:page;mso-position-vertical-relative:page;z-index:-23426048" type="#_x0000_t202" id="docshape157"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52</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890944">
              <wp:simplePos x="0" y="0"/>
              <wp:positionH relativeFrom="page">
                <wp:posOffset>4482909</wp:posOffset>
              </wp:positionH>
              <wp:positionV relativeFrom="page">
                <wp:posOffset>723773</wp:posOffset>
              </wp:positionV>
              <wp:extent cx="1830070" cy="192405"/>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1830070" cy="192405"/>
                      </a:xfrm>
                      <a:prstGeom prst="rect">
                        <a:avLst/>
                      </a:prstGeom>
                    </wps:spPr>
                    <wps:txbx>
                      <w:txbxContent>
                        <w:p>
                          <w:pPr>
                            <w:spacing w:before="12"/>
                            <w:ind w:left="20" w:right="0" w:firstLine="0"/>
                            <w:jc w:val="left"/>
                            <w:rPr>
                              <w:rFonts w:ascii="Cambria"/>
                              <w:i/>
                              <w:sz w:val="22"/>
                            </w:rPr>
                          </w:pPr>
                          <w:r>
                            <w:rPr>
                              <w:rFonts w:ascii="Cambria"/>
                              <w:i/>
                              <w:sz w:val="22"/>
                            </w:rPr>
                            <w:t>Rule</w:t>
                          </w:r>
                          <w:r>
                            <w:rPr>
                              <w:rFonts w:ascii="Cambria"/>
                              <w:i/>
                              <w:spacing w:val="3"/>
                              <w:sz w:val="22"/>
                            </w:rPr>
                            <w:t> </w:t>
                          </w:r>
                          <w:r>
                            <w:rPr>
                              <w:rFonts w:ascii="Cambria"/>
                              <w:i/>
                              <w:sz w:val="22"/>
                            </w:rPr>
                            <w:t>Discovery</w:t>
                          </w:r>
                          <w:r>
                            <w:rPr>
                              <w:rFonts w:ascii="Cambria"/>
                              <w:i/>
                              <w:spacing w:val="4"/>
                              <w:sz w:val="22"/>
                            </w:rPr>
                            <w:t> </w:t>
                          </w:r>
                          <w:r>
                            <w:rPr>
                              <w:rFonts w:ascii="Cambria"/>
                              <w:i/>
                              <w:sz w:val="22"/>
                            </w:rPr>
                            <w:t>Results</w:t>
                          </w:r>
                          <w:r>
                            <w:rPr>
                              <w:rFonts w:ascii="Cambria"/>
                              <w:i/>
                              <w:spacing w:val="3"/>
                              <w:sz w:val="22"/>
                            </w:rPr>
                            <w:t> </w:t>
                          </w:r>
                          <w:r>
                            <w:rPr>
                              <w:rFonts w:ascii="Cambria"/>
                              <w:i/>
                              <w:sz w:val="22"/>
                            </w:rPr>
                            <w:t>(Goal</w:t>
                          </w:r>
                          <w:r>
                            <w:rPr>
                              <w:rFonts w:ascii="Cambria"/>
                              <w:i/>
                              <w:spacing w:val="4"/>
                              <w:sz w:val="22"/>
                            </w:rPr>
                            <w:t> </w:t>
                          </w:r>
                          <w:r>
                            <w:rPr>
                              <w:rFonts w:ascii="Cambria"/>
                              <w:i/>
                              <w:spacing w:val="-5"/>
                              <w:sz w:val="22"/>
                            </w:rPr>
                            <w:t>1)</w:t>
                          </w:r>
                        </w:p>
                      </w:txbxContent>
                    </wps:txbx>
                    <wps:bodyPr wrap="square" lIns="0" tIns="0" rIns="0" bIns="0" rtlCol="0">
                      <a:noAutofit/>
                    </wps:bodyPr>
                  </wps:wsp>
                </a:graphicData>
              </a:graphic>
            </wp:anchor>
          </w:drawing>
        </mc:Choice>
        <mc:Fallback>
          <w:pict>
            <v:shape style="position:absolute;margin-left:352.984985pt;margin-top:56.990005pt;width:144.1pt;height:15.15pt;mso-position-horizontal-relative:page;mso-position-vertical-relative:page;z-index:-23425536" type="#_x0000_t202" id="docshape158" filled="false" stroked="false">
              <v:textbox inset="0,0,0,0">
                <w:txbxContent>
                  <w:p>
                    <w:pPr>
                      <w:spacing w:before="12"/>
                      <w:ind w:left="20" w:right="0" w:firstLine="0"/>
                      <w:jc w:val="left"/>
                      <w:rPr>
                        <w:rFonts w:ascii="Cambria"/>
                        <w:i/>
                        <w:sz w:val="22"/>
                      </w:rPr>
                    </w:pPr>
                    <w:r>
                      <w:rPr>
                        <w:rFonts w:ascii="Cambria"/>
                        <w:i/>
                        <w:sz w:val="22"/>
                      </w:rPr>
                      <w:t>Rule</w:t>
                    </w:r>
                    <w:r>
                      <w:rPr>
                        <w:rFonts w:ascii="Cambria"/>
                        <w:i/>
                        <w:spacing w:val="3"/>
                        <w:sz w:val="22"/>
                      </w:rPr>
                      <w:t> </w:t>
                    </w:r>
                    <w:r>
                      <w:rPr>
                        <w:rFonts w:ascii="Cambria"/>
                        <w:i/>
                        <w:sz w:val="22"/>
                      </w:rPr>
                      <w:t>Discovery</w:t>
                    </w:r>
                    <w:r>
                      <w:rPr>
                        <w:rFonts w:ascii="Cambria"/>
                        <w:i/>
                        <w:spacing w:val="4"/>
                        <w:sz w:val="22"/>
                      </w:rPr>
                      <w:t> </w:t>
                    </w:r>
                    <w:r>
                      <w:rPr>
                        <w:rFonts w:ascii="Cambria"/>
                        <w:i/>
                        <w:sz w:val="22"/>
                      </w:rPr>
                      <w:t>Results</w:t>
                    </w:r>
                    <w:r>
                      <w:rPr>
                        <w:rFonts w:ascii="Cambria"/>
                        <w:i/>
                        <w:spacing w:val="3"/>
                        <w:sz w:val="22"/>
                      </w:rPr>
                      <w:t> </w:t>
                    </w:r>
                    <w:r>
                      <w:rPr>
                        <w:rFonts w:ascii="Cambria"/>
                        <w:i/>
                        <w:sz w:val="22"/>
                      </w:rPr>
                      <w:t>(Goal</w:t>
                    </w:r>
                    <w:r>
                      <w:rPr>
                        <w:rFonts w:ascii="Cambria"/>
                        <w:i/>
                        <w:spacing w:val="4"/>
                        <w:sz w:val="22"/>
                      </w:rPr>
                      <w:t> </w:t>
                    </w:r>
                    <w:r>
                      <w:rPr>
                        <w:rFonts w:ascii="Cambria"/>
                        <w:i/>
                        <w:spacing w:val="-5"/>
                        <w:sz w:val="22"/>
                      </w:rPr>
                      <w:t>1)</w:t>
                    </w: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91456">
              <wp:simplePos x="0" y="0"/>
              <wp:positionH relativeFrom="page">
                <wp:posOffset>861898</wp:posOffset>
              </wp:positionH>
              <wp:positionV relativeFrom="page">
                <wp:posOffset>723773</wp:posOffset>
              </wp:positionV>
              <wp:extent cx="227965" cy="192405"/>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54</w:t>
                          </w:r>
                          <w:r>
                            <w:rPr>
                              <w:spacing w:val="-5"/>
                            </w:rPr>
                            <w:fldChar w:fldCharType="end"/>
                          </w:r>
                        </w:p>
                      </w:txbxContent>
                    </wps:txbx>
                    <wps:bodyPr wrap="square" lIns="0" tIns="0" rIns="0" bIns="0" rtlCol="0">
                      <a:noAutofit/>
                    </wps:bodyPr>
                  </wps:wsp>
                </a:graphicData>
              </a:graphic>
            </wp:anchor>
          </w:drawing>
        </mc:Choice>
        <mc:Fallback>
          <w:pict>
            <v:shape style="position:absolute;margin-left:67.865997pt;margin-top:56.990005pt;width:17.95pt;height:15.15pt;mso-position-horizontal-relative:page;mso-position-vertical-relative:page;z-index:-23425024" type="#_x0000_t202" id="docshape160"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54</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891968">
              <wp:simplePos x="0" y="0"/>
              <wp:positionH relativeFrom="page">
                <wp:posOffset>4626711</wp:posOffset>
              </wp:positionH>
              <wp:positionV relativeFrom="page">
                <wp:posOffset>723773</wp:posOffset>
              </wp:positionV>
              <wp:extent cx="1686560" cy="192405"/>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1686560" cy="192405"/>
                      </a:xfrm>
                      <a:prstGeom prst="rect">
                        <a:avLst/>
                      </a:prstGeom>
                    </wps:spPr>
                    <wps:txbx>
                      <w:txbxContent>
                        <w:p>
                          <w:pPr>
                            <w:spacing w:before="12"/>
                            <w:ind w:left="20" w:right="0" w:firstLine="0"/>
                            <w:jc w:val="left"/>
                            <w:rPr>
                              <w:rFonts w:ascii="Cambria"/>
                              <w:i/>
                              <w:sz w:val="22"/>
                            </w:rPr>
                          </w:pPr>
                          <w:r>
                            <w:rPr>
                              <w:rFonts w:ascii="Cambria"/>
                              <w:i/>
                              <w:spacing w:val="-4"/>
                              <w:sz w:val="22"/>
                            </w:rPr>
                            <w:t>Predictive</w:t>
                          </w:r>
                          <w:r>
                            <w:rPr>
                              <w:rFonts w:ascii="Cambria"/>
                              <w:i/>
                              <w:spacing w:val="1"/>
                              <w:sz w:val="22"/>
                            </w:rPr>
                            <w:t> </w:t>
                          </w:r>
                          <w:r>
                            <w:rPr>
                              <w:rFonts w:ascii="Cambria"/>
                              <w:i/>
                              <w:spacing w:val="-4"/>
                              <w:sz w:val="22"/>
                            </w:rPr>
                            <w:t>Validation</w:t>
                          </w:r>
                          <w:r>
                            <w:rPr>
                              <w:rFonts w:ascii="Cambria"/>
                              <w:i/>
                              <w:spacing w:val="1"/>
                              <w:sz w:val="22"/>
                            </w:rPr>
                            <w:t> </w:t>
                          </w:r>
                          <w:r>
                            <w:rPr>
                              <w:rFonts w:ascii="Cambria"/>
                              <w:i/>
                              <w:spacing w:val="-4"/>
                              <w:sz w:val="22"/>
                            </w:rPr>
                            <w:t>(Goal</w:t>
                          </w:r>
                          <w:r>
                            <w:rPr>
                              <w:rFonts w:ascii="Cambria"/>
                              <w:i/>
                              <w:spacing w:val="1"/>
                              <w:sz w:val="22"/>
                            </w:rPr>
                            <w:t> </w:t>
                          </w:r>
                          <w:r>
                            <w:rPr>
                              <w:rFonts w:ascii="Cambria"/>
                              <w:i/>
                              <w:spacing w:val="-5"/>
                              <w:sz w:val="22"/>
                            </w:rPr>
                            <w:t>2)</w:t>
                          </w:r>
                        </w:p>
                      </w:txbxContent>
                    </wps:txbx>
                    <wps:bodyPr wrap="square" lIns="0" tIns="0" rIns="0" bIns="0" rtlCol="0">
                      <a:noAutofit/>
                    </wps:bodyPr>
                  </wps:wsp>
                </a:graphicData>
              </a:graphic>
            </wp:anchor>
          </w:drawing>
        </mc:Choice>
        <mc:Fallback>
          <w:pict>
            <v:shape style="position:absolute;margin-left:364.308014pt;margin-top:56.990005pt;width:132.8pt;height:15.15pt;mso-position-horizontal-relative:page;mso-position-vertical-relative:page;z-index:-23424512" type="#_x0000_t202" id="docshape161" filled="false" stroked="false">
              <v:textbox inset="0,0,0,0">
                <w:txbxContent>
                  <w:p>
                    <w:pPr>
                      <w:spacing w:before="12"/>
                      <w:ind w:left="20" w:right="0" w:firstLine="0"/>
                      <w:jc w:val="left"/>
                      <w:rPr>
                        <w:rFonts w:ascii="Cambria"/>
                        <w:i/>
                        <w:sz w:val="22"/>
                      </w:rPr>
                    </w:pPr>
                    <w:r>
                      <w:rPr>
                        <w:rFonts w:ascii="Cambria"/>
                        <w:i/>
                        <w:spacing w:val="-4"/>
                        <w:sz w:val="22"/>
                      </w:rPr>
                      <w:t>Predictive</w:t>
                    </w:r>
                    <w:r>
                      <w:rPr>
                        <w:rFonts w:ascii="Cambria"/>
                        <w:i/>
                        <w:spacing w:val="1"/>
                        <w:sz w:val="22"/>
                      </w:rPr>
                      <w:t> </w:t>
                    </w:r>
                    <w:r>
                      <w:rPr>
                        <w:rFonts w:ascii="Cambria"/>
                        <w:i/>
                        <w:spacing w:val="-4"/>
                        <w:sz w:val="22"/>
                      </w:rPr>
                      <w:t>Validation</w:t>
                    </w:r>
                    <w:r>
                      <w:rPr>
                        <w:rFonts w:ascii="Cambria"/>
                        <w:i/>
                        <w:spacing w:val="1"/>
                        <w:sz w:val="22"/>
                      </w:rPr>
                      <w:t> </w:t>
                    </w:r>
                    <w:r>
                      <w:rPr>
                        <w:rFonts w:ascii="Cambria"/>
                        <w:i/>
                        <w:spacing w:val="-4"/>
                        <w:sz w:val="22"/>
                      </w:rPr>
                      <w:t>(Goal</w:t>
                    </w:r>
                    <w:r>
                      <w:rPr>
                        <w:rFonts w:ascii="Cambria"/>
                        <w:i/>
                        <w:spacing w:val="1"/>
                        <w:sz w:val="22"/>
                      </w:rPr>
                      <w:t> </w:t>
                    </w:r>
                    <w:r>
                      <w:rPr>
                        <w:rFonts w:ascii="Cambria"/>
                        <w:i/>
                        <w:spacing w:val="-5"/>
                        <w:sz w:val="22"/>
                      </w:rPr>
                      <w:t>2)</w:t>
                    </w: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92480">
              <wp:simplePos x="0" y="0"/>
              <wp:positionH relativeFrom="page">
                <wp:posOffset>861898</wp:posOffset>
              </wp:positionH>
              <wp:positionV relativeFrom="page">
                <wp:posOffset>723773</wp:posOffset>
              </wp:positionV>
              <wp:extent cx="227965" cy="192405"/>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56</w:t>
                          </w:r>
                          <w:r>
                            <w:rPr>
                              <w:spacing w:val="-5"/>
                            </w:rPr>
                            <w:fldChar w:fldCharType="end"/>
                          </w:r>
                        </w:p>
                      </w:txbxContent>
                    </wps:txbx>
                    <wps:bodyPr wrap="square" lIns="0" tIns="0" rIns="0" bIns="0" rtlCol="0">
                      <a:noAutofit/>
                    </wps:bodyPr>
                  </wps:wsp>
                </a:graphicData>
              </a:graphic>
            </wp:anchor>
          </w:drawing>
        </mc:Choice>
        <mc:Fallback>
          <w:pict>
            <v:shape style="position:absolute;margin-left:67.865997pt;margin-top:56.990005pt;width:17.95pt;height:15.15pt;mso-position-horizontal-relative:page;mso-position-vertical-relative:page;z-index:-23424000" type="#_x0000_t202" id="docshape165"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56</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892992">
              <wp:simplePos x="0" y="0"/>
              <wp:positionH relativeFrom="page">
                <wp:posOffset>4626711</wp:posOffset>
              </wp:positionH>
              <wp:positionV relativeFrom="page">
                <wp:posOffset>723773</wp:posOffset>
              </wp:positionV>
              <wp:extent cx="1686560" cy="192405"/>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1686560" cy="192405"/>
                      </a:xfrm>
                      <a:prstGeom prst="rect">
                        <a:avLst/>
                      </a:prstGeom>
                    </wps:spPr>
                    <wps:txbx>
                      <w:txbxContent>
                        <w:p>
                          <w:pPr>
                            <w:spacing w:before="12"/>
                            <w:ind w:left="20" w:right="0" w:firstLine="0"/>
                            <w:jc w:val="left"/>
                            <w:rPr>
                              <w:rFonts w:ascii="Cambria"/>
                              <w:i/>
                              <w:sz w:val="22"/>
                            </w:rPr>
                          </w:pPr>
                          <w:r>
                            <w:rPr>
                              <w:rFonts w:ascii="Cambria"/>
                              <w:i/>
                              <w:spacing w:val="-4"/>
                              <w:sz w:val="22"/>
                            </w:rPr>
                            <w:t>Predictive</w:t>
                          </w:r>
                          <w:r>
                            <w:rPr>
                              <w:rFonts w:ascii="Cambria"/>
                              <w:i/>
                              <w:spacing w:val="1"/>
                              <w:sz w:val="22"/>
                            </w:rPr>
                            <w:t> </w:t>
                          </w:r>
                          <w:r>
                            <w:rPr>
                              <w:rFonts w:ascii="Cambria"/>
                              <w:i/>
                              <w:spacing w:val="-4"/>
                              <w:sz w:val="22"/>
                            </w:rPr>
                            <w:t>Validation</w:t>
                          </w:r>
                          <w:r>
                            <w:rPr>
                              <w:rFonts w:ascii="Cambria"/>
                              <w:i/>
                              <w:spacing w:val="1"/>
                              <w:sz w:val="22"/>
                            </w:rPr>
                            <w:t> </w:t>
                          </w:r>
                          <w:r>
                            <w:rPr>
                              <w:rFonts w:ascii="Cambria"/>
                              <w:i/>
                              <w:spacing w:val="-4"/>
                              <w:sz w:val="22"/>
                            </w:rPr>
                            <w:t>(Goal</w:t>
                          </w:r>
                          <w:r>
                            <w:rPr>
                              <w:rFonts w:ascii="Cambria"/>
                              <w:i/>
                              <w:spacing w:val="1"/>
                              <w:sz w:val="22"/>
                            </w:rPr>
                            <w:t> </w:t>
                          </w:r>
                          <w:r>
                            <w:rPr>
                              <w:rFonts w:ascii="Cambria"/>
                              <w:i/>
                              <w:spacing w:val="-5"/>
                              <w:sz w:val="22"/>
                            </w:rPr>
                            <w:t>2)</w:t>
                          </w:r>
                        </w:p>
                      </w:txbxContent>
                    </wps:txbx>
                    <wps:bodyPr wrap="square" lIns="0" tIns="0" rIns="0" bIns="0" rtlCol="0">
                      <a:noAutofit/>
                    </wps:bodyPr>
                  </wps:wsp>
                </a:graphicData>
              </a:graphic>
            </wp:anchor>
          </w:drawing>
        </mc:Choice>
        <mc:Fallback>
          <w:pict>
            <v:shape style="position:absolute;margin-left:364.308014pt;margin-top:56.990005pt;width:132.8pt;height:15.15pt;mso-position-horizontal-relative:page;mso-position-vertical-relative:page;z-index:-23423488" type="#_x0000_t202" id="docshape166" filled="false" stroked="false">
              <v:textbox inset="0,0,0,0">
                <w:txbxContent>
                  <w:p>
                    <w:pPr>
                      <w:spacing w:before="12"/>
                      <w:ind w:left="20" w:right="0" w:firstLine="0"/>
                      <w:jc w:val="left"/>
                      <w:rPr>
                        <w:rFonts w:ascii="Cambria"/>
                        <w:i/>
                        <w:sz w:val="22"/>
                      </w:rPr>
                    </w:pPr>
                    <w:r>
                      <w:rPr>
                        <w:rFonts w:ascii="Cambria"/>
                        <w:i/>
                        <w:spacing w:val="-4"/>
                        <w:sz w:val="22"/>
                      </w:rPr>
                      <w:t>Predictive</w:t>
                    </w:r>
                    <w:r>
                      <w:rPr>
                        <w:rFonts w:ascii="Cambria"/>
                        <w:i/>
                        <w:spacing w:val="1"/>
                        <w:sz w:val="22"/>
                      </w:rPr>
                      <w:t> </w:t>
                    </w:r>
                    <w:r>
                      <w:rPr>
                        <w:rFonts w:ascii="Cambria"/>
                        <w:i/>
                        <w:spacing w:val="-4"/>
                        <w:sz w:val="22"/>
                      </w:rPr>
                      <w:t>Validation</w:t>
                    </w:r>
                    <w:r>
                      <w:rPr>
                        <w:rFonts w:ascii="Cambria"/>
                        <w:i/>
                        <w:spacing w:val="1"/>
                        <w:sz w:val="22"/>
                      </w:rPr>
                      <w:t> </w:t>
                    </w:r>
                    <w:r>
                      <w:rPr>
                        <w:rFonts w:ascii="Cambria"/>
                        <w:i/>
                        <w:spacing w:val="-4"/>
                        <w:sz w:val="22"/>
                      </w:rPr>
                      <w:t>(Goal</w:t>
                    </w:r>
                    <w:r>
                      <w:rPr>
                        <w:rFonts w:ascii="Cambria"/>
                        <w:i/>
                        <w:spacing w:val="1"/>
                        <w:sz w:val="22"/>
                      </w:rPr>
                      <w:t> </w:t>
                    </w:r>
                    <w:r>
                      <w:rPr>
                        <w:rFonts w:ascii="Cambria"/>
                        <w:i/>
                        <w:spacing w:val="-5"/>
                        <w:sz w:val="22"/>
                      </w:rPr>
                      <w:t>2)</w:t>
                    </w:r>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93504">
              <wp:simplePos x="0" y="0"/>
              <wp:positionH relativeFrom="page">
                <wp:posOffset>1243838</wp:posOffset>
              </wp:positionH>
              <wp:positionV relativeFrom="page">
                <wp:posOffset>723773</wp:posOffset>
              </wp:positionV>
              <wp:extent cx="3086735" cy="192405"/>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3086735" cy="192405"/>
                      </a:xfrm>
                      <a:prstGeom prst="rect">
                        <a:avLst/>
                      </a:prstGeom>
                    </wps:spPr>
                    <wps:txbx>
                      <w:txbxContent>
                        <w:p>
                          <w:pPr>
                            <w:spacing w:before="12"/>
                            <w:ind w:left="20" w:right="0" w:firstLine="0"/>
                            <w:jc w:val="left"/>
                            <w:rPr>
                              <w:rFonts w:ascii="Cambria"/>
                              <w:i/>
                              <w:sz w:val="22"/>
                            </w:rPr>
                          </w:pPr>
                          <w:r>
                            <w:rPr>
                              <w:rFonts w:ascii="Cambria"/>
                              <w:i/>
                              <w:spacing w:val="-2"/>
                              <w:sz w:val="22"/>
                            </w:rPr>
                            <w:t>5.3</w:t>
                          </w:r>
                          <w:r>
                            <w:rPr>
                              <w:rFonts w:ascii="Cambria"/>
                              <w:i/>
                              <w:spacing w:val="-6"/>
                              <w:sz w:val="22"/>
                            </w:rPr>
                            <w:t> </w:t>
                          </w:r>
                          <w:r>
                            <w:rPr>
                              <w:rFonts w:ascii="Cambria"/>
                              <w:i/>
                              <w:spacing w:val="-2"/>
                              <w:sz w:val="22"/>
                            </w:rPr>
                            <w:t>Era</w:t>
                          </w:r>
                          <w:r>
                            <w:rPr>
                              <w:rFonts w:ascii="Cambria"/>
                              <w:i/>
                              <w:spacing w:val="-5"/>
                              <w:sz w:val="22"/>
                            </w:rPr>
                            <w:t> </w:t>
                          </w:r>
                          <w:r>
                            <w:rPr>
                              <w:rFonts w:ascii="Cambria"/>
                              <w:i/>
                              <w:spacing w:val="-2"/>
                              <w:sz w:val="22"/>
                            </w:rPr>
                            <w:t>Composition</w:t>
                          </w:r>
                          <w:r>
                            <w:rPr>
                              <w:rFonts w:ascii="Cambria"/>
                              <w:i/>
                              <w:spacing w:val="-5"/>
                              <w:sz w:val="22"/>
                            </w:rPr>
                            <w:t> </w:t>
                          </w:r>
                          <w:r>
                            <w:rPr>
                              <w:rFonts w:ascii="Cambria"/>
                              <w:i/>
                              <w:spacing w:val="-2"/>
                              <w:sz w:val="22"/>
                            </w:rPr>
                            <w:t>and</w:t>
                          </w:r>
                          <w:r>
                            <w:rPr>
                              <w:rFonts w:ascii="Cambria"/>
                              <w:i/>
                              <w:spacing w:val="-5"/>
                              <w:sz w:val="22"/>
                            </w:rPr>
                            <w:t> </w:t>
                          </w:r>
                          <w:r>
                            <w:rPr>
                              <w:rFonts w:ascii="Cambria"/>
                              <w:i/>
                              <w:spacing w:val="-2"/>
                              <w:sz w:val="22"/>
                            </w:rPr>
                            <w:t>Per-Scenario</w:t>
                          </w:r>
                          <w:r>
                            <w:rPr>
                              <w:rFonts w:ascii="Cambria"/>
                              <w:i/>
                              <w:spacing w:val="-5"/>
                              <w:sz w:val="22"/>
                            </w:rPr>
                            <w:t> </w:t>
                          </w:r>
                          <w:r>
                            <w:rPr>
                              <w:rFonts w:ascii="Cambria"/>
                              <w:i/>
                              <w:spacing w:val="-2"/>
                              <w:sz w:val="22"/>
                            </w:rPr>
                            <w:t>Analysis</w:t>
                          </w:r>
                          <w:r>
                            <w:rPr>
                              <w:rFonts w:ascii="Cambria"/>
                              <w:i/>
                              <w:spacing w:val="-5"/>
                              <w:sz w:val="22"/>
                            </w:rPr>
                            <w:t> </w:t>
                          </w:r>
                          <w:r>
                            <w:rPr>
                              <w:rFonts w:ascii="Cambria"/>
                              <w:i/>
                              <w:spacing w:val="-2"/>
                              <w:sz w:val="22"/>
                            </w:rPr>
                            <w:t>(RVV)</w:t>
                          </w:r>
                        </w:p>
                      </w:txbxContent>
                    </wps:txbx>
                    <wps:bodyPr wrap="square" lIns="0" tIns="0" rIns="0" bIns="0" rtlCol="0">
                      <a:noAutofit/>
                    </wps:bodyPr>
                  </wps:wsp>
                </a:graphicData>
              </a:graphic>
            </wp:anchor>
          </w:drawing>
        </mc:Choice>
        <mc:Fallback>
          <w:pict>
            <v:shape style="position:absolute;margin-left:97.940002pt;margin-top:56.990005pt;width:243.05pt;height:15.15pt;mso-position-horizontal-relative:page;mso-position-vertical-relative:page;z-index:-23422976" type="#_x0000_t202" id="docshape167" filled="false" stroked="false">
              <v:textbox inset="0,0,0,0">
                <w:txbxContent>
                  <w:p>
                    <w:pPr>
                      <w:spacing w:before="12"/>
                      <w:ind w:left="20" w:right="0" w:firstLine="0"/>
                      <w:jc w:val="left"/>
                      <w:rPr>
                        <w:rFonts w:ascii="Cambria"/>
                        <w:i/>
                        <w:sz w:val="22"/>
                      </w:rPr>
                    </w:pPr>
                    <w:r>
                      <w:rPr>
                        <w:rFonts w:ascii="Cambria"/>
                        <w:i/>
                        <w:spacing w:val="-2"/>
                        <w:sz w:val="22"/>
                      </w:rPr>
                      <w:t>5.3</w:t>
                    </w:r>
                    <w:r>
                      <w:rPr>
                        <w:rFonts w:ascii="Cambria"/>
                        <w:i/>
                        <w:spacing w:val="-6"/>
                        <w:sz w:val="22"/>
                      </w:rPr>
                      <w:t> </w:t>
                    </w:r>
                    <w:r>
                      <w:rPr>
                        <w:rFonts w:ascii="Cambria"/>
                        <w:i/>
                        <w:spacing w:val="-2"/>
                        <w:sz w:val="22"/>
                      </w:rPr>
                      <w:t>Era</w:t>
                    </w:r>
                    <w:r>
                      <w:rPr>
                        <w:rFonts w:ascii="Cambria"/>
                        <w:i/>
                        <w:spacing w:val="-5"/>
                        <w:sz w:val="22"/>
                      </w:rPr>
                      <w:t> </w:t>
                    </w:r>
                    <w:r>
                      <w:rPr>
                        <w:rFonts w:ascii="Cambria"/>
                        <w:i/>
                        <w:spacing w:val="-2"/>
                        <w:sz w:val="22"/>
                      </w:rPr>
                      <w:t>Composition</w:t>
                    </w:r>
                    <w:r>
                      <w:rPr>
                        <w:rFonts w:ascii="Cambria"/>
                        <w:i/>
                        <w:spacing w:val="-5"/>
                        <w:sz w:val="22"/>
                      </w:rPr>
                      <w:t> </w:t>
                    </w:r>
                    <w:r>
                      <w:rPr>
                        <w:rFonts w:ascii="Cambria"/>
                        <w:i/>
                        <w:spacing w:val="-2"/>
                        <w:sz w:val="22"/>
                      </w:rPr>
                      <w:t>and</w:t>
                    </w:r>
                    <w:r>
                      <w:rPr>
                        <w:rFonts w:ascii="Cambria"/>
                        <w:i/>
                        <w:spacing w:val="-5"/>
                        <w:sz w:val="22"/>
                      </w:rPr>
                      <w:t> </w:t>
                    </w:r>
                    <w:r>
                      <w:rPr>
                        <w:rFonts w:ascii="Cambria"/>
                        <w:i/>
                        <w:spacing w:val="-2"/>
                        <w:sz w:val="22"/>
                      </w:rPr>
                      <w:t>Per-Scenario</w:t>
                    </w:r>
                    <w:r>
                      <w:rPr>
                        <w:rFonts w:ascii="Cambria"/>
                        <w:i/>
                        <w:spacing w:val="-5"/>
                        <w:sz w:val="22"/>
                      </w:rPr>
                      <w:t> </w:t>
                    </w:r>
                    <w:r>
                      <w:rPr>
                        <w:rFonts w:ascii="Cambria"/>
                        <w:i/>
                        <w:spacing w:val="-2"/>
                        <w:sz w:val="22"/>
                      </w:rPr>
                      <w:t>Analysis</w:t>
                    </w:r>
                    <w:r>
                      <w:rPr>
                        <w:rFonts w:ascii="Cambria"/>
                        <w:i/>
                        <w:spacing w:val="-5"/>
                        <w:sz w:val="22"/>
                      </w:rPr>
                      <w:t> </w:t>
                    </w:r>
                    <w:r>
                      <w:rPr>
                        <w:rFonts w:ascii="Cambria"/>
                        <w:i/>
                        <w:spacing w:val="-2"/>
                        <w:sz w:val="22"/>
                      </w:rPr>
                      <w:t>(RVV)</w:t>
                    </w:r>
                  </w:p>
                </w:txbxContent>
              </v:textbox>
              <w10:wrap type="none"/>
            </v:shape>
          </w:pict>
        </mc:Fallback>
      </mc:AlternateContent>
    </w:r>
    <w:r>
      <w:rPr>
        <w:sz w:val="20"/>
      </w:rPr>
      <mc:AlternateContent>
        <mc:Choice Requires="wps">
          <w:drawing>
            <wp:anchor distT="0" distB="0" distL="0" distR="0" allowOverlap="1" layoutInCell="1" locked="0" behindDoc="1" simplePos="0" relativeHeight="479894016">
              <wp:simplePos x="0" y="0"/>
              <wp:positionH relativeFrom="page">
                <wp:posOffset>6508750</wp:posOffset>
              </wp:positionH>
              <wp:positionV relativeFrom="page">
                <wp:posOffset>723773</wp:posOffset>
              </wp:positionV>
              <wp:extent cx="164465" cy="192405"/>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164465" cy="192405"/>
                      </a:xfrm>
                      <a:prstGeom prst="rect">
                        <a:avLst/>
                      </a:prstGeom>
                    </wps:spPr>
                    <wps:txbx>
                      <w:txbxContent>
                        <w:p>
                          <w:pPr>
                            <w:pStyle w:val="BodyText"/>
                            <w:spacing w:before="16"/>
                            <w:ind w:left="20"/>
                          </w:pPr>
                          <w:r>
                            <w:rPr>
                              <w:spacing w:val="-5"/>
                            </w:rPr>
                            <w:t>57</w:t>
                          </w:r>
                        </w:p>
                      </w:txbxContent>
                    </wps:txbx>
                    <wps:bodyPr wrap="square" lIns="0" tIns="0" rIns="0" bIns="0" rtlCol="0">
                      <a:noAutofit/>
                    </wps:bodyPr>
                  </wps:wsp>
                </a:graphicData>
              </a:graphic>
            </wp:anchor>
          </w:drawing>
        </mc:Choice>
        <mc:Fallback>
          <w:pict>
            <v:shape style="position:absolute;margin-left:512.5pt;margin-top:56.990005pt;width:12.95pt;height:15.15pt;mso-position-horizontal-relative:page;mso-position-vertical-relative:page;z-index:-23422464" type="#_x0000_t202" id="docshape168" filled="false" stroked="false">
              <v:textbox inset="0,0,0,0">
                <w:txbxContent>
                  <w:p>
                    <w:pPr>
                      <w:pStyle w:val="BodyText"/>
                      <w:spacing w:before="16"/>
                      <w:ind w:left="20"/>
                    </w:pPr>
                    <w:r>
                      <w:rPr>
                        <w:spacing w:val="-5"/>
                      </w:rPr>
                      <w:t>57</w:t>
                    </w:r>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94528">
              <wp:simplePos x="0" y="0"/>
              <wp:positionH relativeFrom="page">
                <wp:posOffset>1243838</wp:posOffset>
              </wp:positionH>
              <wp:positionV relativeFrom="page">
                <wp:posOffset>723773</wp:posOffset>
              </wp:positionV>
              <wp:extent cx="2373630" cy="192405"/>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2373630" cy="192405"/>
                      </a:xfrm>
                      <a:prstGeom prst="rect">
                        <a:avLst/>
                      </a:prstGeom>
                    </wps:spPr>
                    <wps:txbx>
                      <w:txbxContent>
                        <w:p>
                          <w:pPr>
                            <w:spacing w:before="12"/>
                            <w:ind w:left="20" w:right="0" w:firstLine="0"/>
                            <w:jc w:val="left"/>
                            <w:rPr>
                              <w:rFonts w:ascii="Cambria"/>
                              <w:i/>
                              <w:sz w:val="22"/>
                            </w:rPr>
                          </w:pPr>
                          <w:r>
                            <w:rPr>
                              <w:rFonts w:ascii="Cambria"/>
                              <w:i/>
                              <w:sz w:val="22"/>
                            </w:rPr>
                            <w:t>5.5</w:t>
                          </w:r>
                          <w:r>
                            <w:rPr>
                              <w:rFonts w:ascii="Cambria"/>
                              <w:i/>
                              <w:spacing w:val="-10"/>
                              <w:sz w:val="22"/>
                            </w:rPr>
                            <w:t> </w:t>
                          </w:r>
                          <w:r>
                            <w:rPr>
                              <w:rFonts w:ascii="Cambria"/>
                              <w:i/>
                              <w:sz w:val="22"/>
                            </w:rPr>
                            <w:t>Detrend</w:t>
                          </w:r>
                          <w:r>
                            <w:rPr>
                              <w:rFonts w:ascii="Cambria"/>
                              <w:i/>
                              <w:spacing w:val="-9"/>
                              <w:sz w:val="22"/>
                            </w:rPr>
                            <w:t> </w:t>
                          </w:r>
                          <w:r>
                            <w:rPr>
                              <w:rFonts w:ascii="Cambria"/>
                              <w:i/>
                              <w:sz w:val="22"/>
                            </w:rPr>
                            <w:t>Sensitivity</w:t>
                          </w:r>
                          <w:r>
                            <w:rPr>
                              <w:rFonts w:ascii="Cambria"/>
                              <w:i/>
                              <w:spacing w:val="-9"/>
                              <w:sz w:val="22"/>
                            </w:rPr>
                            <w:t> </w:t>
                          </w:r>
                          <w:r>
                            <w:rPr>
                              <w:rFonts w:ascii="Cambria"/>
                              <w:i/>
                              <w:sz w:val="22"/>
                            </w:rPr>
                            <w:t>Analysis</w:t>
                          </w:r>
                          <w:r>
                            <w:rPr>
                              <w:rFonts w:ascii="Cambria"/>
                              <w:i/>
                              <w:spacing w:val="-9"/>
                              <w:sz w:val="22"/>
                            </w:rPr>
                            <w:t> </w:t>
                          </w:r>
                          <w:r>
                            <w:rPr>
                              <w:rFonts w:ascii="Cambria"/>
                              <w:i/>
                              <w:spacing w:val="-2"/>
                              <w:sz w:val="22"/>
                            </w:rPr>
                            <w:t>(LOESS)</w:t>
                          </w:r>
                        </w:p>
                      </w:txbxContent>
                    </wps:txbx>
                    <wps:bodyPr wrap="square" lIns="0" tIns="0" rIns="0" bIns="0" rtlCol="0">
                      <a:noAutofit/>
                    </wps:bodyPr>
                  </wps:wsp>
                </a:graphicData>
              </a:graphic>
            </wp:anchor>
          </w:drawing>
        </mc:Choice>
        <mc:Fallback>
          <w:pict>
            <v:shape style="position:absolute;margin-left:97.940002pt;margin-top:56.990005pt;width:186.9pt;height:15.15pt;mso-position-horizontal-relative:page;mso-position-vertical-relative:page;z-index:-23421952" type="#_x0000_t202" id="docshape172" filled="false" stroked="false">
              <v:textbox inset="0,0,0,0">
                <w:txbxContent>
                  <w:p>
                    <w:pPr>
                      <w:spacing w:before="12"/>
                      <w:ind w:left="20" w:right="0" w:firstLine="0"/>
                      <w:jc w:val="left"/>
                      <w:rPr>
                        <w:rFonts w:ascii="Cambria"/>
                        <w:i/>
                        <w:sz w:val="22"/>
                      </w:rPr>
                    </w:pPr>
                    <w:r>
                      <w:rPr>
                        <w:rFonts w:ascii="Cambria"/>
                        <w:i/>
                        <w:sz w:val="22"/>
                      </w:rPr>
                      <w:t>5.5</w:t>
                    </w:r>
                    <w:r>
                      <w:rPr>
                        <w:rFonts w:ascii="Cambria"/>
                        <w:i/>
                        <w:spacing w:val="-10"/>
                        <w:sz w:val="22"/>
                      </w:rPr>
                      <w:t> </w:t>
                    </w:r>
                    <w:r>
                      <w:rPr>
                        <w:rFonts w:ascii="Cambria"/>
                        <w:i/>
                        <w:sz w:val="22"/>
                      </w:rPr>
                      <w:t>Detrend</w:t>
                    </w:r>
                    <w:r>
                      <w:rPr>
                        <w:rFonts w:ascii="Cambria"/>
                        <w:i/>
                        <w:spacing w:val="-9"/>
                        <w:sz w:val="22"/>
                      </w:rPr>
                      <w:t> </w:t>
                    </w:r>
                    <w:r>
                      <w:rPr>
                        <w:rFonts w:ascii="Cambria"/>
                        <w:i/>
                        <w:sz w:val="22"/>
                      </w:rPr>
                      <w:t>Sensitivity</w:t>
                    </w:r>
                    <w:r>
                      <w:rPr>
                        <w:rFonts w:ascii="Cambria"/>
                        <w:i/>
                        <w:spacing w:val="-9"/>
                        <w:sz w:val="22"/>
                      </w:rPr>
                      <w:t> </w:t>
                    </w:r>
                    <w:r>
                      <w:rPr>
                        <w:rFonts w:ascii="Cambria"/>
                        <w:i/>
                        <w:sz w:val="22"/>
                      </w:rPr>
                      <w:t>Analysis</w:t>
                    </w:r>
                    <w:r>
                      <w:rPr>
                        <w:rFonts w:ascii="Cambria"/>
                        <w:i/>
                        <w:spacing w:val="-9"/>
                        <w:sz w:val="22"/>
                      </w:rPr>
                      <w:t> </w:t>
                    </w:r>
                    <w:r>
                      <w:rPr>
                        <w:rFonts w:ascii="Cambria"/>
                        <w:i/>
                        <w:spacing w:val="-2"/>
                        <w:sz w:val="22"/>
                      </w:rPr>
                      <w:t>(LOESS)</w:t>
                    </w:r>
                  </w:p>
                </w:txbxContent>
              </v:textbox>
              <w10:wrap type="none"/>
            </v:shape>
          </w:pict>
        </mc:Fallback>
      </mc:AlternateContent>
    </w:r>
    <w:r>
      <w:rPr>
        <w:sz w:val="20"/>
      </w:rPr>
      <mc:AlternateContent>
        <mc:Choice Requires="wps">
          <w:drawing>
            <wp:anchor distT="0" distB="0" distL="0" distR="0" allowOverlap="1" layoutInCell="1" locked="0" behindDoc="1" simplePos="0" relativeHeight="479895040">
              <wp:simplePos x="0" y="0"/>
              <wp:positionH relativeFrom="page">
                <wp:posOffset>6508750</wp:posOffset>
              </wp:positionH>
              <wp:positionV relativeFrom="page">
                <wp:posOffset>723773</wp:posOffset>
              </wp:positionV>
              <wp:extent cx="164465" cy="192405"/>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164465" cy="192405"/>
                      </a:xfrm>
                      <a:prstGeom prst="rect">
                        <a:avLst/>
                      </a:prstGeom>
                    </wps:spPr>
                    <wps:txbx>
                      <w:txbxContent>
                        <w:p>
                          <w:pPr>
                            <w:pStyle w:val="BodyText"/>
                            <w:spacing w:before="16"/>
                            <w:ind w:left="20"/>
                          </w:pPr>
                          <w:r>
                            <w:rPr>
                              <w:spacing w:val="-5"/>
                            </w:rPr>
                            <w:t>59</w:t>
                          </w:r>
                        </w:p>
                      </w:txbxContent>
                    </wps:txbx>
                    <wps:bodyPr wrap="square" lIns="0" tIns="0" rIns="0" bIns="0" rtlCol="0">
                      <a:noAutofit/>
                    </wps:bodyPr>
                  </wps:wsp>
                </a:graphicData>
              </a:graphic>
            </wp:anchor>
          </w:drawing>
        </mc:Choice>
        <mc:Fallback>
          <w:pict>
            <v:shape style="position:absolute;margin-left:512.5pt;margin-top:56.990005pt;width:12.95pt;height:15.15pt;mso-position-horizontal-relative:page;mso-position-vertical-relative:page;z-index:-23421440" type="#_x0000_t202" id="docshape173" filled="false" stroked="false">
              <v:textbox inset="0,0,0,0">
                <w:txbxContent>
                  <w:p>
                    <w:pPr>
                      <w:pStyle w:val="BodyText"/>
                      <w:spacing w:before="16"/>
                      <w:ind w:left="20"/>
                    </w:pPr>
                    <w:r>
                      <w:rPr>
                        <w:spacing w:val="-5"/>
                      </w:rPr>
                      <w:t>59</w:t>
                    </w:r>
                  </w:p>
                </w:txbxContent>
              </v:textbox>
              <w10:wrap type="none"/>
            </v:shape>
          </w:pict>
        </mc:Fallback>
      </mc:AlternateContent>
    </w: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95552">
              <wp:simplePos x="0" y="0"/>
              <wp:positionH relativeFrom="page">
                <wp:posOffset>861898</wp:posOffset>
              </wp:positionH>
              <wp:positionV relativeFrom="page">
                <wp:posOffset>723773</wp:posOffset>
              </wp:positionV>
              <wp:extent cx="227965" cy="192405"/>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60</w:t>
                          </w:r>
                          <w:r>
                            <w:rPr>
                              <w:spacing w:val="-5"/>
                            </w:rPr>
                            <w:fldChar w:fldCharType="end"/>
                          </w:r>
                        </w:p>
                      </w:txbxContent>
                    </wps:txbx>
                    <wps:bodyPr wrap="square" lIns="0" tIns="0" rIns="0" bIns="0" rtlCol="0">
                      <a:noAutofit/>
                    </wps:bodyPr>
                  </wps:wsp>
                </a:graphicData>
              </a:graphic>
            </wp:anchor>
          </w:drawing>
        </mc:Choice>
        <mc:Fallback>
          <w:pict>
            <v:shape style="position:absolute;margin-left:67.865997pt;margin-top:56.990005pt;width:17.95pt;height:15.15pt;mso-position-horizontal-relative:page;mso-position-vertical-relative:page;z-index:-23420928" type="#_x0000_t202" id="docshape174"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60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896064">
              <wp:simplePos x="0" y="0"/>
              <wp:positionH relativeFrom="page">
                <wp:posOffset>4626711</wp:posOffset>
              </wp:positionH>
              <wp:positionV relativeFrom="page">
                <wp:posOffset>723773</wp:posOffset>
              </wp:positionV>
              <wp:extent cx="1686560" cy="192405"/>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1686560" cy="192405"/>
                      </a:xfrm>
                      <a:prstGeom prst="rect">
                        <a:avLst/>
                      </a:prstGeom>
                    </wps:spPr>
                    <wps:txbx>
                      <w:txbxContent>
                        <w:p>
                          <w:pPr>
                            <w:spacing w:before="12"/>
                            <w:ind w:left="20" w:right="0" w:firstLine="0"/>
                            <w:jc w:val="left"/>
                            <w:rPr>
                              <w:rFonts w:ascii="Cambria"/>
                              <w:i/>
                              <w:sz w:val="22"/>
                            </w:rPr>
                          </w:pPr>
                          <w:r>
                            <w:rPr>
                              <w:rFonts w:ascii="Cambria"/>
                              <w:i/>
                              <w:spacing w:val="-4"/>
                              <w:sz w:val="22"/>
                            </w:rPr>
                            <w:t>Predictive</w:t>
                          </w:r>
                          <w:r>
                            <w:rPr>
                              <w:rFonts w:ascii="Cambria"/>
                              <w:i/>
                              <w:spacing w:val="1"/>
                              <w:sz w:val="22"/>
                            </w:rPr>
                            <w:t> </w:t>
                          </w:r>
                          <w:r>
                            <w:rPr>
                              <w:rFonts w:ascii="Cambria"/>
                              <w:i/>
                              <w:spacing w:val="-4"/>
                              <w:sz w:val="22"/>
                            </w:rPr>
                            <w:t>Validation</w:t>
                          </w:r>
                          <w:r>
                            <w:rPr>
                              <w:rFonts w:ascii="Cambria"/>
                              <w:i/>
                              <w:spacing w:val="1"/>
                              <w:sz w:val="22"/>
                            </w:rPr>
                            <w:t> </w:t>
                          </w:r>
                          <w:r>
                            <w:rPr>
                              <w:rFonts w:ascii="Cambria"/>
                              <w:i/>
                              <w:spacing w:val="-4"/>
                              <w:sz w:val="22"/>
                            </w:rPr>
                            <w:t>(Goal</w:t>
                          </w:r>
                          <w:r>
                            <w:rPr>
                              <w:rFonts w:ascii="Cambria"/>
                              <w:i/>
                              <w:spacing w:val="1"/>
                              <w:sz w:val="22"/>
                            </w:rPr>
                            <w:t> </w:t>
                          </w:r>
                          <w:r>
                            <w:rPr>
                              <w:rFonts w:ascii="Cambria"/>
                              <w:i/>
                              <w:spacing w:val="-5"/>
                              <w:sz w:val="22"/>
                            </w:rPr>
                            <w:t>2)</w:t>
                          </w:r>
                        </w:p>
                      </w:txbxContent>
                    </wps:txbx>
                    <wps:bodyPr wrap="square" lIns="0" tIns="0" rIns="0" bIns="0" rtlCol="0">
                      <a:noAutofit/>
                    </wps:bodyPr>
                  </wps:wsp>
                </a:graphicData>
              </a:graphic>
            </wp:anchor>
          </w:drawing>
        </mc:Choice>
        <mc:Fallback>
          <w:pict>
            <v:shape style="position:absolute;margin-left:364.308014pt;margin-top:56.990005pt;width:132.8pt;height:15.15pt;mso-position-horizontal-relative:page;mso-position-vertical-relative:page;z-index:-23420416" type="#_x0000_t202" id="docshape175" filled="false" stroked="false">
              <v:textbox inset="0,0,0,0">
                <w:txbxContent>
                  <w:p>
                    <w:pPr>
                      <w:spacing w:before="12"/>
                      <w:ind w:left="20" w:right="0" w:firstLine="0"/>
                      <w:jc w:val="left"/>
                      <w:rPr>
                        <w:rFonts w:ascii="Cambria"/>
                        <w:i/>
                        <w:sz w:val="22"/>
                      </w:rPr>
                    </w:pPr>
                    <w:r>
                      <w:rPr>
                        <w:rFonts w:ascii="Cambria"/>
                        <w:i/>
                        <w:spacing w:val="-4"/>
                        <w:sz w:val="22"/>
                      </w:rPr>
                      <w:t>Predictive</w:t>
                    </w:r>
                    <w:r>
                      <w:rPr>
                        <w:rFonts w:ascii="Cambria"/>
                        <w:i/>
                        <w:spacing w:val="1"/>
                        <w:sz w:val="22"/>
                      </w:rPr>
                      <w:t> </w:t>
                    </w:r>
                    <w:r>
                      <w:rPr>
                        <w:rFonts w:ascii="Cambria"/>
                        <w:i/>
                        <w:spacing w:val="-4"/>
                        <w:sz w:val="22"/>
                      </w:rPr>
                      <w:t>Validation</w:t>
                    </w:r>
                    <w:r>
                      <w:rPr>
                        <w:rFonts w:ascii="Cambria"/>
                        <w:i/>
                        <w:spacing w:val="1"/>
                        <w:sz w:val="22"/>
                      </w:rPr>
                      <w:t> </w:t>
                    </w:r>
                    <w:r>
                      <w:rPr>
                        <w:rFonts w:ascii="Cambria"/>
                        <w:i/>
                        <w:spacing w:val="-4"/>
                        <w:sz w:val="22"/>
                      </w:rPr>
                      <w:t>(Goal</w:t>
                    </w:r>
                    <w:r>
                      <w:rPr>
                        <w:rFonts w:ascii="Cambria"/>
                        <w:i/>
                        <w:spacing w:val="1"/>
                        <w:sz w:val="22"/>
                      </w:rPr>
                      <w:t> </w:t>
                    </w:r>
                    <w:r>
                      <w:rPr>
                        <w:rFonts w:ascii="Cambria"/>
                        <w:i/>
                        <w:spacing w:val="-5"/>
                        <w:sz w:val="22"/>
                      </w:rPr>
                      <w:t>2)</w:t>
                    </w:r>
                  </w:p>
                </w:txbxContent>
              </v:textbox>
              <w10:wrap type="none"/>
            </v:shap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96576">
              <wp:simplePos x="0" y="0"/>
              <wp:positionH relativeFrom="page">
                <wp:posOffset>1243838</wp:posOffset>
              </wp:positionH>
              <wp:positionV relativeFrom="page">
                <wp:posOffset>723773</wp:posOffset>
              </wp:positionV>
              <wp:extent cx="2135505" cy="192405"/>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2135505" cy="192405"/>
                      </a:xfrm>
                      <a:prstGeom prst="rect">
                        <a:avLst/>
                      </a:prstGeom>
                    </wps:spPr>
                    <wps:txbx>
                      <w:txbxContent>
                        <w:p>
                          <w:pPr>
                            <w:spacing w:before="12"/>
                            <w:ind w:left="20" w:right="0" w:firstLine="0"/>
                            <w:jc w:val="left"/>
                            <w:rPr>
                              <w:rFonts w:ascii="Cambria"/>
                              <w:i/>
                              <w:sz w:val="22"/>
                            </w:rPr>
                          </w:pPr>
                          <w:r>
                            <w:rPr>
                              <w:rFonts w:ascii="Cambria"/>
                              <w:i/>
                              <w:sz w:val="22"/>
                            </w:rPr>
                            <w:t>5.8</w:t>
                          </w:r>
                          <w:r>
                            <w:rPr>
                              <w:rFonts w:ascii="Cambria"/>
                              <w:i/>
                              <w:spacing w:val="-1"/>
                              <w:sz w:val="22"/>
                            </w:rPr>
                            <w:t> </w:t>
                          </w:r>
                          <w:r>
                            <w:rPr>
                              <w:rFonts w:ascii="Cambria"/>
                              <w:i/>
                              <w:sz w:val="22"/>
                            </w:rPr>
                            <w:t>Per-Scenario MAE:</w:t>
                          </w:r>
                          <w:r>
                            <w:rPr>
                              <w:rFonts w:ascii="Cambria"/>
                              <w:i/>
                              <w:spacing w:val="-1"/>
                              <w:sz w:val="22"/>
                            </w:rPr>
                            <w:t> </w:t>
                          </w:r>
                          <w:r>
                            <w:rPr>
                              <w:rFonts w:ascii="Cambria"/>
                              <w:i/>
                              <w:sz w:val="22"/>
                            </w:rPr>
                            <w:t>Douro </w:t>
                          </w:r>
                          <w:r>
                            <w:rPr>
                              <w:rFonts w:ascii="Cambria"/>
                              <w:i/>
                              <w:spacing w:val="-2"/>
                              <w:sz w:val="22"/>
                            </w:rPr>
                            <w:t>(RDD)</w:t>
                          </w:r>
                        </w:p>
                      </w:txbxContent>
                    </wps:txbx>
                    <wps:bodyPr wrap="square" lIns="0" tIns="0" rIns="0" bIns="0" rtlCol="0">
                      <a:noAutofit/>
                    </wps:bodyPr>
                  </wps:wsp>
                </a:graphicData>
              </a:graphic>
            </wp:anchor>
          </w:drawing>
        </mc:Choice>
        <mc:Fallback>
          <w:pict>
            <v:shape style="position:absolute;margin-left:97.940002pt;margin-top:56.990005pt;width:168.15pt;height:15.15pt;mso-position-horizontal-relative:page;mso-position-vertical-relative:page;z-index:-23419904" type="#_x0000_t202" id="docshape177" filled="false" stroked="false">
              <v:textbox inset="0,0,0,0">
                <w:txbxContent>
                  <w:p>
                    <w:pPr>
                      <w:spacing w:before="12"/>
                      <w:ind w:left="20" w:right="0" w:firstLine="0"/>
                      <w:jc w:val="left"/>
                      <w:rPr>
                        <w:rFonts w:ascii="Cambria"/>
                        <w:i/>
                        <w:sz w:val="22"/>
                      </w:rPr>
                    </w:pPr>
                    <w:r>
                      <w:rPr>
                        <w:rFonts w:ascii="Cambria"/>
                        <w:i/>
                        <w:sz w:val="22"/>
                      </w:rPr>
                      <w:t>5.8</w:t>
                    </w:r>
                    <w:r>
                      <w:rPr>
                        <w:rFonts w:ascii="Cambria"/>
                        <w:i/>
                        <w:spacing w:val="-1"/>
                        <w:sz w:val="22"/>
                      </w:rPr>
                      <w:t> </w:t>
                    </w:r>
                    <w:r>
                      <w:rPr>
                        <w:rFonts w:ascii="Cambria"/>
                        <w:i/>
                        <w:sz w:val="22"/>
                      </w:rPr>
                      <w:t>Per-Scenario MAE:</w:t>
                    </w:r>
                    <w:r>
                      <w:rPr>
                        <w:rFonts w:ascii="Cambria"/>
                        <w:i/>
                        <w:spacing w:val="-1"/>
                        <w:sz w:val="22"/>
                      </w:rPr>
                      <w:t> </w:t>
                    </w:r>
                    <w:r>
                      <w:rPr>
                        <w:rFonts w:ascii="Cambria"/>
                        <w:i/>
                        <w:sz w:val="22"/>
                      </w:rPr>
                      <w:t>Douro </w:t>
                    </w:r>
                    <w:r>
                      <w:rPr>
                        <w:rFonts w:ascii="Cambria"/>
                        <w:i/>
                        <w:spacing w:val="-2"/>
                        <w:sz w:val="22"/>
                      </w:rPr>
                      <w:t>(RDD)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897088">
              <wp:simplePos x="0" y="0"/>
              <wp:positionH relativeFrom="page">
                <wp:posOffset>6508750</wp:posOffset>
              </wp:positionH>
              <wp:positionV relativeFrom="page">
                <wp:posOffset>723773</wp:posOffset>
              </wp:positionV>
              <wp:extent cx="164465" cy="192405"/>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164465" cy="192405"/>
                      </a:xfrm>
                      <a:prstGeom prst="rect">
                        <a:avLst/>
                      </a:prstGeom>
                    </wps:spPr>
                    <wps:txbx>
                      <w:txbxContent>
                        <w:p>
                          <w:pPr>
                            <w:pStyle w:val="BodyText"/>
                            <w:spacing w:before="16"/>
                            <w:ind w:left="20"/>
                          </w:pPr>
                          <w:r>
                            <w:rPr>
                              <w:spacing w:val="-5"/>
                            </w:rPr>
                            <w:t>61</w:t>
                          </w:r>
                        </w:p>
                      </w:txbxContent>
                    </wps:txbx>
                    <wps:bodyPr wrap="square" lIns="0" tIns="0" rIns="0" bIns="0" rtlCol="0">
                      <a:noAutofit/>
                    </wps:bodyPr>
                  </wps:wsp>
                </a:graphicData>
              </a:graphic>
            </wp:anchor>
          </w:drawing>
        </mc:Choice>
        <mc:Fallback>
          <w:pict>
            <v:shape style="position:absolute;margin-left:512.5pt;margin-top:56.990005pt;width:12.95pt;height:15.15pt;mso-position-horizontal-relative:page;mso-position-vertical-relative:page;z-index:-23419392" type="#_x0000_t202" id="docshape178" filled="false" stroked="false">
              <v:textbox inset="0,0,0,0">
                <w:txbxContent>
                  <w:p>
                    <w:pPr>
                      <w:pStyle w:val="BodyText"/>
                      <w:spacing w:before="16"/>
                      <w:ind w:left="20"/>
                    </w:pPr>
                    <w:r>
                      <w:rPr>
                        <w:spacing w:val="-5"/>
                      </w:rPr>
                      <w:t>61</w:t>
                    </w:r>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97600">
              <wp:simplePos x="0" y="0"/>
              <wp:positionH relativeFrom="page">
                <wp:posOffset>861898</wp:posOffset>
              </wp:positionH>
              <wp:positionV relativeFrom="page">
                <wp:posOffset>723773</wp:posOffset>
              </wp:positionV>
              <wp:extent cx="227965" cy="192405"/>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62</w:t>
                          </w:r>
                          <w:r>
                            <w:rPr>
                              <w:spacing w:val="-5"/>
                            </w:rPr>
                            <w:fldChar w:fldCharType="end"/>
                          </w:r>
                        </w:p>
                      </w:txbxContent>
                    </wps:txbx>
                    <wps:bodyPr wrap="square" lIns="0" tIns="0" rIns="0" bIns="0" rtlCol="0">
                      <a:noAutofit/>
                    </wps:bodyPr>
                  </wps:wsp>
                </a:graphicData>
              </a:graphic>
            </wp:anchor>
          </w:drawing>
        </mc:Choice>
        <mc:Fallback>
          <w:pict>
            <v:shape style="position:absolute;margin-left:67.865997pt;margin-top:56.990005pt;width:17.95pt;height:15.15pt;mso-position-horizontal-relative:page;mso-position-vertical-relative:page;z-index:-23418880" type="#_x0000_t202" id="docshape179"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62</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898112">
              <wp:simplePos x="0" y="0"/>
              <wp:positionH relativeFrom="page">
                <wp:posOffset>4626711</wp:posOffset>
              </wp:positionH>
              <wp:positionV relativeFrom="page">
                <wp:posOffset>723773</wp:posOffset>
              </wp:positionV>
              <wp:extent cx="1686560" cy="192405"/>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1686560" cy="192405"/>
                      </a:xfrm>
                      <a:prstGeom prst="rect">
                        <a:avLst/>
                      </a:prstGeom>
                    </wps:spPr>
                    <wps:txbx>
                      <w:txbxContent>
                        <w:p>
                          <w:pPr>
                            <w:spacing w:before="12"/>
                            <w:ind w:left="20" w:right="0" w:firstLine="0"/>
                            <w:jc w:val="left"/>
                            <w:rPr>
                              <w:rFonts w:ascii="Cambria"/>
                              <w:i/>
                              <w:sz w:val="22"/>
                            </w:rPr>
                          </w:pPr>
                          <w:r>
                            <w:rPr>
                              <w:rFonts w:ascii="Cambria"/>
                              <w:i/>
                              <w:spacing w:val="-4"/>
                              <w:sz w:val="22"/>
                            </w:rPr>
                            <w:t>Predictive</w:t>
                          </w:r>
                          <w:r>
                            <w:rPr>
                              <w:rFonts w:ascii="Cambria"/>
                              <w:i/>
                              <w:spacing w:val="1"/>
                              <w:sz w:val="22"/>
                            </w:rPr>
                            <w:t> </w:t>
                          </w:r>
                          <w:r>
                            <w:rPr>
                              <w:rFonts w:ascii="Cambria"/>
                              <w:i/>
                              <w:spacing w:val="-4"/>
                              <w:sz w:val="22"/>
                            </w:rPr>
                            <w:t>Validation</w:t>
                          </w:r>
                          <w:r>
                            <w:rPr>
                              <w:rFonts w:ascii="Cambria"/>
                              <w:i/>
                              <w:spacing w:val="1"/>
                              <w:sz w:val="22"/>
                            </w:rPr>
                            <w:t> </w:t>
                          </w:r>
                          <w:r>
                            <w:rPr>
                              <w:rFonts w:ascii="Cambria"/>
                              <w:i/>
                              <w:spacing w:val="-4"/>
                              <w:sz w:val="22"/>
                            </w:rPr>
                            <w:t>(Goal</w:t>
                          </w:r>
                          <w:r>
                            <w:rPr>
                              <w:rFonts w:ascii="Cambria"/>
                              <w:i/>
                              <w:spacing w:val="1"/>
                              <w:sz w:val="22"/>
                            </w:rPr>
                            <w:t> </w:t>
                          </w:r>
                          <w:r>
                            <w:rPr>
                              <w:rFonts w:ascii="Cambria"/>
                              <w:i/>
                              <w:spacing w:val="-5"/>
                              <w:sz w:val="22"/>
                            </w:rPr>
                            <w:t>2)</w:t>
                          </w:r>
                        </w:p>
                      </w:txbxContent>
                    </wps:txbx>
                    <wps:bodyPr wrap="square" lIns="0" tIns="0" rIns="0" bIns="0" rtlCol="0">
                      <a:noAutofit/>
                    </wps:bodyPr>
                  </wps:wsp>
                </a:graphicData>
              </a:graphic>
            </wp:anchor>
          </w:drawing>
        </mc:Choice>
        <mc:Fallback>
          <w:pict>
            <v:shape style="position:absolute;margin-left:364.308014pt;margin-top:56.990005pt;width:132.8pt;height:15.15pt;mso-position-horizontal-relative:page;mso-position-vertical-relative:page;z-index:-23418368" type="#_x0000_t202" id="docshape180" filled="false" stroked="false">
              <v:textbox inset="0,0,0,0">
                <w:txbxContent>
                  <w:p>
                    <w:pPr>
                      <w:spacing w:before="12"/>
                      <w:ind w:left="20" w:right="0" w:firstLine="0"/>
                      <w:jc w:val="left"/>
                      <w:rPr>
                        <w:rFonts w:ascii="Cambria"/>
                        <w:i/>
                        <w:sz w:val="22"/>
                      </w:rPr>
                    </w:pPr>
                    <w:r>
                      <w:rPr>
                        <w:rFonts w:ascii="Cambria"/>
                        <w:i/>
                        <w:spacing w:val="-4"/>
                        <w:sz w:val="22"/>
                      </w:rPr>
                      <w:t>Predictive</w:t>
                    </w:r>
                    <w:r>
                      <w:rPr>
                        <w:rFonts w:ascii="Cambria"/>
                        <w:i/>
                        <w:spacing w:val="1"/>
                        <w:sz w:val="22"/>
                      </w:rPr>
                      <w:t> </w:t>
                    </w:r>
                    <w:r>
                      <w:rPr>
                        <w:rFonts w:ascii="Cambria"/>
                        <w:i/>
                        <w:spacing w:val="-4"/>
                        <w:sz w:val="22"/>
                      </w:rPr>
                      <w:t>Validation</w:t>
                    </w:r>
                    <w:r>
                      <w:rPr>
                        <w:rFonts w:ascii="Cambria"/>
                        <w:i/>
                        <w:spacing w:val="1"/>
                        <w:sz w:val="22"/>
                      </w:rPr>
                      <w:t> </w:t>
                    </w:r>
                    <w:r>
                      <w:rPr>
                        <w:rFonts w:ascii="Cambria"/>
                        <w:i/>
                        <w:spacing w:val="-4"/>
                        <w:sz w:val="22"/>
                      </w:rPr>
                      <w:t>(Goal</w:t>
                    </w:r>
                    <w:r>
                      <w:rPr>
                        <w:rFonts w:ascii="Cambria"/>
                        <w:i/>
                        <w:spacing w:val="1"/>
                        <w:sz w:val="22"/>
                      </w:rPr>
                      <w:t> </w:t>
                    </w:r>
                    <w:r>
                      <w:rPr>
                        <w:rFonts w:ascii="Cambria"/>
                        <w:i/>
                        <w:spacing w:val="-5"/>
                        <w:sz w:val="22"/>
                      </w:rPr>
                      <w:t>2)</w:t>
                    </w:r>
                  </w:p>
                </w:txbxContent>
              </v:textbox>
              <w10:wrap type="none"/>
            </v:shape>
          </w:pict>
        </mc:Fallback>
      </mc:AlternateContent>
    </w: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98624">
              <wp:simplePos x="0" y="0"/>
              <wp:positionH relativeFrom="page">
                <wp:posOffset>1243838</wp:posOffset>
              </wp:positionH>
              <wp:positionV relativeFrom="page">
                <wp:posOffset>723773</wp:posOffset>
              </wp:positionV>
              <wp:extent cx="2466340" cy="192405"/>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2466340" cy="192405"/>
                      </a:xfrm>
                      <a:prstGeom prst="rect">
                        <a:avLst/>
                      </a:prstGeom>
                    </wps:spPr>
                    <wps:txbx>
                      <w:txbxContent>
                        <w:p>
                          <w:pPr>
                            <w:spacing w:before="12"/>
                            <w:ind w:left="20" w:right="0" w:firstLine="0"/>
                            <w:jc w:val="left"/>
                            <w:rPr>
                              <w:rFonts w:ascii="Cambria"/>
                              <w:i/>
                              <w:sz w:val="22"/>
                            </w:rPr>
                          </w:pPr>
                          <w:r>
                            <w:rPr>
                              <w:rFonts w:ascii="Cambria"/>
                              <w:i/>
                              <w:sz w:val="22"/>
                            </w:rPr>
                            <w:t>5.9</w:t>
                          </w:r>
                          <w:r>
                            <w:rPr>
                              <w:rFonts w:ascii="Cambria"/>
                              <w:i/>
                              <w:spacing w:val="-2"/>
                              <w:sz w:val="22"/>
                            </w:rPr>
                            <w:t> </w:t>
                          </w:r>
                          <w:r>
                            <w:rPr>
                              <w:rFonts w:ascii="Cambria"/>
                              <w:i/>
                              <w:sz w:val="22"/>
                            </w:rPr>
                            <w:t>Per-Scenario</w:t>
                          </w:r>
                          <w:r>
                            <w:rPr>
                              <w:rFonts w:ascii="Cambria"/>
                              <w:i/>
                              <w:spacing w:val="-2"/>
                              <w:sz w:val="22"/>
                            </w:rPr>
                            <w:t> </w:t>
                          </w:r>
                          <w:r>
                            <w:rPr>
                              <w:rFonts w:ascii="Cambria"/>
                              <w:i/>
                              <w:sz w:val="22"/>
                            </w:rPr>
                            <w:t>MAE:</w:t>
                          </w:r>
                          <w:r>
                            <w:rPr>
                              <w:rFonts w:ascii="Cambria"/>
                              <w:i/>
                              <w:spacing w:val="-2"/>
                              <w:sz w:val="22"/>
                            </w:rPr>
                            <w:t> </w:t>
                          </w:r>
                          <w:r>
                            <w:rPr>
                              <w:rFonts w:ascii="Cambria"/>
                              <w:i/>
                              <w:sz w:val="22"/>
                            </w:rPr>
                            <w:t>Vinho</w:t>
                          </w:r>
                          <w:r>
                            <w:rPr>
                              <w:rFonts w:ascii="Cambria"/>
                              <w:i/>
                              <w:spacing w:val="-2"/>
                              <w:sz w:val="22"/>
                            </w:rPr>
                            <w:t> </w:t>
                          </w:r>
                          <w:r>
                            <w:rPr>
                              <w:rFonts w:ascii="Cambria"/>
                              <w:i/>
                              <w:sz w:val="22"/>
                            </w:rPr>
                            <w:t>Verde</w:t>
                          </w:r>
                          <w:r>
                            <w:rPr>
                              <w:rFonts w:ascii="Cambria"/>
                              <w:i/>
                              <w:spacing w:val="-1"/>
                              <w:sz w:val="22"/>
                            </w:rPr>
                            <w:t> </w:t>
                          </w:r>
                          <w:r>
                            <w:rPr>
                              <w:rFonts w:ascii="Cambria"/>
                              <w:i/>
                              <w:spacing w:val="-2"/>
                              <w:sz w:val="22"/>
                            </w:rPr>
                            <w:t>(RVV)</w:t>
                          </w:r>
                        </w:p>
                      </w:txbxContent>
                    </wps:txbx>
                    <wps:bodyPr wrap="square" lIns="0" tIns="0" rIns="0" bIns="0" rtlCol="0">
                      <a:noAutofit/>
                    </wps:bodyPr>
                  </wps:wsp>
                </a:graphicData>
              </a:graphic>
            </wp:anchor>
          </w:drawing>
        </mc:Choice>
        <mc:Fallback>
          <w:pict>
            <v:shape style="position:absolute;margin-left:97.940002pt;margin-top:56.990005pt;width:194.2pt;height:15.15pt;mso-position-horizontal-relative:page;mso-position-vertical-relative:page;z-index:-23417856" type="#_x0000_t202" id="docshape182" filled="false" stroked="false">
              <v:textbox inset="0,0,0,0">
                <w:txbxContent>
                  <w:p>
                    <w:pPr>
                      <w:spacing w:before="12"/>
                      <w:ind w:left="20" w:right="0" w:firstLine="0"/>
                      <w:jc w:val="left"/>
                      <w:rPr>
                        <w:rFonts w:ascii="Cambria"/>
                        <w:i/>
                        <w:sz w:val="22"/>
                      </w:rPr>
                    </w:pPr>
                    <w:r>
                      <w:rPr>
                        <w:rFonts w:ascii="Cambria"/>
                        <w:i/>
                        <w:sz w:val="22"/>
                      </w:rPr>
                      <w:t>5.9</w:t>
                    </w:r>
                    <w:r>
                      <w:rPr>
                        <w:rFonts w:ascii="Cambria"/>
                        <w:i/>
                        <w:spacing w:val="-2"/>
                        <w:sz w:val="22"/>
                      </w:rPr>
                      <w:t> </w:t>
                    </w:r>
                    <w:r>
                      <w:rPr>
                        <w:rFonts w:ascii="Cambria"/>
                        <w:i/>
                        <w:sz w:val="22"/>
                      </w:rPr>
                      <w:t>Per-Scenario</w:t>
                    </w:r>
                    <w:r>
                      <w:rPr>
                        <w:rFonts w:ascii="Cambria"/>
                        <w:i/>
                        <w:spacing w:val="-2"/>
                        <w:sz w:val="22"/>
                      </w:rPr>
                      <w:t> </w:t>
                    </w:r>
                    <w:r>
                      <w:rPr>
                        <w:rFonts w:ascii="Cambria"/>
                        <w:i/>
                        <w:sz w:val="22"/>
                      </w:rPr>
                      <w:t>MAE:</w:t>
                    </w:r>
                    <w:r>
                      <w:rPr>
                        <w:rFonts w:ascii="Cambria"/>
                        <w:i/>
                        <w:spacing w:val="-2"/>
                        <w:sz w:val="22"/>
                      </w:rPr>
                      <w:t> </w:t>
                    </w:r>
                    <w:r>
                      <w:rPr>
                        <w:rFonts w:ascii="Cambria"/>
                        <w:i/>
                        <w:sz w:val="22"/>
                      </w:rPr>
                      <w:t>Vinho</w:t>
                    </w:r>
                    <w:r>
                      <w:rPr>
                        <w:rFonts w:ascii="Cambria"/>
                        <w:i/>
                        <w:spacing w:val="-2"/>
                        <w:sz w:val="22"/>
                      </w:rPr>
                      <w:t> </w:t>
                    </w:r>
                    <w:r>
                      <w:rPr>
                        <w:rFonts w:ascii="Cambria"/>
                        <w:i/>
                        <w:sz w:val="22"/>
                      </w:rPr>
                      <w:t>Verde</w:t>
                    </w:r>
                    <w:r>
                      <w:rPr>
                        <w:rFonts w:ascii="Cambria"/>
                        <w:i/>
                        <w:spacing w:val="-1"/>
                        <w:sz w:val="22"/>
                      </w:rPr>
                      <w:t> </w:t>
                    </w:r>
                    <w:r>
                      <w:rPr>
                        <w:rFonts w:ascii="Cambria"/>
                        <w:i/>
                        <w:spacing w:val="-2"/>
                        <w:sz w:val="22"/>
                      </w:rPr>
                      <w:t>(RVV)</w:t>
                    </w:r>
                  </w:p>
                </w:txbxContent>
              </v:textbox>
              <w10:wrap type="none"/>
            </v:shape>
          </w:pict>
        </mc:Fallback>
      </mc:AlternateContent>
    </w:r>
    <w:r>
      <w:rPr>
        <w:sz w:val="20"/>
      </w:rPr>
      <mc:AlternateContent>
        <mc:Choice Requires="wps">
          <w:drawing>
            <wp:anchor distT="0" distB="0" distL="0" distR="0" allowOverlap="1" layoutInCell="1" locked="0" behindDoc="1" simplePos="0" relativeHeight="479899136">
              <wp:simplePos x="0" y="0"/>
              <wp:positionH relativeFrom="page">
                <wp:posOffset>6508750</wp:posOffset>
              </wp:positionH>
              <wp:positionV relativeFrom="page">
                <wp:posOffset>723773</wp:posOffset>
              </wp:positionV>
              <wp:extent cx="164465" cy="192405"/>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164465" cy="192405"/>
                      </a:xfrm>
                      <a:prstGeom prst="rect">
                        <a:avLst/>
                      </a:prstGeom>
                    </wps:spPr>
                    <wps:txbx>
                      <w:txbxContent>
                        <w:p>
                          <w:pPr>
                            <w:pStyle w:val="BodyText"/>
                            <w:spacing w:before="16"/>
                            <w:ind w:left="20"/>
                          </w:pPr>
                          <w:r>
                            <w:rPr>
                              <w:spacing w:val="-5"/>
                            </w:rPr>
                            <w:t>63</w:t>
                          </w:r>
                        </w:p>
                      </w:txbxContent>
                    </wps:txbx>
                    <wps:bodyPr wrap="square" lIns="0" tIns="0" rIns="0" bIns="0" rtlCol="0">
                      <a:noAutofit/>
                    </wps:bodyPr>
                  </wps:wsp>
                </a:graphicData>
              </a:graphic>
            </wp:anchor>
          </w:drawing>
        </mc:Choice>
        <mc:Fallback>
          <w:pict>
            <v:shape style="position:absolute;margin-left:512.5pt;margin-top:56.990005pt;width:12.95pt;height:15.15pt;mso-position-horizontal-relative:page;mso-position-vertical-relative:page;z-index:-23417344" type="#_x0000_t202" id="docshape183" filled="false" stroked="false">
              <v:textbox inset="0,0,0,0">
                <w:txbxContent>
                  <w:p>
                    <w:pPr>
                      <w:pStyle w:val="BodyText"/>
                      <w:spacing w:before="16"/>
                      <w:ind w:left="20"/>
                    </w:pPr>
                    <w:r>
                      <w:rPr>
                        <w:spacing w:val="-5"/>
                      </w:rPr>
                      <w:t>63</w:t>
                    </w:r>
                  </w:p>
                </w:txbxContent>
              </v:textbox>
              <w10:wrap type="none"/>
            </v:shape>
          </w:pict>
        </mc:Fallback>
      </mc:AlternateContent>
    </w: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899648">
              <wp:simplePos x="0" y="0"/>
              <wp:positionH relativeFrom="page">
                <wp:posOffset>861898</wp:posOffset>
              </wp:positionH>
              <wp:positionV relativeFrom="page">
                <wp:posOffset>723773</wp:posOffset>
              </wp:positionV>
              <wp:extent cx="227965" cy="192405"/>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64</w:t>
                          </w:r>
                          <w:r>
                            <w:rPr>
                              <w:spacing w:val="-5"/>
                            </w:rPr>
                            <w:fldChar w:fldCharType="end"/>
                          </w:r>
                        </w:p>
                      </w:txbxContent>
                    </wps:txbx>
                    <wps:bodyPr wrap="square" lIns="0" tIns="0" rIns="0" bIns="0" rtlCol="0">
                      <a:noAutofit/>
                    </wps:bodyPr>
                  </wps:wsp>
                </a:graphicData>
              </a:graphic>
            </wp:anchor>
          </w:drawing>
        </mc:Choice>
        <mc:Fallback>
          <w:pict>
            <v:shape style="position:absolute;margin-left:67.865997pt;margin-top:56.990005pt;width:17.95pt;height:15.15pt;mso-position-horizontal-relative:page;mso-position-vertical-relative:page;z-index:-23416832" type="#_x0000_t202" id="docshape184"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64</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900160">
              <wp:simplePos x="0" y="0"/>
              <wp:positionH relativeFrom="page">
                <wp:posOffset>4626711</wp:posOffset>
              </wp:positionH>
              <wp:positionV relativeFrom="page">
                <wp:posOffset>723773</wp:posOffset>
              </wp:positionV>
              <wp:extent cx="1686560" cy="192405"/>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1686560" cy="192405"/>
                      </a:xfrm>
                      <a:prstGeom prst="rect">
                        <a:avLst/>
                      </a:prstGeom>
                    </wps:spPr>
                    <wps:txbx>
                      <w:txbxContent>
                        <w:p>
                          <w:pPr>
                            <w:spacing w:before="12"/>
                            <w:ind w:left="20" w:right="0" w:firstLine="0"/>
                            <w:jc w:val="left"/>
                            <w:rPr>
                              <w:rFonts w:ascii="Cambria"/>
                              <w:i/>
                              <w:sz w:val="22"/>
                            </w:rPr>
                          </w:pPr>
                          <w:r>
                            <w:rPr>
                              <w:rFonts w:ascii="Cambria"/>
                              <w:i/>
                              <w:spacing w:val="-4"/>
                              <w:sz w:val="22"/>
                            </w:rPr>
                            <w:t>Predictive</w:t>
                          </w:r>
                          <w:r>
                            <w:rPr>
                              <w:rFonts w:ascii="Cambria"/>
                              <w:i/>
                              <w:spacing w:val="1"/>
                              <w:sz w:val="22"/>
                            </w:rPr>
                            <w:t> </w:t>
                          </w:r>
                          <w:r>
                            <w:rPr>
                              <w:rFonts w:ascii="Cambria"/>
                              <w:i/>
                              <w:spacing w:val="-4"/>
                              <w:sz w:val="22"/>
                            </w:rPr>
                            <w:t>Validation</w:t>
                          </w:r>
                          <w:r>
                            <w:rPr>
                              <w:rFonts w:ascii="Cambria"/>
                              <w:i/>
                              <w:spacing w:val="1"/>
                              <w:sz w:val="22"/>
                            </w:rPr>
                            <w:t> </w:t>
                          </w:r>
                          <w:r>
                            <w:rPr>
                              <w:rFonts w:ascii="Cambria"/>
                              <w:i/>
                              <w:spacing w:val="-4"/>
                              <w:sz w:val="22"/>
                            </w:rPr>
                            <w:t>(Goal</w:t>
                          </w:r>
                          <w:r>
                            <w:rPr>
                              <w:rFonts w:ascii="Cambria"/>
                              <w:i/>
                              <w:spacing w:val="1"/>
                              <w:sz w:val="22"/>
                            </w:rPr>
                            <w:t> </w:t>
                          </w:r>
                          <w:r>
                            <w:rPr>
                              <w:rFonts w:ascii="Cambria"/>
                              <w:i/>
                              <w:spacing w:val="-5"/>
                              <w:sz w:val="22"/>
                            </w:rPr>
                            <w:t>2)</w:t>
                          </w:r>
                        </w:p>
                      </w:txbxContent>
                    </wps:txbx>
                    <wps:bodyPr wrap="square" lIns="0" tIns="0" rIns="0" bIns="0" rtlCol="0">
                      <a:noAutofit/>
                    </wps:bodyPr>
                  </wps:wsp>
                </a:graphicData>
              </a:graphic>
            </wp:anchor>
          </w:drawing>
        </mc:Choice>
        <mc:Fallback>
          <w:pict>
            <v:shape style="position:absolute;margin-left:364.308014pt;margin-top:56.990005pt;width:132.8pt;height:15.15pt;mso-position-horizontal-relative:page;mso-position-vertical-relative:page;z-index:-23416320" type="#_x0000_t202" id="docshape185" filled="false" stroked="false">
              <v:textbox inset="0,0,0,0">
                <w:txbxContent>
                  <w:p>
                    <w:pPr>
                      <w:spacing w:before="12"/>
                      <w:ind w:left="20" w:right="0" w:firstLine="0"/>
                      <w:jc w:val="left"/>
                      <w:rPr>
                        <w:rFonts w:ascii="Cambria"/>
                        <w:i/>
                        <w:sz w:val="22"/>
                      </w:rPr>
                    </w:pPr>
                    <w:r>
                      <w:rPr>
                        <w:rFonts w:ascii="Cambria"/>
                        <w:i/>
                        <w:spacing w:val="-4"/>
                        <w:sz w:val="22"/>
                      </w:rPr>
                      <w:t>Predictive</w:t>
                    </w:r>
                    <w:r>
                      <w:rPr>
                        <w:rFonts w:ascii="Cambria"/>
                        <w:i/>
                        <w:spacing w:val="1"/>
                        <w:sz w:val="22"/>
                      </w:rPr>
                      <w:t> </w:t>
                    </w:r>
                    <w:r>
                      <w:rPr>
                        <w:rFonts w:ascii="Cambria"/>
                        <w:i/>
                        <w:spacing w:val="-4"/>
                        <w:sz w:val="22"/>
                      </w:rPr>
                      <w:t>Validation</w:t>
                    </w:r>
                    <w:r>
                      <w:rPr>
                        <w:rFonts w:ascii="Cambria"/>
                        <w:i/>
                        <w:spacing w:val="1"/>
                        <w:sz w:val="22"/>
                      </w:rPr>
                      <w:t> </w:t>
                    </w:r>
                    <w:r>
                      <w:rPr>
                        <w:rFonts w:ascii="Cambria"/>
                        <w:i/>
                        <w:spacing w:val="-4"/>
                        <w:sz w:val="22"/>
                      </w:rPr>
                      <w:t>(Goal</w:t>
                    </w:r>
                    <w:r>
                      <w:rPr>
                        <w:rFonts w:ascii="Cambria"/>
                        <w:i/>
                        <w:spacing w:val="1"/>
                        <w:sz w:val="22"/>
                      </w:rPr>
                      <w:t> </w:t>
                    </w:r>
                    <w:r>
                      <w:rPr>
                        <w:rFonts w:ascii="Cambria"/>
                        <w:i/>
                        <w:spacing w:val="-5"/>
                        <w:sz w:val="22"/>
                      </w:rPr>
                      <w:t>2)</w:t>
                    </w:r>
                  </w:p>
                </w:txbxContent>
              </v:textbox>
              <w10:wrap type="none"/>
            </v:shape>
          </w:pict>
        </mc:Fallback>
      </mc:AlternateContent>
    </w: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900672">
              <wp:simplePos x="0" y="0"/>
              <wp:positionH relativeFrom="page">
                <wp:posOffset>1243838</wp:posOffset>
              </wp:positionH>
              <wp:positionV relativeFrom="page">
                <wp:posOffset>723773</wp:posOffset>
              </wp:positionV>
              <wp:extent cx="4515485" cy="192405"/>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4515485" cy="192405"/>
                      </a:xfrm>
                      <a:prstGeom prst="rect">
                        <a:avLst/>
                      </a:prstGeom>
                    </wps:spPr>
                    <wps:txbx>
                      <w:txbxContent>
                        <w:p>
                          <w:pPr>
                            <w:spacing w:before="12"/>
                            <w:ind w:left="20" w:right="0" w:firstLine="0"/>
                            <w:jc w:val="left"/>
                            <w:rPr>
                              <w:rFonts w:ascii="Cambria"/>
                              <w:i/>
                              <w:sz w:val="22"/>
                            </w:rPr>
                          </w:pPr>
                          <w:r>
                            <w:rPr>
                              <w:rFonts w:ascii="Cambria"/>
                              <w:i/>
                              <w:sz w:val="22"/>
                            </w:rPr>
                            <w:t>5.10</w:t>
                          </w:r>
                          <w:r>
                            <w:rPr>
                              <w:rFonts w:ascii="Cambria"/>
                              <w:i/>
                              <w:spacing w:val="-6"/>
                              <w:sz w:val="22"/>
                            </w:rPr>
                            <w:t> </w:t>
                          </w:r>
                          <w:r>
                            <w:rPr>
                              <w:rFonts w:ascii="Cambria"/>
                              <w:i/>
                              <w:sz w:val="22"/>
                            </w:rPr>
                            <w:t>Feature</w:t>
                          </w:r>
                          <w:r>
                            <w:rPr>
                              <w:rFonts w:ascii="Cambria"/>
                              <w:i/>
                              <w:spacing w:val="-6"/>
                              <w:sz w:val="22"/>
                            </w:rPr>
                            <w:t> </w:t>
                          </w:r>
                          <w:r>
                            <w:rPr>
                              <w:rFonts w:ascii="Cambria"/>
                              <w:i/>
                              <w:sz w:val="22"/>
                            </w:rPr>
                            <w:t>Selector</w:t>
                          </w:r>
                          <w:r>
                            <w:rPr>
                              <w:rFonts w:ascii="Cambria"/>
                              <w:i/>
                              <w:spacing w:val="-5"/>
                              <w:sz w:val="22"/>
                            </w:rPr>
                            <w:t> </w:t>
                          </w:r>
                          <w:r>
                            <w:rPr>
                              <w:rFonts w:ascii="Cambria"/>
                              <w:i/>
                              <w:sz w:val="22"/>
                            </w:rPr>
                            <w:t>Comparison:</w:t>
                          </w:r>
                          <w:r>
                            <w:rPr>
                              <w:rFonts w:ascii="Cambria"/>
                              <w:i/>
                              <w:spacing w:val="5"/>
                              <w:sz w:val="22"/>
                            </w:rPr>
                            <w:t> </w:t>
                          </w:r>
                          <w:r>
                            <w:rPr>
                              <w:rFonts w:ascii="Cambria"/>
                              <w:i/>
                              <w:sz w:val="22"/>
                            </w:rPr>
                            <w:t>Why</w:t>
                          </w:r>
                          <w:r>
                            <w:rPr>
                              <w:rFonts w:ascii="Cambria"/>
                              <w:i/>
                              <w:spacing w:val="-6"/>
                              <w:sz w:val="22"/>
                            </w:rPr>
                            <w:t> </w:t>
                          </w:r>
                          <w:r>
                            <w:rPr>
                              <w:rFonts w:ascii="Cambria"/>
                              <w:i/>
                              <w:sz w:val="22"/>
                            </w:rPr>
                            <w:t>Eta2</w:t>
                          </w:r>
                          <w:r>
                            <w:rPr>
                              <w:rFonts w:ascii="Cambria"/>
                              <w:i/>
                              <w:spacing w:val="-5"/>
                              <w:sz w:val="22"/>
                            </w:rPr>
                            <w:t> </w:t>
                          </w:r>
                          <w:r>
                            <w:rPr>
                              <w:rFonts w:ascii="Cambria"/>
                              <w:i/>
                              <w:sz w:val="22"/>
                            </w:rPr>
                            <w:t>Wins</w:t>
                          </w:r>
                          <w:r>
                            <w:rPr>
                              <w:rFonts w:ascii="Cambria"/>
                              <w:i/>
                              <w:spacing w:val="-6"/>
                              <w:sz w:val="22"/>
                            </w:rPr>
                            <w:t> </w:t>
                          </w:r>
                          <w:r>
                            <w:rPr>
                              <w:rFonts w:ascii="Cambria"/>
                              <w:i/>
                              <w:sz w:val="22"/>
                            </w:rPr>
                            <w:t>in</w:t>
                          </w:r>
                          <w:r>
                            <w:rPr>
                              <w:rFonts w:ascii="Cambria"/>
                              <w:i/>
                              <w:spacing w:val="-5"/>
                              <w:sz w:val="22"/>
                            </w:rPr>
                            <w:t> </w:t>
                          </w:r>
                          <w:r>
                            <w:rPr>
                              <w:rFonts w:ascii="Cambria"/>
                              <w:i/>
                              <w:sz w:val="22"/>
                            </w:rPr>
                            <w:t>RDD</w:t>
                          </w:r>
                          <w:r>
                            <w:rPr>
                              <w:rFonts w:ascii="Cambria"/>
                              <w:i/>
                              <w:spacing w:val="-6"/>
                              <w:sz w:val="22"/>
                            </w:rPr>
                            <w:t> </w:t>
                          </w:r>
                          <w:r>
                            <w:rPr>
                              <w:rFonts w:ascii="Cambria"/>
                              <w:i/>
                              <w:sz w:val="22"/>
                            </w:rPr>
                            <w:t>and</w:t>
                          </w:r>
                          <w:r>
                            <w:rPr>
                              <w:rFonts w:ascii="Cambria"/>
                              <w:i/>
                              <w:spacing w:val="-5"/>
                              <w:sz w:val="22"/>
                            </w:rPr>
                            <w:t> </w:t>
                          </w:r>
                          <w:r>
                            <w:rPr>
                              <w:rFonts w:ascii="Cambria"/>
                              <w:i/>
                              <w:sz w:val="22"/>
                            </w:rPr>
                            <w:t>Sup_FS</w:t>
                          </w:r>
                          <w:r>
                            <w:rPr>
                              <w:rFonts w:ascii="Cambria"/>
                              <w:i/>
                              <w:spacing w:val="-6"/>
                              <w:sz w:val="22"/>
                            </w:rPr>
                            <w:t> </w:t>
                          </w:r>
                          <w:r>
                            <w:rPr>
                              <w:rFonts w:ascii="Cambria"/>
                              <w:i/>
                              <w:sz w:val="22"/>
                            </w:rPr>
                            <w:t>in</w:t>
                          </w:r>
                          <w:r>
                            <w:rPr>
                              <w:rFonts w:ascii="Cambria"/>
                              <w:i/>
                              <w:spacing w:val="-5"/>
                              <w:sz w:val="22"/>
                            </w:rPr>
                            <w:t> RVV</w:t>
                          </w:r>
                        </w:p>
                      </w:txbxContent>
                    </wps:txbx>
                    <wps:bodyPr wrap="square" lIns="0" tIns="0" rIns="0" bIns="0" rtlCol="0">
                      <a:noAutofit/>
                    </wps:bodyPr>
                  </wps:wsp>
                </a:graphicData>
              </a:graphic>
            </wp:anchor>
          </w:drawing>
        </mc:Choice>
        <mc:Fallback>
          <w:pict>
            <v:shape style="position:absolute;margin-left:97.940002pt;margin-top:56.990005pt;width:355.55pt;height:15.15pt;mso-position-horizontal-relative:page;mso-position-vertical-relative:page;z-index:-23415808" type="#_x0000_t202" id="docshape187" filled="false" stroked="false">
              <v:textbox inset="0,0,0,0">
                <w:txbxContent>
                  <w:p>
                    <w:pPr>
                      <w:spacing w:before="12"/>
                      <w:ind w:left="20" w:right="0" w:firstLine="0"/>
                      <w:jc w:val="left"/>
                      <w:rPr>
                        <w:rFonts w:ascii="Cambria"/>
                        <w:i/>
                        <w:sz w:val="22"/>
                      </w:rPr>
                    </w:pPr>
                    <w:r>
                      <w:rPr>
                        <w:rFonts w:ascii="Cambria"/>
                        <w:i/>
                        <w:sz w:val="22"/>
                      </w:rPr>
                      <w:t>5.10</w:t>
                    </w:r>
                    <w:r>
                      <w:rPr>
                        <w:rFonts w:ascii="Cambria"/>
                        <w:i/>
                        <w:spacing w:val="-6"/>
                        <w:sz w:val="22"/>
                      </w:rPr>
                      <w:t> </w:t>
                    </w:r>
                    <w:r>
                      <w:rPr>
                        <w:rFonts w:ascii="Cambria"/>
                        <w:i/>
                        <w:sz w:val="22"/>
                      </w:rPr>
                      <w:t>Feature</w:t>
                    </w:r>
                    <w:r>
                      <w:rPr>
                        <w:rFonts w:ascii="Cambria"/>
                        <w:i/>
                        <w:spacing w:val="-6"/>
                        <w:sz w:val="22"/>
                      </w:rPr>
                      <w:t> </w:t>
                    </w:r>
                    <w:r>
                      <w:rPr>
                        <w:rFonts w:ascii="Cambria"/>
                        <w:i/>
                        <w:sz w:val="22"/>
                      </w:rPr>
                      <w:t>Selector</w:t>
                    </w:r>
                    <w:r>
                      <w:rPr>
                        <w:rFonts w:ascii="Cambria"/>
                        <w:i/>
                        <w:spacing w:val="-5"/>
                        <w:sz w:val="22"/>
                      </w:rPr>
                      <w:t> </w:t>
                    </w:r>
                    <w:r>
                      <w:rPr>
                        <w:rFonts w:ascii="Cambria"/>
                        <w:i/>
                        <w:sz w:val="22"/>
                      </w:rPr>
                      <w:t>Comparison:</w:t>
                    </w:r>
                    <w:r>
                      <w:rPr>
                        <w:rFonts w:ascii="Cambria"/>
                        <w:i/>
                        <w:spacing w:val="5"/>
                        <w:sz w:val="22"/>
                      </w:rPr>
                      <w:t> </w:t>
                    </w:r>
                    <w:r>
                      <w:rPr>
                        <w:rFonts w:ascii="Cambria"/>
                        <w:i/>
                        <w:sz w:val="22"/>
                      </w:rPr>
                      <w:t>Why</w:t>
                    </w:r>
                    <w:r>
                      <w:rPr>
                        <w:rFonts w:ascii="Cambria"/>
                        <w:i/>
                        <w:spacing w:val="-6"/>
                        <w:sz w:val="22"/>
                      </w:rPr>
                      <w:t> </w:t>
                    </w:r>
                    <w:r>
                      <w:rPr>
                        <w:rFonts w:ascii="Cambria"/>
                        <w:i/>
                        <w:sz w:val="22"/>
                      </w:rPr>
                      <w:t>Eta2</w:t>
                    </w:r>
                    <w:r>
                      <w:rPr>
                        <w:rFonts w:ascii="Cambria"/>
                        <w:i/>
                        <w:spacing w:val="-5"/>
                        <w:sz w:val="22"/>
                      </w:rPr>
                      <w:t> </w:t>
                    </w:r>
                    <w:r>
                      <w:rPr>
                        <w:rFonts w:ascii="Cambria"/>
                        <w:i/>
                        <w:sz w:val="22"/>
                      </w:rPr>
                      <w:t>Wins</w:t>
                    </w:r>
                    <w:r>
                      <w:rPr>
                        <w:rFonts w:ascii="Cambria"/>
                        <w:i/>
                        <w:spacing w:val="-6"/>
                        <w:sz w:val="22"/>
                      </w:rPr>
                      <w:t> </w:t>
                    </w:r>
                    <w:r>
                      <w:rPr>
                        <w:rFonts w:ascii="Cambria"/>
                        <w:i/>
                        <w:sz w:val="22"/>
                      </w:rPr>
                      <w:t>in</w:t>
                    </w:r>
                    <w:r>
                      <w:rPr>
                        <w:rFonts w:ascii="Cambria"/>
                        <w:i/>
                        <w:spacing w:val="-5"/>
                        <w:sz w:val="22"/>
                      </w:rPr>
                      <w:t> </w:t>
                    </w:r>
                    <w:r>
                      <w:rPr>
                        <w:rFonts w:ascii="Cambria"/>
                        <w:i/>
                        <w:sz w:val="22"/>
                      </w:rPr>
                      <w:t>RDD</w:t>
                    </w:r>
                    <w:r>
                      <w:rPr>
                        <w:rFonts w:ascii="Cambria"/>
                        <w:i/>
                        <w:spacing w:val="-6"/>
                        <w:sz w:val="22"/>
                      </w:rPr>
                      <w:t> </w:t>
                    </w:r>
                    <w:r>
                      <w:rPr>
                        <w:rFonts w:ascii="Cambria"/>
                        <w:i/>
                        <w:sz w:val="22"/>
                      </w:rPr>
                      <w:t>and</w:t>
                    </w:r>
                    <w:r>
                      <w:rPr>
                        <w:rFonts w:ascii="Cambria"/>
                        <w:i/>
                        <w:spacing w:val="-5"/>
                        <w:sz w:val="22"/>
                      </w:rPr>
                      <w:t> </w:t>
                    </w:r>
                    <w:r>
                      <w:rPr>
                        <w:rFonts w:ascii="Cambria"/>
                        <w:i/>
                        <w:sz w:val="22"/>
                      </w:rPr>
                      <w:t>Sup_FS</w:t>
                    </w:r>
                    <w:r>
                      <w:rPr>
                        <w:rFonts w:ascii="Cambria"/>
                        <w:i/>
                        <w:spacing w:val="-6"/>
                        <w:sz w:val="22"/>
                      </w:rPr>
                      <w:t> </w:t>
                    </w:r>
                    <w:r>
                      <w:rPr>
                        <w:rFonts w:ascii="Cambria"/>
                        <w:i/>
                        <w:sz w:val="22"/>
                      </w:rPr>
                      <w:t>in</w:t>
                    </w:r>
                    <w:r>
                      <w:rPr>
                        <w:rFonts w:ascii="Cambria"/>
                        <w:i/>
                        <w:spacing w:val="-5"/>
                        <w:sz w:val="22"/>
                      </w:rPr>
                      <w:t> RVV</w:t>
                    </w:r>
                  </w:p>
                </w:txbxContent>
              </v:textbox>
              <w10:wrap type="none"/>
            </v:shape>
          </w:pict>
        </mc:Fallback>
      </mc:AlternateContent>
    </w:r>
    <w:r>
      <w:rPr>
        <w:sz w:val="20"/>
      </w:rPr>
      <mc:AlternateContent>
        <mc:Choice Requires="wps">
          <w:drawing>
            <wp:anchor distT="0" distB="0" distL="0" distR="0" allowOverlap="1" layoutInCell="1" locked="0" behindDoc="1" simplePos="0" relativeHeight="479901184">
              <wp:simplePos x="0" y="0"/>
              <wp:positionH relativeFrom="page">
                <wp:posOffset>6508750</wp:posOffset>
              </wp:positionH>
              <wp:positionV relativeFrom="page">
                <wp:posOffset>723773</wp:posOffset>
              </wp:positionV>
              <wp:extent cx="164465" cy="192405"/>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164465" cy="192405"/>
                      </a:xfrm>
                      <a:prstGeom prst="rect">
                        <a:avLst/>
                      </a:prstGeom>
                    </wps:spPr>
                    <wps:txbx>
                      <w:txbxContent>
                        <w:p>
                          <w:pPr>
                            <w:pStyle w:val="BodyText"/>
                            <w:spacing w:before="16"/>
                            <w:ind w:left="20"/>
                          </w:pPr>
                          <w:r>
                            <w:rPr>
                              <w:spacing w:val="-5"/>
                            </w:rPr>
                            <w:t>65</w:t>
                          </w:r>
                        </w:p>
                      </w:txbxContent>
                    </wps:txbx>
                    <wps:bodyPr wrap="square" lIns="0" tIns="0" rIns="0" bIns="0" rtlCol="0">
                      <a:noAutofit/>
                    </wps:bodyPr>
                  </wps:wsp>
                </a:graphicData>
              </a:graphic>
            </wp:anchor>
          </w:drawing>
        </mc:Choice>
        <mc:Fallback>
          <w:pict>
            <v:shape style="position:absolute;margin-left:512.5pt;margin-top:56.990005pt;width:12.95pt;height:15.15pt;mso-position-horizontal-relative:page;mso-position-vertical-relative:page;z-index:-23415296" type="#_x0000_t202" id="docshape188" filled="false" stroked="false">
              <v:textbox inset="0,0,0,0">
                <w:txbxContent>
                  <w:p>
                    <w:pPr>
                      <w:pStyle w:val="BodyText"/>
                      <w:spacing w:before="16"/>
                      <w:ind w:left="20"/>
                    </w:pPr>
                    <w:r>
                      <w:rPr>
                        <w:spacing w:val="-5"/>
                      </w:rPr>
                      <w:t>65</w:t>
                    </w:r>
                  </w:p>
                </w:txbxContent>
              </v:textbox>
              <w10:wrap type="none"/>
            </v:shape>
          </w:pict>
        </mc:Fallback>
      </mc:AlternateContent>
    </w: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901696">
              <wp:simplePos x="0" y="0"/>
              <wp:positionH relativeFrom="page">
                <wp:posOffset>861898</wp:posOffset>
              </wp:positionH>
              <wp:positionV relativeFrom="page">
                <wp:posOffset>723773</wp:posOffset>
              </wp:positionV>
              <wp:extent cx="227965" cy="192405"/>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66</w:t>
                          </w:r>
                          <w:r>
                            <w:rPr>
                              <w:spacing w:val="-5"/>
                            </w:rPr>
                            <w:fldChar w:fldCharType="end"/>
                          </w:r>
                        </w:p>
                      </w:txbxContent>
                    </wps:txbx>
                    <wps:bodyPr wrap="square" lIns="0" tIns="0" rIns="0" bIns="0" rtlCol="0">
                      <a:noAutofit/>
                    </wps:bodyPr>
                  </wps:wsp>
                </a:graphicData>
              </a:graphic>
            </wp:anchor>
          </w:drawing>
        </mc:Choice>
        <mc:Fallback>
          <w:pict>
            <v:shape style="position:absolute;margin-left:67.865997pt;margin-top:56.990005pt;width:17.95pt;height:15.15pt;mso-position-horizontal-relative:page;mso-position-vertical-relative:page;z-index:-23414784" type="#_x0000_t202" id="docshape189"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66</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902208">
              <wp:simplePos x="0" y="0"/>
              <wp:positionH relativeFrom="page">
                <wp:posOffset>4626711</wp:posOffset>
              </wp:positionH>
              <wp:positionV relativeFrom="page">
                <wp:posOffset>723773</wp:posOffset>
              </wp:positionV>
              <wp:extent cx="1686560" cy="192405"/>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1686560" cy="192405"/>
                      </a:xfrm>
                      <a:prstGeom prst="rect">
                        <a:avLst/>
                      </a:prstGeom>
                    </wps:spPr>
                    <wps:txbx>
                      <w:txbxContent>
                        <w:p>
                          <w:pPr>
                            <w:spacing w:before="12"/>
                            <w:ind w:left="20" w:right="0" w:firstLine="0"/>
                            <w:jc w:val="left"/>
                            <w:rPr>
                              <w:rFonts w:ascii="Cambria"/>
                              <w:i/>
                              <w:sz w:val="22"/>
                            </w:rPr>
                          </w:pPr>
                          <w:r>
                            <w:rPr>
                              <w:rFonts w:ascii="Cambria"/>
                              <w:i/>
                              <w:spacing w:val="-4"/>
                              <w:sz w:val="22"/>
                            </w:rPr>
                            <w:t>Predictive</w:t>
                          </w:r>
                          <w:r>
                            <w:rPr>
                              <w:rFonts w:ascii="Cambria"/>
                              <w:i/>
                              <w:spacing w:val="1"/>
                              <w:sz w:val="22"/>
                            </w:rPr>
                            <w:t> </w:t>
                          </w:r>
                          <w:r>
                            <w:rPr>
                              <w:rFonts w:ascii="Cambria"/>
                              <w:i/>
                              <w:spacing w:val="-4"/>
                              <w:sz w:val="22"/>
                            </w:rPr>
                            <w:t>Validation</w:t>
                          </w:r>
                          <w:r>
                            <w:rPr>
                              <w:rFonts w:ascii="Cambria"/>
                              <w:i/>
                              <w:spacing w:val="1"/>
                              <w:sz w:val="22"/>
                            </w:rPr>
                            <w:t> </w:t>
                          </w:r>
                          <w:r>
                            <w:rPr>
                              <w:rFonts w:ascii="Cambria"/>
                              <w:i/>
                              <w:spacing w:val="-4"/>
                              <w:sz w:val="22"/>
                            </w:rPr>
                            <w:t>(Goal</w:t>
                          </w:r>
                          <w:r>
                            <w:rPr>
                              <w:rFonts w:ascii="Cambria"/>
                              <w:i/>
                              <w:spacing w:val="1"/>
                              <w:sz w:val="22"/>
                            </w:rPr>
                            <w:t> </w:t>
                          </w:r>
                          <w:r>
                            <w:rPr>
                              <w:rFonts w:ascii="Cambria"/>
                              <w:i/>
                              <w:spacing w:val="-5"/>
                              <w:sz w:val="22"/>
                            </w:rPr>
                            <w:t>2)</w:t>
                          </w:r>
                        </w:p>
                      </w:txbxContent>
                    </wps:txbx>
                    <wps:bodyPr wrap="square" lIns="0" tIns="0" rIns="0" bIns="0" rtlCol="0">
                      <a:noAutofit/>
                    </wps:bodyPr>
                  </wps:wsp>
                </a:graphicData>
              </a:graphic>
            </wp:anchor>
          </w:drawing>
        </mc:Choice>
        <mc:Fallback>
          <w:pict>
            <v:shape style="position:absolute;margin-left:364.308014pt;margin-top:56.990005pt;width:132.8pt;height:15.15pt;mso-position-horizontal-relative:page;mso-position-vertical-relative:page;z-index:-23414272" type="#_x0000_t202" id="docshape190" filled="false" stroked="false">
              <v:textbox inset="0,0,0,0">
                <w:txbxContent>
                  <w:p>
                    <w:pPr>
                      <w:spacing w:before="12"/>
                      <w:ind w:left="20" w:right="0" w:firstLine="0"/>
                      <w:jc w:val="left"/>
                      <w:rPr>
                        <w:rFonts w:ascii="Cambria"/>
                        <w:i/>
                        <w:sz w:val="22"/>
                      </w:rPr>
                    </w:pPr>
                    <w:r>
                      <w:rPr>
                        <w:rFonts w:ascii="Cambria"/>
                        <w:i/>
                        <w:spacing w:val="-4"/>
                        <w:sz w:val="22"/>
                      </w:rPr>
                      <w:t>Predictive</w:t>
                    </w:r>
                    <w:r>
                      <w:rPr>
                        <w:rFonts w:ascii="Cambria"/>
                        <w:i/>
                        <w:spacing w:val="1"/>
                        <w:sz w:val="22"/>
                      </w:rPr>
                      <w:t> </w:t>
                    </w:r>
                    <w:r>
                      <w:rPr>
                        <w:rFonts w:ascii="Cambria"/>
                        <w:i/>
                        <w:spacing w:val="-4"/>
                        <w:sz w:val="22"/>
                      </w:rPr>
                      <w:t>Validation</w:t>
                    </w:r>
                    <w:r>
                      <w:rPr>
                        <w:rFonts w:ascii="Cambria"/>
                        <w:i/>
                        <w:spacing w:val="1"/>
                        <w:sz w:val="22"/>
                      </w:rPr>
                      <w:t> </w:t>
                    </w:r>
                    <w:r>
                      <w:rPr>
                        <w:rFonts w:ascii="Cambria"/>
                        <w:i/>
                        <w:spacing w:val="-4"/>
                        <w:sz w:val="22"/>
                      </w:rPr>
                      <w:t>(Goal</w:t>
                    </w:r>
                    <w:r>
                      <w:rPr>
                        <w:rFonts w:ascii="Cambria"/>
                        <w:i/>
                        <w:spacing w:val="1"/>
                        <w:sz w:val="22"/>
                      </w:rPr>
                      <w:t> </w:t>
                    </w:r>
                    <w:r>
                      <w:rPr>
                        <w:rFonts w:ascii="Cambria"/>
                        <w:i/>
                        <w:spacing w:val="-5"/>
                        <w:sz w:val="22"/>
                      </w:rPr>
                      <w:t>2)</w:t>
                    </w:r>
                  </w:p>
                </w:txbxContent>
              </v:textbox>
              <w10:wrap type="none"/>
            </v:shape>
          </w:pict>
        </mc:Fallback>
      </mc:AlternateContent>
    </w: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902720">
              <wp:simplePos x="0" y="0"/>
              <wp:positionH relativeFrom="page">
                <wp:posOffset>1243838</wp:posOffset>
              </wp:positionH>
              <wp:positionV relativeFrom="page">
                <wp:posOffset>723773</wp:posOffset>
              </wp:positionV>
              <wp:extent cx="3804285" cy="192405"/>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3804285" cy="192405"/>
                      </a:xfrm>
                      <a:prstGeom prst="rect">
                        <a:avLst/>
                      </a:prstGeom>
                    </wps:spPr>
                    <wps:txbx>
                      <w:txbxContent>
                        <w:p>
                          <w:pPr>
                            <w:spacing w:before="12"/>
                            <w:ind w:left="20" w:right="0" w:firstLine="0"/>
                            <w:jc w:val="left"/>
                            <w:rPr>
                              <w:rFonts w:ascii="Cambria" w:hAnsi="Cambria"/>
                              <w:i/>
                              <w:sz w:val="22"/>
                            </w:rPr>
                          </w:pPr>
                          <w:r>
                            <w:rPr>
                              <w:rFonts w:ascii="Cambria" w:hAnsi="Cambria"/>
                              <w:i/>
                              <w:sz w:val="22"/>
                            </w:rPr>
                            <w:t>5.12</w:t>
                          </w:r>
                          <w:r>
                            <w:rPr>
                              <w:rFonts w:ascii="Cambria" w:hAnsi="Cambria"/>
                              <w:i/>
                              <w:spacing w:val="-2"/>
                              <w:sz w:val="22"/>
                            </w:rPr>
                            <w:t> </w:t>
                          </w:r>
                          <w:r>
                            <w:rPr>
                              <w:rFonts w:ascii="Cambria" w:hAnsi="Cambria"/>
                              <w:i/>
                              <w:sz w:val="22"/>
                            </w:rPr>
                            <w:t>The</w:t>
                          </w:r>
                          <w:r>
                            <w:rPr>
                              <w:rFonts w:ascii="Cambria" w:hAnsi="Cambria"/>
                              <w:i/>
                              <w:spacing w:val="-2"/>
                              <w:sz w:val="22"/>
                            </w:rPr>
                            <w:t> </w:t>
                          </w:r>
                          <w:r>
                            <w:rPr>
                              <w:rFonts w:ascii="Cambria" w:hAnsi="Cambria"/>
                              <w:i/>
                              <w:sz w:val="22"/>
                            </w:rPr>
                            <w:t>Fallback</w:t>
                          </w:r>
                          <w:r>
                            <w:rPr>
                              <w:rFonts w:ascii="Cambria" w:hAnsi="Cambria"/>
                              <w:i/>
                              <w:spacing w:val="-2"/>
                              <w:sz w:val="22"/>
                            </w:rPr>
                            <w:t> </w:t>
                          </w:r>
                          <w:r>
                            <w:rPr>
                              <w:rFonts w:ascii="Cambria" w:hAnsi="Cambria"/>
                              <w:i/>
                              <w:sz w:val="22"/>
                            </w:rPr>
                            <w:t>Mechanism:</w:t>
                          </w:r>
                          <w:r>
                            <w:rPr>
                              <w:rFonts w:ascii="Cambria" w:hAnsi="Cambria"/>
                              <w:i/>
                              <w:spacing w:val="10"/>
                              <w:sz w:val="22"/>
                            </w:rPr>
                            <w:t> </w:t>
                          </w:r>
                          <w:r>
                            <w:rPr>
                              <w:rFonts w:ascii="Cambria" w:hAnsi="Cambria"/>
                              <w:i/>
                              <w:sz w:val="22"/>
                            </w:rPr>
                            <w:t>When</w:t>
                          </w:r>
                          <w:r>
                            <w:rPr>
                              <w:rFonts w:ascii="Cambria" w:hAnsi="Cambria"/>
                              <w:i/>
                              <w:spacing w:val="-2"/>
                              <w:sz w:val="22"/>
                            </w:rPr>
                            <w:t> </w:t>
                          </w:r>
                          <w:r>
                            <w:rPr>
                              <w:rFonts w:ascii="Cambria" w:hAnsi="Cambria"/>
                              <w:i/>
                              <w:sz w:val="22"/>
                            </w:rPr>
                            <w:t>CarenR</w:t>
                          </w:r>
                          <w:r>
                            <w:rPr>
                              <w:rFonts w:ascii="Cambria" w:hAnsi="Cambria"/>
                              <w:i/>
                              <w:spacing w:val="-2"/>
                              <w:sz w:val="22"/>
                            </w:rPr>
                            <w:t> </w:t>
                          </w:r>
                          <w:r>
                            <w:rPr>
                              <w:rFonts w:ascii="Cambria" w:hAnsi="Cambria"/>
                              <w:i/>
                              <w:sz w:val="22"/>
                            </w:rPr>
                            <w:t>Says</w:t>
                          </w:r>
                          <w:r>
                            <w:rPr>
                              <w:rFonts w:ascii="Cambria" w:hAnsi="Cambria"/>
                              <w:i/>
                              <w:spacing w:val="-1"/>
                              <w:sz w:val="22"/>
                            </w:rPr>
                            <w:t> </w:t>
                          </w:r>
                          <w:r>
                            <w:rPr>
                              <w:rFonts w:ascii="Cambria" w:hAnsi="Cambria"/>
                              <w:i/>
                              <w:sz w:val="22"/>
                            </w:rPr>
                            <w:t>“I</w:t>
                          </w:r>
                          <w:r>
                            <w:rPr>
                              <w:rFonts w:ascii="Cambria" w:hAnsi="Cambria"/>
                              <w:i/>
                              <w:spacing w:val="-2"/>
                              <w:sz w:val="22"/>
                            </w:rPr>
                            <w:t> </w:t>
                          </w:r>
                          <w:r>
                            <w:rPr>
                              <w:rFonts w:ascii="Cambria" w:hAnsi="Cambria"/>
                              <w:i/>
                              <w:sz w:val="22"/>
                            </w:rPr>
                            <w:t>Don’t</w:t>
                          </w:r>
                          <w:r>
                            <w:rPr>
                              <w:rFonts w:ascii="Cambria" w:hAnsi="Cambria"/>
                              <w:i/>
                              <w:spacing w:val="-2"/>
                              <w:sz w:val="22"/>
                            </w:rPr>
                            <w:t> Know”</w:t>
                          </w:r>
                        </w:p>
                      </w:txbxContent>
                    </wps:txbx>
                    <wps:bodyPr wrap="square" lIns="0" tIns="0" rIns="0" bIns="0" rtlCol="0">
                      <a:noAutofit/>
                    </wps:bodyPr>
                  </wps:wsp>
                </a:graphicData>
              </a:graphic>
            </wp:anchor>
          </w:drawing>
        </mc:Choice>
        <mc:Fallback>
          <w:pict>
            <v:shape style="position:absolute;margin-left:97.940002pt;margin-top:56.990005pt;width:299.55pt;height:15.15pt;mso-position-horizontal-relative:page;mso-position-vertical-relative:page;z-index:-23413760" type="#_x0000_t202" id="docshape192" filled="false" stroked="false">
              <v:textbox inset="0,0,0,0">
                <w:txbxContent>
                  <w:p>
                    <w:pPr>
                      <w:spacing w:before="12"/>
                      <w:ind w:left="20" w:right="0" w:firstLine="0"/>
                      <w:jc w:val="left"/>
                      <w:rPr>
                        <w:rFonts w:ascii="Cambria" w:hAnsi="Cambria"/>
                        <w:i/>
                        <w:sz w:val="22"/>
                      </w:rPr>
                    </w:pPr>
                    <w:r>
                      <w:rPr>
                        <w:rFonts w:ascii="Cambria" w:hAnsi="Cambria"/>
                        <w:i/>
                        <w:sz w:val="22"/>
                      </w:rPr>
                      <w:t>5.12</w:t>
                    </w:r>
                    <w:r>
                      <w:rPr>
                        <w:rFonts w:ascii="Cambria" w:hAnsi="Cambria"/>
                        <w:i/>
                        <w:spacing w:val="-2"/>
                        <w:sz w:val="22"/>
                      </w:rPr>
                      <w:t> </w:t>
                    </w:r>
                    <w:r>
                      <w:rPr>
                        <w:rFonts w:ascii="Cambria" w:hAnsi="Cambria"/>
                        <w:i/>
                        <w:sz w:val="22"/>
                      </w:rPr>
                      <w:t>The</w:t>
                    </w:r>
                    <w:r>
                      <w:rPr>
                        <w:rFonts w:ascii="Cambria" w:hAnsi="Cambria"/>
                        <w:i/>
                        <w:spacing w:val="-2"/>
                        <w:sz w:val="22"/>
                      </w:rPr>
                      <w:t> </w:t>
                    </w:r>
                    <w:r>
                      <w:rPr>
                        <w:rFonts w:ascii="Cambria" w:hAnsi="Cambria"/>
                        <w:i/>
                        <w:sz w:val="22"/>
                      </w:rPr>
                      <w:t>Fallback</w:t>
                    </w:r>
                    <w:r>
                      <w:rPr>
                        <w:rFonts w:ascii="Cambria" w:hAnsi="Cambria"/>
                        <w:i/>
                        <w:spacing w:val="-2"/>
                        <w:sz w:val="22"/>
                      </w:rPr>
                      <w:t> </w:t>
                    </w:r>
                    <w:r>
                      <w:rPr>
                        <w:rFonts w:ascii="Cambria" w:hAnsi="Cambria"/>
                        <w:i/>
                        <w:sz w:val="22"/>
                      </w:rPr>
                      <w:t>Mechanism:</w:t>
                    </w:r>
                    <w:r>
                      <w:rPr>
                        <w:rFonts w:ascii="Cambria" w:hAnsi="Cambria"/>
                        <w:i/>
                        <w:spacing w:val="10"/>
                        <w:sz w:val="22"/>
                      </w:rPr>
                      <w:t> </w:t>
                    </w:r>
                    <w:r>
                      <w:rPr>
                        <w:rFonts w:ascii="Cambria" w:hAnsi="Cambria"/>
                        <w:i/>
                        <w:sz w:val="22"/>
                      </w:rPr>
                      <w:t>When</w:t>
                    </w:r>
                    <w:r>
                      <w:rPr>
                        <w:rFonts w:ascii="Cambria" w:hAnsi="Cambria"/>
                        <w:i/>
                        <w:spacing w:val="-2"/>
                        <w:sz w:val="22"/>
                      </w:rPr>
                      <w:t> </w:t>
                    </w:r>
                    <w:r>
                      <w:rPr>
                        <w:rFonts w:ascii="Cambria" w:hAnsi="Cambria"/>
                        <w:i/>
                        <w:sz w:val="22"/>
                      </w:rPr>
                      <w:t>CarenR</w:t>
                    </w:r>
                    <w:r>
                      <w:rPr>
                        <w:rFonts w:ascii="Cambria" w:hAnsi="Cambria"/>
                        <w:i/>
                        <w:spacing w:val="-2"/>
                        <w:sz w:val="22"/>
                      </w:rPr>
                      <w:t> </w:t>
                    </w:r>
                    <w:r>
                      <w:rPr>
                        <w:rFonts w:ascii="Cambria" w:hAnsi="Cambria"/>
                        <w:i/>
                        <w:sz w:val="22"/>
                      </w:rPr>
                      <w:t>Says</w:t>
                    </w:r>
                    <w:r>
                      <w:rPr>
                        <w:rFonts w:ascii="Cambria" w:hAnsi="Cambria"/>
                        <w:i/>
                        <w:spacing w:val="-1"/>
                        <w:sz w:val="22"/>
                      </w:rPr>
                      <w:t> </w:t>
                    </w:r>
                    <w:r>
                      <w:rPr>
                        <w:rFonts w:ascii="Cambria" w:hAnsi="Cambria"/>
                        <w:i/>
                        <w:sz w:val="22"/>
                      </w:rPr>
                      <w:t>“I</w:t>
                    </w:r>
                    <w:r>
                      <w:rPr>
                        <w:rFonts w:ascii="Cambria" w:hAnsi="Cambria"/>
                        <w:i/>
                        <w:spacing w:val="-2"/>
                        <w:sz w:val="22"/>
                      </w:rPr>
                      <w:t> </w:t>
                    </w:r>
                    <w:r>
                      <w:rPr>
                        <w:rFonts w:ascii="Cambria" w:hAnsi="Cambria"/>
                        <w:i/>
                        <w:sz w:val="22"/>
                      </w:rPr>
                      <w:t>Don’t</w:t>
                    </w:r>
                    <w:r>
                      <w:rPr>
                        <w:rFonts w:ascii="Cambria" w:hAnsi="Cambria"/>
                        <w:i/>
                        <w:spacing w:val="-2"/>
                        <w:sz w:val="22"/>
                      </w:rPr>
                      <w:t> Know”</w:t>
                    </w:r>
                  </w:p>
                </w:txbxContent>
              </v:textbox>
              <w10:wrap type="none"/>
            </v:shape>
          </w:pict>
        </mc:Fallback>
      </mc:AlternateContent>
    </w:r>
    <w:r>
      <w:rPr>
        <w:sz w:val="20"/>
      </w:rPr>
      <mc:AlternateContent>
        <mc:Choice Requires="wps">
          <w:drawing>
            <wp:anchor distT="0" distB="0" distL="0" distR="0" allowOverlap="1" layoutInCell="1" locked="0" behindDoc="1" simplePos="0" relativeHeight="479903232">
              <wp:simplePos x="0" y="0"/>
              <wp:positionH relativeFrom="page">
                <wp:posOffset>6508750</wp:posOffset>
              </wp:positionH>
              <wp:positionV relativeFrom="page">
                <wp:posOffset>723773</wp:posOffset>
              </wp:positionV>
              <wp:extent cx="164465" cy="192405"/>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164465" cy="192405"/>
                      </a:xfrm>
                      <a:prstGeom prst="rect">
                        <a:avLst/>
                      </a:prstGeom>
                    </wps:spPr>
                    <wps:txbx>
                      <w:txbxContent>
                        <w:p>
                          <w:pPr>
                            <w:pStyle w:val="BodyText"/>
                            <w:spacing w:before="16"/>
                            <w:ind w:left="20"/>
                          </w:pPr>
                          <w:r>
                            <w:rPr>
                              <w:spacing w:val="-5"/>
                            </w:rPr>
                            <w:t>67</w:t>
                          </w:r>
                        </w:p>
                      </w:txbxContent>
                    </wps:txbx>
                    <wps:bodyPr wrap="square" lIns="0" tIns="0" rIns="0" bIns="0" rtlCol="0">
                      <a:noAutofit/>
                    </wps:bodyPr>
                  </wps:wsp>
                </a:graphicData>
              </a:graphic>
            </wp:anchor>
          </w:drawing>
        </mc:Choice>
        <mc:Fallback>
          <w:pict>
            <v:shape style="position:absolute;margin-left:512.5pt;margin-top:56.990005pt;width:12.95pt;height:15.15pt;mso-position-horizontal-relative:page;mso-position-vertical-relative:page;z-index:-23413248" type="#_x0000_t202" id="docshape193" filled="false" stroked="false">
              <v:textbox inset="0,0,0,0">
                <w:txbxContent>
                  <w:p>
                    <w:pPr>
                      <w:pStyle w:val="BodyText"/>
                      <w:spacing w:before="16"/>
                      <w:ind w:left="20"/>
                    </w:pPr>
                    <w:r>
                      <w:rPr>
                        <w:spacing w:val="-5"/>
                      </w:rPr>
                      <w:t>67</w:t>
                    </w:r>
                  </w:p>
                </w:txbxContent>
              </v:textbox>
              <w10:wrap type="none"/>
            </v:shape>
          </w:pict>
        </mc:Fallback>
      </mc:AlternateContent>
    </w: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903744">
              <wp:simplePos x="0" y="0"/>
              <wp:positionH relativeFrom="page">
                <wp:posOffset>861898</wp:posOffset>
              </wp:positionH>
              <wp:positionV relativeFrom="page">
                <wp:posOffset>723773</wp:posOffset>
              </wp:positionV>
              <wp:extent cx="227965" cy="192405"/>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68</w:t>
                          </w:r>
                          <w:r>
                            <w:rPr>
                              <w:spacing w:val="-5"/>
                            </w:rPr>
                            <w:fldChar w:fldCharType="end"/>
                          </w:r>
                        </w:p>
                      </w:txbxContent>
                    </wps:txbx>
                    <wps:bodyPr wrap="square" lIns="0" tIns="0" rIns="0" bIns="0" rtlCol="0">
                      <a:noAutofit/>
                    </wps:bodyPr>
                  </wps:wsp>
                </a:graphicData>
              </a:graphic>
            </wp:anchor>
          </w:drawing>
        </mc:Choice>
        <mc:Fallback>
          <w:pict>
            <v:shape style="position:absolute;margin-left:67.865997pt;margin-top:56.990005pt;width:17.95pt;height:15.15pt;mso-position-horizontal-relative:page;mso-position-vertical-relative:page;z-index:-23412736" type="#_x0000_t202" id="docshape194"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68</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904256">
              <wp:simplePos x="0" y="0"/>
              <wp:positionH relativeFrom="page">
                <wp:posOffset>4626711</wp:posOffset>
              </wp:positionH>
              <wp:positionV relativeFrom="page">
                <wp:posOffset>723773</wp:posOffset>
              </wp:positionV>
              <wp:extent cx="1686560" cy="192405"/>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1686560" cy="192405"/>
                      </a:xfrm>
                      <a:prstGeom prst="rect">
                        <a:avLst/>
                      </a:prstGeom>
                    </wps:spPr>
                    <wps:txbx>
                      <w:txbxContent>
                        <w:p>
                          <w:pPr>
                            <w:spacing w:before="12"/>
                            <w:ind w:left="20" w:right="0" w:firstLine="0"/>
                            <w:jc w:val="left"/>
                            <w:rPr>
                              <w:rFonts w:ascii="Cambria"/>
                              <w:i/>
                              <w:sz w:val="22"/>
                            </w:rPr>
                          </w:pPr>
                          <w:r>
                            <w:rPr>
                              <w:rFonts w:ascii="Cambria"/>
                              <w:i/>
                              <w:spacing w:val="-4"/>
                              <w:sz w:val="22"/>
                            </w:rPr>
                            <w:t>Predictive</w:t>
                          </w:r>
                          <w:r>
                            <w:rPr>
                              <w:rFonts w:ascii="Cambria"/>
                              <w:i/>
                              <w:spacing w:val="1"/>
                              <w:sz w:val="22"/>
                            </w:rPr>
                            <w:t> </w:t>
                          </w:r>
                          <w:r>
                            <w:rPr>
                              <w:rFonts w:ascii="Cambria"/>
                              <w:i/>
                              <w:spacing w:val="-4"/>
                              <w:sz w:val="22"/>
                            </w:rPr>
                            <w:t>Validation</w:t>
                          </w:r>
                          <w:r>
                            <w:rPr>
                              <w:rFonts w:ascii="Cambria"/>
                              <w:i/>
                              <w:spacing w:val="1"/>
                              <w:sz w:val="22"/>
                            </w:rPr>
                            <w:t> </w:t>
                          </w:r>
                          <w:r>
                            <w:rPr>
                              <w:rFonts w:ascii="Cambria"/>
                              <w:i/>
                              <w:spacing w:val="-4"/>
                              <w:sz w:val="22"/>
                            </w:rPr>
                            <w:t>(Goal</w:t>
                          </w:r>
                          <w:r>
                            <w:rPr>
                              <w:rFonts w:ascii="Cambria"/>
                              <w:i/>
                              <w:spacing w:val="1"/>
                              <w:sz w:val="22"/>
                            </w:rPr>
                            <w:t> </w:t>
                          </w:r>
                          <w:r>
                            <w:rPr>
                              <w:rFonts w:ascii="Cambria"/>
                              <w:i/>
                              <w:spacing w:val="-5"/>
                              <w:sz w:val="22"/>
                            </w:rPr>
                            <w:t>2)</w:t>
                          </w:r>
                        </w:p>
                      </w:txbxContent>
                    </wps:txbx>
                    <wps:bodyPr wrap="square" lIns="0" tIns="0" rIns="0" bIns="0" rtlCol="0">
                      <a:noAutofit/>
                    </wps:bodyPr>
                  </wps:wsp>
                </a:graphicData>
              </a:graphic>
            </wp:anchor>
          </w:drawing>
        </mc:Choice>
        <mc:Fallback>
          <w:pict>
            <v:shape style="position:absolute;margin-left:364.308014pt;margin-top:56.990005pt;width:132.8pt;height:15.15pt;mso-position-horizontal-relative:page;mso-position-vertical-relative:page;z-index:-23412224" type="#_x0000_t202" id="docshape195" filled="false" stroked="false">
              <v:textbox inset="0,0,0,0">
                <w:txbxContent>
                  <w:p>
                    <w:pPr>
                      <w:spacing w:before="12"/>
                      <w:ind w:left="20" w:right="0" w:firstLine="0"/>
                      <w:jc w:val="left"/>
                      <w:rPr>
                        <w:rFonts w:ascii="Cambria"/>
                        <w:i/>
                        <w:sz w:val="22"/>
                      </w:rPr>
                    </w:pPr>
                    <w:r>
                      <w:rPr>
                        <w:rFonts w:ascii="Cambria"/>
                        <w:i/>
                        <w:spacing w:val="-4"/>
                        <w:sz w:val="22"/>
                      </w:rPr>
                      <w:t>Predictive</w:t>
                    </w:r>
                    <w:r>
                      <w:rPr>
                        <w:rFonts w:ascii="Cambria"/>
                        <w:i/>
                        <w:spacing w:val="1"/>
                        <w:sz w:val="22"/>
                      </w:rPr>
                      <w:t> </w:t>
                    </w:r>
                    <w:r>
                      <w:rPr>
                        <w:rFonts w:ascii="Cambria"/>
                        <w:i/>
                        <w:spacing w:val="-4"/>
                        <w:sz w:val="22"/>
                      </w:rPr>
                      <w:t>Validation</w:t>
                    </w:r>
                    <w:r>
                      <w:rPr>
                        <w:rFonts w:ascii="Cambria"/>
                        <w:i/>
                        <w:spacing w:val="1"/>
                        <w:sz w:val="22"/>
                      </w:rPr>
                      <w:t> </w:t>
                    </w:r>
                    <w:r>
                      <w:rPr>
                        <w:rFonts w:ascii="Cambria"/>
                        <w:i/>
                        <w:spacing w:val="-4"/>
                        <w:sz w:val="22"/>
                      </w:rPr>
                      <w:t>(Goal</w:t>
                    </w:r>
                    <w:r>
                      <w:rPr>
                        <w:rFonts w:ascii="Cambria"/>
                        <w:i/>
                        <w:spacing w:val="1"/>
                        <w:sz w:val="22"/>
                      </w:rPr>
                      <w:t> </w:t>
                    </w:r>
                    <w:r>
                      <w:rPr>
                        <w:rFonts w:ascii="Cambria"/>
                        <w:i/>
                        <w:spacing w:val="-5"/>
                        <w:sz w:val="22"/>
                      </w:rPr>
                      <w:t>2)</w:t>
                    </w:r>
                  </w:p>
                </w:txbxContent>
              </v:textbox>
              <w10:wrap type="none"/>
            </v:shape>
          </w:pict>
        </mc:Fallback>
      </mc:AlternateContent>
    </w: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904768">
              <wp:simplePos x="0" y="0"/>
              <wp:positionH relativeFrom="page">
                <wp:posOffset>858431</wp:posOffset>
              </wp:positionH>
              <wp:positionV relativeFrom="page">
                <wp:posOffset>723773</wp:posOffset>
              </wp:positionV>
              <wp:extent cx="227965" cy="192405"/>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70</w:t>
                          </w:r>
                          <w:r>
                            <w:rPr>
                              <w:spacing w:val="-5"/>
                            </w:rPr>
                            <w:fldChar w:fldCharType="end"/>
                          </w:r>
                        </w:p>
                      </w:txbxContent>
                    </wps:txbx>
                    <wps:bodyPr wrap="square" lIns="0" tIns="0" rIns="0" bIns="0" rtlCol="0">
                      <a:noAutofit/>
                    </wps:bodyPr>
                  </wps:wsp>
                </a:graphicData>
              </a:graphic>
            </wp:anchor>
          </w:drawing>
        </mc:Choice>
        <mc:Fallback>
          <w:pict>
            <v:shape style="position:absolute;margin-left:67.593002pt;margin-top:56.990005pt;width:17.95pt;height:15.15pt;mso-position-horizontal-relative:page;mso-position-vertical-relative:page;z-index:-23411712" type="#_x0000_t202" id="docshape197"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70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905280">
              <wp:simplePos x="0" y="0"/>
              <wp:positionH relativeFrom="page">
                <wp:posOffset>5679236</wp:posOffset>
              </wp:positionH>
              <wp:positionV relativeFrom="page">
                <wp:posOffset>723773</wp:posOffset>
              </wp:positionV>
              <wp:extent cx="633730" cy="192405"/>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633730" cy="192405"/>
                      </a:xfrm>
                      <a:prstGeom prst="rect">
                        <a:avLst/>
                      </a:prstGeom>
                    </wps:spPr>
                    <wps:txbx>
                      <w:txbxContent>
                        <w:p>
                          <w:pPr>
                            <w:spacing w:before="12"/>
                            <w:ind w:left="20" w:right="0" w:firstLine="0"/>
                            <w:jc w:val="left"/>
                            <w:rPr>
                              <w:rFonts w:ascii="Cambria"/>
                              <w:i/>
                              <w:sz w:val="22"/>
                            </w:rPr>
                          </w:pPr>
                          <w:r>
                            <w:rPr>
                              <w:rFonts w:ascii="Cambria"/>
                              <w:i/>
                              <w:spacing w:val="-2"/>
                              <w:sz w:val="22"/>
                            </w:rPr>
                            <w:t>Discussion</w:t>
                          </w:r>
                        </w:p>
                      </w:txbxContent>
                    </wps:txbx>
                    <wps:bodyPr wrap="square" lIns="0" tIns="0" rIns="0" bIns="0" rtlCol="0">
                      <a:noAutofit/>
                    </wps:bodyPr>
                  </wps:wsp>
                </a:graphicData>
              </a:graphic>
            </wp:anchor>
          </w:drawing>
        </mc:Choice>
        <mc:Fallback>
          <w:pict>
            <v:shape style="position:absolute;margin-left:447.18399pt;margin-top:56.990005pt;width:49.9pt;height:15.15pt;mso-position-horizontal-relative:page;mso-position-vertical-relative:page;z-index:-23411200" type="#_x0000_t202" id="docshape198" filled="false" stroked="false">
              <v:textbox inset="0,0,0,0">
                <w:txbxContent>
                  <w:p>
                    <w:pPr>
                      <w:spacing w:before="12"/>
                      <w:ind w:left="20" w:right="0" w:firstLine="0"/>
                      <w:jc w:val="left"/>
                      <w:rPr>
                        <w:rFonts w:ascii="Cambria"/>
                        <w:i/>
                        <w:sz w:val="22"/>
                      </w:rPr>
                    </w:pPr>
                    <w:r>
                      <w:rPr>
                        <w:rFonts w:ascii="Cambria"/>
                        <w:i/>
                        <w:spacing w:val="-2"/>
                        <w:sz w:val="22"/>
                      </w:rPr>
                      <w:t>Discussion</w:t>
                    </w:r>
                  </w:p>
                </w:txbxContent>
              </v:textbox>
              <w10:wrap type="none"/>
            </v:shape>
          </w:pict>
        </mc:Fallback>
      </mc:AlternateContent>
    </w: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905792">
              <wp:simplePos x="0" y="0"/>
              <wp:positionH relativeFrom="page">
                <wp:posOffset>858431</wp:posOffset>
              </wp:positionH>
              <wp:positionV relativeFrom="page">
                <wp:posOffset>723773</wp:posOffset>
              </wp:positionV>
              <wp:extent cx="227965" cy="192405"/>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72</w:t>
                          </w:r>
                          <w:r>
                            <w:rPr>
                              <w:spacing w:val="-5"/>
                            </w:rPr>
                            <w:fldChar w:fldCharType="end"/>
                          </w:r>
                        </w:p>
                      </w:txbxContent>
                    </wps:txbx>
                    <wps:bodyPr wrap="square" lIns="0" tIns="0" rIns="0" bIns="0" rtlCol="0">
                      <a:noAutofit/>
                    </wps:bodyPr>
                  </wps:wsp>
                </a:graphicData>
              </a:graphic>
            </wp:anchor>
          </w:drawing>
        </mc:Choice>
        <mc:Fallback>
          <w:pict>
            <v:shape style="position:absolute;margin-left:67.593002pt;margin-top:56.990005pt;width:17.95pt;height:15.15pt;mso-position-horizontal-relative:page;mso-position-vertical-relative:page;z-index:-23410688" type="#_x0000_t202" id="docshape200"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72</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906304">
              <wp:simplePos x="0" y="0"/>
              <wp:positionH relativeFrom="page">
                <wp:posOffset>5679236</wp:posOffset>
              </wp:positionH>
              <wp:positionV relativeFrom="page">
                <wp:posOffset>723773</wp:posOffset>
              </wp:positionV>
              <wp:extent cx="633730" cy="192405"/>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633730" cy="192405"/>
                      </a:xfrm>
                      <a:prstGeom prst="rect">
                        <a:avLst/>
                      </a:prstGeom>
                    </wps:spPr>
                    <wps:txbx>
                      <w:txbxContent>
                        <w:p>
                          <w:pPr>
                            <w:spacing w:before="12"/>
                            <w:ind w:left="20" w:right="0" w:firstLine="0"/>
                            <w:jc w:val="left"/>
                            <w:rPr>
                              <w:rFonts w:ascii="Cambria"/>
                              <w:i/>
                              <w:sz w:val="22"/>
                            </w:rPr>
                          </w:pPr>
                          <w:r>
                            <w:rPr>
                              <w:rFonts w:ascii="Cambria"/>
                              <w:i/>
                              <w:spacing w:val="-2"/>
                              <w:sz w:val="22"/>
                            </w:rPr>
                            <w:t>Discussion</w:t>
                          </w:r>
                        </w:p>
                      </w:txbxContent>
                    </wps:txbx>
                    <wps:bodyPr wrap="square" lIns="0" tIns="0" rIns="0" bIns="0" rtlCol="0">
                      <a:noAutofit/>
                    </wps:bodyPr>
                  </wps:wsp>
                </a:graphicData>
              </a:graphic>
            </wp:anchor>
          </w:drawing>
        </mc:Choice>
        <mc:Fallback>
          <w:pict>
            <v:shape style="position:absolute;margin-left:447.18399pt;margin-top:56.990005pt;width:49.9pt;height:15.15pt;mso-position-horizontal-relative:page;mso-position-vertical-relative:page;z-index:-23410176" type="#_x0000_t202" id="docshape201" filled="false" stroked="false">
              <v:textbox inset="0,0,0,0">
                <w:txbxContent>
                  <w:p>
                    <w:pPr>
                      <w:spacing w:before="12"/>
                      <w:ind w:left="20" w:right="0" w:firstLine="0"/>
                      <w:jc w:val="left"/>
                      <w:rPr>
                        <w:rFonts w:ascii="Cambria"/>
                        <w:i/>
                        <w:sz w:val="22"/>
                      </w:rPr>
                    </w:pPr>
                    <w:r>
                      <w:rPr>
                        <w:rFonts w:ascii="Cambria"/>
                        <w:i/>
                        <w:spacing w:val="-2"/>
                        <w:sz w:val="22"/>
                      </w:rPr>
                      <w:t>Discussion</w:t>
                    </w:r>
                  </w:p>
                </w:txbxContent>
              </v:textbox>
              <w10:wrap type="none"/>
            </v:shape>
          </w:pict>
        </mc:Fallback>
      </mc:AlternateContent>
    </w: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906816">
              <wp:simplePos x="0" y="0"/>
              <wp:positionH relativeFrom="page">
                <wp:posOffset>1247305</wp:posOffset>
              </wp:positionH>
              <wp:positionV relativeFrom="page">
                <wp:posOffset>723773</wp:posOffset>
              </wp:positionV>
              <wp:extent cx="3713479" cy="192405"/>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3713479" cy="192405"/>
                      </a:xfrm>
                      <a:prstGeom prst="rect">
                        <a:avLst/>
                      </a:prstGeom>
                    </wps:spPr>
                    <wps:txbx>
                      <w:txbxContent>
                        <w:p>
                          <w:pPr>
                            <w:spacing w:before="12"/>
                            <w:ind w:left="20" w:right="0" w:firstLine="0"/>
                            <w:jc w:val="left"/>
                            <w:rPr>
                              <w:rFonts w:ascii="Cambria"/>
                              <w:i/>
                              <w:sz w:val="22"/>
                            </w:rPr>
                          </w:pPr>
                          <w:r>
                            <w:rPr>
                              <w:rFonts w:ascii="Cambria"/>
                              <w:i/>
                              <w:spacing w:val="-2"/>
                              <w:sz w:val="22"/>
                            </w:rPr>
                            <w:t>6.7</w:t>
                          </w:r>
                          <w:r>
                            <w:rPr>
                              <w:rFonts w:ascii="Cambria"/>
                              <w:i/>
                              <w:spacing w:val="-4"/>
                              <w:sz w:val="22"/>
                            </w:rPr>
                            <w:t> </w:t>
                          </w:r>
                          <w:r>
                            <w:rPr>
                              <w:rFonts w:ascii="Cambria"/>
                              <w:i/>
                              <w:spacing w:val="-2"/>
                              <w:sz w:val="22"/>
                            </w:rPr>
                            <w:t>Experimental</w:t>
                          </w:r>
                          <w:r>
                            <w:rPr>
                              <w:rFonts w:ascii="Cambria"/>
                              <w:i/>
                              <w:spacing w:val="-3"/>
                              <w:sz w:val="22"/>
                            </w:rPr>
                            <w:t> </w:t>
                          </w:r>
                          <w:r>
                            <w:rPr>
                              <w:rFonts w:ascii="Cambria"/>
                              <w:i/>
                              <w:spacing w:val="-2"/>
                              <w:sz w:val="22"/>
                            </w:rPr>
                            <w:t>Design</w:t>
                          </w:r>
                          <w:r>
                            <w:rPr>
                              <w:rFonts w:ascii="Cambria"/>
                              <w:i/>
                              <w:spacing w:val="-4"/>
                              <w:sz w:val="22"/>
                            </w:rPr>
                            <w:t> </w:t>
                          </w:r>
                          <w:r>
                            <w:rPr>
                              <w:rFonts w:ascii="Cambria"/>
                              <w:i/>
                              <w:spacing w:val="-2"/>
                              <w:sz w:val="22"/>
                            </w:rPr>
                            <w:t>Decisions</w:t>
                          </w:r>
                          <w:r>
                            <w:rPr>
                              <w:rFonts w:ascii="Cambria"/>
                              <w:i/>
                              <w:spacing w:val="-3"/>
                              <w:sz w:val="22"/>
                            </w:rPr>
                            <w:t> </w:t>
                          </w:r>
                          <w:r>
                            <w:rPr>
                              <w:rFonts w:ascii="Cambria"/>
                              <w:i/>
                              <w:spacing w:val="-2"/>
                              <w:sz w:val="22"/>
                            </w:rPr>
                            <w:t>and</w:t>
                          </w:r>
                          <w:r>
                            <w:rPr>
                              <w:rFonts w:ascii="Cambria"/>
                              <w:i/>
                              <w:spacing w:val="-4"/>
                              <w:sz w:val="22"/>
                            </w:rPr>
                            <w:t> </w:t>
                          </w:r>
                          <w:r>
                            <w:rPr>
                              <w:rFonts w:ascii="Cambria"/>
                              <w:i/>
                              <w:spacing w:val="-2"/>
                              <w:sz w:val="22"/>
                            </w:rPr>
                            <w:t>Methodological</w:t>
                          </w:r>
                          <w:r>
                            <w:rPr>
                              <w:rFonts w:ascii="Cambria"/>
                              <w:i/>
                              <w:spacing w:val="-3"/>
                              <w:sz w:val="22"/>
                            </w:rPr>
                            <w:t> </w:t>
                          </w:r>
                          <w:r>
                            <w:rPr>
                              <w:rFonts w:ascii="Cambria"/>
                              <w:i/>
                              <w:spacing w:val="-2"/>
                              <w:sz w:val="22"/>
                            </w:rPr>
                            <w:t>Evolution</w:t>
                          </w:r>
                        </w:p>
                      </w:txbxContent>
                    </wps:txbx>
                    <wps:bodyPr wrap="square" lIns="0" tIns="0" rIns="0" bIns="0" rtlCol="0">
                      <a:noAutofit/>
                    </wps:bodyPr>
                  </wps:wsp>
                </a:graphicData>
              </a:graphic>
            </wp:anchor>
          </w:drawing>
        </mc:Choice>
        <mc:Fallback>
          <w:pict>
            <v:shape style="position:absolute;margin-left:98.212997pt;margin-top:56.990005pt;width:292.4pt;height:15.15pt;mso-position-horizontal-relative:page;mso-position-vertical-relative:page;z-index:-23409664" type="#_x0000_t202" id="docshape202" filled="false" stroked="false">
              <v:textbox inset="0,0,0,0">
                <w:txbxContent>
                  <w:p>
                    <w:pPr>
                      <w:spacing w:before="12"/>
                      <w:ind w:left="20" w:right="0" w:firstLine="0"/>
                      <w:jc w:val="left"/>
                      <w:rPr>
                        <w:rFonts w:ascii="Cambria"/>
                        <w:i/>
                        <w:sz w:val="22"/>
                      </w:rPr>
                    </w:pPr>
                    <w:r>
                      <w:rPr>
                        <w:rFonts w:ascii="Cambria"/>
                        <w:i/>
                        <w:spacing w:val="-2"/>
                        <w:sz w:val="22"/>
                      </w:rPr>
                      <w:t>6.7</w:t>
                    </w:r>
                    <w:r>
                      <w:rPr>
                        <w:rFonts w:ascii="Cambria"/>
                        <w:i/>
                        <w:spacing w:val="-4"/>
                        <w:sz w:val="22"/>
                      </w:rPr>
                      <w:t> </w:t>
                    </w:r>
                    <w:r>
                      <w:rPr>
                        <w:rFonts w:ascii="Cambria"/>
                        <w:i/>
                        <w:spacing w:val="-2"/>
                        <w:sz w:val="22"/>
                      </w:rPr>
                      <w:t>Experimental</w:t>
                    </w:r>
                    <w:r>
                      <w:rPr>
                        <w:rFonts w:ascii="Cambria"/>
                        <w:i/>
                        <w:spacing w:val="-3"/>
                        <w:sz w:val="22"/>
                      </w:rPr>
                      <w:t> </w:t>
                    </w:r>
                    <w:r>
                      <w:rPr>
                        <w:rFonts w:ascii="Cambria"/>
                        <w:i/>
                        <w:spacing w:val="-2"/>
                        <w:sz w:val="22"/>
                      </w:rPr>
                      <w:t>Design</w:t>
                    </w:r>
                    <w:r>
                      <w:rPr>
                        <w:rFonts w:ascii="Cambria"/>
                        <w:i/>
                        <w:spacing w:val="-4"/>
                        <w:sz w:val="22"/>
                      </w:rPr>
                      <w:t> </w:t>
                    </w:r>
                    <w:r>
                      <w:rPr>
                        <w:rFonts w:ascii="Cambria"/>
                        <w:i/>
                        <w:spacing w:val="-2"/>
                        <w:sz w:val="22"/>
                      </w:rPr>
                      <w:t>Decisions</w:t>
                    </w:r>
                    <w:r>
                      <w:rPr>
                        <w:rFonts w:ascii="Cambria"/>
                        <w:i/>
                        <w:spacing w:val="-3"/>
                        <w:sz w:val="22"/>
                      </w:rPr>
                      <w:t> </w:t>
                    </w:r>
                    <w:r>
                      <w:rPr>
                        <w:rFonts w:ascii="Cambria"/>
                        <w:i/>
                        <w:spacing w:val="-2"/>
                        <w:sz w:val="22"/>
                      </w:rPr>
                      <w:t>and</w:t>
                    </w:r>
                    <w:r>
                      <w:rPr>
                        <w:rFonts w:ascii="Cambria"/>
                        <w:i/>
                        <w:spacing w:val="-4"/>
                        <w:sz w:val="22"/>
                      </w:rPr>
                      <w:t> </w:t>
                    </w:r>
                    <w:r>
                      <w:rPr>
                        <w:rFonts w:ascii="Cambria"/>
                        <w:i/>
                        <w:spacing w:val="-2"/>
                        <w:sz w:val="22"/>
                      </w:rPr>
                      <w:t>Methodological</w:t>
                    </w:r>
                    <w:r>
                      <w:rPr>
                        <w:rFonts w:ascii="Cambria"/>
                        <w:i/>
                        <w:spacing w:val="-3"/>
                        <w:sz w:val="22"/>
                      </w:rPr>
                      <w:t> </w:t>
                    </w:r>
                    <w:r>
                      <w:rPr>
                        <w:rFonts w:ascii="Cambria"/>
                        <w:i/>
                        <w:spacing w:val="-2"/>
                        <w:sz w:val="22"/>
                      </w:rPr>
                      <w:t>Evolution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79907328">
              <wp:simplePos x="0" y="0"/>
              <wp:positionH relativeFrom="page">
                <wp:posOffset>6483350</wp:posOffset>
              </wp:positionH>
              <wp:positionV relativeFrom="page">
                <wp:posOffset>723773</wp:posOffset>
              </wp:positionV>
              <wp:extent cx="227965" cy="192405"/>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73</w:t>
                          </w:r>
                          <w:r>
                            <w:rPr>
                              <w:spacing w:val="-5"/>
                            </w:rPr>
                            <w:fldChar w:fldCharType="end"/>
                          </w:r>
                        </w:p>
                      </w:txbxContent>
                    </wps:txbx>
                    <wps:bodyPr wrap="square" lIns="0" tIns="0" rIns="0" bIns="0" rtlCol="0">
                      <a:noAutofit/>
                    </wps:bodyPr>
                  </wps:wsp>
                </a:graphicData>
              </a:graphic>
            </wp:anchor>
          </w:drawing>
        </mc:Choice>
        <mc:Fallback>
          <w:pict>
            <v:shape style="position:absolute;margin-left:510.5pt;margin-top:56.990005pt;width:17.95pt;height:15.15pt;mso-position-horizontal-relative:page;mso-position-vertical-relative:page;z-index:-23409152" type="#_x0000_t202" id="docshape203"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73</w:t>
                    </w:r>
                    <w:r>
                      <w:rPr>
                        <w:spacing w:val="-5"/>
                      </w:rPr>
                      <w:fldChar w:fldCharType="end"/>
                    </w:r>
                  </w:p>
                </w:txbxContent>
              </v:textbox>
              <w10:wrap type="none"/>
            </v:shape>
          </w:pict>
        </mc:Fallback>
      </mc:AlternateContent>
    </w: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907840">
              <wp:simplePos x="0" y="0"/>
              <wp:positionH relativeFrom="page">
                <wp:posOffset>858431</wp:posOffset>
              </wp:positionH>
              <wp:positionV relativeFrom="page">
                <wp:posOffset>723773</wp:posOffset>
              </wp:positionV>
              <wp:extent cx="227965" cy="192405"/>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78</w:t>
                          </w:r>
                          <w:r>
                            <w:rPr>
                              <w:spacing w:val="-5"/>
                            </w:rPr>
                            <w:fldChar w:fldCharType="end"/>
                          </w:r>
                        </w:p>
                      </w:txbxContent>
                    </wps:txbx>
                    <wps:bodyPr wrap="square" lIns="0" tIns="0" rIns="0" bIns="0" rtlCol="0">
                      <a:noAutofit/>
                    </wps:bodyPr>
                  </wps:wsp>
                </a:graphicData>
              </a:graphic>
            </wp:anchor>
          </w:drawing>
        </mc:Choice>
        <mc:Fallback>
          <w:pict>
            <v:shape style="position:absolute;margin-left:67.593002pt;margin-top:56.990005pt;width:17.95pt;height:15.15pt;mso-position-horizontal-relative:page;mso-position-vertical-relative:page;z-index:-23408640" type="#_x0000_t202" id="docshape204"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78</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908352">
              <wp:simplePos x="0" y="0"/>
              <wp:positionH relativeFrom="page">
                <wp:posOffset>5602198</wp:posOffset>
              </wp:positionH>
              <wp:positionV relativeFrom="page">
                <wp:posOffset>723773</wp:posOffset>
              </wp:positionV>
              <wp:extent cx="710565" cy="192405"/>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710565" cy="192405"/>
                      </a:xfrm>
                      <a:prstGeom prst="rect">
                        <a:avLst/>
                      </a:prstGeom>
                    </wps:spPr>
                    <wps:txbx>
                      <w:txbxContent>
                        <w:p>
                          <w:pPr>
                            <w:spacing w:before="12"/>
                            <w:ind w:left="20" w:right="0" w:firstLine="0"/>
                            <w:jc w:val="left"/>
                            <w:rPr>
                              <w:rFonts w:ascii="Cambria"/>
                              <w:i/>
                              <w:sz w:val="22"/>
                            </w:rPr>
                          </w:pPr>
                          <w:r>
                            <w:rPr>
                              <w:rFonts w:ascii="Cambria"/>
                              <w:i/>
                              <w:spacing w:val="-2"/>
                              <w:sz w:val="22"/>
                            </w:rPr>
                            <w:t>Conclusions</w:t>
                          </w:r>
                        </w:p>
                      </w:txbxContent>
                    </wps:txbx>
                    <wps:bodyPr wrap="square" lIns="0" tIns="0" rIns="0" bIns="0" rtlCol="0">
                      <a:noAutofit/>
                    </wps:bodyPr>
                  </wps:wsp>
                </a:graphicData>
              </a:graphic>
            </wp:anchor>
          </w:drawing>
        </mc:Choice>
        <mc:Fallback>
          <w:pict>
            <v:shape style="position:absolute;margin-left:441.118011pt;margin-top:56.990005pt;width:55.95pt;height:15.15pt;mso-position-horizontal-relative:page;mso-position-vertical-relative:page;z-index:-23408128" type="#_x0000_t202" id="docshape205" filled="false" stroked="false">
              <v:textbox inset="0,0,0,0">
                <w:txbxContent>
                  <w:p>
                    <w:pPr>
                      <w:spacing w:before="12"/>
                      <w:ind w:left="20" w:right="0" w:firstLine="0"/>
                      <w:jc w:val="left"/>
                      <w:rPr>
                        <w:rFonts w:ascii="Cambria"/>
                        <w:i/>
                        <w:sz w:val="22"/>
                      </w:rPr>
                    </w:pPr>
                    <w:r>
                      <w:rPr>
                        <w:rFonts w:ascii="Cambria"/>
                        <w:i/>
                        <w:spacing w:val="-2"/>
                        <w:sz w:val="22"/>
                      </w:rPr>
                      <w:t>Conclusions</w:t>
                    </w:r>
                  </w:p>
                </w:txbxContent>
              </v:textbox>
              <w10:wrap type="none"/>
            </v:shape>
          </w:pict>
        </mc:Fallback>
      </mc:AlternateContent>
    </w: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908864">
              <wp:simplePos x="0" y="0"/>
              <wp:positionH relativeFrom="page">
                <wp:posOffset>861898</wp:posOffset>
              </wp:positionH>
              <wp:positionV relativeFrom="page">
                <wp:posOffset>723773</wp:posOffset>
              </wp:positionV>
              <wp:extent cx="227965" cy="192405"/>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80</w:t>
                          </w:r>
                          <w:r>
                            <w:rPr>
                              <w:spacing w:val="-5"/>
                            </w:rPr>
                            <w:fldChar w:fldCharType="end"/>
                          </w:r>
                        </w:p>
                      </w:txbxContent>
                    </wps:txbx>
                    <wps:bodyPr wrap="square" lIns="0" tIns="0" rIns="0" bIns="0" rtlCol="0">
                      <a:noAutofit/>
                    </wps:bodyPr>
                  </wps:wsp>
                </a:graphicData>
              </a:graphic>
            </wp:anchor>
          </w:drawing>
        </mc:Choice>
        <mc:Fallback>
          <w:pict>
            <v:shape style="position:absolute;margin-left:67.865997pt;margin-top:56.990005pt;width:17.95pt;height:15.15pt;mso-position-horizontal-relative:page;mso-position-vertical-relative:page;z-index:-23407616" type="#_x0000_t202" id="docshape206"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80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909376">
              <wp:simplePos x="0" y="0"/>
              <wp:positionH relativeFrom="page">
                <wp:posOffset>5602198</wp:posOffset>
              </wp:positionH>
              <wp:positionV relativeFrom="page">
                <wp:posOffset>723773</wp:posOffset>
              </wp:positionV>
              <wp:extent cx="710565" cy="192405"/>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710565" cy="192405"/>
                      </a:xfrm>
                      <a:prstGeom prst="rect">
                        <a:avLst/>
                      </a:prstGeom>
                    </wps:spPr>
                    <wps:txbx>
                      <w:txbxContent>
                        <w:p>
                          <w:pPr>
                            <w:spacing w:before="12"/>
                            <w:ind w:left="20" w:right="0" w:firstLine="0"/>
                            <w:jc w:val="left"/>
                            <w:rPr>
                              <w:rFonts w:ascii="Cambria"/>
                              <w:i/>
                              <w:sz w:val="22"/>
                            </w:rPr>
                          </w:pPr>
                          <w:r>
                            <w:rPr>
                              <w:rFonts w:ascii="Cambria"/>
                              <w:i/>
                              <w:spacing w:val="-2"/>
                              <w:sz w:val="22"/>
                            </w:rPr>
                            <w:t>Conclusions</w:t>
                          </w:r>
                        </w:p>
                      </w:txbxContent>
                    </wps:txbx>
                    <wps:bodyPr wrap="square" lIns="0" tIns="0" rIns="0" bIns="0" rtlCol="0">
                      <a:noAutofit/>
                    </wps:bodyPr>
                  </wps:wsp>
                </a:graphicData>
              </a:graphic>
            </wp:anchor>
          </w:drawing>
        </mc:Choice>
        <mc:Fallback>
          <w:pict>
            <v:shape style="position:absolute;margin-left:441.118011pt;margin-top:56.990005pt;width:55.95pt;height:15.15pt;mso-position-horizontal-relative:page;mso-position-vertical-relative:page;z-index:-23407104" type="#_x0000_t202" id="docshape207" filled="false" stroked="false">
              <v:textbox inset="0,0,0,0">
                <w:txbxContent>
                  <w:p>
                    <w:pPr>
                      <w:spacing w:before="12"/>
                      <w:ind w:left="20" w:right="0" w:firstLine="0"/>
                      <w:jc w:val="left"/>
                      <w:rPr>
                        <w:rFonts w:ascii="Cambria"/>
                        <w:i/>
                        <w:sz w:val="22"/>
                      </w:rPr>
                    </w:pPr>
                    <w:r>
                      <w:rPr>
                        <w:rFonts w:ascii="Cambria"/>
                        <w:i/>
                        <w:spacing w:val="-2"/>
                        <w:sz w:val="22"/>
                      </w:rPr>
                      <w:t>Conclusions</w:t>
                    </w:r>
                  </w:p>
                </w:txbxContent>
              </v:textbox>
              <w10:wrap type="none"/>
            </v:shape>
          </w:pict>
        </mc:Fallback>
      </mc:AlternateContent>
    </w: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909888">
              <wp:simplePos x="0" y="0"/>
              <wp:positionH relativeFrom="page">
                <wp:posOffset>861898</wp:posOffset>
              </wp:positionH>
              <wp:positionV relativeFrom="page">
                <wp:posOffset>723773</wp:posOffset>
              </wp:positionV>
              <wp:extent cx="227965" cy="192405"/>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82</w:t>
                          </w:r>
                          <w:r>
                            <w:rPr>
                              <w:spacing w:val="-5"/>
                            </w:rPr>
                            <w:fldChar w:fldCharType="end"/>
                          </w:r>
                        </w:p>
                      </w:txbxContent>
                    </wps:txbx>
                    <wps:bodyPr wrap="square" lIns="0" tIns="0" rIns="0" bIns="0" rtlCol="0">
                      <a:noAutofit/>
                    </wps:bodyPr>
                  </wps:wsp>
                </a:graphicData>
              </a:graphic>
            </wp:anchor>
          </w:drawing>
        </mc:Choice>
        <mc:Fallback>
          <w:pict>
            <v:shape style="position:absolute;margin-left:67.865997pt;margin-top:56.990005pt;width:17.95pt;height:15.15pt;mso-position-horizontal-relative:page;mso-position-vertical-relative:page;z-index:-23406592" type="#_x0000_t202" id="docshape209"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82</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910400">
              <wp:simplePos x="0" y="0"/>
              <wp:positionH relativeFrom="page">
                <wp:posOffset>4970995</wp:posOffset>
              </wp:positionH>
              <wp:positionV relativeFrom="page">
                <wp:posOffset>723773</wp:posOffset>
              </wp:positionV>
              <wp:extent cx="1341755" cy="192405"/>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1341755" cy="192405"/>
                      </a:xfrm>
                      <a:prstGeom prst="rect">
                        <a:avLst/>
                      </a:prstGeom>
                    </wps:spPr>
                    <wps:txbx>
                      <w:txbxContent>
                        <w:p>
                          <w:pPr>
                            <w:spacing w:before="12"/>
                            <w:ind w:left="20" w:right="0" w:firstLine="0"/>
                            <w:jc w:val="left"/>
                            <w:rPr>
                              <w:rFonts w:ascii="Cambria"/>
                              <w:i/>
                              <w:sz w:val="22"/>
                            </w:rPr>
                          </w:pPr>
                          <w:r>
                            <w:rPr>
                              <w:rFonts w:ascii="Cambria"/>
                              <w:i/>
                              <w:sz w:val="22"/>
                            </w:rPr>
                            <w:t>Complete</w:t>
                          </w:r>
                          <w:r>
                            <w:rPr>
                              <w:rFonts w:ascii="Cambria"/>
                              <w:i/>
                              <w:spacing w:val="-1"/>
                              <w:sz w:val="22"/>
                            </w:rPr>
                            <w:t> </w:t>
                          </w:r>
                          <w:r>
                            <w:rPr>
                              <w:rFonts w:ascii="Cambria"/>
                              <w:i/>
                              <w:sz w:val="22"/>
                            </w:rPr>
                            <w:t>Rule</w:t>
                          </w:r>
                          <w:r>
                            <w:rPr>
                              <w:rFonts w:ascii="Cambria"/>
                              <w:i/>
                              <w:spacing w:val="-1"/>
                              <w:sz w:val="22"/>
                            </w:rPr>
                            <w:t> </w:t>
                          </w:r>
                          <w:r>
                            <w:rPr>
                              <w:rFonts w:ascii="Cambria"/>
                              <w:i/>
                              <w:spacing w:val="-2"/>
                              <w:sz w:val="22"/>
                            </w:rPr>
                            <w:t>Listings</w:t>
                          </w:r>
                        </w:p>
                      </w:txbxContent>
                    </wps:txbx>
                    <wps:bodyPr wrap="square" lIns="0" tIns="0" rIns="0" bIns="0" rtlCol="0">
                      <a:noAutofit/>
                    </wps:bodyPr>
                  </wps:wsp>
                </a:graphicData>
              </a:graphic>
            </wp:anchor>
          </w:drawing>
        </mc:Choice>
        <mc:Fallback>
          <w:pict>
            <v:shape style="position:absolute;margin-left:391.416992pt;margin-top:56.990005pt;width:105.65pt;height:15.15pt;mso-position-horizontal-relative:page;mso-position-vertical-relative:page;z-index:-23406080" type="#_x0000_t202" id="docshape210" filled="false" stroked="false">
              <v:textbox inset="0,0,0,0">
                <w:txbxContent>
                  <w:p>
                    <w:pPr>
                      <w:spacing w:before="12"/>
                      <w:ind w:left="20" w:right="0" w:firstLine="0"/>
                      <w:jc w:val="left"/>
                      <w:rPr>
                        <w:rFonts w:ascii="Cambria"/>
                        <w:i/>
                        <w:sz w:val="22"/>
                      </w:rPr>
                    </w:pPr>
                    <w:r>
                      <w:rPr>
                        <w:rFonts w:ascii="Cambria"/>
                        <w:i/>
                        <w:sz w:val="22"/>
                      </w:rPr>
                      <w:t>Complete</w:t>
                    </w:r>
                    <w:r>
                      <w:rPr>
                        <w:rFonts w:ascii="Cambria"/>
                        <w:i/>
                        <w:spacing w:val="-1"/>
                        <w:sz w:val="22"/>
                      </w:rPr>
                      <w:t> </w:t>
                    </w:r>
                    <w:r>
                      <w:rPr>
                        <w:rFonts w:ascii="Cambria"/>
                        <w:i/>
                        <w:sz w:val="22"/>
                      </w:rPr>
                      <w:t>Rule</w:t>
                    </w:r>
                    <w:r>
                      <w:rPr>
                        <w:rFonts w:ascii="Cambria"/>
                        <w:i/>
                        <w:spacing w:val="-1"/>
                        <w:sz w:val="22"/>
                      </w:rPr>
                      <w:t> </w:t>
                    </w:r>
                    <w:r>
                      <w:rPr>
                        <w:rFonts w:ascii="Cambria"/>
                        <w:i/>
                        <w:spacing w:val="-2"/>
                        <w:sz w:val="22"/>
                      </w:rPr>
                      <w:t>Listings</w:t>
                    </w:r>
                  </w:p>
                </w:txbxContent>
              </v:textbox>
              <w10:wrap type="none"/>
            </v:shape>
          </w:pict>
        </mc:Fallback>
      </mc:AlternateContent>
    </w: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910912">
              <wp:simplePos x="0" y="0"/>
              <wp:positionH relativeFrom="page">
                <wp:posOffset>1237322</wp:posOffset>
              </wp:positionH>
              <wp:positionV relativeFrom="page">
                <wp:posOffset>723773</wp:posOffset>
              </wp:positionV>
              <wp:extent cx="2663190" cy="192405"/>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2663190" cy="192405"/>
                      </a:xfrm>
                      <a:prstGeom prst="rect">
                        <a:avLst/>
                      </a:prstGeom>
                    </wps:spPr>
                    <wps:txbx>
                      <w:txbxContent>
                        <w:p>
                          <w:pPr>
                            <w:spacing w:before="12"/>
                            <w:ind w:left="20" w:right="0" w:firstLine="0"/>
                            <w:jc w:val="left"/>
                            <w:rPr>
                              <w:rFonts w:ascii="Cambria" w:hAnsi="Cambria"/>
                              <w:i/>
                              <w:sz w:val="22"/>
                            </w:rPr>
                          </w:pPr>
                          <w:r>
                            <w:rPr>
                              <w:rFonts w:ascii="Cambria" w:hAnsi="Cambria"/>
                              <w:i/>
                              <w:sz w:val="22"/>
                            </w:rPr>
                            <w:t>A.2</w:t>
                          </w:r>
                          <w:r>
                            <w:rPr>
                              <w:rFonts w:ascii="Cambria" w:hAnsi="Cambria"/>
                              <w:i/>
                              <w:spacing w:val="7"/>
                              <w:sz w:val="22"/>
                            </w:rPr>
                            <w:t> </w:t>
                          </w:r>
                          <w:r>
                            <w:rPr>
                              <w:rFonts w:ascii="Cambria" w:hAnsi="Cambria"/>
                              <w:i/>
                              <w:sz w:val="22"/>
                            </w:rPr>
                            <w:t>CarenR</w:t>
                          </w:r>
                          <w:r>
                            <w:rPr>
                              <w:rFonts w:ascii="Cambria" w:hAnsi="Cambria"/>
                              <w:i/>
                              <w:spacing w:val="7"/>
                              <w:sz w:val="22"/>
                            </w:rPr>
                            <w:t> </w:t>
                          </w:r>
                          <w:r>
                            <w:rPr>
                              <w:rFonts w:ascii="Cambria" w:hAnsi="Cambria"/>
                              <w:i/>
                              <w:sz w:val="22"/>
                            </w:rPr>
                            <w:t>—</w:t>
                          </w:r>
                          <w:r>
                            <w:rPr>
                              <w:rFonts w:ascii="Cambria" w:hAnsi="Cambria"/>
                              <w:i/>
                              <w:spacing w:val="8"/>
                              <w:sz w:val="22"/>
                            </w:rPr>
                            <w:t> </w:t>
                          </w:r>
                          <w:r>
                            <w:rPr>
                              <w:rFonts w:ascii="Cambria" w:hAnsi="Cambria"/>
                              <w:i/>
                              <w:sz w:val="22"/>
                            </w:rPr>
                            <w:t>Douro</w:t>
                          </w:r>
                          <w:r>
                            <w:rPr>
                              <w:rFonts w:ascii="Cambria" w:hAnsi="Cambria"/>
                              <w:i/>
                              <w:spacing w:val="7"/>
                              <w:sz w:val="22"/>
                            </w:rPr>
                            <w:t> </w:t>
                          </w:r>
                          <w:r>
                            <w:rPr>
                              <w:rFonts w:ascii="Cambria" w:hAnsi="Cambria"/>
                              <w:i/>
                              <w:sz w:val="22"/>
                            </w:rPr>
                            <w:t>Region</w:t>
                          </w:r>
                          <w:r>
                            <w:rPr>
                              <w:rFonts w:ascii="Cambria" w:hAnsi="Cambria"/>
                              <w:i/>
                              <w:spacing w:val="7"/>
                              <w:sz w:val="22"/>
                            </w:rPr>
                            <w:t> </w:t>
                          </w:r>
                          <w:r>
                            <w:rPr>
                              <w:rFonts w:ascii="Cambria" w:hAnsi="Cambria"/>
                              <w:i/>
                              <w:sz w:val="22"/>
                            </w:rPr>
                            <w:t>(RDD):</w:t>
                          </w:r>
                          <w:r>
                            <w:rPr>
                              <w:rFonts w:ascii="Cambria" w:hAnsi="Cambria"/>
                              <w:i/>
                              <w:spacing w:val="8"/>
                              <w:sz w:val="22"/>
                            </w:rPr>
                            <w:t> </w:t>
                          </w:r>
                          <w:r>
                            <w:rPr>
                              <w:rFonts w:ascii="Cambria" w:hAnsi="Cambria"/>
                              <w:i/>
                              <w:sz w:val="22"/>
                            </w:rPr>
                            <w:t>48</w:t>
                          </w:r>
                          <w:r>
                            <w:rPr>
                              <w:rFonts w:ascii="Cambria" w:hAnsi="Cambria"/>
                              <w:i/>
                              <w:spacing w:val="7"/>
                              <w:sz w:val="22"/>
                            </w:rPr>
                            <w:t> </w:t>
                          </w:r>
                          <w:r>
                            <w:rPr>
                              <w:rFonts w:ascii="Cambria" w:hAnsi="Cambria"/>
                              <w:i/>
                              <w:spacing w:val="-2"/>
                              <w:sz w:val="22"/>
                            </w:rPr>
                            <w:t>Rules</w:t>
                          </w:r>
                        </w:p>
                      </w:txbxContent>
                    </wps:txbx>
                    <wps:bodyPr wrap="square" lIns="0" tIns="0" rIns="0" bIns="0" rtlCol="0">
                      <a:noAutofit/>
                    </wps:bodyPr>
                  </wps:wsp>
                </a:graphicData>
              </a:graphic>
            </wp:anchor>
          </w:drawing>
        </mc:Choice>
        <mc:Fallback>
          <w:pict>
            <v:shape style="position:absolute;margin-left:97.427002pt;margin-top:56.990005pt;width:209.7pt;height:15.15pt;mso-position-horizontal-relative:page;mso-position-vertical-relative:page;z-index:-23405568" type="#_x0000_t202" id="docshape211" filled="false" stroked="false">
              <v:textbox inset="0,0,0,0">
                <w:txbxContent>
                  <w:p>
                    <w:pPr>
                      <w:spacing w:before="12"/>
                      <w:ind w:left="20" w:right="0" w:firstLine="0"/>
                      <w:jc w:val="left"/>
                      <w:rPr>
                        <w:rFonts w:ascii="Cambria" w:hAnsi="Cambria"/>
                        <w:i/>
                        <w:sz w:val="22"/>
                      </w:rPr>
                    </w:pPr>
                    <w:r>
                      <w:rPr>
                        <w:rFonts w:ascii="Cambria" w:hAnsi="Cambria"/>
                        <w:i/>
                        <w:sz w:val="22"/>
                      </w:rPr>
                      <w:t>A.2</w:t>
                    </w:r>
                    <w:r>
                      <w:rPr>
                        <w:rFonts w:ascii="Cambria" w:hAnsi="Cambria"/>
                        <w:i/>
                        <w:spacing w:val="7"/>
                        <w:sz w:val="22"/>
                      </w:rPr>
                      <w:t> </w:t>
                    </w:r>
                    <w:r>
                      <w:rPr>
                        <w:rFonts w:ascii="Cambria" w:hAnsi="Cambria"/>
                        <w:i/>
                        <w:sz w:val="22"/>
                      </w:rPr>
                      <w:t>CarenR</w:t>
                    </w:r>
                    <w:r>
                      <w:rPr>
                        <w:rFonts w:ascii="Cambria" w:hAnsi="Cambria"/>
                        <w:i/>
                        <w:spacing w:val="7"/>
                        <w:sz w:val="22"/>
                      </w:rPr>
                      <w:t> </w:t>
                    </w:r>
                    <w:r>
                      <w:rPr>
                        <w:rFonts w:ascii="Cambria" w:hAnsi="Cambria"/>
                        <w:i/>
                        <w:sz w:val="22"/>
                      </w:rPr>
                      <w:t>—</w:t>
                    </w:r>
                    <w:r>
                      <w:rPr>
                        <w:rFonts w:ascii="Cambria" w:hAnsi="Cambria"/>
                        <w:i/>
                        <w:spacing w:val="8"/>
                        <w:sz w:val="22"/>
                      </w:rPr>
                      <w:t> </w:t>
                    </w:r>
                    <w:r>
                      <w:rPr>
                        <w:rFonts w:ascii="Cambria" w:hAnsi="Cambria"/>
                        <w:i/>
                        <w:sz w:val="22"/>
                      </w:rPr>
                      <w:t>Douro</w:t>
                    </w:r>
                    <w:r>
                      <w:rPr>
                        <w:rFonts w:ascii="Cambria" w:hAnsi="Cambria"/>
                        <w:i/>
                        <w:spacing w:val="7"/>
                        <w:sz w:val="22"/>
                      </w:rPr>
                      <w:t> </w:t>
                    </w:r>
                    <w:r>
                      <w:rPr>
                        <w:rFonts w:ascii="Cambria" w:hAnsi="Cambria"/>
                        <w:i/>
                        <w:sz w:val="22"/>
                      </w:rPr>
                      <w:t>Region</w:t>
                    </w:r>
                    <w:r>
                      <w:rPr>
                        <w:rFonts w:ascii="Cambria" w:hAnsi="Cambria"/>
                        <w:i/>
                        <w:spacing w:val="7"/>
                        <w:sz w:val="22"/>
                      </w:rPr>
                      <w:t> </w:t>
                    </w:r>
                    <w:r>
                      <w:rPr>
                        <w:rFonts w:ascii="Cambria" w:hAnsi="Cambria"/>
                        <w:i/>
                        <w:sz w:val="22"/>
                      </w:rPr>
                      <w:t>(RDD):</w:t>
                    </w:r>
                    <w:r>
                      <w:rPr>
                        <w:rFonts w:ascii="Cambria" w:hAnsi="Cambria"/>
                        <w:i/>
                        <w:spacing w:val="8"/>
                        <w:sz w:val="22"/>
                      </w:rPr>
                      <w:t> </w:t>
                    </w:r>
                    <w:r>
                      <w:rPr>
                        <w:rFonts w:ascii="Cambria" w:hAnsi="Cambria"/>
                        <w:i/>
                        <w:sz w:val="22"/>
                      </w:rPr>
                      <w:t>48</w:t>
                    </w:r>
                    <w:r>
                      <w:rPr>
                        <w:rFonts w:ascii="Cambria" w:hAnsi="Cambria"/>
                        <w:i/>
                        <w:spacing w:val="7"/>
                        <w:sz w:val="22"/>
                      </w:rPr>
                      <w:t> </w:t>
                    </w:r>
                    <w:r>
                      <w:rPr>
                        <w:rFonts w:ascii="Cambria" w:hAnsi="Cambria"/>
                        <w:i/>
                        <w:spacing w:val="-2"/>
                        <w:sz w:val="22"/>
                      </w:rPr>
                      <w:t>Rules</w:t>
                    </w:r>
                  </w:p>
                </w:txbxContent>
              </v:textbox>
              <w10:wrap type="none"/>
            </v:shape>
          </w:pict>
        </mc:Fallback>
      </mc:AlternateContent>
    </w:r>
    <w:r>
      <w:rPr>
        <w:sz w:val="20"/>
      </w:rPr>
      <mc:AlternateContent>
        <mc:Choice Requires="wps">
          <w:drawing>
            <wp:anchor distT="0" distB="0" distL="0" distR="0" allowOverlap="1" layoutInCell="1" locked="0" behindDoc="1" simplePos="0" relativeHeight="479911424">
              <wp:simplePos x="0" y="0"/>
              <wp:positionH relativeFrom="page">
                <wp:posOffset>6483350</wp:posOffset>
              </wp:positionH>
              <wp:positionV relativeFrom="page">
                <wp:posOffset>723773</wp:posOffset>
              </wp:positionV>
              <wp:extent cx="227965" cy="192405"/>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83</w:t>
                          </w:r>
                          <w:r>
                            <w:rPr>
                              <w:spacing w:val="-5"/>
                            </w:rPr>
                            <w:fldChar w:fldCharType="end"/>
                          </w:r>
                        </w:p>
                      </w:txbxContent>
                    </wps:txbx>
                    <wps:bodyPr wrap="square" lIns="0" tIns="0" rIns="0" bIns="0" rtlCol="0">
                      <a:noAutofit/>
                    </wps:bodyPr>
                  </wps:wsp>
                </a:graphicData>
              </a:graphic>
            </wp:anchor>
          </w:drawing>
        </mc:Choice>
        <mc:Fallback>
          <w:pict>
            <v:shape style="position:absolute;margin-left:510.5pt;margin-top:56.990005pt;width:17.95pt;height:15.15pt;mso-position-horizontal-relative:page;mso-position-vertical-relative:page;z-index:-23405056" type="#_x0000_t202" id="docshape212"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83</w:t>
                    </w:r>
                    <w:r>
                      <w:rPr>
                        <w:spacing w:val="-5"/>
                      </w:rPr>
                      <w:fldChar w:fldCharType="end"/>
                    </w:r>
                  </w:p>
                </w:txbxContent>
              </v:textbox>
              <w10:wrap type="none"/>
            </v:shape>
          </w:pict>
        </mc:Fallback>
      </mc:AlternateContent>
    </w: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911936">
              <wp:simplePos x="0" y="0"/>
              <wp:positionH relativeFrom="page">
                <wp:posOffset>1237322</wp:posOffset>
              </wp:positionH>
              <wp:positionV relativeFrom="page">
                <wp:posOffset>723773</wp:posOffset>
              </wp:positionV>
              <wp:extent cx="2994025" cy="192405"/>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2994025" cy="192405"/>
                      </a:xfrm>
                      <a:prstGeom prst="rect">
                        <a:avLst/>
                      </a:prstGeom>
                    </wps:spPr>
                    <wps:txbx>
                      <w:txbxContent>
                        <w:p>
                          <w:pPr>
                            <w:spacing w:before="12"/>
                            <w:ind w:left="20" w:right="0" w:firstLine="0"/>
                            <w:jc w:val="left"/>
                            <w:rPr>
                              <w:rFonts w:ascii="Cambria" w:hAnsi="Cambria"/>
                              <w:i/>
                              <w:sz w:val="22"/>
                            </w:rPr>
                          </w:pPr>
                          <w:r>
                            <w:rPr>
                              <w:rFonts w:ascii="Cambria" w:hAnsi="Cambria"/>
                              <w:i/>
                              <w:sz w:val="22"/>
                            </w:rPr>
                            <w:t>A.3</w:t>
                          </w:r>
                          <w:r>
                            <w:rPr>
                              <w:rFonts w:ascii="Cambria" w:hAnsi="Cambria"/>
                              <w:i/>
                              <w:spacing w:val="7"/>
                              <w:sz w:val="22"/>
                            </w:rPr>
                            <w:t> </w:t>
                          </w:r>
                          <w:r>
                            <w:rPr>
                              <w:rFonts w:ascii="Cambria" w:hAnsi="Cambria"/>
                              <w:i/>
                              <w:sz w:val="22"/>
                            </w:rPr>
                            <w:t>CarenR</w:t>
                          </w:r>
                          <w:r>
                            <w:rPr>
                              <w:rFonts w:ascii="Cambria" w:hAnsi="Cambria"/>
                              <w:i/>
                              <w:spacing w:val="7"/>
                              <w:sz w:val="22"/>
                            </w:rPr>
                            <w:t> </w:t>
                          </w:r>
                          <w:r>
                            <w:rPr>
                              <w:rFonts w:ascii="Cambria" w:hAnsi="Cambria"/>
                              <w:i/>
                              <w:sz w:val="22"/>
                            </w:rPr>
                            <w:t>—</w:t>
                          </w:r>
                          <w:r>
                            <w:rPr>
                              <w:rFonts w:ascii="Cambria" w:hAnsi="Cambria"/>
                              <w:i/>
                              <w:spacing w:val="7"/>
                              <w:sz w:val="22"/>
                            </w:rPr>
                            <w:t> </w:t>
                          </w:r>
                          <w:r>
                            <w:rPr>
                              <w:rFonts w:ascii="Cambria" w:hAnsi="Cambria"/>
                              <w:i/>
                              <w:sz w:val="22"/>
                            </w:rPr>
                            <w:t>Vinho</w:t>
                          </w:r>
                          <w:r>
                            <w:rPr>
                              <w:rFonts w:ascii="Cambria" w:hAnsi="Cambria"/>
                              <w:i/>
                              <w:spacing w:val="7"/>
                              <w:sz w:val="22"/>
                            </w:rPr>
                            <w:t> </w:t>
                          </w:r>
                          <w:r>
                            <w:rPr>
                              <w:rFonts w:ascii="Cambria" w:hAnsi="Cambria"/>
                              <w:i/>
                              <w:sz w:val="22"/>
                            </w:rPr>
                            <w:t>Verde</w:t>
                          </w:r>
                          <w:r>
                            <w:rPr>
                              <w:rFonts w:ascii="Cambria" w:hAnsi="Cambria"/>
                              <w:i/>
                              <w:spacing w:val="7"/>
                              <w:sz w:val="22"/>
                            </w:rPr>
                            <w:t> </w:t>
                          </w:r>
                          <w:r>
                            <w:rPr>
                              <w:rFonts w:ascii="Cambria" w:hAnsi="Cambria"/>
                              <w:i/>
                              <w:sz w:val="22"/>
                            </w:rPr>
                            <w:t>Region</w:t>
                          </w:r>
                          <w:r>
                            <w:rPr>
                              <w:rFonts w:ascii="Cambria" w:hAnsi="Cambria"/>
                              <w:i/>
                              <w:spacing w:val="7"/>
                              <w:sz w:val="22"/>
                            </w:rPr>
                            <w:t> </w:t>
                          </w:r>
                          <w:r>
                            <w:rPr>
                              <w:rFonts w:ascii="Cambria" w:hAnsi="Cambria"/>
                              <w:i/>
                              <w:sz w:val="22"/>
                            </w:rPr>
                            <w:t>(RVV):</w:t>
                          </w:r>
                          <w:r>
                            <w:rPr>
                              <w:rFonts w:ascii="Cambria" w:hAnsi="Cambria"/>
                              <w:i/>
                              <w:spacing w:val="7"/>
                              <w:sz w:val="22"/>
                            </w:rPr>
                            <w:t> </w:t>
                          </w:r>
                          <w:r>
                            <w:rPr>
                              <w:rFonts w:ascii="Cambria" w:hAnsi="Cambria"/>
                              <w:i/>
                              <w:sz w:val="22"/>
                            </w:rPr>
                            <w:t>20</w:t>
                          </w:r>
                          <w:r>
                            <w:rPr>
                              <w:rFonts w:ascii="Cambria" w:hAnsi="Cambria"/>
                              <w:i/>
                              <w:spacing w:val="7"/>
                              <w:sz w:val="22"/>
                            </w:rPr>
                            <w:t> </w:t>
                          </w:r>
                          <w:r>
                            <w:rPr>
                              <w:rFonts w:ascii="Cambria" w:hAnsi="Cambria"/>
                              <w:i/>
                              <w:spacing w:val="-2"/>
                              <w:sz w:val="22"/>
                            </w:rPr>
                            <w:t>Rules</w:t>
                          </w:r>
                        </w:p>
                      </w:txbxContent>
                    </wps:txbx>
                    <wps:bodyPr wrap="square" lIns="0" tIns="0" rIns="0" bIns="0" rtlCol="0">
                      <a:noAutofit/>
                    </wps:bodyPr>
                  </wps:wsp>
                </a:graphicData>
              </a:graphic>
            </wp:anchor>
          </w:drawing>
        </mc:Choice>
        <mc:Fallback>
          <w:pict>
            <v:shape style="position:absolute;margin-left:97.427002pt;margin-top:56.990005pt;width:235.75pt;height:15.15pt;mso-position-horizontal-relative:page;mso-position-vertical-relative:page;z-index:-23404544" type="#_x0000_t202" id="docshape219" filled="false" stroked="false">
              <v:textbox inset="0,0,0,0">
                <w:txbxContent>
                  <w:p>
                    <w:pPr>
                      <w:spacing w:before="12"/>
                      <w:ind w:left="20" w:right="0" w:firstLine="0"/>
                      <w:jc w:val="left"/>
                      <w:rPr>
                        <w:rFonts w:ascii="Cambria" w:hAnsi="Cambria"/>
                        <w:i/>
                        <w:sz w:val="22"/>
                      </w:rPr>
                    </w:pPr>
                    <w:r>
                      <w:rPr>
                        <w:rFonts w:ascii="Cambria" w:hAnsi="Cambria"/>
                        <w:i/>
                        <w:sz w:val="22"/>
                      </w:rPr>
                      <w:t>A.3</w:t>
                    </w:r>
                    <w:r>
                      <w:rPr>
                        <w:rFonts w:ascii="Cambria" w:hAnsi="Cambria"/>
                        <w:i/>
                        <w:spacing w:val="7"/>
                        <w:sz w:val="22"/>
                      </w:rPr>
                      <w:t> </w:t>
                    </w:r>
                    <w:r>
                      <w:rPr>
                        <w:rFonts w:ascii="Cambria" w:hAnsi="Cambria"/>
                        <w:i/>
                        <w:sz w:val="22"/>
                      </w:rPr>
                      <w:t>CarenR</w:t>
                    </w:r>
                    <w:r>
                      <w:rPr>
                        <w:rFonts w:ascii="Cambria" w:hAnsi="Cambria"/>
                        <w:i/>
                        <w:spacing w:val="7"/>
                        <w:sz w:val="22"/>
                      </w:rPr>
                      <w:t> </w:t>
                    </w:r>
                    <w:r>
                      <w:rPr>
                        <w:rFonts w:ascii="Cambria" w:hAnsi="Cambria"/>
                        <w:i/>
                        <w:sz w:val="22"/>
                      </w:rPr>
                      <w:t>—</w:t>
                    </w:r>
                    <w:r>
                      <w:rPr>
                        <w:rFonts w:ascii="Cambria" w:hAnsi="Cambria"/>
                        <w:i/>
                        <w:spacing w:val="7"/>
                        <w:sz w:val="22"/>
                      </w:rPr>
                      <w:t> </w:t>
                    </w:r>
                    <w:r>
                      <w:rPr>
                        <w:rFonts w:ascii="Cambria" w:hAnsi="Cambria"/>
                        <w:i/>
                        <w:sz w:val="22"/>
                      </w:rPr>
                      <w:t>Vinho</w:t>
                    </w:r>
                    <w:r>
                      <w:rPr>
                        <w:rFonts w:ascii="Cambria" w:hAnsi="Cambria"/>
                        <w:i/>
                        <w:spacing w:val="7"/>
                        <w:sz w:val="22"/>
                      </w:rPr>
                      <w:t> </w:t>
                    </w:r>
                    <w:r>
                      <w:rPr>
                        <w:rFonts w:ascii="Cambria" w:hAnsi="Cambria"/>
                        <w:i/>
                        <w:sz w:val="22"/>
                      </w:rPr>
                      <w:t>Verde</w:t>
                    </w:r>
                    <w:r>
                      <w:rPr>
                        <w:rFonts w:ascii="Cambria" w:hAnsi="Cambria"/>
                        <w:i/>
                        <w:spacing w:val="7"/>
                        <w:sz w:val="22"/>
                      </w:rPr>
                      <w:t> </w:t>
                    </w:r>
                    <w:r>
                      <w:rPr>
                        <w:rFonts w:ascii="Cambria" w:hAnsi="Cambria"/>
                        <w:i/>
                        <w:sz w:val="22"/>
                      </w:rPr>
                      <w:t>Region</w:t>
                    </w:r>
                    <w:r>
                      <w:rPr>
                        <w:rFonts w:ascii="Cambria" w:hAnsi="Cambria"/>
                        <w:i/>
                        <w:spacing w:val="7"/>
                        <w:sz w:val="22"/>
                      </w:rPr>
                      <w:t> </w:t>
                    </w:r>
                    <w:r>
                      <w:rPr>
                        <w:rFonts w:ascii="Cambria" w:hAnsi="Cambria"/>
                        <w:i/>
                        <w:sz w:val="22"/>
                      </w:rPr>
                      <w:t>(RVV):</w:t>
                    </w:r>
                    <w:r>
                      <w:rPr>
                        <w:rFonts w:ascii="Cambria" w:hAnsi="Cambria"/>
                        <w:i/>
                        <w:spacing w:val="7"/>
                        <w:sz w:val="22"/>
                      </w:rPr>
                      <w:t> </w:t>
                    </w:r>
                    <w:r>
                      <w:rPr>
                        <w:rFonts w:ascii="Cambria" w:hAnsi="Cambria"/>
                        <w:i/>
                        <w:sz w:val="22"/>
                      </w:rPr>
                      <w:t>20</w:t>
                    </w:r>
                    <w:r>
                      <w:rPr>
                        <w:rFonts w:ascii="Cambria" w:hAnsi="Cambria"/>
                        <w:i/>
                        <w:spacing w:val="7"/>
                        <w:sz w:val="22"/>
                      </w:rPr>
                      <w:t> </w:t>
                    </w:r>
                    <w:r>
                      <w:rPr>
                        <w:rFonts w:ascii="Cambria" w:hAnsi="Cambria"/>
                        <w:i/>
                        <w:spacing w:val="-2"/>
                        <w:sz w:val="22"/>
                      </w:rPr>
                      <w:t>Rules</w:t>
                    </w:r>
                  </w:p>
                </w:txbxContent>
              </v:textbox>
              <w10:wrap type="none"/>
            </v:shape>
          </w:pict>
        </mc:Fallback>
      </mc:AlternateContent>
    </w:r>
    <w:r>
      <w:rPr>
        <w:sz w:val="20"/>
      </w:rPr>
      <mc:AlternateContent>
        <mc:Choice Requires="wps">
          <w:drawing>
            <wp:anchor distT="0" distB="0" distL="0" distR="0" allowOverlap="1" layoutInCell="1" locked="0" behindDoc="1" simplePos="0" relativeHeight="479912448">
              <wp:simplePos x="0" y="0"/>
              <wp:positionH relativeFrom="page">
                <wp:posOffset>6483350</wp:posOffset>
              </wp:positionH>
              <wp:positionV relativeFrom="page">
                <wp:posOffset>723773</wp:posOffset>
              </wp:positionV>
              <wp:extent cx="227965" cy="192405"/>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87</w:t>
                          </w:r>
                          <w:r>
                            <w:rPr>
                              <w:spacing w:val="-5"/>
                            </w:rPr>
                            <w:fldChar w:fldCharType="end"/>
                          </w:r>
                        </w:p>
                      </w:txbxContent>
                    </wps:txbx>
                    <wps:bodyPr wrap="square" lIns="0" tIns="0" rIns="0" bIns="0" rtlCol="0">
                      <a:noAutofit/>
                    </wps:bodyPr>
                  </wps:wsp>
                </a:graphicData>
              </a:graphic>
            </wp:anchor>
          </w:drawing>
        </mc:Choice>
        <mc:Fallback>
          <w:pict>
            <v:shape style="position:absolute;margin-left:510.5pt;margin-top:56.990005pt;width:17.95pt;height:15.15pt;mso-position-horizontal-relative:page;mso-position-vertical-relative:page;z-index:-23404032" type="#_x0000_t202" id="docshape220"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87</w:t>
                    </w:r>
                    <w:r>
                      <w:rPr>
                        <w:spacing w:val="-5"/>
                      </w:rPr>
                      <w:fldChar w:fldCharType="end"/>
                    </w:r>
                  </w:p>
                </w:txbxContent>
              </v:textbox>
              <w10:wrap type="none"/>
            </v:shape>
          </w:pict>
        </mc:Fallback>
      </mc:AlternateContent>
    </w: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912960">
              <wp:simplePos x="0" y="0"/>
              <wp:positionH relativeFrom="page">
                <wp:posOffset>861898</wp:posOffset>
              </wp:positionH>
              <wp:positionV relativeFrom="page">
                <wp:posOffset>723773</wp:posOffset>
              </wp:positionV>
              <wp:extent cx="227965" cy="192405"/>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88</w:t>
                          </w:r>
                          <w:r>
                            <w:rPr>
                              <w:spacing w:val="-5"/>
                            </w:rPr>
                            <w:fldChar w:fldCharType="end"/>
                          </w:r>
                        </w:p>
                      </w:txbxContent>
                    </wps:txbx>
                    <wps:bodyPr wrap="square" lIns="0" tIns="0" rIns="0" bIns="0" rtlCol="0">
                      <a:noAutofit/>
                    </wps:bodyPr>
                  </wps:wsp>
                </a:graphicData>
              </a:graphic>
            </wp:anchor>
          </w:drawing>
        </mc:Choice>
        <mc:Fallback>
          <w:pict>
            <v:shape style="position:absolute;margin-left:67.865997pt;margin-top:56.990005pt;width:17.95pt;height:15.15pt;mso-position-horizontal-relative:page;mso-position-vertical-relative:page;z-index:-23403520" type="#_x0000_t202" id="docshape221"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88</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913472">
              <wp:simplePos x="0" y="0"/>
              <wp:positionH relativeFrom="page">
                <wp:posOffset>4970995</wp:posOffset>
              </wp:positionH>
              <wp:positionV relativeFrom="page">
                <wp:posOffset>723773</wp:posOffset>
              </wp:positionV>
              <wp:extent cx="1341755" cy="192405"/>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1341755" cy="192405"/>
                      </a:xfrm>
                      <a:prstGeom prst="rect">
                        <a:avLst/>
                      </a:prstGeom>
                    </wps:spPr>
                    <wps:txbx>
                      <w:txbxContent>
                        <w:p>
                          <w:pPr>
                            <w:spacing w:before="12"/>
                            <w:ind w:left="20" w:right="0" w:firstLine="0"/>
                            <w:jc w:val="left"/>
                            <w:rPr>
                              <w:rFonts w:ascii="Cambria"/>
                              <w:i/>
                              <w:sz w:val="22"/>
                            </w:rPr>
                          </w:pPr>
                          <w:r>
                            <w:rPr>
                              <w:rFonts w:ascii="Cambria"/>
                              <w:i/>
                              <w:sz w:val="22"/>
                            </w:rPr>
                            <w:t>Complete</w:t>
                          </w:r>
                          <w:r>
                            <w:rPr>
                              <w:rFonts w:ascii="Cambria"/>
                              <w:i/>
                              <w:spacing w:val="-1"/>
                              <w:sz w:val="22"/>
                            </w:rPr>
                            <w:t> </w:t>
                          </w:r>
                          <w:r>
                            <w:rPr>
                              <w:rFonts w:ascii="Cambria"/>
                              <w:i/>
                              <w:sz w:val="22"/>
                            </w:rPr>
                            <w:t>Rule</w:t>
                          </w:r>
                          <w:r>
                            <w:rPr>
                              <w:rFonts w:ascii="Cambria"/>
                              <w:i/>
                              <w:spacing w:val="-1"/>
                              <w:sz w:val="22"/>
                            </w:rPr>
                            <w:t> </w:t>
                          </w:r>
                          <w:r>
                            <w:rPr>
                              <w:rFonts w:ascii="Cambria"/>
                              <w:i/>
                              <w:spacing w:val="-2"/>
                              <w:sz w:val="22"/>
                            </w:rPr>
                            <w:t>Listings</w:t>
                          </w:r>
                        </w:p>
                      </w:txbxContent>
                    </wps:txbx>
                    <wps:bodyPr wrap="square" lIns="0" tIns="0" rIns="0" bIns="0" rtlCol="0">
                      <a:noAutofit/>
                    </wps:bodyPr>
                  </wps:wsp>
                </a:graphicData>
              </a:graphic>
            </wp:anchor>
          </w:drawing>
        </mc:Choice>
        <mc:Fallback>
          <w:pict>
            <v:shape style="position:absolute;margin-left:391.416992pt;margin-top:56.990005pt;width:105.65pt;height:15.15pt;mso-position-horizontal-relative:page;mso-position-vertical-relative:page;z-index:-23403008" type="#_x0000_t202" id="docshape222" filled="false" stroked="false">
              <v:textbox inset="0,0,0,0">
                <w:txbxContent>
                  <w:p>
                    <w:pPr>
                      <w:spacing w:before="12"/>
                      <w:ind w:left="20" w:right="0" w:firstLine="0"/>
                      <w:jc w:val="left"/>
                      <w:rPr>
                        <w:rFonts w:ascii="Cambria"/>
                        <w:i/>
                        <w:sz w:val="22"/>
                      </w:rPr>
                    </w:pPr>
                    <w:r>
                      <w:rPr>
                        <w:rFonts w:ascii="Cambria"/>
                        <w:i/>
                        <w:sz w:val="22"/>
                      </w:rPr>
                      <w:t>Complete</w:t>
                    </w:r>
                    <w:r>
                      <w:rPr>
                        <w:rFonts w:ascii="Cambria"/>
                        <w:i/>
                        <w:spacing w:val="-1"/>
                        <w:sz w:val="22"/>
                      </w:rPr>
                      <w:t> </w:t>
                    </w:r>
                    <w:r>
                      <w:rPr>
                        <w:rFonts w:ascii="Cambria"/>
                        <w:i/>
                        <w:sz w:val="22"/>
                      </w:rPr>
                      <w:t>Rule</w:t>
                    </w:r>
                    <w:r>
                      <w:rPr>
                        <w:rFonts w:ascii="Cambria"/>
                        <w:i/>
                        <w:spacing w:val="-1"/>
                        <w:sz w:val="22"/>
                      </w:rPr>
                      <w:t> </w:t>
                    </w:r>
                    <w:r>
                      <w:rPr>
                        <w:rFonts w:ascii="Cambria"/>
                        <w:i/>
                        <w:spacing w:val="-2"/>
                        <w:sz w:val="22"/>
                      </w:rPr>
                      <w:t>Listings</w:t>
                    </w:r>
                  </w:p>
                </w:txbxContent>
              </v:textbox>
              <w10:wrap type="none"/>
            </v:shape>
          </w:pict>
        </mc:Fallback>
      </mc:AlternateContent>
    </w: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913984">
              <wp:simplePos x="0" y="0"/>
              <wp:positionH relativeFrom="page">
                <wp:posOffset>1237322</wp:posOffset>
              </wp:positionH>
              <wp:positionV relativeFrom="page">
                <wp:posOffset>723773</wp:posOffset>
              </wp:positionV>
              <wp:extent cx="2710815" cy="192405"/>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2710815" cy="192405"/>
                      </a:xfrm>
                      <a:prstGeom prst="rect">
                        <a:avLst/>
                      </a:prstGeom>
                    </wps:spPr>
                    <wps:txbx>
                      <w:txbxContent>
                        <w:p>
                          <w:pPr>
                            <w:spacing w:before="12"/>
                            <w:ind w:left="20" w:right="0" w:firstLine="0"/>
                            <w:jc w:val="left"/>
                            <w:rPr>
                              <w:rFonts w:ascii="Cambria"/>
                              <w:i/>
                              <w:sz w:val="22"/>
                            </w:rPr>
                          </w:pPr>
                          <w:r>
                            <w:rPr>
                              <w:rFonts w:ascii="Cambria"/>
                              <w:i/>
                              <w:sz w:val="22"/>
                            </w:rPr>
                            <w:t>A.4</w:t>
                          </w:r>
                          <w:r>
                            <w:rPr>
                              <w:rFonts w:ascii="Cambria"/>
                              <w:i/>
                              <w:spacing w:val="9"/>
                              <w:sz w:val="22"/>
                            </w:rPr>
                            <w:t> </w:t>
                          </w:r>
                          <w:r>
                            <w:rPr>
                              <w:rFonts w:ascii="Cambria"/>
                              <w:i/>
                              <w:sz w:val="22"/>
                            </w:rPr>
                            <w:t>RIPPER</w:t>
                          </w:r>
                          <w:r>
                            <w:rPr>
                              <w:rFonts w:ascii="Cambria"/>
                              <w:i/>
                              <w:spacing w:val="10"/>
                              <w:sz w:val="22"/>
                            </w:rPr>
                            <w:t> </w:t>
                          </w:r>
                          <w:r>
                            <w:rPr>
                              <w:rFonts w:ascii="Cambria"/>
                              <w:i/>
                              <w:sz w:val="22"/>
                            </w:rPr>
                            <w:t>Classification</w:t>
                          </w:r>
                          <w:r>
                            <w:rPr>
                              <w:rFonts w:ascii="Cambria"/>
                              <w:i/>
                              <w:spacing w:val="10"/>
                              <w:sz w:val="22"/>
                            </w:rPr>
                            <w:t> </w:t>
                          </w:r>
                          <w:r>
                            <w:rPr>
                              <w:rFonts w:ascii="Cambria"/>
                              <w:i/>
                              <w:sz w:val="22"/>
                            </w:rPr>
                            <w:t>Rules:</w:t>
                          </w:r>
                          <w:r>
                            <w:rPr>
                              <w:rFonts w:ascii="Cambria"/>
                              <w:i/>
                              <w:spacing w:val="23"/>
                              <w:sz w:val="22"/>
                            </w:rPr>
                            <w:t> </w:t>
                          </w:r>
                          <w:r>
                            <w:rPr>
                              <w:rFonts w:ascii="Cambria"/>
                              <w:i/>
                              <w:sz w:val="22"/>
                            </w:rPr>
                            <w:t>Both</w:t>
                          </w:r>
                          <w:r>
                            <w:rPr>
                              <w:rFonts w:ascii="Cambria"/>
                              <w:i/>
                              <w:spacing w:val="10"/>
                              <w:sz w:val="22"/>
                            </w:rPr>
                            <w:t> </w:t>
                          </w:r>
                          <w:r>
                            <w:rPr>
                              <w:rFonts w:ascii="Cambria"/>
                              <w:i/>
                              <w:spacing w:val="-2"/>
                              <w:sz w:val="22"/>
                            </w:rPr>
                            <w:t>Regions</w:t>
                          </w:r>
                        </w:p>
                      </w:txbxContent>
                    </wps:txbx>
                    <wps:bodyPr wrap="square" lIns="0" tIns="0" rIns="0" bIns="0" rtlCol="0">
                      <a:noAutofit/>
                    </wps:bodyPr>
                  </wps:wsp>
                </a:graphicData>
              </a:graphic>
            </wp:anchor>
          </w:drawing>
        </mc:Choice>
        <mc:Fallback>
          <w:pict>
            <v:shape style="position:absolute;margin-left:97.427002pt;margin-top:56.990005pt;width:213.45pt;height:15.15pt;mso-position-horizontal-relative:page;mso-position-vertical-relative:page;z-index:-23402496" type="#_x0000_t202" id="docshape225" filled="false" stroked="false">
              <v:textbox inset="0,0,0,0">
                <w:txbxContent>
                  <w:p>
                    <w:pPr>
                      <w:spacing w:before="12"/>
                      <w:ind w:left="20" w:right="0" w:firstLine="0"/>
                      <w:jc w:val="left"/>
                      <w:rPr>
                        <w:rFonts w:ascii="Cambria"/>
                        <w:i/>
                        <w:sz w:val="22"/>
                      </w:rPr>
                    </w:pPr>
                    <w:r>
                      <w:rPr>
                        <w:rFonts w:ascii="Cambria"/>
                        <w:i/>
                        <w:sz w:val="22"/>
                      </w:rPr>
                      <w:t>A.4</w:t>
                    </w:r>
                    <w:r>
                      <w:rPr>
                        <w:rFonts w:ascii="Cambria"/>
                        <w:i/>
                        <w:spacing w:val="9"/>
                        <w:sz w:val="22"/>
                      </w:rPr>
                      <w:t> </w:t>
                    </w:r>
                    <w:r>
                      <w:rPr>
                        <w:rFonts w:ascii="Cambria"/>
                        <w:i/>
                        <w:sz w:val="22"/>
                      </w:rPr>
                      <w:t>RIPPER</w:t>
                    </w:r>
                    <w:r>
                      <w:rPr>
                        <w:rFonts w:ascii="Cambria"/>
                        <w:i/>
                        <w:spacing w:val="10"/>
                        <w:sz w:val="22"/>
                      </w:rPr>
                      <w:t> </w:t>
                    </w:r>
                    <w:r>
                      <w:rPr>
                        <w:rFonts w:ascii="Cambria"/>
                        <w:i/>
                        <w:sz w:val="22"/>
                      </w:rPr>
                      <w:t>Classification</w:t>
                    </w:r>
                    <w:r>
                      <w:rPr>
                        <w:rFonts w:ascii="Cambria"/>
                        <w:i/>
                        <w:spacing w:val="10"/>
                        <w:sz w:val="22"/>
                      </w:rPr>
                      <w:t> </w:t>
                    </w:r>
                    <w:r>
                      <w:rPr>
                        <w:rFonts w:ascii="Cambria"/>
                        <w:i/>
                        <w:sz w:val="22"/>
                      </w:rPr>
                      <w:t>Rules:</w:t>
                    </w:r>
                    <w:r>
                      <w:rPr>
                        <w:rFonts w:ascii="Cambria"/>
                        <w:i/>
                        <w:spacing w:val="23"/>
                        <w:sz w:val="22"/>
                      </w:rPr>
                      <w:t> </w:t>
                    </w:r>
                    <w:r>
                      <w:rPr>
                        <w:rFonts w:ascii="Cambria"/>
                        <w:i/>
                        <w:sz w:val="22"/>
                      </w:rPr>
                      <w:t>Both</w:t>
                    </w:r>
                    <w:r>
                      <w:rPr>
                        <w:rFonts w:ascii="Cambria"/>
                        <w:i/>
                        <w:spacing w:val="10"/>
                        <w:sz w:val="22"/>
                      </w:rPr>
                      <w:t> </w:t>
                    </w:r>
                    <w:r>
                      <w:rPr>
                        <w:rFonts w:ascii="Cambria"/>
                        <w:i/>
                        <w:spacing w:val="-2"/>
                        <w:sz w:val="22"/>
                      </w:rPr>
                      <w:t>Regions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79914496">
              <wp:simplePos x="0" y="0"/>
              <wp:positionH relativeFrom="page">
                <wp:posOffset>6483350</wp:posOffset>
              </wp:positionH>
              <wp:positionV relativeFrom="page">
                <wp:posOffset>723773</wp:posOffset>
              </wp:positionV>
              <wp:extent cx="227965" cy="192405"/>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89</w:t>
                          </w:r>
                          <w:r>
                            <w:rPr>
                              <w:spacing w:val="-5"/>
                            </w:rPr>
                            <w:fldChar w:fldCharType="end"/>
                          </w:r>
                        </w:p>
                      </w:txbxContent>
                    </wps:txbx>
                    <wps:bodyPr wrap="square" lIns="0" tIns="0" rIns="0" bIns="0" rtlCol="0">
                      <a:noAutofit/>
                    </wps:bodyPr>
                  </wps:wsp>
                </a:graphicData>
              </a:graphic>
            </wp:anchor>
          </w:drawing>
        </mc:Choice>
        <mc:Fallback>
          <w:pict>
            <v:shape style="position:absolute;margin-left:510.5pt;margin-top:56.990005pt;width:17.95pt;height:15.15pt;mso-position-horizontal-relative:page;mso-position-vertical-relative:page;z-index:-23401984" type="#_x0000_t202" id="docshape226"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89</w:t>
                    </w:r>
                    <w:r>
                      <w:rPr>
                        <w:spacing w:val="-5"/>
                      </w:rPr>
                      <w:fldChar w:fldCharType="end"/>
                    </w:r>
                  </w:p>
                </w:txbxContent>
              </v:textbox>
              <w10:wrap type="none"/>
            </v:shape>
          </w:pict>
        </mc:Fallback>
      </mc:AlternateContent>
    </w: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915008">
              <wp:simplePos x="0" y="0"/>
              <wp:positionH relativeFrom="page">
                <wp:posOffset>861898</wp:posOffset>
              </wp:positionH>
              <wp:positionV relativeFrom="page">
                <wp:posOffset>723773</wp:posOffset>
              </wp:positionV>
              <wp:extent cx="227965" cy="192405"/>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90</w:t>
                          </w:r>
                          <w:r>
                            <w:rPr>
                              <w:spacing w:val="-5"/>
                            </w:rPr>
                            <w:fldChar w:fldCharType="end"/>
                          </w:r>
                        </w:p>
                      </w:txbxContent>
                    </wps:txbx>
                    <wps:bodyPr wrap="square" lIns="0" tIns="0" rIns="0" bIns="0" rtlCol="0">
                      <a:noAutofit/>
                    </wps:bodyPr>
                  </wps:wsp>
                </a:graphicData>
              </a:graphic>
            </wp:anchor>
          </w:drawing>
        </mc:Choice>
        <mc:Fallback>
          <w:pict>
            <v:shape style="position:absolute;margin-left:67.865997pt;margin-top:56.990005pt;width:17.95pt;height:15.15pt;mso-position-horizontal-relative:page;mso-position-vertical-relative:page;z-index:-23401472" type="#_x0000_t202" id="docshape227"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90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915520">
              <wp:simplePos x="0" y="0"/>
              <wp:positionH relativeFrom="page">
                <wp:posOffset>4970995</wp:posOffset>
              </wp:positionH>
              <wp:positionV relativeFrom="page">
                <wp:posOffset>723773</wp:posOffset>
              </wp:positionV>
              <wp:extent cx="1341755" cy="192405"/>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1341755" cy="192405"/>
                      </a:xfrm>
                      <a:prstGeom prst="rect">
                        <a:avLst/>
                      </a:prstGeom>
                    </wps:spPr>
                    <wps:txbx>
                      <w:txbxContent>
                        <w:p>
                          <w:pPr>
                            <w:spacing w:before="12"/>
                            <w:ind w:left="20" w:right="0" w:firstLine="0"/>
                            <w:jc w:val="left"/>
                            <w:rPr>
                              <w:rFonts w:ascii="Cambria"/>
                              <w:i/>
                              <w:sz w:val="22"/>
                            </w:rPr>
                          </w:pPr>
                          <w:r>
                            <w:rPr>
                              <w:rFonts w:ascii="Cambria"/>
                              <w:i/>
                              <w:sz w:val="22"/>
                            </w:rPr>
                            <w:t>Complete</w:t>
                          </w:r>
                          <w:r>
                            <w:rPr>
                              <w:rFonts w:ascii="Cambria"/>
                              <w:i/>
                              <w:spacing w:val="-1"/>
                              <w:sz w:val="22"/>
                            </w:rPr>
                            <w:t> </w:t>
                          </w:r>
                          <w:r>
                            <w:rPr>
                              <w:rFonts w:ascii="Cambria"/>
                              <w:i/>
                              <w:sz w:val="22"/>
                            </w:rPr>
                            <w:t>Rule</w:t>
                          </w:r>
                          <w:r>
                            <w:rPr>
                              <w:rFonts w:ascii="Cambria"/>
                              <w:i/>
                              <w:spacing w:val="-1"/>
                              <w:sz w:val="22"/>
                            </w:rPr>
                            <w:t> </w:t>
                          </w:r>
                          <w:r>
                            <w:rPr>
                              <w:rFonts w:ascii="Cambria"/>
                              <w:i/>
                              <w:spacing w:val="-2"/>
                              <w:sz w:val="22"/>
                            </w:rPr>
                            <w:t>Listings</w:t>
                          </w:r>
                        </w:p>
                      </w:txbxContent>
                    </wps:txbx>
                    <wps:bodyPr wrap="square" lIns="0" tIns="0" rIns="0" bIns="0" rtlCol="0">
                      <a:noAutofit/>
                    </wps:bodyPr>
                  </wps:wsp>
                </a:graphicData>
              </a:graphic>
            </wp:anchor>
          </w:drawing>
        </mc:Choice>
        <mc:Fallback>
          <w:pict>
            <v:shape style="position:absolute;margin-left:391.416992pt;margin-top:56.990005pt;width:105.65pt;height:15.15pt;mso-position-horizontal-relative:page;mso-position-vertical-relative:page;z-index:-23400960" type="#_x0000_t202" id="docshape228" filled="false" stroked="false">
              <v:textbox inset="0,0,0,0">
                <w:txbxContent>
                  <w:p>
                    <w:pPr>
                      <w:spacing w:before="12"/>
                      <w:ind w:left="20" w:right="0" w:firstLine="0"/>
                      <w:jc w:val="left"/>
                      <w:rPr>
                        <w:rFonts w:ascii="Cambria"/>
                        <w:i/>
                        <w:sz w:val="22"/>
                      </w:rPr>
                    </w:pPr>
                    <w:r>
                      <w:rPr>
                        <w:rFonts w:ascii="Cambria"/>
                        <w:i/>
                        <w:sz w:val="22"/>
                      </w:rPr>
                      <w:t>Complete</w:t>
                    </w:r>
                    <w:r>
                      <w:rPr>
                        <w:rFonts w:ascii="Cambria"/>
                        <w:i/>
                        <w:spacing w:val="-1"/>
                        <w:sz w:val="22"/>
                      </w:rPr>
                      <w:t> </w:t>
                    </w:r>
                    <w:r>
                      <w:rPr>
                        <w:rFonts w:ascii="Cambria"/>
                        <w:i/>
                        <w:sz w:val="22"/>
                      </w:rPr>
                      <w:t>Rule</w:t>
                    </w:r>
                    <w:r>
                      <w:rPr>
                        <w:rFonts w:ascii="Cambria"/>
                        <w:i/>
                        <w:spacing w:val="-1"/>
                        <w:sz w:val="22"/>
                      </w:rPr>
                      <w:t> </w:t>
                    </w:r>
                    <w:r>
                      <w:rPr>
                        <w:rFonts w:ascii="Cambria"/>
                        <w:i/>
                        <w:spacing w:val="-2"/>
                        <w:sz w:val="22"/>
                      </w:rPr>
                      <w:t>Listings</w:t>
                    </w:r>
                  </w:p>
                </w:txbxContent>
              </v:textbox>
              <w10:wrap type="none"/>
            </v:shape>
          </w:pict>
        </mc:Fallback>
      </mc:AlternateContent>
    </w: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916032">
              <wp:simplePos x="0" y="0"/>
              <wp:positionH relativeFrom="page">
                <wp:posOffset>861898</wp:posOffset>
              </wp:positionH>
              <wp:positionV relativeFrom="page">
                <wp:posOffset>723773</wp:posOffset>
              </wp:positionV>
              <wp:extent cx="227965" cy="192405"/>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92</w:t>
                          </w:r>
                          <w:r>
                            <w:rPr>
                              <w:spacing w:val="-5"/>
                            </w:rPr>
                            <w:fldChar w:fldCharType="end"/>
                          </w:r>
                        </w:p>
                      </w:txbxContent>
                    </wps:txbx>
                    <wps:bodyPr wrap="square" lIns="0" tIns="0" rIns="0" bIns="0" rtlCol="0">
                      <a:noAutofit/>
                    </wps:bodyPr>
                  </wps:wsp>
                </a:graphicData>
              </a:graphic>
            </wp:anchor>
          </w:drawing>
        </mc:Choice>
        <mc:Fallback>
          <w:pict>
            <v:shape style="position:absolute;margin-left:67.865997pt;margin-top:56.990005pt;width:17.95pt;height:15.15pt;mso-position-horizontal-relative:page;mso-position-vertical-relative:page;z-index:-23400448" type="#_x0000_t202" id="docshape231"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92</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916544">
              <wp:simplePos x="0" y="0"/>
              <wp:positionH relativeFrom="page">
                <wp:posOffset>4809731</wp:posOffset>
              </wp:positionH>
              <wp:positionV relativeFrom="page">
                <wp:posOffset>723773</wp:posOffset>
              </wp:positionV>
              <wp:extent cx="1503045" cy="192405"/>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1503045" cy="192405"/>
                      </a:xfrm>
                      <a:prstGeom prst="rect">
                        <a:avLst/>
                      </a:prstGeom>
                    </wps:spPr>
                    <wps:txbx>
                      <w:txbxContent>
                        <w:p>
                          <w:pPr>
                            <w:spacing w:before="12"/>
                            <w:ind w:left="20" w:right="0" w:firstLine="0"/>
                            <w:jc w:val="left"/>
                            <w:rPr>
                              <w:rFonts w:ascii="Cambria"/>
                              <w:i/>
                              <w:sz w:val="22"/>
                            </w:rPr>
                          </w:pPr>
                          <w:r>
                            <w:rPr>
                              <w:rFonts w:ascii="Cambria"/>
                              <w:i/>
                              <w:spacing w:val="-6"/>
                              <w:sz w:val="22"/>
                            </w:rPr>
                            <w:t>Exploratory</w:t>
                          </w:r>
                          <w:r>
                            <w:rPr>
                              <w:rFonts w:ascii="Cambria"/>
                              <w:i/>
                              <w:spacing w:val="3"/>
                              <w:sz w:val="22"/>
                            </w:rPr>
                            <w:t> </w:t>
                          </w:r>
                          <w:r>
                            <w:rPr>
                              <w:rFonts w:ascii="Cambria"/>
                              <w:i/>
                              <w:spacing w:val="-6"/>
                              <w:sz w:val="22"/>
                            </w:rPr>
                            <w:t>Data</w:t>
                          </w:r>
                          <w:r>
                            <w:rPr>
                              <w:rFonts w:ascii="Cambria"/>
                              <w:i/>
                              <w:spacing w:val="3"/>
                              <w:sz w:val="22"/>
                            </w:rPr>
                            <w:t> </w:t>
                          </w:r>
                          <w:r>
                            <w:rPr>
                              <w:rFonts w:ascii="Cambria"/>
                              <w:i/>
                              <w:spacing w:val="-6"/>
                              <w:sz w:val="22"/>
                            </w:rPr>
                            <w:t>Analysis</w:t>
                          </w:r>
                        </w:p>
                      </w:txbxContent>
                    </wps:txbx>
                    <wps:bodyPr wrap="square" lIns="0" tIns="0" rIns="0" bIns="0" rtlCol="0">
                      <a:noAutofit/>
                    </wps:bodyPr>
                  </wps:wsp>
                </a:graphicData>
              </a:graphic>
            </wp:anchor>
          </w:drawing>
        </mc:Choice>
        <mc:Fallback>
          <w:pict>
            <v:shape style="position:absolute;margin-left:378.718994pt;margin-top:56.990005pt;width:118.35pt;height:15.15pt;mso-position-horizontal-relative:page;mso-position-vertical-relative:page;z-index:-23399936" type="#_x0000_t202" id="docshape232" filled="false" stroked="false">
              <v:textbox inset="0,0,0,0">
                <w:txbxContent>
                  <w:p>
                    <w:pPr>
                      <w:spacing w:before="12"/>
                      <w:ind w:left="20" w:right="0" w:firstLine="0"/>
                      <w:jc w:val="left"/>
                      <w:rPr>
                        <w:rFonts w:ascii="Cambria"/>
                        <w:i/>
                        <w:sz w:val="22"/>
                      </w:rPr>
                    </w:pPr>
                    <w:r>
                      <w:rPr>
                        <w:rFonts w:ascii="Cambria"/>
                        <w:i/>
                        <w:spacing w:val="-6"/>
                        <w:sz w:val="22"/>
                      </w:rPr>
                      <w:t>Exploratory</w:t>
                    </w:r>
                    <w:r>
                      <w:rPr>
                        <w:rFonts w:ascii="Cambria"/>
                        <w:i/>
                        <w:spacing w:val="3"/>
                        <w:sz w:val="22"/>
                      </w:rPr>
                      <w:t> </w:t>
                    </w:r>
                    <w:r>
                      <w:rPr>
                        <w:rFonts w:ascii="Cambria"/>
                        <w:i/>
                        <w:spacing w:val="-6"/>
                        <w:sz w:val="22"/>
                      </w:rPr>
                      <w:t>Data</w:t>
                    </w:r>
                    <w:r>
                      <w:rPr>
                        <w:rFonts w:ascii="Cambria"/>
                        <w:i/>
                        <w:spacing w:val="3"/>
                        <w:sz w:val="22"/>
                      </w:rPr>
                      <w:t> </w:t>
                    </w:r>
                    <w:r>
                      <w:rPr>
                        <w:rFonts w:ascii="Cambria"/>
                        <w:i/>
                        <w:spacing w:val="-6"/>
                        <w:sz w:val="22"/>
                      </w:rPr>
                      <w:t>Analysis</w:t>
                    </w:r>
                  </w:p>
                </w:txbxContent>
              </v:textbox>
              <w10:wrap type="none"/>
            </v:shape>
          </w:pict>
        </mc:Fallback>
      </mc:AlternateContent>
    </w:r>
  </w:p>
</w:hdr>
</file>

<file path=word/header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917056">
              <wp:simplePos x="0" y="0"/>
              <wp:positionH relativeFrom="page">
                <wp:posOffset>1242733</wp:posOffset>
              </wp:positionH>
              <wp:positionV relativeFrom="page">
                <wp:posOffset>723773</wp:posOffset>
              </wp:positionV>
              <wp:extent cx="2733675" cy="192405"/>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2733675" cy="192405"/>
                      </a:xfrm>
                      <a:prstGeom prst="rect">
                        <a:avLst/>
                      </a:prstGeom>
                    </wps:spPr>
                    <wps:txbx>
                      <w:txbxContent>
                        <w:p>
                          <w:pPr>
                            <w:spacing w:before="12"/>
                            <w:ind w:left="20" w:right="0" w:firstLine="0"/>
                            <w:jc w:val="left"/>
                            <w:rPr>
                              <w:rFonts w:ascii="Cambria"/>
                              <w:i/>
                              <w:sz w:val="22"/>
                            </w:rPr>
                          </w:pPr>
                          <w:r>
                            <w:rPr>
                              <w:rFonts w:ascii="Cambria"/>
                              <w:i/>
                              <w:spacing w:val="-2"/>
                              <w:sz w:val="22"/>
                            </w:rPr>
                            <w:t>B.2</w:t>
                          </w:r>
                          <w:r>
                            <w:rPr>
                              <w:rFonts w:ascii="Cambria"/>
                              <w:i/>
                              <w:spacing w:val="-6"/>
                              <w:sz w:val="22"/>
                            </w:rPr>
                            <w:t> </w:t>
                          </w:r>
                          <w:r>
                            <w:rPr>
                              <w:rFonts w:ascii="Cambria"/>
                              <w:i/>
                              <w:spacing w:val="-2"/>
                              <w:sz w:val="22"/>
                            </w:rPr>
                            <w:t>Phenological</w:t>
                          </w:r>
                          <w:r>
                            <w:rPr>
                              <w:rFonts w:ascii="Cambria"/>
                              <w:i/>
                              <w:spacing w:val="-5"/>
                              <w:sz w:val="22"/>
                            </w:rPr>
                            <w:t> </w:t>
                          </w:r>
                          <w:r>
                            <w:rPr>
                              <w:rFonts w:ascii="Cambria"/>
                              <w:i/>
                              <w:spacing w:val="-2"/>
                              <w:sz w:val="22"/>
                            </w:rPr>
                            <w:t>Timing:</w:t>
                          </w:r>
                          <w:r>
                            <w:rPr>
                              <w:rFonts w:ascii="Cambria"/>
                              <w:i/>
                              <w:spacing w:val="5"/>
                              <w:sz w:val="22"/>
                            </w:rPr>
                            <w:t> </w:t>
                          </w:r>
                          <w:r>
                            <w:rPr>
                              <w:rFonts w:ascii="Cambria"/>
                              <w:i/>
                              <w:spacing w:val="-2"/>
                              <w:sz w:val="22"/>
                            </w:rPr>
                            <w:t>Trends</w:t>
                          </w:r>
                          <w:r>
                            <w:rPr>
                              <w:rFonts w:ascii="Cambria"/>
                              <w:i/>
                              <w:spacing w:val="-5"/>
                              <w:sz w:val="22"/>
                            </w:rPr>
                            <w:t> </w:t>
                          </w:r>
                          <w:r>
                            <w:rPr>
                              <w:rFonts w:ascii="Cambria"/>
                              <w:i/>
                              <w:spacing w:val="-2"/>
                              <w:sz w:val="22"/>
                            </w:rPr>
                            <w:t>and</w:t>
                          </w:r>
                          <w:r>
                            <w:rPr>
                              <w:rFonts w:ascii="Cambria"/>
                              <w:i/>
                              <w:spacing w:val="-6"/>
                              <w:sz w:val="22"/>
                            </w:rPr>
                            <w:t> </w:t>
                          </w:r>
                          <w:r>
                            <w:rPr>
                              <w:rFonts w:ascii="Cambria"/>
                              <w:i/>
                              <w:spacing w:val="-3"/>
                              <w:sz w:val="22"/>
                            </w:rPr>
                            <w:t>Variability</w:t>
                          </w:r>
                        </w:p>
                      </w:txbxContent>
                    </wps:txbx>
                    <wps:bodyPr wrap="square" lIns="0" tIns="0" rIns="0" bIns="0" rtlCol="0">
                      <a:noAutofit/>
                    </wps:bodyPr>
                  </wps:wsp>
                </a:graphicData>
              </a:graphic>
            </wp:anchor>
          </w:drawing>
        </mc:Choice>
        <mc:Fallback>
          <w:pict>
            <v:shape style="position:absolute;margin-left:97.852997pt;margin-top:56.990005pt;width:215.25pt;height:15.15pt;mso-position-horizontal-relative:page;mso-position-vertical-relative:page;z-index:-23399424" type="#_x0000_t202" id="docshape233" filled="false" stroked="false">
              <v:textbox inset="0,0,0,0">
                <w:txbxContent>
                  <w:p>
                    <w:pPr>
                      <w:spacing w:before="12"/>
                      <w:ind w:left="20" w:right="0" w:firstLine="0"/>
                      <w:jc w:val="left"/>
                      <w:rPr>
                        <w:rFonts w:ascii="Cambria"/>
                        <w:i/>
                        <w:sz w:val="22"/>
                      </w:rPr>
                    </w:pPr>
                    <w:r>
                      <w:rPr>
                        <w:rFonts w:ascii="Cambria"/>
                        <w:i/>
                        <w:spacing w:val="-2"/>
                        <w:sz w:val="22"/>
                      </w:rPr>
                      <w:t>B.2</w:t>
                    </w:r>
                    <w:r>
                      <w:rPr>
                        <w:rFonts w:ascii="Cambria"/>
                        <w:i/>
                        <w:spacing w:val="-6"/>
                        <w:sz w:val="22"/>
                      </w:rPr>
                      <w:t> </w:t>
                    </w:r>
                    <w:r>
                      <w:rPr>
                        <w:rFonts w:ascii="Cambria"/>
                        <w:i/>
                        <w:spacing w:val="-2"/>
                        <w:sz w:val="22"/>
                      </w:rPr>
                      <w:t>Phenological</w:t>
                    </w:r>
                    <w:r>
                      <w:rPr>
                        <w:rFonts w:ascii="Cambria"/>
                        <w:i/>
                        <w:spacing w:val="-5"/>
                        <w:sz w:val="22"/>
                      </w:rPr>
                      <w:t> </w:t>
                    </w:r>
                    <w:r>
                      <w:rPr>
                        <w:rFonts w:ascii="Cambria"/>
                        <w:i/>
                        <w:spacing w:val="-2"/>
                        <w:sz w:val="22"/>
                      </w:rPr>
                      <w:t>Timing:</w:t>
                    </w:r>
                    <w:r>
                      <w:rPr>
                        <w:rFonts w:ascii="Cambria"/>
                        <w:i/>
                        <w:spacing w:val="5"/>
                        <w:sz w:val="22"/>
                      </w:rPr>
                      <w:t> </w:t>
                    </w:r>
                    <w:r>
                      <w:rPr>
                        <w:rFonts w:ascii="Cambria"/>
                        <w:i/>
                        <w:spacing w:val="-2"/>
                        <w:sz w:val="22"/>
                      </w:rPr>
                      <w:t>Trends</w:t>
                    </w:r>
                    <w:r>
                      <w:rPr>
                        <w:rFonts w:ascii="Cambria"/>
                        <w:i/>
                        <w:spacing w:val="-5"/>
                        <w:sz w:val="22"/>
                      </w:rPr>
                      <w:t> </w:t>
                    </w:r>
                    <w:r>
                      <w:rPr>
                        <w:rFonts w:ascii="Cambria"/>
                        <w:i/>
                        <w:spacing w:val="-2"/>
                        <w:sz w:val="22"/>
                      </w:rPr>
                      <w:t>and</w:t>
                    </w:r>
                    <w:r>
                      <w:rPr>
                        <w:rFonts w:ascii="Cambria"/>
                        <w:i/>
                        <w:spacing w:val="-6"/>
                        <w:sz w:val="22"/>
                      </w:rPr>
                      <w:t> </w:t>
                    </w:r>
                    <w:r>
                      <w:rPr>
                        <w:rFonts w:ascii="Cambria"/>
                        <w:i/>
                        <w:spacing w:val="-3"/>
                        <w:sz w:val="22"/>
                      </w:rPr>
                      <w:t>Variability</w:t>
                    </w:r>
                  </w:p>
                </w:txbxContent>
              </v:textbox>
              <w10:wrap type="none"/>
            </v:shape>
          </w:pict>
        </mc:Fallback>
      </mc:AlternateContent>
    </w:r>
    <w:r>
      <w:rPr>
        <w:sz w:val="20"/>
      </w:rPr>
      <mc:AlternateContent>
        <mc:Choice Requires="wps">
          <w:drawing>
            <wp:anchor distT="0" distB="0" distL="0" distR="0" allowOverlap="1" layoutInCell="1" locked="0" behindDoc="1" simplePos="0" relativeHeight="479917568">
              <wp:simplePos x="0" y="0"/>
              <wp:positionH relativeFrom="page">
                <wp:posOffset>6508750</wp:posOffset>
              </wp:positionH>
              <wp:positionV relativeFrom="page">
                <wp:posOffset>723773</wp:posOffset>
              </wp:positionV>
              <wp:extent cx="164465" cy="192405"/>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164465" cy="192405"/>
                      </a:xfrm>
                      <a:prstGeom prst="rect">
                        <a:avLst/>
                      </a:prstGeom>
                    </wps:spPr>
                    <wps:txbx>
                      <w:txbxContent>
                        <w:p>
                          <w:pPr>
                            <w:pStyle w:val="BodyText"/>
                            <w:spacing w:before="16"/>
                            <w:ind w:left="20"/>
                          </w:pPr>
                          <w:r>
                            <w:rPr>
                              <w:spacing w:val="-5"/>
                            </w:rPr>
                            <w:t>93</w:t>
                          </w:r>
                        </w:p>
                      </w:txbxContent>
                    </wps:txbx>
                    <wps:bodyPr wrap="square" lIns="0" tIns="0" rIns="0" bIns="0" rtlCol="0">
                      <a:noAutofit/>
                    </wps:bodyPr>
                  </wps:wsp>
                </a:graphicData>
              </a:graphic>
            </wp:anchor>
          </w:drawing>
        </mc:Choice>
        <mc:Fallback>
          <w:pict>
            <v:shape style="position:absolute;margin-left:512.5pt;margin-top:56.990005pt;width:12.95pt;height:15.15pt;mso-position-horizontal-relative:page;mso-position-vertical-relative:page;z-index:-23398912" type="#_x0000_t202" id="docshape234" filled="false" stroked="false">
              <v:textbox inset="0,0,0,0">
                <w:txbxContent>
                  <w:p>
                    <w:pPr>
                      <w:pStyle w:val="BodyText"/>
                      <w:spacing w:before="16"/>
                      <w:ind w:left="20"/>
                    </w:pPr>
                    <w:r>
                      <w:rPr>
                        <w:spacing w:val="-5"/>
                      </w:rPr>
                      <w:t>93</w:t>
                    </w:r>
                  </w:p>
                </w:txbxContent>
              </v:textbox>
              <w10:wrap type="none"/>
            </v:shape>
          </w:pict>
        </mc:Fallback>
      </mc:AlternateContent>
    </w:r>
  </w:p>
</w:hdr>
</file>

<file path=word/header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918080">
              <wp:simplePos x="0" y="0"/>
              <wp:positionH relativeFrom="page">
                <wp:posOffset>1242733</wp:posOffset>
              </wp:positionH>
              <wp:positionV relativeFrom="page">
                <wp:posOffset>723773</wp:posOffset>
              </wp:positionV>
              <wp:extent cx="2708275" cy="192405"/>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2708275" cy="192405"/>
                      </a:xfrm>
                      <a:prstGeom prst="rect">
                        <a:avLst/>
                      </a:prstGeom>
                    </wps:spPr>
                    <wps:txbx>
                      <w:txbxContent>
                        <w:p>
                          <w:pPr>
                            <w:spacing w:before="12"/>
                            <w:ind w:left="20" w:right="0" w:firstLine="0"/>
                            <w:jc w:val="left"/>
                            <w:rPr>
                              <w:rFonts w:ascii="Cambria"/>
                              <w:i/>
                              <w:sz w:val="22"/>
                            </w:rPr>
                          </w:pPr>
                          <w:r>
                            <w:rPr>
                              <w:rFonts w:ascii="Cambria"/>
                              <w:i/>
                              <w:sz w:val="22"/>
                            </w:rPr>
                            <w:t>B.4</w:t>
                          </w:r>
                          <w:r>
                            <w:rPr>
                              <w:rFonts w:ascii="Cambria"/>
                              <w:i/>
                              <w:spacing w:val="-10"/>
                              <w:sz w:val="22"/>
                            </w:rPr>
                            <w:t> </w:t>
                          </w:r>
                          <w:r>
                            <w:rPr>
                              <w:rFonts w:ascii="Cambria"/>
                              <w:i/>
                              <w:sz w:val="22"/>
                            </w:rPr>
                            <w:t>Feature</w:t>
                          </w:r>
                          <w:r>
                            <w:rPr>
                              <w:rFonts w:ascii="Cambria"/>
                              <w:i/>
                              <w:spacing w:val="-10"/>
                              <w:sz w:val="22"/>
                            </w:rPr>
                            <w:t> </w:t>
                          </w:r>
                          <w:r>
                            <w:rPr>
                              <w:rFonts w:ascii="Cambria"/>
                              <w:i/>
                              <w:sz w:val="22"/>
                            </w:rPr>
                            <w:t>Drift: The</w:t>
                          </w:r>
                          <w:r>
                            <w:rPr>
                              <w:rFonts w:ascii="Cambria"/>
                              <w:i/>
                              <w:spacing w:val="-10"/>
                              <w:sz w:val="22"/>
                            </w:rPr>
                            <w:t> </w:t>
                          </w:r>
                          <w:r>
                            <w:rPr>
                              <w:rFonts w:ascii="Cambria"/>
                              <w:i/>
                              <w:sz w:val="22"/>
                            </w:rPr>
                            <w:t>Era</w:t>
                          </w:r>
                          <w:r>
                            <w:rPr>
                              <w:rFonts w:ascii="Cambria"/>
                              <w:i/>
                              <w:spacing w:val="-9"/>
                              <w:sz w:val="22"/>
                            </w:rPr>
                            <w:t> </w:t>
                          </w:r>
                          <w:r>
                            <w:rPr>
                              <w:rFonts w:ascii="Cambria"/>
                              <w:i/>
                              <w:sz w:val="22"/>
                            </w:rPr>
                            <w:t>Confound</w:t>
                          </w:r>
                          <w:r>
                            <w:rPr>
                              <w:rFonts w:ascii="Cambria"/>
                              <w:i/>
                              <w:spacing w:val="-10"/>
                              <w:sz w:val="22"/>
                            </w:rPr>
                            <w:t> </w:t>
                          </w:r>
                          <w:r>
                            <w:rPr>
                              <w:rFonts w:ascii="Cambria"/>
                              <w:i/>
                              <w:spacing w:val="-2"/>
                              <w:sz w:val="22"/>
                            </w:rPr>
                            <w:t>Quantified</w:t>
                          </w:r>
                        </w:p>
                      </w:txbxContent>
                    </wps:txbx>
                    <wps:bodyPr wrap="square" lIns="0" tIns="0" rIns="0" bIns="0" rtlCol="0">
                      <a:noAutofit/>
                    </wps:bodyPr>
                  </wps:wsp>
                </a:graphicData>
              </a:graphic>
            </wp:anchor>
          </w:drawing>
        </mc:Choice>
        <mc:Fallback>
          <w:pict>
            <v:shape style="position:absolute;margin-left:97.852997pt;margin-top:56.990005pt;width:213.25pt;height:15.15pt;mso-position-horizontal-relative:page;mso-position-vertical-relative:page;z-index:-23398400" type="#_x0000_t202" id="docshape239" filled="false" stroked="false">
              <v:textbox inset="0,0,0,0">
                <w:txbxContent>
                  <w:p>
                    <w:pPr>
                      <w:spacing w:before="12"/>
                      <w:ind w:left="20" w:right="0" w:firstLine="0"/>
                      <w:jc w:val="left"/>
                      <w:rPr>
                        <w:rFonts w:ascii="Cambria"/>
                        <w:i/>
                        <w:sz w:val="22"/>
                      </w:rPr>
                    </w:pPr>
                    <w:r>
                      <w:rPr>
                        <w:rFonts w:ascii="Cambria"/>
                        <w:i/>
                        <w:sz w:val="22"/>
                      </w:rPr>
                      <w:t>B.4</w:t>
                    </w:r>
                    <w:r>
                      <w:rPr>
                        <w:rFonts w:ascii="Cambria"/>
                        <w:i/>
                        <w:spacing w:val="-10"/>
                        <w:sz w:val="22"/>
                      </w:rPr>
                      <w:t> </w:t>
                    </w:r>
                    <w:r>
                      <w:rPr>
                        <w:rFonts w:ascii="Cambria"/>
                        <w:i/>
                        <w:sz w:val="22"/>
                      </w:rPr>
                      <w:t>Feature</w:t>
                    </w:r>
                    <w:r>
                      <w:rPr>
                        <w:rFonts w:ascii="Cambria"/>
                        <w:i/>
                        <w:spacing w:val="-10"/>
                        <w:sz w:val="22"/>
                      </w:rPr>
                      <w:t> </w:t>
                    </w:r>
                    <w:r>
                      <w:rPr>
                        <w:rFonts w:ascii="Cambria"/>
                        <w:i/>
                        <w:sz w:val="22"/>
                      </w:rPr>
                      <w:t>Drift: The</w:t>
                    </w:r>
                    <w:r>
                      <w:rPr>
                        <w:rFonts w:ascii="Cambria"/>
                        <w:i/>
                        <w:spacing w:val="-10"/>
                        <w:sz w:val="22"/>
                      </w:rPr>
                      <w:t> </w:t>
                    </w:r>
                    <w:r>
                      <w:rPr>
                        <w:rFonts w:ascii="Cambria"/>
                        <w:i/>
                        <w:sz w:val="22"/>
                      </w:rPr>
                      <w:t>Era</w:t>
                    </w:r>
                    <w:r>
                      <w:rPr>
                        <w:rFonts w:ascii="Cambria"/>
                        <w:i/>
                        <w:spacing w:val="-9"/>
                        <w:sz w:val="22"/>
                      </w:rPr>
                      <w:t> </w:t>
                    </w:r>
                    <w:r>
                      <w:rPr>
                        <w:rFonts w:ascii="Cambria"/>
                        <w:i/>
                        <w:sz w:val="22"/>
                      </w:rPr>
                      <w:t>Confound</w:t>
                    </w:r>
                    <w:r>
                      <w:rPr>
                        <w:rFonts w:ascii="Cambria"/>
                        <w:i/>
                        <w:spacing w:val="-10"/>
                        <w:sz w:val="22"/>
                      </w:rPr>
                      <w:t> </w:t>
                    </w:r>
                    <w:r>
                      <w:rPr>
                        <w:rFonts w:ascii="Cambria"/>
                        <w:i/>
                        <w:spacing w:val="-2"/>
                        <w:sz w:val="22"/>
                      </w:rPr>
                      <w:t>Quantified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918592">
              <wp:simplePos x="0" y="0"/>
              <wp:positionH relativeFrom="page">
                <wp:posOffset>6508750</wp:posOffset>
              </wp:positionH>
              <wp:positionV relativeFrom="page">
                <wp:posOffset>723773</wp:posOffset>
              </wp:positionV>
              <wp:extent cx="164465" cy="192405"/>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164465" cy="192405"/>
                      </a:xfrm>
                      <a:prstGeom prst="rect">
                        <a:avLst/>
                      </a:prstGeom>
                    </wps:spPr>
                    <wps:txbx>
                      <w:txbxContent>
                        <w:p>
                          <w:pPr>
                            <w:pStyle w:val="BodyText"/>
                            <w:spacing w:before="16"/>
                            <w:ind w:left="20"/>
                          </w:pPr>
                          <w:r>
                            <w:rPr>
                              <w:spacing w:val="-5"/>
                            </w:rPr>
                            <w:t>95</w:t>
                          </w:r>
                        </w:p>
                      </w:txbxContent>
                    </wps:txbx>
                    <wps:bodyPr wrap="square" lIns="0" tIns="0" rIns="0" bIns="0" rtlCol="0">
                      <a:noAutofit/>
                    </wps:bodyPr>
                  </wps:wsp>
                </a:graphicData>
              </a:graphic>
            </wp:anchor>
          </w:drawing>
        </mc:Choice>
        <mc:Fallback>
          <w:pict>
            <v:shape style="position:absolute;margin-left:512.5pt;margin-top:56.990005pt;width:12.95pt;height:15.15pt;mso-position-horizontal-relative:page;mso-position-vertical-relative:page;z-index:-23397888" type="#_x0000_t202" id="docshape240" filled="false" stroked="false">
              <v:textbox inset="0,0,0,0">
                <w:txbxContent>
                  <w:p>
                    <w:pPr>
                      <w:pStyle w:val="BodyText"/>
                      <w:spacing w:before="16"/>
                      <w:ind w:left="20"/>
                    </w:pPr>
                    <w:r>
                      <w:rPr>
                        <w:spacing w:val="-5"/>
                      </w:rPr>
                      <w:t>95</w:t>
                    </w:r>
                  </w:p>
                </w:txbxContent>
              </v:textbox>
              <w10:wrap type="none"/>
            </v:shape>
          </w:pict>
        </mc:Fallback>
      </mc:AlternateContent>
    </w:r>
  </w:p>
</w:hdr>
</file>

<file path=word/header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919104">
              <wp:simplePos x="0" y="0"/>
              <wp:positionH relativeFrom="page">
                <wp:posOffset>861898</wp:posOffset>
              </wp:positionH>
              <wp:positionV relativeFrom="page">
                <wp:posOffset>723773</wp:posOffset>
              </wp:positionV>
              <wp:extent cx="227965" cy="192405"/>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96</w:t>
                          </w:r>
                          <w:r>
                            <w:rPr>
                              <w:spacing w:val="-5"/>
                            </w:rPr>
                            <w:fldChar w:fldCharType="end"/>
                          </w:r>
                        </w:p>
                      </w:txbxContent>
                    </wps:txbx>
                    <wps:bodyPr wrap="square" lIns="0" tIns="0" rIns="0" bIns="0" rtlCol="0">
                      <a:noAutofit/>
                    </wps:bodyPr>
                  </wps:wsp>
                </a:graphicData>
              </a:graphic>
            </wp:anchor>
          </w:drawing>
        </mc:Choice>
        <mc:Fallback>
          <w:pict>
            <v:shape style="position:absolute;margin-left:67.865997pt;margin-top:56.990005pt;width:17.95pt;height:15.15pt;mso-position-horizontal-relative:page;mso-position-vertical-relative:page;z-index:-23397376" type="#_x0000_t202" id="docshape241"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96</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919616">
              <wp:simplePos x="0" y="0"/>
              <wp:positionH relativeFrom="page">
                <wp:posOffset>4809731</wp:posOffset>
              </wp:positionH>
              <wp:positionV relativeFrom="page">
                <wp:posOffset>723773</wp:posOffset>
              </wp:positionV>
              <wp:extent cx="1503045" cy="192405"/>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1503045" cy="192405"/>
                      </a:xfrm>
                      <a:prstGeom prst="rect">
                        <a:avLst/>
                      </a:prstGeom>
                    </wps:spPr>
                    <wps:txbx>
                      <w:txbxContent>
                        <w:p>
                          <w:pPr>
                            <w:spacing w:before="12"/>
                            <w:ind w:left="20" w:right="0" w:firstLine="0"/>
                            <w:jc w:val="left"/>
                            <w:rPr>
                              <w:rFonts w:ascii="Cambria"/>
                              <w:i/>
                              <w:sz w:val="22"/>
                            </w:rPr>
                          </w:pPr>
                          <w:r>
                            <w:rPr>
                              <w:rFonts w:ascii="Cambria"/>
                              <w:i/>
                              <w:spacing w:val="-6"/>
                              <w:sz w:val="22"/>
                            </w:rPr>
                            <w:t>Exploratory</w:t>
                          </w:r>
                          <w:r>
                            <w:rPr>
                              <w:rFonts w:ascii="Cambria"/>
                              <w:i/>
                              <w:spacing w:val="3"/>
                              <w:sz w:val="22"/>
                            </w:rPr>
                            <w:t> </w:t>
                          </w:r>
                          <w:r>
                            <w:rPr>
                              <w:rFonts w:ascii="Cambria"/>
                              <w:i/>
                              <w:spacing w:val="-6"/>
                              <w:sz w:val="22"/>
                            </w:rPr>
                            <w:t>Data</w:t>
                          </w:r>
                          <w:r>
                            <w:rPr>
                              <w:rFonts w:ascii="Cambria"/>
                              <w:i/>
                              <w:spacing w:val="3"/>
                              <w:sz w:val="22"/>
                            </w:rPr>
                            <w:t> </w:t>
                          </w:r>
                          <w:r>
                            <w:rPr>
                              <w:rFonts w:ascii="Cambria"/>
                              <w:i/>
                              <w:spacing w:val="-6"/>
                              <w:sz w:val="22"/>
                            </w:rPr>
                            <w:t>Analysis</w:t>
                          </w:r>
                        </w:p>
                      </w:txbxContent>
                    </wps:txbx>
                    <wps:bodyPr wrap="square" lIns="0" tIns="0" rIns="0" bIns="0" rtlCol="0">
                      <a:noAutofit/>
                    </wps:bodyPr>
                  </wps:wsp>
                </a:graphicData>
              </a:graphic>
            </wp:anchor>
          </w:drawing>
        </mc:Choice>
        <mc:Fallback>
          <w:pict>
            <v:shape style="position:absolute;margin-left:378.718994pt;margin-top:56.990005pt;width:118.35pt;height:15.15pt;mso-position-horizontal-relative:page;mso-position-vertical-relative:page;z-index:-23396864" type="#_x0000_t202" id="docshape242" filled="false" stroked="false">
              <v:textbox inset="0,0,0,0">
                <w:txbxContent>
                  <w:p>
                    <w:pPr>
                      <w:spacing w:before="12"/>
                      <w:ind w:left="20" w:right="0" w:firstLine="0"/>
                      <w:jc w:val="left"/>
                      <w:rPr>
                        <w:rFonts w:ascii="Cambria"/>
                        <w:i/>
                        <w:sz w:val="22"/>
                      </w:rPr>
                    </w:pPr>
                    <w:r>
                      <w:rPr>
                        <w:rFonts w:ascii="Cambria"/>
                        <w:i/>
                        <w:spacing w:val="-6"/>
                        <w:sz w:val="22"/>
                      </w:rPr>
                      <w:t>Exploratory</w:t>
                    </w:r>
                    <w:r>
                      <w:rPr>
                        <w:rFonts w:ascii="Cambria"/>
                        <w:i/>
                        <w:spacing w:val="3"/>
                        <w:sz w:val="22"/>
                      </w:rPr>
                      <w:t> </w:t>
                    </w:r>
                    <w:r>
                      <w:rPr>
                        <w:rFonts w:ascii="Cambria"/>
                        <w:i/>
                        <w:spacing w:val="-6"/>
                        <w:sz w:val="22"/>
                      </w:rPr>
                      <w:t>Data</w:t>
                    </w:r>
                    <w:r>
                      <w:rPr>
                        <w:rFonts w:ascii="Cambria"/>
                        <w:i/>
                        <w:spacing w:val="3"/>
                        <w:sz w:val="22"/>
                      </w:rPr>
                      <w:t> </w:t>
                    </w:r>
                    <w:r>
                      <w:rPr>
                        <w:rFonts w:ascii="Cambria"/>
                        <w:i/>
                        <w:spacing w:val="-6"/>
                        <w:sz w:val="22"/>
                      </w:rPr>
                      <w:t>Analysis</w:t>
                    </w:r>
                  </w:p>
                </w:txbxContent>
              </v:textbox>
              <w10:wrap type="none"/>
            </v:shape>
          </w:pict>
        </mc:Fallback>
      </mc:AlternateContent>
    </w:r>
  </w:p>
</w:hdr>
</file>

<file path=word/header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920128">
              <wp:simplePos x="0" y="0"/>
              <wp:positionH relativeFrom="page">
                <wp:posOffset>1242733</wp:posOffset>
              </wp:positionH>
              <wp:positionV relativeFrom="page">
                <wp:posOffset>723773</wp:posOffset>
              </wp:positionV>
              <wp:extent cx="1391920" cy="192405"/>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1391920" cy="192405"/>
                      </a:xfrm>
                      <a:prstGeom prst="rect">
                        <a:avLst/>
                      </a:prstGeom>
                    </wps:spPr>
                    <wps:txbx>
                      <w:txbxContent>
                        <w:p>
                          <w:pPr>
                            <w:spacing w:before="12"/>
                            <w:ind w:left="20" w:right="0" w:firstLine="0"/>
                            <w:jc w:val="left"/>
                            <w:rPr>
                              <w:rFonts w:ascii="Cambria"/>
                              <w:i/>
                              <w:sz w:val="22"/>
                            </w:rPr>
                          </w:pPr>
                          <w:r>
                            <w:rPr>
                              <w:rFonts w:ascii="Cambria"/>
                              <w:i/>
                              <w:sz w:val="22"/>
                            </w:rPr>
                            <w:t>B.5</w:t>
                          </w:r>
                          <w:r>
                            <w:rPr>
                              <w:rFonts w:ascii="Cambria"/>
                              <w:i/>
                              <w:spacing w:val="-7"/>
                              <w:sz w:val="22"/>
                            </w:rPr>
                            <w:t> </w:t>
                          </w:r>
                          <w:r>
                            <w:rPr>
                              <w:rFonts w:ascii="Cambria"/>
                              <w:i/>
                              <w:sz w:val="22"/>
                            </w:rPr>
                            <w:t>Experiment</w:t>
                          </w:r>
                          <w:r>
                            <w:rPr>
                              <w:rFonts w:ascii="Cambria"/>
                              <w:i/>
                              <w:spacing w:val="-6"/>
                              <w:sz w:val="22"/>
                            </w:rPr>
                            <w:t> </w:t>
                          </w:r>
                          <w:r>
                            <w:rPr>
                              <w:rFonts w:ascii="Cambria"/>
                              <w:i/>
                              <w:spacing w:val="-2"/>
                              <w:sz w:val="22"/>
                            </w:rPr>
                            <w:t>Pipeline</w:t>
                          </w:r>
                        </w:p>
                      </w:txbxContent>
                    </wps:txbx>
                    <wps:bodyPr wrap="square" lIns="0" tIns="0" rIns="0" bIns="0" rtlCol="0">
                      <a:noAutofit/>
                    </wps:bodyPr>
                  </wps:wsp>
                </a:graphicData>
              </a:graphic>
            </wp:anchor>
          </w:drawing>
        </mc:Choice>
        <mc:Fallback>
          <w:pict>
            <v:shape style="position:absolute;margin-left:97.852997pt;margin-top:56.990005pt;width:109.6pt;height:15.15pt;mso-position-horizontal-relative:page;mso-position-vertical-relative:page;z-index:-23396352" type="#_x0000_t202" id="docshape246" filled="false" stroked="false">
              <v:textbox inset="0,0,0,0">
                <w:txbxContent>
                  <w:p>
                    <w:pPr>
                      <w:spacing w:before="12"/>
                      <w:ind w:left="20" w:right="0" w:firstLine="0"/>
                      <w:jc w:val="left"/>
                      <w:rPr>
                        <w:rFonts w:ascii="Cambria"/>
                        <w:i/>
                        <w:sz w:val="22"/>
                      </w:rPr>
                    </w:pPr>
                    <w:r>
                      <w:rPr>
                        <w:rFonts w:ascii="Cambria"/>
                        <w:i/>
                        <w:sz w:val="22"/>
                      </w:rPr>
                      <w:t>B.5</w:t>
                    </w:r>
                    <w:r>
                      <w:rPr>
                        <w:rFonts w:ascii="Cambria"/>
                        <w:i/>
                        <w:spacing w:val="-7"/>
                        <w:sz w:val="22"/>
                      </w:rPr>
                      <w:t> </w:t>
                    </w:r>
                    <w:r>
                      <w:rPr>
                        <w:rFonts w:ascii="Cambria"/>
                        <w:i/>
                        <w:sz w:val="22"/>
                      </w:rPr>
                      <w:t>Experiment</w:t>
                    </w:r>
                    <w:r>
                      <w:rPr>
                        <w:rFonts w:ascii="Cambria"/>
                        <w:i/>
                        <w:spacing w:val="-6"/>
                        <w:sz w:val="22"/>
                      </w:rPr>
                      <w:t> </w:t>
                    </w:r>
                    <w:r>
                      <w:rPr>
                        <w:rFonts w:ascii="Cambria"/>
                        <w:i/>
                        <w:spacing w:val="-2"/>
                        <w:sz w:val="22"/>
                      </w:rPr>
                      <w:t>Pipeline</w:t>
                    </w:r>
                  </w:p>
                </w:txbxContent>
              </v:textbox>
              <w10:wrap type="none"/>
            </v:shape>
          </w:pict>
        </mc:Fallback>
      </mc:AlternateContent>
    </w:r>
    <w:r>
      <w:rPr>
        <w:sz w:val="20"/>
      </w:rPr>
      <mc:AlternateContent>
        <mc:Choice Requires="wps">
          <w:drawing>
            <wp:anchor distT="0" distB="0" distL="0" distR="0" allowOverlap="1" layoutInCell="1" locked="0" behindDoc="1" simplePos="0" relativeHeight="479920640">
              <wp:simplePos x="0" y="0"/>
              <wp:positionH relativeFrom="page">
                <wp:posOffset>6508750</wp:posOffset>
              </wp:positionH>
              <wp:positionV relativeFrom="page">
                <wp:posOffset>723773</wp:posOffset>
              </wp:positionV>
              <wp:extent cx="164465" cy="192405"/>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164465" cy="192405"/>
                      </a:xfrm>
                      <a:prstGeom prst="rect">
                        <a:avLst/>
                      </a:prstGeom>
                    </wps:spPr>
                    <wps:txbx>
                      <w:txbxContent>
                        <w:p>
                          <w:pPr>
                            <w:pStyle w:val="BodyText"/>
                            <w:spacing w:before="16"/>
                            <w:ind w:left="20"/>
                          </w:pPr>
                          <w:r>
                            <w:rPr>
                              <w:spacing w:val="-5"/>
                            </w:rPr>
                            <w:t>97</w:t>
                          </w:r>
                        </w:p>
                      </w:txbxContent>
                    </wps:txbx>
                    <wps:bodyPr wrap="square" lIns="0" tIns="0" rIns="0" bIns="0" rtlCol="0">
                      <a:noAutofit/>
                    </wps:bodyPr>
                  </wps:wsp>
                </a:graphicData>
              </a:graphic>
            </wp:anchor>
          </w:drawing>
        </mc:Choice>
        <mc:Fallback>
          <w:pict>
            <v:shape style="position:absolute;margin-left:512.5pt;margin-top:56.990005pt;width:12.95pt;height:15.15pt;mso-position-horizontal-relative:page;mso-position-vertical-relative:page;z-index:-23395840" type="#_x0000_t202" id="docshape247" filled="false" stroked="false">
              <v:textbox inset="0,0,0,0">
                <w:txbxContent>
                  <w:p>
                    <w:pPr>
                      <w:pStyle w:val="BodyText"/>
                      <w:spacing w:before="16"/>
                      <w:ind w:left="20"/>
                    </w:pPr>
                    <w:r>
                      <w:rPr>
                        <w:spacing w:val="-5"/>
                      </w:rPr>
                      <w:t>97</w:t>
                    </w:r>
                  </w:p>
                </w:txbxContent>
              </v:textbox>
              <w10:wrap type="none"/>
            </v:shape>
          </w:pict>
        </mc:Fallback>
      </mc:AlternateContent>
    </w:r>
  </w:p>
</w:hdr>
</file>

<file path=word/header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921152">
              <wp:simplePos x="0" y="0"/>
              <wp:positionH relativeFrom="page">
                <wp:posOffset>861898</wp:posOffset>
              </wp:positionH>
              <wp:positionV relativeFrom="page">
                <wp:posOffset>723773</wp:posOffset>
              </wp:positionV>
              <wp:extent cx="227965" cy="192405"/>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a:off x="0" y="0"/>
                        <a:ext cx="227965"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98</w:t>
                          </w:r>
                          <w:r>
                            <w:rPr>
                              <w:spacing w:val="-5"/>
                            </w:rPr>
                            <w:fldChar w:fldCharType="end"/>
                          </w:r>
                        </w:p>
                      </w:txbxContent>
                    </wps:txbx>
                    <wps:bodyPr wrap="square" lIns="0" tIns="0" rIns="0" bIns="0" rtlCol="0">
                      <a:noAutofit/>
                    </wps:bodyPr>
                  </wps:wsp>
                </a:graphicData>
              </a:graphic>
            </wp:anchor>
          </w:drawing>
        </mc:Choice>
        <mc:Fallback>
          <w:pict>
            <v:shape style="position:absolute;margin-left:67.865997pt;margin-top:56.990005pt;width:17.95pt;height:15.15pt;mso-position-horizontal-relative:page;mso-position-vertical-relative:page;z-index:-23395328" type="#_x0000_t202" id="docshape248"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98</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921664">
              <wp:simplePos x="0" y="0"/>
              <wp:positionH relativeFrom="page">
                <wp:posOffset>4809731</wp:posOffset>
              </wp:positionH>
              <wp:positionV relativeFrom="page">
                <wp:posOffset>723773</wp:posOffset>
              </wp:positionV>
              <wp:extent cx="1503045" cy="192405"/>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1503045" cy="192405"/>
                      </a:xfrm>
                      <a:prstGeom prst="rect">
                        <a:avLst/>
                      </a:prstGeom>
                    </wps:spPr>
                    <wps:txbx>
                      <w:txbxContent>
                        <w:p>
                          <w:pPr>
                            <w:spacing w:before="12"/>
                            <w:ind w:left="20" w:right="0" w:firstLine="0"/>
                            <w:jc w:val="left"/>
                            <w:rPr>
                              <w:rFonts w:ascii="Cambria"/>
                              <w:i/>
                              <w:sz w:val="22"/>
                            </w:rPr>
                          </w:pPr>
                          <w:r>
                            <w:rPr>
                              <w:rFonts w:ascii="Cambria"/>
                              <w:i/>
                              <w:spacing w:val="-6"/>
                              <w:sz w:val="22"/>
                            </w:rPr>
                            <w:t>Exploratory</w:t>
                          </w:r>
                          <w:r>
                            <w:rPr>
                              <w:rFonts w:ascii="Cambria"/>
                              <w:i/>
                              <w:spacing w:val="3"/>
                              <w:sz w:val="22"/>
                            </w:rPr>
                            <w:t> </w:t>
                          </w:r>
                          <w:r>
                            <w:rPr>
                              <w:rFonts w:ascii="Cambria"/>
                              <w:i/>
                              <w:spacing w:val="-6"/>
                              <w:sz w:val="22"/>
                            </w:rPr>
                            <w:t>Data</w:t>
                          </w:r>
                          <w:r>
                            <w:rPr>
                              <w:rFonts w:ascii="Cambria"/>
                              <w:i/>
                              <w:spacing w:val="3"/>
                              <w:sz w:val="22"/>
                            </w:rPr>
                            <w:t> </w:t>
                          </w:r>
                          <w:r>
                            <w:rPr>
                              <w:rFonts w:ascii="Cambria"/>
                              <w:i/>
                              <w:spacing w:val="-6"/>
                              <w:sz w:val="22"/>
                            </w:rPr>
                            <w:t>Analysis</w:t>
                          </w:r>
                        </w:p>
                      </w:txbxContent>
                    </wps:txbx>
                    <wps:bodyPr wrap="square" lIns="0" tIns="0" rIns="0" bIns="0" rtlCol="0">
                      <a:noAutofit/>
                    </wps:bodyPr>
                  </wps:wsp>
                </a:graphicData>
              </a:graphic>
            </wp:anchor>
          </w:drawing>
        </mc:Choice>
        <mc:Fallback>
          <w:pict>
            <v:shape style="position:absolute;margin-left:378.718994pt;margin-top:56.990005pt;width:118.35pt;height:15.15pt;mso-position-horizontal-relative:page;mso-position-vertical-relative:page;z-index:-23394816" type="#_x0000_t202" id="docshape249" filled="false" stroked="false">
              <v:textbox inset="0,0,0,0">
                <w:txbxContent>
                  <w:p>
                    <w:pPr>
                      <w:spacing w:before="12"/>
                      <w:ind w:left="20" w:right="0" w:firstLine="0"/>
                      <w:jc w:val="left"/>
                      <w:rPr>
                        <w:rFonts w:ascii="Cambria"/>
                        <w:i/>
                        <w:sz w:val="22"/>
                      </w:rPr>
                    </w:pPr>
                    <w:r>
                      <w:rPr>
                        <w:rFonts w:ascii="Cambria"/>
                        <w:i/>
                        <w:spacing w:val="-6"/>
                        <w:sz w:val="22"/>
                      </w:rPr>
                      <w:t>Exploratory</w:t>
                    </w:r>
                    <w:r>
                      <w:rPr>
                        <w:rFonts w:ascii="Cambria"/>
                        <w:i/>
                        <w:spacing w:val="3"/>
                        <w:sz w:val="22"/>
                      </w:rPr>
                      <w:t> </w:t>
                    </w:r>
                    <w:r>
                      <w:rPr>
                        <w:rFonts w:ascii="Cambria"/>
                        <w:i/>
                        <w:spacing w:val="-6"/>
                        <w:sz w:val="22"/>
                      </w:rPr>
                      <w:t>Data</w:t>
                    </w:r>
                    <w:r>
                      <w:rPr>
                        <w:rFonts w:ascii="Cambria"/>
                        <w:i/>
                        <w:spacing w:val="3"/>
                        <w:sz w:val="22"/>
                      </w:rPr>
                      <w:t> </w:t>
                    </w:r>
                    <w:r>
                      <w:rPr>
                        <w:rFonts w:ascii="Cambria"/>
                        <w:i/>
                        <w:spacing w:val="-6"/>
                        <w:sz w:val="22"/>
                      </w:rPr>
                      <w:t>Analysis</w:t>
                    </w:r>
                  </w:p>
                </w:txbxContent>
              </v:textbox>
              <w10:wrap type="none"/>
            </v:shape>
          </w:pict>
        </mc:Fallback>
      </mc:AlternateContent>
    </w:r>
  </w:p>
</w:hdr>
</file>

<file path=word/header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922176">
              <wp:simplePos x="0" y="0"/>
              <wp:positionH relativeFrom="page">
                <wp:posOffset>851509</wp:posOffset>
              </wp:positionH>
              <wp:positionV relativeFrom="page">
                <wp:posOffset>723773</wp:posOffset>
              </wp:positionV>
              <wp:extent cx="297180" cy="192405"/>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297180"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style="position:absolute;margin-left:67.047997pt;margin-top:56.990005pt;width:23.4pt;height:15.15pt;mso-position-horizontal-relative:page;mso-position-vertical-relative:page;z-index:-23394304" type="#_x0000_t202" id="docshape253"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922688">
              <wp:simplePos x="0" y="0"/>
              <wp:positionH relativeFrom="page">
                <wp:posOffset>4702225</wp:posOffset>
              </wp:positionH>
              <wp:positionV relativeFrom="page">
                <wp:posOffset>723773</wp:posOffset>
              </wp:positionV>
              <wp:extent cx="1610995" cy="192405"/>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1610995" cy="192405"/>
                      </a:xfrm>
                      <a:prstGeom prst="rect">
                        <a:avLst/>
                      </a:prstGeom>
                    </wps:spPr>
                    <wps:txbx>
                      <w:txbxContent>
                        <w:p>
                          <w:pPr>
                            <w:spacing w:before="12"/>
                            <w:ind w:left="20" w:right="0" w:firstLine="0"/>
                            <w:jc w:val="left"/>
                            <w:rPr>
                              <w:rFonts w:ascii="Cambria"/>
                              <w:i/>
                              <w:sz w:val="22"/>
                            </w:rPr>
                          </w:pPr>
                          <w:r>
                            <w:rPr>
                              <w:rFonts w:ascii="Cambria"/>
                              <w:i/>
                              <w:spacing w:val="-4"/>
                              <w:sz w:val="22"/>
                            </w:rPr>
                            <w:t>Complete</w:t>
                          </w:r>
                          <w:r>
                            <w:rPr>
                              <w:rFonts w:ascii="Cambria"/>
                              <w:i/>
                              <w:spacing w:val="-5"/>
                              <w:sz w:val="22"/>
                            </w:rPr>
                            <w:t> </w:t>
                          </w:r>
                          <w:r>
                            <w:rPr>
                              <w:rFonts w:ascii="Cambria"/>
                              <w:i/>
                              <w:spacing w:val="-4"/>
                              <w:sz w:val="22"/>
                            </w:rPr>
                            <w:t>Feature</w:t>
                          </w:r>
                          <w:r>
                            <w:rPr>
                              <w:rFonts w:ascii="Cambria"/>
                              <w:i/>
                              <w:spacing w:val="-5"/>
                              <w:sz w:val="22"/>
                            </w:rPr>
                            <w:t> </w:t>
                          </w:r>
                          <w:r>
                            <w:rPr>
                              <w:rFonts w:ascii="Cambria"/>
                              <w:i/>
                              <w:spacing w:val="-4"/>
                              <w:sz w:val="22"/>
                            </w:rPr>
                            <w:t>Reference</w:t>
                          </w:r>
                        </w:p>
                      </w:txbxContent>
                    </wps:txbx>
                    <wps:bodyPr wrap="square" lIns="0" tIns="0" rIns="0" bIns="0" rtlCol="0">
                      <a:noAutofit/>
                    </wps:bodyPr>
                  </wps:wsp>
                </a:graphicData>
              </a:graphic>
            </wp:anchor>
          </w:drawing>
        </mc:Choice>
        <mc:Fallback>
          <w:pict>
            <v:shape style="position:absolute;margin-left:370.253998pt;margin-top:56.990005pt;width:126.85pt;height:15.15pt;mso-position-horizontal-relative:page;mso-position-vertical-relative:page;z-index:-23393792" type="#_x0000_t202" id="docshape254" filled="false" stroked="false">
              <v:textbox inset="0,0,0,0">
                <w:txbxContent>
                  <w:p>
                    <w:pPr>
                      <w:spacing w:before="12"/>
                      <w:ind w:left="20" w:right="0" w:firstLine="0"/>
                      <w:jc w:val="left"/>
                      <w:rPr>
                        <w:rFonts w:ascii="Cambria"/>
                        <w:i/>
                        <w:sz w:val="22"/>
                      </w:rPr>
                    </w:pPr>
                    <w:r>
                      <w:rPr>
                        <w:rFonts w:ascii="Cambria"/>
                        <w:i/>
                        <w:spacing w:val="-4"/>
                        <w:sz w:val="22"/>
                      </w:rPr>
                      <w:t>Complete</w:t>
                    </w:r>
                    <w:r>
                      <w:rPr>
                        <w:rFonts w:ascii="Cambria"/>
                        <w:i/>
                        <w:spacing w:val="-5"/>
                        <w:sz w:val="22"/>
                      </w:rPr>
                      <w:t> </w:t>
                    </w:r>
                    <w:r>
                      <w:rPr>
                        <w:rFonts w:ascii="Cambria"/>
                        <w:i/>
                        <w:spacing w:val="-4"/>
                        <w:sz w:val="22"/>
                      </w:rPr>
                      <w:t>Feature</w:t>
                    </w:r>
                    <w:r>
                      <w:rPr>
                        <w:rFonts w:ascii="Cambria"/>
                        <w:i/>
                        <w:spacing w:val="-5"/>
                        <w:sz w:val="22"/>
                      </w:rPr>
                      <w:t> </w:t>
                    </w:r>
                    <w:r>
                      <w:rPr>
                        <w:rFonts w:ascii="Cambria"/>
                        <w:i/>
                        <w:spacing w:val="-4"/>
                        <w:sz w:val="22"/>
                      </w:rPr>
                      <w:t>Reference</w:t>
                    </w:r>
                  </w:p>
                </w:txbxContent>
              </v:textbox>
              <w10:wrap type="none"/>
            </v:shape>
          </w:pict>
        </mc:Fallback>
      </mc:AlternateContent>
    </w:r>
  </w:p>
</w:hdr>
</file>

<file path=word/header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923200">
              <wp:simplePos x="0" y="0"/>
              <wp:positionH relativeFrom="page">
                <wp:posOffset>1242733</wp:posOffset>
              </wp:positionH>
              <wp:positionV relativeFrom="page">
                <wp:posOffset>723773</wp:posOffset>
              </wp:positionV>
              <wp:extent cx="1875155" cy="192405"/>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1875155" cy="192405"/>
                      </a:xfrm>
                      <a:prstGeom prst="rect">
                        <a:avLst/>
                      </a:prstGeom>
                    </wps:spPr>
                    <wps:txbx>
                      <w:txbxContent>
                        <w:p>
                          <w:pPr>
                            <w:spacing w:before="12"/>
                            <w:ind w:left="20" w:right="0" w:firstLine="0"/>
                            <w:jc w:val="left"/>
                            <w:rPr>
                              <w:rFonts w:ascii="Cambria"/>
                              <w:i/>
                              <w:sz w:val="22"/>
                            </w:rPr>
                          </w:pPr>
                          <w:r>
                            <w:rPr>
                              <w:rFonts w:ascii="Cambria"/>
                              <w:i/>
                              <w:spacing w:val="-2"/>
                              <w:sz w:val="22"/>
                            </w:rPr>
                            <w:t>C.4</w:t>
                          </w:r>
                          <w:r>
                            <w:rPr>
                              <w:rFonts w:ascii="Cambria"/>
                              <w:i/>
                              <w:spacing w:val="-4"/>
                              <w:sz w:val="22"/>
                            </w:rPr>
                            <w:t> </w:t>
                          </w:r>
                          <w:r>
                            <w:rPr>
                              <w:rFonts w:ascii="Cambria"/>
                              <w:i/>
                              <w:spacing w:val="-2"/>
                              <w:sz w:val="22"/>
                            </w:rPr>
                            <w:t>Rainfall</w:t>
                          </w:r>
                          <w:r>
                            <w:rPr>
                              <w:rFonts w:ascii="Cambria"/>
                              <w:i/>
                              <w:spacing w:val="-3"/>
                              <w:sz w:val="22"/>
                            </w:rPr>
                            <w:t> </w:t>
                          </w:r>
                          <w:r>
                            <w:rPr>
                              <w:rFonts w:ascii="Cambria"/>
                              <w:i/>
                              <w:spacing w:val="-2"/>
                              <w:sz w:val="22"/>
                            </w:rPr>
                            <w:t>Features</w:t>
                          </w:r>
                          <w:r>
                            <w:rPr>
                              <w:rFonts w:ascii="Cambria"/>
                              <w:i/>
                              <w:spacing w:val="-3"/>
                              <w:sz w:val="22"/>
                            </w:rPr>
                            <w:t> </w:t>
                          </w:r>
                          <w:r>
                            <w:rPr>
                              <w:rFonts w:ascii="Cambria"/>
                              <w:i/>
                              <w:spacing w:val="-2"/>
                              <w:sz w:val="22"/>
                            </w:rPr>
                            <w:t>(8</w:t>
                          </w:r>
                          <w:r>
                            <w:rPr>
                              <w:rFonts w:ascii="Cambria"/>
                              <w:i/>
                              <w:spacing w:val="-3"/>
                              <w:sz w:val="22"/>
                            </w:rPr>
                            <w:t> </w:t>
                          </w:r>
                          <w:r>
                            <w:rPr>
                              <w:rFonts w:ascii="Cambria"/>
                              <w:i/>
                              <w:spacing w:val="-6"/>
                              <w:sz w:val="22"/>
                            </w:rPr>
                            <w:t>features)</w:t>
                          </w:r>
                        </w:p>
                      </w:txbxContent>
                    </wps:txbx>
                    <wps:bodyPr wrap="square" lIns="0" tIns="0" rIns="0" bIns="0" rtlCol="0">
                      <a:noAutofit/>
                    </wps:bodyPr>
                  </wps:wsp>
                </a:graphicData>
              </a:graphic>
            </wp:anchor>
          </w:drawing>
        </mc:Choice>
        <mc:Fallback>
          <w:pict>
            <v:shape style="position:absolute;margin-left:97.852997pt;margin-top:56.990005pt;width:147.65pt;height:15.15pt;mso-position-horizontal-relative:page;mso-position-vertical-relative:page;z-index:-23393280" type="#_x0000_t202" id="docshape255" filled="false" stroked="false">
              <v:textbox inset="0,0,0,0">
                <w:txbxContent>
                  <w:p>
                    <w:pPr>
                      <w:spacing w:before="12"/>
                      <w:ind w:left="20" w:right="0" w:firstLine="0"/>
                      <w:jc w:val="left"/>
                      <w:rPr>
                        <w:rFonts w:ascii="Cambria"/>
                        <w:i/>
                        <w:sz w:val="22"/>
                      </w:rPr>
                    </w:pPr>
                    <w:r>
                      <w:rPr>
                        <w:rFonts w:ascii="Cambria"/>
                        <w:i/>
                        <w:spacing w:val="-2"/>
                        <w:sz w:val="22"/>
                      </w:rPr>
                      <w:t>C.4</w:t>
                    </w:r>
                    <w:r>
                      <w:rPr>
                        <w:rFonts w:ascii="Cambria"/>
                        <w:i/>
                        <w:spacing w:val="-4"/>
                        <w:sz w:val="22"/>
                      </w:rPr>
                      <w:t> </w:t>
                    </w:r>
                    <w:r>
                      <w:rPr>
                        <w:rFonts w:ascii="Cambria"/>
                        <w:i/>
                        <w:spacing w:val="-2"/>
                        <w:sz w:val="22"/>
                      </w:rPr>
                      <w:t>Rainfall</w:t>
                    </w:r>
                    <w:r>
                      <w:rPr>
                        <w:rFonts w:ascii="Cambria"/>
                        <w:i/>
                        <w:spacing w:val="-3"/>
                        <w:sz w:val="22"/>
                      </w:rPr>
                      <w:t> </w:t>
                    </w:r>
                    <w:r>
                      <w:rPr>
                        <w:rFonts w:ascii="Cambria"/>
                        <w:i/>
                        <w:spacing w:val="-2"/>
                        <w:sz w:val="22"/>
                      </w:rPr>
                      <w:t>Features</w:t>
                    </w:r>
                    <w:r>
                      <w:rPr>
                        <w:rFonts w:ascii="Cambria"/>
                        <w:i/>
                        <w:spacing w:val="-3"/>
                        <w:sz w:val="22"/>
                      </w:rPr>
                      <w:t> </w:t>
                    </w:r>
                    <w:r>
                      <w:rPr>
                        <w:rFonts w:ascii="Cambria"/>
                        <w:i/>
                        <w:spacing w:val="-2"/>
                        <w:sz w:val="22"/>
                      </w:rPr>
                      <w:t>(8</w:t>
                    </w:r>
                    <w:r>
                      <w:rPr>
                        <w:rFonts w:ascii="Cambria"/>
                        <w:i/>
                        <w:spacing w:val="-3"/>
                        <w:sz w:val="22"/>
                      </w:rPr>
                      <w:t> </w:t>
                    </w:r>
                    <w:r>
                      <w:rPr>
                        <w:rFonts w:ascii="Cambria"/>
                        <w:i/>
                        <w:spacing w:val="-6"/>
                        <w:sz w:val="22"/>
                      </w:rPr>
                      <w:t>features)</w:t>
                    </w:r>
                  </w:p>
                </w:txbxContent>
              </v:textbox>
              <w10:wrap type="none"/>
            </v:shape>
          </w:pict>
        </mc:Fallback>
      </mc:AlternateContent>
    </w:r>
    <w:r>
      <w:rPr>
        <w:sz w:val="20"/>
      </w:rPr>
      <mc:AlternateContent>
        <mc:Choice Requires="wps">
          <w:drawing>
            <wp:anchor distT="0" distB="0" distL="0" distR="0" allowOverlap="1" layoutInCell="1" locked="0" behindDoc="1" simplePos="0" relativeHeight="479923712">
              <wp:simplePos x="0" y="0"/>
              <wp:positionH relativeFrom="page">
                <wp:posOffset>6439484</wp:posOffset>
              </wp:positionH>
              <wp:positionV relativeFrom="page">
                <wp:posOffset>723773</wp:posOffset>
              </wp:positionV>
              <wp:extent cx="233679" cy="192405"/>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233679" cy="192405"/>
                      </a:xfrm>
                      <a:prstGeom prst="rect">
                        <a:avLst/>
                      </a:prstGeom>
                    </wps:spPr>
                    <wps:txbx>
                      <w:txbxContent>
                        <w:p>
                          <w:pPr>
                            <w:pStyle w:val="BodyText"/>
                            <w:spacing w:before="16"/>
                            <w:ind w:left="20"/>
                          </w:pPr>
                          <w:r>
                            <w:rPr>
                              <w:spacing w:val="-5"/>
                            </w:rPr>
                            <w:t>101</w:t>
                          </w:r>
                        </w:p>
                      </w:txbxContent>
                    </wps:txbx>
                    <wps:bodyPr wrap="square" lIns="0" tIns="0" rIns="0" bIns="0" rtlCol="0">
                      <a:noAutofit/>
                    </wps:bodyPr>
                  </wps:wsp>
                </a:graphicData>
              </a:graphic>
            </wp:anchor>
          </w:drawing>
        </mc:Choice>
        <mc:Fallback>
          <w:pict>
            <v:shape style="position:absolute;margin-left:507.04599pt;margin-top:56.990005pt;width:18.4pt;height:15.15pt;mso-position-horizontal-relative:page;mso-position-vertical-relative:page;z-index:-23392768" type="#_x0000_t202" id="docshape256" filled="false" stroked="false">
              <v:textbox inset="0,0,0,0">
                <w:txbxContent>
                  <w:p>
                    <w:pPr>
                      <w:pStyle w:val="BodyText"/>
                      <w:spacing w:before="16"/>
                      <w:ind w:left="20"/>
                    </w:pPr>
                    <w:r>
                      <w:rPr>
                        <w:spacing w:val="-5"/>
                      </w:rPr>
                      <w:t>101</w:t>
                    </w:r>
                  </w:p>
                </w:txbxContent>
              </v:textbox>
              <w10:wrap type="none"/>
            </v:shape>
          </w:pict>
        </mc:Fallback>
      </mc:AlternateContent>
    </w:r>
  </w:p>
</w:hdr>
</file>

<file path=word/header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924224">
              <wp:simplePos x="0" y="0"/>
              <wp:positionH relativeFrom="page">
                <wp:posOffset>1242733</wp:posOffset>
              </wp:positionH>
              <wp:positionV relativeFrom="page">
                <wp:posOffset>723773</wp:posOffset>
              </wp:positionV>
              <wp:extent cx="2084705" cy="192405"/>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2084705" cy="192405"/>
                      </a:xfrm>
                      <a:prstGeom prst="rect">
                        <a:avLst/>
                      </a:prstGeom>
                    </wps:spPr>
                    <wps:txbx>
                      <w:txbxContent>
                        <w:p>
                          <w:pPr>
                            <w:spacing w:before="12"/>
                            <w:ind w:left="20" w:right="0" w:firstLine="0"/>
                            <w:jc w:val="left"/>
                            <w:rPr>
                              <w:rFonts w:ascii="Cambria"/>
                              <w:i/>
                              <w:sz w:val="22"/>
                            </w:rPr>
                          </w:pPr>
                          <w:r>
                            <w:rPr>
                              <w:rFonts w:ascii="Cambria"/>
                              <w:i/>
                              <w:spacing w:val="-2"/>
                              <w:sz w:val="22"/>
                            </w:rPr>
                            <w:t>C.6</w:t>
                          </w:r>
                          <w:r>
                            <w:rPr>
                              <w:rFonts w:ascii="Cambria"/>
                              <w:i/>
                              <w:spacing w:val="-8"/>
                              <w:sz w:val="22"/>
                            </w:rPr>
                            <w:t> </w:t>
                          </w:r>
                          <w:r>
                            <w:rPr>
                              <w:rFonts w:ascii="Cambria"/>
                              <w:i/>
                              <w:spacing w:val="-2"/>
                              <w:sz w:val="22"/>
                            </w:rPr>
                            <w:t>Soil</w:t>
                          </w:r>
                          <w:r>
                            <w:rPr>
                              <w:rFonts w:ascii="Cambria"/>
                              <w:i/>
                              <w:spacing w:val="-8"/>
                              <w:sz w:val="22"/>
                            </w:rPr>
                            <w:t> </w:t>
                          </w:r>
                          <w:r>
                            <w:rPr>
                              <w:rFonts w:ascii="Cambria"/>
                              <w:i/>
                              <w:spacing w:val="-2"/>
                              <w:sz w:val="22"/>
                            </w:rPr>
                            <w:t>Water</w:t>
                          </w:r>
                          <w:r>
                            <w:rPr>
                              <w:rFonts w:ascii="Cambria"/>
                              <w:i/>
                              <w:spacing w:val="-8"/>
                              <w:sz w:val="22"/>
                            </w:rPr>
                            <w:t> </w:t>
                          </w:r>
                          <w:r>
                            <w:rPr>
                              <w:rFonts w:ascii="Cambria"/>
                              <w:i/>
                              <w:spacing w:val="-2"/>
                              <w:sz w:val="22"/>
                            </w:rPr>
                            <w:t>Features</w:t>
                          </w:r>
                          <w:r>
                            <w:rPr>
                              <w:rFonts w:ascii="Cambria"/>
                              <w:i/>
                              <w:spacing w:val="-8"/>
                              <w:sz w:val="22"/>
                            </w:rPr>
                            <w:t> </w:t>
                          </w:r>
                          <w:r>
                            <w:rPr>
                              <w:rFonts w:ascii="Cambria"/>
                              <w:i/>
                              <w:spacing w:val="-2"/>
                              <w:sz w:val="22"/>
                            </w:rPr>
                            <w:t>(18</w:t>
                          </w:r>
                          <w:r>
                            <w:rPr>
                              <w:rFonts w:ascii="Cambria"/>
                              <w:i/>
                              <w:spacing w:val="-8"/>
                              <w:sz w:val="22"/>
                            </w:rPr>
                            <w:t> </w:t>
                          </w:r>
                          <w:r>
                            <w:rPr>
                              <w:rFonts w:ascii="Cambria"/>
                              <w:i/>
                              <w:spacing w:val="-6"/>
                              <w:sz w:val="22"/>
                            </w:rPr>
                            <w:t>features)</w:t>
                          </w:r>
                        </w:p>
                      </w:txbxContent>
                    </wps:txbx>
                    <wps:bodyPr wrap="square" lIns="0" tIns="0" rIns="0" bIns="0" rtlCol="0">
                      <a:noAutofit/>
                    </wps:bodyPr>
                  </wps:wsp>
                </a:graphicData>
              </a:graphic>
            </wp:anchor>
          </w:drawing>
        </mc:Choice>
        <mc:Fallback>
          <w:pict>
            <v:shape style="position:absolute;margin-left:97.852997pt;margin-top:56.990005pt;width:164.15pt;height:15.15pt;mso-position-horizontal-relative:page;mso-position-vertical-relative:page;z-index:-23392256" type="#_x0000_t202" id="docshape262" filled="false" stroked="false">
              <v:textbox inset="0,0,0,0">
                <w:txbxContent>
                  <w:p>
                    <w:pPr>
                      <w:spacing w:before="12"/>
                      <w:ind w:left="20" w:right="0" w:firstLine="0"/>
                      <w:jc w:val="left"/>
                      <w:rPr>
                        <w:rFonts w:ascii="Cambria"/>
                        <w:i/>
                        <w:sz w:val="22"/>
                      </w:rPr>
                    </w:pPr>
                    <w:r>
                      <w:rPr>
                        <w:rFonts w:ascii="Cambria"/>
                        <w:i/>
                        <w:spacing w:val="-2"/>
                        <w:sz w:val="22"/>
                      </w:rPr>
                      <w:t>C.6</w:t>
                    </w:r>
                    <w:r>
                      <w:rPr>
                        <w:rFonts w:ascii="Cambria"/>
                        <w:i/>
                        <w:spacing w:val="-8"/>
                        <w:sz w:val="22"/>
                      </w:rPr>
                      <w:t> </w:t>
                    </w:r>
                    <w:r>
                      <w:rPr>
                        <w:rFonts w:ascii="Cambria"/>
                        <w:i/>
                        <w:spacing w:val="-2"/>
                        <w:sz w:val="22"/>
                      </w:rPr>
                      <w:t>Soil</w:t>
                    </w:r>
                    <w:r>
                      <w:rPr>
                        <w:rFonts w:ascii="Cambria"/>
                        <w:i/>
                        <w:spacing w:val="-8"/>
                        <w:sz w:val="22"/>
                      </w:rPr>
                      <w:t> </w:t>
                    </w:r>
                    <w:r>
                      <w:rPr>
                        <w:rFonts w:ascii="Cambria"/>
                        <w:i/>
                        <w:spacing w:val="-2"/>
                        <w:sz w:val="22"/>
                      </w:rPr>
                      <w:t>Water</w:t>
                    </w:r>
                    <w:r>
                      <w:rPr>
                        <w:rFonts w:ascii="Cambria"/>
                        <w:i/>
                        <w:spacing w:val="-8"/>
                        <w:sz w:val="22"/>
                      </w:rPr>
                      <w:t> </w:t>
                    </w:r>
                    <w:r>
                      <w:rPr>
                        <w:rFonts w:ascii="Cambria"/>
                        <w:i/>
                        <w:spacing w:val="-2"/>
                        <w:sz w:val="22"/>
                      </w:rPr>
                      <w:t>Features</w:t>
                    </w:r>
                    <w:r>
                      <w:rPr>
                        <w:rFonts w:ascii="Cambria"/>
                        <w:i/>
                        <w:spacing w:val="-8"/>
                        <w:sz w:val="22"/>
                      </w:rPr>
                      <w:t> </w:t>
                    </w:r>
                    <w:r>
                      <w:rPr>
                        <w:rFonts w:ascii="Cambria"/>
                        <w:i/>
                        <w:spacing w:val="-2"/>
                        <w:sz w:val="22"/>
                      </w:rPr>
                      <w:t>(18</w:t>
                    </w:r>
                    <w:r>
                      <w:rPr>
                        <w:rFonts w:ascii="Cambria"/>
                        <w:i/>
                        <w:spacing w:val="-8"/>
                        <w:sz w:val="22"/>
                      </w:rPr>
                      <w:t> </w:t>
                    </w:r>
                    <w:r>
                      <w:rPr>
                        <w:rFonts w:ascii="Cambria"/>
                        <w:i/>
                        <w:spacing w:val="-6"/>
                        <w:sz w:val="22"/>
                      </w:rPr>
                      <w:t>features)</w:t>
                    </w:r>
                  </w:p>
                </w:txbxContent>
              </v:textbox>
              <w10:wrap type="none"/>
            </v:shape>
          </w:pict>
        </mc:Fallback>
      </mc:AlternateContent>
    </w:r>
    <w:r>
      <w:rPr>
        <w:sz w:val="20"/>
      </w:rPr>
      <mc:AlternateContent>
        <mc:Choice Requires="wps">
          <w:drawing>
            <wp:anchor distT="0" distB="0" distL="0" distR="0" allowOverlap="1" layoutInCell="1" locked="0" behindDoc="1" simplePos="0" relativeHeight="479924736">
              <wp:simplePos x="0" y="0"/>
              <wp:positionH relativeFrom="page">
                <wp:posOffset>6414084</wp:posOffset>
              </wp:positionH>
              <wp:positionV relativeFrom="page">
                <wp:posOffset>723773</wp:posOffset>
              </wp:positionV>
              <wp:extent cx="297180" cy="192405"/>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297180"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103</w:t>
                          </w:r>
                          <w:r>
                            <w:rPr>
                              <w:spacing w:val="-5"/>
                            </w:rPr>
                            <w:fldChar w:fldCharType="end"/>
                          </w:r>
                        </w:p>
                      </w:txbxContent>
                    </wps:txbx>
                    <wps:bodyPr wrap="square" lIns="0" tIns="0" rIns="0" bIns="0" rtlCol="0">
                      <a:noAutofit/>
                    </wps:bodyPr>
                  </wps:wsp>
                </a:graphicData>
              </a:graphic>
            </wp:anchor>
          </w:drawing>
        </mc:Choice>
        <mc:Fallback>
          <w:pict>
            <v:shape style="position:absolute;margin-left:505.04599pt;margin-top:56.990005pt;width:23.4pt;height:15.15pt;mso-position-horizontal-relative:page;mso-position-vertical-relative:page;z-index:-23391744" type="#_x0000_t202" id="docshape263"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103</w:t>
                    </w:r>
                    <w:r>
                      <w:rPr>
                        <w:spacing w:val="-5"/>
                      </w:rPr>
                      <w:fldChar w:fldCharType="end"/>
                    </w:r>
                  </w:p>
                </w:txbxContent>
              </v:textbox>
              <w10:wrap type="none"/>
            </v:shape>
          </w:pict>
        </mc:Fallback>
      </mc:AlternateContent>
    </w:r>
  </w:p>
</w:hdr>
</file>

<file path=word/header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925248">
              <wp:simplePos x="0" y="0"/>
              <wp:positionH relativeFrom="page">
                <wp:posOffset>851509</wp:posOffset>
              </wp:positionH>
              <wp:positionV relativeFrom="page">
                <wp:posOffset>723773</wp:posOffset>
              </wp:positionV>
              <wp:extent cx="297180" cy="192405"/>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297180"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104</w:t>
                          </w:r>
                          <w:r>
                            <w:rPr>
                              <w:spacing w:val="-5"/>
                            </w:rPr>
                            <w:fldChar w:fldCharType="end"/>
                          </w:r>
                        </w:p>
                      </w:txbxContent>
                    </wps:txbx>
                    <wps:bodyPr wrap="square" lIns="0" tIns="0" rIns="0" bIns="0" rtlCol="0">
                      <a:noAutofit/>
                    </wps:bodyPr>
                  </wps:wsp>
                </a:graphicData>
              </a:graphic>
            </wp:anchor>
          </w:drawing>
        </mc:Choice>
        <mc:Fallback>
          <w:pict>
            <v:shape style="position:absolute;margin-left:67.047997pt;margin-top:56.990005pt;width:23.4pt;height:15.15pt;mso-position-horizontal-relative:page;mso-position-vertical-relative:page;z-index:-23391232" type="#_x0000_t202" id="docshape264"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104</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925760">
              <wp:simplePos x="0" y="0"/>
              <wp:positionH relativeFrom="page">
                <wp:posOffset>4702225</wp:posOffset>
              </wp:positionH>
              <wp:positionV relativeFrom="page">
                <wp:posOffset>723773</wp:posOffset>
              </wp:positionV>
              <wp:extent cx="1610995" cy="192405"/>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1610995" cy="192405"/>
                      </a:xfrm>
                      <a:prstGeom prst="rect">
                        <a:avLst/>
                      </a:prstGeom>
                    </wps:spPr>
                    <wps:txbx>
                      <w:txbxContent>
                        <w:p>
                          <w:pPr>
                            <w:spacing w:before="12"/>
                            <w:ind w:left="20" w:right="0" w:firstLine="0"/>
                            <w:jc w:val="left"/>
                            <w:rPr>
                              <w:rFonts w:ascii="Cambria"/>
                              <w:i/>
                              <w:sz w:val="22"/>
                            </w:rPr>
                          </w:pPr>
                          <w:r>
                            <w:rPr>
                              <w:rFonts w:ascii="Cambria"/>
                              <w:i/>
                              <w:spacing w:val="-4"/>
                              <w:sz w:val="22"/>
                            </w:rPr>
                            <w:t>Complete</w:t>
                          </w:r>
                          <w:r>
                            <w:rPr>
                              <w:rFonts w:ascii="Cambria"/>
                              <w:i/>
                              <w:spacing w:val="-5"/>
                              <w:sz w:val="22"/>
                            </w:rPr>
                            <w:t> </w:t>
                          </w:r>
                          <w:r>
                            <w:rPr>
                              <w:rFonts w:ascii="Cambria"/>
                              <w:i/>
                              <w:spacing w:val="-4"/>
                              <w:sz w:val="22"/>
                            </w:rPr>
                            <w:t>Feature</w:t>
                          </w:r>
                          <w:r>
                            <w:rPr>
                              <w:rFonts w:ascii="Cambria"/>
                              <w:i/>
                              <w:spacing w:val="-5"/>
                              <w:sz w:val="22"/>
                            </w:rPr>
                            <w:t> </w:t>
                          </w:r>
                          <w:r>
                            <w:rPr>
                              <w:rFonts w:ascii="Cambria"/>
                              <w:i/>
                              <w:spacing w:val="-4"/>
                              <w:sz w:val="22"/>
                            </w:rPr>
                            <w:t>Reference</w:t>
                          </w:r>
                        </w:p>
                      </w:txbxContent>
                    </wps:txbx>
                    <wps:bodyPr wrap="square" lIns="0" tIns="0" rIns="0" bIns="0" rtlCol="0">
                      <a:noAutofit/>
                    </wps:bodyPr>
                  </wps:wsp>
                </a:graphicData>
              </a:graphic>
            </wp:anchor>
          </w:drawing>
        </mc:Choice>
        <mc:Fallback>
          <w:pict>
            <v:shape style="position:absolute;margin-left:370.253998pt;margin-top:56.990005pt;width:126.85pt;height:15.15pt;mso-position-horizontal-relative:page;mso-position-vertical-relative:page;z-index:-23390720" type="#_x0000_t202" id="docshape265" filled="false" stroked="false">
              <v:textbox inset="0,0,0,0">
                <w:txbxContent>
                  <w:p>
                    <w:pPr>
                      <w:spacing w:before="12"/>
                      <w:ind w:left="20" w:right="0" w:firstLine="0"/>
                      <w:jc w:val="left"/>
                      <w:rPr>
                        <w:rFonts w:ascii="Cambria"/>
                        <w:i/>
                        <w:sz w:val="22"/>
                      </w:rPr>
                    </w:pPr>
                    <w:r>
                      <w:rPr>
                        <w:rFonts w:ascii="Cambria"/>
                        <w:i/>
                        <w:spacing w:val="-4"/>
                        <w:sz w:val="22"/>
                      </w:rPr>
                      <w:t>Complete</w:t>
                    </w:r>
                    <w:r>
                      <w:rPr>
                        <w:rFonts w:ascii="Cambria"/>
                        <w:i/>
                        <w:spacing w:val="-5"/>
                        <w:sz w:val="22"/>
                      </w:rPr>
                      <w:t> </w:t>
                    </w:r>
                    <w:r>
                      <w:rPr>
                        <w:rFonts w:ascii="Cambria"/>
                        <w:i/>
                        <w:spacing w:val="-4"/>
                        <w:sz w:val="22"/>
                      </w:rPr>
                      <w:t>Feature</w:t>
                    </w:r>
                    <w:r>
                      <w:rPr>
                        <w:rFonts w:ascii="Cambria"/>
                        <w:i/>
                        <w:spacing w:val="-5"/>
                        <w:sz w:val="22"/>
                      </w:rPr>
                      <w:t> </w:t>
                    </w:r>
                    <w:r>
                      <w:rPr>
                        <w:rFonts w:ascii="Cambria"/>
                        <w:i/>
                        <w:spacing w:val="-4"/>
                        <w:sz w:val="22"/>
                      </w:rPr>
                      <w:t>Reference</w:t>
                    </w:r>
                  </w:p>
                </w:txbxContent>
              </v:textbox>
              <w10:wrap type="none"/>
            </v:shape>
          </w:pict>
        </mc:Fallback>
      </mc:AlternateContent>
    </w:r>
  </w:p>
</w:hdr>
</file>

<file path=word/header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926272">
              <wp:simplePos x="0" y="0"/>
              <wp:positionH relativeFrom="page">
                <wp:posOffset>876909</wp:posOffset>
              </wp:positionH>
              <wp:positionV relativeFrom="page">
                <wp:posOffset>723773</wp:posOffset>
              </wp:positionV>
              <wp:extent cx="233679" cy="192405"/>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233679" cy="192405"/>
                      </a:xfrm>
                      <a:prstGeom prst="rect">
                        <a:avLst/>
                      </a:prstGeom>
                    </wps:spPr>
                    <wps:txbx>
                      <w:txbxContent>
                        <w:p>
                          <w:pPr>
                            <w:pStyle w:val="BodyText"/>
                            <w:spacing w:before="16"/>
                            <w:ind w:left="20"/>
                          </w:pPr>
                          <w:r>
                            <w:rPr>
                              <w:spacing w:val="-5"/>
                            </w:rPr>
                            <w:t>110</w:t>
                          </w:r>
                        </w:p>
                      </w:txbxContent>
                    </wps:txbx>
                    <wps:bodyPr wrap="square" lIns="0" tIns="0" rIns="0" bIns="0" rtlCol="0">
                      <a:noAutofit/>
                    </wps:bodyPr>
                  </wps:wsp>
                </a:graphicData>
              </a:graphic>
            </wp:anchor>
          </w:drawing>
        </mc:Choice>
        <mc:Fallback>
          <w:pict>
            <v:shape style="position:absolute;margin-left:69.047997pt;margin-top:56.990005pt;width:18.4pt;height:15.15pt;mso-position-horizontal-relative:page;mso-position-vertical-relative:page;z-index:-23390208" type="#_x0000_t202" id="docshape273" filled="false" stroked="false">
              <v:textbox inset="0,0,0,0">
                <w:txbxContent>
                  <w:p>
                    <w:pPr>
                      <w:pStyle w:val="BodyText"/>
                      <w:spacing w:before="16"/>
                      <w:ind w:left="20"/>
                    </w:pPr>
                    <w:r>
                      <w:rPr>
                        <w:spacing w:val="-5"/>
                      </w:rPr>
                      <w:t>110</w:t>
                    </w:r>
                  </w:p>
                </w:txbxContent>
              </v:textbox>
              <w10:wrap type="none"/>
            </v:shape>
          </w:pict>
        </mc:Fallback>
      </mc:AlternateContent>
    </w:r>
    <w:r>
      <w:rPr>
        <w:sz w:val="20"/>
      </w:rPr>
      <mc:AlternateContent>
        <mc:Choice Requires="wps">
          <w:drawing>
            <wp:anchor distT="0" distB="0" distL="0" distR="0" allowOverlap="1" layoutInCell="1" locked="0" behindDoc="1" simplePos="0" relativeHeight="479926784">
              <wp:simplePos x="0" y="0"/>
              <wp:positionH relativeFrom="page">
                <wp:posOffset>5021834</wp:posOffset>
              </wp:positionH>
              <wp:positionV relativeFrom="page">
                <wp:posOffset>723773</wp:posOffset>
              </wp:positionV>
              <wp:extent cx="1290955" cy="192405"/>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a:off x="0" y="0"/>
                        <a:ext cx="1290955" cy="192405"/>
                      </a:xfrm>
                      <a:prstGeom prst="rect">
                        <a:avLst/>
                      </a:prstGeom>
                    </wps:spPr>
                    <wps:txbx>
                      <w:txbxContent>
                        <w:p>
                          <w:pPr>
                            <w:spacing w:before="12"/>
                            <w:ind w:left="20" w:right="0" w:firstLine="0"/>
                            <w:jc w:val="left"/>
                            <w:rPr>
                              <w:rFonts w:ascii="Cambria"/>
                              <w:i/>
                              <w:sz w:val="22"/>
                            </w:rPr>
                          </w:pPr>
                          <w:r>
                            <w:rPr>
                              <w:rFonts w:ascii="Cambria"/>
                              <w:i/>
                              <w:spacing w:val="-6"/>
                              <w:sz w:val="22"/>
                            </w:rPr>
                            <w:t>Feature</w:t>
                          </w:r>
                          <w:r>
                            <w:rPr>
                              <w:rFonts w:ascii="Cambria"/>
                              <w:i/>
                              <w:spacing w:val="3"/>
                              <w:sz w:val="22"/>
                            </w:rPr>
                            <w:t> </w:t>
                          </w:r>
                          <w:r>
                            <w:rPr>
                              <w:rFonts w:ascii="Cambria"/>
                              <w:i/>
                              <w:spacing w:val="-6"/>
                              <w:sz w:val="22"/>
                            </w:rPr>
                            <w:t>Coverage</w:t>
                          </w:r>
                          <w:r>
                            <w:rPr>
                              <w:rFonts w:ascii="Cambria"/>
                              <w:i/>
                              <w:spacing w:val="4"/>
                              <w:sz w:val="22"/>
                            </w:rPr>
                            <w:t> </w:t>
                          </w:r>
                          <w:r>
                            <w:rPr>
                              <w:rFonts w:ascii="Cambria"/>
                              <w:i/>
                              <w:spacing w:val="-6"/>
                              <w:sz w:val="22"/>
                            </w:rPr>
                            <w:t>Map</w:t>
                          </w:r>
                        </w:p>
                      </w:txbxContent>
                    </wps:txbx>
                    <wps:bodyPr wrap="square" lIns="0" tIns="0" rIns="0" bIns="0" rtlCol="0">
                      <a:noAutofit/>
                    </wps:bodyPr>
                  </wps:wsp>
                </a:graphicData>
              </a:graphic>
            </wp:anchor>
          </w:drawing>
        </mc:Choice>
        <mc:Fallback>
          <w:pict>
            <v:shape style="position:absolute;margin-left:395.420013pt;margin-top:56.990005pt;width:101.65pt;height:15.15pt;mso-position-horizontal-relative:page;mso-position-vertical-relative:page;z-index:-23389696" type="#_x0000_t202" id="docshape274" filled="false" stroked="false">
              <v:textbox inset="0,0,0,0">
                <w:txbxContent>
                  <w:p>
                    <w:pPr>
                      <w:spacing w:before="12"/>
                      <w:ind w:left="20" w:right="0" w:firstLine="0"/>
                      <w:jc w:val="left"/>
                      <w:rPr>
                        <w:rFonts w:ascii="Cambria"/>
                        <w:i/>
                        <w:sz w:val="22"/>
                      </w:rPr>
                    </w:pPr>
                    <w:r>
                      <w:rPr>
                        <w:rFonts w:ascii="Cambria"/>
                        <w:i/>
                        <w:spacing w:val="-6"/>
                        <w:sz w:val="22"/>
                      </w:rPr>
                      <w:t>Feature</w:t>
                    </w:r>
                    <w:r>
                      <w:rPr>
                        <w:rFonts w:ascii="Cambria"/>
                        <w:i/>
                        <w:spacing w:val="3"/>
                        <w:sz w:val="22"/>
                      </w:rPr>
                      <w:t> </w:t>
                    </w:r>
                    <w:r>
                      <w:rPr>
                        <w:rFonts w:ascii="Cambria"/>
                        <w:i/>
                        <w:spacing w:val="-6"/>
                        <w:sz w:val="22"/>
                      </w:rPr>
                      <w:t>Coverage</w:t>
                    </w:r>
                    <w:r>
                      <w:rPr>
                        <w:rFonts w:ascii="Cambria"/>
                        <w:i/>
                        <w:spacing w:val="4"/>
                        <w:sz w:val="22"/>
                      </w:rPr>
                      <w:t> </w:t>
                    </w:r>
                    <w:r>
                      <w:rPr>
                        <w:rFonts w:ascii="Cambria"/>
                        <w:i/>
                        <w:spacing w:val="-6"/>
                        <w:sz w:val="22"/>
                      </w:rPr>
                      <w:t>Map</w:t>
                    </w:r>
                  </w:p>
                </w:txbxContent>
              </v:textbox>
              <w10:wrap type="none"/>
            </v:shape>
          </w:pict>
        </mc:Fallback>
      </mc:AlternateContent>
    </w:r>
  </w:p>
</w:hdr>
</file>

<file path=word/header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927296">
              <wp:simplePos x="0" y="0"/>
              <wp:positionH relativeFrom="page">
                <wp:posOffset>851509</wp:posOffset>
              </wp:positionH>
              <wp:positionV relativeFrom="page">
                <wp:posOffset>723773</wp:posOffset>
              </wp:positionV>
              <wp:extent cx="297180" cy="192405"/>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297180"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112</w:t>
                          </w:r>
                          <w:r>
                            <w:rPr>
                              <w:spacing w:val="-5"/>
                            </w:rPr>
                            <w:fldChar w:fldCharType="end"/>
                          </w:r>
                        </w:p>
                      </w:txbxContent>
                    </wps:txbx>
                    <wps:bodyPr wrap="square" lIns="0" tIns="0" rIns="0" bIns="0" rtlCol="0">
                      <a:noAutofit/>
                    </wps:bodyPr>
                  </wps:wsp>
                </a:graphicData>
              </a:graphic>
            </wp:anchor>
          </w:drawing>
        </mc:Choice>
        <mc:Fallback>
          <w:pict>
            <v:shape style="position:absolute;margin-left:67.047997pt;margin-top:56.990005pt;width:23.4pt;height:15.15pt;mso-position-horizontal-relative:page;mso-position-vertical-relative:page;z-index:-23389184" type="#_x0000_t202" id="docshape275"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112</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927808">
              <wp:simplePos x="0" y="0"/>
              <wp:positionH relativeFrom="page">
                <wp:posOffset>4520590</wp:posOffset>
              </wp:positionH>
              <wp:positionV relativeFrom="page">
                <wp:posOffset>723773</wp:posOffset>
              </wp:positionV>
              <wp:extent cx="1792605" cy="192405"/>
              <wp:effectExtent l="0" t="0" r="0" b="0"/>
              <wp:wrapNone/>
              <wp:docPr id="314" name="Textbox 314"/>
              <wp:cNvGraphicFramePr>
                <a:graphicFrameLocks/>
              </wp:cNvGraphicFramePr>
              <a:graphic>
                <a:graphicData uri="http://schemas.microsoft.com/office/word/2010/wordprocessingShape">
                  <wps:wsp>
                    <wps:cNvPr id="314" name="Textbox 314"/>
                    <wps:cNvSpPr txBox="1"/>
                    <wps:spPr>
                      <a:xfrm>
                        <a:off x="0" y="0"/>
                        <a:ext cx="1792605" cy="192405"/>
                      </a:xfrm>
                      <a:prstGeom prst="rect">
                        <a:avLst/>
                      </a:prstGeom>
                    </wps:spPr>
                    <wps:txbx>
                      <w:txbxContent>
                        <w:p>
                          <w:pPr>
                            <w:spacing w:before="12"/>
                            <w:ind w:left="20" w:right="0" w:firstLine="0"/>
                            <w:jc w:val="left"/>
                            <w:rPr>
                              <w:rFonts w:ascii="Cambria"/>
                              <w:i/>
                              <w:sz w:val="22"/>
                            </w:rPr>
                          </w:pPr>
                          <w:r>
                            <w:rPr>
                              <w:rFonts w:ascii="Cambria"/>
                              <w:i/>
                              <w:spacing w:val="-2"/>
                              <w:sz w:val="22"/>
                            </w:rPr>
                            <w:t>AI</w:t>
                          </w:r>
                          <w:r>
                            <w:rPr>
                              <w:rFonts w:ascii="Cambria"/>
                              <w:i/>
                              <w:spacing w:val="-3"/>
                              <w:sz w:val="22"/>
                            </w:rPr>
                            <w:t> </w:t>
                          </w:r>
                          <w:r>
                            <w:rPr>
                              <w:rFonts w:ascii="Cambria"/>
                              <w:i/>
                              <w:spacing w:val="-2"/>
                              <w:sz w:val="22"/>
                            </w:rPr>
                            <w:t>Use</w:t>
                          </w:r>
                          <w:r>
                            <w:rPr>
                              <w:rFonts w:ascii="Cambria"/>
                              <w:i/>
                              <w:spacing w:val="-3"/>
                              <w:sz w:val="22"/>
                            </w:rPr>
                            <w:t> </w:t>
                          </w:r>
                          <w:r>
                            <w:rPr>
                              <w:rFonts w:ascii="Cambria"/>
                              <w:i/>
                              <w:spacing w:val="-2"/>
                              <w:sz w:val="22"/>
                            </w:rPr>
                            <w:t>Transparency </w:t>
                          </w:r>
                          <w:r>
                            <w:rPr>
                              <w:rFonts w:ascii="Cambria"/>
                              <w:i/>
                              <w:spacing w:val="-7"/>
                              <w:sz w:val="22"/>
                            </w:rPr>
                            <w:t>Statement</w:t>
                          </w:r>
                        </w:p>
                      </w:txbxContent>
                    </wps:txbx>
                    <wps:bodyPr wrap="square" lIns="0" tIns="0" rIns="0" bIns="0" rtlCol="0">
                      <a:noAutofit/>
                    </wps:bodyPr>
                  </wps:wsp>
                </a:graphicData>
              </a:graphic>
            </wp:anchor>
          </w:drawing>
        </mc:Choice>
        <mc:Fallback>
          <w:pict>
            <v:shape style="position:absolute;margin-left:355.951996pt;margin-top:56.990005pt;width:141.15pt;height:15.15pt;mso-position-horizontal-relative:page;mso-position-vertical-relative:page;z-index:-23388672" type="#_x0000_t202" id="docshape276" filled="false" stroked="false">
              <v:textbox inset="0,0,0,0">
                <w:txbxContent>
                  <w:p>
                    <w:pPr>
                      <w:spacing w:before="12"/>
                      <w:ind w:left="20" w:right="0" w:firstLine="0"/>
                      <w:jc w:val="left"/>
                      <w:rPr>
                        <w:rFonts w:ascii="Cambria"/>
                        <w:i/>
                        <w:sz w:val="22"/>
                      </w:rPr>
                    </w:pPr>
                    <w:r>
                      <w:rPr>
                        <w:rFonts w:ascii="Cambria"/>
                        <w:i/>
                        <w:spacing w:val="-2"/>
                        <w:sz w:val="22"/>
                      </w:rPr>
                      <w:t>AI</w:t>
                    </w:r>
                    <w:r>
                      <w:rPr>
                        <w:rFonts w:ascii="Cambria"/>
                        <w:i/>
                        <w:spacing w:val="-3"/>
                        <w:sz w:val="22"/>
                      </w:rPr>
                      <w:t> </w:t>
                    </w:r>
                    <w:r>
                      <w:rPr>
                        <w:rFonts w:ascii="Cambria"/>
                        <w:i/>
                        <w:spacing w:val="-2"/>
                        <w:sz w:val="22"/>
                      </w:rPr>
                      <w:t>Use</w:t>
                    </w:r>
                    <w:r>
                      <w:rPr>
                        <w:rFonts w:ascii="Cambria"/>
                        <w:i/>
                        <w:spacing w:val="-3"/>
                        <w:sz w:val="22"/>
                      </w:rPr>
                      <w:t> </w:t>
                    </w:r>
                    <w:r>
                      <w:rPr>
                        <w:rFonts w:ascii="Cambria"/>
                        <w:i/>
                        <w:spacing w:val="-2"/>
                        <w:sz w:val="22"/>
                      </w:rPr>
                      <w:t>Transparency </w:t>
                    </w:r>
                    <w:r>
                      <w:rPr>
                        <w:rFonts w:ascii="Cambria"/>
                        <w:i/>
                        <w:spacing w:val="-7"/>
                        <w:sz w:val="22"/>
                      </w:rPr>
                      <w:t>Statement</w:t>
                    </w:r>
                  </w:p>
                </w:txbxContent>
              </v:textbox>
              <w10:wrap type="none"/>
            </v:shape>
          </w:pict>
        </mc:Fallback>
      </mc:AlternateContent>
    </w:r>
  </w:p>
</w:hdr>
</file>

<file path=word/header1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928320">
              <wp:simplePos x="0" y="0"/>
              <wp:positionH relativeFrom="page">
                <wp:posOffset>851509</wp:posOffset>
              </wp:positionH>
              <wp:positionV relativeFrom="page">
                <wp:posOffset>723773</wp:posOffset>
              </wp:positionV>
              <wp:extent cx="297180" cy="192405"/>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a:off x="0" y="0"/>
                        <a:ext cx="297180"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114</w:t>
                          </w:r>
                          <w:r>
                            <w:rPr>
                              <w:spacing w:val="-5"/>
                            </w:rPr>
                            <w:fldChar w:fldCharType="end"/>
                          </w:r>
                        </w:p>
                      </w:txbxContent>
                    </wps:txbx>
                    <wps:bodyPr wrap="square" lIns="0" tIns="0" rIns="0" bIns="0" rtlCol="0">
                      <a:noAutofit/>
                    </wps:bodyPr>
                  </wps:wsp>
                </a:graphicData>
              </a:graphic>
            </wp:anchor>
          </w:drawing>
        </mc:Choice>
        <mc:Fallback>
          <w:pict>
            <v:shape style="position:absolute;margin-left:67.047997pt;margin-top:56.990005pt;width:23.4pt;height:15.15pt;mso-position-horizontal-relative:page;mso-position-vertical-relative:page;z-index:-23388160" type="#_x0000_t202" id="docshape281"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114</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928832">
              <wp:simplePos x="0" y="0"/>
              <wp:positionH relativeFrom="page">
                <wp:posOffset>4520590</wp:posOffset>
              </wp:positionH>
              <wp:positionV relativeFrom="page">
                <wp:posOffset>723773</wp:posOffset>
              </wp:positionV>
              <wp:extent cx="1792605" cy="192405"/>
              <wp:effectExtent l="0" t="0" r="0" b="0"/>
              <wp:wrapNone/>
              <wp:docPr id="320" name="Textbox 320"/>
              <wp:cNvGraphicFramePr>
                <a:graphicFrameLocks/>
              </wp:cNvGraphicFramePr>
              <a:graphic>
                <a:graphicData uri="http://schemas.microsoft.com/office/word/2010/wordprocessingShape">
                  <wps:wsp>
                    <wps:cNvPr id="320" name="Textbox 320"/>
                    <wps:cNvSpPr txBox="1"/>
                    <wps:spPr>
                      <a:xfrm>
                        <a:off x="0" y="0"/>
                        <a:ext cx="1792605" cy="192405"/>
                      </a:xfrm>
                      <a:prstGeom prst="rect">
                        <a:avLst/>
                      </a:prstGeom>
                    </wps:spPr>
                    <wps:txbx>
                      <w:txbxContent>
                        <w:p>
                          <w:pPr>
                            <w:spacing w:before="12"/>
                            <w:ind w:left="20" w:right="0" w:firstLine="0"/>
                            <w:jc w:val="left"/>
                            <w:rPr>
                              <w:rFonts w:ascii="Cambria"/>
                              <w:i/>
                              <w:sz w:val="22"/>
                            </w:rPr>
                          </w:pPr>
                          <w:r>
                            <w:rPr>
                              <w:rFonts w:ascii="Cambria"/>
                              <w:i/>
                              <w:spacing w:val="-2"/>
                              <w:sz w:val="22"/>
                            </w:rPr>
                            <w:t>AI</w:t>
                          </w:r>
                          <w:r>
                            <w:rPr>
                              <w:rFonts w:ascii="Cambria"/>
                              <w:i/>
                              <w:spacing w:val="-3"/>
                              <w:sz w:val="22"/>
                            </w:rPr>
                            <w:t> </w:t>
                          </w:r>
                          <w:r>
                            <w:rPr>
                              <w:rFonts w:ascii="Cambria"/>
                              <w:i/>
                              <w:spacing w:val="-2"/>
                              <w:sz w:val="22"/>
                            </w:rPr>
                            <w:t>Use</w:t>
                          </w:r>
                          <w:r>
                            <w:rPr>
                              <w:rFonts w:ascii="Cambria"/>
                              <w:i/>
                              <w:spacing w:val="-3"/>
                              <w:sz w:val="22"/>
                            </w:rPr>
                            <w:t> </w:t>
                          </w:r>
                          <w:r>
                            <w:rPr>
                              <w:rFonts w:ascii="Cambria"/>
                              <w:i/>
                              <w:spacing w:val="-2"/>
                              <w:sz w:val="22"/>
                            </w:rPr>
                            <w:t>Transparency </w:t>
                          </w:r>
                          <w:r>
                            <w:rPr>
                              <w:rFonts w:ascii="Cambria"/>
                              <w:i/>
                              <w:spacing w:val="-7"/>
                              <w:sz w:val="22"/>
                            </w:rPr>
                            <w:t>Statement</w:t>
                          </w:r>
                        </w:p>
                      </w:txbxContent>
                    </wps:txbx>
                    <wps:bodyPr wrap="square" lIns="0" tIns="0" rIns="0" bIns="0" rtlCol="0">
                      <a:noAutofit/>
                    </wps:bodyPr>
                  </wps:wsp>
                </a:graphicData>
              </a:graphic>
            </wp:anchor>
          </w:drawing>
        </mc:Choice>
        <mc:Fallback>
          <w:pict>
            <v:shape style="position:absolute;margin-left:355.951996pt;margin-top:56.990005pt;width:141.15pt;height:15.15pt;mso-position-horizontal-relative:page;mso-position-vertical-relative:page;z-index:-23387648" type="#_x0000_t202" id="docshape282" filled="false" stroked="false">
              <v:textbox inset="0,0,0,0">
                <w:txbxContent>
                  <w:p>
                    <w:pPr>
                      <w:spacing w:before="12"/>
                      <w:ind w:left="20" w:right="0" w:firstLine="0"/>
                      <w:jc w:val="left"/>
                      <w:rPr>
                        <w:rFonts w:ascii="Cambria"/>
                        <w:i/>
                        <w:sz w:val="22"/>
                      </w:rPr>
                    </w:pPr>
                    <w:r>
                      <w:rPr>
                        <w:rFonts w:ascii="Cambria"/>
                        <w:i/>
                        <w:spacing w:val="-2"/>
                        <w:sz w:val="22"/>
                      </w:rPr>
                      <w:t>AI</w:t>
                    </w:r>
                    <w:r>
                      <w:rPr>
                        <w:rFonts w:ascii="Cambria"/>
                        <w:i/>
                        <w:spacing w:val="-3"/>
                        <w:sz w:val="22"/>
                      </w:rPr>
                      <w:t> </w:t>
                    </w:r>
                    <w:r>
                      <w:rPr>
                        <w:rFonts w:ascii="Cambria"/>
                        <w:i/>
                        <w:spacing w:val="-2"/>
                        <w:sz w:val="22"/>
                      </w:rPr>
                      <w:t>Use</w:t>
                    </w:r>
                    <w:r>
                      <w:rPr>
                        <w:rFonts w:ascii="Cambria"/>
                        <w:i/>
                        <w:spacing w:val="-3"/>
                        <w:sz w:val="22"/>
                      </w:rPr>
                      <w:t> </w:t>
                    </w:r>
                    <w:r>
                      <w:rPr>
                        <w:rFonts w:ascii="Cambria"/>
                        <w:i/>
                        <w:spacing w:val="-2"/>
                        <w:sz w:val="22"/>
                      </w:rPr>
                      <w:t>Transparency </w:t>
                    </w:r>
                    <w:r>
                      <w:rPr>
                        <w:rFonts w:ascii="Cambria"/>
                        <w:i/>
                        <w:spacing w:val="-7"/>
                        <w:sz w:val="22"/>
                      </w:rPr>
                      <w:t>Statement</w:t>
                    </w:r>
                  </w:p>
                </w:txbxContent>
              </v:textbox>
              <w10:wrap type="none"/>
            </v:shape>
          </w:pict>
        </mc:Fallback>
      </mc:AlternateContent>
    </w:r>
  </w:p>
</w:hdr>
</file>

<file path=word/header1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929344">
              <wp:simplePos x="0" y="0"/>
              <wp:positionH relativeFrom="page">
                <wp:posOffset>851509</wp:posOffset>
              </wp:positionH>
              <wp:positionV relativeFrom="page">
                <wp:posOffset>723773</wp:posOffset>
              </wp:positionV>
              <wp:extent cx="297180" cy="192405"/>
              <wp:effectExtent l="0" t="0" r="0" b="0"/>
              <wp:wrapNone/>
              <wp:docPr id="323" name="Textbox 323"/>
              <wp:cNvGraphicFramePr>
                <a:graphicFrameLocks/>
              </wp:cNvGraphicFramePr>
              <a:graphic>
                <a:graphicData uri="http://schemas.microsoft.com/office/word/2010/wordprocessingShape">
                  <wps:wsp>
                    <wps:cNvPr id="323" name="Textbox 323"/>
                    <wps:cNvSpPr txBox="1"/>
                    <wps:spPr>
                      <a:xfrm>
                        <a:off x="0" y="0"/>
                        <a:ext cx="297180"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116</w:t>
                          </w:r>
                          <w:r>
                            <w:rPr>
                              <w:spacing w:val="-5"/>
                            </w:rPr>
                            <w:fldChar w:fldCharType="end"/>
                          </w:r>
                        </w:p>
                      </w:txbxContent>
                    </wps:txbx>
                    <wps:bodyPr wrap="square" lIns="0" tIns="0" rIns="0" bIns="0" rtlCol="0">
                      <a:noAutofit/>
                    </wps:bodyPr>
                  </wps:wsp>
                </a:graphicData>
              </a:graphic>
            </wp:anchor>
          </w:drawing>
        </mc:Choice>
        <mc:Fallback>
          <w:pict>
            <v:shape style="position:absolute;margin-left:67.047997pt;margin-top:56.990005pt;width:23.4pt;height:15.15pt;mso-position-horizontal-relative:page;mso-position-vertical-relative:page;z-index:-23387136" type="#_x0000_t202" id="docshape285"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116</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929856">
              <wp:simplePos x="0" y="0"/>
              <wp:positionH relativeFrom="page">
                <wp:posOffset>4520590</wp:posOffset>
              </wp:positionH>
              <wp:positionV relativeFrom="page">
                <wp:posOffset>723773</wp:posOffset>
              </wp:positionV>
              <wp:extent cx="1792605" cy="192405"/>
              <wp:effectExtent l="0" t="0" r="0" b="0"/>
              <wp:wrapNone/>
              <wp:docPr id="324" name="Textbox 324"/>
              <wp:cNvGraphicFramePr>
                <a:graphicFrameLocks/>
              </wp:cNvGraphicFramePr>
              <a:graphic>
                <a:graphicData uri="http://schemas.microsoft.com/office/word/2010/wordprocessingShape">
                  <wps:wsp>
                    <wps:cNvPr id="324" name="Textbox 324"/>
                    <wps:cNvSpPr txBox="1"/>
                    <wps:spPr>
                      <a:xfrm>
                        <a:off x="0" y="0"/>
                        <a:ext cx="1792605" cy="192405"/>
                      </a:xfrm>
                      <a:prstGeom prst="rect">
                        <a:avLst/>
                      </a:prstGeom>
                    </wps:spPr>
                    <wps:txbx>
                      <w:txbxContent>
                        <w:p>
                          <w:pPr>
                            <w:spacing w:before="12"/>
                            <w:ind w:left="20" w:right="0" w:firstLine="0"/>
                            <w:jc w:val="left"/>
                            <w:rPr>
                              <w:rFonts w:ascii="Cambria"/>
                              <w:i/>
                              <w:sz w:val="22"/>
                            </w:rPr>
                          </w:pPr>
                          <w:r>
                            <w:rPr>
                              <w:rFonts w:ascii="Cambria"/>
                              <w:i/>
                              <w:spacing w:val="-2"/>
                              <w:sz w:val="22"/>
                            </w:rPr>
                            <w:t>AI</w:t>
                          </w:r>
                          <w:r>
                            <w:rPr>
                              <w:rFonts w:ascii="Cambria"/>
                              <w:i/>
                              <w:spacing w:val="-3"/>
                              <w:sz w:val="22"/>
                            </w:rPr>
                            <w:t> </w:t>
                          </w:r>
                          <w:r>
                            <w:rPr>
                              <w:rFonts w:ascii="Cambria"/>
                              <w:i/>
                              <w:spacing w:val="-2"/>
                              <w:sz w:val="22"/>
                            </w:rPr>
                            <w:t>Use</w:t>
                          </w:r>
                          <w:r>
                            <w:rPr>
                              <w:rFonts w:ascii="Cambria"/>
                              <w:i/>
                              <w:spacing w:val="-3"/>
                              <w:sz w:val="22"/>
                            </w:rPr>
                            <w:t> </w:t>
                          </w:r>
                          <w:r>
                            <w:rPr>
                              <w:rFonts w:ascii="Cambria"/>
                              <w:i/>
                              <w:spacing w:val="-2"/>
                              <w:sz w:val="22"/>
                            </w:rPr>
                            <w:t>Transparency </w:t>
                          </w:r>
                          <w:r>
                            <w:rPr>
                              <w:rFonts w:ascii="Cambria"/>
                              <w:i/>
                              <w:spacing w:val="-7"/>
                              <w:sz w:val="22"/>
                            </w:rPr>
                            <w:t>Statement</w:t>
                          </w:r>
                        </w:p>
                      </w:txbxContent>
                    </wps:txbx>
                    <wps:bodyPr wrap="square" lIns="0" tIns="0" rIns="0" bIns="0" rtlCol="0">
                      <a:noAutofit/>
                    </wps:bodyPr>
                  </wps:wsp>
                </a:graphicData>
              </a:graphic>
            </wp:anchor>
          </w:drawing>
        </mc:Choice>
        <mc:Fallback>
          <w:pict>
            <v:shape style="position:absolute;margin-left:355.951996pt;margin-top:56.990005pt;width:141.15pt;height:15.15pt;mso-position-horizontal-relative:page;mso-position-vertical-relative:page;z-index:-23386624" type="#_x0000_t202" id="docshape286" filled="false" stroked="false">
              <v:textbox inset="0,0,0,0">
                <w:txbxContent>
                  <w:p>
                    <w:pPr>
                      <w:spacing w:before="12"/>
                      <w:ind w:left="20" w:right="0" w:firstLine="0"/>
                      <w:jc w:val="left"/>
                      <w:rPr>
                        <w:rFonts w:ascii="Cambria"/>
                        <w:i/>
                        <w:sz w:val="22"/>
                      </w:rPr>
                    </w:pPr>
                    <w:r>
                      <w:rPr>
                        <w:rFonts w:ascii="Cambria"/>
                        <w:i/>
                        <w:spacing w:val="-2"/>
                        <w:sz w:val="22"/>
                      </w:rPr>
                      <w:t>AI</w:t>
                    </w:r>
                    <w:r>
                      <w:rPr>
                        <w:rFonts w:ascii="Cambria"/>
                        <w:i/>
                        <w:spacing w:val="-3"/>
                        <w:sz w:val="22"/>
                      </w:rPr>
                      <w:t> </w:t>
                    </w:r>
                    <w:r>
                      <w:rPr>
                        <w:rFonts w:ascii="Cambria"/>
                        <w:i/>
                        <w:spacing w:val="-2"/>
                        <w:sz w:val="22"/>
                      </w:rPr>
                      <w:t>Use</w:t>
                    </w:r>
                    <w:r>
                      <w:rPr>
                        <w:rFonts w:ascii="Cambria"/>
                        <w:i/>
                        <w:spacing w:val="-3"/>
                        <w:sz w:val="22"/>
                      </w:rPr>
                      <w:t> </w:t>
                    </w:r>
                    <w:r>
                      <w:rPr>
                        <w:rFonts w:ascii="Cambria"/>
                        <w:i/>
                        <w:spacing w:val="-2"/>
                        <w:sz w:val="22"/>
                      </w:rPr>
                      <w:t>Transparency </w:t>
                    </w:r>
                    <w:r>
                      <w:rPr>
                        <w:rFonts w:ascii="Cambria"/>
                        <w:i/>
                        <w:spacing w:val="-7"/>
                        <w:sz w:val="22"/>
                      </w:rPr>
                      <w:t>Statement</w:t>
                    </w:r>
                  </w:p>
                </w:txbxContent>
              </v:textbox>
              <w10:wrap type="none"/>
            </v:shape>
          </w:pict>
        </mc:Fallback>
      </mc:AlternateContent>
    </w:r>
  </w:p>
</w:hdr>
</file>

<file path=word/header1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930368">
              <wp:simplePos x="0" y="0"/>
              <wp:positionH relativeFrom="page">
                <wp:posOffset>851509</wp:posOffset>
              </wp:positionH>
              <wp:positionV relativeFrom="page">
                <wp:posOffset>723773</wp:posOffset>
              </wp:positionV>
              <wp:extent cx="297180" cy="192405"/>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297180" cy="192405"/>
                      </a:xfrm>
                      <a:prstGeom prst="rect">
                        <a:avLst/>
                      </a:prstGeom>
                    </wps:spPr>
                    <wps:txbx>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118</w:t>
                          </w:r>
                          <w:r>
                            <w:rPr>
                              <w:spacing w:val="-5"/>
                            </w:rPr>
                            <w:fldChar w:fldCharType="end"/>
                          </w:r>
                        </w:p>
                      </w:txbxContent>
                    </wps:txbx>
                    <wps:bodyPr wrap="square" lIns="0" tIns="0" rIns="0" bIns="0" rtlCol="0">
                      <a:noAutofit/>
                    </wps:bodyPr>
                  </wps:wsp>
                </a:graphicData>
              </a:graphic>
            </wp:anchor>
          </w:drawing>
        </mc:Choice>
        <mc:Fallback>
          <w:pict>
            <v:shape style="position:absolute;margin-left:67.047997pt;margin-top:56.990005pt;width:23.4pt;height:15.15pt;mso-position-horizontal-relative:page;mso-position-vertical-relative:page;z-index:-23386112" type="#_x0000_t202" id="docshape287" filled="false" stroked="false">
              <v:textbox inset="0,0,0,0">
                <w:txbxContent>
                  <w:p>
                    <w:pPr>
                      <w:pStyle w:val="BodyText"/>
                      <w:spacing w:before="16"/>
                      <w:ind w:left="60"/>
                    </w:pPr>
                    <w:r>
                      <w:rPr>
                        <w:spacing w:val="-5"/>
                      </w:rPr>
                      <w:fldChar w:fldCharType="begin"/>
                    </w:r>
                    <w:r>
                      <w:rPr>
                        <w:spacing w:val="-5"/>
                      </w:rPr>
                      <w:instrText> PAGE </w:instrText>
                    </w:r>
                    <w:r>
                      <w:rPr>
                        <w:spacing w:val="-5"/>
                      </w:rPr>
                      <w:fldChar w:fldCharType="separate"/>
                    </w:r>
                    <w:r>
                      <w:rPr>
                        <w:spacing w:val="-5"/>
                      </w:rPr>
                      <w:t>118</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930880">
              <wp:simplePos x="0" y="0"/>
              <wp:positionH relativeFrom="page">
                <wp:posOffset>5417375</wp:posOffset>
              </wp:positionH>
              <wp:positionV relativeFrom="page">
                <wp:posOffset>723773</wp:posOffset>
              </wp:positionV>
              <wp:extent cx="895350" cy="192405"/>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a:off x="0" y="0"/>
                        <a:ext cx="895350" cy="192405"/>
                      </a:xfrm>
                      <a:prstGeom prst="rect">
                        <a:avLst/>
                      </a:prstGeom>
                    </wps:spPr>
                    <wps:txbx>
                      <w:txbxContent>
                        <w:p>
                          <w:pPr>
                            <w:spacing w:before="12"/>
                            <w:ind w:left="20" w:right="0" w:firstLine="0"/>
                            <w:jc w:val="left"/>
                            <w:rPr>
                              <w:rFonts w:ascii="Cambria"/>
                              <w:i/>
                              <w:sz w:val="22"/>
                            </w:rPr>
                          </w:pPr>
                          <w:r>
                            <w:rPr>
                              <w:rFonts w:ascii="Cambria"/>
                              <w:i/>
                              <w:spacing w:val="-2"/>
                              <w:w w:val="110"/>
                              <w:sz w:val="22"/>
                            </w:rPr>
                            <w:t>REFERENCES</w:t>
                          </w:r>
                        </w:p>
                      </w:txbxContent>
                    </wps:txbx>
                    <wps:bodyPr wrap="square" lIns="0" tIns="0" rIns="0" bIns="0" rtlCol="0">
                      <a:noAutofit/>
                    </wps:bodyPr>
                  </wps:wsp>
                </a:graphicData>
              </a:graphic>
            </wp:anchor>
          </w:drawing>
        </mc:Choice>
        <mc:Fallback>
          <w:pict>
            <v:shape style="position:absolute;margin-left:426.565002pt;margin-top:56.990005pt;width:70.5pt;height:15.15pt;mso-position-horizontal-relative:page;mso-position-vertical-relative:page;z-index:-23385600" type="#_x0000_t202" id="docshape288" filled="false" stroked="false">
              <v:textbox inset="0,0,0,0">
                <w:txbxContent>
                  <w:p>
                    <w:pPr>
                      <w:spacing w:before="12"/>
                      <w:ind w:left="20" w:right="0" w:firstLine="0"/>
                      <w:jc w:val="left"/>
                      <w:rPr>
                        <w:rFonts w:ascii="Cambria"/>
                        <w:i/>
                        <w:sz w:val="22"/>
                      </w:rPr>
                    </w:pPr>
                    <w:r>
                      <w:rPr>
                        <w:rFonts w:ascii="Cambria"/>
                        <w:i/>
                        <w:spacing w:val="-2"/>
                        <w:w w:val="110"/>
                        <w:sz w:val="22"/>
                      </w:rPr>
                      <w:t>REFERENCES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9">
    <w:multiLevelType w:val="hybridMultilevel"/>
    <w:lvl w:ilvl="0">
      <w:start w:val="0"/>
      <w:numFmt w:val="bullet"/>
      <w:lvlText w:val="•"/>
      <w:lvlJc w:val="left"/>
      <w:pPr>
        <w:ind w:left="142" w:hanging="135"/>
      </w:pPr>
      <w:rPr>
        <w:rFonts w:hint="default" w:ascii="Times New Roman" w:hAnsi="Times New Roman" w:eastAsia="Times New Roman" w:cs="Times New Roman"/>
        <w:b w:val="0"/>
        <w:bCs w:val="0"/>
        <w:i w:val="0"/>
        <w:iCs w:val="0"/>
        <w:spacing w:val="0"/>
        <w:w w:val="101"/>
        <w:sz w:val="22"/>
        <w:szCs w:val="22"/>
        <w:lang w:val="en-US" w:eastAsia="en-US" w:bidi="ar-SA"/>
      </w:rPr>
    </w:lvl>
    <w:lvl w:ilvl="1">
      <w:start w:val="0"/>
      <w:numFmt w:val="bullet"/>
      <w:lvlText w:val="•"/>
      <w:lvlJc w:val="left"/>
      <w:pPr>
        <w:ind w:left="1061" w:hanging="135"/>
      </w:pPr>
      <w:rPr>
        <w:rFonts w:hint="default"/>
        <w:lang w:val="en-US" w:eastAsia="en-US" w:bidi="ar-SA"/>
      </w:rPr>
    </w:lvl>
    <w:lvl w:ilvl="2">
      <w:start w:val="0"/>
      <w:numFmt w:val="bullet"/>
      <w:lvlText w:val="•"/>
      <w:lvlJc w:val="left"/>
      <w:pPr>
        <w:ind w:left="1983" w:hanging="135"/>
      </w:pPr>
      <w:rPr>
        <w:rFonts w:hint="default"/>
        <w:lang w:val="en-US" w:eastAsia="en-US" w:bidi="ar-SA"/>
      </w:rPr>
    </w:lvl>
    <w:lvl w:ilvl="3">
      <w:start w:val="0"/>
      <w:numFmt w:val="bullet"/>
      <w:lvlText w:val="•"/>
      <w:lvlJc w:val="left"/>
      <w:pPr>
        <w:ind w:left="2904" w:hanging="135"/>
      </w:pPr>
      <w:rPr>
        <w:rFonts w:hint="default"/>
        <w:lang w:val="en-US" w:eastAsia="en-US" w:bidi="ar-SA"/>
      </w:rPr>
    </w:lvl>
    <w:lvl w:ilvl="4">
      <w:start w:val="0"/>
      <w:numFmt w:val="bullet"/>
      <w:lvlText w:val="•"/>
      <w:lvlJc w:val="left"/>
      <w:pPr>
        <w:ind w:left="3826" w:hanging="135"/>
      </w:pPr>
      <w:rPr>
        <w:rFonts w:hint="default"/>
        <w:lang w:val="en-US" w:eastAsia="en-US" w:bidi="ar-SA"/>
      </w:rPr>
    </w:lvl>
    <w:lvl w:ilvl="5">
      <w:start w:val="0"/>
      <w:numFmt w:val="bullet"/>
      <w:lvlText w:val="•"/>
      <w:lvlJc w:val="left"/>
      <w:pPr>
        <w:ind w:left="4747" w:hanging="135"/>
      </w:pPr>
      <w:rPr>
        <w:rFonts w:hint="default"/>
        <w:lang w:val="en-US" w:eastAsia="en-US" w:bidi="ar-SA"/>
      </w:rPr>
    </w:lvl>
    <w:lvl w:ilvl="6">
      <w:start w:val="0"/>
      <w:numFmt w:val="bullet"/>
      <w:lvlText w:val="•"/>
      <w:lvlJc w:val="left"/>
      <w:pPr>
        <w:ind w:left="5669" w:hanging="135"/>
      </w:pPr>
      <w:rPr>
        <w:rFonts w:hint="default"/>
        <w:lang w:val="en-US" w:eastAsia="en-US" w:bidi="ar-SA"/>
      </w:rPr>
    </w:lvl>
    <w:lvl w:ilvl="7">
      <w:start w:val="0"/>
      <w:numFmt w:val="bullet"/>
      <w:lvlText w:val="•"/>
      <w:lvlJc w:val="left"/>
      <w:pPr>
        <w:ind w:left="6590" w:hanging="135"/>
      </w:pPr>
      <w:rPr>
        <w:rFonts w:hint="default"/>
        <w:lang w:val="en-US" w:eastAsia="en-US" w:bidi="ar-SA"/>
      </w:rPr>
    </w:lvl>
    <w:lvl w:ilvl="8">
      <w:start w:val="0"/>
      <w:numFmt w:val="bullet"/>
      <w:lvlText w:val="•"/>
      <w:lvlJc w:val="left"/>
      <w:pPr>
        <w:ind w:left="7512" w:hanging="135"/>
      </w:pPr>
      <w:rPr>
        <w:rFonts w:hint="default"/>
        <w:lang w:val="en-US" w:eastAsia="en-US" w:bidi="ar-SA"/>
      </w:rPr>
    </w:lvl>
  </w:abstractNum>
  <w:abstractNum w:abstractNumId="58">
    <w:multiLevelType w:val="hybridMultilevel"/>
    <w:lvl w:ilvl="0">
      <w:start w:val="5"/>
      <w:numFmt w:val="upperLetter"/>
      <w:lvlText w:val="%1"/>
      <w:lvlJc w:val="left"/>
      <w:pPr>
        <w:ind w:left="1402" w:hanging="694"/>
        <w:jc w:val="left"/>
      </w:pPr>
      <w:rPr>
        <w:rFonts w:hint="default"/>
        <w:lang w:val="en-US" w:eastAsia="en-US" w:bidi="ar-SA"/>
      </w:rPr>
    </w:lvl>
    <w:lvl w:ilvl="1">
      <w:start w:val="6"/>
      <w:numFmt w:val="decimal"/>
      <w:lvlText w:val="%1.%2"/>
      <w:lvlJc w:val="left"/>
      <w:pPr>
        <w:ind w:left="1402" w:hanging="694"/>
        <w:jc w:val="left"/>
      </w:pPr>
      <w:rPr>
        <w:rFonts w:hint="default" w:ascii="Times New Roman" w:hAnsi="Times New Roman" w:eastAsia="Times New Roman" w:cs="Times New Roman"/>
        <w:b/>
        <w:bCs/>
        <w:i w:val="0"/>
        <w:iCs w:val="0"/>
        <w:spacing w:val="0"/>
        <w:w w:val="102"/>
        <w:sz w:val="28"/>
        <w:szCs w:val="28"/>
        <w:lang w:val="en-US" w:eastAsia="en-US" w:bidi="ar-SA"/>
      </w:rPr>
    </w:lvl>
    <w:lvl w:ilvl="2">
      <w:start w:val="0"/>
      <w:numFmt w:val="bullet"/>
      <w:lvlText w:val="•"/>
      <w:lvlJc w:val="left"/>
      <w:pPr>
        <w:ind w:left="709" w:hanging="149"/>
      </w:pPr>
      <w:rPr>
        <w:rFonts w:hint="default" w:ascii="Times New Roman" w:hAnsi="Times New Roman" w:eastAsia="Times New Roman" w:cs="Times New Roman"/>
        <w:b w:val="0"/>
        <w:bCs w:val="0"/>
        <w:i w:val="0"/>
        <w:iCs w:val="0"/>
        <w:spacing w:val="0"/>
        <w:w w:val="101"/>
        <w:sz w:val="22"/>
        <w:szCs w:val="22"/>
        <w:lang w:val="en-US" w:eastAsia="en-US" w:bidi="ar-SA"/>
      </w:rPr>
    </w:lvl>
    <w:lvl w:ilvl="3">
      <w:start w:val="0"/>
      <w:numFmt w:val="bullet"/>
      <w:lvlText w:val="•"/>
      <w:lvlJc w:val="left"/>
      <w:pPr>
        <w:ind w:left="3167" w:hanging="149"/>
      </w:pPr>
      <w:rPr>
        <w:rFonts w:hint="default"/>
        <w:lang w:val="en-US" w:eastAsia="en-US" w:bidi="ar-SA"/>
      </w:rPr>
    </w:lvl>
    <w:lvl w:ilvl="4">
      <w:start w:val="0"/>
      <w:numFmt w:val="bullet"/>
      <w:lvlText w:val="•"/>
      <w:lvlJc w:val="left"/>
      <w:pPr>
        <w:ind w:left="4051" w:hanging="149"/>
      </w:pPr>
      <w:rPr>
        <w:rFonts w:hint="default"/>
        <w:lang w:val="en-US" w:eastAsia="en-US" w:bidi="ar-SA"/>
      </w:rPr>
    </w:lvl>
    <w:lvl w:ilvl="5">
      <w:start w:val="0"/>
      <w:numFmt w:val="bullet"/>
      <w:lvlText w:val="•"/>
      <w:lvlJc w:val="left"/>
      <w:pPr>
        <w:ind w:left="4935" w:hanging="149"/>
      </w:pPr>
      <w:rPr>
        <w:rFonts w:hint="default"/>
        <w:lang w:val="en-US" w:eastAsia="en-US" w:bidi="ar-SA"/>
      </w:rPr>
    </w:lvl>
    <w:lvl w:ilvl="6">
      <w:start w:val="0"/>
      <w:numFmt w:val="bullet"/>
      <w:lvlText w:val="•"/>
      <w:lvlJc w:val="left"/>
      <w:pPr>
        <w:ind w:left="5819" w:hanging="149"/>
      </w:pPr>
      <w:rPr>
        <w:rFonts w:hint="default"/>
        <w:lang w:val="en-US" w:eastAsia="en-US" w:bidi="ar-SA"/>
      </w:rPr>
    </w:lvl>
    <w:lvl w:ilvl="7">
      <w:start w:val="0"/>
      <w:numFmt w:val="bullet"/>
      <w:lvlText w:val="•"/>
      <w:lvlJc w:val="left"/>
      <w:pPr>
        <w:ind w:left="6703" w:hanging="149"/>
      </w:pPr>
      <w:rPr>
        <w:rFonts w:hint="default"/>
        <w:lang w:val="en-US" w:eastAsia="en-US" w:bidi="ar-SA"/>
      </w:rPr>
    </w:lvl>
    <w:lvl w:ilvl="8">
      <w:start w:val="0"/>
      <w:numFmt w:val="bullet"/>
      <w:lvlText w:val="•"/>
      <w:lvlJc w:val="left"/>
      <w:pPr>
        <w:ind w:left="7587" w:hanging="149"/>
      </w:pPr>
      <w:rPr>
        <w:rFonts w:hint="default"/>
        <w:lang w:val="en-US" w:eastAsia="en-US" w:bidi="ar-SA"/>
      </w:rPr>
    </w:lvl>
  </w:abstractNum>
  <w:abstractNum w:abstractNumId="57">
    <w:multiLevelType w:val="hybridMultilevel"/>
    <w:lvl w:ilvl="0">
      <w:start w:val="0"/>
      <w:numFmt w:val="bullet"/>
      <w:lvlText w:val="•"/>
      <w:lvlJc w:val="left"/>
      <w:pPr>
        <w:ind w:left="142" w:hanging="132"/>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1061" w:hanging="132"/>
      </w:pPr>
      <w:rPr>
        <w:rFonts w:hint="default"/>
        <w:lang w:val="en-US" w:eastAsia="en-US" w:bidi="ar-SA"/>
      </w:rPr>
    </w:lvl>
    <w:lvl w:ilvl="2">
      <w:start w:val="0"/>
      <w:numFmt w:val="bullet"/>
      <w:lvlText w:val="•"/>
      <w:lvlJc w:val="left"/>
      <w:pPr>
        <w:ind w:left="1983" w:hanging="132"/>
      </w:pPr>
      <w:rPr>
        <w:rFonts w:hint="default"/>
        <w:lang w:val="en-US" w:eastAsia="en-US" w:bidi="ar-SA"/>
      </w:rPr>
    </w:lvl>
    <w:lvl w:ilvl="3">
      <w:start w:val="0"/>
      <w:numFmt w:val="bullet"/>
      <w:lvlText w:val="•"/>
      <w:lvlJc w:val="left"/>
      <w:pPr>
        <w:ind w:left="2904" w:hanging="132"/>
      </w:pPr>
      <w:rPr>
        <w:rFonts w:hint="default"/>
        <w:lang w:val="en-US" w:eastAsia="en-US" w:bidi="ar-SA"/>
      </w:rPr>
    </w:lvl>
    <w:lvl w:ilvl="4">
      <w:start w:val="0"/>
      <w:numFmt w:val="bullet"/>
      <w:lvlText w:val="•"/>
      <w:lvlJc w:val="left"/>
      <w:pPr>
        <w:ind w:left="3826" w:hanging="132"/>
      </w:pPr>
      <w:rPr>
        <w:rFonts w:hint="default"/>
        <w:lang w:val="en-US" w:eastAsia="en-US" w:bidi="ar-SA"/>
      </w:rPr>
    </w:lvl>
    <w:lvl w:ilvl="5">
      <w:start w:val="0"/>
      <w:numFmt w:val="bullet"/>
      <w:lvlText w:val="•"/>
      <w:lvlJc w:val="left"/>
      <w:pPr>
        <w:ind w:left="4747" w:hanging="132"/>
      </w:pPr>
      <w:rPr>
        <w:rFonts w:hint="default"/>
        <w:lang w:val="en-US" w:eastAsia="en-US" w:bidi="ar-SA"/>
      </w:rPr>
    </w:lvl>
    <w:lvl w:ilvl="6">
      <w:start w:val="0"/>
      <w:numFmt w:val="bullet"/>
      <w:lvlText w:val="•"/>
      <w:lvlJc w:val="left"/>
      <w:pPr>
        <w:ind w:left="5669" w:hanging="132"/>
      </w:pPr>
      <w:rPr>
        <w:rFonts w:hint="default"/>
        <w:lang w:val="en-US" w:eastAsia="en-US" w:bidi="ar-SA"/>
      </w:rPr>
    </w:lvl>
    <w:lvl w:ilvl="7">
      <w:start w:val="0"/>
      <w:numFmt w:val="bullet"/>
      <w:lvlText w:val="•"/>
      <w:lvlJc w:val="left"/>
      <w:pPr>
        <w:ind w:left="6590" w:hanging="132"/>
      </w:pPr>
      <w:rPr>
        <w:rFonts w:hint="default"/>
        <w:lang w:val="en-US" w:eastAsia="en-US" w:bidi="ar-SA"/>
      </w:rPr>
    </w:lvl>
    <w:lvl w:ilvl="8">
      <w:start w:val="0"/>
      <w:numFmt w:val="bullet"/>
      <w:lvlText w:val="•"/>
      <w:lvlJc w:val="left"/>
      <w:pPr>
        <w:ind w:left="7512" w:hanging="132"/>
      </w:pPr>
      <w:rPr>
        <w:rFonts w:hint="default"/>
        <w:lang w:val="en-US" w:eastAsia="en-US" w:bidi="ar-SA"/>
      </w:rPr>
    </w:lvl>
  </w:abstractNum>
  <w:abstractNum w:abstractNumId="56">
    <w:multiLevelType w:val="hybridMultilevel"/>
    <w:lvl w:ilvl="0">
      <w:start w:val="5"/>
      <w:numFmt w:val="upperLetter"/>
      <w:lvlText w:val="%1"/>
      <w:lvlJc w:val="left"/>
      <w:pPr>
        <w:ind w:left="1053" w:hanging="352"/>
        <w:jc w:val="left"/>
      </w:pPr>
      <w:rPr>
        <w:rFonts w:hint="default"/>
        <w:lang w:val="en-US" w:eastAsia="en-US" w:bidi="ar-SA"/>
      </w:rPr>
    </w:lvl>
    <w:lvl w:ilvl="1">
      <w:start w:val="3"/>
      <w:numFmt w:val="decimal"/>
      <w:lvlText w:val="%1.%2"/>
      <w:lvlJc w:val="left"/>
      <w:pPr>
        <w:ind w:left="1053" w:hanging="352"/>
        <w:jc w:val="left"/>
      </w:pPr>
      <w:rPr>
        <w:rFonts w:hint="default" w:ascii="Cambria" w:hAnsi="Cambria" w:eastAsia="Cambria" w:cs="Cambria"/>
        <w:b w:val="0"/>
        <w:bCs w:val="0"/>
        <w:i/>
        <w:iCs/>
        <w:spacing w:val="0"/>
        <w:w w:val="104"/>
        <w:sz w:val="22"/>
        <w:szCs w:val="22"/>
        <w:lang w:val="en-US" w:eastAsia="en-US" w:bidi="ar-SA"/>
      </w:rPr>
    </w:lvl>
    <w:lvl w:ilvl="2">
      <w:start w:val="0"/>
      <w:numFmt w:val="bullet"/>
      <w:lvlText w:val="•"/>
      <w:lvlJc w:val="left"/>
      <w:pPr>
        <w:ind w:left="2719" w:hanging="352"/>
      </w:pPr>
      <w:rPr>
        <w:rFonts w:hint="default"/>
        <w:lang w:val="en-US" w:eastAsia="en-US" w:bidi="ar-SA"/>
      </w:rPr>
    </w:lvl>
    <w:lvl w:ilvl="3">
      <w:start w:val="0"/>
      <w:numFmt w:val="bullet"/>
      <w:lvlText w:val="•"/>
      <w:lvlJc w:val="left"/>
      <w:pPr>
        <w:ind w:left="3548" w:hanging="352"/>
      </w:pPr>
      <w:rPr>
        <w:rFonts w:hint="default"/>
        <w:lang w:val="en-US" w:eastAsia="en-US" w:bidi="ar-SA"/>
      </w:rPr>
    </w:lvl>
    <w:lvl w:ilvl="4">
      <w:start w:val="0"/>
      <w:numFmt w:val="bullet"/>
      <w:lvlText w:val="•"/>
      <w:lvlJc w:val="left"/>
      <w:pPr>
        <w:ind w:left="4378" w:hanging="352"/>
      </w:pPr>
      <w:rPr>
        <w:rFonts w:hint="default"/>
        <w:lang w:val="en-US" w:eastAsia="en-US" w:bidi="ar-SA"/>
      </w:rPr>
    </w:lvl>
    <w:lvl w:ilvl="5">
      <w:start w:val="0"/>
      <w:numFmt w:val="bullet"/>
      <w:lvlText w:val="•"/>
      <w:lvlJc w:val="left"/>
      <w:pPr>
        <w:ind w:left="5207" w:hanging="352"/>
      </w:pPr>
      <w:rPr>
        <w:rFonts w:hint="default"/>
        <w:lang w:val="en-US" w:eastAsia="en-US" w:bidi="ar-SA"/>
      </w:rPr>
    </w:lvl>
    <w:lvl w:ilvl="6">
      <w:start w:val="0"/>
      <w:numFmt w:val="bullet"/>
      <w:lvlText w:val="•"/>
      <w:lvlJc w:val="left"/>
      <w:pPr>
        <w:ind w:left="6037" w:hanging="352"/>
      </w:pPr>
      <w:rPr>
        <w:rFonts w:hint="default"/>
        <w:lang w:val="en-US" w:eastAsia="en-US" w:bidi="ar-SA"/>
      </w:rPr>
    </w:lvl>
    <w:lvl w:ilvl="7">
      <w:start w:val="0"/>
      <w:numFmt w:val="bullet"/>
      <w:lvlText w:val="•"/>
      <w:lvlJc w:val="left"/>
      <w:pPr>
        <w:ind w:left="6866" w:hanging="352"/>
      </w:pPr>
      <w:rPr>
        <w:rFonts w:hint="default"/>
        <w:lang w:val="en-US" w:eastAsia="en-US" w:bidi="ar-SA"/>
      </w:rPr>
    </w:lvl>
    <w:lvl w:ilvl="8">
      <w:start w:val="0"/>
      <w:numFmt w:val="bullet"/>
      <w:lvlText w:val="•"/>
      <w:lvlJc w:val="left"/>
      <w:pPr>
        <w:ind w:left="7696" w:hanging="352"/>
      </w:pPr>
      <w:rPr>
        <w:rFonts w:hint="default"/>
        <w:lang w:val="en-US" w:eastAsia="en-US" w:bidi="ar-SA"/>
      </w:rPr>
    </w:lvl>
  </w:abstractNum>
  <w:abstractNum w:abstractNumId="55">
    <w:multiLevelType w:val="hybridMultilevel"/>
    <w:lvl w:ilvl="0">
      <w:start w:val="5"/>
      <w:numFmt w:val="upperLetter"/>
      <w:lvlText w:val="%1"/>
      <w:lvlJc w:val="left"/>
      <w:pPr>
        <w:ind w:left="1402" w:hanging="694"/>
        <w:jc w:val="left"/>
      </w:pPr>
      <w:rPr>
        <w:rFonts w:hint="default"/>
        <w:lang w:val="en-US" w:eastAsia="en-US" w:bidi="ar-SA"/>
      </w:rPr>
    </w:lvl>
    <w:lvl w:ilvl="1">
      <w:start w:val="1"/>
      <w:numFmt w:val="decimal"/>
      <w:lvlText w:val="%1.%2"/>
      <w:lvlJc w:val="left"/>
      <w:pPr>
        <w:ind w:left="1402" w:hanging="694"/>
        <w:jc w:val="right"/>
      </w:pPr>
      <w:rPr>
        <w:rFonts w:hint="default" w:ascii="Times New Roman" w:hAnsi="Times New Roman" w:eastAsia="Times New Roman" w:cs="Times New Roman"/>
        <w:b/>
        <w:bCs/>
        <w:i w:val="0"/>
        <w:iCs w:val="0"/>
        <w:spacing w:val="0"/>
        <w:w w:val="102"/>
        <w:sz w:val="28"/>
        <w:szCs w:val="28"/>
        <w:lang w:val="en-US" w:eastAsia="en-US" w:bidi="ar-SA"/>
      </w:rPr>
    </w:lvl>
    <w:lvl w:ilvl="2">
      <w:start w:val="1"/>
      <w:numFmt w:val="decimal"/>
      <w:lvlText w:val="%1.%2.%3"/>
      <w:lvlJc w:val="left"/>
      <w:pPr>
        <w:ind w:left="899" w:hanging="758"/>
        <w:jc w:val="righ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3167" w:hanging="758"/>
      </w:pPr>
      <w:rPr>
        <w:rFonts w:hint="default"/>
        <w:lang w:val="en-US" w:eastAsia="en-US" w:bidi="ar-SA"/>
      </w:rPr>
    </w:lvl>
    <w:lvl w:ilvl="4">
      <w:start w:val="0"/>
      <w:numFmt w:val="bullet"/>
      <w:lvlText w:val="•"/>
      <w:lvlJc w:val="left"/>
      <w:pPr>
        <w:ind w:left="4051" w:hanging="758"/>
      </w:pPr>
      <w:rPr>
        <w:rFonts w:hint="default"/>
        <w:lang w:val="en-US" w:eastAsia="en-US" w:bidi="ar-SA"/>
      </w:rPr>
    </w:lvl>
    <w:lvl w:ilvl="5">
      <w:start w:val="0"/>
      <w:numFmt w:val="bullet"/>
      <w:lvlText w:val="•"/>
      <w:lvlJc w:val="left"/>
      <w:pPr>
        <w:ind w:left="4935" w:hanging="758"/>
      </w:pPr>
      <w:rPr>
        <w:rFonts w:hint="default"/>
        <w:lang w:val="en-US" w:eastAsia="en-US" w:bidi="ar-SA"/>
      </w:rPr>
    </w:lvl>
    <w:lvl w:ilvl="6">
      <w:start w:val="0"/>
      <w:numFmt w:val="bullet"/>
      <w:lvlText w:val="•"/>
      <w:lvlJc w:val="left"/>
      <w:pPr>
        <w:ind w:left="5819" w:hanging="758"/>
      </w:pPr>
      <w:rPr>
        <w:rFonts w:hint="default"/>
        <w:lang w:val="en-US" w:eastAsia="en-US" w:bidi="ar-SA"/>
      </w:rPr>
    </w:lvl>
    <w:lvl w:ilvl="7">
      <w:start w:val="0"/>
      <w:numFmt w:val="bullet"/>
      <w:lvlText w:val="•"/>
      <w:lvlJc w:val="left"/>
      <w:pPr>
        <w:ind w:left="6703" w:hanging="758"/>
      </w:pPr>
      <w:rPr>
        <w:rFonts w:hint="default"/>
        <w:lang w:val="en-US" w:eastAsia="en-US" w:bidi="ar-SA"/>
      </w:rPr>
    </w:lvl>
    <w:lvl w:ilvl="8">
      <w:start w:val="0"/>
      <w:numFmt w:val="bullet"/>
      <w:lvlText w:val="•"/>
      <w:lvlJc w:val="left"/>
      <w:pPr>
        <w:ind w:left="7587" w:hanging="758"/>
      </w:pPr>
      <w:rPr>
        <w:rFonts w:hint="default"/>
        <w:lang w:val="en-US" w:eastAsia="en-US" w:bidi="ar-SA"/>
      </w:rPr>
    </w:lvl>
  </w:abstractNum>
  <w:abstractNum w:abstractNumId="54">
    <w:multiLevelType w:val="hybridMultilevel"/>
    <w:lvl w:ilvl="0">
      <w:start w:val="0"/>
      <w:numFmt w:val="bullet"/>
      <w:lvlText w:val="◦"/>
      <w:lvlJc w:val="left"/>
      <w:pPr>
        <w:ind w:left="138" w:hanging="80"/>
      </w:pPr>
      <w:rPr>
        <w:rFonts w:hint="default" w:ascii="Meiryo UI" w:hAnsi="Meiryo UI" w:eastAsia="Meiryo UI" w:cs="Meiryo UI"/>
        <w:b w:val="0"/>
        <w:bCs w:val="0"/>
        <w:i/>
        <w:iCs/>
        <w:spacing w:val="9"/>
        <w:w w:val="40"/>
        <w:sz w:val="12"/>
        <w:szCs w:val="12"/>
        <w:lang w:val="en-US" w:eastAsia="en-US" w:bidi="ar-SA"/>
      </w:rPr>
    </w:lvl>
    <w:lvl w:ilvl="1">
      <w:start w:val="0"/>
      <w:numFmt w:val="bullet"/>
      <w:lvlText w:val="•"/>
      <w:lvlJc w:val="left"/>
      <w:pPr>
        <w:ind w:left="177" w:hanging="80"/>
      </w:pPr>
      <w:rPr>
        <w:rFonts w:hint="default"/>
        <w:lang w:val="en-US" w:eastAsia="en-US" w:bidi="ar-SA"/>
      </w:rPr>
    </w:lvl>
    <w:lvl w:ilvl="2">
      <w:start w:val="0"/>
      <w:numFmt w:val="bullet"/>
      <w:lvlText w:val="•"/>
      <w:lvlJc w:val="left"/>
      <w:pPr>
        <w:ind w:left="214" w:hanging="80"/>
      </w:pPr>
      <w:rPr>
        <w:rFonts w:hint="default"/>
        <w:lang w:val="en-US" w:eastAsia="en-US" w:bidi="ar-SA"/>
      </w:rPr>
    </w:lvl>
    <w:lvl w:ilvl="3">
      <w:start w:val="0"/>
      <w:numFmt w:val="bullet"/>
      <w:lvlText w:val="•"/>
      <w:lvlJc w:val="left"/>
      <w:pPr>
        <w:ind w:left="252" w:hanging="80"/>
      </w:pPr>
      <w:rPr>
        <w:rFonts w:hint="default"/>
        <w:lang w:val="en-US" w:eastAsia="en-US" w:bidi="ar-SA"/>
      </w:rPr>
    </w:lvl>
    <w:lvl w:ilvl="4">
      <w:start w:val="0"/>
      <w:numFmt w:val="bullet"/>
      <w:lvlText w:val="•"/>
      <w:lvlJc w:val="left"/>
      <w:pPr>
        <w:ind w:left="289" w:hanging="80"/>
      </w:pPr>
      <w:rPr>
        <w:rFonts w:hint="default"/>
        <w:lang w:val="en-US" w:eastAsia="en-US" w:bidi="ar-SA"/>
      </w:rPr>
    </w:lvl>
    <w:lvl w:ilvl="5">
      <w:start w:val="0"/>
      <w:numFmt w:val="bullet"/>
      <w:lvlText w:val="•"/>
      <w:lvlJc w:val="left"/>
      <w:pPr>
        <w:ind w:left="327" w:hanging="80"/>
      </w:pPr>
      <w:rPr>
        <w:rFonts w:hint="default"/>
        <w:lang w:val="en-US" w:eastAsia="en-US" w:bidi="ar-SA"/>
      </w:rPr>
    </w:lvl>
    <w:lvl w:ilvl="6">
      <w:start w:val="0"/>
      <w:numFmt w:val="bullet"/>
      <w:lvlText w:val="•"/>
      <w:lvlJc w:val="left"/>
      <w:pPr>
        <w:ind w:left="364" w:hanging="80"/>
      </w:pPr>
      <w:rPr>
        <w:rFonts w:hint="default"/>
        <w:lang w:val="en-US" w:eastAsia="en-US" w:bidi="ar-SA"/>
      </w:rPr>
    </w:lvl>
    <w:lvl w:ilvl="7">
      <w:start w:val="0"/>
      <w:numFmt w:val="bullet"/>
      <w:lvlText w:val="•"/>
      <w:lvlJc w:val="left"/>
      <w:pPr>
        <w:ind w:left="401" w:hanging="80"/>
      </w:pPr>
      <w:rPr>
        <w:rFonts w:hint="default"/>
        <w:lang w:val="en-US" w:eastAsia="en-US" w:bidi="ar-SA"/>
      </w:rPr>
    </w:lvl>
    <w:lvl w:ilvl="8">
      <w:start w:val="0"/>
      <w:numFmt w:val="bullet"/>
      <w:lvlText w:val="•"/>
      <w:lvlJc w:val="left"/>
      <w:pPr>
        <w:ind w:left="439" w:hanging="80"/>
      </w:pPr>
      <w:rPr>
        <w:rFonts w:hint="default"/>
        <w:lang w:val="en-US" w:eastAsia="en-US" w:bidi="ar-SA"/>
      </w:rPr>
    </w:lvl>
  </w:abstractNum>
  <w:abstractNum w:abstractNumId="53">
    <w:multiLevelType w:val="hybridMultilevel"/>
    <w:lvl w:ilvl="0">
      <w:start w:val="0"/>
      <w:numFmt w:val="bullet"/>
      <w:lvlText w:val="◦"/>
      <w:lvlJc w:val="left"/>
      <w:pPr>
        <w:ind w:left="138" w:hanging="80"/>
      </w:pPr>
      <w:rPr>
        <w:rFonts w:hint="default" w:ascii="Meiryo UI" w:hAnsi="Meiryo UI" w:eastAsia="Meiryo UI" w:cs="Meiryo UI"/>
        <w:b w:val="0"/>
        <w:bCs w:val="0"/>
        <w:i/>
        <w:iCs/>
        <w:spacing w:val="9"/>
        <w:w w:val="40"/>
        <w:sz w:val="12"/>
        <w:szCs w:val="12"/>
        <w:lang w:val="en-US" w:eastAsia="en-US" w:bidi="ar-SA"/>
      </w:rPr>
    </w:lvl>
    <w:lvl w:ilvl="1">
      <w:start w:val="0"/>
      <w:numFmt w:val="bullet"/>
      <w:lvlText w:val="•"/>
      <w:lvlJc w:val="left"/>
      <w:pPr>
        <w:ind w:left="177" w:hanging="80"/>
      </w:pPr>
      <w:rPr>
        <w:rFonts w:hint="default"/>
        <w:lang w:val="en-US" w:eastAsia="en-US" w:bidi="ar-SA"/>
      </w:rPr>
    </w:lvl>
    <w:lvl w:ilvl="2">
      <w:start w:val="0"/>
      <w:numFmt w:val="bullet"/>
      <w:lvlText w:val="•"/>
      <w:lvlJc w:val="left"/>
      <w:pPr>
        <w:ind w:left="214" w:hanging="80"/>
      </w:pPr>
      <w:rPr>
        <w:rFonts w:hint="default"/>
        <w:lang w:val="en-US" w:eastAsia="en-US" w:bidi="ar-SA"/>
      </w:rPr>
    </w:lvl>
    <w:lvl w:ilvl="3">
      <w:start w:val="0"/>
      <w:numFmt w:val="bullet"/>
      <w:lvlText w:val="•"/>
      <w:lvlJc w:val="left"/>
      <w:pPr>
        <w:ind w:left="252" w:hanging="80"/>
      </w:pPr>
      <w:rPr>
        <w:rFonts w:hint="default"/>
        <w:lang w:val="en-US" w:eastAsia="en-US" w:bidi="ar-SA"/>
      </w:rPr>
    </w:lvl>
    <w:lvl w:ilvl="4">
      <w:start w:val="0"/>
      <w:numFmt w:val="bullet"/>
      <w:lvlText w:val="•"/>
      <w:lvlJc w:val="left"/>
      <w:pPr>
        <w:ind w:left="289" w:hanging="80"/>
      </w:pPr>
      <w:rPr>
        <w:rFonts w:hint="default"/>
        <w:lang w:val="en-US" w:eastAsia="en-US" w:bidi="ar-SA"/>
      </w:rPr>
    </w:lvl>
    <w:lvl w:ilvl="5">
      <w:start w:val="0"/>
      <w:numFmt w:val="bullet"/>
      <w:lvlText w:val="•"/>
      <w:lvlJc w:val="left"/>
      <w:pPr>
        <w:ind w:left="327" w:hanging="80"/>
      </w:pPr>
      <w:rPr>
        <w:rFonts w:hint="default"/>
        <w:lang w:val="en-US" w:eastAsia="en-US" w:bidi="ar-SA"/>
      </w:rPr>
    </w:lvl>
    <w:lvl w:ilvl="6">
      <w:start w:val="0"/>
      <w:numFmt w:val="bullet"/>
      <w:lvlText w:val="•"/>
      <w:lvlJc w:val="left"/>
      <w:pPr>
        <w:ind w:left="364" w:hanging="80"/>
      </w:pPr>
      <w:rPr>
        <w:rFonts w:hint="default"/>
        <w:lang w:val="en-US" w:eastAsia="en-US" w:bidi="ar-SA"/>
      </w:rPr>
    </w:lvl>
    <w:lvl w:ilvl="7">
      <w:start w:val="0"/>
      <w:numFmt w:val="bullet"/>
      <w:lvlText w:val="•"/>
      <w:lvlJc w:val="left"/>
      <w:pPr>
        <w:ind w:left="401" w:hanging="80"/>
      </w:pPr>
      <w:rPr>
        <w:rFonts w:hint="default"/>
        <w:lang w:val="en-US" w:eastAsia="en-US" w:bidi="ar-SA"/>
      </w:rPr>
    </w:lvl>
    <w:lvl w:ilvl="8">
      <w:start w:val="0"/>
      <w:numFmt w:val="bullet"/>
      <w:lvlText w:val="•"/>
      <w:lvlJc w:val="left"/>
      <w:pPr>
        <w:ind w:left="439" w:hanging="80"/>
      </w:pPr>
      <w:rPr>
        <w:rFonts w:hint="default"/>
        <w:lang w:val="en-US" w:eastAsia="en-US" w:bidi="ar-SA"/>
      </w:rPr>
    </w:lvl>
  </w:abstractNum>
  <w:abstractNum w:abstractNumId="52">
    <w:multiLevelType w:val="hybridMultilevel"/>
    <w:lvl w:ilvl="0">
      <w:start w:val="0"/>
      <w:numFmt w:val="bullet"/>
      <w:lvlText w:val="◦"/>
      <w:lvlJc w:val="left"/>
      <w:pPr>
        <w:ind w:left="138" w:hanging="80"/>
      </w:pPr>
      <w:rPr>
        <w:rFonts w:hint="default" w:ascii="Meiryo UI" w:hAnsi="Meiryo UI" w:eastAsia="Meiryo UI" w:cs="Meiryo UI"/>
        <w:b w:val="0"/>
        <w:bCs w:val="0"/>
        <w:i/>
        <w:iCs/>
        <w:spacing w:val="9"/>
        <w:w w:val="40"/>
        <w:sz w:val="12"/>
        <w:szCs w:val="12"/>
        <w:lang w:val="en-US" w:eastAsia="en-US" w:bidi="ar-SA"/>
      </w:rPr>
    </w:lvl>
    <w:lvl w:ilvl="1">
      <w:start w:val="0"/>
      <w:numFmt w:val="bullet"/>
      <w:lvlText w:val="•"/>
      <w:lvlJc w:val="left"/>
      <w:pPr>
        <w:ind w:left="177" w:hanging="80"/>
      </w:pPr>
      <w:rPr>
        <w:rFonts w:hint="default"/>
        <w:lang w:val="en-US" w:eastAsia="en-US" w:bidi="ar-SA"/>
      </w:rPr>
    </w:lvl>
    <w:lvl w:ilvl="2">
      <w:start w:val="0"/>
      <w:numFmt w:val="bullet"/>
      <w:lvlText w:val="•"/>
      <w:lvlJc w:val="left"/>
      <w:pPr>
        <w:ind w:left="214" w:hanging="80"/>
      </w:pPr>
      <w:rPr>
        <w:rFonts w:hint="default"/>
        <w:lang w:val="en-US" w:eastAsia="en-US" w:bidi="ar-SA"/>
      </w:rPr>
    </w:lvl>
    <w:lvl w:ilvl="3">
      <w:start w:val="0"/>
      <w:numFmt w:val="bullet"/>
      <w:lvlText w:val="•"/>
      <w:lvlJc w:val="left"/>
      <w:pPr>
        <w:ind w:left="252" w:hanging="80"/>
      </w:pPr>
      <w:rPr>
        <w:rFonts w:hint="default"/>
        <w:lang w:val="en-US" w:eastAsia="en-US" w:bidi="ar-SA"/>
      </w:rPr>
    </w:lvl>
    <w:lvl w:ilvl="4">
      <w:start w:val="0"/>
      <w:numFmt w:val="bullet"/>
      <w:lvlText w:val="•"/>
      <w:lvlJc w:val="left"/>
      <w:pPr>
        <w:ind w:left="289" w:hanging="80"/>
      </w:pPr>
      <w:rPr>
        <w:rFonts w:hint="default"/>
        <w:lang w:val="en-US" w:eastAsia="en-US" w:bidi="ar-SA"/>
      </w:rPr>
    </w:lvl>
    <w:lvl w:ilvl="5">
      <w:start w:val="0"/>
      <w:numFmt w:val="bullet"/>
      <w:lvlText w:val="•"/>
      <w:lvlJc w:val="left"/>
      <w:pPr>
        <w:ind w:left="327" w:hanging="80"/>
      </w:pPr>
      <w:rPr>
        <w:rFonts w:hint="default"/>
        <w:lang w:val="en-US" w:eastAsia="en-US" w:bidi="ar-SA"/>
      </w:rPr>
    </w:lvl>
    <w:lvl w:ilvl="6">
      <w:start w:val="0"/>
      <w:numFmt w:val="bullet"/>
      <w:lvlText w:val="•"/>
      <w:lvlJc w:val="left"/>
      <w:pPr>
        <w:ind w:left="364" w:hanging="80"/>
      </w:pPr>
      <w:rPr>
        <w:rFonts w:hint="default"/>
        <w:lang w:val="en-US" w:eastAsia="en-US" w:bidi="ar-SA"/>
      </w:rPr>
    </w:lvl>
    <w:lvl w:ilvl="7">
      <w:start w:val="0"/>
      <w:numFmt w:val="bullet"/>
      <w:lvlText w:val="•"/>
      <w:lvlJc w:val="left"/>
      <w:pPr>
        <w:ind w:left="401" w:hanging="80"/>
      </w:pPr>
      <w:rPr>
        <w:rFonts w:hint="default"/>
        <w:lang w:val="en-US" w:eastAsia="en-US" w:bidi="ar-SA"/>
      </w:rPr>
    </w:lvl>
    <w:lvl w:ilvl="8">
      <w:start w:val="0"/>
      <w:numFmt w:val="bullet"/>
      <w:lvlText w:val="•"/>
      <w:lvlJc w:val="left"/>
      <w:pPr>
        <w:ind w:left="439" w:hanging="80"/>
      </w:pPr>
      <w:rPr>
        <w:rFonts w:hint="default"/>
        <w:lang w:val="en-US" w:eastAsia="en-US" w:bidi="ar-SA"/>
      </w:rPr>
    </w:lvl>
  </w:abstractNum>
  <w:abstractNum w:abstractNumId="51">
    <w:multiLevelType w:val="hybridMultilevel"/>
    <w:lvl w:ilvl="0">
      <w:start w:val="0"/>
      <w:numFmt w:val="bullet"/>
      <w:lvlText w:val="◦"/>
      <w:lvlJc w:val="left"/>
      <w:pPr>
        <w:ind w:left="138" w:hanging="80"/>
      </w:pPr>
      <w:rPr>
        <w:rFonts w:hint="default" w:ascii="Meiryo UI" w:hAnsi="Meiryo UI" w:eastAsia="Meiryo UI" w:cs="Meiryo UI"/>
        <w:b w:val="0"/>
        <w:bCs w:val="0"/>
        <w:i/>
        <w:iCs/>
        <w:spacing w:val="9"/>
        <w:w w:val="40"/>
        <w:sz w:val="12"/>
        <w:szCs w:val="12"/>
        <w:lang w:val="en-US" w:eastAsia="en-US" w:bidi="ar-SA"/>
      </w:rPr>
    </w:lvl>
    <w:lvl w:ilvl="1">
      <w:start w:val="0"/>
      <w:numFmt w:val="bullet"/>
      <w:lvlText w:val="•"/>
      <w:lvlJc w:val="left"/>
      <w:pPr>
        <w:ind w:left="177" w:hanging="80"/>
      </w:pPr>
      <w:rPr>
        <w:rFonts w:hint="default"/>
        <w:lang w:val="en-US" w:eastAsia="en-US" w:bidi="ar-SA"/>
      </w:rPr>
    </w:lvl>
    <w:lvl w:ilvl="2">
      <w:start w:val="0"/>
      <w:numFmt w:val="bullet"/>
      <w:lvlText w:val="•"/>
      <w:lvlJc w:val="left"/>
      <w:pPr>
        <w:ind w:left="214" w:hanging="80"/>
      </w:pPr>
      <w:rPr>
        <w:rFonts w:hint="default"/>
        <w:lang w:val="en-US" w:eastAsia="en-US" w:bidi="ar-SA"/>
      </w:rPr>
    </w:lvl>
    <w:lvl w:ilvl="3">
      <w:start w:val="0"/>
      <w:numFmt w:val="bullet"/>
      <w:lvlText w:val="•"/>
      <w:lvlJc w:val="left"/>
      <w:pPr>
        <w:ind w:left="252" w:hanging="80"/>
      </w:pPr>
      <w:rPr>
        <w:rFonts w:hint="default"/>
        <w:lang w:val="en-US" w:eastAsia="en-US" w:bidi="ar-SA"/>
      </w:rPr>
    </w:lvl>
    <w:lvl w:ilvl="4">
      <w:start w:val="0"/>
      <w:numFmt w:val="bullet"/>
      <w:lvlText w:val="•"/>
      <w:lvlJc w:val="left"/>
      <w:pPr>
        <w:ind w:left="289" w:hanging="80"/>
      </w:pPr>
      <w:rPr>
        <w:rFonts w:hint="default"/>
        <w:lang w:val="en-US" w:eastAsia="en-US" w:bidi="ar-SA"/>
      </w:rPr>
    </w:lvl>
    <w:lvl w:ilvl="5">
      <w:start w:val="0"/>
      <w:numFmt w:val="bullet"/>
      <w:lvlText w:val="•"/>
      <w:lvlJc w:val="left"/>
      <w:pPr>
        <w:ind w:left="327" w:hanging="80"/>
      </w:pPr>
      <w:rPr>
        <w:rFonts w:hint="default"/>
        <w:lang w:val="en-US" w:eastAsia="en-US" w:bidi="ar-SA"/>
      </w:rPr>
    </w:lvl>
    <w:lvl w:ilvl="6">
      <w:start w:val="0"/>
      <w:numFmt w:val="bullet"/>
      <w:lvlText w:val="•"/>
      <w:lvlJc w:val="left"/>
      <w:pPr>
        <w:ind w:left="364" w:hanging="80"/>
      </w:pPr>
      <w:rPr>
        <w:rFonts w:hint="default"/>
        <w:lang w:val="en-US" w:eastAsia="en-US" w:bidi="ar-SA"/>
      </w:rPr>
    </w:lvl>
    <w:lvl w:ilvl="7">
      <w:start w:val="0"/>
      <w:numFmt w:val="bullet"/>
      <w:lvlText w:val="•"/>
      <w:lvlJc w:val="left"/>
      <w:pPr>
        <w:ind w:left="401" w:hanging="80"/>
      </w:pPr>
      <w:rPr>
        <w:rFonts w:hint="default"/>
        <w:lang w:val="en-US" w:eastAsia="en-US" w:bidi="ar-SA"/>
      </w:rPr>
    </w:lvl>
    <w:lvl w:ilvl="8">
      <w:start w:val="0"/>
      <w:numFmt w:val="bullet"/>
      <w:lvlText w:val="•"/>
      <w:lvlJc w:val="left"/>
      <w:pPr>
        <w:ind w:left="439" w:hanging="80"/>
      </w:pPr>
      <w:rPr>
        <w:rFonts w:hint="default"/>
        <w:lang w:val="en-US" w:eastAsia="en-US" w:bidi="ar-SA"/>
      </w:rPr>
    </w:lvl>
  </w:abstractNum>
  <w:abstractNum w:abstractNumId="50">
    <w:multiLevelType w:val="hybridMultilevel"/>
    <w:lvl w:ilvl="0">
      <w:start w:val="0"/>
      <w:numFmt w:val="bullet"/>
      <w:lvlText w:val="◦"/>
      <w:lvlJc w:val="left"/>
      <w:pPr>
        <w:ind w:left="138" w:hanging="80"/>
      </w:pPr>
      <w:rPr>
        <w:rFonts w:hint="default" w:ascii="Meiryo UI" w:hAnsi="Meiryo UI" w:eastAsia="Meiryo UI" w:cs="Meiryo UI"/>
        <w:b w:val="0"/>
        <w:bCs w:val="0"/>
        <w:i/>
        <w:iCs/>
        <w:spacing w:val="9"/>
        <w:w w:val="40"/>
        <w:sz w:val="12"/>
        <w:szCs w:val="12"/>
        <w:lang w:val="en-US" w:eastAsia="en-US" w:bidi="ar-SA"/>
      </w:rPr>
    </w:lvl>
    <w:lvl w:ilvl="1">
      <w:start w:val="0"/>
      <w:numFmt w:val="bullet"/>
      <w:lvlText w:val="•"/>
      <w:lvlJc w:val="left"/>
      <w:pPr>
        <w:ind w:left="177" w:hanging="80"/>
      </w:pPr>
      <w:rPr>
        <w:rFonts w:hint="default"/>
        <w:lang w:val="en-US" w:eastAsia="en-US" w:bidi="ar-SA"/>
      </w:rPr>
    </w:lvl>
    <w:lvl w:ilvl="2">
      <w:start w:val="0"/>
      <w:numFmt w:val="bullet"/>
      <w:lvlText w:val="•"/>
      <w:lvlJc w:val="left"/>
      <w:pPr>
        <w:ind w:left="214" w:hanging="80"/>
      </w:pPr>
      <w:rPr>
        <w:rFonts w:hint="default"/>
        <w:lang w:val="en-US" w:eastAsia="en-US" w:bidi="ar-SA"/>
      </w:rPr>
    </w:lvl>
    <w:lvl w:ilvl="3">
      <w:start w:val="0"/>
      <w:numFmt w:val="bullet"/>
      <w:lvlText w:val="•"/>
      <w:lvlJc w:val="left"/>
      <w:pPr>
        <w:ind w:left="252" w:hanging="80"/>
      </w:pPr>
      <w:rPr>
        <w:rFonts w:hint="default"/>
        <w:lang w:val="en-US" w:eastAsia="en-US" w:bidi="ar-SA"/>
      </w:rPr>
    </w:lvl>
    <w:lvl w:ilvl="4">
      <w:start w:val="0"/>
      <w:numFmt w:val="bullet"/>
      <w:lvlText w:val="•"/>
      <w:lvlJc w:val="left"/>
      <w:pPr>
        <w:ind w:left="289" w:hanging="80"/>
      </w:pPr>
      <w:rPr>
        <w:rFonts w:hint="default"/>
        <w:lang w:val="en-US" w:eastAsia="en-US" w:bidi="ar-SA"/>
      </w:rPr>
    </w:lvl>
    <w:lvl w:ilvl="5">
      <w:start w:val="0"/>
      <w:numFmt w:val="bullet"/>
      <w:lvlText w:val="•"/>
      <w:lvlJc w:val="left"/>
      <w:pPr>
        <w:ind w:left="327" w:hanging="80"/>
      </w:pPr>
      <w:rPr>
        <w:rFonts w:hint="default"/>
        <w:lang w:val="en-US" w:eastAsia="en-US" w:bidi="ar-SA"/>
      </w:rPr>
    </w:lvl>
    <w:lvl w:ilvl="6">
      <w:start w:val="0"/>
      <w:numFmt w:val="bullet"/>
      <w:lvlText w:val="•"/>
      <w:lvlJc w:val="left"/>
      <w:pPr>
        <w:ind w:left="364" w:hanging="80"/>
      </w:pPr>
      <w:rPr>
        <w:rFonts w:hint="default"/>
        <w:lang w:val="en-US" w:eastAsia="en-US" w:bidi="ar-SA"/>
      </w:rPr>
    </w:lvl>
    <w:lvl w:ilvl="7">
      <w:start w:val="0"/>
      <w:numFmt w:val="bullet"/>
      <w:lvlText w:val="•"/>
      <w:lvlJc w:val="left"/>
      <w:pPr>
        <w:ind w:left="401" w:hanging="80"/>
      </w:pPr>
      <w:rPr>
        <w:rFonts w:hint="default"/>
        <w:lang w:val="en-US" w:eastAsia="en-US" w:bidi="ar-SA"/>
      </w:rPr>
    </w:lvl>
    <w:lvl w:ilvl="8">
      <w:start w:val="0"/>
      <w:numFmt w:val="bullet"/>
      <w:lvlText w:val="•"/>
      <w:lvlJc w:val="left"/>
      <w:pPr>
        <w:ind w:left="439" w:hanging="80"/>
      </w:pPr>
      <w:rPr>
        <w:rFonts w:hint="default"/>
        <w:lang w:val="en-US" w:eastAsia="en-US" w:bidi="ar-SA"/>
      </w:rPr>
    </w:lvl>
  </w:abstractNum>
  <w:abstractNum w:abstractNumId="49">
    <w:multiLevelType w:val="hybridMultilevel"/>
    <w:lvl w:ilvl="0">
      <w:start w:val="0"/>
      <w:numFmt w:val="bullet"/>
      <w:lvlText w:val="◦"/>
      <w:lvlJc w:val="left"/>
      <w:pPr>
        <w:ind w:left="138" w:hanging="80"/>
      </w:pPr>
      <w:rPr>
        <w:rFonts w:hint="default" w:ascii="Meiryo UI" w:hAnsi="Meiryo UI" w:eastAsia="Meiryo UI" w:cs="Meiryo UI"/>
        <w:b w:val="0"/>
        <w:bCs w:val="0"/>
        <w:i/>
        <w:iCs/>
        <w:spacing w:val="9"/>
        <w:w w:val="40"/>
        <w:sz w:val="12"/>
        <w:szCs w:val="12"/>
        <w:lang w:val="en-US" w:eastAsia="en-US" w:bidi="ar-SA"/>
      </w:rPr>
    </w:lvl>
    <w:lvl w:ilvl="1">
      <w:start w:val="0"/>
      <w:numFmt w:val="bullet"/>
      <w:lvlText w:val="•"/>
      <w:lvlJc w:val="left"/>
      <w:pPr>
        <w:ind w:left="177" w:hanging="80"/>
      </w:pPr>
      <w:rPr>
        <w:rFonts w:hint="default"/>
        <w:lang w:val="en-US" w:eastAsia="en-US" w:bidi="ar-SA"/>
      </w:rPr>
    </w:lvl>
    <w:lvl w:ilvl="2">
      <w:start w:val="0"/>
      <w:numFmt w:val="bullet"/>
      <w:lvlText w:val="•"/>
      <w:lvlJc w:val="left"/>
      <w:pPr>
        <w:ind w:left="214" w:hanging="80"/>
      </w:pPr>
      <w:rPr>
        <w:rFonts w:hint="default"/>
        <w:lang w:val="en-US" w:eastAsia="en-US" w:bidi="ar-SA"/>
      </w:rPr>
    </w:lvl>
    <w:lvl w:ilvl="3">
      <w:start w:val="0"/>
      <w:numFmt w:val="bullet"/>
      <w:lvlText w:val="•"/>
      <w:lvlJc w:val="left"/>
      <w:pPr>
        <w:ind w:left="252" w:hanging="80"/>
      </w:pPr>
      <w:rPr>
        <w:rFonts w:hint="default"/>
        <w:lang w:val="en-US" w:eastAsia="en-US" w:bidi="ar-SA"/>
      </w:rPr>
    </w:lvl>
    <w:lvl w:ilvl="4">
      <w:start w:val="0"/>
      <w:numFmt w:val="bullet"/>
      <w:lvlText w:val="•"/>
      <w:lvlJc w:val="left"/>
      <w:pPr>
        <w:ind w:left="289" w:hanging="80"/>
      </w:pPr>
      <w:rPr>
        <w:rFonts w:hint="default"/>
        <w:lang w:val="en-US" w:eastAsia="en-US" w:bidi="ar-SA"/>
      </w:rPr>
    </w:lvl>
    <w:lvl w:ilvl="5">
      <w:start w:val="0"/>
      <w:numFmt w:val="bullet"/>
      <w:lvlText w:val="•"/>
      <w:lvlJc w:val="left"/>
      <w:pPr>
        <w:ind w:left="327" w:hanging="80"/>
      </w:pPr>
      <w:rPr>
        <w:rFonts w:hint="default"/>
        <w:lang w:val="en-US" w:eastAsia="en-US" w:bidi="ar-SA"/>
      </w:rPr>
    </w:lvl>
    <w:lvl w:ilvl="6">
      <w:start w:val="0"/>
      <w:numFmt w:val="bullet"/>
      <w:lvlText w:val="•"/>
      <w:lvlJc w:val="left"/>
      <w:pPr>
        <w:ind w:left="364" w:hanging="80"/>
      </w:pPr>
      <w:rPr>
        <w:rFonts w:hint="default"/>
        <w:lang w:val="en-US" w:eastAsia="en-US" w:bidi="ar-SA"/>
      </w:rPr>
    </w:lvl>
    <w:lvl w:ilvl="7">
      <w:start w:val="0"/>
      <w:numFmt w:val="bullet"/>
      <w:lvlText w:val="•"/>
      <w:lvlJc w:val="left"/>
      <w:pPr>
        <w:ind w:left="401" w:hanging="80"/>
      </w:pPr>
      <w:rPr>
        <w:rFonts w:hint="default"/>
        <w:lang w:val="en-US" w:eastAsia="en-US" w:bidi="ar-SA"/>
      </w:rPr>
    </w:lvl>
    <w:lvl w:ilvl="8">
      <w:start w:val="0"/>
      <w:numFmt w:val="bullet"/>
      <w:lvlText w:val="•"/>
      <w:lvlJc w:val="left"/>
      <w:pPr>
        <w:ind w:left="439" w:hanging="80"/>
      </w:pPr>
      <w:rPr>
        <w:rFonts w:hint="default"/>
        <w:lang w:val="en-US" w:eastAsia="en-US" w:bidi="ar-SA"/>
      </w:rPr>
    </w:lvl>
  </w:abstractNum>
  <w:abstractNum w:abstractNumId="48">
    <w:multiLevelType w:val="hybridMultilevel"/>
    <w:lvl w:ilvl="0">
      <w:start w:val="0"/>
      <w:numFmt w:val="bullet"/>
      <w:lvlText w:val="◦"/>
      <w:lvlJc w:val="left"/>
      <w:pPr>
        <w:ind w:left="138" w:hanging="80"/>
      </w:pPr>
      <w:rPr>
        <w:rFonts w:hint="default" w:ascii="Meiryo UI" w:hAnsi="Meiryo UI" w:eastAsia="Meiryo UI" w:cs="Meiryo UI"/>
        <w:b w:val="0"/>
        <w:bCs w:val="0"/>
        <w:i/>
        <w:iCs/>
        <w:spacing w:val="9"/>
        <w:w w:val="40"/>
        <w:sz w:val="12"/>
        <w:szCs w:val="12"/>
        <w:lang w:val="en-US" w:eastAsia="en-US" w:bidi="ar-SA"/>
      </w:rPr>
    </w:lvl>
    <w:lvl w:ilvl="1">
      <w:start w:val="0"/>
      <w:numFmt w:val="bullet"/>
      <w:lvlText w:val="•"/>
      <w:lvlJc w:val="left"/>
      <w:pPr>
        <w:ind w:left="177" w:hanging="80"/>
      </w:pPr>
      <w:rPr>
        <w:rFonts w:hint="default"/>
        <w:lang w:val="en-US" w:eastAsia="en-US" w:bidi="ar-SA"/>
      </w:rPr>
    </w:lvl>
    <w:lvl w:ilvl="2">
      <w:start w:val="0"/>
      <w:numFmt w:val="bullet"/>
      <w:lvlText w:val="•"/>
      <w:lvlJc w:val="left"/>
      <w:pPr>
        <w:ind w:left="214" w:hanging="80"/>
      </w:pPr>
      <w:rPr>
        <w:rFonts w:hint="default"/>
        <w:lang w:val="en-US" w:eastAsia="en-US" w:bidi="ar-SA"/>
      </w:rPr>
    </w:lvl>
    <w:lvl w:ilvl="3">
      <w:start w:val="0"/>
      <w:numFmt w:val="bullet"/>
      <w:lvlText w:val="•"/>
      <w:lvlJc w:val="left"/>
      <w:pPr>
        <w:ind w:left="252" w:hanging="80"/>
      </w:pPr>
      <w:rPr>
        <w:rFonts w:hint="default"/>
        <w:lang w:val="en-US" w:eastAsia="en-US" w:bidi="ar-SA"/>
      </w:rPr>
    </w:lvl>
    <w:lvl w:ilvl="4">
      <w:start w:val="0"/>
      <w:numFmt w:val="bullet"/>
      <w:lvlText w:val="•"/>
      <w:lvlJc w:val="left"/>
      <w:pPr>
        <w:ind w:left="289" w:hanging="80"/>
      </w:pPr>
      <w:rPr>
        <w:rFonts w:hint="default"/>
        <w:lang w:val="en-US" w:eastAsia="en-US" w:bidi="ar-SA"/>
      </w:rPr>
    </w:lvl>
    <w:lvl w:ilvl="5">
      <w:start w:val="0"/>
      <w:numFmt w:val="bullet"/>
      <w:lvlText w:val="•"/>
      <w:lvlJc w:val="left"/>
      <w:pPr>
        <w:ind w:left="327" w:hanging="80"/>
      </w:pPr>
      <w:rPr>
        <w:rFonts w:hint="default"/>
        <w:lang w:val="en-US" w:eastAsia="en-US" w:bidi="ar-SA"/>
      </w:rPr>
    </w:lvl>
    <w:lvl w:ilvl="6">
      <w:start w:val="0"/>
      <w:numFmt w:val="bullet"/>
      <w:lvlText w:val="•"/>
      <w:lvlJc w:val="left"/>
      <w:pPr>
        <w:ind w:left="364" w:hanging="80"/>
      </w:pPr>
      <w:rPr>
        <w:rFonts w:hint="default"/>
        <w:lang w:val="en-US" w:eastAsia="en-US" w:bidi="ar-SA"/>
      </w:rPr>
    </w:lvl>
    <w:lvl w:ilvl="7">
      <w:start w:val="0"/>
      <w:numFmt w:val="bullet"/>
      <w:lvlText w:val="•"/>
      <w:lvlJc w:val="left"/>
      <w:pPr>
        <w:ind w:left="401" w:hanging="80"/>
      </w:pPr>
      <w:rPr>
        <w:rFonts w:hint="default"/>
        <w:lang w:val="en-US" w:eastAsia="en-US" w:bidi="ar-SA"/>
      </w:rPr>
    </w:lvl>
    <w:lvl w:ilvl="8">
      <w:start w:val="0"/>
      <w:numFmt w:val="bullet"/>
      <w:lvlText w:val="•"/>
      <w:lvlJc w:val="left"/>
      <w:pPr>
        <w:ind w:left="439" w:hanging="80"/>
      </w:pPr>
      <w:rPr>
        <w:rFonts w:hint="default"/>
        <w:lang w:val="en-US" w:eastAsia="en-US" w:bidi="ar-SA"/>
      </w:rPr>
    </w:lvl>
  </w:abstractNum>
  <w:abstractNum w:abstractNumId="47">
    <w:multiLevelType w:val="hybridMultilevel"/>
    <w:lvl w:ilvl="0">
      <w:start w:val="0"/>
      <w:numFmt w:val="bullet"/>
      <w:lvlText w:val="◦"/>
      <w:lvlJc w:val="left"/>
      <w:pPr>
        <w:ind w:left="138" w:hanging="80"/>
      </w:pPr>
      <w:rPr>
        <w:rFonts w:hint="default" w:ascii="Meiryo UI" w:hAnsi="Meiryo UI" w:eastAsia="Meiryo UI" w:cs="Meiryo UI"/>
        <w:b w:val="0"/>
        <w:bCs w:val="0"/>
        <w:i/>
        <w:iCs/>
        <w:spacing w:val="9"/>
        <w:w w:val="40"/>
        <w:sz w:val="12"/>
        <w:szCs w:val="12"/>
        <w:lang w:val="en-US" w:eastAsia="en-US" w:bidi="ar-SA"/>
      </w:rPr>
    </w:lvl>
    <w:lvl w:ilvl="1">
      <w:start w:val="0"/>
      <w:numFmt w:val="bullet"/>
      <w:lvlText w:val="•"/>
      <w:lvlJc w:val="left"/>
      <w:pPr>
        <w:ind w:left="177" w:hanging="80"/>
      </w:pPr>
      <w:rPr>
        <w:rFonts w:hint="default"/>
        <w:lang w:val="en-US" w:eastAsia="en-US" w:bidi="ar-SA"/>
      </w:rPr>
    </w:lvl>
    <w:lvl w:ilvl="2">
      <w:start w:val="0"/>
      <w:numFmt w:val="bullet"/>
      <w:lvlText w:val="•"/>
      <w:lvlJc w:val="left"/>
      <w:pPr>
        <w:ind w:left="214" w:hanging="80"/>
      </w:pPr>
      <w:rPr>
        <w:rFonts w:hint="default"/>
        <w:lang w:val="en-US" w:eastAsia="en-US" w:bidi="ar-SA"/>
      </w:rPr>
    </w:lvl>
    <w:lvl w:ilvl="3">
      <w:start w:val="0"/>
      <w:numFmt w:val="bullet"/>
      <w:lvlText w:val="•"/>
      <w:lvlJc w:val="left"/>
      <w:pPr>
        <w:ind w:left="252" w:hanging="80"/>
      </w:pPr>
      <w:rPr>
        <w:rFonts w:hint="default"/>
        <w:lang w:val="en-US" w:eastAsia="en-US" w:bidi="ar-SA"/>
      </w:rPr>
    </w:lvl>
    <w:lvl w:ilvl="4">
      <w:start w:val="0"/>
      <w:numFmt w:val="bullet"/>
      <w:lvlText w:val="•"/>
      <w:lvlJc w:val="left"/>
      <w:pPr>
        <w:ind w:left="289" w:hanging="80"/>
      </w:pPr>
      <w:rPr>
        <w:rFonts w:hint="default"/>
        <w:lang w:val="en-US" w:eastAsia="en-US" w:bidi="ar-SA"/>
      </w:rPr>
    </w:lvl>
    <w:lvl w:ilvl="5">
      <w:start w:val="0"/>
      <w:numFmt w:val="bullet"/>
      <w:lvlText w:val="•"/>
      <w:lvlJc w:val="left"/>
      <w:pPr>
        <w:ind w:left="327" w:hanging="80"/>
      </w:pPr>
      <w:rPr>
        <w:rFonts w:hint="default"/>
        <w:lang w:val="en-US" w:eastAsia="en-US" w:bidi="ar-SA"/>
      </w:rPr>
    </w:lvl>
    <w:lvl w:ilvl="6">
      <w:start w:val="0"/>
      <w:numFmt w:val="bullet"/>
      <w:lvlText w:val="•"/>
      <w:lvlJc w:val="left"/>
      <w:pPr>
        <w:ind w:left="364" w:hanging="80"/>
      </w:pPr>
      <w:rPr>
        <w:rFonts w:hint="default"/>
        <w:lang w:val="en-US" w:eastAsia="en-US" w:bidi="ar-SA"/>
      </w:rPr>
    </w:lvl>
    <w:lvl w:ilvl="7">
      <w:start w:val="0"/>
      <w:numFmt w:val="bullet"/>
      <w:lvlText w:val="•"/>
      <w:lvlJc w:val="left"/>
      <w:pPr>
        <w:ind w:left="401" w:hanging="80"/>
      </w:pPr>
      <w:rPr>
        <w:rFonts w:hint="default"/>
        <w:lang w:val="en-US" w:eastAsia="en-US" w:bidi="ar-SA"/>
      </w:rPr>
    </w:lvl>
    <w:lvl w:ilvl="8">
      <w:start w:val="0"/>
      <w:numFmt w:val="bullet"/>
      <w:lvlText w:val="•"/>
      <w:lvlJc w:val="left"/>
      <w:pPr>
        <w:ind w:left="439" w:hanging="80"/>
      </w:pPr>
      <w:rPr>
        <w:rFonts w:hint="default"/>
        <w:lang w:val="en-US" w:eastAsia="en-US" w:bidi="ar-SA"/>
      </w:rPr>
    </w:lvl>
  </w:abstractNum>
  <w:abstractNum w:abstractNumId="46">
    <w:multiLevelType w:val="hybridMultilevel"/>
    <w:lvl w:ilvl="0">
      <w:start w:val="0"/>
      <w:numFmt w:val="bullet"/>
      <w:lvlText w:val="◦"/>
      <w:lvlJc w:val="left"/>
      <w:pPr>
        <w:ind w:left="138" w:hanging="80"/>
      </w:pPr>
      <w:rPr>
        <w:rFonts w:hint="default" w:ascii="Meiryo UI" w:hAnsi="Meiryo UI" w:eastAsia="Meiryo UI" w:cs="Meiryo UI"/>
        <w:b w:val="0"/>
        <w:bCs w:val="0"/>
        <w:i/>
        <w:iCs/>
        <w:spacing w:val="9"/>
        <w:w w:val="40"/>
        <w:sz w:val="12"/>
        <w:szCs w:val="12"/>
        <w:lang w:val="en-US" w:eastAsia="en-US" w:bidi="ar-SA"/>
      </w:rPr>
    </w:lvl>
    <w:lvl w:ilvl="1">
      <w:start w:val="0"/>
      <w:numFmt w:val="bullet"/>
      <w:lvlText w:val="•"/>
      <w:lvlJc w:val="left"/>
      <w:pPr>
        <w:ind w:left="177" w:hanging="80"/>
      </w:pPr>
      <w:rPr>
        <w:rFonts w:hint="default"/>
        <w:lang w:val="en-US" w:eastAsia="en-US" w:bidi="ar-SA"/>
      </w:rPr>
    </w:lvl>
    <w:lvl w:ilvl="2">
      <w:start w:val="0"/>
      <w:numFmt w:val="bullet"/>
      <w:lvlText w:val="•"/>
      <w:lvlJc w:val="left"/>
      <w:pPr>
        <w:ind w:left="214" w:hanging="80"/>
      </w:pPr>
      <w:rPr>
        <w:rFonts w:hint="default"/>
        <w:lang w:val="en-US" w:eastAsia="en-US" w:bidi="ar-SA"/>
      </w:rPr>
    </w:lvl>
    <w:lvl w:ilvl="3">
      <w:start w:val="0"/>
      <w:numFmt w:val="bullet"/>
      <w:lvlText w:val="•"/>
      <w:lvlJc w:val="left"/>
      <w:pPr>
        <w:ind w:left="252" w:hanging="80"/>
      </w:pPr>
      <w:rPr>
        <w:rFonts w:hint="default"/>
        <w:lang w:val="en-US" w:eastAsia="en-US" w:bidi="ar-SA"/>
      </w:rPr>
    </w:lvl>
    <w:lvl w:ilvl="4">
      <w:start w:val="0"/>
      <w:numFmt w:val="bullet"/>
      <w:lvlText w:val="•"/>
      <w:lvlJc w:val="left"/>
      <w:pPr>
        <w:ind w:left="289" w:hanging="80"/>
      </w:pPr>
      <w:rPr>
        <w:rFonts w:hint="default"/>
        <w:lang w:val="en-US" w:eastAsia="en-US" w:bidi="ar-SA"/>
      </w:rPr>
    </w:lvl>
    <w:lvl w:ilvl="5">
      <w:start w:val="0"/>
      <w:numFmt w:val="bullet"/>
      <w:lvlText w:val="•"/>
      <w:lvlJc w:val="left"/>
      <w:pPr>
        <w:ind w:left="327" w:hanging="80"/>
      </w:pPr>
      <w:rPr>
        <w:rFonts w:hint="default"/>
        <w:lang w:val="en-US" w:eastAsia="en-US" w:bidi="ar-SA"/>
      </w:rPr>
    </w:lvl>
    <w:lvl w:ilvl="6">
      <w:start w:val="0"/>
      <w:numFmt w:val="bullet"/>
      <w:lvlText w:val="•"/>
      <w:lvlJc w:val="left"/>
      <w:pPr>
        <w:ind w:left="364" w:hanging="80"/>
      </w:pPr>
      <w:rPr>
        <w:rFonts w:hint="default"/>
        <w:lang w:val="en-US" w:eastAsia="en-US" w:bidi="ar-SA"/>
      </w:rPr>
    </w:lvl>
    <w:lvl w:ilvl="7">
      <w:start w:val="0"/>
      <w:numFmt w:val="bullet"/>
      <w:lvlText w:val="•"/>
      <w:lvlJc w:val="left"/>
      <w:pPr>
        <w:ind w:left="401" w:hanging="80"/>
      </w:pPr>
      <w:rPr>
        <w:rFonts w:hint="default"/>
        <w:lang w:val="en-US" w:eastAsia="en-US" w:bidi="ar-SA"/>
      </w:rPr>
    </w:lvl>
    <w:lvl w:ilvl="8">
      <w:start w:val="0"/>
      <w:numFmt w:val="bullet"/>
      <w:lvlText w:val="•"/>
      <w:lvlJc w:val="left"/>
      <w:pPr>
        <w:ind w:left="439" w:hanging="80"/>
      </w:pPr>
      <w:rPr>
        <w:rFonts w:hint="default"/>
        <w:lang w:val="en-US" w:eastAsia="en-US" w:bidi="ar-SA"/>
      </w:rPr>
    </w:lvl>
  </w:abstractNum>
  <w:abstractNum w:abstractNumId="45">
    <w:multiLevelType w:val="hybridMultilevel"/>
    <w:lvl w:ilvl="0">
      <w:start w:val="0"/>
      <w:numFmt w:val="bullet"/>
      <w:lvlText w:val="◦"/>
      <w:lvlJc w:val="left"/>
      <w:pPr>
        <w:ind w:left="138" w:hanging="80"/>
      </w:pPr>
      <w:rPr>
        <w:rFonts w:hint="default" w:ascii="Meiryo UI" w:hAnsi="Meiryo UI" w:eastAsia="Meiryo UI" w:cs="Meiryo UI"/>
        <w:b w:val="0"/>
        <w:bCs w:val="0"/>
        <w:i/>
        <w:iCs/>
        <w:spacing w:val="9"/>
        <w:w w:val="40"/>
        <w:sz w:val="12"/>
        <w:szCs w:val="12"/>
        <w:lang w:val="en-US" w:eastAsia="en-US" w:bidi="ar-SA"/>
      </w:rPr>
    </w:lvl>
    <w:lvl w:ilvl="1">
      <w:start w:val="0"/>
      <w:numFmt w:val="bullet"/>
      <w:lvlText w:val="•"/>
      <w:lvlJc w:val="left"/>
      <w:pPr>
        <w:ind w:left="177" w:hanging="80"/>
      </w:pPr>
      <w:rPr>
        <w:rFonts w:hint="default"/>
        <w:lang w:val="en-US" w:eastAsia="en-US" w:bidi="ar-SA"/>
      </w:rPr>
    </w:lvl>
    <w:lvl w:ilvl="2">
      <w:start w:val="0"/>
      <w:numFmt w:val="bullet"/>
      <w:lvlText w:val="•"/>
      <w:lvlJc w:val="left"/>
      <w:pPr>
        <w:ind w:left="214" w:hanging="80"/>
      </w:pPr>
      <w:rPr>
        <w:rFonts w:hint="default"/>
        <w:lang w:val="en-US" w:eastAsia="en-US" w:bidi="ar-SA"/>
      </w:rPr>
    </w:lvl>
    <w:lvl w:ilvl="3">
      <w:start w:val="0"/>
      <w:numFmt w:val="bullet"/>
      <w:lvlText w:val="•"/>
      <w:lvlJc w:val="left"/>
      <w:pPr>
        <w:ind w:left="252" w:hanging="80"/>
      </w:pPr>
      <w:rPr>
        <w:rFonts w:hint="default"/>
        <w:lang w:val="en-US" w:eastAsia="en-US" w:bidi="ar-SA"/>
      </w:rPr>
    </w:lvl>
    <w:lvl w:ilvl="4">
      <w:start w:val="0"/>
      <w:numFmt w:val="bullet"/>
      <w:lvlText w:val="•"/>
      <w:lvlJc w:val="left"/>
      <w:pPr>
        <w:ind w:left="289" w:hanging="80"/>
      </w:pPr>
      <w:rPr>
        <w:rFonts w:hint="default"/>
        <w:lang w:val="en-US" w:eastAsia="en-US" w:bidi="ar-SA"/>
      </w:rPr>
    </w:lvl>
    <w:lvl w:ilvl="5">
      <w:start w:val="0"/>
      <w:numFmt w:val="bullet"/>
      <w:lvlText w:val="•"/>
      <w:lvlJc w:val="left"/>
      <w:pPr>
        <w:ind w:left="327" w:hanging="80"/>
      </w:pPr>
      <w:rPr>
        <w:rFonts w:hint="default"/>
        <w:lang w:val="en-US" w:eastAsia="en-US" w:bidi="ar-SA"/>
      </w:rPr>
    </w:lvl>
    <w:lvl w:ilvl="6">
      <w:start w:val="0"/>
      <w:numFmt w:val="bullet"/>
      <w:lvlText w:val="•"/>
      <w:lvlJc w:val="left"/>
      <w:pPr>
        <w:ind w:left="364" w:hanging="80"/>
      </w:pPr>
      <w:rPr>
        <w:rFonts w:hint="default"/>
        <w:lang w:val="en-US" w:eastAsia="en-US" w:bidi="ar-SA"/>
      </w:rPr>
    </w:lvl>
    <w:lvl w:ilvl="7">
      <w:start w:val="0"/>
      <w:numFmt w:val="bullet"/>
      <w:lvlText w:val="•"/>
      <w:lvlJc w:val="left"/>
      <w:pPr>
        <w:ind w:left="401" w:hanging="80"/>
      </w:pPr>
      <w:rPr>
        <w:rFonts w:hint="default"/>
        <w:lang w:val="en-US" w:eastAsia="en-US" w:bidi="ar-SA"/>
      </w:rPr>
    </w:lvl>
    <w:lvl w:ilvl="8">
      <w:start w:val="0"/>
      <w:numFmt w:val="bullet"/>
      <w:lvlText w:val="•"/>
      <w:lvlJc w:val="left"/>
      <w:pPr>
        <w:ind w:left="439" w:hanging="80"/>
      </w:pPr>
      <w:rPr>
        <w:rFonts w:hint="default"/>
        <w:lang w:val="en-US" w:eastAsia="en-US" w:bidi="ar-SA"/>
      </w:rPr>
    </w:lvl>
  </w:abstractNum>
  <w:abstractNum w:abstractNumId="44">
    <w:multiLevelType w:val="hybridMultilevel"/>
    <w:lvl w:ilvl="0">
      <w:start w:val="0"/>
      <w:numFmt w:val="bullet"/>
      <w:lvlText w:val="◦"/>
      <w:lvlJc w:val="left"/>
      <w:pPr>
        <w:ind w:left="138" w:hanging="80"/>
      </w:pPr>
      <w:rPr>
        <w:rFonts w:hint="default" w:ascii="Meiryo UI" w:hAnsi="Meiryo UI" w:eastAsia="Meiryo UI" w:cs="Meiryo UI"/>
        <w:b w:val="0"/>
        <w:bCs w:val="0"/>
        <w:i/>
        <w:iCs/>
        <w:spacing w:val="9"/>
        <w:w w:val="40"/>
        <w:sz w:val="12"/>
        <w:szCs w:val="12"/>
        <w:lang w:val="en-US" w:eastAsia="en-US" w:bidi="ar-SA"/>
      </w:rPr>
    </w:lvl>
    <w:lvl w:ilvl="1">
      <w:start w:val="0"/>
      <w:numFmt w:val="bullet"/>
      <w:lvlText w:val="•"/>
      <w:lvlJc w:val="left"/>
      <w:pPr>
        <w:ind w:left="177" w:hanging="80"/>
      </w:pPr>
      <w:rPr>
        <w:rFonts w:hint="default"/>
        <w:lang w:val="en-US" w:eastAsia="en-US" w:bidi="ar-SA"/>
      </w:rPr>
    </w:lvl>
    <w:lvl w:ilvl="2">
      <w:start w:val="0"/>
      <w:numFmt w:val="bullet"/>
      <w:lvlText w:val="•"/>
      <w:lvlJc w:val="left"/>
      <w:pPr>
        <w:ind w:left="214" w:hanging="80"/>
      </w:pPr>
      <w:rPr>
        <w:rFonts w:hint="default"/>
        <w:lang w:val="en-US" w:eastAsia="en-US" w:bidi="ar-SA"/>
      </w:rPr>
    </w:lvl>
    <w:lvl w:ilvl="3">
      <w:start w:val="0"/>
      <w:numFmt w:val="bullet"/>
      <w:lvlText w:val="•"/>
      <w:lvlJc w:val="left"/>
      <w:pPr>
        <w:ind w:left="252" w:hanging="80"/>
      </w:pPr>
      <w:rPr>
        <w:rFonts w:hint="default"/>
        <w:lang w:val="en-US" w:eastAsia="en-US" w:bidi="ar-SA"/>
      </w:rPr>
    </w:lvl>
    <w:lvl w:ilvl="4">
      <w:start w:val="0"/>
      <w:numFmt w:val="bullet"/>
      <w:lvlText w:val="•"/>
      <w:lvlJc w:val="left"/>
      <w:pPr>
        <w:ind w:left="289" w:hanging="80"/>
      </w:pPr>
      <w:rPr>
        <w:rFonts w:hint="default"/>
        <w:lang w:val="en-US" w:eastAsia="en-US" w:bidi="ar-SA"/>
      </w:rPr>
    </w:lvl>
    <w:lvl w:ilvl="5">
      <w:start w:val="0"/>
      <w:numFmt w:val="bullet"/>
      <w:lvlText w:val="•"/>
      <w:lvlJc w:val="left"/>
      <w:pPr>
        <w:ind w:left="327" w:hanging="80"/>
      </w:pPr>
      <w:rPr>
        <w:rFonts w:hint="default"/>
        <w:lang w:val="en-US" w:eastAsia="en-US" w:bidi="ar-SA"/>
      </w:rPr>
    </w:lvl>
    <w:lvl w:ilvl="6">
      <w:start w:val="0"/>
      <w:numFmt w:val="bullet"/>
      <w:lvlText w:val="•"/>
      <w:lvlJc w:val="left"/>
      <w:pPr>
        <w:ind w:left="364" w:hanging="80"/>
      </w:pPr>
      <w:rPr>
        <w:rFonts w:hint="default"/>
        <w:lang w:val="en-US" w:eastAsia="en-US" w:bidi="ar-SA"/>
      </w:rPr>
    </w:lvl>
    <w:lvl w:ilvl="7">
      <w:start w:val="0"/>
      <w:numFmt w:val="bullet"/>
      <w:lvlText w:val="•"/>
      <w:lvlJc w:val="left"/>
      <w:pPr>
        <w:ind w:left="401" w:hanging="80"/>
      </w:pPr>
      <w:rPr>
        <w:rFonts w:hint="default"/>
        <w:lang w:val="en-US" w:eastAsia="en-US" w:bidi="ar-SA"/>
      </w:rPr>
    </w:lvl>
    <w:lvl w:ilvl="8">
      <w:start w:val="0"/>
      <w:numFmt w:val="bullet"/>
      <w:lvlText w:val="•"/>
      <w:lvlJc w:val="left"/>
      <w:pPr>
        <w:ind w:left="439" w:hanging="80"/>
      </w:pPr>
      <w:rPr>
        <w:rFonts w:hint="default"/>
        <w:lang w:val="en-US" w:eastAsia="en-US" w:bidi="ar-SA"/>
      </w:rPr>
    </w:lvl>
  </w:abstractNum>
  <w:abstractNum w:abstractNumId="43">
    <w:multiLevelType w:val="hybridMultilevel"/>
    <w:lvl w:ilvl="0">
      <w:start w:val="0"/>
      <w:numFmt w:val="bullet"/>
      <w:lvlText w:val="◦"/>
      <w:lvlJc w:val="left"/>
      <w:pPr>
        <w:ind w:left="138" w:hanging="80"/>
      </w:pPr>
      <w:rPr>
        <w:rFonts w:hint="default" w:ascii="Meiryo UI" w:hAnsi="Meiryo UI" w:eastAsia="Meiryo UI" w:cs="Meiryo UI"/>
        <w:b w:val="0"/>
        <w:bCs w:val="0"/>
        <w:i/>
        <w:iCs/>
        <w:spacing w:val="9"/>
        <w:w w:val="40"/>
        <w:sz w:val="12"/>
        <w:szCs w:val="12"/>
        <w:lang w:val="en-US" w:eastAsia="en-US" w:bidi="ar-SA"/>
      </w:rPr>
    </w:lvl>
    <w:lvl w:ilvl="1">
      <w:start w:val="0"/>
      <w:numFmt w:val="bullet"/>
      <w:lvlText w:val="•"/>
      <w:lvlJc w:val="left"/>
      <w:pPr>
        <w:ind w:left="177" w:hanging="80"/>
      </w:pPr>
      <w:rPr>
        <w:rFonts w:hint="default"/>
        <w:lang w:val="en-US" w:eastAsia="en-US" w:bidi="ar-SA"/>
      </w:rPr>
    </w:lvl>
    <w:lvl w:ilvl="2">
      <w:start w:val="0"/>
      <w:numFmt w:val="bullet"/>
      <w:lvlText w:val="•"/>
      <w:lvlJc w:val="left"/>
      <w:pPr>
        <w:ind w:left="214" w:hanging="80"/>
      </w:pPr>
      <w:rPr>
        <w:rFonts w:hint="default"/>
        <w:lang w:val="en-US" w:eastAsia="en-US" w:bidi="ar-SA"/>
      </w:rPr>
    </w:lvl>
    <w:lvl w:ilvl="3">
      <w:start w:val="0"/>
      <w:numFmt w:val="bullet"/>
      <w:lvlText w:val="•"/>
      <w:lvlJc w:val="left"/>
      <w:pPr>
        <w:ind w:left="252" w:hanging="80"/>
      </w:pPr>
      <w:rPr>
        <w:rFonts w:hint="default"/>
        <w:lang w:val="en-US" w:eastAsia="en-US" w:bidi="ar-SA"/>
      </w:rPr>
    </w:lvl>
    <w:lvl w:ilvl="4">
      <w:start w:val="0"/>
      <w:numFmt w:val="bullet"/>
      <w:lvlText w:val="•"/>
      <w:lvlJc w:val="left"/>
      <w:pPr>
        <w:ind w:left="289" w:hanging="80"/>
      </w:pPr>
      <w:rPr>
        <w:rFonts w:hint="default"/>
        <w:lang w:val="en-US" w:eastAsia="en-US" w:bidi="ar-SA"/>
      </w:rPr>
    </w:lvl>
    <w:lvl w:ilvl="5">
      <w:start w:val="0"/>
      <w:numFmt w:val="bullet"/>
      <w:lvlText w:val="•"/>
      <w:lvlJc w:val="left"/>
      <w:pPr>
        <w:ind w:left="327" w:hanging="80"/>
      </w:pPr>
      <w:rPr>
        <w:rFonts w:hint="default"/>
        <w:lang w:val="en-US" w:eastAsia="en-US" w:bidi="ar-SA"/>
      </w:rPr>
    </w:lvl>
    <w:lvl w:ilvl="6">
      <w:start w:val="0"/>
      <w:numFmt w:val="bullet"/>
      <w:lvlText w:val="•"/>
      <w:lvlJc w:val="left"/>
      <w:pPr>
        <w:ind w:left="364" w:hanging="80"/>
      </w:pPr>
      <w:rPr>
        <w:rFonts w:hint="default"/>
        <w:lang w:val="en-US" w:eastAsia="en-US" w:bidi="ar-SA"/>
      </w:rPr>
    </w:lvl>
    <w:lvl w:ilvl="7">
      <w:start w:val="0"/>
      <w:numFmt w:val="bullet"/>
      <w:lvlText w:val="•"/>
      <w:lvlJc w:val="left"/>
      <w:pPr>
        <w:ind w:left="401" w:hanging="80"/>
      </w:pPr>
      <w:rPr>
        <w:rFonts w:hint="default"/>
        <w:lang w:val="en-US" w:eastAsia="en-US" w:bidi="ar-SA"/>
      </w:rPr>
    </w:lvl>
    <w:lvl w:ilvl="8">
      <w:start w:val="0"/>
      <w:numFmt w:val="bullet"/>
      <w:lvlText w:val="•"/>
      <w:lvlJc w:val="left"/>
      <w:pPr>
        <w:ind w:left="439" w:hanging="80"/>
      </w:pPr>
      <w:rPr>
        <w:rFonts w:hint="default"/>
        <w:lang w:val="en-US" w:eastAsia="en-US" w:bidi="ar-SA"/>
      </w:rPr>
    </w:lvl>
  </w:abstractNum>
  <w:abstractNum w:abstractNumId="42">
    <w:multiLevelType w:val="hybridMultilevel"/>
    <w:lvl w:ilvl="0">
      <w:start w:val="0"/>
      <w:numFmt w:val="bullet"/>
      <w:lvlText w:val="◦"/>
      <w:lvlJc w:val="left"/>
      <w:pPr>
        <w:ind w:left="138" w:hanging="80"/>
      </w:pPr>
      <w:rPr>
        <w:rFonts w:hint="default" w:ascii="Meiryo UI" w:hAnsi="Meiryo UI" w:eastAsia="Meiryo UI" w:cs="Meiryo UI"/>
        <w:b w:val="0"/>
        <w:bCs w:val="0"/>
        <w:i/>
        <w:iCs/>
        <w:spacing w:val="9"/>
        <w:w w:val="40"/>
        <w:sz w:val="12"/>
        <w:szCs w:val="12"/>
        <w:lang w:val="en-US" w:eastAsia="en-US" w:bidi="ar-SA"/>
      </w:rPr>
    </w:lvl>
    <w:lvl w:ilvl="1">
      <w:start w:val="0"/>
      <w:numFmt w:val="bullet"/>
      <w:lvlText w:val="•"/>
      <w:lvlJc w:val="left"/>
      <w:pPr>
        <w:ind w:left="177" w:hanging="80"/>
      </w:pPr>
      <w:rPr>
        <w:rFonts w:hint="default"/>
        <w:lang w:val="en-US" w:eastAsia="en-US" w:bidi="ar-SA"/>
      </w:rPr>
    </w:lvl>
    <w:lvl w:ilvl="2">
      <w:start w:val="0"/>
      <w:numFmt w:val="bullet"/>
      <w:lvlText w:val="•"/>
      <w:lvlJc w:val="left"/>
      <w:pPr>
        <w:ind w:left="214" w:hanging="80"/>
      </w:pPr>
      <w:rPr>
        <w:rFonts w:hint="default"/>
        <w:lang w:val="en-US" w:eastAsia="en-US" w:bidi="ar-SA"/>
      </w:rPr>
    </w:lvl>
    <w:lvl w:ilvl="3">
      <w:start w:val="0"/>
      <w:numFmt w:val="bullet"/>
      <w:lvlText w:val="•"/>
      <w:lvlJc w:val="left"/>
      <w:pPr>
        <w:ind w:left="252" w:hanging="80"/>
      </w:pPr>
      <w:rPr>
        <w:rFonts w:hint="default"/>
        <w:lang w:val="en-US" w:eastAsia="en-US" w:bidi="ar-SA"/>
      </w:rPr>
    </w:lvl>
    <w:lvl w:ilvl="4">
      <w:start w:val="0"/>
      <w:numFmt w:val="bullet"/>
      <w:lvlText w:val="•"/>
      <w:lvlJc w:val="left"/>
      <w:pPr>
        <w:ind w:left="289" w:hanging="80"/>
      </w:pPr>
      <w:rPr>
        <w:rFonts w:hint="default"/>
        <w:lang w:val="en-US" w:eastAsia="en-US" w:bidi="ar-SA"/>
      </w:rPr>
    </w:lvl>
    <w:lvl w:ilvl="5">
      <w:start w:val="0"/>
      <w:numFmt w:val="bullet"/>
      <w:lvlText w:val="•"/>
      <w:lvlJc w:val="left"/>
      <w:pPr>
        <w:ind w:left="327" w:hanging="80"/>
      </w:pPr>
      <w:rPr>
        <w:rFonts w:hint="default"/>
        <w:lang w:val="en-US" w:eastAsia="en-US" w:bidi="ar-SA"/>
      </w:rPr>
    </w:lvl>
    <w:lvl w:ilvl="6">
      <w:start w:val="0"/>
      <w:numFmt w:val="bullet"/>
      <w:lvlText w:val="•"/>
      <w:lvlJc w:val="left"/>
      <w:pPr>
        <w:ind w:left="364" w:hanging="80"/>
      </w:pPr>
      <w:rPr>
        <w:rFonts w:hint="default"/>
        <w:lang w:val="en-US" w:eastAsia="en-US" w:bidi="ar-SA"/>
      </w:rPr>
    </w:lvl>
    <w:lvl w:ilvl="7">
      <w:start w:val="0"/>
      <w:numFmt w:val="bullet"/>
      <w:lvlText w:val="•"/>
      <w:lvlJc w:val="left"/>
      <w:pPr>
        <w:ind w:left="401" w:hanging="80"/>
      </w:pPr>
      <w:rPr>
        <w:rFonts w:hint="default"/>
        <w:lang w:val="en-US" w:eastAsia="en-US" w:bidi="ar-SA"/>
      </w:rPr>
    </w:lvl>
    <w:lvl w:ilvl="8">
      <w:start w:val="0"/>
      <w:numFmt w:val="bullet"/>
      <w:lvlText w:val="•"/>
      <w:lvlJc w:val="left"/>
      <w:pPr>
        <w:ind w:left="439" w:hanging="80"/>
      </w:pPr>
      <w:rPr>
        <w:rFonts w:hint="default"/>
        <w:lang w:val="en-US" w:eastAsia="en-US" w:bidi="ar-SA"/>
      </w:rPr>
    </w:lvl>
  </w:abstractNum>
  <w:abstractNum w:abstractNumId="41">
    <w:multiLevelType w:val="hybridMultilevel"/>
    <w:lvl w:ilvl="0">
      <w:start w:val="3"/>
      <w:numFmt w:val="upperLetter"/>
      <w:lvlText w:val="%1"/>
      <w:lvlJc w:val="left"/>
      <w:pPr>
        <w:ind w:left="1418" w:hanging="710"/>
        <w:jc w:val="left"/>
      </w:pPr>
      <w:rPr>
        <w:rFonts w:hint="default"/>
        <w:lang w:val="en-US" w:eastAsia="en-US" w:bidi="ar-SA"/>
      </w:rPr>
    </w:lvl>
    <w:lvl w:ilvl="1">
      <w:start w:val="1"/>
      <w:numFmt w:val="decimal"/>
      <w:lvlText w:val="%1.%2"/>
      <w:lvlJc w:val="left"/>
      <w:pPr>
        <w:ind w:left="1418" w:hanging="710"/>
        <w:jc w:val="right"/>
      </w:pPr>
      <w:rPr>
        <w:rFonts w:hint="default" w:ascii="Times New Roman" w:hAnsi="Times New Roman" w:eastAsia="Times New Roman" w:cs="Times New Roman"/>
        <w:b/>
        <w:bCs/>
        <w:i w:val="0"/>
        <w:iCs w:val="0"/>
        <w:spacing w:val="0"/>
        <w:w w:val="102"/>
        <w:sz w:val="28"/>
        <w:szCs w:val="28"/>
        <w:lang w:val="en-US" w:eastAsia="en-US" w:bidi="ar-SA"/>
      </w:rPr>
    </w:lvl>
    <w:lvl w:ilvl="2">
      <w:start w:val="0"/>
      <w:numFmt w:val="bullet"/>
      <w:lvlText w:val="•"/>
      <w:lvlJc w:val="left"/>
      <w:pPr>
        <w:ind w:left="3177" w:hanging="710"/>
      </w:pPr>
      <w:rPr>
        <w:rFonts w:hint="default"/>
        <w:lang w:val="en-US" w:eastAsia="en-US" w:bidi="ar-SA"/>
      </w:rPr>
    </w:lvl>
    <w:lvl w:ilvl="3">
      <w:start w:val="0"/>
      <w:numFmt w:val="bullet"/>
      <w:lvlText w:val="•"/>
      <w:lvlJc w:val="left"/>
      <w:pPr>
        <w:ind w:left="4055" w:hanging="710"/>
      </w:pPr>
      <w:rPr>
        <w:rFonts w:hint="default"/>
        <w:lang w:val="en-US" w:eastAsia="en-US" w:bidi="ar-SA"/>
      </w:rPr>
    </w:lvl>
    <w:lvl w:ilvl="4">
      <w:start w:val="0"/>
      <w:numFmt w:val="bullet"/>
      <w:lvlText w:val="•"/>
      <w:lvlJc w:val="left"/>
      <w:pPr>
        <w:ind w:left="4934" w:hanging="710"/>
      </w:pPr>
      <w:rPr>
        <w:rFonts w:hint="default"/>
        <w:lang w:val="en-US" w:eastAsia="en-US" w:bidi="ar-SA"/>
      </w:rPr>
    </w:lvl>
    <w:lvl w:ilvl="5">
      <w:start w:val="0"/>
      <w:numFmt w:val="bullet"/>
      <w:lvlText w:val="•"/>
      <w:lvlJc w:val="left"/>
      <w:pPr>
        <w:ind w:left="5812" w:hanging="710"/>
      </w:pPr>
      <w:rPr>
        <w:rFonts w:hint="default"/>
        <w:lang w:val="en-US" w:eastAsia="en-US" w:bidi="ar-SA"/>
      </w:rPr>
    </w:lvl>
    <w:lvl w:ilvl="6">
      <w:start w:val="0"/>
      <w:numFmt w:val="bullet"/>
      <w:lvlText w:val="•"/>
      <w:lvlJc w:val="left"/>
      <w:pPr>
        <w:ind w:left="6691" w:hanging="710"/>
      </w:pPr>
      <w:rPr>
        <w:rFonts w:hint="default"/>
        <w:lang w:val="en-US" w:eastAsia="en-US" w:bidi="ar-SA"/>
      </w:rPr>
    </w:lvl>
    <w:lvl w:ilvl="7">
      <w:start w:val="0"/>
      <w:numFmt w:val="bullet"/>
      <w:lvlText w:val="•"/>
      <w:lvlJc w:val="left"/>
      <w:pPr>
        <w:ind w:left="7569" w:hanging="710"/>
      </w:pPr>
      <w:rPr>
        <w:rFonts w:hint="default"/>
        <w:lang w:val="en-US" w:eastAsia="en-US" w:bidi="ar-SA"/>
      </w:rPr>
    </w:lvl>
    <w:lvl w:ilvl="8">
      <w:start w:val="0"/>
      <w:numFmt w:val="bullet"/>
      <w:lvlText w:val="•"/>
      <w:lvlJc w:val="left"/>
      <w:pPr>
        <w:ind w:left="8448" w:hanging="710"/>
      </w:pPr>
      <w:rPr>
        <w:rFonts w:hint="default"/>
        <w:lang w:val="en-US" w:eastAsia="en-US" w:bidi="ar-SA"/>
      </w:rPr>
    </w:lvl>
  </w:abstractNum>
  <w:abstractNum w:abstractNumId="40">
    <w:multiLevelType w:val="hybridMultilevel"/>
    <w:lvl w:ilvl="0">
      <w:start w:val="2"/>
      <w:numFmt w:val="upperLetter"/>
      <w:lvlText w:val="%1"/>
      <w:lvlJc w:val="left"/>
      <w:pPr>
        <w:ind w:left="1402" w:hanging="694"/>
        <w:jc w:val="left"/>
      </w:pPr>
      <w:rPr>
        <w:rFonts w:hint="default"/>
        <w:lang w:val="en-US" w:eastAsia="en-US" w:bidi="ar-SA"/>
      </w:rPr>
    </w:lvl>
    <w:lvl w:ilvl="1">
      <w:start w:val="1"/>
      <w:numFmt w:val="decimal"/>
      <w:lvlText w:val="%1.%2"/>
      <w:lvlJc w:val="left"/>
      <w:pPr>
        <w:ind w:left="1402" w:hanging="694"/>
        <w:jc w:val="right"/>
      </w:pPr>
      <w:rPr>
        <w:rFonts w:hint="default" w:ascii="Times New Roman" w:hAnsi="Times New Roman" w:eastAsia="Times New Roman" w:cs="Times New Roman"/>
        <w:b/>
        <w:bCs/>
        <w:i w:val="0"/>
        <w:iCs w:val="0"/>
        <w:spacing w:val="0"/>
        <w:w w:val="102"/>
        <w:sz w:val="28"/>
        <w:szCs w:val="28"/>
        <w:lang w:val="en-US" w:eastAsia="en-US" w:bidi="ar-SA"/>
      </w:rPr>
    </w:lvl>
    <w:lvl w:ilvl="2">
      <w:start w:val="1"/>
      <w:numFmt w:val="decimal"/>
      <w:lvlText w:val="%1.%2.%3"/>
      <w:lvlJc w:val="left"/>
      <w:pPr>
        <w:ind w:left="1466" w:hanging="758"/>
        <w:jc w:val="left"/>
      </w:pPr>
      <w:rPr>
        <w:rFonts w:hint="default"/>
        <w:spacing w:val="0"/>
        <w:w w:val="99"/>
        <w:lang w:val="en-US" w:eastAsia="en-US" w:bidi="ar-SA"/>
      </w:rPr>
    </w:lvl>
    <w:lvl w:ilvl="3">
      <w:start w:val="0"/>
      <w:numFmt w:val="bullet"/>
      <w:lvlText w:val="•"/>
      <w:lvlJc w:val="left"/>
      <w:pPr>
        <w:ind w:left="2553" w:hanging="758"/>
      </w:pPr>
      <w:rPr>
        <w:rFonts w:hint="default"/>
        <w:lang w:val="en-US" w:eastAsia="en-US" w:bidi="ar-SA"/>
      </w:rPr>
    </w:lvl>
    <w:lvl w:ilvl="4">
      <w:start w:val="0"/>
      <w:numFmt w:val="bullet"/>
      <w:lvlText w:val="•"/>
      <w:lvlJc w:val="left"/>
      <w:pPr>
        <w:ind w:left="3646" w:hanging="758"/>
      </w:pPr>
      <w:rPr>
        <w:rFonts w:hint="default"/>
        <w:lang w:val="en-US" w:eastAsia="en-US" w:bidi="ar-SA"/>
      </w:rPr>
    </w:lvl>
    <w:lvl w:ilvl="5">
      <w:start w:val="0"/>
      <w:numFmt w:val="bullet"/>
      <w:lvlText w:val="•"/>
      <w:lvlJc w:val="left"/>
      <w:pPr>
        <w:ind w:left="4739" w:hanging="758"/>
      </w:pPr>
      <w:rPr>
        <w:rFonts w:hint="default"/>
        <w:lang w:val="en-US" w:eastAsia="en-US" w:bidi="ar-SA"/>
      </w:rPr>
    </w:lvl>
    <w:lvl w:ilvl="6">
      <w:start w:val="0"/>
      <w:numFmt w:val="bullet"/>
      <w:lvlText w:val="•"/>
      <w:lvlJc w:val="left"/>
      <w:pPr>
        <w:ind w:left="5832" w:hanging="758"/>
      </w:pPr>
      <w:rPr>
        <w:rFonts w:hint="default"/>
        <w:lang w:val="en-US" w:eastAsia="en-US" w:bidi="ar-SA"/>
      </w:rPr>
    </w:lvl>
    <w:lvl w:ilvl="7">
      <w:start w:val="0"/>
      <w:numFmt w:val="bullet"/>
      <w:lvlText w:val="•"/>
      <w:lvlJc w:val="left"/>
      <w:pPr>
        <w:ind w:left="6925" w:hanging="758"/>
      </w:pPr>
      <w:rPr>
        <w:rFonts w:hint="default"/>
        <w:lang w:val="en-US" w:eastAsia="en-US" w:bidi="ar-SA"/>
      </w:rPr>
    </w:lvl>
    <w:lvl w:ilvl="8">
      <w:start w:val="0"/>
      <w:numFmt w:val="bullet"/>
      <w:lvlText w:val="•"/>
      <w:lvlJc w:val="left"/>
      <w:pPr>
        <w:ind w:left="8019" w:hanging="758"/>
      </w:pPr>
      <w:rPr>
        <w:rFonts w:hint="default"/>
        <w:lang w:val="en-US" w:eastAsia="en-US" w:bidi="ar-SA"/>
      </w:rPr>
    </w:lvl>
  </w:abstractNum>
  <w:abstractNum w:abstractNumId="39">
    <w:multiLevelType w:val="hybridMultilevel"/>
    <w:lvl w:ilvl="0">
      <w:start w:val="1"/>
      <w:numFmt w:val="upperLetter"/>
      <w:lvlText w:val="%1"/>
      <w:lvlJc w:val="left"/>
      <w:pPr>
        <w:ind w:left="1418" w:hanging="710"/>
        <w:jc w:val="left"/>
      </w:pPr>
      <w:rPr>
        <w:rFonts w:hint="default"/>
        <w:lang w:val="en-US" w:eastAsia="en-US" w:bidi="ar-SA"/>
      </w:rPr>
    </w:lvl>
    <w:lvl w:ilvl="1">
      <w:start w:val="1"/>
      <w:numFmt w:val="decimal"/>
      <w:lvlText w:val="%1.%2"/>
      <w:lvlJc w:val="left"/>
      <w:pPr>
        <w:ind w:left="1418" w:hanging="710"/>
        <w:jc w:val="right"/>
      </w:pPr>
      <w:rPr>
        <w:rFonts w:hint="default" w:ascii="Times New Roman" w:hAnsi="Times New Roman" w:eastAsia="Times New Roman" w:cs="Times New Roman"/>
        <w:b/>
        <w:bCs/>
        <w:i w:val="0"/>
        <w:iCs w:val="0"/>
        <w:spacing w:val="0"/>
        <w:w w:val="102"/>
        <w:sz w:val="28"/>
        <w:szCs w:val="28"/>
        <w:lang w:val="en-US" w:eastAsia="en-US" w:bidi="ar-SA"/>
      </w:rPr>
    </w:lvl>
    <w:lvl w:ilvl="2">
      <w:start w:val="1"/>
      <w:numFmt w:val="decimal"/>
      <w:lvlText w:val="%1.%2.%3"/>
      <w:lvlJc w:val="left"/>
      <w:pPr>
        <w:ind w:left="912" w:hanging="771"/>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3372" w:hanging="771"/>
      </w:pPr>
      <w:rPr>
        <w:rFonts w:hint="default"/>
        <w:lang w:val="en-US" w:eastAsia="en-US" w:bidi="ar-SA"/>
      </w:rPr>
    </w:lvl>
    <w:lvl w:ilvl="4">
      <w:start w:val="0"/>
      <w:numFmt w:val="bullet"/>
      <w:lvlText w:val="•"/>
      <w:lvlJc w:val="left"/>
      <w:pPr>
        <w:ind w:left="4348" w:hanging="771"/>
      </w:pPr>
      <w:rPr>
        <w:rFonts w:hint="default"/>
        <w:lang w:val="en-US" w:eastAsia="en-US" w:bidi="ar-SA"/>
      </w:rPr>
    </w:lvl>
    <w:lvl w:ilvl="5">
      <w:start w:val="0"/>
      <w:numFmt w:val="bullet"/>
      <w:lvlText w:val="•"/>
      <w:lvlJc w:val="left"/>
      <w:pPr>
        <w:ind w:left="5324" w:hanging="771"/>
      </w:pPr>
      <w:rPr>
        <w:rFonts w:hint="default"/>
        <w:lang w:val="en-US" w:eastAsia="en-US" w:bidi="ar-SA"/>
      </w:rPr>
    </w:lvl>
    <w:lvl w:ilvl="6">
      <w:start w:val="0"/>
      <w:numFmt w:val="bullet"/>
      <w:lvlText w:val="•"/>
      <w:lvlJc w:val="left"/>
      <w:pPr>
        <w:ind w:left="6300" w:hanging="771"/>
      </w:pPr>
      <w:rPr>
        <w:rFonts w:hint="default"/>
        <w:lang w:val="en-US" w:eastAsia="en-US" w:bidi="ar-SA"/>
      </w:rPr>
    </w:lvl>
    <w:lvl w:ilvl="7">
      <w:start w:val="0"/>
      <w:numFmt w:val="bullet"/>
      <w:lvlText w:val="•"/>
      <w:lvlJc w:val="left"/>
      <w:pPr>
        <w:ind w:left="7277" w:hanging="771"/>
      </w:pPr>
      <w:rPr>
        <w:rFonts w:hint="default"/>
        <w:lang w:val="en-US" w:eastAsia="en-US" w:bidi="ar-SA"/>
      </w:rPr>
    </w:lvl>
    <w:lvl w:ilvl="8">
      <w:start w:val="0"/>
      <w:numFmt w:val="bullet"/>
      <w:lvlText w:val="•"/>
      <w:lvlJc w:val="left"/>
      <w:pPr>
        <w:ind w:left="8253" w:hanging="771"/>
      </w:pPr>
      <w:rPr>
        <w:rFonts w:hint="default"/>
        <w:lang w:val="en-US" w:eastAsia="en-US" w:bidi="ar-SA"/>
      </w:rPr>
    </w:lvl>
  </w:abstractNum>
  <w:abstractNum w:abstractNumId="38">
    <w:multiLevelType w:val="hybridMultilevel"/>
    <w:lvl w:ilvl="0">
      <w:start w:val="7"/>
      <w:numFmt w:val="decimal"/>
      <w:lvlText w:val="%1"/>
      <w:lvlJc w:val="left"/>
      <w:pPr>
        <w:ind w:left="1354" w:hanging="646"/>
        <w:jc w:val="left"/>
      </w:pPr>
      <w:rPr>
        <w:rFonts w:hint="default"/>
        <w:lang w:val="en-US" w:eastAsia="en-US" w:bidi="ar-SA"/>
      </w:rPr>
    </w:lvl>
    <w:lvl w:ilvl="1">
      <w:start w:val="4"/>
      <w:numFmt w:val="decimal"/>
      <w:lvlText w:val="%1.%2"/>
      <w:lvlJc w:val="left"/>
      <w:pPr>
        <w:ind w:left="1354" w:hanging="646"/>
        <w:jc w:val="left"/>
      </w:pPr>
      <w:rPr>
        <w:rFonts w:hint="default" w:ascii="Times New Roman" w:hAnsi="Times New Roman" w:eastAsia="Times New Roman" w:cs="Times New Roman"/>
        <w:b/>
        <w:bCs/>
        <w:i w:val="0"/>
        <w:iCs w:val="0"/>
        <w:spacing w:val="0"/>
        <w:w w:val="102"/>
        <w:sz w:val="28"/>
        <w:szCs w:val="28"/>
        <w:lang w:val="en-US" w:eastAsia="en-US" w:bidi="ar-SA"/>
      </w:rPr>
    </w:lvl>
    <w:lvl w:ilvl="2">
      <w:start w:val="0"/>
      <w:numFmt w:val="bullet"/>
      <w:lvlText w:val="•"/>
      <w:lvlJc w:val="left"/>
      <w:pPr>
        <w:ind w:left="709" w:hanging="132"/>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325" w:hanging="132"/>
      </w:pPr>
      <w:rPr>
        <w:rFonts w:hint="default"/>
        <w:lang w:val="en-US" w:eastAsia="en-US" w:bidi="ar-SA"/>
      </w:rPr>
    </w:lvl>
    <w:lvl w:ilvl="4">
      <w:start w:val="0"/>
      <w:numFmt w:val="bullet"/>
      <w:lvlText w:val="•"/>
      <w:lvlJc w:val="left"/>
      <w:pPr>
        <w:ind w:left="4308" w:hanging="132"/>
      </w:pPr>
      <w:rPr>
        <w:rFonts w:hint="default"/>
        <w:lang w:val="en-US" w:eastAsia="en-US" w:bidi="ar-SA"/>
      </w:rPr>
    </w:lvl>
    <w:lvl w:ilvl="5">
      <w:start w:val="0"/>
      <w:numFmt w:val="bullet"/>
      <w:lvlText w:val="•"/>
      <w:lvlJc w:val="left"/>
      <w:pPr>
        <w:ind w:left="5291" w:hanging="132"/>
      </w:pPr>
      <w:rPr>
        <w:rFonts w:hint="default"/>
        <w:lang w:val="en-US" w:eastAsia="en-US" w:bidi="ar-SA"/>
      </w:rPr>
    </w:lvl>
    <w:lvl w:ilvl="6">
      <w:start w:val="0"/>
      <w:numFmt w:val="bullet"/>
      <w:lvlText w:val="•"/>
      <w:lvlJc w:val="left"/>
      <w:pPr>
        <w:ind w:left="6274" w:hanging="132"/>
      </w:pPr>
      <w:rPr>
        <w:rFonts w:hint="default"/>
        <w:lang w:val="en-US" w:eastAsia="en-US" w:bidi="ar-SA"/>
      </w:rPr>
    </w:lvl>
    <w:lvl w:ilvl="7">
      <w:start w:val="0"/>
      <w:numFmt w:val="bullet"/>
      <w:lvlText w:val="•"/>
      <w:lvlJc w:val="left"/>
      <w:pPr>
        <w:ind w:left="7257" w:hanging="132"/>
      </w:pPr>
      <w:rPr>
        <w:rFonts w:hint="default"/>
        <w:lang w:val="en-US" w:eastAsia="en-US" w:bidi="ar-SA"/>
      </w:rPr>
    </w:lvl>
    <w:lvl w:ilvl="8">
      <w:start w:val="0"/>
      <w:numFmt w:val="bullet"/>
      <w:lvlText w:val="•"/>
      <w:lvlJc w:val="left"/>
      <w:pPr>
        <w:ind w:left="8239" w:hanging="132"/>
      </w:pPr>
      <w:rPr>
        <w:rFonts w:hint="default"/>
        <w:lang w:val="en-US" w:eastAsia="en-US" w:bidi="ar-SA"/>
      </w:rPr>
    </w:lvl>
  </w:abstractNum>
  <w:abstractNum w:abstractNumId="37">
    <w:multiLevelType w:val="hybridMultilevel"/>
    <w:lvl w:ilvl="0">
      <w:start w:val="7"/>
      <w:numFmt w:val="decimal"/>
      <w:lvlText w:val="%1"/>
      <w:lvlJc w:val="left"/>
      <w:pPr>
        <w:ind w:left="1354" w:hanging="646"/>
        <w:jc w:val="left"/>
      </w:pPr>
      <w:rPr>
        <w:rFonts w:hint="default"/>
        <w:lang w:val="en-US" w:eastAsia="en-US" w:bidi="ar-SA"/>
      </w:rPr>
    </w:lvl>
    <w:lvl w:ilvl="1">
      <w:start w:val="1"/>
      <w:numFmt w:val="decimal"/>
      <w:lvlText w:val="%1.%2"/>
      <w:lvlJc w:val="left"/>
      <w:pPr>
        <w:ind w:left="1354" w:hanging="646"/>
        <w:jc w:val="right"/>
      </w:pPr>
      <w:rPr>
        <w:rFonts w:hint="default"/>
        <w:spacing w:val="0"/>
        <w:w w:val="102"/>
        <w:lang w:val="en-US" w:eastAsia="en-US" w:bidi="ar-SA"/>
      </w:rPr>
    </w:lvl>
    <w:lvl w:ilvl="2">
      <w:start w:val="0"/>
      <w:numFmt w:val="bullet"/>
      <w:lvlText w:val="•"/>
      <w:lvlJc w:val="left"/>
      <w:pPr>
        <w:ind w:left="142" w:hanging="152"/>
      </w:pPr>
      <w:rPr>
        <w:rFonts w:hint="default" w:ascii="Times New Roman" w:hAnsi="Times New Roman" w:eastAsia="Times New Roman" w:cs="Times New Roman"/>
        <w:b w:val="0"/>
        <w:bCs w:val="0"/>
        <w:i w:val="0"/>
        <w:iCs w:val="0"/>
        <w:spacing w:val="0"/>
        <w:w w:val="101"/>
        <w:sz w:val="22"/>
        <w:szCs w:val="22"/>
        <w:lang w:val="en-US" w:eastAsia="en-US" w:bidi="ar-SA"/>
      </w:rPr>
    </w:lvl>
    <w:lvl w:ilvl="3">
      <w:start w:val="0"/>
      <w:numFmt w:val="bullet"/>
      <w:lvlText w:val="•"/>
      <w:lvlJc w:val="left"/>
      <w:pPr>
        <w:ind w:left="3325" w:hanging="152"/>
      </w:pPr>
      <w:rPr>
        <w:rFonts w:hint="default"/>
        <w:lang w:val="en-US" w:eastAsia="en-US" w:bidi="ar-SA"/>
      </w:rPr>
    </w:lvl>
    <w:lvl w:ilvl="4">
      <w:start w:val="0"/>
      <w:numFmt w:val="bullet"/>
      <w:lvlText w:val="•"/>
      <w:lvlJc w:val="left"/>
      <w:pPr>
        <w:ind w:left="4308" w:hanging="152"/>
      </w:pPr>
      <w:rPr>
        <w:rFonts w:hint="default"/>
        <w:lang w:val="en-US" w:eastAsia="en-US" w:bidi="ar-SA"/>
      </w:rPr>
    </w:lvl>
    <w:lvl w:ilvl="5">
      <w:start w:val="0"/>
      <w:numFmt w:val="bullet"/>
      <w:lvlText w:val="•"/>
      <w:lvlJc w:val="left"/>
      <w:pPr>
        <w:ind w:left="5291" w:hanging="152"/>
      </w:pPr>
      <w:rPr>
        <w:rFonts w:hint="default"/>
        <w:lang w:val="en-US" w:eastAsia="en-US" w:bidi="ar-SA"/>
      </w:rPr>
    </w:lvl>
    <w:lvl w:ilvl="6">
      <w:start w:val="0"/>
      <w:numFmt w:val="bullet"/>
      <w:lvlText w:val="•"/>
      <w:lvlJc w:val="left"/>
      <w:pPr>
        <w:ind w:left="6274" w:hanging="152"/>
      </w:pPr>
      <w:rPr>
        <w:rFonts w:hint="default"/>
        <w:lang w:val="en-US" w:eastAsia="en-US" w:bidi="ar-SA"/>
      </w:rPr>
    </w:lvl>
    <w:lvl w:ilvl="7">
      <w:start w:val="0"/>
      <w:numFmt w:val="bullet"/>
      <w:lvlText w:val="•"/>
      <w:lvlJc w:val="left"/>
      <w:pPr>
        <w:ind w:left="7257" w:hanging="152"/>
      </w:pPr>
      <w:rPr>
        <w:rFonts w:hint="default"/>
        <w:lang w:val="en-US" w:eastAsia="en-US" w:bidi="ar-SA"/>
      </w:rPr>
    </w:lvl>
    <w:lvl w:ilvl="8">
      <w:start w:val="0"/>
      <w:numFmt w:val="bullet"/>
      <w:lvlText w:val="•"/>
      <w:lvlJc w:val="left"/>
      <w:pPr>
        <w:ind w:left="8239" w:hanging="152"/>
      </w:pPr>
      <w:rPr>
        <w:rFonts w:hint="default"/>
        <w:lang w:val="en-US" w:eastAsia="en-US" w:bidi="ar-SA"/>
      </w:rPr>
    </w:lvl>
  </w:abstractNum>
  <w:abstractNum w:abstractNumId="36">
    <w:multiLevelType w:val="hybridMultilevel"/>
    <w:lvl w:ilvl="0">
      <w:start w:val="6"/>
      <w:numFmt w:val="decimal"/>
      <w:lvlText w:val="%1"/>
      <w:lvlJc w:val="left"/>
      <w:pPr>
        <w:ind w:left="1354" w:hanging="646"/>
        <w:jc w:val="left"/>
      </w:pPr>
      <w:rPr>
        <w:rFonts w:hint="default"/>
        <w:lang w:val="en-US" w:eastAsia="en-US" w:bidi="ar-SA"/>
      </w:rPr>
    </w:lvl>
    <w:lvl w:ilvl="1">
      <w:start w:val="4"/>
      <w:numFmt w:val="decimal"/>
      <w:lvlText w:val="%1.%2"/>
      <w:lvlJc w:val="left"/>
      <w:pPr>
        <w:ind w:left="1354" w:hanging="646"/>
        <w:jc w:val="right"/>
      </w:pPr>
      <w:rPr>
        <w:rFonts w:hint="default" w:ascii="Times New Roman" w:hAnsi="Times New Roman" w:eastAsia="Times New Roman" w:cs="Times New Roman"/>
        <w:b/>
        <w:bCs/>
        <w:i w:val="0"/>
        <w:iCs w:val="0"/>
        <w:spacing w:val="0"/>
        <w:w w:val="102"/>
        <w:sz w:val="28"/>
        <w:szCs w:val="28"/>
        <w:lang w:val="en-US" w:eastAsia="en-US" w:bidi="ar-SA"/>
      </w:rPr>
    </w:lvl>
    <w:lvl w:ilvl="2">
      <w:start w:val="1"/>
      <w:numFmt w:val="decimal"/>
      <w:lvlText w:val="%1.%2.%3"/>
      <w:lvlJc w:val="left"/>
      <w:pPr>
        <w:ind w:left="1426" w:hanging="718"/>
        <w:jc w:val="righ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3372" w:hanging="718"/>
      </w:pPr>
      <w:rPr>
        <w:rFonts w:hint="default"/>
        <w:lang w:val="en-US" w:eastAsia="en-US" w:bidi="ar-SA"/>
      </w:rPr>
    </w:lvl>
    <w:lvl w:ilvl="4">
      <w:start w:val="0"/>
      <w:numFmt w:val="bullet"/>
      <w:lvlText w:val="•"/>
      <w:lvlJc w:val="left"/>
      <w:pPr>
        <w:ind w:left="4348" w:hanging="718"/>
      </w:pPr>
      <w:rPr>
        <w:rFonts w:hint="default"/>
        <w:lang w:val="en-US" w:eastAsia="en-US" w:bidi="ar-SA"/>
      </w:rPr>
    </w:lvl>
    <w:lvl w:ilvl="5">
      <w:start w:val="0"/>
      <w:numFmt w:val="bullet"/>
      <w:lvlText w:val="•"/>
      <w:lvlJc w:val="left"/>
      <w:pPr>
        <w:ind w:left="5324" w:hanging="718"/>
      </w:pPr>
      <w:rPr>
        <w:rFonts w:hint="default"/>
        <w:lang w:val="en-US" w:eastAsia="en-US" w:bidi="ar-SA"/>
      </w:rPr>
    </w:lvl>
    <w:lvl w:ilvl="6">
      <w:start w:val="0"/>
      <w:numFmt w:val="bullet"/>
      <w:lvlText w:val="•"/>
      <w:lvlJc w:val="left"/>
      <w:pPr>
        <w:ind w:left="6300" w:hanging="718"/>
      </w:pPr>
      <w:rPr>
        <w:rFonts w:hint="default"/>
        <w:lang w:val="en-US" w:eastAsia="en-US" w:bidi="ar-SA"/>
      </w:rPr>
    </w:lvl>
    <w:lvl w:ilvl="7">
      <w:start w:val="0"/>
      <w:numFmt w:val="bullet"/>
      <w:lvlText w:val="•"/>
      <w:lvlJc w:val="left"/>
      <w:pPr>
        <w:ind w:left="7277" w:hanging="718"/>
      </w:pPr>
      <w:rPr>
        <w:rFonts w:hint="default"/>
        <w:lang w:val="en-US" w:eastAsia="en-US" w:bidi="ar-SA"/>
      </w:rPr>
    </w:lvl>
    <w:lvl w:ilvl="8">
      <w:start w:val="0"/>
      <w:numFmt w:val="bullet"/>
      <w:lvlText w:val="•"/>
      <w:lvlJc w:val="left"/>
      <w:pPr>
        <w:ind w:left="8253" w:hanging="718"/>
      </w:pPr>
      <w:rPr>
        <w:rFonts w:hint="default"/>
        <w:lang w:val="en-US" w:eastAsia="en-US" w:bidi="ar-SA"/>
      </w:rPr>
    </w:lvl>
  </w:abstractNum>
  <w:abstractNum w:abstractNumId="35">
    <w:multiLevelType w:val="hybridMultilevel"/>
    <w:lvl w:ilvl="0">
      <w:start w:val="6"/>
      <w:numFmt w:val="decimal"/>
      <w:lvlText w:val="%1"/>
      <w:lvlJc w:val="left"/>
      <w:pPr>
        <w:ind w:left="1354" w:hanging="646"/>
        <w:jc w:val="left"/>
      </w:pPr>
      <w:rPr>
        <w:rFonts w:hint="default"/>
        <w:lang w:val="en-US" w:eastAsia="en-US" w:bidi="ar-SA"/>
      </w:rPr>
    </w:lvl>
    <w:lvl w:ilvl="1">
      <w:start w:val="1"/>
      <w:numFmt w:val="decimal"/>
      <w:lvlText w:val="%1.%2"/>
      <w:lvlJc w:val="left"/>
      <w:pPr>
        <w:ind w:left="1354" w:hanging="646"/>
        <w:jc w:val="right"/>
      </w:pPr>
      <w:rPr>
        <w:rFonts w:hint="default"/>
        <w:spacing w:val="0"/>
        <w:w w:val="102"/>
        <w:lang w:val="en-US" w:eastAsia="en-US" w:bidi="ar-SA"/>
      </w:rPr>
    </w:lvl>
    <w:lvl w:ilvl="2">
      <w:start w:val="0"/>
      <w:numFmt w:val="bullet"/>
      <w:lvlText w:val="•"/>
      <w:lvlJc w:val="left"/>
      <w:pPr>
        <w:ind w:left="3129" w:hanging="646"/>
      </w:pPr>
      <w:rPr>
        <w:rFonts w:hint="default"/>
        <w:lang w:val="en-US" w:eastAsia="en-US" w:bidi="ar-SA"/>
      </w:rPr>
    </w:lvl>
    <w:lvl w:ilvl="3">
      <w:start w:val="0"/>
      <w:numFmt w:val="bullet"/>
      <w:lvlText w:val="•"/>
      <w:lvlJc w:val="left"/>
      <w:pPr>
        <w:ind w:left="4013" w:hanging="646"/>
      </w:pPr>
      <w:rPr>
        <w:rFonts w:hint="default"/>
        <w:lang w:val="en-US" w:eastAsia="en-US" w:bidi="ar-SA"/>
      </w:rPr>
    </w:lvl>
    <w:lvl w:ilvl="4">
      <w:start w:val="0"/>
      <w:numFmt w:val="bullet"/>
      <w:lvlText w:val="•"/>
      <w:lvlJc w:val="left"/>
      <w:pPr>
        <w:ind w:left="4898" w:hanging="646"/>
      </w:pPr>
      <w:rPr>
        <w:rFonts w:hint="default"/>
        <w:lang w:val="en-US" w:eastAsia="en-US" w:bidi="ar-SA"/>
      </w:rPr>
    </w:lvl>
    <w:lvl w:ilvl="5">
      <w:start w:val="0"/>
      <w:numFmt w:val="bullet"/>
      <w:lvlText w:val="•"/>
      <w:lvlJc w:val="left"/>
      <w:pPr>
        <w:ind w:left="5782" w:hanging="646"/>
      </w:pPr>
      <w:rPr>
        <w:rFonts w:hint="default"/>
        <w:lang w:val="en-US" w:eastAsia="en-US" w:bidi="ar-SA"/>
      </w:rPr>
    </w:lvl>
    <w:lvl w:ilvl="6">
      <w:start w:val="0"/>
      <w:numFmt w:val="bullet"/>
      <w:lvlText w:val="•"/>
      <w:lvlJc w:val="left"/>
      <w:pPr>
        <w:ind w:left="6667" w:hanging="646"/>
      </w:pPr>
      <w:rPr>
        <w:rFonts w:hint="default"/>
        <w:lang w:val="en-US" w:eastAsia="en-US" w:bidi="ar-SA"/>
      </w:rPr>
    </w:lvl>
    <w:lvl w:ilvl="7">
      <w:start w:val="0"/>
      <w:numFmt w:val="bullet"/>
      <w:lvlText w:val="•"/>
      <w:lvlJc w:val="left"/>
      <w:pPr>
        <w:ind w:left="7551" w:hanging="646"/>
      </w:pPr>
      <w:rPr>
        <w:rFonts w:hint="default"/>
        <w:lang w:val="en-US" w:eastAsia="en-US" w:bidi="ar-SA"/>
      </w:rPr>
    </w:lvl>
    <w:lvl w:ilvl="8">
      <w:start w:val="0"/>
      <w:numFmt w:val="bullet"/>
      <w:lvlText w:val="•"/>
      <w:lvlJc w:val="left"/>
      <w:pPr>
        <w:ind w:left="8436" w:hanging="646"/>
      </w:pPr>
      <w:rPr>
        <w:rFonts w:hint="default"/>
        <w:lang w:val="en-US" w:eastAsia="en-US" w:bidi="ar-SA"/>
      </w:rPr>
    </w:lvl>
  </w:abstractNum>
  <w:abstractNum w:abstractNumId="34">
    <w:multiLevelType w:val="hybridMultilevel"/>
    <w:lvl w:ilvl="0">
      <w:start w:val="5"/>
      <w:numFmt w:val="decimal"/>
      <w:lvlText w:val="%1"/>
      <w:lvlJc w:val="left"/>
      <w:pPr>
        <w:ind w:left="1498" w:hanging="790"/>
        <w:jc w:val="left"/>
      </w:pPr>
      <w:rPr>
        <w:rFonts w:hint="default"/>
        <w:lang w:val="en-US" w:eastAsia="en-US" w:bidi="ar-SA"/>
      </w:rPr>
    </w:lvl>
    <w:lvl w:ilvl="1">
      <w:start w:val="10"/>
      <w:numFmt w:val="decimal"/>
      <w:lvlText w:val="%1.%2"/>
      <w:lvlJc w:val="left"/>
      <w:pPr>
        <w:ind w:left="1498" w:hanging="790"/>
        <w:jc w:val="right"/>
      </w:pPr>
      <w:rPr>
        <w:rFonts w:hint="default" w:ascii="Times New Roman" w:hAnsi="Times New Roman" w:eastAsia="Times New Roman" w:cs="Times New Roman"/>
        <w:b/>
        <w:bCs/>
        <w:i w:val="0"/>
        <w:iCs w:val="0"/>
        <w:spacing w:val="0"/>
        <w:w w:val="102"/>
        <w:sz w:val="28"/>
        <w:szCs w:val="28"/>
        <w:lang w:val="en-US" w:eastAsia="en-US" w:bidi="ar-SA"/>
      </w:rPr>
    </w:lvl>
    <w:lvl w:ilvl="2">
      <w:start w:val="0"/>
      <w:numFmt w:val="bullet"/>
      <w:lvlText w:val="•"/>
      <w:lvlJc w:val="left"/>
      <w:pPr>
        <w:ind w:left="3241" w:hanging="790"/>
      </w:pPr>
      <w:rPr>
        <w:rFonts w:hint="default"/>
        <w:lang w:val="en-US" w:eastAsia="en-US" w:bidi="ar-SA"/>
      </w:rPr>
    </w:lvl>
    <w:lvl w:ilvl="3">
      <w:start w:val="0"/>
      <w:numFmt w:val="bullet"/>
      <w:lvlText w:val="•"/>
      <w:lvlJc w:val="left"/>
      <w:pPr>
        <w:ind w:left="4111" w:hanging="790"/>
      </w:pPr>
      <w:rPr>
        <w:rFonts w:hint="default"/>
        <w:lang w:val="en-US" w:eastAsia="en-US" w:bidi="ar-SA"/>
      </w:rPr>
    </w:lvl>
    <w:lvl w:ilvl="4">
      <w:start w:val="0"/>
      <w:numFmt w:val="bullet"/>
      <w:lvlText w:val="•"/>
      <w:lvlJc w:val="left"/>
      <w:pPr>
        <w:ind w:left="4982" w:hanging="790"/>
      </w:pPr>
      <w:rPr>
        <w:rFonts w:hint="default"/>
        <w:lang w:val="en-US" w:eastAsia="en-US" w:bidi="ar-SA"/>
      </w:rPr>
    </w:lvl>
    <w:lvl w:ilvl="5">
      <w:start w:val="0"/>
      <w:numFmt w:val="bullet"/>
      <w:lvlText w:val="•"/>
      <w:lvlJc w:val="left"/>
      <w:pPr>
        <w:ind w:left="5852" w:hanging="790"/>
      </w:pPr>
      <w:rPr>
        <w:rFonts w:hint="default"/>
        <w:lang w:val="en-US" w:eastAsia="en-US" w:bidi="ar-SA"/>
      </w:rPr>
    </w:lvl>
    <w:lvl w:ilvl="6">
      <w:start w:val="0"/>
      <w:numFmt w:val="bullet"/>
      <w:lvlText w:val="•"/>
      <w:lvlJc w:val="left"/>
      <w:pPr>
        <w:ind w:left="6723" w:hanging="790"/>
      </w:pPr>
      <w:rPr>
        <w:rFonts w:hint="default"/>
        <w:lang w:val="en-US" w:eastAsia="en-US" w:bidi="ar-SA"/>
      </w:rPr>
    </w:lvl>
    <w:lvl w:ilvl="7">
      <w:start w:val="0"/>
      <w:numFmt w:val="bullet"/>
      <w:lvlText w:val="•"/>
      <w:lvlJc w:val="left"/>
      <w:pPr>
        <w:ind w:left="7593" w:hanging="790"/>
      </w:pPr>
      <w:rPr>
        <w:rFonts w:hint="default"/>
        <w:lang w:val="en-US" w:eastAsia="en-US" w:bidi="ar-SA"/>
      </w:rPr>
    </w:lvl>
    <w:lvl w:ilvl="8">
      <w:start w:val="0"/>
      <w:numFmt w:val="bullet"/>
      <w:lvlText w:val="•"/>
      <w:lvlJc w:val="left"/>
      <w:pPr>
        <w:ind w:left="8464" w:hanging="790"/>
      </w:pPr>
      <w:rPr>
        <w:rFonts w:hint="default"/>
        <w:lang w:val="en-US" w:eastAsia="en-US" w:bidi="ar-SA"/>
      </w:rPr>
    </w:lvl>
  </w:abstractNum>
  <w:abstractNum w:abstractNumId="33">
    <w:multiLevelType w:val="hybridMultilevel"/>
    <w:lvl w:ilvl="0">
      <w:start w:val="5"/>
      <w:numFmt w:val="decimal"/>
      <w:lvlText w:val="%1"/>
      <w:lvlJc w:val="left"/>
      <w:pPr>
        <w:ind w:left="1354" w:hanging="646"/>
        <w:jc w:val="left"/>
      </w:pPr>
      <w:rPr>
        <w:rFonts w:hint="default"/>
        <w:lang w:val="en-US" w:eastAsia="en-US" w:bidi="ar-SA"/>
      </w:rPr>
    </w:lvl>
    <w:lvl w:ilvl="1">
      <w:start w:val="2"/>
      <w:numFmt w:val="decimal"/>
      <w:lvlText w:val="%1.%2"/>
      <w:lvlJc w:val="left"/>
      <w:pPr>
        <w:ind w:left="1354" w:hanging="646"/>
        <w:jc w:val="right"/>
      </w:pPr>
      <w:rPr>
        <w:rFonts w:hint="default" w:ascii="Times New Roman" w:hAnsi="Times New Roman" w:eastAsia="Times New Roman" w:cs="Times New Roman"/>
        <w:b/>
        <w:bCs/>
        <w:i w:val="0"/>
        <w:iCs w:val="0"/>
        <w:spacing w:val="0"/>
        <w:w w:val="102"/>
        <w:sz w:val="28"/>
        <w:szCs w:val="28"/>
        <w:lang w:val="en-US" w:eastAsia="en-US" w:bidi="ar-SA"/>
      </w:rPr>
    </w:lvl>
    <w:lvl w:ilvl="2">
      <w:start w:val="0"/>
      <w:numFmt w:val="bullet"/>
      <w:lvlText w:val="•"/>
      <w:lvlJc w:val="left"/>
      <w:pPr>
        <w:ind w:left="3129" w:hanging="646"/>
      </w:pPr>
      <w:rPr>
        <w:rFonts w:hint="default"/>
        <w:lang w:val="en-US" w:eastAsia="en-US" w:bidi="ar-SA"/>
      </w:rPr>
    </w:lvl>
    <w:lvl w:ilvl="3">
      <w:start w:val="0"/>
      <w:numFmt w:val="bullet"/>
      <w:lvlText w:val="•"/>
      <w:lvlJc w:val="left"/>
      <w:pPr>
        <w:ind w:left="4013" w:hanging="646"/>
      </w:pPr>
      <w:rPr>
        <w:rFonts w:hint="default"/>
        <w:lang w:val="en-US" w:eastAsia="en-US" w:bidi="ar-SA"/>
      </w:rPr>
    </w:lvl>
    <w:lvl w:ilvl="4">
      <w:start w:val="0"/>
      <w:numFmt w:val="bullet"/>
      <w:lvlText w:val="•"/>
      <w:lvlJc w:val="left"/>
      <w:pPr>
        <w:ind w:left="4898" w:hanging="646"/>
      </w:pPr>
      <w:rPr>
        <w:rFonts w:hint="default"/>
        <w:lang w:val="en-US" w:eastAsia="en-US" w:bidi="ar-SA"/>
      </w:rPr>
    </w:lvl>
    <w:lvl w:ilvl="5">
      <w:start w:val="0"/>
      <w:numFmt w:val="bullet"/>
      <w:lvlText w:val="•"/>
      <w:lvlJc w:val="left"/>
      <w:pPr>
        <w:ind w:left="5782" w:hanging="646"/>
      </w:pPr>
      <w:rPr>
        <w:rFonts w:hint="default"/>
        <w:lang w:val="en-US" w:eastAsia="en-US" w:bidi="ar-SA"/>
      </w:rPr>
    </w:lvl>
    <w:lvl w:ilvl="6">
      <w:start w:val="0"/>
      <w:numFmt w:val="bullet"/>
      <w:lvlText w:val="•"/>
      <w:lvlJc w:val="left"/>
      <w:pPr>
        <w:ind w:left="6667" w:hanging="646"/>
      </w:pPr>
      <w:rPr>
        <w:rFonts w:hint="default"/>
        <w:lang w:val="en-US" w:eastAsia="en-US" w:bidi="ar-SA"/>
      </w:rPr>
    </w:lvl>
    <w:lvl w:ilvl="7">
      <w:start w:val="0"/>
      <w:numFmt w:val="bullet"/>
      <w:lvlText w:val="•"/>
      <w:lvlJc w:val="left"/>
      <w:pPr>
        <w:ind w:left="7551" w:hanging="646"/>
      </w:pPr>
      <w:rPr>
        <w:rFonts w:hint="default"/>
        <w:lang w:val="en-US" w:eastAsia="en-US" w:bidi="ar-SA"/>
      </w:rPr>
    </w:lvl>
    <w:lvl w:ilvl="8">
      <w:start w:val="0"/>
      <w:numFmt w:val="bullet"/>
      <w:lvlText w:val="•"/>
      <w:lvlJc w:val="left"/>
      <w:pPr>
        <w:ind w:left="8436" w:hanging="646"/>
      </w:pPr>
      <w:rPr>
        <w:rFonts w:hint="default"/>
        <w:lang w:val="en-US" w:eastAsia="en-US" w:bidi="ar-SA"/>
      </w:rPr>
    </w:lvl>
  </w:abstractNum>
  <w:abstractNum w:abstractNumId="32">
    <w:multiLevelType w:val="hybridMultilevel"/>
    <w:lvl w:ilvl="0">
      <w:start w:val="5"/>
      <w:numFmt w:val="decimal"/>
      <w:lvlText w:val="%1"/>
      <w:lvlJc w:val="left"/>
      <w:pPr>
        <w:ind w:left="1354" w:hanging="646"/>
        <w:jc w:val="left"/>
      </w:pPr>
      <w:rPr>
        <w:rFonts w:hint="default"/>
        <w:lang w:val="en-US" w:eastAsia="en-US" w:bidi="ar-SA"/>
      </w:rPr>
    </w:lvl>
    <w:lvl w:ilvl="1">
      <w:start w:val="1"/>
      <w:numFmt w:val="decimal"/>
      <w:lvlText w:val="%1.%2"/>
      <w:lvlJc w:val="left"/>
      <w:pPr>
        <w:ind w:left="1354" w:hanging="646"/>
        <w:jc w:val="left"/>
      </w:pPr>
      <w:rPr>
        <w:rFonts w:hint="default"/>
        <w:spacing w:val="0"/>
        <w:w w:val="102"/>
        <w:lang w:val="en-US" w:eastAsia="en-US" w:bidi="ar-SA"/>
      </w:rPr>
    </w:lvl>
    <w:lvl w:ilvl="2">
      <w:start w:val="1"/>
      <w:numFmt w:val="decimal"/>
      <w:lvlText w:val="%1.%2.%3"/>
      <w:lvlJc w:val="left"/>
      <w:pPr>
        <w:ind w:left="1426" w:hanging="718"/>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3372" w:hanging="718"/>
      </w:pPr>
      <w:rPr>
        <w:rFonts w:hint="default"/>
        <w:lang w:val="en-US" w:eastAsia="en-US" w:bidi="ar-SA"/>
      </w:rPr>
    </w:lvl>
    <w:lvl w:ilvl="4">
      <w:start w:val="0"/>
      <w:numFmt w:val="bullet"/>
      <w:lvlText w:val="•"/>
      <w:lvlJc w:val="left"/>
      <w:pPr>
        <w:ind w:left="4348" w:hanging="718"/>
      </w:pPr>
      <w:rPr>
        <w:rFonts w:hint="default"/>
        <w:lang w:val="en-US" w:eastAsia="en-US" w:bidi="ar-SA"/>
      </w:rPr>
    </w:lvl>
    <w:lvl w:ilvl="5">
      <w:start w:val="0"/>
      <w:numFmt w:val="bullet"/>
      <w:lvlText w:val="•"/>
      <w:lvlJc w:val="left"/>
      <w:pPr>
        <w:ind w:left="5324" w:hanging="718"/>
      </w:pPr>
      <w:rPr>
        <w:rFonts w:hint="default"/>
        <w:lang w:val="en-US" w:eastAsia="en-US" w:bidi="ar-SA"/>
      </w:rPr>
    </w:lvl>
    <w:lvl w:ilvl="6">
      <w:start w:val="0"/>
      <w:numFmt w:val="bullet"/>
      <w:lvlText w:val="•"/>
      <w:lvlJc w:val="left"/>
      <w:pPr>
        <w:ind w:left="6300" w:hanging="718"/>
      </w:pPr>
      <w:rPr>
        <w:rFonts w:hint="default"/>
        <w:lang w:val="en-US" w:eastAsia="en-US" w:bidi="ar-SA"/>
      </w:rPr>
    </w:lvl>
    <w:lvl w:ilvl="7">
      <w:start w:val="0"/>
      <w:numFmt w:val="bullet"/>
      <w:lvlText w:val="•"/>
      <w:lvlJc w:val="left"/>
      <w:pPr>
        <w:ind w:left="7277" w:hanging="718"/>
      </w:pPr>
      <w:rPr>
        <w:rFonts w:hint="default"/>
        <w:lang w:val="en-US" w:eastAsia="en-US" w:bidi="ar-SA"/>
      </w:rPr>
    </w:lvl>
    <w:lvl w:ilvl="8">
      <w:start w:val="0"/>
      <w:numFmt w:val="bullet"/>
      <w:lvlText w:val="•"/>
      <w:lvlJc w:val="left"/>
      <w:pPr>
        <w:ind w:left="8253" w:hanging="718"/>
      </w:pPr>
      <w:rPr>
        <w:rFonts w:hint="default"/>
        <w:lang w:val="en-US" w:eastAsia="en-US" w:bidi="ar-SA"/>
      </w:rPr>
    </w:lvl>
  </w:abstractNum>
  <w:abstractNum w:abstractNumId="31">
    <w:multiLevelType w:val="hybridMultilevel"/>
    <w:lvl w:ilvl="0">
      <w:start w:val="0"/>
      <w:numFmt w:val="bullet"/>
      <w:lvlText w:val="✓"/>
      <w:lvlJc w:val="left"/>
      <w:pPr>
        <w:ind w:left="251" w:hanging="173"/>
      </w:pPr>
      <w:rPr>
        <w:rFonts w:hint="default" w:ascii="Adobe Clean" w:hAnsi="Adobe Clean" w:eastAsia="Adobe Clean" w:cs="Adobe Clean"/>
        <w:b w:val="0"/>
        <w:bCs w:val="0"/>
        <w:i w:val="0"/>
        <w:iCs w:val="0"/>
        <w:spacing w:val="0"/>
        <w:w w:val="131"/>
        <w:sz w:val="16"/>
        <w:szCs w:val="16"/>
        <w:lang w:val="en-US" w:eastAsia="en-US" w:bidi="ar-SA"/>
      </w:rPr>
    </w:lvl>
    <w:lvl w:ilvl="1">
      <w:start w:val="0"/>
      <w:numFmt w:val="bullet"/>
      <w:lvlText w:val="•"/>
      <w:lvlJc w:val="left"/>
      <w:pPr>
        <w:ind w:left="368" w:hanging="173"/>
      </w:pPr>
      <w:rPr>
        <w:rFonts w:hint="default"/>
        <w:lang w:val="en-US" w:eastAsia="en-US" w:bidi="ar-SA"/>
      </w:rPr>
    </w:lvl>
    <w:lvl w:ilvl="2">
      <w:start w:val="0"/>
      <w:numFmt w:val="bullet"/>
      <w:lvlText w:val="•"/>
      <w:lvlJc w:val="left"/>
      <w:pPr>
        <w:ind w:left="477" w:hanging="173"/>
      </w:pPr>
      <w:rPr>
        <w:rFonts w:hint="default"/>
        <w:lang w:val="en-US" w:eastAsia="en-US" w:bidi="ar-SA"/>
      </w:rPr>
    </w:lvl>
    <w:lvl w:ilvl="3">
      <w:start w:val="0"/>
      <w:numFmt w:val="bullet"/>
      <w:lvlText w:val="•"/>
      <w:lvlJc w:val="left"/>
      <w:pPr>
        <w:ind w:left="586" w:hanging="173"/>
      </w:pPr>
      <w:rPr>
        <w:rFonts w:hint="default"/>
        <w:lang w:val="en-US" w:eastAsia="en-US" w:bidi="ar-SA"/>
      </w:rPr>
    </w:lvl>
    <w:lvl w:ilvl="4">
      <w:start w:val="0"/>
      <w:numFmt w:val="bullet"/>
      <w:lvlText w:val="•"/>
      <w:lvlJc w:val="left"/>
      <w:pPr>
        <w:ind w:left="695" w:hanging="173"/>
      </w:pPr>
      <w:rPr>
        <w:rFonts w:hint="default"/>
        <w:lang w:val="en-US" w:eastAsia="en-US" w:bidi="ar-SA"/>
      </w:rPr>
    </w:lvl>
    <w:lvl w:ilvl="5">
      <w:start w:val="0"/>
      <w:numFmt w:val="bullet"/>
      <w:lvlText w:val="•"/>
      <w:lvlJc w:val="left"/>
      <w:pPr>
        <w:ind w:left="804" w:hanging="173"/>
      </w:pPr>
      <w:rPr>
        <w:rFonts w:hint="default"/>
        <w:lang w:val="en-US" w:eastAsia="en-US" w:bidi="ar-SA"/>
      </w:rPr>
    </w:lvl>
    <w:lvl w:ilvl="6">
      <w:start w:val="0"/>
      <w:numFmt w:val="bullet"/>
      <w:lvlText w:val="•"/>
      <w:lvlJc w:val="left"/>
      <w:pPr>
        <w:ind w:left="912" w:hanging="173"/>
      </w:pPr>
      <w:rPr>
        <w:rFonts w:hint="default"/>
        <w:lang w:val="en-US" w:eastAsia="en-US" w:bidi="ar-SA"/>
      </w:rPr>
    </w:lvl>
    <w:lvl w:ilvl="7">
      <w:start w:val="0"/>
      <w:numFmt w:val="bullet"/>
      <w:lvlText w:val="•"/>
      <w:lvlJc w:val="left"/>
      <w:pPr>
        <w:ind w:left="1021" w:hanging="173"/>
      </w:pPr>
      <w:rPr>
        <w:rFonts w:hint="default"/>
        <w:lang w:val="en-US" w:eastAsia="en-US" w:bidi="ar-SA"/>
      </w:rPr>
    </w:lvl>
    <w:lvl w:ilvl="8">
      <w:start w:val="0"/>
      <w:numFmt w:val="bullet"/>
      <w:lvlText w:val="•"/>
      <w:lvlJc w:val="left"/>
      <w:pPr>
        <w:ind w:left="1130" w:hanging="173"/>
      </w:pPr>
      <w:rPr>
        <w:rFonts w:hint="default"/>
        <w:lang w:val="en-US" w:eastAsia="en-US" w:bidi="ar-SA"/>
      </w:rPr>
    </w:lvl>
  </w:abstractNum>
  <w:abstractNum w:abstractNumId="30">
    <w:multiLevelType w:val="hybridMultilevel"/>
    <w:lvl w:ilvl="0">
      <w:start w:val="0"/>
      <w:numFmt w:val="bullet"/>
      <w:lvlText w:val="✓"/>
      <w:lvlJc w:val="left"/>
      <w:pPr>
        <w:ind w:left="250" w:hanging="173"/>
      </w:pPr>
      <w:rPr>
        <w:rFonts w:hint="default" w:ascii="Adobe Clean" w:hAnsi="Adobe Clean" w:eastAsia="Adobe Clean" w:cs="Adobe Clean"/>
        <w:b w:val="0"/>
        <w:bCs w:val="0"/>
        <w:i w:val="0"/>
        <w:iCs w:val="0"/>
        <w:spacing w:val="0"/>
        <w:w w:val="131"/>
        <w:sz w:val="16"/>
        <w:szCs w:val="16"/>
        <w:lang w:val="en-US" w:eastAsia="en-US" w:bidi="ar-SA"/>
      </w:rPr>
    </w:lvl>
    <w:lvl w:ilvl="1">
      <w:start w:val="0"/>
      <w:numFmt w:val="bullet"/>
      <w:lvlText w:val="•"/>
      <w:lvlJc w:val="left"/>
      <w:pPr>
        <w:ind w:left="363" w:hanging="173"/>
      </w:pPr>
      <w:rPr>
        <w:rFonts w:hint="default"/>
        <w:lang w:val="en-US" w:eastAsia="en-US" w:bidi="ar-SA"/>
      </w:rPr>
    </w:lvl>
    <w:lvl w:ilvl="2">
      <w:start w:val="0"/>
      <w:numFmt w:val="bullet"/>
      <w:lvlText w:val="•"/>
      <w:lvlJc w:val="left"/>
      <w:pPr>
        <w:ind w:left="466" w:hanging="173"/>
      </w:pPr>
      <w:rPr>
        <w:rFonts w:hint="default"/>
        <w:lang w:val="en-US" w:eastAsia="en-US" w:bidi="ar-SA"/>
      </w:rPr>
    </w:lvl>
    <w:lvl w:ilvl="3">
      <w:start w:val="0"/>
      <w:numFmt w:val="bullet"/>
      <w:lvlText w:val="•"/>
      <w:lvlJc w:val="left"/>
      <w:pPr>
        <w:ind w:left="569" w:hanging="173"/>
      </w:pPr>
      <w:rPr>
        <w:rFonts w:hint="default"/>
        <w:lang w:val="en-US" w:eastAsia="en-US" w:bidi="ar-SA"/>
      </w:rPr>
    </w:lvl>
    <w:lvl w:ilvl="4">
      <w:start w:val="0"/>
      <w:numFmt w:val="bullet"/>
      <w:lvlText w:val="•"/>
      <w:lvlJc w:val="left"/>
      <w:pPr>
        <w:ind w:left="672" w:hanging="173"/>
      </w:pPr>
      <w:rPr>
        <w:rFonts w:hint="default"/>
        <w:lang w:val="en-US" w:eastAsia="en-US" w:bidi="ar-SA"/>
      </w:rPr>
    </w:lvl>
    <w:lvl w:ilvl="5">
      <w:start w:val="0"/>
      <w:numFmt w:val="bullet"/>
      <w:lvlText w:val="•"/>
      <w:lvlJc w:val="left"/>
      <w:pPr>
        <w:ind w:left="775" w:hanging="173"/>
      </w:pPr>
      <w:rPr>
        <w:rFonts w:hint="default"/>
        <w:lang w:val="en-US" w:eastAsia="en-US" w:bidi="ar-SA"/>
      </w:rPr>
    </w:lvl>
    <w:lvl w:ilvl="6">
      <w:start w:val="0"/>
      <w:numFmt w:val="bullet"/>
      <w:lvlText w:val="•"/>
      <w:lvlJc w:val="left"/>
      <w:pPr>
        <w:ind w:left="878" w:hanging="173"/>
      </w:pPr>
      <w:rPr>
        <w:rFonts w:hint="default"/>
        <w:lang w:val="en-US" w:eastAsia="en-US" w:bidi="ar-SA"/>
      </w:rPr>
    </w:lvl>
    <w:lvl w:ilvl="7">
      <w:start w:val="0"/>
      <w:numFmt w:val="bullet"/>
      <w:lvlText w:val="•"/>
      <w:lvlJc w:val="left"/>
      <w:pPr>
        <w:ind w:left="981" w:hanging="173"/>
      </w:pPr>
      <w:rPr>
        <w:rFonts w:hint="default"/>
        <w:lang w:val="en-US" w:eastAsia="en-US" w:bidi="ar-SA"/>
      </w:rPr>
    </w:lvl>
    <w:lvl w:ilvl="8">
      <w:start w:val="0"/>
      <w:numFmt w:val="bullet"/>
      <w:lvlText w:val="•"/>
      <w:lvlJc w:val="left"/>
      <w:pPr>
        <w:ind w:left="1084" w:hanging="173"/>
      </w:pPr>
      <w:rPr>
        <w:rFonts w:hint="default"/>
        <w:lang w:val="en-US" w:eastAsia="en-US" w:bidi="ar-SA"/>
      </w:rPr>
    </w:lvl>
  </w:abstractNum>
  <w:abstractNum w:abstractNumId="29">
    <w:multiLevelType w:val="hybridMultilevel"/>
    <w:lvl w:ilvl="0">
      <w:start w:val="0"/>
      <w:numFmt w:val="bullet"/>
      <w:lvlText w:val="✓"/>
      <w:lvlJc w:val="left"/>
      <w:pPr>
        <w:ind w:left="251" w:hanging="173"/>
      </w:pPr>
      <w:rPr>
        <w:rFonts w:hint="default" w:ascii="Adobe Clean" w:hAnsi="Adobe Clean" w:eastAsia="Adobe Clean" w:cs="Adobe Clean"/>
        <w:b w:val="0"/>
        <w:bCs w:val="0"/>
        <w:i w:val="0"/>
        <w:iCs w:val="0"/>
        <w:spacing w:val="0"/>
        <w:w w:val="131"/>
        <w:sz w:val="16"/>
        <w:szCs w:val="16"/>
        <w:lang w:val="en-US" w:eastAsia="en-US" w:bidi="ar-SA"/>
      </w:rPr>
    </w:lvl>
    <w:lvl w:ilvl="1">
      <w:start w:val="0"/>
      <w:numFmt w:val="bullet"/>
      <w:lvlText w:val="•"/>
      <w:lvlJc w:val="left"/>
      <w:pPr>
        <w:ind w:left="368" w:hanging="173"/>
      </w:pPr>
      <w:rPr>
        <w:rFonts w:hint="default"/>
        <w:lang w:val="en-US" w:eastAsia="en-US" w:bidi="ar-SA"/>
      </w:rPr>
    </w:lvl>
    <w:lvl w:ilvl="2">
      <w:start w:val="0"/>
      <w:numFmt w:val="bullet"/>
      <w:lvlText w:val="•"/>
      <w:lvlJc w:val="left"/>
      <w:pPr>
        <w:ind w:left="477" w:hanging="173"/>
      </w:pPr>
      <w:rPr>
        <w:rFonts w:hint="default"/>
        <w:lang w:val="en-US" w:eastAsia="en-US" w:bidi="ar-SA"/>
      </w:rPr>
    </w:lvl>
    <w:lvl w:ilvl="3">
      <w:start w:val="0"/>
      <w:numFmt w:val="bullet"/>
      <w:lvlText w:val="•"/>
      <w:lvlJc w:val="left"/>
      <w:pPr>
        <w:ind w:left="586" w:hanging="173"/>
      </w:pPr>
      <w:rPr>
        <w:rFonts w:hint="default"/>
        <w:lang w:val="en-US" w:eastAsia="en-US" w:bidi="ar-SA"/>
      </w:rPr>
    </w:lvl>
    <w:lvl w:ilvl="4">
      <w:start w:val="0"/>
      <w:numFmt w:val="bullet"/>
      <w:lvlText w:val="•"/>
      <w:lvlJc w:val="left"/>
      <w:pPr>
        <w:ind w:left="695" w:hanging="173"/>
      </w:pPr>
      <w:rPr>
        <w:rFonts w:hint="default"/>
        <w:lang w:val="en-US" w:eastAsia="en-US" w:bidi="ar-SA"/>
      </w:rPr>
    </w:lvl>
    <w:lvl w:ilvl="5">
      <w:start w:val="0"/>
      <w:numFmt w:val="bullet"/>
      <w:lvlText w:val="•"/>
      <w:lvlJc w:val="left"/>
      <w:pPr>
        <w:ind w:left="804" w:hanging="173"/>
      </w:pPr>
      <w:rPr>
        <w:rFonts w:hint="default"/>
        <w:lang w:val="en-US" w:eastAsia="en-US" w:bidi="ar-SA"/>
      </w:rPr>
    </w:lvl>
    <w:lvl w:ilvl="6">
      <w:start w:val="0"/>
      <w:numFmt w:val="bullet"/>
      <w:lvlText w:val="•"/>
      <w:lvlJc w:val="left"/>
      <w:pPr>
        <w:ind w:left="912" w:hanging="173"/>
      </w:pPr>
      <w:rPr>
        <w:rFonts w:hint="default"/>
        <w:lang w:val="en-US" w:eastAsia="en-US" w:bidi="ar-SA"/>
      </w:rPr>
    </w:lvl>
    <w:lvl w:ilvl="7">
      <w:start w:val="0"/>
      <w:numFmt w:val="bullet"/>
      <w:lvlText w:val="•"/>
      <w:lvlJc w:val="left"/>
      <w:pPr>
        <w:ind w:left="1021" w:hanging="173"/>
      </w:pPr>
      <w:rPr>
        <w:rFonts w:hint="default"/>
        <w:lang w:val="en-US" w:eastAsia="en-US" w:bidi="ar-SA"/>
      </w:rPr>
    </w:lvl>
    <w:lvl w:ilvl="8">
      <w:start w:val="0"/>
      <w:numFmt w:val="bullet"/>
      <w:lvlText w:val="•"/>
      <w:lvlJc w:val="left"/>
      <w:pPr>
        <w:ind w:left="1130" w:hanging="173"/>
      </w:pPr>
      <w:rPr>
        <w:rFonts w:hint="default"/>
        <w:lang w:val="en-US" w:eastAsia="en-US" w:bidi="ar-SA"/>
      </w:rPr>
    </w:lvl>
  </w:abstractNum>
  <w:abstractNum w:abstractNumId="28">
    <w:multiLevelType w:val="hybridMultilevel"/>
    <w:lvl w:ilvl="0">
      <w:start w:val="0"/>
      <w:numFmt w:val="bullet"/>
      <w:lvlText w:val="✓"/>
      <w:lvlJc w:val="left"/>
      <w:pPr>
        <w:ind w:left="251" w:hanging="173"/>
      </w:pPr>
      <w:rPr>
        <w:rFonts w:hint="default" w:ascii="Adobe Clean" w:hAnsi="Adobe Clean" w:eastAsia="Adobe Clean" w:cs="Adobe Clean"/>
        <w:b w:val="0"/>
        <w:bCs w:val="0"/>
        <w:i w:val="0"/>
        <w:iCs w:val="0"/>
        <w:spacing w:val="0"/>
        <w:w w:val="131"/>
        <w:sz w:val="16"/>
        <w:szCs w:val="16"/>
        <w:lang w:val="en-US" w:eastAsia="en-US" w:bidi="ar-SA"/>
      </w:rPr>
    </w:lvl>
    <w:lvl w:ilvl="1">
      <w:start w:val="0"/>
      <w:numFmt w:val="bullet"/>
      <w:lvlText w:val="•"/>
      <w:lvlJc w:val="left"/>
      <w:pPr>
        <w:ind w:left="408" w:hanging="173"/>
      </w:pPr>
      <w:rPr>
        <w:rFonts w:hint="default"/>
        <w:lang w:val="en-US" w:eastAsia="en-US" w:bidi="ar-SA"/>
      </w:rPr>
    </w:lvl>
    <w:lvl w:ilvl="2">
      <w:start w:val="0"/>
      <w:numFmt w:val="bullet"/>
      <w:lvlText w:val="•"/>
      <w:lvlJc w:val="left"/>
      <w:pPr>
        <w:ind w:left="557" w:hanging="173"/>
      </w:pPr>
      <w:rPr>
        <w:rFonts w:hint="default"/>
        <w:lang w:val="en-US" w:eastAsia="en-US" w:bidi="ar-SA"/>
      </w:rPr>
    </w:lvl>
    <w:lvl w:ilvl="3">
      <w:start w:val="0"/>
      <w:numFmt w:val="bullet"/>
      <w:lvlText w:val="•"/>
      <w:lvlJc w:val="left"/>
      <w:pPr>
        <w:ind w:left="705" w:hanging="173"/>
      </w:pPr>
      <w:rPr>
        <w:rFonts w:hint="default"/>
        <w:lang w:val="en-US" w:eastAsia="en-US" w:bidi="ar-SA"/>
      </w:rPr>
    </w:lvl>
    <w:lvl w:ilvl="4">
      <w:start w:val="0"/>
      <w:numFmt w:val="bullet"/>
      <w:lvlText w:val="•"/>
      <w:lvlJc w:val="left"/>
      <w:pPr>
        <w:ind w:left="854" w:hanging="173"/>
      </w:pPr>
      <w:rPr>
        <w:rFonts w:hint="default"/>
        <w:lang w:val="en-US" w:eastAsia="en-US" w:bidi="ar-SA"/>
      </w:rPr>
    </w:lvl>
    <w:lvl w:ilvl="5">
      <w:start w:val="0"/>
      <w:numFmt w:val="bullet"/>
      <w:lvlText w:val="•"/>
      <w:lvlJc w:val="left"/>
      <w:pPr>
        <w:ind w:left="1002" w:hanging="173"/>
      </w:pPr>
      <w:rPr>
        <w:rFonts w:hint="default"/>
        <w:lang w:val="en-US" w:eastAsia="en-US" w:bidi="ar-SA"/>
      </w:rPr>
    </w:lvl>
    <w:lvl w:ilvl="6">
      <w:start w:val="0"/>
      <w:numFmt w:val="bullet"/>
      <w:lvlText w:val="•"/>
      <w:lvlJc w:val="left"/>
      <w:pPr>
        <w:ind w:left="1151" w:hanging="173"/>
      </w:pPr>
      <w:rPr>
        <w:rFonts w:hint="default"/>
        <w:lang w:val="en-US" w:eastAsia="en-US" w:bidi="ar-SA"/>
      </w:rPr>
    </w:lvl>
    <w:lvl w:ilvl="7">
      <w:start w:val="0"/>
      <w:numFmt w:val="bullet"/>
      <w:lvlText w:val="•"/>
      <w:lvlJc w:val="left"/>
      <w:pPr>
        <w:ind w:left="1299" w:hanging="173"/>
      </w:pPr>
      <w:rPr>
        <w:rFonts w:hint="default"/>
        <w:lang w:val="en-US" w:eastAsia="en-US" w:bidi="ar-SA"/>
      </w:rPr>
    </w:lvl>
    <w:lvl w:ilvl="8">
      <w:start w:val="0"/>
      <w:numFmt w:val="bullet"/>
      <w:lvlText w:val="•"/>
      <w:lvlJc w:val="left"/>
      <w:pPr>
        <w:ind w:left="1448" w:hanging="173"/>
      </w:pPr>
      <w:rPr>
        <w:rFonts w:hint="default"/>
        <w:lang w:val="en-US" w:eastAsia="en-US" w:bidi="ar-SA"/>
      </w:rPr>
    </w:lvl>
  </w:abstractNum>
  <w:abstractNum w:abstractNumId="27">
    <w:multiLevelType w:val="hybridMultilevel"/>
    <w:lvl w:ilvl="0">
      <w:start w:val="0"/>
      <w:numFmt w:val="bullet"/>
      <w:lvlText w:val="✓"/>
      <w:lvlJc w:val="left"/>
      <w:pPr>
        <w:ind w:left="251" w:hanging="173"/>
      </w:pPr>
      <w:rPr>
        <w:rFonts w:hint="default" w:ascii="Adobe Clean" w:hAnsi="Adobe Clean" w:eastAsia="Adobe Clean" w:cs="Adobe Clean"/>
        <w:b w:val="0"/>
        <w:bCs w:val="0"/>
        <w:i w:val="0"/>
        <w:iCs w:val="0"/>
        <w:spacing w:val="0"/>
        <w:w w:val="131"/>
        <w:sz w:val="16"/>
        <w:szCs w:val="16"/>
        <w:lang w:val="en-US" w:eastAsia="en-US" w:bidi="ar-SA"/>
      </w:rPr>
    </w:lvl>
    <w:lvl w:ilvl="1">
      <w:start w:val="0"/>
      <w:numFmt w:val="bullet"/>
      <w:lvlText w:val="•"/>
      <w:lvlJc w:val="left"/>
      <w:pPr>
        <w:ind w:left="408" w:hanging="173"/>
      </w:pPr>
      <w:rPr>
        <w:rFonts w:hint="default"/>
        <w:lang w:val="en-US" w:eastAsia="en-US" w:bidi="ar-SA"/>
      </w:rPr>
    </w:lvl>
    <w:lvl w:ilvl="2">
      <w:start w:val="0"/>
      <w:numFmt w:val="bullet"/>
      <w:lvlText w:val="•"/>
      <w:lvlJc w:val="left"/>
      <w:pPr>
        <w:ind w:left="557" w:hanging="173"/>
      </w:pPr>
      <w:rPr>
        <w:rFonts w:hint="default"/>
        <w:lang w:val="en-US" w:eastAsia="en-US" w:bidi="ar-SA"/>
      </w:rPr>
    </w:lvl>
    <w:lvl w:ilvl="3">
      <w:start w:val="0"/>
      <w:numFmt w:val="bullet"/>
      <w:lvlText w:val="•"/>
      <w:lvlJc w:val="left"/>
      <w:pPr>
        <w:ind w:left="705" w:hanging="173"/>
      </w:pPr>
      <w:rPr>
        <w:rFonts w:hint="default"/>
        <w:lang w:val="en-US" w:eastAsia="en-US" w:bidi="ar-SA"/>
      </w:rPr>
    </w:lvl>
    <w:lvl w:ilvl="4">
      <w:start w:val="0"/>
      <w:numFmt w:val="bullet"/>
      <w:lvlText w:val="•"/>
      <w:lvlJc w:val="left"/>
      <w:pPr>
        <w:ind w:left="854" w:hanging="173"/>
      </w:pPr>
      <w:rPr>
        <w:rFonts w:hint="default"/>
        <w:lang w:val="en-US" w:eastAsia="en-US" w:bidi="ar-SA"/>
      </w:rPr>
    </w:lvl>
    <w:lvl w:ilvl="5">
      <w:start w:val="0"/>
      <w:numFmt w:val="bullet"/>
      <w:lvlText w:val="•"/>
      <w:lvlJc w:val="left"/>
      <w:pPr>
        <w:ind w:left="1002" w:hanging="173"/>
      </w:pPr>
      <w:rPr>
        <w:rFonts w:hint="default"/>
        <w:lang w:val="en-US" w:eastAsia="en-US" w:bidi="ar-SA"/>
      </w:rPr>
    </w:lvl>
    <w:lvl w:ilvl="6">
      <w:start w:val="0"/>
      <w:numFmt w:val="bullet"/>
      <w:lvlText w:val="•"/>
      <w:lvlJc w:val="left"/>
      <w:pPr>
        <w:ind w:left="1151" w:hanging="173"/>
      </w:pPr>
      <w:rPr>
        <w:rFonts w:hint="default"/>
        <w:lang w:val="en-US" w:eastAsia="en-US" w:bidi="ar-SA"/>
      </w:rPr>
    </w:lvl>
    <w:lvl w:ilvl="7">
      <w:start w:val="0"/>
      <w:numFmt w:val="bullet"/>
      <w:lvlText w:val="•"/>
      <w:lvlJc w:val="left"/>
      <w:pPr>
        <w:ind w:left="1299" w:hanging="173"/>
      </w:pPr>
      <w:rPr>
        <w:rFonts w:hint="default"/>
        <w:lang w:val="en-US" w:eastAsia="en-US" w:bidi="ar-SA"/>
      </w:rPr>
    </w:lvl>
    <w:lvl w:ilvl="8">
      <w:start w:val="0"/>
      <w:numFmt w:val="bullet"/>
      <w:lvlText w:val="•"/>
      <w:lvlJc w:val="left"/>
      <w:pPr>
        <w:ind w:left="1448" w:hanging="173"/>
      </w:pPr>
      <w:rPr>
        <w:rFonts w:hint="default"/>
        <w:lang w:val="en-US" w:eastAsia="en-US" w:bidi="ar-SA"/>
      </w:rPr>
    </w:lvl>
  </w:abstractNum>
  <w:abstractNum w:abstractNumId="26">
    <w:multiLevelType w:val="hybridMultilevel"/>
    <w:lvl w:ilvl="0">
      <w:start w:val="0"/>
      <w:numFmt w:val="bullet"/>
      <w:lvlText w:val="✓"/>
      <w:lvlJc w:val="left"/>
      <w:pPr>
        <w:ind w:left="251" w:hanging="173"/>
      </w:pPr>
      <w:rPr>
        <w:rFonts w:hint="default" w:ascii="Adobe Clean" w:hAnsi="Adobe Clean" w:eastAsia="Adobe Clean" w:cs="Adobe Clean"/>
        <w:b w:val="0"/>
        <w:bCs w:val="0"/>
        <w:i w:val="0"/>
        <w:iCs w:val="0"/>
        <w:spacing w:val="0"/>
        <w:w w:val="131"/>
        <w:sz w:val="16"/>
        <w:szCs w:val="16"/>
        <w:lang w:val="en-US" w:eastAsia="en-US" w:bidi="ar-SA"/>
      </w:rPr>
    </w:lvl>
    <w:lvl w:ilvl="1">
      <w:start w:val="0"/>
      <w:numFmt w:val="bullet"/>
      <w:lvlText w:val="•"/>
      <w:lvlJc w:val="left"/>
      <w:pPr>
        <w:ind w:left="368" w:hanging="173"/>
      </w:pPr>
      <w:rPr>
        <w:rFonts w:hint="default"/>
        <w:lang w:val="en-US" w:eastAsia="en-US" w:bidi="ar-SA"/>
      </w:rPr>
    </w:lvl>
    <w:lvl w:ilvl="2">
      <w:start w:val="0"/>
      <w:numFmt w:val="bullet"/>
      <w:lvlText w:val="•"/>
      <w:lvlJc w:val="left"/>
      <w:pPr>
        <w:ind w:left="477" w:hanging="173"/>
      </w:pPr>
      <w:rPr>
        <w:rFonts w:hint="default"/>
        <w:lang w:val="en-US" w:eastAsia="en-US" w:bidi="ar-SA"/>
      </w:rPr>
    </w:lvl>
    <w:lvl w:ilvl="3">
      <w:start w:val="0"/>
      <w:numFmt w:val="bullet"/>
      <w:lvlText w:val="•"/>
      <w:lvlJc w:val="left"/>
      <w:pPr>
        <w:ind w:left="586" w:hanging="173"/>
      </w:pPr>
      <w:rPr>
        <w:rFonts w:hint="default"/>
        <w:lang w:val="en-US" w:eastAsia="en-US" w:bidi="ar-SA"/>
      </w:rPr>
    </w:lvl>
    <w:lvl w:ilvl="4">
      <w:start w:val="0"/>
      <w:numFmt w:val="bullet"/>
      <w:lvlText w:val="•"/>
      <w:lvlJc w:val="left"/>
      <w:pPr>
        <w:ind w:left="695" w:hanging="173"/>
      </w:pPr>
      <w:rPr>
        <w:rFonts w:hint="default"/>
        <w:lang w:val="en-US" w:eastAsia="en-US" w:bidi="ar-SA"/>
      </w:rPr>
    </w:lvl>
    <w:lvl w:ilvl="5">
      <w:start w:val="0"/>
      <w:numFmt w:val="bullet"/>
      <w:lvlText w:val="•"/>
      <w:lvlJc w:val="left"/>
      <w:pPr>
        <w:ind w:left="804" w:hanging="173"/>
      </w:pPr>
      <w:rPr>
        <w:rFonts w:hint="default"/>
        <w:lang w:val="en-US" w:eastAsia="en-US" w:bidi="ar-SA"/>
      </w:rPr>
    </w:lvl>
    <w:lvl w:ilvl="6">
      <w:start w:val="0"/>
      <w:numFmt w:val="bullet"/>
      <w:lvlText w:val="•"/>
      <w:lvlJc w:val="left"/>
      <w:pPr>
        <w:ind w:left="912" w:hanging="173"/>
      </w:pPr>
      <w:rPr>
        <w:rFonts w:hint="default"/>
        <w:lang w:val="en-US" w:eastAsia="en-US" w:bidi="ar-SA"/>
      </w:rPr>
    </w:lvl>
    <w:lvl w:ilvl="7">
      <w:start w:val="0"/>
      <w:numFmt w:val="bullet"/>
      <w:lvlText w:val="•"/>
      <w:lvlJc w:val="left"/>
      <w:pPr>
        <w:ind w:left="1021" w:hanging="173"/>
      </w:pPr>
      <w:rPr>
        <w:rFonts w:hint="default"/>
        <w:lang w:val="en-US" w:eastAsia="en-US" w:bidi="ar-SA"/>
      </w:rPr>
    </w:lvl>
    <w:lvl w:ilvl="8">
      <w:start w:val="0"/>
      <w:numFmt w:val="bullet"/>
      <w:lvlText w:val="•"/>
      <w:lvlJc w:val="left"/>
      <w:pPr>
        <w:ind w:left="1130" w:hanging="173"/>
      </w:pPr>
      <w:rPr>
        <w:rFonts w:hint="default"/>
        <w:lang w:val="en-US" w:eastAsia="en-US" w:bidi="ar-SA"/>
      </w:rPr>
    </w:lvl>
  </w:abstractNum>
  <w:abstractNum w:abstractNumId="25">
    <w:multiLevelType w:val="hybridMultilevel"/>
    <w:lvl w:ilvl="0">
      <w:start w:val="0"/>
      <w:numFmt w:val="bullet"/>
      <w:lvlText w:val="✓"/>
      <w:lvlJc w:val="left"/>
      <w:pPr>
        <w:ind w:left="250" w:hanging="173"/>
      </w:pPr>
      <w:rPr>
        <w:rFonts w:hint="default" w:ascii="Adobe Clean" w:hAnsi="Adobe Clean" w:eastAsia="Adobe Clean" w:cs="Adobe Clean"/>
        <w:b w:val="0"/>
        <w:bCs w:val="0"/>
        <w:i w:val="0"/>
        <w:iCs w:val="0"/>
        <w:spacing w:val="0"/>
        <w:w w:val="131"/>
        <w:sz w:val="16"/>
        <w:szCs w:val="16"/>
        <w:lang w:val="en-US" w:eastAsia="en-US" w:bidi="ar-SA"/>
      </w:rPr>
    </w:lvl>
    <w:lvl w:ilvl="1">
      <w:start w:val="0"/>
      <w:numFmt w:val="bullet"/>
      <w:lvlText w:val="•"/>
      <w:lvlJc w:val="left"/>
      <w:pPr>
        <w:ind w:left="363" w:hanging="173"/>
      </w:pPr>
      <w:rPr>
        <w:rFonts w:hint="default"/>
        <w:lang w:val="en-US" w:eastAsia="en-US" w:bidi="ar-SA"/>
      </w:rPr>
    </w:lvl>
    <w:lvl w:ilvl="2">
      <w:start w:val="0"/>
      <w:numFmt w:val="bullet"/>
      <w:lvlText w:val="•"/>
      <w:lvlJc w:val="left"/>
      <w:pPr>
        <w:ind w:left="466" w:hanging="173"/>
      </w:pPr>
      <w:rPr>
        <w:rFonts w:hint="default"/>
        <w:lang w:val="en-US" w:eastAsia="en-US" w:bidi="ar-SA"/>
      </w:rPr>
    </w:lvl>
    <w:lvl w:ilvl="3">
      <w:start w:val="0"/>
      <w:numFmt w:val="bullet"/>
      <w:lvlText w:val="•"/>
      <w:lvlJc w:val="left"/>
      <w:pPr>
        <w:ind w:left="569" w:hanging="173"/>
      </w:pPr>
      <w:rPr>
        <w:rFonts w:hint="default"/>
        <w:lang w:val="en-US" w:eastAsia="en-US" w:bidi="ar-SA"/>
      </w:rPr>
    </w:lvl>
    <w:lvl w:ilvl="4">
      <w:start w:val="0"/>
      <w:numFmt w:val="bullet"/>
      <w:lvlText w:val="•"/>
      <w:lvlJc w:val="left"/>
      <w:pPr>
        <w:ind w:left="672" w:hanging="173"/>
      </w:pPr>
      <w:rPr>
        <w:rFonts w:hint="default"/>
        <w:lang w:val="en-US" w:eastAsia="en-US" w:bidi="ar-SA"/>
      </w:rPr>
    </w:lvl>
    <w:lvl w:ilvl="5">
      <w:start w:val="0"/>
      <w:numFmt w:val="bullet"/>
      <w:lvlText w:val="•"/>
      <w:lvlJc w:val="left"/>
      <w:pPr>
        <w:ind w:left="775" w:hanging="173"/>
      </w:pPr>
      <w:rPr>
        <w:rFonts w:hint="default"/>
        <w:lang w:val="en-US" w:eastAsia="en-US" w:bidi="ar-SA"/>
      </w:rPr>
    </w:lvl>
    <w:lvl w:ilvl="6">
      <w:start w:val="0"/>
      <w:numFmt w:val="bullet"/>
      <w:lvlText w:val="•"/>
      <w:lvlJc w:val="left"/>
      <w:pPr>
        <w:ind w:left="878" w:hanging="173"/>
      </w:pPr>
      <w:rPr>
        <w:rFonts w:hint="default"/>
        <w:lang w:val="en-US" w:eastAsia="en-US" w:bidi="ar-SA"/>
      </w:rPr>
    </w:lvl>
    <w:lvl w:ilvl="7">
      <w:start w:val="0"/>
      <w:numFmt w:val="bullet"/>
      <w:lvlText w:val="•"/>
      <w:lvlJc w:val="left"/>
      <w:pPr>
        <w:ind w:left="981" w:hanging="173"/>
      </w:pPr>
      <w:rPr>
        <w:rFonts w:hint="default"/>
        <w:lang w:val="en-US" w:eastAsia="en-US" w:bidi="ar-SA"/>
      </w:rPr>
    </w:lvl>
    <w:lvl w:ilvl="8">
      <w:start w:val="0"/>
      <w:numFmt w:val="bullet"/>
      <w:lvlText w:val="•"/>
      <w:lvlJc w:val="left"/>
      <w:pPr>
        <w:ind w:left="1084" w:hanging="173"/>
      </w:pPr>
      <w:rPr>
        <w:rFonts w:hint="default"/>
        <w:lang w:val="en-US" w:eastAsia="en-US" w:bidi="ar-SA"/>
      </w:rPr>
    </w:lvl>
  </w:abstractNum>
  <w:abstractNum w:abstractNumId="24">
    <w:multiLevelType w:val="hybridMultilevel"/>
    <w:lvl w:ilvl="0">
      <w:start w:val="0"/>
      <w:numFmt w:val="bullet"/>
      <w:lvlText w:val="✓"/>
      <w:lvlJc w:val="left"/>
      <w:pPr>
        <w:ind w:left="251" w:hanging="173"/>
      </w:pPr>
      <w:rPr>
        <w:rFonts w:hint="default" w:ascii="Adobe Clean" w:hAnsi="Adobe Clean" w:eastAsia="Adobe Clean" w:cs="Adobe Clean"/>
        <w:b w:val="0"/>
        <w:bCs w:val="0"/>
        <w:i w:val="0"/>
        <w:iCs w:val="0"/>
        <w:spacing w:val="0"/>
        <w:w w:val="131"/>
        <w:sz w:val="16"/>
        <w:szCs w:val="16"/>
        <w:lang w:val="en-US" w:eastAsia="en-US" w:bidi="ar-SA"/>
      </w:rPr>
    </w:lvl>
    <w:lvl w:ilvl="1">
      <w:start w:val="0"/>
      <w:numFmt w:val="bullet"/>
      <w:lvlText w:val="•"/>
      <w:lvlJc w:val="left"/>
      <w:pPr>
        <w:ind w:left="408" w:hanging="173"/>
      </w:pPr>
      <w:rPr>
        <w:rFonts w:hint="default"/>
        <w:lang w:val="en-US" w:eastAsia="en-US" w:bidi="ar-SA"/>
      </w:rPr>
    </w:lvl>
    <w:lvl w:ilvl="2">
      <w:start w:val="0"/>
      <w:numFmt w:val="bullet"/>
      <w:lvlText w:val="•"/>
      <w:lvlJc w:val="left"/>
      <w:pPr>
        <w:ind w:left="557" w:hanging="173"/>
      </w:pPr>
      <w:rPr>
        <w:rFonts w:hint="default"/>
        <w:lang w:val="en-US" w:eastAsia="en-US" w:bidi="ar-SA"/>
      </w:rPr>
    </w:lvl>
    <w:lvl w:ilvl="3">
      <w:start w:val="0"/>
      <w:numFmt w:val="bullet"/>
      <w:lvlText w:val="•"/>
      <w:lvlJc w:val="left"/>
      <w:pPr>
        <w:ind w:left="705" w:hanging="173"/>
      </w:pPr>
      <w:rPr>
        <w:rFonts w:hint="default"/>
        <w:lang w:val="en-US" w:eastAsia="en-US" w:bidi="ar-SA"/>
      </w:rPr>
    </w:lvl>
    <w:lvl w:ilvl="4">
      <w:start w:val="0"/>
      <w:numFmt w:val="bullet"/>
      <w:lvlText w:val="•"/>
      <w:lvlJc w:val="left"/>
      <w:pPr>
        <w:ind w:left="854" w:hanging="173"/>
      </w:pPr>
      <w:rPr>
        <w:rFonts w:hint="default"/>
        <w:lang w:val="en-US" w:eastAsia="en-US" w:bidi="ar-SA"/>
      </w:rPr>
    </w:lvl>
    <w:lvl w:ilvl="5">
      <w:start w:val="0"/>
      <w:numFmt w:val="bullet"/>
      <w:lvlText w:val="•"/>
      <w:lvlJc w:val="left"/>
      <w:pPr>
        <w:ind w:left="1002" w:hanging="173"/>
      </w:pPr>
      <w:rPr>
        <w:rFonts w:hint="default"/>
        <w:lang w:val="en-US" w:eastAsia="en-US" w:bidi="ar-SA"/>
      </w:rPr>
    </w:lvl>
    <w:lvl w:ilvl="6">
      <w:start w:val="0"/>
      <w:numFmt w:val="bullet"/>
      <w:lvlText w:val="•"/>
      <w:lvlJc w:val="left"/>
      <w:pPr>
        <w:ind w:left="1151" w:hanging="173"/>
      </w:pPr>
      <w:rPr>
        <w:rFonts w:hint="default"/>
        <w:lang w:val="en-US" w:eastAsia="en-US" w:bidi="ar-SA"/>
      </w:rPr>
    </w:lvl>
    <w:lvl w:ilvl="7">
      <w:start w:val="0"/>
      <w:numFmt w:val="bullet"/>
      <w:lvlText w:val="•"/>
      <w:lvlJc w:val="left"/>
      <w:pPr>
        <w:ind w:left="1299" w:hanging="173"/>
      </w:pPr>
      <w:rPr>
        <w:rFonts w:hint="default"/>
        <w:lang w:val="en-US" w:eastAsia="en-US" w:bidi="ar-SA"/>
      </w:rPr>
    </w:lvl>
    <w:lvl w:ilvl="8">
      <w:start w:val="0"/>
      <w:numFmt w:val="bullet"/>
      <w:lvlText w:val="•"/>
      <w:lvlJc w:val="left"/>
      <w:pPr>
        <w:ind w:left="1448" w:hanging="173"/>
      </w:pPr>
      <w:rPr>
        <w:rFonts w:hint="default"/>
        <w:lang w:val="en-US" w:eastAsia="en-US" w:bidi="ar-SA"/>
      </w:rPr>
    </w:lvl>
  </w:abstractNum>
  <w:abstractNum w:abstractNumId="23">
    <w:multiLevelType w:val="hybridMultilevel"/>
    <w:lvl w:ilvl="0">
      <w:start w:val="0"/>
      <w:numFmt w:val="bullet"/>
      <w:lvlText w:val="✓"/>
      <w:lvlJc w:val="left"/>
      <w:pPr>
        <w:ind w:left="78" w:hanging="173"/>
      </w:pPr>
      <w:rPr>
        <w:rFonts w:hint="default" w:ascii="Adobe Clean" w:hAnsi="Adobe Clean" w:eastAsia="Adobe Clean" w:cs="Adobe Clean"/>
        <w:b w:val="0"/>
        <w:bCs w:val="0"/>
        <w:i w:val="0"/>
        <w:iCs w:val="0"/>
        <w:spacing w:val="0"/>
        <w:w w:val="131"/>
        <w:sz w:val="16"/>
        <w:szCs w:val="16"/>
        <w:lang w:val="en-US" w:eastAsia="en-US" w:bidi="ar-SA"/>
      </w:rPr>
    </w:lvl>
    <w:lvl w:ilvl="1">
      <w:start w:val="0"/>
      <w:numFmt w:val="bullet"/>
      <w:lvlText w:val="•"/>
      <w:lvlJc w:val="left"/>
      <w:pPr>
        <w:ind w:left="206" w:hanging="173"/>
      </w:pPr>
      <w:rPr>
        <w:rFonts w:hint="default"/>
        <w:lang w:val="en-US" w:eastAsia="en-US" w:bidi="ar-SA"/>
      </w:rPr>
    </w:lvl>
    <w:lvl w:ilvl="2">
      <w:start w:val="0"/>
      <w:numFmt w:val="bullet"/>
      <w:lvlText w:val="•"/>
      <w:lvlJc w:val="left"/>
      <w:pPr>
        <w:ind w:left="333" w:hanging="173"/>
      </w:pPr>
      <w:rPr>
        <w:rFonts w:hint="default"/>
        <w:lang w:val="en-US" w:eastAsia="en-US" w:bidi="ar-SA"/>
      </w:rPr>
    </w:lvl>
    <w:lvl w:ilvl="3">
      <w:start w:val="0"/>
      <w:numFmt w:val="bullet"/>
      <w:lvlText w:val="•"/>
      <w:lvlJc w:val="left"/>
      <w:pPr>
        <w:ind w:left="460" w:hanging="173"/>
      </w:pPr>
      <w:rPr>
        <w:rFonts w:hint="default"/>
        <w:lang w:val="en-US" w:eastAsia="en-US" w:bidi="ar-SA"/>
      </w:rPr>
    </w:lvl>
    <w:lvl w:ilvl="4">
      <w:start w:val="0"/>
      <w:numFmt w:val="bullet"/>
      <w:lvlText w:val="•"/>
      <w:lvlJc w:val="left"/>
      <w:pPr>
        <w:ind w:left="587" w:hanging="173"/>
      </w:pPr>
      <w:rPr>
        <w:rFonts w:hint="default"/>
        <w:lang w:val="en-US" w:eastAsia="en-US" w:bidi="ar-SA"/>
      </w:rPr>
    </w:lvl>
    <w:lvl w:ilvl="5">
      <w:start w:val="0"/>
      <w:numFmt w:val="bullet"/>
      <w:lvlText w:val="•"/>
      <w:lvlJc w:val="left"/>
      <w:pPr>
        <w:ind w:left="714" w:hanging="173"/>
      </w:pPr>
      <w:rPr>
        <w:rFonts w:hint="default"/>
        <w:lang w:val="en-US" w:eastAsia="en-US" w:bidi="ar-SA"/>
      </w:rPr>
    </w:lvl>
    <w:lvl w:ilvl="6">
      <w:start w:val="0"/>
      <w:numFmt w:val="bullet"/>
      <w:lvlText w:val="•"/>
      <w:lvlJc w:val="left"/>
      <w:pPr>
        <w:ind w:left="840" w:hanging="173"/>
      </w:pPr>
      <w:rPr>
        <w:rFonts w:hint="default"/>
        <w:lang w:val="en-US" w:eastAsia="en-US" w:bidi="ar-SA"/>
      </w:rPr>
    </w:lvl>
    <w:lvl w:ilvl="7">
      <w:start w:val="0"/>
      <w:numFmt w:val="bullet"/>
      <w:lvlText w:val="•"/>
      <w:lvlJc w:val="left"/>
      <w:pPr>
        <w:ind w:left="967" w:hanging="173"/>
      </w:pPr>
      <w:rPr>
        <w:rFonts w:hint="default"/>
        <w:lang w:val="en-US" w:eastAsia="en-US" w:bidi="ar-SA"/>
      </w:rPr>
    </w:lvl>
    <w:lvl w:ilvl="8">
      <w:start w:val="0"/>
      <w:numFmt w:val="bullet"/>
      <w:lvlText w:val="•"/>
      <w:lvlJc w:val="left"/>
      <w:pPr>
        <w:ind w:left="1094" w:hanging="173"/>
      </w:pPr>
      <w:rPr>
        <w:rFonts w:hint="default"/>
        <w:lang w:val="en-US" w:eastAsia="en-US" w:bidi="ar-SA"/>
      </w:rPr>
    </w:lvl>
  </w:abstractNum>
  <w:abstractNum w:abstractNumId="22">
    <w:multiLevelType w:val="hybridMultilevel"/>
    <w:lvl w:ilvl="0">
      <w:start w:val="0"/>
      <w:numFmt w:val="bullet"/>
      <w:lvlText w:val="✓"/>
      <w:lvlJc w:val="left"/>
      <w:pPr>
        <w:ind w:left="78" w:hanging="187"/>
      </w:pPr>
      <w:rPr>
        <w:rFonts w:hint="default" w:ascii="Adobe Clean" w:hAnsi="Adobe Clean" w:eastAsia="Adobe Clean" w:cs="Adobe Clean"/>
        <w:b w:val="0"/>
        <w:bCs w:val="0"/>
        <w:i w:val="0"/>
        <w:iCs w:val="0"/>
        <w:spacing w:val="0"/>
        <w:w w:val="131"/>
        <w:sz w:val="16"/>
        <w:szCs w:val="16"/>
        <w:lang w:val="en-US" w:eastAsia="en-US" w:bidi="ar-SA"/>
      </w:rPr>
    </w:lvl>
    <w:lvl w:ilvl="1">
      <w:start w:val="0"/>
      <w:numFmt w:val="bullet"/>
      <w:lvlText w:val="•"/>
      <w:lvlJc w:val="left"/>
      <w:pPr>
        <w:ind w:left="201" w:hanging="187"/>
      </w:pPr>
      <w:rPr>
        <w:rFonts w:hint="default"/>
        <w:lang w:val="en-US" w:eastAsia="en-US" w:bidi="ar-SA"/>
      </w:rPr>
    </w:lvl>
    <w:lvl w:ilvl="2">
      <w:start w:val="0"/>
      <w:numFmt w:val="bullet"/>
      <w:lvlText w:val="•"/>
      <w:lvlJc w:val="left"/>
      <w:pPr>
        <w:ind w:left="322" w:hanging="187"/>
      </w:pPr>
      <w:rPr>
        <w:rFonts w:hint="default"/>
        <w:lang w:val="en-US" w:eastAsia="en-US" w:bidi="ar-SA"/>
      </w:rPr>
    </w:lvl>
    <w:lvl w:ilvl="3">
      <w:start w:val="0"/>
      <w:numFmt w:val="bullet"/>
      <w:lvlText w:val="•"/>
      <w:lvlJc w:val="left"/>
      <w:pPr>
        <w:ind w:left="443" w:hanging="187"/>
      </w:pPr>
      <w:rPr>
        <w:rFonts w:hint="default"/>
        <w:lang w:val="en-US" w:eastAsia="en-US" w:bidi="ar-SA"/>
      </w:rPr>
    </w:lvl>
    <w:lvl w:ilvl="4">
      <w:start w:val="0"/>
      <w:numFmt w:val="bullet"/>
      <w:lvlText w:val="•"/>
      <w:lvlJc w:val="left"/>
      <w:pPr>
        <w:ind w:left="564" w:hanging="187"/>
      </w:pPr>
      <w:rPr>
        <w:rFonts w:hint="default"/>
        <w:lang w:val="en-US" w:eastAsia="en-US" w:bidi="ar-SA"/>
      </w:rPr>
    </w:lvl>
    <w:lvl w:ilvl="5">
      <w:start w:val="0"/>
      <w:numFmt w:val="bullet"/>
      <w:lvlText w:val="•"/>
      <w:lvlJc w:val="left"/>
      <w:pPr>
        <w:ind w:left="685" w:hanging="187"/>
      </w:pPr>
      <w:rPr>
        <w:rFonts w:hint="default"/>
        <w:lang w:val="en-US" w:eastAsia="en-US" w:bidi="ar-SA"/>
      </w:rPr>
    </w:lvl>
    <w:lvl w:ilvl="6">
      <w:start w:val="0"/>
      <w:numFmt w:val="bullet"/>
      <w:lvlText w:val="•"/>
      <w:lvlJc w:val="left"/>
      <w:pPr>
        <w:ind w:left="806" w:hanging="187"/>
      </w:pPr>
      <w:rPr>
        <w:rFonts w:hint="default"/>
        <w:lang w:val="en-US" w:eastAsia="en-US" w:bidi="ar-SA"/>
      </w:rPr>
    </w:lvl>
    <w:lvl w:ilvl="7">
      <w:start w:val="0"/>
      <w:numFmt w:val="bullet"/>
      <w:lvlText w:val="•"/>
      <w:lvlJc w:val="left"/>
      <w:pPr>
        <w:ind w:left="927" w:hanging="187"/>
      </w:pPr>
      <w:rPr>
        <w:rFonts w:hint="default"/>
        <w:lang w:val="en-US" w:eastAsia="en-US" w:bidi="ar-SA"/>
      </w:rPr>
    </w:lvl>
    <w:lvl w:ilvl="8">
      <w:start w:val="0"/>
      <w:numFmt w:val="bullet"/>
      <w:lvlText w:val="•"/>
      <w:lvlJc w:val="left"/>
      <w:pPr>
        <w:ind w:left="1048" w:hanging="187"/>
      </w:pPr>
      <w:rPr>
        <w:rFonts w:hint="default"/>
        <w:lang w:val="en-US" w:eastAsia="en-US" w:bidi="ar-SA"/>
      </w:rPr>
    </w:lvl>
  </w:abstractNum>
  <w:abstractNum w:abstractNumId="21">
    <w:multiLevelType w:val="hybridMultilevel"/>
    <w:lvl w:ilvl="0">
      <w:start w:val="0"/>
      <w:numFmt w:val="bullet"/>
      <w:lvlText w:val="✓"/>
      <w:lvlJc w:val="left"/>
      <w:pPr>
        <w:ind w:left="251" w:hanging="173"/>
      </w:pPr>
      <w:rPr>
        <w:rFonts w:hint="default" w:ascii="Adobe Clean" w:hAnsi="Adobe Clean" w:eastAsia="Adobe Clean" w:cs="Adobe Clean"/>
        <w:b w:val="0"/>
        <w:bCs w:val="0"/>
        <w:i w:val="0"/>
        <w:iCs w:val="0"/>
        <w:spacing w:val="0"/>
        <w:w w:val="131"/>
        <w:sz w:val="16"/>
        <w:szCs w:val="16"/>
        <w:lang w:val="en-US" w:eastAsia="en-US" w:bidi="ar-SA"/>
      </w:rPr>
    </w:lvl>
    <w:lvl w:ilvl="1">
      <w:start w:val="0"/>
      <w:numFmt w:val="bullet"/>
      <w:lvlText w:val="•"/>
      <w:lvlJc w:val="left"/>
      <w:pPr>
        <w:ind w:left="408" w:hanging="173"/>
      </w:pPr>
      <w:rPr>
        <w:rFonts w:hint="default"/>
        <w:lang w:val="en-US" w:eastAsia="en-US" w:bidi="ar-SA"/>
      </w:rPr>
    </w:lvl>
    <w:lvl w:ilvl="2">
      <w:start w:val="0"/>
      <w:numFmt w:val="bullet"/>
      <w:lvlText w:val="•"/>
      <w:lvlJc w:val="left"/>
      <w:pPr>
        <w:ind w:left="557" w:hanging="173"/>
      </w:pPr>
      <w:rPr>
        <w:rFonts w:hint="default"/>
        <w:lang w:val="en-US" w:eastAsia="en-US" w:bidi="ar-SA"/>
      </w:rPr>
    </w:lvl>
    <w:lvl w:ilvl="3">
      <w:start w:val="0"/>
      <w:numFmt w:val="bullet"/>
      <w:lvlText w:val="•"/>
      <w:lvlJc w:val="left"/>
      <w:pPr>
        <w:ind w:left="705" w:hanging="173"/>
      </w:pPr>
      <w:rPr>
        <w:rFonts w:hint="default"/>
        <w:lang w:val="en-US" w:eastAsia="en-US" w:bidi="ar-SA"/>
      </w:rPr>
    </w:lvl>
    <w:lvl w:ilvl="4">
      <w:start w:val="0"/>
      <w:numFmt w:val="bullet"/>
      <w:lvlText w:val="•"/>
      <w:lvlJc w:val="left"/>
      <w:pPr>
        <w:ind w:left="854" w:hanging="173"/>
      </w:pPr>
      <w:rPr>
        <w:rFonts w:hint="default"/>
        <w:lang w:val="en-US" w:eastAsia="en-US" w:bidi="ar-SA"/>
      </w:rPr>
    </w:lvl>
    <w:lvl w:ilvl="5">
      <w:start w:val="0"/>
      <w:numFmt w:val="bullet"/>
      <w:lvlText w:val="•"/>
      <w:lvlJc w:val="left"/>
      <w:pPr>
        <w:ind w:left="1002" w:hanging="173"/>
      </w:pPr>
      <w:rPr>
        <w:rFonts w:hint="default"/>
        <w:lang w:val="en-US" w:eastAsia="en-US" w:bidi="ar-SA"/>
      </w:rPr>
    </w:lvl>
    <w:lvl w:ilvl="6">
      <w:start w:val="0"/>
      <w:numFmt w:val="bullet"/>
      <w:lvlText w:val="•"/>
      <w:lvlJc w:val="left"/>
      <w:pPr>
        <w:ind w:left="1151" w:hanging="173"/>
      </w:pPr>
      <w:rPr>
        <w:rFonts w:hint="default"/>
        <w:lang w:val="en-US" w:eastAsia="en-US" w:bidi="ar-SA"/>
      </w:rPr>
    </w:lvl>
    <w:lvl w:ilvl="7">
      <w:start w:val="0"/>
      <w:numFmt w:val="bullet"/>
      <w:lvlText w:val="•"/>
      <w:lvlJc w:val="left"/>
      <w:pPr>
        <w:ind w:left="1299" w:hanging="173"/>
      </w:pPr>
      <w:rPr>
        <w:rFonts w:hint="default"/>
        <w:lang w:val="en-US" w:eastAsia="en-US" w:bidi="ar-SA"/>
      </w:rPr>
    </w:lvl>
    <w:lvl w:ilvl="8">
      <w:start w:val="0"/>
      <w:numFmt w:val="bullet"/>
      <w:lvlText w:val="•"/>
      <w:lvlJc w:val="left"/>
      <w:pPr>
        <w:ind w:left="1448" w:hanging="173"/>
      </w:pPr>
      <w:rPr>
        <w:rFonts w:hint="default"/>
        <w:lang w:val="en-US" w:eastAsia="en-US" w:bidi="ar-SA"/>
      </w:rPr>
    </w:lvl>
  </w:abstractNum>
  <w:abstractNum w:abstractNumId="20">
    <w:multiLevelType w:val="hybridMultilevel"/>
    <w:lvl w:ilvl="0">
      <w:start w:val="0"/>
      <w:numFmt w:val="bullet"/>
      <w:lvlText w:val="✓"/>
      <w:lvlJc w:val="left"/>
      <w:pPr>
        <w:ind w:left="251" w:hanging="173"/>
      </w:pPr>
      <w:rPr>
        <w:rFonts w:hint="default" w:ascii="Adobe Clean" w:hAnsi="Adobe Clean" w:eastAsia="Adobe Clean" w:cs="Adobe Clean"/>
        <w:b w:val="0"/>
        <w:bCs w:val="0"/>
        <w:i w:val="0"/>
        <w:iCs w:val="0"/>
        <w:spacing w:val="0"/>
        <w:w w:val="131"/>
        <w:sz w:val="16"/>
        <w:szCs w:val="16"/>
        <w:lang w:val="en-US" w:eastAsia="en-US" w:bidi="ar-SA"/>
      </w:rPr>
    </w:lvl>
    <w:lvl w:ilvl="1">
      <w:start w:val="0"/>
      <w:numFmt w:val="bullet"/>
      <w:lvlText w:val="•"/>
      <w:lvlJc w:val="left"/>
      <w:pPr>
        <w:ind w:left="368" w:hanging="173"/>
      </w:pPr>
      <w:rPr>
        <w:rFonts w:hint="default"/>
        <w:lang w:val="en-US" w:eastAsia="en-US" w:bidi="ar-SA"/>
      </w:rPr>
    </w:lvl>
    <w:lvl w:ilvl="2">
      <w:start w:val="0"/>
      <w:numFmt w:val="bullet"/>
      <w:lvlText w:val="•"/>
      <w:lvlJc w:val="left"/>
      <w:pPr>
        <w:ind w:left="477" w:hanging="173"/>
      </w:pPr>
      <w:rPr>
        <w:rFonts w:hint="default"/>
        <w:lang w:val="en-US" w:eastAsia="en-US" w:bidi="ar-SA"/>
      </w:rPr>
    </w:lvl>
    <w:lvl w:ilvl="3">
      <w:start w:val="0"/>
      <w:numFmt w:val="bullet"/>
      <w:lvlText w:val="•"/>
      <w:lvlJc w:val="left"/>
      <w:pPr>
        <w:ind w:left="586" w:hanging="173"/>
      </w:pPr>
      <w:rPr>
        <w:rFonts w:hint="default"/>
        <w:lang w:val="en-US" w:eastAsia="en-US" w:bidi="ar-SA"/>
      </w:rPr>
    </w:lvl>
    <w:lvl w:ilvl="4">
      <w:start w:val="0"/>
      <w:numFmt w:val="bullet"/>
      <w:lvlText w:val="•"/>
      <w:lvlJc w:val="left"/>
      <w:pPr>
        <w:ind w:left="695" w:hanging="173"/>
      </w:pPr>
      <w:rPr>
        <w:rFonts w:hint="default"/>
        <w:lang w:val="en-US" w:eastAsia="en-US" w:bidi="ar-SA"/>
      </w:rPr>
    </w:lvl>
    <w:lvl w:ilvl="5">
      <w:start w:val="0"/>
      <w:numFmt w:val="bullet"/>
      <w:lvlText w:val="•"/>
      <w:lvlJc w:val="left"/>
      <w:pPr>
        <w:ind w:left="804" w:hanging="173"/>
      </w:pPr>
      <w:rPr>
        <w:rFonts w:hint="default"/>
        <w:lang w:val="en-US" w:eastAsia="en-US" w:bidi="ar-SA"/>
      </w:rPr>
    </w:lvl>
    <w:lvl w:ilvl="6">
      <w:start w:val="0"/>
      <w:numFmt w:val="bullet"/>
      <w:lvlText w:val="•"/>
      <w:lvlJc w:val="left"/>
      <w:pPr>
        <w:ind w:left="912" w:hanging="173"/>
      </w:pPr>
      <w:rPr>
        <w:rFonts w:hint="default"/>
        <w:lang w:val="en-US" w:eastAsia="en-US" w:bidi="ar-SA"/>
      </w:rPr>
    </w:lvl>
    <w:lvl w:ilvl="7">
      <w:start w:val="0"/>
      <w:numFmt w:val="bullet"/>
      <w:lvlText w:val="•"/>
      <w:lvlJc w:val="left"/>
      <w:pPr>
        <w:ind w:left="1021" w:hanging="173"/>
      </w:pPr>
      <w:rPr>
        <w:rFonts w:hint="default"/>
        <w:lang w:val="en-US" w:eastAsia="en-US" w:bidi="ar-SA"/>
      </w:rPr>
    </w:lvl>
    <w:lvl w:ilvl="8">
      <w:start w:val="0"/>
      <w:numFmt w:val="bullet"/>
      <w:lvlText w:val="•"/>
      <w:lvlJc w:val="left"/>
      <w:pPr>
        <w:ind w:left="1130" w:hanging="173"/>
      </w:pPr>
      <w:rPr>
        <w:rFonts w:hint="default"/>
        <w:lang w:val="en-US" w:eastAsia="en-US" w:bidi="ar-SA"/>
      </w:rPr>
    </w:lvl>
  </w:abstractNum>
  <w:abstractNum w:abstractNumId="19">
    <w:multiLevelType w:val="hybridMultilevel"/>
    <w:lvl w:ilvl="0">
      <w:start w:val="0"/>
      <w:numFmt w:val="bullet"/>
      <w:lvlText w:val="✓"/>
      <w:lvlJc w:val="left"/>
      <w:pPr>
        <w:ind w:left="250" w:hanging="173"/>
      </w:pPr>
      <w:rPr>
        <w:rFonts w:hint="default" w:ascii="Adobe Clean" w:hAnsi="Adobe Clean" w:eastAsia="Adobe Clean" w:cs="Adobe Clean"/>
        <w:b w:val="0"/>
        <w:bCs w:val="0"/>
        <w:i w:val="0"/>
        <w:iCs w:val="0"/>
        <w:spacing w:val="0"/>
        <w:w w:val="131"/>
        <w:sz w:val="16"/>
        <w:szCs w:val="16"/>
        <w:lang w:val="en-US" w:eastAsia="en-US" w:bidi="ar-SA"/>
      </w:rPr>
    </w:lvl>
    <w:lvl w:ilvl="1">
      <w:start w:val="0"/>
      <w:numFmt w:val="bullet"/>
      <w:lvlText w:val="•"/>
      <w:lvlJc w:val="left"/>
      <w:pPr>
        <w:ind w:left="363" w:hanging="173"/>
      </w:pPr>
      <w:rPr>
        <w:rFonts w:hint="default"/>
        <w:lang w:val="en-US" w:eastAsia="en-US" w:bidi="ar-SA"/>
      </w:rPr>
    </w:lvl>
    <w:lvl w:ilvl="2">
      <w:start w:val="0"/>
      <w:numFmt w:val="bullet"/>
      <w:lvlText w:val="•"/>
      <w:lvlJc w:val="left"/>
      <w:pPr>
        <w:ind w:left="466" w:hanging="173"/>
      </w:pPr>
      <w:rPr>
        <w:rFonts w:hint="default"/>
        <w:lang w:val="en-US" w:eastAsia="en-US" w:bidi="ar-SA"/>
      </w:rPr>
    </w:lvl>
    <w:lvl w:ilvl="3">
      <w:start w:val="0"/>
      <w:numFmt w:val="bullet"/>
      <w:lvlText w:val="•"/>
      <w:lvlJc w:val="left"/>
      <w:pPr>
        <w:ind w:left="569" w:hanging="173"/>
      </w:pPr>
      <w:rPr>
        <w:rFonts w:hint="default"/>
        <w:lang w:val="en-US" w:eastAsia="en-US" w:bidi="ar-SA"/>
      </w:rPr>
    </w:lvl>
    <w:lvl w:ilvl="4">
      <w:start w:val="0"/>
      <w:numFmt w:val="bullet"/>
      <w:lvlText w:val="•"/>
      <w:lvlJc w:val="left"/>
      <w:pPr>
        <w:ind w:left="672" w:hanging="173"/>
      </w:pPr>
      <w:rPr>
        <w:rFonts w:hint="default"/>
        <w:lang w:val="en-US" w:eastAsia="en-US" w:bidi="ar-SA"/>
      </w:rPr>
    </w:lvl>
    <w:lvl w:ilvl="5">
      <w:start w:val="0"/>
      <w:numFmt w:val="bullet"/>
      <w:lvlText w:val="•"/>
      <w:lvlJc w:val="left"/>
      <w:pPr>
        <w:ind w:left="775" w:hanging="173"/>
      </w:pPr>
      <w:rPr>
        <w:rFonts w:hint="default"/>
        <w:lang w:val="en-US" w:eastAsia="en-US" w:bidi="ar-SA"/>
      </w:rPr>
    </w:lvl>
    <w:lvl w:ilvl="6">
      <w:start w:val="0"/>
      <w:numFmt w:val="bullet"/>
      <w:lvlText w:val="•"/>
      <w:lvlJc w:val="left"/>
      <w:pPr>
        <w:ind w:left="878" w:hanging="173"/>
      </w:pPr>
      <w:rPr>
        <w:rFonts w:hint="default"/>
        <w:lang w:val="en-US" w:eastAsia="en-US" w:bidi="ar-SA"/>
      </w:rPr>
    </w:lvl>
    <w:lvl w:ilvl="7">
      <w:start w:val="0"/>
      <w:numFmt w:val="bullet"/>
      <w:lvlText w:val="•"/>
      <w:lvlJc w:val="left"/>
      <w:pPr>
        <w:ind w:left="981" w:hanging="173"/>
      </w:pPr>
      <w:rPr>
        <w:rFonts w:hint="default"/>
        <w:lang w:val="en-US" w:eastAsia="en-US" w:bidi="ar-SA"/>
      </w:rPr>
    </w:lvl>
    <w:lvl w:ilvl="8">
      <w:start w:val="0"/>
      <w:numFmt w:val="bullet"/>
      <w:lvlText w:val="•"/>
      <w:lvlJc w:val="left"/>
      <w:pPr>
        <w:ind w:left="1084" w:hanging="173"/>
      </w:pPr>
      <w:rPr>
        <w:rFonts w:hint="default"/>
        <w:lang w:val="en-US" w:eastAsia="en-US" w:bidi="ar-SA"/>
      </w:rPr>
    </w:lvl>
  </w:abstractNum>
  <w:abstractNum w:abstractNumId="18">
    <w:multiLevelType w:val="hybridMultilevel"/>
    <w:lvl w:ilvl="0">
      <w:start w:val="0"/>
      <w:numFmt w:val="bullet"/>
      <w:lvlText w:val="✓"/>
      <w:lvlJc w:val="left"/>
      <w:pPr>
        <w:ind w:left="251" w:hanging="173"/>
      </w:pPr>
      <w:rPr>
        <w:rFonts w:hint="default" w:ascii="Adobe Clean" w:hAnsi="Adobe Clean" w:eastAsia="Adobe Clean" w:cs="Adobe Clean"/>
        <w:b w:val="0"/>
        <w:bCs w:val="0"/>
        <w:i w:val="0"/>
        <w:iCs w:val="0"/>
        <w:spacing w:val="0"/>
        <w:w w:val="131"/>
        <w:sz w:val="16"/>
        <w:szCs w:val="16"/>
        <w:lang w:val="en-US" w:eastAsia="en-US" w:bidi="ar-SA"/>
      </w:rPr>
    </w:lvl>
    <w:lvl w:ilvl="1">
      <w:start w:val="0"/>
      <w:numFmt w:val="bullet"/>
      <w:lvlText w:val="•"/>
      <w:lvlJc w:val="left"/>
      <w:pPr>
        <w:ind w:left="408" w:hanging="173"/>
      </w:pPr>
      <w:rPr>
        <w:rFonts w:hint="default"/>
        <w:lang w:val="en-US" w:eastAsia="en-US" w:bidi="ar-SA"/>
      </w:rPr>
    </w:lvl>
    <w:lvl w:ilvl="2">
      <w:start w:val="0"/>
      <w:numFmt w:val="bullet"/>
      <w:lvlText w:val="•"/>
      <w:lvlJc w:val="left"/>
      <w:pPr>
        <w:ind w:left="557" w:hanging="173"/>
      </w:pPr>
      <w:rPr>
        <w:rFonts w:hint="default"/>
        <w:lang w:val="en-US" w:eastAsia="en-US" w:bidi="ar-SA"/>
      </w:rPr>
    </w:lvl>
    <w:lvl w:ilvl="3">
      <w:start w:val="0"/>
      <w:numFmt w:val="bullet"/>
      <w:lvlText w:val="•"/>
      <w:lvlJc w:val="left"/>
      <w:pPr>
        <w:ind w:left="705" w:hanging="173"/>
      </w:pPr>
      <w:rPr>
        <w:rFonts w:hint="default"/>
        <w:lang w:val="en-US" w:eastAsia="en-US" w:bidi="ar-SA"/>
      </w:rPr>
    </w:lvl>
    <w:lvl w:ilvl="4">
      <w:start w:val="0"/>
      <w:numFmt w:val="bullet"/>
      <w:lvlText w:val="•"/>
      <w:lvlJc w:val="left"/>
      <w:pPr>
        <w:ind w:left="854" w:hanging="173"/>
      </w:pPr>
      <w:rPr>
        <w:rFonts w:hint="default"/>
        <w:lang w:val="en-US" w:eastAsia="en-US" w:bidi="ar-SA"/>
      </w:rPr>
    </w:lvl>
    <w:lvl w:ilvl="5">
      <w:start w:val="0"/>
      <w:numFmt w:val="bullet"/>
      <w:lvlText w:val="•"/>
      <w:lvlJc w:val="left"/>
      <w:pPr>
        <w:ind w:left="1002" w:hanging="173"/>
      </w:pPr>
      <w:rPr>
        <w:rFonts w:hint="default"/>
        <w:lang w:val="en-US" w:eastAsia="en-US" w:bidi="ar-SA"/>
      </w:rPr>
    </w:lvl>
    <w:lvl w:ilvl="6">
      <w:start w:val="0"/>
      <w:numFmt w:val="bullet"/>
      <w:lvlText w:val="•"/>
      <w:lvlJc w:val="left"/>
      <w:pPr>
        <w:ind w:left="1151" w:hanging="173"/>
      </w:pPr>
      <w:rPr>
        <w:rFonts w:hint="default"/>
        <w:lang w:val="en-US" w:eastAsia="en-US" w:bidi="ar-SA"/>
      </w:rPr>
    </w:lvl>
    <w:lvl w:ilvl="7">
      <w:start w:val="0"/>
      <w:numFmt w:val="bullet"/>
      <w:lvlText w:val="•"/>
      <w:lvlJc w:val="left"/>
      <w:pPr>
        <w:ind w:left="1299" w:hanging="173"/>
      </w:pPr>
      <w:rPr>
        <w:rFonts w:hint="default"/>
        <w:lang w:val="en-US" w:eastAsia="en-US" w:bidi="ar-SA"/>
      </w:rPr>
    </w:lvl>
    <w:lvl w:ilvl="8">
      <w:start w:val="0"/>
      <w:numFmt w:val="bullet"/>
      <w:lvlText w:val="•"/>
      <w:lvlJc w:val="left"/>
      <w:pPr>
        <w:ind w:left="1448" w:hanging="173"/>
      </w:pPr>
      <w:rPr>
        <w:rFonts w:hint="default"/>
        <w:lang w:val="en-US" w:eastAsia="en-US" w:bidi="ar-SA"/>
      </w:rPr>
    </w:lvl>
  </w:abstractNum>
  <w:abstractNum w:abstractNumId="17">
    <w:multiLevelType w:val="hybridMultilevel"/>
    <w:lvl w:ilvl="0">
      <w:start w:val="4"/>
      <w:numFmt w:val="decimal"/>
      <w:lvlText w:val="%1"/>
      <w:lvlJc w:val="left"/>
      <w:pPr>
        <w:ind w:left="1354" w:hanging="646"/>
        <w:jc w:val="left"/>
      </w:pPr>
      <w:rPr>
        <w:rFonts w:hint="default"/>
        <w:lang w:val="en-US" w:eastAsia="en-US" w:bidi="ar-SA"/>
      </w:rPr>
    </w:lvl>
    <w:lvl w:ilvl="1">
      <w:start w:val="1"/>
      <w:numFmt w:val="decimal"/>
      <w:lvlText w:val="%1.%2"/>
      <w:lvlJc w:val="left"/>
      <w:pPr>
        <w:ind w:left="1354" w:hanging="646"/>
        <w:jc w:val="right"/>
      </w:pPr>
      <w:rPr>
        <w:rFonts w:hint="default" w:ascii="Times New Roman" w:hAnsi="Times New Roman" w:eastAsia="Times New Roman" w:cs="Times New Roman"/>
        <w:b/>
        <w:bCs/>
        <w:i w:val="0"/>
        <w:iCs w:val="0"/>
        <w:spacing w:val="0"/>
        <w:w w:val="102"/>
        <w:sz w:val="28"/>
        <w:szCs w:val="28"/>
        <w:lang w:val="en-US" w:eastAsia="en-US" w:bidi="ar-SA"/>
      </w:rPr>
    </w:lvl>
    <w:lvl w:ilvl="2">
      <w:start w:val="1"/>
      <w:numFmt w:val="decimal"/>
      <w:lvlText w:val="%1.%2.%3"/>
      <w:lvlJc w:val="left"/>
      <w:pPr>
        <w:ind w:left="1426" w:hanging="718"/>
        <w:jc w:val="right"/>
      </w:pPr>
      <w:rPr>
        <w:rFonts w:hint="default"/>
        <w:spacing w:val="0"/>
        <w:w w:val="99"/>
        <w:lang w:val="en-US" w:eastAsia="en-US" w:bidi="ar-SA"/>
      </w:rPr>
    </w:lvl>
    <w:lvl w:ilvl="3">
      <w:start w:val="0"/>
      <w:numFmt w:val="bullet"/>
      <w:lvlText w:val="•"/>
      <w:lvlJc w:val="left"/>
      <w:pPr>
        <w:ind w:left="3372" w:hanging="718"/>
      </w:pPr>
      <w:rPr>
        <w:rFonts w:hint="default"/>
        <w:lang w:val="en-US" w:eastAsia="en-US" w:bidi="ar-SA"/>
      </w:rPr>
    </w:lvl>
    <w:lvl w:ilvl="4">
      <w:start w:val="0"/>
      <w:numFmt w:val="bullet"/>
      <w:lvlText w:val="•"/>
      <w:lvlJc w:val="left"/>
      <w:pPr>
        <w:ind w:left="4348" w:hanging="718"/>
      </w:pPr>
      <w:rPr>
        <w:rFonts w:hint="default"/>
        <w:lang w:val="en-US" w:eastAsia="en-US" w:bidi="ar-SA"/>
      </w:rPr>
    </w:lvl>
    <w:lvl w:ilvl="5">
      <w:start w:val="0"/>
      <w:numFmt w:val="bullet"/>
      <w:lvlText w:val="•"/>
      <w:lvlJc w:val="left"/>
      <w:pPr>
        <w:ind w:left="5324" w:hanging="718"/>
      </w:pPr>
      <w:rPr>
        <w:rFonts w:hint="default"/>
        <w:lang w:val="en-US" w:eastAsia="en-US" w:bidi="ar-SA"/>
      </w:rPr>
    </w:lvl>
    <w:lvl w:ilvl="6">
      <w:start w:val="0"/>
      <w:numFmt w:val="bullet"/>
      <w:lvlText w:val="•"/>
      <w:lvlJc w:val="left"/>
      <w:pPr>
        <w:ind w:left="6300" w:hanging="718"/>
      </w:pPr>
      <w:rPr>
        <w:rFonts w:hint="default"/>
        <w:lang w:val="en-US" w:eastAsia="en-US" w:bidi="ar-SA"/>
      </w:rPr>
    </w:lvl>
    <w:lvl w:ilvl="7">
      <w:start w:val="0"/>
      <w:numFmt w:val="bullet"/>
      <w:lvlText w:val="•"/>
      <w:lvlJc w:val="left"/>
      <w:pPr>
        <w:ind w:left="7277" w:hanging="718"/>
      </w:pPr>
      <w:rPr>
        <w:rFonts w:hint="default"/>
        <w:lang w:val="en-US" w:eastAsia="en-US" w:bidi="ar-SA"/>
      </w:rPr>
    </w:lvl>
    <w:lvl w:ilvl="8">
      <w:start w:val="0"/>
      <w:numFmt w:val="bullet"/>
      <w:lvlText w:val="•"/>
      <w:lvlJc w:val="left"/>
      <w:pPr>
        <w:ind w:left="8253" w:hanging="718"/>
      </w:pPr>
      <w:rPr>
        <w:rFonts w:hint="default"/>
        <w:lang w:val="en-US" w:eastAsia="en-US" w:bidi="ar-SA"/>
      </w:rPr>
    </w:lvl>
  </w:abstractNum>
  <w:abstractNum w:abstractNumId="16">
    <w:multiLevelType w:val="hybridMultilevel"/>
    <w:lvl w:ilvl="0">
      <w:start w:val="3"/>
      <w:numFmt w:val="decimal"/>
      <w:lvlText w:val="%1"/>
      <w:lvlJc w:val="left"/>
      <w:pPr>
        <w:ind w:left="1354" w:hanging="646"/>
        <w:jc w:val="left"/>
      </w:pPr>
      <w:rPr>
        <w:rFonts w:hint="default"/>
        <w:lang w:val="en-US" w:eastAsia="en-US" w:bidi="ar-SA"/>
      </w:rPr>
    </w:lvl>
    <w:lvl w:ilvl="1">
      <w:start w:val="1"/>
      <w:numFmt w:val="decimal"/>
      <w:lvlText w:val="%1.%2"/>
      <w:lvlJc w:val="left"/>
      <w:pPr>
        <w:ind w:left="1354" w:hanging="646"/>
        <w:jc w:val="right"/>
      </w:pPr>
      <w:rPr>
        <w:rFonts w:hint="default" w:ascii="Times New Roman" w:hAnsi="Times New Roman" w:eastAsia="Times New Roman" w:cs="Times New Roman"/>
        <w:b/>
        <w:bCs/>
        <w:i w:val="0"/>
        <w:iCs w:val="0"/>
        <w:spacing w:val="0"/>
        <w:w w:val="102"/>
        <w:sz w:val="28"/>
        <w:szCs w:val="28"/>
        <w:lang w:val="en-US" w:eastAsia="en-US" w:bidi="ar-SA"/>
      </w:rPr>
    </w:lvl>
    <w:lvl w:ilvl="2">
      <w:start w:val="1"/>
      <w:numFmt w:val="decimal"/>
      <w:lvlText w:val="%1.%2.%3"/>
      <w:lvlJc w:val="left"/>
      <w:pPr>
        <w:ind w:left="1426" w:hanging="718"/>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1540" w:hanging="718"/>
      </w:pPr>
      <w:rPr>
        <w:rFonts w:hint="default"/>
        <w:lang w:val="en-US" w:eastAsia="en-US" w:bidi="ar-SA"/>
      </w:rPr>
    </w:lvl>
    <w:lvl w:ilvl="4">
      <w:start w:val="0"/>
      <w:numFmt w:val="bullet"/>
      <w:lvlText w:val="•"/>
      <w:lvlJc w:val="left"/>
      <w:pPr>
        <w:ind w:left="2777" w:hanging="718"/>
      </w:pPr>
      <w:rPr>
        <w:rFonts w:hint="default"/>
        <w:lang w:val="en-US" w:eastAsia="en-US" w:bidi="ar-SA"/>
      </w:rPr>
    </w:lvl>
    <w:lvl w:ilvl="5">
      <w:start w:val="0"/>
      <w:numFmt w:val="bullet"/>
      <w:lvlText w:val="•"/>
      <w:lvlJc w:val="left"/>
      <w:pPr>
        <w:ind w:left="4015" w:hanging="718"/>
      </w:pPr>
      <w:rPr>
        <w:rFonts w:hint="default"/>
        <w:lang w:val="en-US" w:eastAsia="en-US" w:bidi="ar-SA"/>
      </w:rPr>
    </w:lvl>
    <w:lvl w:ilvl="6">
      <w:start w:val="0"/>
      <w:numFmt w:val="bullet"/>
      <w:lvlText w:val="•"/>
      <w:lvlJc w:val="left"/>
      <w:pPr>
        <w:ind w:left="5253" w:hanging="718"/>
      </w:pPr>
      <w:rPr>
        <w:rFonts w:hint="default"/>
        <w:lang w:val="en-US" w:eastAsia="en-US" w:bidi="ar-SA"/>
      </w:rPr>
    </w:lvl>
    <w:lvl w:ilvl="7">
      <w:start w:val="0"/>
      <w:numFmt w:val="bullet"/>
      <w:lvlText w:val="•"/>
      <w:lvlJc w:val="left"/>
      <w:pPr>
        <w:ind w:left="6491" w:hanging="718"/>
      </w:pPr>
      <w:rPr>
        <w:rFonts w:hint="default"/>
        <w:lang w:val="en-US" w:eastAsia="en-US" w:bidi="ar-SA"/>
      </w:rPr>
    </w:lvl>
    <w:lvl w:ilvl="8">
      <w:start w:val="0"/>
      <w:numFmt w:val="bullet"/>
      <w:lvlText w:val="•"/>
      <w:lvlJc w:val="left"/>
      <w:pPr>
        <w:ind w:left="7729" w:hanging="718"/>
      </w:pPr>
      <w:rPr>
        <w:rFonts w:hint="default"/>
        <w:lang w:val="en-US" w:eastAsia="en-US" w:bidi="ar-SA"/>
      </w:rPr>
    </w:lvl>
  </w:abstractNum>
  <w:abstractNum w:abstractNumId="15">
    <w:multiLevelType w:val="hybridMultilevel"/>
    <w:lvl w:ilvl="0">
      <w:start w:val="2"/>
      <w:numFmt w:val="decimal"/>
      <w:lvlText w:val="%1"/>
      <w:lvlJc w:val="left"/>
      <w:pPr>
        <w:ind w:left="1354" w:hanging="646"/>
        <w:jc w:val="left"/>
      </w:pPr>
      <w:rPr>
        <w:rFonts w:hint="default"/>
        <w:lang w:val="en-US" w:eastAsia="en-US" w:bidi="ar-SA"/>
      </w:rPr>
    </w:lvl>
    <w:lvl w:ilvl="1">
      <w:start w:val="3"/>
      <w:numFmt w:val="decimal"/>
      <w:lvlText w:val="%1.%2"/>
      <w:lvlJc w:val="left"/>
      <w:pPr>
        <w:ind w:left="1354" w:hanging="646"/>
        <w:jc w:val="right"/>
      </w:pPr>
      <w:rPr>
        <w:rFonts w:hint="default" w:ascii="Times New Roman" w:hAnsi="Times New Roman" w:eastAsia="Times New Roman" w:cs="Times New Roman"/>
        <w:b/>
        <w:bCs/>
        <w:i w:val="0"/>
        <w:iCs w:val="0"/>
        <w:spacing w:val="0"/>
        <w:w w:val="102"/>
        <w:sz w:val="28"/>
        <w:szCs w:val="28"/>
        <w:lang w:val="en-US" w:eastAsia="en-US" w:bidi="ar-SA"/>
      </w:rPr>
    </w:lvl>
    <w:lvl w:ilvl="2">
      <w:start w:val="1"/>
      <w:numFmt w:val="decimal"/>
      <w:lvlText w:val="%1.%2.%3"/>
      <w:lvlJc w:val="left"/>
      <w:pPr>
        <w:ind w:left="1426" w:hanging="718"/>
        <w:jc w:val="righ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3372" w:hanging="718"/>
      </w:pPr>
      <w:rPr>
        <w:rFonts w:hint="default"/>
        <w:lang w:val="en-US" w:eastAsia="en-US" w:bidi="ar-SA"/>
      </w:rPr>
    </w:lvl>
    <w:lvl w:ilvl="4">
      <w:start w:val="0"/>
      <w:numFmt w:val="bullet"/>
      <w:lvlText w:val="•"/>
      <w:lvlJc w:val="left"/>
      <w:pPr>
        <w:ind w:left="4348" w:hanging="718"/>
      </w:pPr>
      <w:rPr>
        <w:rFonts w:hint="default"/>
        <w:lang w:val="en-US" w:eastAsia="en-US" w:bidi="ar-SA"/>
      </w:rPr>
    </w:lvl>
    <w:lvl w:ilvl="5">
      <w:start w:val="0"/>
      <w:numFmt w:val="bullet"/>
      <w:lvlText w:val="•"/>
      <w:lvlJc w:val="left"/>
      <w:pPr>
        <w:ind w:left="5324" w:hanging="718"/>
      </w:pPr>
      <w:rPr>
        <w:rFonts w:hint="default"/>
        <w:lang w:val="en-US" w:eastAsia="en-US" w:bidi="ar-SA"/>
      </w:rPr>
    </w:lvl>
    <w:lvl w:ilvl="6">
      <w:start w:val="0"/>
      <w:numFmt w:val="bullet"/>
      <w:lvlText w:val="•"/>
      <w:lvlJc w:val="left"/>
      <w:pPr>
        <w:ind w:left="6300" w:hanging="718"/>
      </w:pPr>
      <w:rPr>
        <w:rFonts w:hint="default"/>
        <w:lang w:val="en-US" w:eastAsia="en-US" w:bidi="ar-SA"/>
      </w:rPr>
    </w:lvl>
    <w:lvl w:ilvl="7">
      <w:start w:val="0"/>
      <w:numFmt w:val="bullet"/>
      <w:lvlText w:val="•"/>
      <w:lvlJc w:val="left"/>
      <w:pPr>
        <w:ind w:left="7277" w:hanging="718"/>
      </w:pPr>
      <w:rPr>
        <w:rFonts w:hint="default"/>
        <w:lang w:val="en-US" w:eastAsia="en-US" w:bidi="ar-SA"/>
      </w:rPr>
    </w:lvl>
    <w:lvl w:ilvl="8">
      <w:start w:val="0"/>
      <w:numFmt w:val="bullet"/>
      <w:lvlText w:val="•"/>
      <w:lvlJc w:val="left"/>
      <w:pPr>
        <w:ind w:left="8253" w:hanging="718"/>
      </w:pPr>
      <w:rPr>
        <w:rFonts w:hint="default"/>
        <w:lang w:val="en-US" w:eastAsia="en-US" w:bidi="ar-SA"/>
      </w:rPr>
    </w:lvl>
  </w:abstractNum>
  <w:abstractNum w:abstractNumId="14">
    <w:multiLevelType w:val="hybridMultilevel"/>
    <w:lvl w:ilvl="0">
      <w:start w:val="2"/>
      <w:numFmt w:val="decimal"/>
      <w:lvlText w:val="%1"/>
      <w:lvlJc w:val="left"/>
      <w:pPr>
        <w:ind w:left="1354" w:hanging="646"/>
        <w:jc w:val="left"/>
      </w:pPr>
      <w:rPr>
        <w:rFonts w:hint="default"/>
        <w:lang w:val="en-US" w:eastAsia="en-US" w:bidi="ar-SA"/>
      </w:rPr>
    </w:lvl>
    <w:lvl w:ilvl="1">
      <w:start w:val="1"/>
      <w:numFmt w:val="decimal"/>
      <w:lvlText w:val="%1.%2"/>
      <w:lvlJc w:val="left"/>
      <w:pPr>
        <w:ind w:left="1354" w:hanging="646"/>
        <w:jc w:val="right"/>
      </w:pPr>
      <w:rPr>
        <w:rFonts w:hint="default"/>
        <w:spacing w:val="0"/>
        <w:w w:val="102"/>
        <w:lang w:val="en-US" w:eastAsia="en-US" w:bidi="ar-SA"/>
      </w:rPr>
    </w:lvl>
    <w:lvl w:ilvl="2">
      <w:start w:val="1"/>
      <w:numFmt w:val="decimal"/>
      <w:lvlText w:val="%1.%2.%3"/>
      <w:lvlJc w:val="left"/>
      <w:pPr>
        <w:ind w:left="1426" w:hanging="718"/>
        <w:jc w:val="righ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2518" w:hanging="718"/>
      </w:pPr>
      <w:rPr>
        <w:rFonts w:hint="default"/>
        <w:lang w:val="en-US" w:eastAsia="en-US" w:bidi="ar-SA"/>
      </w:rPr>
    </w:lvl>
    <w:lvl w:ilvl="4">
      <w:start w:val="0"/>
      <w:numFmt w:val="bullet"/>
      <w:lvlText w:val="•"/>
      <w:lvlJc w:val="left"/>
      <w:pPr>
        <w:ind w:left="3616" w:hanging="718"/>
      </w:pPr>
      <w:rPr>
        <w:rFonts w:hint="default"/>
        <w:lang w:val="en-US" w:eastAsia="en-US" w:bidi="ar-SA"/>
      </w:rPr>
    </w:lvl>
    <w:lvl w:ilvl="5">
      <w:start w:val="0"/>
      <w:numFmt w:val="bullet"/>
      <w:lvlText w:val="•"/>
      <w:lvlJc w:val="left"/>
      <w:pPr>
        <w:ind w:left="4714" w:hanging="718"/>
      </w:pPr>
      <w:rPr>
        <w:rFonts w:hint="default"/>
        <w:lang w:val="en-US" w:eastAsia="en-US" w:bidi="ar-SA"/>
      </w:rPr>
    </w:lvl>
    <w:lvl w:ilvl="6">
      <w:start w:val="0"/>
      <w:numFmt w:val="bullet"/>
      <w:lvlText w:val="•"/>
      <w:lvlJc w:val="left"/>
      <w:pPr>
        <w:ind w:left="5812" w:hanging="718"/>
      </w:pPr>
      <w:rPr>
        <w:rFonts w:hint="default"/>
        <w:lang w:val="en-US" w:eastAsia="en-US" w:bidi="ar-SA"/>
      </w:rPr>
    </w:lvl>
    <w:lvl w:ilvl="7">
      <w:start w:val="0"/>
      <w:numFmt w:val="bullet"/>
      <w:lvlText w:val="•"/>
      <w:lvlJc w:val="left"/>
      <w:pPr>
        <w:ind w:left="6910" w:hanging="718"/>
      </w:pPr>
      <w:rPr>
        <w:rFonts w:hint="default"/>
        <w:lang w:val="en-US" w:eastAsia="en-US" w:bidi="ar-SA"/>
      </w:rPr>
    </w:lvl>
    <w:lvl w:ilvl="8">
      <w:start w:val="0"/>
      <w:numFmt w:val="bullet"/>
      <w:lvlText w:val="•"/>
      <w:lvlJc w:val="left"/>
      <w:pPr>
        <w:ind w:left="8009" w:hanging="718"/>
      </w:pPr>
      <w:rPr>
        <w:rFonts w:hint="default"/>
        <w:lang w:val="en-US" w:eastAsia="en-US" w:bidi="ar-SA"/>
      </w:rPr>
    </w:lvl>
  </w:abstractNum>
  <w:abstractNum w:abstractNumId="13">
    <w:multiLevelType w:val="hybridMultilevel"/>
    <w:lvl w:ilvl="0">
      <w:start w:val="1"/>
      <w:numFmt w:val="decimal"/>
      <w:lvlText w:val="%1"/>
      <w:lvlJc w:val="left"/>
      <w:pPr>
        <w:ind w:left="1354" w:hanging="646"/>
        <w:jc w:val="left"/>
      </w:pPr>
      <w:rPr>
        <w:rFonts w:hint="default"/>
        <w:lang w:val="en-US" w:eastAsia="en-US" w:bidi="ar-SA"/>
      </w:rPr>
    </w:lvl>
    <w:lvl w:ilvl="1">
      <w:start w:val="4"/>
      <w:numFmt w:val="decimal"/>
      <w:lvlText w:val="%1.%2"/>
      <w:lvlJc w:val="left"/>
      <w:pPr>
        <w:ind w:left="1354" w:hanging="646"/>
        <w:jc w:val="left"/>
      </w:pPr>
      <w:rPr>
        <w:rFonts w:hint="default" w:ascii="Times New Roman" w:hAnsi="Times New Roman" w:eastAsia="Times New Roman" w:cs="Times New Roman"/>
        <w:b/>
        <w:bCs/>
        <w:i w:val="0"/>
        <w:iCs w:val="0"/>
        <w:spacing w:val="0"/>
        <w:w w:val="102"/>
        <w:sz w:val="28"/>
        <w:szCs w:val="28"/>
        <w:lang w:val="en-US" w:eastAsia="en-US" w:bidi="ar-SA"/>
      </w:rPr>
    </w:lvl>
    <w:lvl w:ilvl="2">
      <w:start w:val="0"/>
      <w:numFmt w:val="bullet"/>
      <w:lvlText w:val="•"/>
      <w:lvlJc w:val="left"/>
      <w:pPr>
        <w:ind w:left="3129" w:hanging="646"/>
      </w:pPr>
      <w:rPr>
        <w:rFonts w:hint="default"/>
        <w:lang w:val="en-US" w:eastAsia="en-US" w:bidi="ar-SA"/>
      </w:rPr>
    </w:lvl>
    <w:lvl w:ilvl="3">
      <w:start w:val="0"/>
      <w:numFmt w:val="bullet"/>
      <w:lvlText w:val="•"/>
      <w:lvlJc w:val="left"/>
      <w:pPr>
        <w:ind w:left="4013" w:hanging="646"/>
      </w:pPr>
      <w:rPr>
        <w:rFonts w:hint="default"/>
        <w:lang w:val="en-US" w:eastAsia="en-US" w:bidi="ar-SA"/>
      </w:rPr>
    </w:lvl>
    <w:lvl w:ilvl="4">
      <w:start w:val="0"/>
      <w:numFmt w:val="bullet"/>
      <w:lvlText w:val="•"/>
      <w:lvlJc w:val="left"/>
      <w:pPr>
        <w:ind w:left="4898" w:hanging="646"/>
      </w:pPr>
      <w:rPr>
        <w:rFonts w:hint="default"/>
        <w:lang w:val="en-US" w:eastAsia="en-US" w:bidi="ar-SA"/>
      </w:rPr>
    </w:lvl>
    <w:lvl w:ilvl="5">
      <w:start w:val="0"/>
      <w:numFmt w:val="bullet"/>
      <w:lvlText w:val="•"/>
      <w:lvlJc w:val="left"/>
      <w:pPr>
        <w:ind w:left="5782" w:hanging="646"/>
      </w:pPr>
      <w:rPr>
        <w:rFonts w:hint="default"/>
        <w:lang w:val="en-US" w:eastAsia="en-US" w:bidi="ar-SA"/>
      </w:rPr>
    </w:lvl>
    <w:lvl w:ilvl="6">
      <w:start w:val="0"/>
      <w:numFmt w:val="bullet"/>
      <w:lvlText w:val="•"/>
      <w:lvlJc w:val="left"/>
      <w:pPr>
        <w:ind w:left="6667" w:hanging="646"/>
      </w:pPr>
      <w:rPr>
        <w:rFonts w:hint="default"/>
        <w:lang w:val="en-US" w:eastAsia="en-US" w:bidi="ar-SA"/>
      </w:rPr>
    </w:lvl>
    <w:lvl w:ilvl="7">
      <w:start w:val="0"/>
      <w:numFmt w:val="bullet"/>
      <w:lvlText w:val="•"/>
      <w:lvlJc w:val="left"/>
      <w:pPr>
        <w:ind w:left="7551" w:hanging="646"/>
      </w:pPr>
      <w:rPr>
        <w:rFonts w:hint="default"/>
        <w:lang w:val="en-US" w:eastAsia="en-US" w:bidi="ar-SA"/>
      </w:rPr>
    </w:lvl>
    <w:lvl w:ilvl="8">
      <w:start w:val="0"/>
      <w:numFmt w:val="bullet"/>
      <w:lvlText w:val="•"/>
      <w:lvlJc w:val="left"/>
      <w:pPr>
        <w:ind w:left="8436" w:hanging="646"/>
      </w:pPr>
      <w:rPr>
        <w:rFonts w:hint="default"/>
        <w:lang w:val="en-US" w:eastAsia="en-US" w:bidi="ar-SA"/>
      </w:rPr>
    </w:lvl>
  </w:abstractNum>
  <w:abstractNum w:abstractNumId="12">
    <w:multiLevelType w:val="hybridMultilevel"/>
    <w:lvl w:ilvl="0">
      <w:start w:val="1"/>
      <w:numFmt w:val="decimal"/>
      <w:lvlText w:val="%1"/>
      <w:lvlJc w:val="left"/>
      <w:pPr>
        <w:ind w:left="1354" w:hanging="646"/>
        <w:jc w:val="left"/>
      </w:pPr>
      <w:rPr>
        <w:rFonts w:hint="default"/>
        <w:lang w:val="en-US" w:eastAsia="en-US" w:bidi="ar-SA"/>
      </w:rPr>
    </w:lvl>
    <w:lvl w:ilvl="1">
      <w:start w:val="1"/>
      <w:numFmt w:val="decimal"/>
      <w:lvlText w:val="%1.%2"/>
      <w:lvlJc w:val="left"/>
      <w:pPr>
        <w:ind w:left="1354" w:hanging="646"/>
        <w:jc w:val="right"/>
      </w:pPr>
      <w:rPr>
        <w:rFonts w:hint="default"/>
        <w:spacing w:val="0"/>
        <w:w w:val="102"/>
        <w:lang w:val="en-US" w:eastAsia="en-US" w:bidi="ar-SA"/>
      </w:rPr>
    </w:lvl>
    <w:lvl w:ilvl="2">
      <w:start w:val="0"/>
      <w:numFmt w:val="bullet"/>
      <w:lvlText w:val="•"/>
      <w:lvlJc w:val="left"/>
      <w:pPr>
        <w:ind w:left="142" w:hanging="147"/>
      </w:pPr>
      <w:rPr>
        <w:rFonts w:hint="default" w:ascii="Times New Roman" w:hAnsi="Times New Roman" w:eastAsia="Times New Roman" w:cs="Times New Roman"/>
        <w:b w:val="0"/>
        <w:bCs w:val="0"/>
        <w:i w:val="0"/>
        <w:iCs w:val="0"/>
        <w:spacing w:val="0"/>
        <w:w w:val="101"/>
        <w:sz w:val="22"/>
        <w:szCs w:val="22"/>
        <w:lang w:val="en-US" w:eastAsia="en-US" w:bidi="ar-SA"/>
      </w:rPr>
    </w:lvl>
    <w:lvl w:ilvl="3">
      <w:start w:val="0"/>
      <w:numFmt w:val="bullet"/>
      <w:lvlText w:val="•"/>
      <w:lvlJc w:val="left"/>
      <w:pPr>
        <w:ind w:left="3325" w:hanging="147"/>
      </w:pPr>
      <w:rPr>
        <w:rFonts w:hint="default"/>
        <w:lang w:val="en-US" w:eastAsia="en-US" w:bidi="ar-SA"/>
      </w:rPr>
    </w:lvl>
    <w:lvl w:ilvl="4">
      <w:start w:val="0"/>
      <w:numFmt w:val="bullet"/>
      <w:lvlText w:val="•"/>
      <w:lvlJc w:val="left"/>
      <w:pPr>
        <w:ind w:left="4308" w:hanging="147"/>
      </w:pPr>
      <w:rPr>
        <w:rFonts w:hint="default"/>
        <w:lang w:val="en-US" w:eastAsia="en-US" w:bidi="ar-SA"/>
      </w:rPr>
    </w:lvl>
    <w:lvl w:ilvl="5">
      <w:start w:val="0"/>
      <w:numFmt w:val="bullet"/>
      <w:lvlText w:val="•"/>
      <w:lvlJc w:val="left"/>
      <w:pPr>
        <w:ind w:left="5291" w:hanging="147"/>
      </w:pPr>
      <w:rPr>
        <w:rFonts w:hint="default"/>
        <w:lang w:val="en-US" w:eastAsia="en-US" w:bidi="ar-SA"/>
      </w:rPr>
    </w:lvl>
    <w:lvl w:ilvl="6">
      <w:start w:val="0"/>
      <w:numFmt w:val="bullet"/>
      <w:lvlText w:val="•"/>
      <w:lvlJc w:val="left"/>
      <w:pPr>
        <w:ind w:left="6274" w:hanging="147"/>
      </w:pPr>
      <w:rPr>
        <w:rFonts w:hint="default"/>
        <w:lang w:val="en-US" w:eastAsia="en-US" w:bidi="ar-SA"/>
      </w:rPr>
    </w:lvl>
    <w:lvl w:ilvl="7">
      <w:start w:val="0"/>
      <w:numFmt w:val="bullet"/>
      <w:lvlText w:val="•"/>
      <w:lvlJc w:val="left"/>
      <w:pPr>
        <w:ind w:left="7257" w:hanging="147"/>
      </w:pPr>
      <w:rPr>
        <w:rFonts w:hint="default"/>
        <w:lang w:val="en-US" w:eastAsia="en-US" w:bidi="ar-SA"/>
      </w:rPr>
    </w:lvl>
    <w:lvl w:ilvl="8">
      <w:start w:val="0"/>
      <w:numFmt w:val="bullet"/>
      <w:lvlText w:val="•"/>
      <w:lvlJc w:val="left"/>
      <w:pPr>
        <w:ind w:left="8239" w:hanging="147"/>
      </w:pPr>
      <w:rPr>
        <w:rFonts w:hint="default"/>
        <w:lang w:val="en-US" w:eastAsia="en-US" w:bidi="ar-SA"/>
      </w:rPr>
    </w:lvl>
  </w:abstractNum>
  <w:abstractNum w:abstractNumId="11">
    <w:multiLevelType w:val="hybridMultilevel"/>
    <w:lvl w:ilvl="0">
      <w:start w:val="3"/>
      <w:numFmt w:val="upperLetter"/>
      <w:lvlText w:val="%1"/>
      <w:lvlJc w:val="left"/>
      <w:pPr>
        <w:ind w:left="971" w:hanging="502"/>
        <w:jc w:val="left"/>
      </w:pPr>
      <w:rPr>
        <w:rFonts w:hint="default"/>
        <w:lang w:val="en-US" w:eastAsia="en-US" w:bidi="ar-SA"/>
      </w:rPr>
    </w:lvl>
    <w:lvl w:ilvl="1">
      <w:start w:val="4"/>
      <w:numFmt w:val="decimal"/>
      <w:lvlText w:val="%1.%2"/>
      <w:lvlJc w:val="left"/>
      <w:pPr>
        <w:ind w:left="971" w:hanging="502"/>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2">
      <w:start w:val="0"/>
      <w:numFmt w:val="bullet"/>
      <w:lvlText w:val="•"/>
      <w:lvlJc w:val="left"/>
      <w:pPr>
        <w:ind w:left="2825" w:hanging="502"/>
      </w:pPr>
      <w:rPr>
        <w:rFonts w:hint="default"/>
        <w:lang w:val="en-US" w:eastAsia="en-US" w:bidi="ar-SA"/>
      </w:rPr>
    </w:lvl>
    <w:lvl w:ilvl="3">
      <w:start w:val="0"/>
      <w:numFmt w:val="bullet"/>
      <w:lvlText w:val="•"/>
      <w:lvlJc w:val="left"/>
      <w:pPr>
        <w:ind w:left="3747" w:hanging="502"/>
      </w:pPr>
      <w:rPr>
        <w:rFonts w:hint="default"/>
        <w:lang w:val="en-US" w:eastAsia="en-US" w:bidi="ar-SA"/>
      </w:rPr>
    </w:lvl>
    <w:lvl w:ilvl="4">
      <w:start w:val="0"/>
      <w:numFmt w:val="bullet"/>
      <w:lvlText w:val="•"/>
      <w:lvlJc w:val="left"/>
      <w:pPr>
        <w:ind w:left="4670" w:hanging="502"/>
      </w:pPr>
      <w:rPr>
        <w:rFonts w:hint="default"/>
        <w:lang w:val="en-US" w:eastAsia="en-US" w:bidi="ar-SA"/>
      </w:rPr>
    </w:lvl>
    <w:lvl w:ilvl="5">
      <w:start w:val="0"/>
      <w:numFmt w:val="bullet"/>
      <w:lvlText w:val="•"/>
      <w:lvlJc w:val="left"/>
      <w:pPr>
        <w:ind w:left="5592" w:hanging="502"/>
      </w:pPr>
      <w:rPr>
        <w:rFonts w:hint="default"/>
        <w:lang w:val="en-US" w:eastAsia="en-US" w:bidi="ar-SA"/>
      </w:rPr>
    </w:lvl>
    <w:lvl w:ilvl="6">
      <w:start w:val="0"/>
      <w:numFmt w:val="bullet"/>
      <w:lvlText w:val="•"/>
      <w:lvlJc w:val="left"/>
      <w:pPr>
        <w:ind w:left="6515" w:hanging="502"/>
      </w:pPr>
      <w:rPr>
        <w:rFonts w:hint="default"/>
        <w:lang w:val="en-US" w:eastAsia="en-US" w:bidi="ar-SA"/>
      </w:rPr>
    </w:lvl>
    <w:lvl w:ilvl="7">
      <w:start w:val="0"/>
      <w:numFmt w:val="bullet"/>
      <w:lvlText w:val="•"/>
      <w:lvlJc w:val="left"/>
      <w:pPr>
        <w:ind w:left="7437" w:hanging="502"/>
      </w:pPr>
      <w:rPr>
        <w:rFonts w:hint="default"/>
        <w:lang w:val="en-US" w:eastAsia="en-US" w:bidi="ar-SA"/>
      </w:rPr>
    </w:lvl>
    <w:lvl w:ilvl="8">
      <w:start w:val="0"/>
      <w:numFmt w:val="bullet"/>
      <w:lvlText w:val="•"/>
      <w:lvlJc w:val="left"/>
      <w:pPr>
        <w:ind w:left="8360" w:hanging="502"/>
      </w:pPr>
      <w:rPr>
        <w:rFonts w:hint="default"/>
        <w:lang w:val="en-US" w:eastAsia="en-US" w:bidi="ar-SA"/>
      </w:rPr>
    </w:lvl>
  </w:abstractNum>
  <w:abstractNum w:abstractNumId="10">
    <w:multiLevelType w:val="hybridMultilevel"/>
    <w:lvl w:ilvl="0">
      <w:start w:val="3"/>
      <w:numFmt w:val="upperLetter"/>
      <w:lvlText w:val="%1"/>
      <w:lvlJc w:val="left"/>
      <w:pPr>
        <w:ind w:left="964" w:hanging="496"/>
        <w:jc w:val="left"/>
      </w:pPr>
      <w:rPr>
        <w:rFonts w:hint="default"/>
        <w:lang w:val="en-US" w:eastAsia="en-US" w:bidi="ar-SA"/>
      </w:rPr>
    </w:lvl>
    <w:lvl w:ilvl="1">
      <w:start w:val="1"/>
      <w:numFmt w:val="decimal"/>
      <w:lvlText w:val="%1.%2"/>
      <w:lvlJc w:val="left"/>
      <w:pPr>
        <w:ind w:left="964" w:hanging="496"/>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2">
      <w:start w:val="0"/>
      <w:numFmt w:val="bullet"/>
      <w:lvlText w:val="•"/>
      <w:lvlJc w:val="left"/>
      <w:pPr>
        <w:ind w:left="2809" w:hanging="496"/>
      </w:pPr>
      <w:rPr>
        <w:rFonts w:hint="default"/>
        <w:lang w:val="en-US" w:eastAsia="en-US" w:bidi="ar-SA"/>
      </w:rPr>
    </w:lvl>
    <w:lvl w:ilvl="3">
      <w:start w:val="0"/>
      <w:numFmt w:val="bullet"/>
      <w:lvlText w:val="•"/>
      <w:lvlJc w:val="left"/>
      <w:pPr>
        <w:ind w:left="3733" w:hanging="496"/>
      </w:pPr>
      <w:rPr>
        <w:rFonts w:hint="default"/>
        <w:lang w:val="en-US" w:eastAsia="en-US" w:bidi="ar-SA"/>
      </w:rPr>
    </w:lvl>
    <w:lvl w:ilvl="4">
      <w:start w:val="0"/>
      <w:numFmt w:val="bullet"/>
      <w:lvlText w:val="•"/>
      <w:lvlJc w:val="left"/>
      <w:pPr>
        <w:ind w:left="4658" w:hanging="496"/>
      </w:pPr>
      <w:rPr>
        <w:rFonts w:hint="default"/>
        <w:lang w:val="en-US" w:eastAsia="en-US" w:bidi="ar-SA"/>
      </w:rPr>
    </w:lvl>
    <w:lvl w:ilvl="5">
      <w:start w:val="0"/>
      <w:numFmt w:val="bullet"/>
      <w:lvlText w:val="•"/>
      <w:lvlJc w:val="left"/>
      <w:pPr>
        <w:ind w:left="5582" w:hanging="496"/>
      </w:pPr>
      <w:rPr>
        <w:rFonts w:hint="default"/>
        <w:lang w:val="en-US" w:eastAsia="en-US" w:bidi="ar-SA"/>
      </w:rPr>
    </w:lvl>
    <w:lvl w:ilvl="6">
      <w:start w:val="0"/>
      <w:numFmt w:val="bullet"/>
      <w:lvlText w:val="•"/>
      <w:lvlJc w:val="left"/>
      <w:pPr>
        <w:ind w:left="6507" w:hanging="496"/>
      </w:pPr>
      <w:rPr>
        <w:rFonts w:hint="default"/>
        <w:lang w:val="en-US" w:eastAsia="en-US" w:bidi="ar-SA"/>
      </w:rPr>
    </w:lvl>
    <w:lvl w:ilvl="7">
      <w:start w:val="0"/>
      <w:numFmt w:val="bullet"/>
      <w:lvlText w:val="•"/>
      <w:lvlJc w:val="left"/>
      <w:pPr>
        <w:ind w:left="7431" w:hanging="496"/>
      </w:pPr>
      <w:rPr>
        <w:rFonts w:hint="default"/>
        <w:lang w:val="en-US" w:eastAsia="en-US" w:bidi="ar-SA"/>
      </w:rPr>
    </w:lvl>
    <w:lvl w:ilvl="8">
      <w:start w:val="0"/>
      <w:numFmt w:val="bullet"/>
      <w:lvlText w:val="•"/>
      <w:lvlJc w:val="left"/>
      <w:pPr>
        <w:ind w:left="8356" w:hanging="496"/>
      </w:pPr>
      <w:rPr>
        <w:rFonts w:hint="default"/>
        <w:lang w:val="en-US" w:eastAsia="en-US" w:bidi="ar-SA"/>
      </w:rPr>
    </w:lvl>
  </w:abstractNum>
  <w:abstractNum w:abstractNumId="9">
    <w:multiLevelType w:val="hybridMultilevel"/>
    <w:lvl w:ilvl="0">
      <w:start w:val="2"/>
      <w:numFmt w:val="upperLetter"/>
      <w:lvlText w:val="%1"/>
      <w:lvlJc w:val="left"/>
      <w:pPr>
        <w:ind w:left="971" w:hanging="502"/>
        <w:jc w:val="left"/>
      </w:pPr>
      <w:rPr>
        <w:rFonts w:hint="default"/>
        <w:lang w:val="en-US" w:eastAsia="en-US" w:bidi="ar-SA"/>
      </w:rPr>
    </w:lvl>
    <w:lvl w:ilvl="1">
      <w:start w:val="1"/>
      <w:numFmt w:val="decimal"/>
      <w:lvlText w:val="%1.%2"/>
      <w:lvlJc w:val="left"/>
      <w:pPr>
        <w:ind w:left="971" w:hanging="502"/>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2">
      <w:start w:val="0"/>
      <w:numFmt w:val="bullet"/>
      <w:lvlText w:val="•"/>
      <w:lvlJc w:val="left"/>
      <w:pPr>
        <w:ind w:left="2825" w:hanging="502"/>
      </w:pPr>
      <w:rPr>
        <w:rFonts w:hint="default"/>
        <w:lang w:val="en-US" w:eastAsia="en-US" w:bidi="ar-SA"/>
      </w:rPr>
    </w:lvl>
    <w:lvl w:ilvl="3">
      <w:start w:val="0"/>
      <w:numFmt w:val="bullet"/>
      <w:lvlText w:val="•"/>
      <w:lvlJc w:val="left"/>
      <w:pPr>
        <w:ind w:left="3747" w:hanging="502"/>
      </w:pPr>
      <w:rPr>
        <w:rFonts w:hint="default"/>
        <w:lang w:val="en-US" w:eastAsia="en-US" w:bidi="ar-SA"/>
      </w:rPr>
    </w:lvl>
    <w:lvl w:ilvl="4">
      <w:start w:val="0"/>
      <w:numFmt w:val="bullet"/>
      <w:lvlText w:val="•"/>
      <w:lvlJc w:val="left"/>
      <w:pPr>
        <w:ind w:left="4670" w:hanging="502"/>
      </w:pPr>
      <w:rPr>
        <w:rFonts w:hint="default"/>
        <w:lang w:val="en-US" w:eastAsia="en-US" w:bidi="ar-SA"/>
      </w:rPr>
    </w:lvl>
    <w:lvl w:ilvl="5">
      <w:start w:val="0"/>
      <w:numFmt w:val="bullet"/>
      <w:lvlText w:val="•"/>
      <w:lvlJc w:val="left"/>
      <w:pPr>
        <w:ind w:left="5592" w:hanging="502"/>
      </w:pPr>
      <w:rPr>
        <w:rFonts w:hint="default"/>
        <w:lang w:val="en-US" w:eastAsia="en-US" w:bidi="ar-SA"/>
      </w:rPr>
    </w:lvl>
    <w:lvl w:ilvl="6">
      <w:start w:val="0"/>
      <w:numFmt w:val="bullet"/>
      <w:lvlText w:val="•"/>
      <w:lvlJc w:val="left"/>
      <w:pPr>
        <w:ind w:left="6515" w:hanging="502"/>
      </w:pPr>
      <w:rPr>
        <w:rFonts w:hint="default"/>
        <w:lang w:val="en-US" w:eastAsia="en-US" w:bidi="ar-SA"/>
      </w:rPr>
    </w:lvl>
    <w:lvl w:ilvl="7">
      <w:start w:val="0"/>
      <w:numFmt w:val="bullet"/>
      <w:lvlText w:val="•"/>
      <w:lvlJc w:val="left"/>
      <w:pPr>
        <w:ind w:left="7437" w:hanging="502"/>
      </w:pPr>
      <w:rPr>
        <w:rFonts w:hint="default"/>
        <w:lang w:val="en-US" w:eastAsia="en-US" w:bidi="ar-SA"/>
      </w:rPr>
    </w:lvl>
    <w:lvl w:ilvl="8">
      <w:start w:val="0"/>
      <w:numFmt w:val="bullet"/>
      <w:lvlText w:val="•"/>
      <w:lvlJc w:val="left"/>
      <w:pPr>
        <w:ind w:left="8360" w:hanging="502"/>
      </w:pPr>
      <w:rPr>
        <w:rFonts w:hint="default"/>
        <w:lang w:val="en-US" w:eastAsia="en-US" w:bidi="ar-SA"/>
      </w:rPr>
    </w:lvl>
  </w:abstractNum>
  <w:abstractNum w:abstractNumId="8">
    <w:multiLevelType w:val="hybridMultilevel"/>
    <w:lvl w:ilvl="0">
      <w:start w:val="1"/>
      <w:numFmt w:val="upperLetter"/>
      <w:lvlText w:val="%1"/>
      <w:lvlJc w:val="left"/>
      <w:pPr>
        <w:ind w:left="964" w:hanging="496"/>
        <w:jc w:val="left"/>
      </w:pPr>
      <w:rPr>
        <w:rFonts w:hint="default"/>
        <w:lang w:val="en-US" w:eastAsia="en-US" w:bidi="ar-SA"/>
      </w:rPr>
    </w:lvl>
    <w:lvl w:ilvl="1">
      <w:start w:val="2"/>
      <w:numFmt w:val="decimal"/>
      <w:lvlText w:val="%1.%2"/>
      <w:lvlJc w:val="left"/>
      <w:pPr>
        <w:ind w:left="964" w:hanging="496"/>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2">
      <w:start w:val="0"/>
      <w:numFmt w:val="bullet"/>
      <w:lvlText w:val="•"/>
      <w:lvlJc w:val="left"/>
      <w:pPr>
        <w:ind w:left="2809" w:hanging="496"/>
      </w:pPr>
      <w:rPr>
        <w:rFonts w:hint="default"/>
        <w:lang w:val="en-US" w:eastAsia="en-US" w:bidi="ar-SA"/>
      </w:rPr>
    </w:lvl>
    <w:lvl w:ilvl="3">
      <w:start w:val="0"/>
      <w:numFmt w:val="bullet"/>
      <w:lvlText w:val="•"/>
      <w:lvlJc w:val="left"/>
      <w:pPr>
        <w:ind w:left="3733" w:hanging="496"/>
      </w:pPr>
      <w:rPr>
        <w:rFonts w:hint="default"/>
        <w:lang w:val="en-US" w:eastAsia="en-US" w:bidi="ar-SA"/>
      </w:rPr>
    </w:lvl>
    <w:lvl w:ilvl="4">
      <w:start w:val="0"/>
      <w:numFmt w:val="bullet"/>
      <w:lvlText w:val="•"/>
      <w:lvlJc w:val="left"/>
      <w:pPr>
        <w:ind w:left="4658" w:hanging="496"/>
      </w:pPr>
      <w:rPr>
        <w:rFonts w:hint="default"/>
        <w:lang w:val="en-US" w:eastAsia="en-US" w:bidi="ar-SA"/>
      </w:rPr>
    </w:lvl>
    <w:lvl w:ilvl="5">
      <w:start w:val="0"/>
      <w:numFmt w:val="bullet"/>
      <w:lvlText w:val="•"/>
      <w:lvlJc w:val="left"/>
      <w:pPr>
        <w:ind w:left="5582" w:hanging="496"/>
      </w:pPr>
      <w:rPr>
        <w:rFonts w:hint="default"/>
        <w:lang w:val="en-US" w:eastAsia="en-US" w:bidi="ar-SA"/>
      </w:rPr>
    </w:lvl>
    <w:lvl w:ilvl="6">
      <w:start w:val="0"/>
      <w:numFmt w:val="bullet"/>
      <w:lvlText w:val="•"/>
      <w:lvlJc w:val="left"/>
      <w:pPr>
        <w:ind w:left="6507" w:hanging="496"/>
      </w:pPr>
      <w:rPr>
        <w:rFonts w:hint="default"/>
        <w:lang w:val="en-US" w:eastAsia="en-US" w:bidi="ar-SA"/>
      </w:rPr>
    </w:lvl>
    <w:lvl w:ilvl="7">
      <w:start w:val="0"/>
      <w:numFmt w:val="bullet"/>
      <w:lvlText w:val="•"/>
      <w:lvlJc w:val="left"/>
      <w:pPr>
        <w:ind w:left="7431" w:hanging="496"/>
      </w:pPr>
      <w:rPr>
        <w:rFonts w:hint="default"/>
        <w:lang w:val="en-US" w:eastAsia="en-US" w:bidi="ar-SA"/>
      </w:rPr>
    </w:lvl>
    <w:lvl w:ilvl="8">
      <w:start w:val="0"/>
      <w:numFmt w:val="bullet"/>
      <w:lvlText w:val="•"/>
      <w:lvlJc w:val="left"/>
      <w:pPr>
        <w:ind w:left="8356" w:hanging="496"/>
      </w:pPr>
      <w:rPr>
        <w:rFonts w:hint="default"/>
        <w:lang w:val="en-US" w:eastAsia="en-US" w:bidi="ar-SA"/>
      </w:rPr>
    </w:lvl>
  </w:abstractNum>
  <w:abstractNum w:abstractNumId="7">
    <w:multiLevelType w:val="hybridMultilevel"/>
    <w:lvl w:ilvl="0">
      <w:start w:val="6"/>
      <w:numFmt w:val="decimal"/>
      <w:lvlText w:val="%1"/>
      <w:lvlJc w:val="left"/>
      <w:pPr>
        <w:ind w:left="971" w:hanging="502"/>
        <w:jc w:val="left"/>
      </w:pPr>
      <w:rPr>
        <w:rFonts w:hint="default"/>
        <w:lang w:val="en-US" w:eastAsia="en-US" w:bidi="ar-SA"/>
      </w:rPr>
    </w:lvl>
    <w:lvl w:ilvl="1">
      <w:start w:val="1"/>
      <w:numFmt w:val="decimal"/>
      <w:lvlText w:val="%1.%2"/>
      <w:lvlJc w:val="left"/>
      <w:pPr>
        <w:ind w:left="971" w:hanging="502"/>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2">
      <w:start w:val="0"/>
      <w:numFmt w:val="bullet"/>
      <w:lvlText w:val="•"/>
      <w:lvlJc w:val="left"/>
      <w:pPr>
        <w:ind w:left="2825" w:hanging="502"/>
      </w:pPr>
      <w:rPr>
        <w:rFonts w:hint="default"/>
        <w:lang w:val="en-US" w:eastAsia="en-US" w:bidi="ar-SA"/>
      </w:rPr>
    </w:lvl>
    <w:lvl w:ilvl="3">
      <w:start w:val="0"/>
      <w:numFmt w:val="bullet"/>
      <w:lvlText w:val="•"/>
      <w:lvlJc w:val="left"/>
      <w:pPr>
        <w:ind w:left="3747" w:hanging="502"/>
      </w:pPr>
      <w:rPr>
        <w:rFonts w:hint="default"/>
        <w:lang w:val="en-US" w:eastAsia="en-US" w:bidi="ar-SA"/>
      </w:rPr>
    </w:lvl>
    <w:lvl w:ilvl="4">
      <w:start w:val="0"/>
      <w:numFmt w:val="bullet"/>
      <w:lvlText w:val="•"/>
      <w:lvlJc w:val="left"/>
      <w:pPr>
        <w:ind w:left="4670" w:hanging="502"/>
      </w:pPr>
      <w:rPr>
        <w:rFonts w:hint="default"/>
        <w:lang w:val="en-US" w:eastAsia="en-US" w:bidi="ar-SA"/>
      </w:rPr>
    </w:lvl>
    <w:lvl w:ilvl="5">
      <w:start w:val="0"/>
      <w:numFmt w:val="bullet"/>
      <w:lvlText w:val="•"/>
      <w:lvlJc w:val="left"/>
      <w:pPr>
        <w:ind w:left="5592" w:hanging="502"/>
      </w:pPr>
      <w:rPr>
        <w:rFonts w:hint="default"/>
        <w:lang w:val="en-US" w:eastAsia="en-US" w:bidi="ar-SA"/>
      </w:rPr>
    </w:lvl>
    <w:lvl w:ilvl="6">
      <w:start w:val="0"/>
      <w:numFmt w:val="bullet"/>
      <w:lvlText w:val="•"/>
      <w:lvlJc w:val="left"/>
      <w:pPr>
        <w:ind w:left="6515" w:hanging="502"/>
      </w:pPr>
      <w:rPr>
        <w:rFonts w:hint="default"/>
        <w:lang w:val="en-US" w:eastAsia="en-US" w:bidi="ar-SA"/>
      </w:rPr>
    </w:lvl>
    <w:lvl w:ilvl="7">
      <w:start w:val="0"/>
      <w:numFmt w:val="bullet"/>
      <w:lvlText w:val="•"/>
      <w:lvlJc w:val="left"/>
      <w:pPr>
        <w:ind w:left="7437" w:hanging="502"/>
      </w:pPr>
      <w:rPr>
        <w:rFonts w:hint="default"/>
        <w:lang w:val="en-US" w:eastAsia="en-US" w:bidi="ar-SA"/>
      </w:rPr>
    </w:lvl>
    <w:lvl w:ilvl="8">
      <w:start w:val="0"/>
      <w:numFmt w:val="bullet"/>
      <w:lvlText w:val="•"/>
      <w:lvlJc w:val="left"/>
      <w:pPr>
        <w:ind w:left="8360" w:hanging="502"/>
      </w:pPr>
      <w:rPr>
        <w:rFonts w:hint="default"/>
        <w:lang w:val="en-US" w:eastAsia="en-US" w:bidi="ar-SA"/>
      </w:rPr>
    </w:lvl>
  </w:abstractNum>
  <w:abstractNum w:abstractNumId="6">
    <w:multiLevelType w:val="hybridMultilevel"/>
    <w:lvl w:ilvl="0">
      <w:start w:val="5"/>
      <w:numFmt w:val="decimal"/>
      <w:lvlText w:val="%1"/>
      <w:lvlJc w:val="left"/>
      <w:pPr>
        <w:ind w:left="971" w:hanging="502"/>
        <w:jc w:val="left"/>
      </w:pPr>
      <w:rPr>
        <w:rFonts w:hint="default"/>
        <w:lang w:val="en-US" w:eastAsia="en-US" w:bidi="ar-SA"/>
      </w:rPr>
    </w:lvl>
    <w:lvl w:ilvl="1">
      <w:start w:val="8"/>
      <w:numFmt w:val="decimal"/>
      <w:lvlText w:val="%1.%2"/>
      <w:lvlJc w:val="left"/>
      <w:pPr>
        <w:ind w:left="971" w:hanging="502"/>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2">
      <w:start w:val="0"/>
      <w:numFmt w:val="bullet"/>
      <w:lvlText w:val="•"/>
      <w:lvlJc w:val="left"/>
      <w:pPr>
        <w:ind w:left="2825" w:hanging="502"/>
      </w:pPr>
      <w:rPr>
        <w:rFonts w:hint="default"/>
        <w:lang w:val="en-US" w:eastAsia="en-US" w:bidi="ar-SA"/>
      </w:rPr>
    </w:lvl>
    <w:lvl w:ilvl="3">
      <w:start w:val="0"/>
      <w:numFmt w:val="bullet"/>
      <w:lvlText w:val="•"/>
      <w:lvlJc w:val="left"/>
      <w:pPr>
        <w:ind w:left="3747" w:hanging="502"/>
      </w:pPr>
      <w:rPr>
        <w:rFonts w:hint="default"/>
        <w:lang w:val="en-US" w:eastAsia="en-US" w:bidi="ar-SA"/>
      </w:rPr>
    </w:lvl>
    <w:lvl w:ilvl="4">
      <w:start w:val="0"/>
      <w:numFmt w:val="bullet"/>
      <w:lvlText w:val="•"/>
      <w:lvlJc w:val="left"/>
      <w:pPr>
        <w:ind w:left="4670" w:hanging="502"/>
      </w:pPr>
      <w:rPr>
        <w:rFonts w:hint="default"/>
        <w:lang w:val="en-US" w:eastAsia="en-US" w:bidi="ar-SA"/>
      </w:rPr>
    </w:lvl>
    <w:lvl w:ilvl="5">
      <w:start w:val="0"/>
      <w:numFmt w:val="bullet"/>
      <w:lvlText w:val="•"/>
      <w:lvlJc w:val="left"/>
      <w:pPr>
        <w:ind w:left="5592" w:hanging="502"/>
      </w:pPr>
      <w:rPr>
        <w:rFonts w:hint="default"/>
        <w:lang w:val="en-US" w:eastAsia="en-US" w:bidi="ar-SA"/>
      </w:rPr>
    </w:lvl>
    <w:lvl w:ilvl="6">
      <w:start w:val="0"/>
      <w:numFmt w:val="bullet"/>
      <w:lvlText w:val="•"/>
      <w:lvlJc w:val="left"/>
      <w:pPr>
        <w:ind w:left="6515" w:hanging="502"/>
      </w:pPr>
      <w:rPr>
        <w:rFonts w:hint="default"/>
        <w:lang w:val="en-US" w:eastAsia="en-US" w:bidi="ar-SA"/>
      </w:rPr>
    </w:lvl>
    <w:lvl w:ilvl="7">
      <w:start w:val="0"/>
      <w:numFmt w:val="bullet"/>
      <w:lvlText w:val="•"/>
      <w:lvlJc w:val="left"/>
      <w:pPr>
        <w:ind w:left="7437" w:hanging="502"/>
      </w:pPr>
      <w:rPr>
        <w:rFonts w:hint="default"/>
        <w:lang w:val="en-US" w:eastAsia="en-US" w:bidi="ar-SA"/>
      </w:rPr>
    </w:lvl>
    <w:lvl w:ilvl="8">
      <w:start w:val="0"/>
      <w:numFmt w:val="bullet"/>
      <w:lvlText w:val="•"/>
      <w:lvlJc w:val="left"/>
      <w:pPr>
        <w:ind w:left="8360" w:hanging="502"/>
      </w:pPr>
      <w:rPr>
        <w:rFonts w:hint="default"/>
        <w:lang w:val="en-US" w:eastAsia="en-US" w:bidi="ar-SA"/>
      </w:rPr>
    </w:lvl>
  </w:abstractNum>
  <w:abstractNum w:abstractNumId="5">
    <w:multiLevelType w:val="hybridMultilevel"/>
    <w:lvl w:ilvl="0">
      <w:start w:val="5"/>
      <w:numFmt w:val="decimal"/>
      <w:lvlText w:val="%1"/>
      <w:lvlJc w:val="left"/>
      <w:pPr>
        <w:ind w:left="1538" w:hanging="502"/>
        <w:jc w:val="left"/>
      </w:pPr>
      <w:rPr>
        <w:rFonts w:hint="default"/>
        <w:lang w:val="en-US" w:eastAsia="en-US" w:bidi="ar-SA"/>
      </w:rPr>
    </w:lvl>
    <w:lvl w:ilvl="1">
      <w:start w:val="1"/>
      <w:numFmt w:val="decimal"/>
      <w:lvlText w:val="%1.%2"/>
      <w:lvlJc w:val="left"/>
      <w:pPr>
        <w:ind w:left="1538" w:hanging="502"/>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2">
      <w:start w:val="0"/>
      <w:numFmt w:val="bullet"/>
      <w:lvlText w:val="•"/>
      <w:lvlJc w:val="left"/>
      <w:pPr>
        <w:ind w:left="3273" w:hanging="502"/>
      </w:pPr>
      <w:rPr>
        <w:rFonts w:hint="default"/>
        <w:lang w:val="en-US" w:eastAsia="en-US" w:bidi="ar-SA"/>
      </w:rPr>
    </w:lvl>
    <w:lvl w:ilvl="3">
      <w:start w:val="0"/>
      <w:numFmt w:val="bullet"/>
      <w:lvlText w:val="•"/>
      <w:lvlJc w:val="left"/>
      <w:pPr>
        <w:ind w:left="4139" w:hanging="502"/>
      </w:pPr>
      <w:rPr>
        <w:rFonts w:hint="default"/>
        <w:lang w:val="en-US" w:eastAsia="en-US" w:bidi="ar-SA"/>
      </w:rPr>
    </w:lvl>
    <w:lvl w:ilvl="4">
      <w:start w:val="0"/>
      <w:numFmt w:val="bullet"/>
      <w:lvlText w:val="•"/>
      <w:lvlJc w:val="left"/>
      <w:pPr>
        <w:ind w:left="5006" w:hanging="502"/>
      </w:pPr>
      <w:rPr>
        <w:rFonts w:hint="default"/>
        <w:lang w:val="en-US" w:eastAsia="en-US" w:bidi="ar-SA"/>
      </w:rPr>
    </w:lvl>
    <w:lvl w:ilvl="5">
      <w:start w:val="0"/>
      <w:numFmt w:val="bullet"/>
      <w:lvlText w:val="•"/>
      <w:lvlJc w:val="left"/>
      <w:pPr>
        <w:ind w:left="5872" w:hanging="502"/>
      </w:pPr>
      <w:rPr>
        <w:rFonts w:hint="default"/>
        <w:lang w:val="en-US" w:eastAsia="en-US" w:bidi="ar-SA"/>
      </w:rPr>
    </w:lvl>
    <w:lvl w:ilvl="6">
      <w:start w:val="0"/>
      <w:numFmt w:val="bullet"/>
      <w:lvlText w:val="•"/>
      <w:lvlJc w:val="left"/>
      <w:pPr>
        <w:ind w:left="6739" w:hanging="502"/>
      </w:pPr>
      <w:rPr>
        <w:rFonts w:hint="default"/>
        <w:lang w:val="en-US" w:eastAsia="en-US" w:bidi="ar-SA"/>
      </w:rPr>
    </w:lvl>
    <w:lvl w:ilvl="7">
      <w:start w:val="0"/>
      <w:numFmt w:val="bullet"/>
      <w:lvlText w:val="•"/>
      <w:lvlJc w:val="left"/>
      <w:pPr>
        <w:ind w:left="7605" w:hanging="502"/>
      </w:pPr>
      <w:rPr>
        <w:rFonts w:hint="default"/>
        <w:lang w:val="en-US" w:eastAsia="en-US" w:bidi="ar-SA"/>
      </w:rPr>
    </w:lvl>
    <w:lvl w:ilvl="8">
      <w:start w:val="0"/>
      <w:numFmt w:val="bullet"/>
      <w:lvlText w:val="•"/>
      <w:lvlJc w:val="left"/>
      <w:pPr>
        <w:ind w:left="8472" w:hanging="502"/>
      </w:pPr>
      <w:rPr>
        <w:rFonts w:hint="default"/>
        <w:lang w:val="en-US" w:eastAsia="en-US" w:bidi="ar-SA"/>
      </w:rPr>
    </w:lvl>
  </w:abstractNum>
  <w:abstractNum w:abstractNumId="4">
    <w:multiLevelType w:val="hybridMultilevel"/>
    <w:lvl w:ilvl="0">
      <w:start w:val="4"/>
      <w:numFmt w:val="decimal"/>
      <w:lvlText w:val="%1"/>
      <w:lvlJc w:val="left"/>
      <w:pPr>
        <w:ind w:left="1531" w:hanging="496"/>
        <w:jc w:val="left"/>
      </w:pPr>
      <w:rPr>
        <w:rFonts w:hint="default"/>
        <w:lang w:val="en-US" w:eastAsia="en-US" w:bidi="ar-SA"/>
      </w:rPr>
    </w:lvl>
    <w:lvl w:ilvl="1">
      <w:start w:val="1"/>
      <w:numFmt w:val="decimal"/>
      <w:lvlText w:val="%1.%2"/>
      <w:lvlJc w:val="left"/>
      <w:pPr>
        <w:ind w:left="1531" w:hanging="496"/>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2">
      <w:start w:val="0"/>
      <w:numFmt w:val="bullet"/>
      <w:lvlText w:val="•"/>
      <w:lvlJc w:val="left"/>
      <w:pPr>
        <w:ind w:left="3273" w:hanging="496"/>
      </w:pPr>
      <w:rPr>
        <w:rFonts w:hint="default"/>
        <w:lang w:val="en-US" w:eastAsia="en-US" w:bidi="ar-SA"/>
      </w:rPr>
    </w:lvl>
    <w:lvl w:ilvl="3">
      <w:start w:val="0"/>
      <w:numFmt w:val="bullet"/>
      <w:lvlText w:val="•"/>
      <w:lvlJc w:val="left"/>
      <w:pPr>
        <w:ind w:left="4139" w:hanging="496"/>
      </w:pPr>
      <w:rPr>
        <w:rFonts w:hint="default"/>
        <w:lang w:val="en-US" w:eastAsia="en-US" w:bidi="ar-SA"/>
      </w:rPr>
    </w:lvl>
    <w:lvl w:ilvl="4">
      <w:start w:val="0"/>
      <w:numFmt w:val="bullet"/>
      <w:lvlText w:val="•"/>
      <w:lvlJc w:val="left"/>
      <w:pPr>
        <w:ind w:left="5006" w:hanging="496"/>
      </w:pPr>
      <w:rPr>
        <w:rFonts w:hint="default"/>
        <w:lang w:val="en-US" w:eastAsia="en-US" w:bidi="ar-SA"/>
      </w:rPr>
    </w:lvl>
    <w:lvl w:ilvl="5">
      <w:start w:val="0"/>
      <w:numFmt w:val="bullet"/>
      <w:lvlText w:val="•"/>
      <w:lvlJc w:val="left"/>
      <w:pPr>
        <w:ind w:left="5872" w:hanging="496"/>
      </w:pPr>
      <w:rPr>
        <w:rFonts w:hint="default"/>
        <w:lang w:val="en-US" w:eastAsia="en-US" w:bidi="ar-SA"/>
      </w:rPr>
    </w:lvl>
    <w:lvl w:ilvl="6">
      <w:start w:val="0"/>
      <w:numFmt w:val="bullet"/>
      <w:lvlText w:val="•"/>
      <w:lvlJc w:val="left"/>
      <w:pPr>
        <w:ind w:left="6739" w:hanging="496"/>
      </w:pPr>
      <w:rPr>
        <w:rFonts w:hint="default"/>
        <w:lang w:val="en-US" w:eastAsia="en-US" w:bidi="ar-SA"/>
      </w:rPr>
    </w:lvl>
    <w:lvl w:ilvl="7">
      <w:start w:val="0"/>
      <w:numFmt w:val="bullet"/>
      <w:lvlText w:val="•"/>
      <w:lvlJc w:val="left"/>
      <w:pPr>
        <w:ind w:left="7605" w:hanging="496"/>
      </w:pPr>
      <w:rPr>
        <w:rFonts w:hint="default"/>
        <w:lang w:val="en-US" w:eastAsia="en-US" w:bidi="ar-SA"/>
      </w:rPr>
    </w:lvl>
    <w:lvl w:ilvl="8">
      <w:start w:val="0"/>
      <w:numFmt w:val="bullet"/>
      <w:lvlText w:val="•"/>
      <w:lvlJc w:val="left"/>
      <w:pPr>
        <w:ind w:left="8472" w:hanging="496"/>
      </w:pPr>
      <w:rPr>
        <w:rFonts w:hint="default"/>
        <w:lang w:val="en-US" w:eastAsia="en-US" w:bidi="ar-SA"/>
      </w:rPr>
    </w:lvl>
  </w:abstractNum>
  <w:abstractNum w:abstractNumId="3">
    <w:multiLevelType w:val="hybridMultilevel"/>
    <w:lvl w:ilvl="0">
      <w:start w:val="3"/>
      <w:numFmt w:val="decimal"/>
      <w:lvlText w:val="%1"/>
      <w:lvlJc w:val="left"/>
      <w:pPr>
        <w:ind w:left="1538" w:hanging="502"/>
        <w:jc w:val="left"/>
      </w:pPr>
      <w:rPr>
        <w:rFonts w:hint="default"/>
        <w:lang w:val="en-US" w:eastAsia="en-US" w:bidi="ar-SA"/>
      </w:rPr>
    </w:lvl>
    <w:lvl w:ilvl="1">
      <w:start w:val="1"/>
      <w:numFmt w:val="decimal"/>
      <w:lvlText w:val="%1.%2"/>
      <w:lvlJc w:val="left"/>
      <w:pPr>
        <w:ind w:left="1538" w:hanging="502"/>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2">
      <w:start w:val="0"/>
      <w:numFmt w:val="bullet"/>
      <w:lvlText w:val="•"/>
      <w:lvlJc w:val="left"/>
      <w:pPr>
        <w:ind w:left="3273" w:hanging="502"/>
      </w:pPr>
      <w:rPr>
        <w:rFonts w:hint="default"/>
        <w:lang w:val="en-US" w:eastAsia="en-US" w:bidi="ar-SA"/>
      </w:rPr>
    </w:lvl>
    <w:lvl w:ilvl="3">
      <w:start w:val="0"/>
      <w:numFmt w:val="bullet"/>
      <w:lvlText w:val="•"/>
      <w:lvlJc w:val="left"/>
      <w:pPr>
        <w:ind w:left="4139" w:hanging="502"/>
      </w:pPr>
      <w:rPr>
        <w:rFonts w:hint="default"/>
        <w:lang w:val="en-US" w:eastAsia="en-US" w:bidi="ar-SA"/>
      </w:rPr>
    </w:lvl>
    <w:lvl w:ilvl="4">
      <w:start w:val="0"/>
      <w:numFmt w:val="bullet"/>
      <w:lvlText w:val="•"/>
      <w:lvlJc w:val="left"/>
      <w:pPr>
        <w:ind w:left="5006" w:hanging="502"/>
      </w:pPr>
      <w:rPr>
        <w:rFonts w:hint="default"/>
        <w:lang w:val="en-US" w:eastAsia="en-US" w:bidi="ar-SA"/>
      </w:rPr>
    </w:lvl>
    <w:lvl w:ilvl="5">
      <w:start w:val="0"/>
      <w:numFmt w:val="bullet"/>
      <w:lvlText w:val="•"/>
      <w:lvlJc w:val="left"/>
      <w:pPr>
        <w:ind w:left="5872" w:hanging="502"/>
      </w:pPr>
      <w:rPr>
        <w:rFonts w:hint="default"/>
        <w:lang w:val="en-US" w:eastAsia="en-US" w:bidi="ar-SA"/>
      </w:rPr>
    </w:lvl>
    <w:lvl w:ilvl="6">
      <w:start w:val="0"/>
      <w:numFmt w:val="bullet"/>
      <w:lvlText w:val="•"/>
      <w:lvlJc w:val="left"/>
      <w:pPr>
        <w:ind w:left="6739" w:hanging="502"/>
      </w:pPr>
      <w:rPr>
        <w:rFonts w:hint="default"/>
        <w:lang w:val="en-US" w:eastAsia="en-US" w:bidi="ar-SA"/>
      </w:rPr>
    </w:lvl>
    <w:lvl w:ilvl="7">
      <w:start w:val="0"/>
      <w:numFmt w:val="bullet"/>
      <w:lvlText w:val="•"/>
      <w:lvlJc w:val="left"/>
      <w:pPr>
        <w:ind w:left="7605" w:hanging="502"/>
      </w:pPr>
      <w:rPr>
        <w:rFonts w:hint="default"/>
        <w:lang w:val="en-US" w:eastAsia="en-US" w:bidi="ar-SA"/>
      </w:rPr>
    </w:lvl>
    <w:lvl w:ilvl="8">
      <w:start w:val="0"/>
      <w:numFmt w:val="bullet"/>
      <w:lvlText w:val="•"/>
      <w:lvlJc w:val="left"/>
      <w:pPr>
        <w:ind w:left="8472" w:hanging="502"/>
      </w:pPr>
      <w:rPr>
        <w:rFonts w:hint="default"/>
        <w:lang w:val="en-US" w:eastAsia="en-US" w:bidi="ar-SA"/>
      </w:rPr>
    </w:lvl>
  </w:abstractNum>
  <w:abstractNum w:abstractNumId="2">
    <w:multiLevelType w:val="hybridMultilevel"/>
    <w:lvl w:ilvl="0">
      <w:start w:val="2"/>
      <w:numFmt w:val="decimal"/>
      <w:lvlText w:val="%1"/>
      <w:lvlJc w:val="left"/>
      <w:pPr>
        <w:ind w:left="1538" w:hanging="502"/>
        <w:jc w:val="left"/>
      </w:pPr>
      <w:rPr>
        <w:rFonts w:hint="default"/>
        <w:lang w:val="en-US" w:eastAsia="en-US" w:bidi="ar-SA"/>
      </w:rPr>
    </w:lvl>
    <w:lvl w:ilvl="1">
      <w:start w:val="1"/>
      <w:numFmt w:val="decimal"/>
      <w:lvlText w:val="%1.%2"/>
      <w:lvlJc w:val="left"/>
      <w:pPr>
        <w:ind w:left="1538" w:hanging="502"/>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2">
      <w:start w:val="0"/>
      <w:numFmt w:val="bullet"/>
      <w:lvlText w:val="•"/>
      <w:lvlJc w:val="left"/>
      <w:pPr>
        <w:ind w:left="3273" w:hanging="502"/>
      </w:pPr>
      <w:rPr>
        <w:rFonts w:hint="default"/>
        <w:lang w:val="en-US" w:eastAsia="en-US" w:bidi="ar-SA"/>
      </w:rPr>
    </w:lvl>
    <w:lvl w:ilvl="3">
      <w:start w:val="0"/>
      <w:numFmt w:val="bullet"/>
      <w:lvlText w:val="•"/>
      <w:lvlJc w:val="left"/>
      <w:pPr>
        <w:ind w:left="4139" w:hanging="502"/>
      </w:pPr>
      <w:rPr>
        <w:rFonts w:hint="default"/>
        <w:lang w:val="en-US" w:eastAsia="en-US" w:bidi="ar-SA"/>
      </w:rPr>
    </w:lvl>
    <w:lvl w:ilvl="4">
      <w:start w:val="0"/>
      <w:numFmt w:val="bullet"/>
      <w:lvlText w:val="•"/>
      <w:lvlJc w:val="left"/>
      <w:pPr>
        <w:ind w:left="5006" w:hanging="502"/>
      </w:pPr>
      <w:rPr>
        <w:rFonts w:hint="default"/>
        <w:lang w:val="en-US" w:eastAsia="en-US" w:bidi="ar-SA"/>
      </w:rPr>
    </w:lvl>
    <w:lvl w:ilvl="5">
      <w:start w:val="0"/>
      <w:numFmt w:val="bullet"/>
      <w:lvlText w:val="•"/>
      <w:lvlJc w:val="left"/>
      <w:pPr>
        <w:ind w:left="5872" w:hanging="502"/>
      </w:pPr>
      <w:rPr>
        <w:rFonts w:hint="default"/>
        <w:lang w:val="en-US" w:eastAsia="en-US" w:bidi="ar-SA"/>
      </w:rPr>
    </w:lvl>
    <w:lvl w:ilvl="6">
      <w:start w:val="0"/>
      <w:numFmt w:val="bullet"/>
      <w:lvlText w:val="•"/>
      <w:lvlJc w:val="left"/>
      <w:pPr>
        <w:ind w:left="6739" w:hanging="502"/>
      </w:pPr>
      <w:rPr>
        <w:rFonts w:hint="default"/>
        <w:lang w:val="en-US" w:eastAsia="en-US" w:bidi="ar-SA"/>
      </w:rPr>
    </w:lvl>
    <w:lvl w:ilvl="7">
      <w:start w:val="0"/>
      <w:numFmt w:val="bullet"/>
      <w:lvlText w:val="•"/>
      <w:lvlJc w:val="left"/>
      <w:pPr>
        <w:ind w:left="7605" w:hanging="502"/>
      </w:pPr>
      <w:rPr>
        <w:rFonts w:hint="default"/>
        <w:lang w:val="en-US" w:eastAsia="en-US" w:bidi="ar-SA"/>
      </w:rPr>
    </w:lvl>
    <w:lvl w:ilvl="8">
      <w:start w:val="0"/>
      <w:numFmt w:val="bullet"/>
      <w:lvlText w:val="•"/>
      <w:lvlJc w:val="left"/>
      <w:pPr>
        <w:ind w:left="8472" w:hanging="502"/>
      </w:pPr>
      <w:rPr>
        <w:rFonts w:hint="default"/>
        <w:lang w:val="en-US" w:eastAsia="en-US" w:bidi="ar-SA"/>
      </w:rPr>
    </w:lvl>
  </w:abstractNum>
  <w:abstractNum w:abstractNumId="1">
    <w:multiLevelType w:val="hybridMultilevel"/>
    <w:lvl w:ilvl="0">
      <w:start w:val="1"/>
      <w:numFmt w:val="upperLetter"/>
      <w:lvlText w:val="%1"/>
      <w:lvlJc w:val="left"/>
      <w:pPr>
        <w:ind w:left="1036" w:hanging="328"/>
        <w:jc w:val="right"/>
      </w:pPr>
      <w:rPr>
        <w:rFonts w:hint="default" w:ascii="Times New Roman" w:hAnsi="Times New Roman" w:eastAsia="Times New Roman" w:cs="Times New Roman"/>
        <w:b/>
        <w:bCs/>
        <w:i w:val="0"/>
        <w:iCs w:val="0"/>
        <w:spacing w:val="0"/>
        <w:w w:val="99"/>
        <w:sz w:val="22"/>
        <w:szCs w:val="22"/>
        <w:lang w:val="en-US" w:eastAsia="en-US" w:bidi="ar-SA"/>
      </w:rPr>
    </w:lvl>
    <w:lvl w:ilvl="1">
      <w:start w:val="1"/>
      <w:numFmt w:val="decimal"/>
      <w:lvlText w:val="%1.%2"/>
      <w:lvlJc w:val="left"/>
      <w:pPr>
        <w:ind w:left="1531" w:hanging="496"/>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2">
      <w:start w:val="1"/>
      <w:numFmt w:val="decimal"/>
      <w:lvlText w:val="%1.%2.%3"/>
      <w:lvlJc w:val="left"/>
      <w:pPr>
        <w:ind w:left="2236" w:hanging="699"/>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3">
      <w:start w:val="0"/>
      <w:numFmt w:val="bullet"/>
      <w:lvlText w:val="•"/>
      <w:lvlJc w:val="left"/>
      <w:pPr>
        <w:ind w:left="1540" w:hanging="699"/>
      </w:pPr>
      <w:rPr>
        <w:rFonts w:hint="default"/>
        <w:lang w:val="en-US" w:eastAsia="en-US" w:bidi="ar-SA"/>
      </w:rPr>
    </w:lvl>
    <w:lvl w:ilvl="4">
      <w:start w:val="0"/>
      <w:numFmt w:val="bullet"/>
      <w:lvlText w:val="•"/>
      <w:lvlJc w:val="left"/>
      <w:pPr>
        <w:ind w:left="1660" w:hanging="699"/>
      </w:pPr>
      <w:rPr>
        <w:rFonts w:hint="default"/>
        <w:lang w:val="en-US" w:eastAsia="en-US" w:bidi="ar-SA"/>
      </w:rPr>
    </w:lvl>
    <w:lvl w:ilvl="5">
      <w:start w:val="0"/>
      <w:numFmt w:val="bullet"/>
      <w:lvlText w:val="•"/>
      <w:lvlJc w:val="left"/>
      <w:pPr>
        <w:ind w:left="2240" w:hanging="699"/>
      </w:pPr>
      <w:rPr>
        <w:rFonts w:hint="default"/>
        <w:lang w:val="en-US" w:eastAsia="en-US" w:bidi="ar-SA"/>
      </w:rPr>
    </w:lvl>
    <w:lvl w:ilvl="6">
      <w:start w:val="0"/>
      <w:numFmt w:val="bullet"/>
      <w:lvlText w:val="•"/>
      <w:lvlJc w:val="left"/>
      <w:pPr>
        <w:ind w:left="3833" w:hanging="699"/>
      </w:pPr>
      <w:rPr>
        <w:rFonts w:hint="default"/>
        <w:lang w:val="en-US" w:eastAsia="en-US" w:bidi="ar-SA"/>
      </w:rPr>
    </w:lvl>
    <w:lvl w:ilvl="7">
      <w:start w:val="0"/>
      <w:numFmt w:val="bullet"/>
      <w:lvlText w:val="•"/>
      <w:lvlJc w:val="left"/>
      <w:pPr>
        <w:ind w:left="5426" w:hanging="699"/>
      </w:pPr>
      <w:rPr>
        <w:rFonts w:hint="default"/>
        <w:lang w:val="en-US" w:eastAsia="en-US" w:bidi="ar-SA"/>
      </w:rPr>
    </w:lvl>
    <w:lvl w:ilvl="8">
      <w:start w:val="0"/>
      <w:numFmt w:val="bullet"/>
      <w:lvlText w:val="•"/>
      <w:lvlJc w:val="left"/>
      <w:pPr>
        <w:ind w:left="7019" w:hanging="699"/>
      </w:pPr>
      <w:rPr>
        <w:rFonts w:hint="default"/>
        <w:lang w:val="en-US" w:eastAsia="en-US" w:bidi="ar-SA"/>
      </w:rPr>
    </w:lvl>
  </w:abstractNum>
  <w:abstractNum w:abstractNumId="0">
    <w:multiLevelType w:val="hybridMultilevel"/>
    <w:lvl w:ilvl="0">
      <w:start w:val="1"/>
      <w:numFmt w:val="decimal"/>
      <w:lvlText w:val="%1"/>
      <w:lvlJc w:val="left"/>
      <w:pPr>
        <w:ind w:left="1036" w:hanging="328"/>
        <w:jc w:val="right"/>
      </w:pPr>
      <w:rPr>
        <w:rFonts w:hint="default" w:ascii="Times New Roman" w:hAnsi="Times New Roman" w:eastAsia="Times New Roman" w:cs="Times New Roman"/>
        <w:b/>
        <w:bCs/>
        <w:i w:val="0"/>
        <w:iCs w:val="0"/>
        <w:spacing w:val="0"/>
        <w:w w:val="99"/>
        <w:sz w:val="22"/>
        <w:szCs w:val="22"/>
        <w:lang w:val="en-US" w:eastAsia="en-US" w:bidi="ar-SA"/>
      </w:rPr>
    </w:lvl>
    <w:lvl w:ilvl="1">
      <w:start w:val="1"/>
      <w:numFmt w:val="decimal"/>
      <w:lvlText w:val="%1.%2"/>
      <w:lvlJc w:val="left"/>
      <w:pPr>
        <w:ind w:left="1538" w:hanging="502"/>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2">
      <w:start w:val="1"/>
      <w:numFmt w:val="decimal"/>
      <w:lvlText w:val="%1.%2.%3"/>
      <w:lvlJc w:val="left"/>
      <w:pPr>
        <w:ind w:left="2236" w:hanging="699"/>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3">
      <w:start w:val="0"/>
      <w:numFmt w:val="bullet"/>
      <w:lvlText w:val="•"/>
      <w:lvlJc w:val="left"/>
      <w:pPr>
        <w:ind w:left="1540" w:hanging="699"/>
      </w:pPr>
      <w:rPr>
        <w:rFonts w:hint="default"/>
        <w:lang w:val="en-US" w:eastAsia="en-US" w:bidi="ar-SA"/>
      </w:rPr>
    </w:lvl>
    <w:lvl w:ilvl="4">
      <w:start w:val="0"/>
      <w:numFmt w:val="bullet"/>
      <w:lvlText w:val="•"/>
      <w:lvlJc w:val="left"/>
      <w:pPr>
        <w:ind w:left="1660" w:hanging="699"/>
      </w:pPr>
      <w:rPr>
        <w:rFonts w:hint="default"/>
        <w:lang w:val="en-US" w:eastAsia="en-US" w:bidi="ar-SA"/>
      </w:rPr>
    </w:lvl>
    <w:lvl w:ilvl="5">
      <w:start w:val="0"/>
      <w:numFmt w:val="bullet"/>
      <w:lvlText w:val="•"/>
      <w:lvlJc w:val="left"/>
      <w:pPr>
        <w:ind w:left="2220" w:hanging="699"/>
      </w:pPr>
      <w:rPr>
        <w:rFonts w:hint="default"/>
        <w:lang w:val="en-US" w:eastAsia="en-US" w:bidi="ar-SA"/>
      </w:rPr>
    </w:lvl>
    <w:lvl w:ilvl="6">
      <w:start w:val="0"/>
      <w:numFmt w:val="bullet"/>
      <w:lvlText w:val="•"/>
      <w:lvlJc w:val="left"/>
      <w:pPr>
        <w:ind w:left="2240" w:hanging="699"/>
      </w:pPr>
      <w:rPr>
        <w:rFonts w:hint="default"/>
        <w:lang w:val="en-US" w:eastAsia="en-US" w:bidi="ar-SA"/>
      </w:rPr>
    </w:lvl>
    <w:lvl w:ilvl="7">
      <w:start w:val="0"/>
      <w:numFmt w:val="bullet"/>
      <w:lvlText w:val="•"/>
      <w:lvlJc w:val="left"/>
      <w:pPr>
        <w:ind w:left="4231" w:hanging="699"/>
      </w:pPr>
      <w:rPr>
        <w:rFonts w:hint="default"/>
        <w:lang w:val="en-US" w:eastAsia="en-US" w:bidi="ar-SA"/>
      </w:rPr>
    </w:lvl>
    <w:lvl w:ilvl="8">
      <w:start w:val="0"/>
      <w:numFmt w:val="bullet"/>
      <w:lvlText w:val="•"/>
      <w:lvlJc w:val="left"/>
      <w:pPr>
        <w:ind w:left="6222" w:hanging="699"/>
      </w:pPr>
      <w:rPr>
        <w:rFonts w:hint="default"/>
        <w:lang w:val="en-US" w:eastAsia="en-US" w:bidi="ar-SA"/>
      </w:rPr>
    </w:lvl>
  </w:abstract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48"/>
      <w:ind w:left="469" w:hanging="327"/>
    </w:pPr>
    <w:rPr>
      <w:rFonts w:ascii="Times New Roman" w:hAnsi="Times New Roman" w:eastAsia="Times New Roman" w:cs="Times New Roman"/>
      <w:b/>
      <w:bCs/>
      <w:sz w:val="22"/>
      <w:szCs w:val="22"/>
      <w:lang w:val="en-US" w:eastAsia="en-US" w:bidi="ar-SA"/>
    </w:rPr>
  </w:style>
  <w:style w:styleId="TOC2" w:type="paragraph">
    <w:name w:val="TOC 2"/>
    <w:basedOn w:val="Normal"/>
    <w:uiPriority w:val="1"/>
    <w:qFormat/>
    <w:pPr>
      <w:spacing w:before="25"/>
      <w:ind w:left="971" w:hanging="502"/>
    </w:pPr>
    <w:rPr>
      <w:rFonts w:ascii="Times New Roman" w:hAnsi="Times New Roman" w:eastAsia="Times New Roman" w:cs="Times New Roman"/>
      <w:sz w:val="22"/>
      <w:szCs w:val="22"/>
      <w:lang w:val="en-US" w:eastAsia="en-US" w:bidi="ar-SA"/>
    </w:rPr>
  </w:style>
  <w:style w:styleId="TOC3" w:type="paragraph">
    <w:name w:val="TOC 3"/>
    <w:basedOn w:val="Normal"/>
    <w:uiPriority w:val="1"/>
    <w:qFormat/>
    <w:pPr>
      <w:spacing w:before="345" w:after="20"/>
      <w:ind w:left="601" w:right="882"/>
      <w:jc w:val="center"/>
    </w:pPr>
    <w:rPr>
      <w:rFonts w:ascii="Times New Roman" w:hAnsi="Times New Roman" w:eastAsia="Times New Roman" w:cs="Times New Roman"/>
      <w:sz w:val="22"/>
      <w:szCs w:val="22"/>
      <w:lang w:val="en-US" w:eastAsia="en-US" w:bidi="ar-SA"/>
    </w:rPr>
  </w:style>
  <w:style w:styleId="TOC4" w:type="paragraph">
    <w:name w:val="TOC 4"/>
    <w:basedOn w:val="Normal"/>
    <w:uiPriority w:val="1"/>
    <w:qFormat/>
    <w:pPr>
      <w:spacing w:before="254"/>
      <w:ind w:left="1036" w:hanging="327"/>
    </w:pPr>
    <w:rPr>
      <w:rFonts w:ascii="Times New Roman" w:hAnsi="Times New Roman" w:eastAsia="Times New Roman" w:cs="Times New Roman"/>
      <w:b/>
      <w:bCs/>
      <w:sz w:val="22"/>
      <w:szCs w:val="22"/>
      <w:lang w:val="en-US" w:eastAsia="en-US" w:bidi="ar-SA"/>
    </w:rPr>
  </w:style>
  <w:style w:styleId="TOC5" w:type="paragraph">
    <w:name w:val="TOC 5"/>
    <w:basedOn w:val="Normal"/>
    <w:uiPriority w:val="1"/>
    <w:qFormat/>
    <w:pPr>
      <w:spacing w:before="76"/>
      <w:ind w:left="702"/>
    </w:pPr>
    <w:rPr>
      <w:rFonts w:ascii="Cambria" w:hAnsi="Cambria" w:eastAsia="Cambria" w:cs="Cambria"/>
      <w:i/>
      <w:iCs/>
      <w:sz w:val="22"/>
      <w:szCs w:val="22"/>
      <w:lang w:val="en-US" w:eastAsia="en-US" w:bidi="ar-SA"/>
    </w:rPr>
  </w:style>
  <w:style w:styleId="TOC6" w:type="paragraph">
    <w:name w:val="TOC 6"/>
    <w:basedOn w:val="Normal"/>
    <w:uiPriority w:val="1"/>
    <w:qFormat/>
    <w:pPr>
      <w:spacing w:before="25"/>
      <w:ind w:left="1669" w:hanging="698"/>
    </w:pPr>
    <w:rPr>
      <w:rFonts w:ascii="Times New Roman" w:hAnsi="Times New Roman" w:eastAsia="Times New Roman" w:cs="Times New Roman"/>
      <w:sz w:val="22"/>
      <w:szCs w:val="22"/>
      <w:lang w:val="en-US" w:eastAsia="en-US" w:bidi="ar-SA"/>
    </w:rPr>
  </w:style>
  <w:style w:styleId="TOC7" w:type="paragraph">
    <w:name w:val="TOC 7"/>
    <w:basedOn w:val="Normal"/>
    <w:uiPriority w:val="1"/>
    <w:qFormat/>
    <w:pPr>
      <w:spacing w:before="29"/>
      <w:ind w:left="1538" w:hanging="502"/>
    </w:pPr>
    <w:rPr>
      <w:rFonts w:ascii="Times New Roman" w:hAnsi="Times New Roman" w:eastAsia="Times New Roman" w:cs="Times New Roman"/>
      <w:sz w:val="22"/>
      <w:szCs w:val="22"/>
      <w:lang w:val="en-US" w:eastAsia="en-US" w:bidi="ar-SA"/>
    </w:rPr>
  </w:style>
  <w:style w:styleId="TOC8" w:type="paragraph">
    <w:name w:val="TOC 8"/>
    <w:basedOn w:val="Normal"/>
    <w:uiPriority w:val="1"/>
    <w:qFormat/>
    <w:pPr>
      <w:spacing w:before="22"/>
      <w:ind w:left="2236" w:hanging="698"/>
    </w:pPr>
    <w:rPr>
      <w:rFonts w:ascii="Times New Roman" w:hAnsi="Times New Roman" w:eastAsia="Times New Roman" w:cs="Times New Roman"/>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709"/>
      <w:outlineLvl w:val="1"/>
    </w:pPr>
    <w:rPr>
      <w:rFonts w:ascii="Times New Roman" w:hAnsi="Times New Roman" w:eastAsia="Times New Roman" w:cs="Times New Roman"/>
      <w:b/>
      <w:bCs/>
      <w:sz w:val="49"/>
      <w:szCs w:val="49"/>
      <w:lang w:val="en-US" w:eastAsia="en-US" w:bidi="ar-SA"/>
    </w:rPr>
  </w:style>
  <w:style w:styleId="Heading2" w:type="paragraph">
    <w:name w:val="Heading 2"/>
    <w:basedOn w:val="Normal"/>
    <w:uiPriority w:val="1"/>
    <w:qFormat/>
    <w:pPr>
      <w:ind w:left="1354" w:hanging="645"/>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1426" w:hanging="717"/>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ind w:left="701"/>
      <w:outlineLvl w:val="4"/>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ind w:left="1538" w:hanging="50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3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header" Target="header1.xml"/><Relationship Id="rId22" Type="http://schemas.openxmlformats.org/officeDocument/2006/relationships/header" Target="header2.xml"/><Relationship Id="rId23" Type="http://schemas.openxmlformats.org/officeDocument/2006/relationships/header" Target="header3.xml"/><Relationship Id="rId24" Type="http://schemas.openxmlformats.org/officeDocument/2006/relationships/header" Target="header4.xml"/><Relationship Id="rId25" Type="http://schemas.openxmlformats.org/officeDocument/2006/relationships/header" Target="header5.xml"/><Relationship Id="rId26" Type="http://schemas.openxmlformats.org/officeDocument/2006/relationships/header" Target="header6.xml"/><Relationship Id="rId27" Type="http://schemas.openxmlformats.org/officeDocument/2006/relationships/header" Target="header7.xml"/><Relationship Id="rId28" Type="http://schemas.openxmlformats.org/officeDocument/2006/relationships/header" Target="header8.xml"/><Relationship Id="rId29" Type="http://schemas.openxmlformats.org/officeDocument/2006/relationships/header" Target="header9.xml"/><Relationship Id="rId30" Type="http://schemas.openxmlformats.org/officeDocument/2006/relationships/header" Target="header10.xml"/><Relationship Id="rId31" Type="http://schemas.openxmlformats.org/officeDocument/2006/relationships/header" Target="header11.xml"/><Relationship Id="rId32" Type="http://schemas.openxmlformats.org/officeDocument/2006/relationships/header" Target="header12.xml"/><Relationship Id="rId33" Type="http://schemas.openxmlformats.org/officeDocument/2006/relationships/header" Target="header13.xml"/><Relationship Id="rId34" Type="http://schemas.openxmlformats.org/officeDocument/2006/relationships/header" Target="header14.xml"/><Relationship Id="rId35" Type="http://schemas.openxmlformats.org/officeDocument/2006/relationships/header" Target="header15.xml"/><Relationship Id="rId36" Type="http://schemas.openxmlformats.org/officeDocument/2006/relationships/header" Target="header16.xml"/><Relationship Id="rId37" Type="http://schemas.openxmlformats.org/officeDocument/2006/relationships/header" Target="header17.xml"/><Relationship Id="rId38" Type="http://schemas.openxmlformats.org/officeDocument/2006/relationships/header" Target="header18.xml"/><Relationship Id="rId39" Type="http://schemas.openxmlformats.org/officeDocument/2006/relationships/header" Target="header19.xml"/><Relationship Id="rId40" Type="http://schemas.openxmlformats.org/officeDocument/2006/relationships/header" Target="header20.xml"/><Relationship Id="rId41" Type="http://schemas.openxmlformats.org/officeDocument/2006/relationships/header" Target="header21.xml"/><Relationship Id="rId42" Type="http://schemas.openxmlformats.org/officeDocument/2006/relationships/header" Target="header22.xml"/><Relationship Id="rId43" Type="http://schemas.openxmlformats.org/officeDocument/2006/relationships/image" Target="media/image16.jpeg"/><Relationship Id="rId44" Type="http://schemas.openxmlformats.org/officeDocument/2006/relationships/image" Target="media/image17.jpeg"/><Relationship Id="rId45" Type="http://schemas.openxmlformats.org/officeDocument/2006/relationships/header" Target="header23.xml"/><Relationship Id="rId46" Type="http://schemas.openxmlformats.org/officeDocument/2006/relationships/header" Target="header24.xml"/><Relationship Id="rId47" Type="http://schemas.openxmlformats.org/officeDocument/2006/relationships/image" Target="media/image18.jpeg"/><Relationship Id="rId48" Type="http://schemas.openxmlformats.org/officeDocument/2006/relationships/header" Target="header25.xml"/><Relationship Id="rId49" Type="http://schemas.openxmlformats.org/officeDocument/2006/relationships/header" Target="header26.xml"/><Relationship Id="rId50" Type="http://schemas.openxmlformats.org/officeDocument/2006/relationships/image" Target="media/image19.png"/><Relationship Id="rId51" Type="http://schemas.openxmlformats.org/officeDocument/2006/relationships/header" Target="header27.xml"/><Relationship Id="rId52" Type="http://schemas.openxmlformats.org/officeDocument/2006/relationships/header" Target="header28.xml"/><Relationship Id="rId53" Type="http://schemas.openxmlformats.org/officeDocument/2006/relationships/header" Target="header29.xml"/><Relationship Id="rId54" Type="http://schemas.openxmlformats.org/officeDocument/2006/relationships/header" Target="header30.xml"/><Relationship Id="rId55" Type="http://schemas.openxmlformats.org/officeDocument/2006/relationships/header" Target="header31.xml"/><Relationship Id="rId56" Type="http://schemas.openxmlformats.org/officeDocument/2006/relationships/header" Target="header32.xml"/><Relationship Id="rId57" Type="http://schemas.openxmlformats.org/officeDocument/2006/relationships/header" Target="header33.xml"/><Relationship Id="rId58" Type="http://schemas.openxmlformats.org/officeDocument/2006/relationships/header" Target="header34.xml"/><Relationship Id="rId59" Type="http://schemas.openxmlformats.org/officeDocument/2006/relationships/header" Target="header35.xml"/><Relationship Id="rId60" Type="http://schemas.openxmlformats.org/officeDocument/2006/relationships/header" Target="header36.xml"/><Relationship Id="rId61" Type="http://schemas.openxmlformats.org/officeDocument/2006/relationships/header" Target="header37.xml"/><Relationship Id="rId62" Type="http://schemas.openxmlformats.org/officeDocument/2006/relationships/header" Target="header38.xml"/><Relationship Id="rId63" Type="http://schemas.openxmlformats.org/officeDocument/2006/relationships/header" Target="header39.xml"/><Relationship Id="rId64" Type="http://schemas.openxmlformats.org/officeDocument/2006/relationships/header" Target="header40.xml"/><Relationship Id="rId65" Type="http://schemas.openxmlformats.org/officeDocument/2006/relationships/header" Target="header41.xml"/><Relationship Id="rId66" Type="http://schemas.openxmlformats.org/officeDocument/2006/relationships/header" Target="header42.xml"/><Relationship Id="rId67" Type="http://schemas.openxmlformats.org/officeDocument/2006/relationships/header" Target="header43.xml"/><Relationship Id="rId68" Type="http://schemas.openxmlformats.org/officeDocument/2006/relationships/header" Target="header44.xml"/><Relationship Id="rId69" Type="http://schemas.openxmlformats.org/officeDocument/2006/relationships/header" Target="header45.xml"/><Relationship Id="rId70" Type="http://schemas.openxmlformats.org/officeDocument/2006/relationships/header" Target="header46.xml"/><Relationship Id="rId71" Type="http://schemas.openxmlformats.org/officeDocument/2006/relationships/header" Target="header47.xml"/><Relationship Id="rId72" Type="http://schemas.openxmlformats.org/officeDocument/2006/relationships/header" Target="header48.xml"/><Relationship Id="rId73" Type="http://schemas.openxmlformats.org/officeDocument/2006/relationships/header" Target="header49.xml"/><Relationship Id="rId74" Type="http://schemas.openxmlformats.org/officeDocument/2006/relationships/header" Target="header50.xml"/><Relationship Id="rId75" Type="http://schemas.openxmlformats.org/officeDocument/2006/relationships/header" Target="header51.xml"/><Relationship Id="rId76" Type="http://schemas.openxmlformats.org/officeDocument/2006/relationships/header" Target="header52.xml"/><Relationship Id="rId77" Type="http://schemas.openxmlformats.org/officeDocument/2006/relationships/header" Target="header53.xml"/><Relationship Id="rId78" Type="http://schemas.openxmlformats.org/officeDocument/2006/relationships/image" Target="media/image20.png"/><Relationship Id="rId79" Type="http://schemas.openxmlformats.org/officeDocument/2006/relationships/header" Target="header54.xml"/><Relationship Id="rId80" Type="http://schemas.openxmlformats.org/officeDocument/2006/relationships/header" Target="header55.xml"/><Relationship Id="rId81" Type="http://schemas.openxmlformats.org/officeDocument/2006/relationships/header" Target="header56.xml"/><Relationship Id="rId82" Type="http://schemas.openxmlformats.org/officeDocument/2006/relationships/image" Target="media/image21.jpeg"/><Relationship Id="rId83" Type="http://schemas.openxmlformats.org/officeDocument/2006/relationships/image" Target="media/image22.jpeg"/><Relationship Id="rId84" Type="http://schemas.openxmlformats.org/officeDocument/2006/relationships/image" Target="media/image23.jpeg"/><Relationship Id="rId85" Type="http://schemas.openxmlformats.org/officeDocument/2006/relationships/header" Target="header57.xml"/><Relationship Id="rId86" Type="http://schemas.openxmlformats.org/officeDocument/2006/relationships/header" Target="header58.xml"/><Relationship Id="rId87" Type="http://schemas.openxmlformats.org/officeDocument/2006/relationships/image" Target="media/image24.png"/><Relationship Id="rId88" Type="http://schemas.openxmlformats.org/officeDocument/2006/relationships/image" Target="media/image25.png"/><Relationship Id="rId89" Type="http://schemas.openxmlformats.org/officeDocument/2006/relationships/header" Target="header59.xml"/><Relationship Id="rId90" Type="http://schemas.openxmlformats.org/officeDocument/2006/relationships/header" Target="header60.xml"/><Relationship Id="rId91" Type="http://schemas.openxmlformats.org/officeDocument/2006/relationships/image" Target="media/image26.jpeg"/><Relationship Id="rId92" Type="http://schemas.openxmlformats.org/officeDocument/2006/relationships/header" Target="header61.xml"/><Relationship Id="rId93" Type="http://schemas.openxmlformats.org/officeDocument/2006/relationships/header" Target="header62.xml"/><Relationship Id="rId94" Type="http://schemas.openxmlformats.org/officeDocument/2006/relationships/image" Target="media/image27.jpeg"/><Relationship Id="rId95" Type="http://schemas.openxmlformats.org/officeDocument/2006/relationships/header" Target="header63.xml"/><Relationship Id="rId96" Type="http://schemas.openxmlformats.org/officeDocument/2006/relationships/header" Target="header64.xml"/><Relationship Id="rId97" Type="http://schemas.openxmlformats.org/officeDocument/2006/relationships/header" Target="header65.xml"/><Relationship Id="rId98" Type="http://schemas.openxmlformats.org/officeDocument/2006/relationships/header" Target="header66.xml"/><Relationship Id="rId99" Type="http://schemas.openxmlformats.org/officeDocument/2006/relationships/header" Target="header67.xml"/><Relationship Id="rId100" Type="http://schemas.openxmlformats.org/officeDocument/2006/relationships/header" Target="header68.xml"/><Relationship Id="rId101" Type="http://schemas.openxmlformats.org/officeDocument/2006/relationships/header" Target="header69.xml"/><Relationship Id="rId102" Type="http://schemas.openxmlformats.org/officeDocument/2006/relationships/header" Target="header70.xml"/><Relationship Id="rId103" Type="http://schemas.openxmlformats.org/officeDocument/2006/relationships/header" Target="header71.xml"/><Relationship Id="rId104" Type="http://schemas.openxmlformats.org/officeDocument/2006/relationships/header" Target="header72.xml"/><Relationship Id="rId105" Type="http://schemas.openxmlformats.org/officeDocument/2006/relationships/header" Target="header73.xml"/><Relationship Id="rId106" Type="http://schemas.openxmlformats.org/officeDocument/2006/relationships/header" Target="header74.xml"/><Relationship Id="rId107" Type="http://schemas.openxmlformats.org/officeDocument/2006/relationships/header" Target="header75.xml"/><Relationship Id="rId108" Type="http://schemas.openxmlformats.org/officeDocument/2006/relationships/header" Target="header76.xml"/><Relationship Id="rId109" Type="http://schemas.openxmlformats.org/officeDocument/2006/relationships/header" Target="header77.xml"/><Relationship Id="rId110" Type="http://schemas.openxmlformats.org/officeDocument/2006/relationships/header" Target="header78.xml"/><Relationship Id="rId111" Type="http://schemas.openxmlformats.org/officeDocument/2006/relationships/header" Target="header79.xml"/><Relationship Id="rId112" Type="http://schemas.openxmlformats.org/officeDocument/2006/relationships/header" Target="header80.xml"/><Relationship Id="rId113" Type="http://schemas.openxmlformats.org/officeDocument/2006/relationships/header" Target="header81.xml"/><Relationship Id="rId114" Type="http://schemas.openxmlformats.org/officeDocument/2006/relationships/header" Target="header82.xml"/><Relationship Id="rId115" Type="http://schemas.openxmlformats.org/officeDocument/2006/relationships/header" Target="header83.xml"/><Relationship Id="rId116" Type="http://schemas.openxmlformats.org/officeDocument/2006/relationships/header" Target="header84.xml"/><Relationship Id="rId117" Type="http://schemas.openxmlformats.org/officeDocument/2006/relationships/header" Target="header85.xml"/><Relationship Id="rId118" Type="http://schemas.openxmlformats.org/officeDocument/2006/relationships/header" Target="header86.xml"/><Relationship Id="rId119" Type="http://schemas.openxmlformats.org/officeDocument/2006/relationships/header" Target="header87.xml"/><Relationship Id="rId120" Type="http://schemas.openxmlformats.org/officeDocument/2006/relationships/header" Target="header88.xml"/><Relationship Id="rId121" Type="http://schemas.openxmlformats.org/officeDocument/2006/relationships/header" Target="header89.xml"/><Relationship Id="rId122" Type="http://schemas.openxmlformats.org/officeDocument/2006/relationships/image" Target="media/image28.jpeg"/><Relationship Id="rId123" Type="http://schemas.openxmlformats.org/officeDocument/2006/relationships/header" Target="header90.xml"/><Relationship Id="rId124" Type="http://schemas.openxmlformats.org/officeDocument/2006/relationships/header" Target="header91.xml"/><Relationship Id="rId125" Type="http://schemas.openxmlformats.org/officeDocument/2006/relationships/header" Target="header92.xml"/><Relationship Id="rId126" Type="http://schemas.openxmlformats.org/officeDocument/2006/relationships/header" Target="header93.xml"/><Relationship Id="rId127" Type="http://schemas.openxmlformats.org/officeDocument/2006/relationships/header" Target="header94.xml"/><Relationship Id="rId128" Type="http://schemas.openxmlformats.org/officeDocument/2006/relationships/header" Target="header95.xml"/><Relationship Id="rId129" Type="http://schemas.openxmlformats.org/officeDocument/2006/relationships/header" Target="header96.xml"/><Relationship Id="rId130" Type="http://schemas.openxmlformats.org/officeDocument/2006/relationships/image" Target="media/image29.png"/><Relationship Id="rId131" Type="http://schemas.openxmlformats.org/officeDocument/2006/relationships/header" Target="header97.xml"/><Relationship Id="rId132" Type="http://schemas.openxmlformats.org/officeDocument/2006/relationships/header" Target="header98.xml"/><Relationship Id="rId133" Type="http://schemas.openxmlformats.org/officeDocument/2006/relationships/header" Target="header99.xml"/><Relationship Id="rId134" Type="http://schemas.openxmlformats.org/officeDocument/2006/relationships/header" Target="header100.xml"/><Relationship Id="rId135" Type="http://schemas.openxmlformats.org/officeDocument/2006/relationships/header" Target="header101.xml"/><Relationship Id="rId136" Type="http://schemas.openxmlformats.org/officeDocument/2006/relationships/header" Target="header102.xml"/><Relationship Id="rId137" Type="http://schemas.openxmlformats.org/officeDocument/2006/relationships/header" Target="header103.xml"/><Relationship Id="rId138" Type="http://schemas.openxmlformats.org/officeDocument/2006/relationships/header" Target="header104.xml"/><Relationship Id="rId139" Type="http://schemas.openxmlformats.org/officeDocument/2006/relationships/header" Target="header105.xml"/><Relationship Id="rId140" Type="http://schemas.openxmlformats.org/officeDocument/2006/relationships/header" Target="header106.xml"/><Relationship Id="rId14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2026-06-15T23:58:40Z</dcterms:created>
  <dcterms:modified xsi:type="dcterms:W3CDTF">2026-06-15T23:58:40Z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2026-06-15T00:00:00Z</vt:filetime>
  </property>
  <property fmtid="{D5CDD505-2E9C-101B-9397-08002B2CF9AE}" pid="3" name="Creator">
    <vt:lpwstr>LaTeX with hyperref</vt:lpwstr>
  </property>
  <property fmtid="{D5CDD505-2E9C-101B-9397-08002B2CF9AE}" pid="4" name="LastSaved">
    <vt:filetime>2026-06-15T00:00:00Z</vt:filetime>
  </property>
  <property fmtid="{D5CDD505-2E9C-101B-9397-08002B2CF9AE}" pid="5" name="PTEX.Fullbanner">
    <vt:lpwstr>This is pdfTeX, Version 3.141592653-2.6-1.40.22 (TeX Live 2022/dev/Debian) kpathsea version 6.3.4/dev</vt:lpwstr>
  </property>
  <property fmtid="{D5CDD505-2E9C-101B-9397-08002B2CF9AE}" pid="6" name="Producer">
    <vt:lpwstr>pdfTeX-1.40.22</vt:lpwstr>
  </property>
</Properties>
</file>